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Lázňovský Petr Ing., ředitel Krajského pozemkového úřadu pro Královéhradecký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 01 Hradec Králové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1003921654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Škoda Milan</w:t>
      </w:r>
      <w:r>
        <w:rPr>
          <w:color w:val="000000"/>
          <w:sz w:val="24"/>
          <w:szCs w:val="24"/>
        </w:rPr>
        <w:t xml:space="preserve">, </w:t>
      </w: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1003921654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Královéhradecký kraj se sídlem v Hradci Králové, Katastrální pracoviště Trutnov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Vrchlabí</w:t>
      </w:r>
      <w:r>
        <w:rPr>
          <w:sz w:val="20"/>
          <w:szCs w:val="20"/>
        </w:rPr>
        <w:tab/>
        <w:t>Podhůří-Harta</w:t>
      </w:r>
      <w:r>
        <w:rPr>
          <w:sz w:val="20"/>
          <w:szCs w:val="20"/>
        </w:rPr>
        <w:tab/>
        <w:t>961/2</w:t>
      </w:r>
      <w:r>
        <w:rPr>
          <w:sz w:val="20"/>
          <w:szCs w:val="20"/>
        </w:rPr>
        <w:tab/>
        <w:t>ostatní plocha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11 odst. 1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746C63" w:rsidRDefault="00746C63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Podhůří-Harta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961/2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172 800,00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172 800,00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1873DB" w:rsidRDefault="001873D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K pozemku prodávanému touto smlouvou má stát ze zákona podle </w:t>
      </w:r>
      <w:r w:rsidR="00C8341E" w:rsidRPr="00BF4B98">
        <w:rPr>
          <w:sz w:val="24"/>
          <w:szCs w:val="24"/>
        </w:rPr>
        <w:t>§ 15 zákona č. 503/2012 Sb., o Státním pozemkovém úřadu</w:t>
      </w:r>
      <w:r w:rsidR="00C8341E">
        <w:rPr>
          <w:sz w:val="24"/>
          <w:szCs w:val="24"/>
        </w:rPr>
        <w:t>,</w:t>
      </w:r>
      <w:r>
        <w:rPr>
          <w:sz w:val="24"/>
          <w:szCs w:val="24"/>
        </w:rPr>
        <w:t xml:space="preserve"> předkupní právo jako právo věcné. Smluvní strany smlouvy prohlašují, že vznik tohoto práva není sporný ani pochybný. V případě uvažovaného zcizení je kupující povinen státu nabídnout takovýto pozemek ke koupi za cenu</w:t>
      </w:r>
      <w:r w:rsidR="00B71151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jej získal od prodávajícího.</w:t>
      </w:r>
    </w:p>
    <w:p w:rsidR="001873DB" w:rsidRDefault="001873D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Pozemek, na němž je státem uplatněno předkupní právo nesmí kupující učinit předmětem zástavního práva</w:t>
      </w:r>
      <w:r w:rsidR="00A552F8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1873DB" w:rsidRDefault="001873DB">
      <w:pPr>
        <w:widowControl/>
        <w:tabs>
          <w:tab w:val="left" w:pos="426"/>
        </w:tabs>
        <w:jc w:val="both"/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pozemku.</w:t>
      </w:r>
    </w:p>
    <w:p w:rsidR="00000000" w:rsidRDefault="004C127D">
      <w:pPr>
        <w:widowControl/>
        <w:tabs>
          <w:tab w:val="left" w:pos="426"/>
        </w:tabs>
        <w:jc w:val="both"/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r>
        <w:t xml:space="preserve">2) Užívací vztah k prodávanému pozemku je řešen nájemní smlouvou č. 4505N05/54, kterou s PF ČR, nyní Státním pozemkovým úřadem uzavřela </w:t>
      </w:r>
      <w:proofErr w:type="spellStart"/>
      <w:r>
        <w:t>Bongová</w:t>
      </w:r>
      <w:proofErr w:type="spellEnd"/>
      <w:r>
        <w:t xml:space="preserve"> Alena, jakožto nájemce. S obsahem nájemní smlouvy byl kupující seznámen před podpisem této smlouvy, což stvrzuje svým podpisem.</w:t>
      </w:r>
    </w:p>
    <w:p w:rsidR="00746C63" w:rsidRDefault="00746C63">
      <w:pPr>
        <w:pStyle w:val="vnitrniText"/>
        <w:widowControl/>
      </w:pPr>
      <w:r>
        <w:t>3) Na prodávaném pozemku váznou tato práva třetích osob:</w:t>
      </w:r>
    </w:p>
    <w:p w:rsidR="00746C63" w:rsidRDefault="00746C63">
      <w:pPr>
        <w:pStyle w:val="vnitrniText"/>
        <w:widowControl/>
      </w:pPr>
      <w:r>
        <w:t xml:space="preserve">věcné břemeno chůze a jízdy pro </w:t>
      </w:r>
      <w:proofErr w:type="spellStart"/>
      <w:r>
        <w:t>st.p.č</w:t>
      </w:r>
      <w:proofErr w:type="spellEnd"/>
      <w:r>
        <w:t xml:space="preserve">. 23 a pro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65 dle KN v </w:t>
      </w:r>
      <w:proofErr w:type="spellStart"/>
      <w:r>
        <w:t>k.ú</w:t>
      </w:r>
      <w:proofErr w:type="spellEnd"/>
      <w:r>
        <w:t>. Podhůří-Harta</w:t>
      </w:r>
    </w:p>
    <w:p w:rsidR="00746C63" w:rsidRDefault="00746C63">
      <w:pPr>
        <w:pStyle w:val="vnitrniText"/>
        <w:widowControl/>
      </w:pPr>
      <w:r>
        <w:t xml:space="preserve">Kupující bere na vědomí a je srozuměn s tím, že prodávající uzavřel smlouvu o smlouvě budoucí o zřízení věcného břemene, kterou se zavázal k uzavření  smlouvy o zřízení věcného břemene a dal souhlas s tím, aby ČEZ Distribuce a.s. umístil na prodávaném pozemku, resp. jeho části stavbu  IV-12-2013234- Vrchlabí </w:t>
      </w:r>
      <w:proofErr w:type="spellStart"/>
      <w:r>
        <w:t>knn</w:t>
      </w:r>
      <w:proofErr w:type="spellEnd"/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70/2 lokalita RD Škoda. Kupující se zavazuje, že v souladu se smlouvou o smlouvě budoucí</w:t>
      </w:r>
      <w:bookmarkStart w:id="0" w:name="_GoBack"/>
      <w:bookmarkEnd w:id="0"/>
      <w:r>
        <w:t xml:space="preserve"> o zřízení věcného břemene, uzavře smlouvu o zřízení věcného břemene.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1459A">
        <w:t>současně u katastrálního úřadu podá návrh na vklad</w:t>
      </w:r>
      <w:r>
        <w:t xml:space="preserve"> předkupního práva k prodávanému pozemku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>2) Tato smlouva je vyhotovena ve 3 stejnopisech, z nichž každý má platnost originálu. Kupující obdrží 1 stejnopis a ostatní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lastRenderedPageBreak/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F24B49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11 odst. 1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</w:t>
      </w:r>
      <w:r w:rsidR="00F24B49">
        <w:rPr>
          <w:sz w:val="24"/>
          <w:szCs w:val="24"/>
        </w:rPr>
        <w:t xml:space="preserve">. 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0819CE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Hradci Králové dne </w:t>
      </w:r>
      <w:r w:rsidR="00BA4EE4">
        <w:rPr>
          <w:sz w:val="24"/>
          <w:szCs w:val="24"/>
        </w:rPr>
        <w:t>…………………</w:t>
      </w:r>
      <w:proofErr w:type="gramStart"/>
      <w:r w:rsidR="00BA4EE4">
        <w:rPr>
          <w:sz w:val="24"/>
          <w:szCs w:val="24"/>
        </w:rPr>
        <w:t>….</w:t>
      </w:r>
      <w:r>
        <w:rPr>
          <w:sz w:val="24"/>
          <w:szCs w:val="24"/>
        </w:rPr>
        <w:tab/>
        <w:t>V ............................... dne</w:t>
      </w:r>
      <w:proofErr w:type="gramEnd"/>
      <w:r>
        <w:rPr>
          <w:sz w:val="24"/>
          <w:szCs w:val="24"/>
        </w:rPr>
        <w:t xml:space="preserve"> .......................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Pr="00BA4EE4" w:rsidRDefault="00746C63">
      <w:pPr>
        <w:widowControl/>
        <w:ind w:left="5104" w:hanging="5104"/>
        <w:rPr>
          <w:b/>
          <w:sz w:val="24"/>
          <w:szCs w:val="24"/>
        </w:rPr>
      </w:pPr>
      <w:r w:rsidRPr="00BA4EE4">
        <w:rPr>
          <w:b/>
          <w:sz w:val="24"/>
          <w:szCs w:val="24"/>
        </w:rPr>
        <w:t>Státní pozemkový úřad</w:t>
      </w:r>
      <w:r w:rsidRPr="00BA4EE4">
        <w:rPr>
          <w:b/>
          <w:sz w:val="24"/>
          <w:szCs w:val="24"/>
        </w:rPr>
        <w:tab/>
        <w:t>Škoda Milan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Královéhradecký kraj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Lázňovský Petr Ing.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2463854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Královéhradecký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Dudek Milan Mgr.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Štefková Marcela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412D61" w:rsidRPr="00A31C3B" w:rsidRDefault="00412D61" w:rsidP="00412D61">
      <w:pPr>
        <w:widowControl/>
        <w:jc w:val="both"/>
        <w:rPr>
          <w:sz w:val="24"/>
          <w:szCs w:val="24"/>
        </w:rPr>
      </w:pPr>
    </w:p>
    <w:p w:rsidR="00BA4EE4" w:rsidRDefault="00BA4EE4">
      <w:pPr>
        <w:widowControl/>
      </w:pPr>
    </w:p>
    <w:p w:rsidR="00BA4EE4" w:rsidRPr="003D73E6" w:rsidRDefault="00BA4EE4" w:rsidP="00BA4EE4">
      <w:pPr>
        <w:pStyle w:val="Default"/>
        <w:spacing w:after="36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t xml:space="preserve">Tato smlouva byla uveřejněna v registru smluv, vedeném dle zákona č. 340/2015 Sb., o registru smluv. </w:t>
      </w:r>
    </w:p>
    <w:p w:rsidR="00BA4EE4" w:rsidRPr="003D73E6" w:rsidRDefault="00BA4EE4" w:rsidP="00BA4EE4">
      <w:pPr>
        <w:pStyle w:val="Default"/>
        <w:spacing w:after="36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t xml:space="preserve">Datum registrace …………………………. </w:t>
      </w:r>
    </w:p>
    <w:p w:rsidR="00BA4EE4" w:rsidRPr="003D73E6" w:rsidRDefault="00BA4EE4" w:rsidP="00BA4EE4">
      <w:pPr>
        <w:pStyle w:val="Default"/>
        <w:spacing w:after="36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t xml:space="preserve">ID </w:t>
      </w:r>
      <w:r>
        <w:rPr>
          <w:rFonts w:ascii="Times New Roman" w:hAnsi="Times New Roman" w:cs="Times New Roman"/>
        </w:rPr>
        <w:t>smlouvy</w:t>
      </w:r>
      <w:r w:rsidRPr="003D73E6">
        <w:rPr>
          <w:rFonts w:ascii="Times New Roman" w:hAnsi="Times New Roman" w:cs="Times New Roman"/>
        </w:rPr>
        <w:t xml:space="preserve"> …………………………</w:t>
      </w:r>
      <w:proofErr w:type="gramStart"/>
      <w:r w:rsidRPr="003D73E6">
        <w:rPr>
          <w:rFonts w:ascii="Times New Roman" w:hAnsi="Times New Roman" w:cs="Times New Roman"/>
        </w:rPr>
        <w:t>…...</w:t>
      </w:r>
      <w:proofErr w:type="gramEnd"/>
      <w:r w:rsidRPr="003D73E6">
        <w:rPr>
          <w:rFonts w:ascii="Times New Roman" w:hAnsi="Times New Roman" w:cs="Times New Roman"/>
        </w:rPr>
        <w:t xml:space="preserve"> </w:t>
      </w:r>
    </w:p>
    <w:p w:rsidR="00BA4EE4" w:rsidRPr="003D73E6" w:rsidRDefault="00BA4EE4" w:rsidP="00BA4EE4">
      <w:pPr>
        <w:pStyle w:val="Default"/>
        <w:spacing w:after="36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t>Registraci proved</w:t>
      </w:r>
      <w:r>
        <w:rPr>
          <w:rFonts w:ascii="Times New Roman" w:hAnsi="Times New Roman" w:cs="Times New Roman"/>
        </w:rPr>
        <w:t xml:space="preserve">la Ing. </w:t>
      </w:r>
      <w:r>
        <w:rPr>
          <w:rFonts w:ascii="Times New Roman" w:hAnsi="Times New Roman" w:cs="Times New Roman"/>
        </w:rPr>
        <w:t>Marcela Štefková</w:t>
      </w:r>
    </w:p>
    <w:p w:rsidR="00BA4EE4" w:rsidRDefault="00BA4EE4" w:rsidP="00BA4EE4">
      <w:pPr>
        <w:pStyle w:val="Default"/>
        <w:spacing w:after="120"/>
        <w:rPr>
          <w:rFonts w:ascii="Times New Roman" w:hAnsi="Times New Roman" w:cs="Times New Roman"/>
        </w:rPr>
      </w:pPr>
    </w:p>
    <w:p w:rsidR="00BA4EE4" w:rsidRDefault="00BA4EE4" w:rsidP="00BA4EE4">
      <w:pPr>
        <w:pStyle w:val="Default"/>
        <w:spacing w:after="36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Hradci Králové </w:t>
      </w:r>
      <w:r w:rsidRPr="003D73E6">
        <w:rPr>
          <w:rFonts w:ascii="Times New Roman" w:hAnsi="Times New Roman" w:cs="Times New Roman"/>
        </w:rPr>
        <w:t>dne ………………</w:t>
      </w:r>
      <w:proofErr w:type="gramStart"/>
      <w:r w:rsidRPr="003D73E6">
        <w:rPr>
          <w:rFonts w:ascii="Times New Roman" w:hAnsi="Times New Roman" w:cs="Times New Roman"/>
        </w:rPr>
        <w:t>…..</w:t>
      </w:r>
      <w:proofErr w:type="gramEnd"/>
      <w:r w:rsidRPr="003D73E6">
        <w:rPr>
          <w:rFonts w:ascii="Times New Roman" w:hAnsi="Times New Roman" w:cs="Times New Roman"/>
        </w:rPr>
        <w:t xml:space="preserve"> </w:t>
      </w:r>
    </w:p>
    <w:p w:rsidR="00BA4EE4" w:rsidRPr="003D73E6" w:rsidRDefault="00BA4EE4" w:rsidP="00BA4EE4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73E6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</w:t>
      </w:r>
      <w:r w:rsidRPr="003D73E6">
        <w:rPr>
          <w:rFonts w:ascii="Times New Roman" w:hAnsi="Times New Roman" w:cs="Times New Roman"/>
        </w:rPr>
        <w:t xml:space="preserve"> </w:t>
      </w:r>
    </w:p>
    <w:p w:rsidR="00BA4EE4" w:rsidRPr="003D73E6" w:rsidRDefault="00BA4EE4" w:rsidP="00BA4EE4">
      <w:pPr>
        <w:spacing w:after="360"/>
        <w:ind w:left="4956" w:firstLine="708"/>
        <w:rPr>
          <w:sz w:val="24"/>
          <w:szCs w:val="24"/>
        </w:rPr>
      </w:pPr>
      <w:r w:rsidRPr="003D73E6">
        <w:rPr>
          <w:i/>
          <w:iCs/>
          <w:sz w:val="24"/>
          <w:szCs w:val="24"/>
        </w:rPr>
        <w:t>podpis odpovědného zaměstnance</w:t>
      </w:r>
    </w:p>
    <w:p w:rsidR="00BA4EE4" w:rsidRDefault="00BA4EE4">
      <w:pPr>
        <w:widowControl/>
      </w:pPr>
    </w:p>
    <w:sectPr w:rsidR="00BA4EE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E4" w:rsidRDefault="00BA4EE4">
      <w:r>
        <w:separator/>
      </w:r>
    </w:p>
  </w:endnote>
  <w:endnote w:type="continuationSeparator" w:id="0">
    <w:p w:rsidR="00BA4EE4" w:rsidRDefault="00BA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E4" w:rsidRDefault="00BA4EE4">
      <w:r>
        <w:separator/>
      </w:r>
    </w:p>
  </w:footnote>
  <w:footnote w:type="continuationSeparator" w:id="0">
    <w:p w:rsidR="00BA4EE4" w:rsidRDefault="00BA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63"/>
    <w:rsid w:val="0005201B"/>
    <w:rsid w:val="000819CE"/>
    <w:rsid w:val="000F3560"/>
    <w:rsid w:val="0011459A"/>
    <w:rsid w:val="001873DB"/>
    <w:rsid w:val="001D0844"/>
    <w:rsid w:val="002055A2"/>
    <w:rsid w:val="00253C58"/>
    <w:rsid w:val="002750DE"/>
    <w:rsid w:val="00412D61"/>
    <w:rsid w:val="0043604A"/>
    <w:rsid w:val="004C0CB6"/>
    <w:rsid w:val="004C127D"/>
    <w:rsid w:val="004D056F"/>
    <w:rsid w:val="0056566C"/>
    <w:rsid w:val="00625710"/>
    <w:rsid w:val="00694205"/>
    <w:rsid w:val="0070116E"/>
    <w:rsid w:val="00724A2B"/>
    <w:rsid w:val="00746C63"/>
    <w:rsid w:val="00775F21"/>
    <w:rsid w:val="007B3D5D"/>
    <w:rsid w:val="007E3A0A"/>
    <w:rsid w:val="00806FD6"/>
    <w:rsid w:val="00811E34"/>
    <w:rsid w:val="00831AF0"/>
    <w:rsid w:val="00881E28"/>
    <w:rsid w:val="008E67C2"/>
    <w:rsid w:val="00944C26"/>
    <w:rsid w:val="0098093E"/>
    <w:rsid w:val="00A31C3B"/>
    <w:rsid w:val="00A552F8"/>
    <w:rsid w:val="00A807B7"/>
    <w:rsid w:val="00A92B9F"/>
    <w:rsid w:val="00AB397A"/>
    <w:rsid w:val="00B56780"/>
    <w:rsid w:val="00B71151"/>
    <w:rsid w:val="00BA4EE4"/>
    <w:rsid w:val="00BF4B98"/>
    <w:rsid w:val="00C70A46"/>
    <w:rsid w:val="00C8341E"/>
    <w:rsid w:val="00C9419D"/>
    <w:rsid w:val="00CB4222"/>
    <w:rsid w:val="00CF7B8B"/>
    <w:rsid w:val="00DB23D0"/>
    <w:rsid w:val="00EC3E05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BA4E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Štefková Marcela Ing.</dc:creator>
  <cp:lastModifiedBy>Štefková Marcela Ing.</cp:lastModifiedBy>
  <cp:revision>2</cp:revision>
  <cp:lastPrinted>2016-07-26T09:51:00Z</cp:lastPrinted>
  <dcterms:created xsi:type="dcterms:W3CDTF">2016-07-26T09:53:00Z</dcterms:created>
  <dcterms:modified xsi:type="dcterms:W3CDTF">2016-07-26T09:53:00Z</dcterms:modified>
</cp:coreProperties>
</file>