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12075" w14:textId="329A61FA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0351B8">
        <w:rPr>
          <w:rFonts w:ascii="Arial" w:hAnsi="Arial" w:cs="Arial"/>
          <w:sz w:val="28"/>
          <w:szCs w:val="28"/>
        </w:rPr>
        <w:t>6</w:t>
      </w:r>
    </w:p>
    <w:p w14:paraId="3D412076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D412077" w14:textId="6CA9EB8D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0351B8">
        <w:rPr>
          <w:rFonts w:ascii="Arial" w:hAnsi="Arial" w:cs="Arial"/>
          <w:sz w:val="18"/>
        </w:rPr>
        <w:t>5L54U001</w:t>
      </w:r>
      <w:r w:rsidRPr="00C442AF">
        <w:rPr>
          <w:rFonts w:ascii="Arial" w:hAnsi="Arial" w:cs="Arial"/>
          <w:sz w:val="18"/>
        </w:rPr>
        <w:t xml:space="preserve">  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0351B8">
        <w:rPr>
          <w:rFonts w:ascii="Arial" w:hAnsi="Arial" w:cs="Arial"/>
          <w:sz w:val="18"/>
        </w:rPr>
        <w:t>31.12.2014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77777777" w:rsidR="00D92109" w:rsidRDefault="00D92109" w:rsidP="0098448B">
      <w:pPr>
        <w:jc w:val="center"/>
        <w:rPr>
          <w:rFonts w:ascii="Arial" w:hAnsi="Arial" w:cs="Arial"/>
        </w:rPr>
      </w:pPr>
    </w:p>
    <w:p w14:paraId="3D41207A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3D41207B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3D41207C" w14:textId="77777777"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14:paraId="3D41207D" w14:textId="77777777"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D412080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1207E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1207F" w14:textId="627FF1A5" w:rsidR="00ED2E79" w:rsidRPr="00381282" w:rsidRDefault="000351B8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Hauptigová</w:t>
            </w:r>
            <w:proofErr w:type="spellEnd"/>
          </w:p>
        </w:tc>
      </w:tr>
      <w:tr w:rsidR="00ED2E79" w:rsidRPr="000A731B" w14:paraId="3D4120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1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D412082" w14:textId="17E663E3" w:rsidR="00ED2E79" w:rsidRPr="000A731B" w:rsidRDefault="000351B8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Frýdlant</w:t>
            </w:r>
          </w:p>
        </w:tc>
      </w:tr>
      <w:tr w:rsidR="00AC564E" w:rsidRPr="000A731B" w14:paraId="3D412086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4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D412085" w14:textId="67FD61F7" w:rsidR="00AC564E" w:rsidRPr="000A731B" w:rsidRDefault="000351B8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potoka 265, 46401</w:t>
            </w:r>
          </w:p>
        </w:tc>
      </w:tr>
      <w:tr w:rsidR="00AC564E" w:rsidRPr="000A731B" w14:paraId="3D4120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D412087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D412088" w14:textId="798C565B" w:rsidR="00AC564E" w:rsidRPr="000A731B" w:rsidRDefault="004B3EDD" w:rsidP="0038128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3D412089" w14:textId="1395F8ED" w:rsidR="00AC564E" w:rsidRPr="00381282" w:rsidRDefault="00AC564E" w:rsidP="00D34672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AC564E" w:rsidRPr="000A731B" w14:paraId="3D41208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41208B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D41208C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8D" w14:textId="2220165E" w:rsidR="00AC564E" w:rsidRPr="000A731B" w:rsidRDefault="000351B8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Věrou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Hauptigovou</w:t>
            </w:r>
            <w:proofErr w:type="spellEnd"/>
            <w:r w:rsidR="004B3EDD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AC564E" w:rsidRPr="000A731B" w14:paraId="3D41209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F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D412090" w14:textId="03547C05" w:rsidR="00AC564E" w:rsidRPr="000A731B" w:rsidRDefault="000351B8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460 30 841</w:t>
            </w:r>
          </w:p>
        </w:tc>
      </w:tr>
      <w:tr w:rsidR="00AC564E" w:rsidRPr="000A731B" w14:paraId="3D412094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92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D412093" w14:textId="47291436" w:rsidR="00AC564E" w:rsidRPr="000A731B" w:rsidRDefault="00D34672" w:rsidP="004A716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="000351B8">
              <w:rPr>
                <w:rFonts w:ascii="Arial" w:hAnsi="Arial" w:cs="Arial"/>
                <w:sz w:val="18"/>
                <w:szCs w:val="18"/>
              </w:rPr>
              <w:t> 990 223</w:t>
            </w:r>
          </w:p>
        </w:tc>
      </w:tr>
    </w:tbl>
    <w:p w14:paraId="3D412095" w14:textId="77777777" w:rsidR="00ED2E79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BC2B789" w14:textId="77777777" w:rsidR="00B243EE" w:rsidRPr="000A731B" w:rsidRDefault="00B243E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3D412096" w14:textId="77777777"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3D412097" w14:textId="77777777" w:rsidR="00ED2E79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p w14:paraId="3807C981" w14:textId="77777777" w:rsidR="00B243EE" w:rsidRPr="000A731B" w:rsidRDefault="00B243EE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D41209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D412098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D41209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D41209A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9B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D41209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209D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209E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D4120A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D4120A0" w14:textId="3C69E581" w:rsidR="00ED2E79" w:rsidRPr="000A731B" w:rsidRDefault="00ED2E79" w:rsidP="00D346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34672">
              <w:rPr>
                <w:rFonts w:ascii="Arial" w:hAnsi="Arial" w:cs="Arial"/>
                <w:b/>
                <w:sz w:val="18"/>
                <w:szCs w:val="18"/>
              </w:rPr>
              <w:t>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 w:rsidR="00D34672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D4120A5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4120A2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D4120A3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A4" w14:textId="459664A6" w:rsidR="00ED2E79" w:rsidRPr="000A731B" w:rsidRDefault="00D34672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Blankou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Vajrychovou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vedoucí Oddělení správy smluv</w:t>
            </w:r>
          </w:p>
        </w:tc>
      </w:tr>
      <w:tr w:rsidR="00ED2E79" w:rsidRPr="000A731B" w14:paraId="3D4120A8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A6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D4120A7" w14:textId="35A00587" w:rsidR="00ED2E79" w:rsidRPr="000A731B" w:rsidRDefault="00D34672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D4120AB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A9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D4120AA" w14:textId="5700E1FC" w:rsidR="00ED2E79" w:rsidRPr="000A731B" w:rsidRDefault="00D34672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D4120AC" w14:textId="77777777"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D4120AD" w14:textId="77777777" w:rsidR="00A6136D" w:rsidRDefault="00A6136D">
      <w:pPr>
        <w:rPr>
          <w:sz w:val="22"/>
          <w:szCs w:val="22"/>
        </w:rPr>
      </w:pP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717D6838" w14:textId="77777777" w:rsidR="002037CA" w:rsidRDefault="00F97A9E" w:rsidP="002037CA">
      <w:pPr>
        <w:spacing w:line="312" w:lineRule="auto"/>
        <w:ind w:left="2517" w:hanging="2517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VI. Smlouvy tak, jak</w:t>
      </w:r>
      <w:r w:rsidR="00E7243C">
        <w:rPr>
          <w:rFonts w:ascii="Arial" w:hAnsi="Arial" w:cs="Arial"/>
          <w:sz w:val="18"/>
          <w:szCs w:val="24"/>
        </w:rPr>
        <w:t xml:space="preserve"> je uvedeno v Článku II. tohoto</w:t>
      </w:r>
    </w:p>
    <w:p w14:paraId="7DA9B6AE" w14:textId="45E53760" w:rsidR="00F97A9E" w:rsidRDefault="00666D04" w:rsidP="002037CA">
      <w:pPr>
        <w:spacing w:line="312" w:lineRule="auto"/>
        <w:ind w:left="2517" w:hanging="2517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Dodatku a dále na změně Č</w:t>
      </w:r>
      <w:r w:rsidR="00F97A9E">
        <w:rPr>
          <w:rFonts w:ascii="Arial" w:hAnsi="Arial" w:cs="Arial"/>
          <w:sz w:val="18"/>
          <w:szCs w:val="24"/>
        </w:rPr>
        <w:t>lánku XII.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 w:rsidR="00F97A9E">
        <w:rPr>
          <w:rFonts w:ascii="Arial" w:hAnsi="Arial" w:cs="Arial"/>
          <w:sz w:val="18"/>
          <w:szCs w:val="24"/>
        </w:rPr>
        <w:t>lánku III. tohoto Dodatku.</w:t>
      </w:r>
    </w:p>
    <w:p w14:paraId="0F217AE3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56D58158" w:rsidR="00F97A9E" w:rsidRP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Ustanovení 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VI. Smlouvy se nahrazuje textem, který zní takto:</w:t>
      </w:r>
    </w:p>
    <w:p w14:paraId="48501394" w14:textId="6037C974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>Smlouva se uzavírá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2018.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lastRenderedPageBreak/>
        <w:t>Článek III.</w:t>
      </w:r>
    </w:p>
    <w:p w14:paraId="1AAD4C1E" w14:textId="40D5649C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F97A9E">
        <w:rPr>
          <w:rFonts w:ascii="Arial" w:hAnsi="Arial" w:cs="Arial"/>
          <w:sz w:val="18"/>
          <w:szCs w:val="24"/>
        </w:rPr>
        <w:t xml:space="preserve"> XII.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2F1D5416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0351B8">
        <w:rPr>
          <w:rFonts w:ascii="Arial" w:hAnsi="Arial" w:cs="Arial"/>
          <w:sz w:val="18"/>
          <w:szCs w:val="24"/>
        </w:rPr>
        <w:t>1.1.2015</w:t>
      </w:r>
      <w:proofErr w:type="gramEnd"/>
      <w:r w:rsidR="00026648">
        <w:rPr>
          <w:rFonts w:ascii="Arial" w:hAnsi="Arial" w:cs="Arial"/>
          <w:sz w:val="18"/>
          <w:szCs w:val="24"/>
        </w:rPr>
        <w:t xml:space="preserve">            do  31. </w:t>
      </w:r>
      <w:r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2018.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406163C9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>upravuje práva a povinn</w:t>
      </w:r>
      <w:r w:rsidR="00026648">
        <w:rPr>
          <w:rFonts w:cs="Arial"/>
          <w:b w:val="0"/>
          <w:sz w:val="18"/>
          <w:szCs w:val="18"/>
        </w:rPr>
        <w:t>osti smluv</w:t>
      </w:r>
      <w:r w:rsidR="000351B8">
        <w:rPr>
          <w:rFonts w:cs="Arial"/>
          <w:b w:val="0"/>
          <w:sz w:val="18"/>
          <w:szCs w:val="18"/>
        </w:rPr>
        <w:t xml:space="preserve">ních stran v období od  </w:t>
      </w:r>
      <w:proofErr w:type="gramStart"/>
      <w:r w:rsidR="000351B8">
        <w:rPr>
          <w:rFonts w:cs="Arial"/>
          <w:b w:val="0"/>
          <w:sz w:val="18"/>
          <w:szCs w:val="18"/>
        </w:rPr>
        <w:t>1.1.2015</w:t>
      </w:r>
      <w:proofErr w:type="gramEnd"/>
      <w:r>
        <w:rPr>
          <w:rFonts w:cs="Arial"/>
          <w:b w:val="0"/>
          <w:sz w:val="18"/>
          <w:szCs w:val="18"/>
        </w:rPr>
        <w:t xml:space="preserve"> do </w:t>
      </w:r>
      <w:r w:rsidR="001A1E08">
        <w:rPr>
          <w:rFonts w:cs="Arial"/>
          <w:b w:val="0"/>
          <w:sz w:val="18"/>
          <w:szCs w:val="18"/>
        </w:rPr>
        <w:t>31. 12. 2018</w:t>
      </w:r>
      <w:r w:rsidR="00E14270">
        <w:rPr>
          <w:rFonts w:cs="Arial"/>
          <w:b w:val="0"/>
          <w:sz w:val="18"/>
          <w:szCs w:val="18"/>
        </w:rPr>
        <w:t>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3D4120C6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14:paraId="3D4120C7" w14:textId="77777777" w:rsidR="00C442AF" w:rsidRPr="00C442AF" w:rsidRDefault="00C442AF" w:rsidP="009F122B">
      <w:pPr>
        <w:spacing w:before="120" w:line="312" w:lineRule="auto"/>
        <w:jc w:val="both"/>
        <w:rPr>
          <w:rFonts w:ascii="Arial" w:hAnsi="Arial" w:cs="Arial"/>
          <w:sz w:val="18"/>
          <w:szCs w:val="18"/>
        </w:rPr>
      </w:pPr>
    </w:p>
    <w:p w14:paraId="3D4120C8" w14:textId="0AF0DDA7" w:rsidR="00C442AF" w:rsidRPr="004A6583" w:rsidRDefault="00C442AF" w:rsidP="00C442A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0351B8">
        <w:rPr>
          <w:rFonts w:ascii="Arial" w:hAnsi="Arial" w:cs="Arial"/>
          <w:sz w:val="18"/>
          <w:szCs w:val="18"/>
        </w:rPr>
        <w:t>e Frýdlantu</w:t>
      </w:r>
      <w:r w:rsidRPr="004A658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A6583">
        <w:rPr>
          <w:rFonts w:ascii="Arial" w:hAnsi="Arial" w:cs="Arial"/>
          <w:sz w:val="18"/>
          <w:szCs w:val="18"/>
        </w:rPr>
        <w:t>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026648">
        <w:rPr>
          <w:rFonts w:ascii="Arial" w:hAnsi="Arial" w:cs="Arial"/>
          <w:sz w:val="18"/>
          <w:szCs w:val="18"/>
        </w:rPr>
        <w:t> Ústí</w:t>
      </w:r>
      <w:proofErr w:type="gramEnd"/>
      <w:r w:rsidR="00026648">
        <w:rPr>
          <w:rFonts w:ascii="Arial" w:hAnsi="Arial" w:cs="Arial"/>
          <w:sz w:val="18"/>
          <w:szCs w:val="18"/>
        </w:rPr>
        <w:t xml:space="preserve"> n/L</w:t>
      </w:r>
      <w:r w:rsidRPr="004A6583">
        <w:rPr>
          <w:rFonts w:ascii="Arial" w:hAnsi="Arial" w:cs="Arial"/>
          <w:sz w:val="18"/>
          <w:szCs w:val="18"/>
        </w:rPr>
        <w:t xml:space="preserve"> dne ................</w:t>
      </w:r>
    </w:p>
    <w:p w14:paraId="3D4120C9" w14:textId="77777777" w:rsidR="00C442AF" w:rsidRPr="004A6583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A" w14:textId="77777777" w:rsidR="00C442AF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B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C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D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E" w14:textId="77777777" w:rsidR="00006646" w:rsidRPr="004A6583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442AF" w:rsidRPr="004A6583" w14:paraId="3D4120D3" w14:textId="77777777" w:rsidTr="00E260A1">
        <w:trPr>
          <w:trHeight w:hRule="exact" w:val="851"/>
        </w:trPr>
        <w:tc>
          <w:tcPr>
            <w:tcW w:w="2500" w:type="pct"/>
            <w:vAlign w:val="center"/>
          </w:tcPr>
          <w:p w14:paraId="3D4120CF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3D4120D0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D4120D1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3D4120D2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442AF" w:rsidRPr="004A6583" w14:paraId="3D4120D6" w14:textId="77777777" w:rsidTr="00B412FA">
        <w:trPr>
          <w:trHeight w:hRule="exact" w:val="1134"/>
        </w:trPr>
        <w:tc>
          <w:tcPr>
            <w:tcW w:w="2500" w:type="pct"/>
          </w:tcPr>
          <w:p w14:paraId="630C4C6D" w14:textId="56E8542F" w:rsidR="00C442AF" w:rsidRDefault="00C442AF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69DCCE6E" w14:textId="08772D39" w:rsidR="00026648" w:rsidRDefault="000351B8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Věra Hauptigová</w:t>
            </w:r>
            <w:bookmarkStart w:id="0" w:name="_GoBack"/>
            <w:bookmarkEnd w:id="0"/>
          </w:p>
          <w:p w14:paraId="3D4120D4" w14:textId="200799BD" w:rsidR="00026648" w:rsidRPr="004A6583" w:rsidRDefault="00026648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14:paraId="57A93CE6" w14:textId="77777777" w:rsidR="00C442AF" w:rsidRDefault="00C442AF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12921BE6" w14:textId="77777777" w:rsidR="00026648" w:rsidRDefault="00026648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D4120D5" w14:textId="79453F3A" w:rsidR="00026648" w:rsidRPr="004A6583" w:rsidRDefault="00026648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D4120D7" w14:textId="0A44FFF4" w:rsidR="00C442AF" w:rsidRDefault="00C442AF" w:rsidP="00C61EEE">
      <w:pPr>
        <w:rPr>
          <w:sz w:val="22"/>
          <w:szCs w:val="22"/>
        </w:rPr>
      </w:pPr>
    </w:p>
    <w:p w14:paraId="2A603368" w14:textId="77777777" w:rsidR="004F3205" w:rsidRDefault="004F3205" w:rsidP="00C61EEE">
      <w:pPr>
        <w:rPr>
          <w:sz w:val="22"/>
          <w:szCs w:val="22"/>
        </w:rPr>
      </w:pPr>
    </w:p>
    <w:p w14:paraId="47A0F3D9" w14:textId="38D5AC06" w:rsidR="004F3205" w:rsidRPr="000E30CE" w:rsidRDefault="004F3205" w:rsidP="00C61EEE">
      <w:pPr>
        <w:rPr>
          <w:sz w:val="22"/>
          <w:szCs w:val="22"/>
        </w:rPr>
      </w:pPr>
    </w:p>
    <w:sectPr w:rsidR="004F3205" w:rsidRPr="000E30CE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545B3" w14:textId="77777777" w:rsidR="00B70AAC" w:rsidRDefault="00B70AAC" w:rsidP="00C442AF">
      <w:r>
        <w:separator/>
      </w:r>
    </w:p>
  </w:endnote>
  <w:endnote w:type="continuationSeparator" w:id="0">
    <w:p w14:paraId="3C2FD1E3" w14:textId="77777777" w:rsidR="00B70AAC" w:rsidRDefault="00B70AAC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351B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351B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351B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351B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DF156" w14:textId="77777777" w:rsidR="00B70AAC" w:rsidRDefault="00B70AAC" w:rsidP="00C442AF">
      <w:r>
        <w:separator/>
      </w:r>
    </w:p>
  </w:footnote>
  <w:footnote w:type="continuationSeparator" w:id="0">
    <w:p w14:paraId="4D7176BB" w14:textId="77777777" w:rsidR="00B70AAC" w:rsidRDefault="00B70AAC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26648"/>
    <w:rsid w:val="000351B8"/>
    <w:rsid w:val="00053A66"/>
    <w:rsid w:val="0005590D"/>
    <w:rsid w:val="00055B92"/>
    <w:rsid w:val="000563F0"/>
    <w:rsid w:val="0008565B"/>
    <w:rsid w:val="00091AF6"/>
    <w:rsid w:val="000959C7"/>
    <w:rsid w:val="000A6414"/>
    <w:rsid w:val="000C26E4"/>
    <w:rsid w:val="000D1CB0"/>
    <w:rsid w:val="000E30CE"/>
    <w:rsid w:val="00104AE4"/>
    <w:rsid w:val="001056D2"/>
    <w:rsid w:val="001451FA"/>
    <w:rsid w:val="00145C5C"/>
    <w:rsid w:val="00155604"/>
    <w:rsid w:val="001A1DD4"/>
    <w:rsid w:val="001A1E08"/>
    <w:rsid w:val="001A549A"/>
    <w:rsid w:val="001B16F3"/>
    <w:rsid w:val="001C0ACF"/>
    <w:rsid w:val="001C606E"/>
    <w:rsid w:val="001D02F5"/>
    <w:rsid w:val="001E5480"/>
    <w:rsid w:val="001F24F4"/>
    <w:rsid w:val="001F4AF8"/>
    <w:rsid w:val="002009FC"/>
    <w:rsid w:val="002037CA"/>
    <w:rsid w:val="00222A72"/>
    <w:rsid w:val="00236DCB"/>
    <w:rsid w:val="0024176C"/>
    <w:rsid w:val="00281F9F"/>
    <w:rsid w:val="002B2533"/>
    <w:rsid w:val="002D643F"/>
    <w:rsid w:val="002E27AC"/>
    <w:rsid w:val="002E2BC9"/>
    <w:rsid w:val="003068FC"/>
    <w:rsid w:val="003249AE"/>
    <w:rsid w:val="00357BC8"/>
    <w:rsid w:val="00364634"/>
    <w:rsid w:val="00374927"/>
    <w:rsid w:val="00381282"/>
    <w:rsid w:val="003A5FA3"/>
    <w:rsid w:val="003B5A3D"/>
    <w:rsid w:val="003D3900"/>
    <w:rsid w:val="003E7DAE"/>
    <w:rsid w:val="00410AFD"/>
    <w:rsid w:val="004169BE"/>
    <w:rsid w:val="00427D74"/>
    <w:rsid w:val="00436750"/>
    <w:rsid w:val="00456C09"/>
    <w:rsid w:val="00474F0B"/>
    <w:rsid w:val="00481166"/>
    <w:rsid w:val="0049546A"/>
    <w:rsid w:val="00497BCB"/>
    <w:rsid w:val="004A0270"/>
    <w:rsid w:val="004A7168"/>
    <w:rsid w:val="004A7C23"/>
    <w:rsid w:val="004B3EDD"/>
    <w:rsid w:val="004C2F5D"/>
    <w:rsid w:val="004C4AC0"/>
    <w:rsid w:val="004C5470"/>
    <w:rsid w:val="004F3205"/>
    <w:rsid w:val="00521CAF"/>
    <w:rsid w:val="00524526"/>
    <w:rsid w:val="005417F3"/>
    <w:rsid w:val="0059617E"/>
    <w:rsid w:val="005A111C"/>
    <w:rsid w:val="005B35A1"/>
    <w:rsid w:val="005B534C"/>
    <w:rsid w:val="005C0370"/>
    <w:rsid w:val="00613F0F"/>
    <w:rsid w:val="00666D04"/>
    <w:rsid w:val="00667160"/>
    <w:rsid w:val="00673B61"/>
    <w:rsid w:val="006A6BDB"/>
    <w:rsid w:val="006C56FF"/>
    <w:rsid w:val="006F47E8"/>
    <w:rsid w:val="00706DCB"/>
    <w:rsid w:val="00720567"/>
    <w:rsid w:val="00754C28"/>
    <w:rsid w:val="00765562"/>
    <w:rsid w:val="007913DE"/>
    <w:rsid w:val="00791A6C"/>
    <w:rsid w:val="007B15DA"/>
    <w:rsid w:val="007C1FC7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925C13"/>
    <w:rsid w:val="009554EB"/>
    <w:rsid w:val="009666C5"/>
    <w:rsid w:val="009816C4"/>
    <w:rsid w:val="0098448B"/>
    <w:rsid w:val="00993398"/>
    <w:rsid w:val="00994103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57054"/>
    <w:rsid w:val="00A6136D"/>
    <w:rsid w:val="00A83FA2"/>
    <w:rsid w:val="00A915F1"/>
    <w:rsid w:val="00A951FF"/>
    <w:rsid w:val="00AA4BD4"/>
    <w:rsid w:val="00AC11C8"/>
    <w:rsid w:val="00AC2929"/>
    <w:rsid w:val="00AC564E"/>
    <w:rsid w:val="00AD206F"/>
    <w:rsid w:val="00B0179A"/>
    <w:rsid w:val="00B243EE"/>
    <w:rsid w:val="00B412FA"/>
    <w:rsid w:val="00B54414"/>
    <w:rsid w:val="00B70AAC"/>
    <w:rsid w:val="00B72403"/>
    <w:rsid w:val="00B97ACD"/>
    <w:rsid w:val="00BB1AA5"/>
    <w:rsid w:val="00BD243B"/>
    <w:rsid w:val="00BE4D31"/>
    <w:rsid w:val="00C273E3"/>
    <w:rsid w:val="00C42A57"/>
    <w:rsid w:val="00C442AF"/>
    <w:rsid w:val="00C61EEE"/>
    <w:rsid w:val="00C64AF2"/>
    <w:rsid w:val="00CB54C5"/>
    <w:rsid w:val="00CC1A43"/>
    <w:rsid w:val="00CC44F5"/>
    <w:rsid w:val="00CD0F87"/>
    <w:rsid w:val="00CD3064"/>
    <w:rsid w:val="00CF480F"/>
    <w:rsid w:val="00D03D43"/>
    <w:rsid w:val="00D27C9B"/>
    <w:rsid w:val="00D34672"/>
    <w:rsid w:val="00D3497F"/>
    <w:rsid w:val="00D41884"/>
    <w:rsid w:val="00D603A0"/>
    <w:rsid w:val="00D60DBB"/>
    <w:rsid w:val="00D92109"/>
    <w:rsid w:val="00D96AD0"/>
    <w:rsid w:val="00DB7940"/>
    <w:rsid w:val="00DE083A"/>
    <w:rsid w:val="00DE172C"/>
    <w:rsid w:val="00DE3019"/>
    <w:rsid w:val="00E072FB"/>
    <w:rsid w:val="00E12225"/>
    <w:rsid w:val="00E14270"/>
    <w:rsid w:val="00E15BDD"/>
    <w:rsid w:val="00E22EF7"/>
    <w:rsid w:val="00E53EDD"/>
    <w:rsid w:val="00E62CB0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Prolongační dodatek</V_x011b_c>
    <Platnost_x0020_do xmlns="081b771e-1c88-4fba-bfa8-6ea13399dd86" xsi:nil="true"/>
    <Druh_x0020_dokumentu xmlns="081b771e-1c88-4fba-bfa8-6ea13399dd86">Příloha č. 01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22</_x010c__x00ed_slo_x0020_MP>
    <Rok xmlns="081b771e-1c88-4fba-bfa8-6ea13399dd86">2017</Rok>
    <Dot_x010d_en_x00fd__x0020_P_x0158_ xmlns="081b771e-1c88-4fba-bfa8-6ea13399dd86">PŘ 28/2013</Dot_x010d_en_x00fd__x0020_P_x0158_>
    <Zaji_x0161__x0165_uje_x0020__x00fa_tvar xmlns="081b771e-1c88-4fba-bfa8-6ea13399dd86" xsi:nil="true"/>
    <_x00da__x010d_innost_x0020_od xmlns="081b771e-1c88-4fba-bfa8-6ea13399dd86">2017-06-29T22:00:00+00:00</_x00da__x010d_innost_x0020_od>
    <N_x00e1_zev_x0020_MP xmlns="081b771e-1c88-4fba-bfa8-6ea13399dd86">Stanovení jednotných postupů při uzavírání nových smluv s poskytovateli zdravotních služeb, kterým končí stávající smlouvy v roce 2017 a v průběhu r. 2018</N_x00e1_zev_x0020_MP>
    <P_x0159_edkl_x00e1_d_x00e1_ xmlns="081b771e-1c88-4fba-bfa8-6ea13399dd86" xsi:nil="true"/>
    <MP xmlns="081b771e-1c88-4fba-bfa8-6ea13399dd86">náměstka pro zdravotní péči</MP>
    <VZP_Counter xmlns="081b771e-1c88-4fba-bfa8-6ea13399dd86">156</VZP_Cou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3CB2-45CC-4C84-8136-BEA8FEE1B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592E-B540-4E62-99D4-B714CFA20DCB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4.xml><?xml version="1.0" encoding="utf-8"?>
<ds:datastoreItem xmlns:ds="http://schemas.openxmlformats.org/officeDocument/2006/customXml" ds:itemID="{CF6EF2BE-0D9E-4736-B300-14754CCB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Markéta Machová</cp:lastModifiedBy>
  <cp:revision>2</cp:revision>
  <cp:lastPrinted>2017-03-14T12:19:00Z</cp:lastPrinted>
  <dcterms:created xsi:type="dcterms:W3CDTF">2017-09-12T07:28:00Z</dcterms:created>
  <dcterms:modified xsi:type="dcterms:W3CDTF">2017-09-12T07:28:00Z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0x010100EE5D816D3CB26F4DAD7D511334460362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