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F6F88" w:rsidRDefault="00437DAA">
      <w:pPr>
        <w:jc w:val="center"/>
        <w:rPr>
          <w:rFonts w:ascii="Arial" w:hAnsi="Arial" w:cs="Arial"/>
          <w:b/>
          <w:sz w:val="30"/>
          <w:szCs w:val="30"/>
          <w:lang w:val="en"/>
        </w:rPr>
      </w:pPr>
      <w:r>
        <w:rPr>
          <w:rFonts w:ascii="Arial" w:hAnsi="Arial" w:cs="Arial"/>
          <w:b/>
          <w:sz w:val="30"/>
          <w:szCs w:val="30"/>
          <w:lang w:val="en"/>
        </w:rPr>
        <w:t xml:space="preserve">VEŘEJNOPRÁVNÍ SMLOUVA  </w:t>
      </w:r>
    </w:p>
    <w:p w:rsidR="00DF6F88" w:rsidRDefault="00437DAA">
      <w:pPr>
        <w:jc w:val="center"/>
        <w:rPr>
          <w:rFonts w:ascii="Arial" w:hAnsi="Arial" w:cs="Arial"/>
          <w:b/>
          <w:sz w:val="30"/>
          <w:szCs w:val="30"/>
          <w:lang w:val="en"/>
        </w:rPr>
      </w:pPr>
      <w:r>
        <w:rPr>
          <w:rFonts w:ascii="Arial" w:hAnsi="Arial" w:cs="Arial"/>
          <w:b/>
          <w:sz w:val="30"/>
          <w:szCs w:val="30"/>
          <w:lang w:val="en"/>
        </w:rPr>
        <w:t>O POSKYTNUTÍ VYROVNÁVACÍ PLATBY FORMOU DOTACE PRO VÝKON VEŘEJNÉ SLUŽBY A O PŘISTOUPENÍ K ZÁVAZKU VEŘEJNÉ SLUŽBY</w:t>
      </w:r>
    </w:p>
    <w:p w:rsidR="00DF6F88" w:rsidRDefault="00437DAA">
      <w:pPr>
        <w:jc w:val="center"/>
        <w:rPr>
          <w:rFonts w:ascii="Arial" w:hAnsi="Arial" w:cs="Arial"/>
          <w:b/>
          <w:sz w:val="30"/>
          <w:szCs w:val="30"/>
          <w:lang w:val="en"/>
        </w:rPr>
      </w:pPr>
      <w:r>
        <w:rPr>
          <w:rFonts w:ascii="Arial" w:hAnsi="Arial" w:cs="Arial"/>
          <w:b/>
          <w:sz w:val="30"/>
          <w:szCs w:val="30"/>
          <w:lang w:val="en"/>
        </w:rPr>
        <w:t xml:space="preserve">Č. </w:t>
      </w:r>
      <w:r w:rsidR="002D58A5">
        <w:rPr>
          <w:rFonts w:ascii="Arial" w:hAnsi="Arial" w:cs="Arial"/>
          <w:b/>
          <w:sz w:val="30"/>
          <w:szCs w:val="30"/>
          <w:lang w:val="en"/>
        </w:rPr>
        <w:t>0238</w:t>
      </w:r>
      <w:r>
        <w:rPr>
          <w:rFonts w:ascii="Arial" w:hAnsi="Arial" w:cs="Arial"/>
          <w:b/>
          <w:sz w:val="30"/>
          <w:szCs w:val="30"/>
          <w:lang w:val="en"/>
        </w:rPr>
        <w:t>/SML/2026</w:t>
      </w:r>
    </w:p>
    <w:p w:rsidR="00DF6F88" w:rsidRDefault="00DF6F88">
      <w:pPr>
        <w:rPr>
          <w:rFonts w:ascii="Arial" w:hAnsi="Arial" w:cs="Arial"/>
          <w:sz w:val="28"/>
          <w:szCs w:val="28"/>
          <w:lang w:val="en"/>
        </w:rPr>
      </w:pPr>
    </w:p>
    <w:tbl>
      <w:tblPr>
        <w:tblW w:w="9638" w:type="dxa"/>
        <w:tblInd w:w="54" w:type="dxa"/>
        <w:tblLayout w:type="fixed"/>
        <w:tblCellMar>
          <w:left w:w="0" w:type="dxa"/>
          <w:right w:w="0" w:type="dxa"/>
        </w:tblCellMar>
        <w:tblLook w:val="04A0" w:firstRow="1" w:lastRow="0" w:firstColumn="1" w:lastColumn="0" w:noHBand="0" w:noVBand="1"/>
      </w:tblPr>
      <w:tblGrid>
        <w:gridCol w:w="4321"/>
        <w:gridCol w:w="5317"/>
      </w:tblGrid>
      <w:tr w:rsidR="00DF6F88">
        <w:tc>
          <w:tcPr>
            <w:tcW w:w="4321" w:type="dxa"/>
            <w:tcBorders>
              <w:top w:val="single" w:sz="2" w:space="0" w:color="000000"/>
              <w:left w:val="single" w:sz="2" w:space="0" w:color="000000"/>
              <w:bottom w:val="single" w:sz="2" w:space="0" w:color="000000"/>
              <w:right w:val="none" w:sz="255" w:space="0" w:color="auto"/>
            </w:tcBorders>
            <w:tcMar>
              <w:top w:w="55" w:type="dxa"/>
              <w:left w:w="55" w:type="dxa"/>
              <w:bottom w:w="55" w:type="dxa"/>
              <w:right w:w="55" w:type="dxa"/>
            </w:tcMar>
          </w:tcPr>
          <w:p w:rsidR="00DF6F88" w:rsidRDefault="00437DAA">
            <w:pPr>
              <w:pStyle w:val="Obsahtabulky"/>
            </w:pPr>
            <w:proofErr w:type="spellStart"/>
            <w:proofErr w:type="gramStart"/>
            <w:r>
              <w:rPr>
                <w:rFonts w:ascii="Arial" w:hAnsi="Arial"/>
                <w:sz w:val="22"/>
                <w:szCs w:val="22"/>
              </w:rPr>
              <w:t>č.spisu</w:t>
            </w:r>
            <w:proofErr w:type="spellEnd"/>
            <w:proofErr w:type="gramEnd"/>
            <w:r>
              <w:rPr>
                <w:rFonts w:ascii="Arial" w:hAnsi="Arial"/>
                <w:sz w:val="22"/>
                <w:szCs w:val="22"/>
              </w:rPr>
              <w:t>:</w:t>
            </w:r>
            <w:r w:rsidR="00E831D6">
              <w:rPr>
                <w:rFonts w:ascii="Arial" w:hAnsi="Arial"/>
                <w:sz w:val="22"/>
                <w:szCs w:val="22"/>
              </w:rPr>
              <w:t xml:space="preserve"> 361/2026</w:t>
            </w:r>
            <w:r>
              <w:rPr>
                <w:rFonts w:ascii="Arial" w:hAnsi="Arial"/>
                <w:sz w:val="22"/>
                <w:szCs w:val="22"/>
              </w:rPr>
              <w:t xml:space="preserve"> </w:t>
            </w:r>
          </w:p>
        </w:tc>
        <w:tc>
          <w:tcPr>
            <w:tcW w:w="53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F6F88" w:rsidRDefault="00437DAA">
            <w:pPr>
              <w:pStyle w:val="Obsahtabulky"/>
            </w:pPr>
            <w:proofErr w:type="gramStart"/>
            <w:r>
              <w:rPr>
                <w:rFonts w:ascii="Arial" w:hAnsi="Arial"/>
                <w:sz w:val="22"/>
                <w:szCs w:val="22"/>
              </w:rPr>
              <w:t>č.j.</w:t>
            </w:r>
            <w:proofErr w:type="gramEnd"/>
            <w:r>
              <w:rPr>
                <w:rFonts w:ascii="Arial" w:hAnsi="Arial"/>
                <w:sz w:val="22"/>
                <w:szCs w:val="22"/>
              </w:rPr>
              <w:t>:</w:t>
            </w:r>
            <w:r w:rsidR="00E831D6">
              <w:rPr>
                <w:rFonts w:ascii="Arial" w:hAnsi="Arial"/>
                <w:sz w:val="22"/>
                <w:szCs w:val="22"/>
              </w:rPr>
              <w:t xml:space="preserve"> 44568/2026</w:t>
            </w:r>
            <w:r>
              <w:rPr>
                <w:rFonts w:ascii="Arial" w:hAnsi="Arial"/>
                <w:sz w:val="22"/>
                <w:szCs w:val="22"/>
              </w:rPr>
              <w:t xml:space="preserve"> </w:t>
            </w:r>
          </w:p>
        </w:tc>
      </w:tr>
    </w:tbl>
    <w:p w:rsidR="00DF6F88" w:rsidRDefault="00DF6F88">
      <w:pPr>
        <w:jc w:val="center"/>
        <w:rPr>
          <w:rFonts w:ascii="Arial" w:hAnsi="Arial" w:cs="Arial"/>
          <w:color w:val="FF0000"/>
          <w:sz w:val="22"/>
          <w:szCs w:val="22"/>
        </w:rPr>
      </w:pPr>
    </w:p>
    <w:p w:rsidR="00DF6F88" w:rsidRDefault="00437DAA">
      <w:pPr>
        <w:jc w:val="both"/>
        <w:rPr>
          <w:rFonts w:ascii="Arial" w:hAnsi="Arial" w:cs="Arial"/>
          <w:sz w:val="22"/>
          <w:szCs w:val="22"/>
          <w:u w:val="single"/>
        </w:rPr>
      </w:pPr>
      <w:r>
        <w:rPr>
          <w:rFonts w:ascii="Arial" w:hAnsi="Arial" w:cs="Arial"/>
          <w:sz w:val="22"/>
          <w:szCs w:val="22"/>
          <w:u w:val="single"/>
        </w:rPr>
        <w:t xml:space="preserve">Smluvní strany: </w:t>
      </w:r>
    </w:p>
    <w:p w:rsidR="00DF6F88" w:rsidRDefault="00DF6F88">
      <w:pPr>
        <w:jc w:val="center"/>
        <w:rPr>
          <w:rFonts w:ascii="Arial" w:hAnsi="Arial" w:cs="Arial"/>
          <w:sz w:val="22"/>
          <w:szCs w:val="22"/>
          <w:u w:val="single"/>
        </w:rPr>
      </w:pPr>
    </w:p>
    <w:p w:rsidR="00DF6F88" w:rsidRDefault="00437DAA">
      <w:pPr>
        <w:spacing w:line="276" w:lineRule="auto"/>
        <w:rPr>
          <w:rFonts w:ascii="Arial" w:hAnsi="Arial" w:cs="Arial"/>
          <w:sz w:val="22"/>
          <w:szCs w:val="22"/>
        </w:rPr>
      </w:pPr>
      <w:r>
        <w:rPr>
          <w:rFonts w:ascii="Arial" w:hAnsi="Arial" w:cs="Arial"/>
          <w:b/>
          <w:sz w:val="22"/>
          <w:szCs w:val="22"/>
        </w:rPr>
        <w:t>Město Vrchlabí</w:t>
      </w:r>
    </w:p>
    <w:p w:rsidR="00DF6F88" w:rsidRDefault="00437DAA">
      <w:pPr>
        <w:rPr>
          <w:rFonts w:ascii="Arial" w:hAnsi="Arial" w:cs="Arial"/>
          <w:sz w:val="22"/>
          <w:szCs w:val="22"/>
        </w:rPr>
      </w:pPr>
      <w:r>
        <w:rPr>
          <w:rFonts w:ascii="Arial" w:hAnsi="Arial" w:cs="Arial"/>
          <w:sz w:val="22"/>
          <w:szCs w:val="22"/>
        </w:rPr>
        <w:t xml:space="preserve">se sídlem: Zámek 1, 543 01 Vrchlabí  </w:t>
      </w:r>
    </w:p>
    <w:p w:rsidR="00DF6F88" w:rsidRDefault="00437DAA">
      <w:pPr>
        <w:pStyle w:val="Zhlav"/>
        <w:tabs>
          <w:tab w:val="left" w:pos="708"/>
        </w:tabs>
        <w:rPr>
          <w:rFonts w:ascii="Arial" w:hAnsi="Arial" w:cs="Arial"/>
          <w:sz w:val="22"/>
          <w:szCs w:val="22"/>
        </w:rPr>
      </w:pPr>
      <w:r>
        <w:rPr>
          <w:rFonts w:ascii="Arial" w:hAnsi="Arial" w:cs="Arial"/>
          <w:sz w:val="22"/>
          <w:szCs w:val="22"/>
        </w:rPr>
        <w:t>zastoupené: Ing. Janem Sobotkou, starostou města</w:t>
      </w:r>
    </w:p>
    <w:p w:rsidR="00DF6F88" w:rsidRDefault="00437DAA">
      <w:pPr>
        <w:rPr>
          <w:rFonts w:ascii="Arial" w:hAnsi="Arial" w:cs="Arial"/>
          <w:sz w:val="22"/>
          <w:szCs w:val="22"/>
        </w:rPr>
      </w:pPr>
      <w:r>
        <w:rPr>
          <w:rFonts w:ascii="Arial" w:hAnsi="Arial" w:cs="Arial"/>
          <w:sz w:val="22"/>
          <w:szCs w:val="22"/>
        </w:rPr>
        <w:t>IČ: 002 78 475</w:t>
      </w:r>
    </w:p>
    <w:p w:rsidR="00DF6F88" w:rsidRDefault="00437DAA">
      <w:pPr>
        <w:rPr>
          <w:rFonts w:ascii="Arial" w:hAnsi="Arial" w:cs="Arial"/>
          <w:sz w:val="22"/>
          <w:szCs w:val="22"/>
        </w:rPr>
      </w:pPr>
      <w:r>
        <w:rPr>
          <w:rFonts w:ascii="Arial" w:hAnsi="Arial" w:cs="Arial"/>
          <w:sz w:val="22"/>
          <w:szCs w:val="22"/>
        </w:rPr>
        <w:t xml:space="preserve">bankovní spojení: </w:t>
      </w:r>
      <w:r>
        <w:rPr>
          <w:rFonts w:ascii="Arial" w:hAnsi="Arial" w:cs="Arial"/>
          <w:bCs/>
          <w:sz w:val="22"/>
          <w:szCs w:val="22"/>
          <w:lang w:eastAsia="cs-CZ"/>
        </w:rPr>
        <w:t>346662220/0300</w:t>
      </w:r>
    </w:p>
    <w:p w:rsidR="00DF6F88" w:rsidRDefault="00721002">
      <w:pPr>
        <w:rPr>
          <w:rFonts w:ascii="Arial" w:hAnsi="Arial" w:cs="Arial"/>
          <w:sz w:val="22"/>
          <w:szCs w:val="22"/>
        </w:rPr>
      </w:pPr>
      <w:r>
        <w:rPr>
          <w:rFonts w:ascii="Arial" w:hAnsi="Arial" w:cs="Arial"/>
          <w:sz w:val="22"/>
          <w:szCs w:val="22"/>
        </w:rPr>
        <w:t>(dále jen „Poskytovatel</w:t>
      </w:r>
      <w:r w:rsidR="00437DAA">
        <w:rPr>
          <w:rFonts w:ascii="Arial" w:hAnsi="Arial" w:cs="Arial"/>
          <w:sz w:val="22"/>
          <w:szCs w:val="22"/>
        </w:rPr>
        <w:t>“)</w:t>
      </w:r>
    </w:p>
    <w:p w:rsidR="00DF6F88" w:rsidRDefault="00DF6F88">
      <w:pPr>
        <w:rPr>
          <w:rFonts w:ascii="Arial" w:hAnsi="Arial" w:cs="Arial"/>
          <w:sz w:val="22"/>
          <w:szCs w:val="22"/>
        </w:rPr>
      </w:pPr>
    </w:p>
    <w:p w:rsidR="00DF6F88" w:rsidRDefault="00437DAA">
      <w:pPr>
        <w:rPr>
          <w:rFonts w:ascii="Arial" w:hAnsi="Arial" w:cs="Arial"/>
          <w:sz w:val="22"/>
          <w:szCs w:val="22"/>
        </w:rPr>
      </w:pPr>
      <w:r>
        <w:rPr>
          <w:rFonts w:ascii="Arial" w:hAnsi="Arial" w:cs="Arial"/>
          <w:sz w:val="22"/>
          <w:szCs w:val="22"/>
        </w:rPr>
        <w:t>na straně jedné</w:t>
      </w:r>
    </w:p>
    <w:p w:rsidR="00DF6F88" w:rsidRDefault="00437DAA">
      <w:pPr>
        <w:jc w:val="center"/>
        <w:rPr>
          <w:rFonts w:ascii="Arial" w:hAnsi="Arial" w:cs="Arial"/>
          <w:b/>
          <w:sz w:val="22"/>
          <w:szCs w:val="22"/>
        </w:rPr>
      </w:pPr>
      <w:r>
        <w:rPr>
          <w:rFonts w:ascii="Arial" w:hAnsi="Arial" w:cs="Arial"/>
          <w:b/>
          <w:sz w:val="22"/>
          <w:szCs w:val="22"/>
        </w:rPr>
        <w:t>a</w:t>
      </w:r>
    </w:p>
    <w:p w:rsidR="008A4681" w:rsidRDefault="008A4681" w:rsidP="008A4681">
      <w:pPr>
        <w:outlineLvl w:val="0"/>
        <w:rPr>
          <w:rFonts w:ascii="Arial" w:hAnsi="Arial" w:cs="Arial"/>
          <w:b/>
          <w:sz w:val="22"/>
          <w:szCs w:val="22"/>
        </w:rPr>
      </w:pPr>
    </w:p>
    <w:p w:rsidR="008A4681" w:rsidRDefault="008A4681" w:rsidP="008A4681">
      <w:pPr>
        <w:outlineLvl w:val="0"/>
        <w:rPr>
          <w:rFonts w:ascii="Arial" w:hAnsi="Arial" w:cs="Arial"/>
          <w:b/>
          <w:sz w:val="22"/>
          <w:szCs w:val="22"/>
        </w:rPr>
      </w:pPr>
      <w:r>
        <w:rPr>
          <w:rFonts w:ascii="Arial" w:hAnsi="Arial" w:cs="Arial"/>
          <w:b/>
          <w:sz w:val="22"/>
          <w:szCs w:val="22"/>
        </w:rPr>
        <w:t xml:space="preserve">Centrum psychologické </w:t>
      </w:r>
      <w:proofErr w:type="gramStart"/>
      <w:r>
        <w:rPr>
          <w:rFonts w:ascii="Arial" w:hAnsi="Arial" w:cs="Arial"/>
          <w:b/>
          <w:sz w:val="22"/>
          <w:szCs w:val="22"/>
        </w:rPr>
        <w:t xml:space="preserve">podpory, </w:t>
      </w:r>
      <w:proofErr w:type="spellStart"/>
      <w:r>
        <w:rPr>
          <w:rFonts w:ascii="Arial" w:hAnsi="Arial" w:cs="Arial"/>
          <w:b/>
          <w:sz w:val="22"/>
          <w:szCs w:val="22"/>
        </w:rPr>
        <w:t>z.s</w:t>
      </w:r>
      <w:proofErr w:type="spellEnd"/>
      <w:r>
        <w:rPr>
          <w:rFonts w:ascii="Arial" w:hAnsi="Arial" w:cs="Arial"/>
          <w:b/>
          <w:sz w:val="22"/>
          <w:szCs w:val="22"/>
        </w:rPr>
        <w:t>.</w:t>
      </w:r>
      <w:proofErr w:type="gramEnd"/>
    </w:p>
    <w:p w:rsidR="008A4681" w:rsidRDefault="008A4681" w:rsidP="008A4681">
      <w:pPr>
        <w:outlineLvl w:val="0"/>
        <w:rPr>
          <w:rFonts w:ascii="Arial" w:hAnsi="Arial" w:cs="Arial"/>
          <w:sz w:val="22"/>
          <w:szCs w:val="22"/>
        </w:rPr>
      </w:pPr>
      <w:r>
        <w:rPr>
          <w:rFonts w:ascii="Arial" w:hAnsi="Arial" w:cs="Arial"/>
          <w:sz w:val="22"/>
          <w:szCs w:val="22"/>
        </w:rPr>
        <w:t>se sídlem: Horní Lánov 67, 543 41 Lánov</w:t>
      </w:r>
    </w:p>
    <w:p w:rsidR="008A4681" w:rsidRDefault="008A4681" w:rsidP="008A4681">
      <w:pPr>
        <w:tabs>
          <w:tab w:val="left" w:pos="1440"/>
        </w:tabs>
        <w:rPr>
          <w:rFonts w:ascii="Arial" w:hAnsi="Arial" w:cs="Arial"/>
          <w:sz w:val="22"/>
          <w:szCs w:val="22"/>
        </w:rPr>
      </w:pPr>
      <w:r>
        <w:rPr>
          <w:rFonts w:ascii="Arial" w:hAnsi="Arial" w:cs="Arial"/>
          <w:sz w:val="22"/>
          <w:szCs w:val="22"/>
        </w:rPr>
        <w:t>zastoupený: PhDr. Miroslavem Novotným</w:t>
      </w:r>
    </w:p>
    <w:p w:rsidR="008A4681" w:rsidRDefault="008A4681" w:rsidP="008A4681">
      <w:pPr>
        <w:outlineLvl w:val="0"/>
        <w:rPr>
          <w:rFonts w:ascii="Arial" w:hAnsi="Arial" w:cs="Arial"/>
          <w:sz w:val="22"/>
          <w:szCs w:val="22"/>
        </w:rPr>
      </w:pPr>
      <w:r>
        <w:rPr>
          <w:rFonts w:ascii="Arial" w:hAnsi="Arial" w:cs="Arial"/>
          <w:sz w:val="22"/>
          <w:szCs w:val="22"/>
        </w:rPr>
        <w:t>IČ: 033 59 344</w:t>
      </w:r>
    </w:p>
    <w:p w:rsidR="00721002" w:rsidRDefault="00721002" w:rsidP="008A4681">
      <w:pPr>
        <w:tabs>
          <w:tab w:val="left" w:pos="1440"/>
        </w:tabs>
        <w:rPr>
          <w:rFonts w:ascii="Arial" w:hAnsi="Arial" w:cs="Arial"/>
          <w:sz w:val="22"/>
          <w:szCs w:val="22"/>
        </w:rPr>
      </w:pPr>
      <w:r w:rsidRPr="00721002">
        <w:rPr>
          <w:rFonts w:ascii="Arial" w:hAnsi="Arial" w:cs="Arial"/>
          <w:sz w:val="22"/>
          <w:szCs w:val="22"/>
        </w:rPr>
        <w:t xml:space="preserve">zapsaný ve spolkovém rejstříku vedeném Krajským soudem v Hradci Králové, </w:t>
      </w:r>
      <w:proofErr w:type="spellStart"/>
      <w:r w:rsidRPr="00721002">
        <w:rPr>
          <w:rFonts w:ascii="Arial" w:hAnsi="Arial" w:cs="Arial"/>
          <w:sz w:val="22"/>
          <w:szCs w:val="22"/>
        </w:rPr>
        <w:t>sp</w:t>
      </w:r>
      <w:proofErr w:type="spellEnd"/>
      <w:r w:rsidRPr="00721002">
        <w:rPr>
          <w:rFonts w:ascii="Arial" w:hAnsi="Arial" w:cs="Arial"/>
          <w:sz w:val="22"/>
          <w:szCs w:val="22"/>
        </w:rPr>
        <w:t>. zn. L 9843</w:t>
      </w:r>
    </w:p>
    <w:p w:rsidR="008A4681" w:rsidRPr="00172CB7" w:rsidRDefault="008A4681" w:rsidP="008A4681">
      <w:pPr>
        <w:tabs>
          <w:tab w:val="left" w:pos="1440"/>
        </w:tabs>
        <w:rPr>
          <w:rFonts w:ascii="Arial" w:hAnsi="Arial" w:cs="Arial"/>
          <w:sz w:val="22"/>
          <w:szCs w:val="22"/>
        </w:rPr>
      </w:pPr>
      <w:r w:rsidRPr="00172CB7">
        <w:rPr>
          <w:rFonts w:ascii="Arial" w:hAnsi="Arial" w:cs="Arial"/>
          <w:sz w:val="22"/>
          <w:szCs w:val="22"/>
        </w:rPr>
        <w:t>bankovní spojení: 3782861369/0800</w:t>
      </w:r>
      <w:r w:rsidRPr="00172CB7">
        <w:rPr>
          <w:rFonts w:ascii="Arial" w:hAnsi="Arial" w:cs="Arial"/>
          <w:sz w:val="22"/>
          <w:szCs w:val="22"/>
        </w:rPr>
        <w:tab/>
      </w:r>
      <w:r w:rsidRPr="00172CB7">
        <w:rPr>
          <w:rFonts w:ascii="Arial" w:hAnsi="Arial" w:cs="Arial"/>
          <w:sz w:val="22"/>
          <w:szCs w:val="22"/>
        </w:rPr>
        <w:tab/>
        <w:t xml:space="preserve"> </w:t>
      </w:r>
      <w:r w:rsidRPr="00172CB7">
        <w:rPr>
          <w:rFonts w:ascii="Arial" w:hAnsi="Arial" w:cs="Arial"/>
          <w:sz w:val="22"/>
          <w:szCs w:val="22"/>
        </w:rPr>
        <w:tab/>
      </w:r>
    </w:p>
    <w:p w:rsidR="008A4681" w:rsidRDefault="00721002" w:rsidP="008A4681">
      <w:pPr>
        <w:rPr>
          <w:rFonts w:ascii="Arial" w:hAnsi="Arial" w:cs="Arial"/>
          <w:sz w:val="22"/>
          <w:szCs w:val="22"/>
        </w:rPr>
      </w:pPr>
      <w:r>
        <w:rPr>
          <w:rFonts w:ascii="Arial" w:hAnsi="Arial" w:cs="Arial"/>
          <w:sz w:val="22"/>
          <w:szCs w:val="22"/>
        </w:rPr>
        <w:t>(dále jen „Příjemce</w:t>
      </w:r>
      <w:r w:rsidR="008A4681">
        <w:rPr>
          <w:rFonts w:ascii="Arial" w:hAnsi="Arial" w:cs="Arial"/>
          <w:sz w:val="22"/>
          <w:szCs w:val="22"/>
        </w:rPr>
        <w:t>“)</w:t>
      </w:r>
    </w:p>
    <w:p w:rsidR="00DF6F88" w:rsidRDefault="00DF6F88">
      <w:pPr>
        <w:rPr>
          <w:rFonts w:ascii="Arial" w:hAnsi="Arial" w:cs="Arial"/>
          <w:sz w:val="22"/>
          <w:szCs w:val="22"/>
        </w:rPr>
      </w:pPr>
    </w:p>
    <w:p w:rsidR="00DF6F88" w:rsidRDefault="00437DAA">
      <w:pPr>
        <w:rPr>
          <w:rFonts w:ascii="Arial" w:hAnsi="Arial" w:cs="Arial"/>
          <w:sz w:val="22"/>
          <w:szCs w:val="22"/>
        </w:rPr>
      </w:pPr>
      <w:r>
        <w:rPr>
          <w:rFonts w:ascii="Arial" w:hAnsi="Arial" w:cs="Arial"/>
          <w:sz w:val="22"/>
          <w:szCs w:val="22"/>
        </w:rPr>
        <w:t>na straně druhé</w:t>
      </w:r>
    </w:p>
    <w:p w:rsidR="00DF6F88" w:rsidRDefault="00DF6F88">
      <w:pPr>
        <w:rPr>
          <w:rFonts w:ascii="Arial" w:hAnsi="Arial" w:cs="Arial"/>
          <w:sz w:val="16"/>
          <w:szCs w:val="16"/>
        </w:rPr>
      </w:pPr>
    </w:p>
    <w:p w:rsidR="00DF6F88" w:rsidRDefault="00437DAA">
      <w:pPr>
        <w:pStyle w:val="Default"/>
        <w:jc w:val="center"/>
        <w:rPr>
          <w:rFonts w:ascii="Arial" w:hAnsi="Arial" w:cs="Arial"/>
          <w:sz w:val="22"/>
          <w:szCs w:val="22"/>
        </w:rPr>
      </w:pPr>
      <w:r>
        <w:rPr>
          <w:rFonts w:ascii="Arial" w:hAnsi="Arial" w:cs="Arial"/>
          <w:sz w:val="22"/>
          <w:szCs w:val="22"/>
        </w:rPr>
        <w:t>uzavírají spolu tuto</w:t>
      </w:r>
    </w:p>
    <w:p w:rsidR="00DF6F88" w:rsidRDefault="00DF6F88">
      <w:pPr>
        <w:pStyle w:val="Default"/>
        <w:jc w:val="center"/>
        <w:rPr>
          <w:rFonts w:ascii="Arial" w:hAnsi="Arial" w:cs="Arial"/>
          <w:sz w:val="22"/>
          <w:szCs w:val="22"/>
        </w:rPr>
      </w:pPr>
    </w:p>
    <w:p w:rsidR="00DF6F88" w:rsidRDefault="00437DAA">
      <w:pPr>
        <w:pStyle w:val="Default"/>
        <w:jc w:val="center"/>
        <w:rPr>
          <w:rFonts w:ascii="Arial" w:hAnsi="Arial" w:cs="Arial"/>
          <w:b/>
        </w:rPr>
      </w:pPr>
      <w:r>
        <w:rPr>
          <w:rFonts w:ascii="Arial" w:hAnsi="Arial" w:cs="Arial"/>
          <w:b/>
        </w:rPr>
        <w:t xml:space="preserve">veřejnoprávní smlouvu </w:t>
      </w:r>
    </w:p>
    <w:p w:rsidR="00DF6F88" w:rsidRDefault="00437DAA">
      <w:pPr>
        <w:pStyle w:val="Default"/>
        <w:jc w:val="center"/>
        <w:rPr>
          <w:rFonts w:ascii="Arial" w:hAnsi="Arial" w:cs="Arial"/>
          <w:b/>
        </w:rPr>
      </w:pPr>
      <w:r>
        <w:rPr>
          <w:rFonts w:ascii="Arial" w:hAnsi="Arial" w:cs="Arial"/>
          <w:b/>
        </w:rPr>
        <w:t>o poskytnutí vyrovnávací platby formou dotace pro výkon veřejné služby a o přistoupení k závazku veřejné služby</w:t>
      </w:r>
    </w:p>
    <w:p w:rsidR="00DF6F88" w:rsidRDefault="00DF6F88">
      <w:pPr>
        <w:pStyle w:val="Default"/>
        <w:jc w:val="center"/>
        <w:rPr>
          <w:rFonts w:ascii="Arial" w:hAnsi="Arial" w:cs="Arial"/>
          <w:b/>
          <w:sz w:val="22"/>
          <w:szCs w:val="22"/>
        </w:rPr>
      </w:pPr>
    </w:p>
    <w:p w:rsidR="00DF6F88" w:rsidRDefault="00DF6F88">
      <w:pPr>
        <w:spacing w:line="276" w:lineRule="auto"/>
        <w:rPr>
          <w:rFonts w:ascii="Arial" w:hAnsi="Arial" w:cs="Arial"/>
          <w:b/>
          <w:sz w:val="22"/>
          <w:szCs w:val="22"/>
        </w:rPr>
      </w:pPr>
    </w:p>
    <w:p w:rsidR="00DF6F88" w:rsidRDefault="00437DAA">
      <w:pPr>
        <w:spacing w:line="276" w:lineRule="auto"/>
        <w:jc w:val="center"/>
        <w:rPr>
          <w:rFonts w:ascii="Arial" w:hAnsi="Arial" w:cs="Arial"/>
          <w:b/>
          <w:sz w:val="22"/>
          <w:szCs w:val="22"/>
        </w:rPr>
      </w:pPr>
      <w:r>
        <w:rPr>
          <w:rFonts w:ascii="Arial" w:hAnsi="Arial" w:cs="Arial"/>
          <w:b/>
          <w:sz w:val="22"/>
          <w:szCs w:val="22"/>
        </w:rPr>
        <w:t>Preambule</w:t>
      </w:r>
    </w:p>
    <w:p w:rsidR="00DF6F88" w:rsidRDefault="00437DAA">
      <w:pPr>
        <w:pStyle w:val="Odstavecseseznamem"/>
        <w:spacing w:before="60" w:after="60"/>
        <w:ind w:left="284"/>
        <w:contextualSpacing/>
        <w:jc w:val="both"/>
        <w:rPr>
          <w:rFonts w:ascii="Arial" w:hAnsi="Arial" w:cs="Arial"/>
          <w:sz w:val="22"/>
          <w:szCs w:val="22"/>
        </w:rPr>
      </w:pPr>
      <w:r>
        <w:rPr>
          <w:rFonts w:ascii="Arial" w:hAnsi="Arial" w:cs="Arial"/>
          <w:sz w:val="22"/>
          <w:szCs w:val="22"/>
        </w:rPr>
        <w:t xml:space="preserve">Město Vrchlabí, stejně jako všechny obce ve správním obvodu obce s rozšířenou působností Vrchlabí (dále jen „ORP Vrchlabí“), jsou si vědomy společné odpovědnosti za spoluvytváření podmínek pro zajištění dostupnosti poskytování sociálních služeb na území své působnosti a mají společný zájem na fungování účinné spolupráce při zajištění spolufinancování sociálních služeb z územních rozpočtů. </w:t>
      </w:r>
    </w:p>
    <w:p w:rsidR="00DF6F88" w:rsidRDefault="00DF6F88">
      <w:pPr>
        <w:pStyle w:val="Odstavecseseznamem"/>
        <w:spacing w:before="60" w:after="60"/>
        <w:ind w:left="284"/>
        <w:contextualSpacing/>
        <w:jc w:val="both"/>
        <w:rPr>
          <w:rFonts w:ascii="Arial" w:hAnsi="Arial" w:cs="Arial"/>
          <w:sz w:val="22"/>
          <w:szCs w:val="22"/>
        </w:rPr>
      </w:pPr>
    </w:p>
    <w:p w:rsidR="00DF6F88" w:rsidRDefault="00437DAA">
      <w:pPr>
        <w:pStyle w:val="Odstavecseseznamem"/>
        <w:spacing w:before="60" w:after="60"/>
        <w:ind w:left="284"/>
        <w:contextualSpacing/>
        <w:jc w:val="both"/>
        <w:rPr>
          <w:rFonts w:ascii="Arial" w:hAnsi="Arial" w:cs="Arial"/>
          <w:sz w:val="22"/>
          <w:szCs w:val="22"/>
        </w:rPr>
      </w:pPr>
      <w:r>
        <w:rPr>
          <w:rFonts w:ascii="Arial" w:hAnsi="Arial" w:cs="Arial"/>
          <w:sz w:val="22"/>
          <w:szCs w:val="22"/>
        </w:rPr>
        <w:t xml:space="preserve">Za tímto účelem se všechny obce ve správním obvodu ORP Vrchlabí rozhodly přistoupit k Fondu sdíleného financování sociálních služeb na území ORP Vrchlabí (dále jen „Fond“), který zřídilo Zastupitelstvo města Vrchlabí svým usnesením č. 131/8/ZM/2024 dne </w:t>
      </w:r>
      <w:proofErr w:type="gramStart"/>
      <w:r>
        <w:rPr>
          <w:rFonts w:ascii="Arial" w:hAnsi="Arial" w:cs="Arial"/>
          <w:sz w:val="22"/>
          <w:szCs w:val="22"/>
        </w:rPr>
        <w:t>04.06.2024</w:t>
      </w:r>
      <w:proofErr w:type="gramEnd"/>
      <w:r>
        <w:rPr>
          <w:rFonts w:ascii="Arial" w:hAnsi="Arial" w:cs="Arial"/>
          <w:sz w:val="22"/>
          <w:szCs w:val="22"/>
        </w:rPr>
        <w:t xml:space="preserve">. Důvodem zřízení Fondu je vytvoření kolektivního solidárního systému financování některých druhů sociálních služeb poskytovaných na území správního obvodu ORP Vrchlabí, a to s cílem dlouhodobého a udržitelného poskytování podpory a pomoci osobám v nepříznivé sociální situaci. </w:t>
      </w:r>
    </w:p>
    <w:p w:rsidR="00DF6F88" w:rsidRDefault="00DF6F88">
      <w:pPr>
        <w:pStyle w:val="Odstavecseseznamem"/>
        <w:spacing w:before="60" w:after="60"/>
        <w:ind w:left="284"/>
        <w:contextualSpacing/>
        <w:jc w:val="both"/>
        <w:rPr>
          <w:rFonts w:ascii="Arial" w:hAnsi="Arial" w:cs="Arial"/>
          <w:sz w:val="22"/>
          <w:szCs w:val="22"/>
        </w:rPr>
      </w:pPr>
    </w:p>
    <w:p w:rsidR="00DF6F88" w:rsidRDefault="00437DAA">
      <w:pPr>
        <w:ind w:left="284"/>
        <w:jc w:val="both"/>
        <w:rPr>
          <w:rFonts w:ascii="Arial" w:hAnsi="Arial" w:cs="Arial"/>
          <w:b/>
          <w:sz w:val="22"/>
          <w:szCs w:val="22"/>
        </w:rPr>
      </w:pPr>
      <w:r>
        <w:rPr>
          <w:rFonts w:ascii="Arial" w:hAnsi="Arial" w:cs="Arial"/>
          <w:sz w:val="22"/>
          <w:szCs w:val="22"/>
        </w:rPr>
        <w:lastRenderedPageBreak/>
        <w:t>Finanční prostředky Fondu jsou rozdělovány na základě Dotačního programu sociálních služeb ORP Vrchlabí na rok 2026.</w:t>
      </w:r>
    </w:p>
    <w:p w:rsidR="00DF6F88" w:rsidRDefault="00DF6F88">
      <w:pPr>
        <w:spacing w:line="276" w:lineRule="auto"/>
        <w:rPr>
          <w:rFonts w:ascii="Arial" w:hAnsi="Arial" w:cs="Arial"/>
          <w:b/>
          <w:sz w:val="22"/>
          <w:szCs w:val="22"/>
        </w:rPr>
      </w:pPr>
    </w:p>
    <w:p w:rsidR="00DF6F88" w:rsidRDefault="00437DAA">
      <w:pPr>
        <w:spacing w:line="276" w:lineRule="auto"/>
        <w:jc w:val="center"/>
        <w:rPr>
          <w:sz w:val="22"/>
          <w:szCs w:val="22"/>
        </w:rPr>
      </w:pPr>
      <w:r>
        <w:rPr>
          <w:rFonts w:ascii="Arial" w:hAnsi="Arial" w:cs="Arial"/>
          <w:b/>
          <w:sz w:val="22"/>
          <w:szCs w:val="22"/>
        </w:rPr>
        <w:t>Čl. I</w:t>
      </w:r>
    </w:p>
    <w:p w:rsidR="00DF6F88" w:rsidRDefault="00437DAA">
      <w:pPr>
        <w:pStyle w:val="Nadpis1"/>
        <w:tabs>
          <w:tab w:val="clear" w:pos="432"/>
          <w:tab w:val="num" w:pos="0"/>
        </w:tabs>
        <w:spacing w:before="0" w:after="0" w:line="276" w:lineRule="auto"/>
        <w:jc w:val="center"/>
        <w:rPr>
          <w:sz w:val="22"/>
          <w:szCs w:val="22"/>
        </w:rPr>
      </w:pPr>
      <w:r>
        <w:rPr>
          <w:sz w:val="22"/>
          <w:szCs w:val="22"/>
        </w:rPr>
        <w:t xml:space="preserve">Výše a účel dotace a předmět výkonu veřejné služby </w:t>
      </w:r>
    </w:p>
    <w:p w:rsidR="00DF6F88" w:rsidRDefault="00DF6F88">
      <w:pPr>
        <w:rPr>
          <w:sz w:val="22"/>
          <w:szCs w:val="22"/>
        </w:rPr>
      </w:pPr>
    </w:p>
    <w:p w:rsidR="00DF6F88" w:rsidRDefault="00437DAA">
      <w:pPr>
        <w:numPr>
          <w:ilvl w:val="0"/>
          <w:numId w:val="20"/>
        </w:numPr>
        <w:ind w:left="426" w:hanging="426"/>
        <w:jc w:val="both"/>
        <w:rPr>
          <w:rFonts w:ascii="Arial" w:hAnsi="Arial" w:cs="Arial"/>
          <w:sz w:val="22"/>
          <w:szCs w:val="22"/>
        </w:rPr>
      </w:pPr>
      <w:r>
        <w:rPr>
          <w:rFonts w:ascii="Arial" w:hAnsi="Arial" w:cs="Arial"/>
          <w:sz w:val="22"/>
          <w:szCs w:val="22"/>
        </w:rPr>
        <w:t xml:space="preserve">Příjemce je zařazen do Základní sítě sociálních služeb ORP Vrchlabí a do Sítě veřejně podporovaných sociálních služeb Královéhradeckého kraje a je pověřen Královéhradeckým krajem usnesením č. ZK/22/1566/2023 ze dne 23. 10. 2023 (dále jako “pověření“) výkonem veřejné služby s vícezdrojovým financováním: </w:t>
      </w:r>
    </w:p>
    <w:p w:rsidR="00DF6F88" w:rsidRDefault="00DF6F88">
      <w:pPr>
        <w:ind w:left="924"/>
        <w:jc w:val="both"/>
        <w:rPr>
          <w:rFonts w:ascii="Arial" w:hAnsi="Arial" w:cs="Arial"/>
          <w:b/>
          <w:sz w:val="22"/>
          <w:szCs w:val="22"/>
        </w:rPr>
      </w:pPr>
    </w:p>
    <w:p w:rsidR="008A4681" w:rsidRDefault="008A4681" w:rsidP="008A4681">
      <w:pPr>
        <w:ind w:left="567" w:hanging="141"/>
        <w:jc w:val="both"/>
        <w:rPr>
          <w:rFonts w:ascii="Arial" w:hAnsi="Arial" w:cs="Arial"/>
          <w:b/>
          <w:sz w:val="22"/>
          <w:szCs w:val="22"/>
        </w:rPr>
      </w:pPr>
      <w:r>
        <w:rPr>
          <w:rFonts w:ascii="Arial" w:hAnsi="Arial" w:cs="Arial"/>
          <w:b/>
          <w:sz w:val="22"/>
          <w:szCs w:val="22"/>
        </w:rPr>
        <w:t>Druh sociální služby: Odborné sociální poradenství</w:t>
      </w:r>
    </w:p>
    <w:p w:rsidR="008A4681" w:rsidRDefault="008A4681" w:rsidP="008A4681">
      <w:pPr>
        <w:ind w:left="567" w:hanging="141"/>
        <w:jc w:val="both"/>
        <w:rPr>
          <w:rFonts w:ascii="Arial" w:hAnsi="Arial" w:cs="Arial"/>
          <w:b/>
          <w:sz w:val="22"/>
          <w:szCs w:val="22"/>
        </w:rPr>
      </w:pPr>
      <w:r>
        <w:rPr>
          <w:rFonts w:ascii="Arial" w:hAnsi="Arial" w:cs="Arial"/>
          <w:b/>
          <w:sz w:val="22"/>
          <w:szCs w:val="22"/>
        </w:rPr>
        <w:t>Název sociální služby: Manželská a rodinná poradna</w:t>
      </w:r>
    </w:p>
    <w:p w:rsidR="008A4681" w:rsidRDefault="008A4681" w:rsidP="008A4681">
      <w:pPr>
        <w:ind w:left="567" w:hanging="141"/>
        <w:jc w:val="both"/>
        <w:rPr>
          <w:rFonts w:ascii="Arial" w:hAnsi="Arial" w:cs="Arial"/>
          <w:b/>
          <w:sz w:val="22"/>
          <w:szCs w:val="22"/>
        </w:rPr>
      </w:pPr>
      <w:r>
        <w:rPr>
          <w:rFonts w:ascii="Arial" w:hAnsi="Arial" w:cs="Arial"/>
          <w:b/>
          <w:sz w:val="22"/>
          <w:szCs w:val="22"/>
        </w:rPr>
        <w:t>Identifikátor: 8615860</w:t>
      </w:r>
    </w:p>
    <w:p w:rsidR="008A4681" w:rsidRDefault="008A4681" w:rsidP="008A4681">
      <w:pPr>
        <w:jc w:val="both"/>
        <w:rPr>
          <w:rFonts w:ascii="Arial" w:hAnsi="Arial" w:cs="Arial"/>
          <w:sz w:val="22"/>
          <w:szCs w:val="22"/>
        </w:rPr>
      </w:pPr>
    </w:p>
    <w:p w:rsidR="00DF6F88" w:rsidRDefault="00DF6F88">
      <w:pPr>
        <w:jc w:val="both"/>
        <w:rPr>
          <w:rFonts w:ascii="Arial" w:hAnsi="Arial" w:cs="Arial"/>
          <w:sz w:val="22"/>
          <w:szCs w:val="22"/>
        </w:rPr>
      </w:pPr>
    </w:p>
    <w:p w:rsidR="00DF6F88" w:rsidRDefault="00437DAA">
      <w:pPr>
        <w:ind w:left="426" w:hanging="426"/>
        <w:jc w:val="both"/>
        <w:rPr>
          <w:rFonts w:ascii="Arial" w:hAnsi="Arial" w:cs="Arial"/>
          <w:sz w:val="22"/>
          <w:szCs w:val="22"/>
        </w:rPr>
      </w:pPr>
      <w:r>
        <w:rPr>
          <w:rFonts w:ascii="Arial" w:hAnsi="Arial" w:cs="Arial"/>
          <w:sz w:val="22"/>
          <w:szCs w:val="22"/>
        </w:rPr>
        <w:t>(2) Poskytovatel se touto smlouvou zavazuje poskytnout Příjemci za dále uvedených podmínek dotaci ze svého rozpočtu, k úhradě nákladů spojených s výkonem veřejné služby dle odstavce 1 tohoto článku smlouvy a vynaložených v roce 2026</w:t>
      </w:r>
    </w:p>
    <w:p w:rsidR="00DF6F88" w:rsidRDefault="00DF6F88">
      <w:pPr>
        <w:jc w:val="both"/>
        <w:rPr>
          <w:rFonts w:ascii="Arial" w:hAnsi="Arial" w:cs="Arial"/>
          <w:sz w:val="22"/>
          <w:szCs w:val="22"/>
        </w:rPr>
      </w:pPr>
    </w:p>
    <w:p w:rsidR="0057257A" w:rsidRDefault="00437DAA">
      <w:pPr>
        <w:tabs>
          <w:tab w:val="left" w:pos="360"/>
        </w:tabs>
        <w:jc w:val="center"/>
        <w:rPr>
          <w:rFonts w:ascii="Arial" w:hAnsi="Arial" w:cs="Arial"/>
          <w:b/>
          <w:sz w:val="22"/>
          <w:szCs w:val="22"/>
        </w:rPr>
      </w:pPr>
      <w:r>
        <w:rPr>
          <w:rFonts w:ascii="Arial" w:hAnsi="Arial" w:cs="Arial"/>
          <w:b/>
          <w:sz w:val="22"/>
          <w:szCs w:val="22"/>
        </w:rPr>
        <w:t>ve výši</w:t>
      </w:r>
      <w:r>
        <w:rPr>
          <w:rFonts w:ascii="Arial" w:hAnsi="Arial" w:cs="Arial"/>
          <w:sz w:val="22"/>
          <w:szCs w:val="22"/>
        </w:rPr>
        <w:t xml:space="preserve"> </w:t>
      </w:r>
      <w:r>
        <w:rPr>
          <w:rFonts w:ascii="Arial" w:hAnsi="Arial" w:cs="Arial"/>
          <w:b/>
          <w:sz w:val="22"/>
          <w:szCs w:val="22"/>
        </w:rPr>
        <w:t xml:space="preserve">  </w:t>
      </w:r>
      <w:r w:rsidR="0057257A">
        <w:rPr>
          <w:rFonts w:ascii="Arial" w:hAnsi="Arial" w:cs="Arial"/>
          <w:b/>
          <w:sz w:val="22"/>
          <w:szCs w:val="22"/>
        </w:rPr>
        <w:t xml:space="preserve">314 800 Kč   </w:t>
      </w:r>
    </w:p>
    <w:p w:rsidR="00DF6F88" w:rsidRDefault="00ED2655">
      <w:pPr>
        <w:tabs>
          <w:tab w:val="left" w:pos="360"/>
        </w:tabs>
        <w:jc w:val="center"/>
        <w:rPr>
          <w:rFonts w:ascii="Arial" w:hAnsi="Arial" w:cs="Arial"/>
          <w:b/>
          <w:sz w:val="22"/>
          <w:szCs w:val="22"/>
        </w:rPr>
      </w:pPr>
      <w:r>
        <w:rPr>
          <w:rFonts w:ascii="Arial" w:hAnsi="Arial" w:cs="Arial"/>
          <w:b/>
          <w:sz w:val="22"/>
          <w:szCs w:val="22"/>
        </w:rPr>
        <w:t>(slovy: T</w:t>
      </w:r>
      <w:r w:rsidR="0057257A">
        <w:rPr>
          <w:rFonts w:ascii="Arial" w:hAnsi="Arial" w:cs="Arial"/>
          <w:b/>
          <w:sz w:val="22"/>
          <w:szCs w:val="22"/>
        </w:rPr>
        <w:t>řistačtrnácttisícosmsetkorunčeských)</w:t>
      </w:r>
      <w:r w:rsidR="00437DAA">
        <w:rPr>
          <w:rFonts w:ascii="Arial" w:hAnsi="Arial" w:cs="Arial"/>
          <w:b/>
          <w:sz w:val="22"/>
          <w:szCs w:val="22"/>
        </w:rPr>
        <w:t>.</w:t>
      </w:r>
    </w:p>
    <w:p w:rsidR="00DF6F88" w:rsidRDefault="00DF6F88">
      <w:pPr>
        <w:tabs>
          <w:tab w:val="left" w:pos="360"/>
        </w:tabs>
        <w:jc w:val="both"/>
        <w:rPr>
          <w:rFonts w:ascii="Arial" w:hAnsi="Arial" w:cs="Arial"/>
          <w:sz w:val="22"/>
          <w:szCs w:val="22"/>
        </w:rPr>
      </w:pPr>
    </w:p>
    <w:p w:rsidR="00DF6F88" w:rsidRDefault="00DF6F88">
      <w:pPr>
        <w:jc w:val="both"/>
        <w:rPr>
          <w:rFonts w:ascii="Arial" w:hAnsi="Arial" w:cs="Arial"/>
          <w:sz w:val="22"/>
          <w:szCs w:val="22"/>
        </w:rPr>
      </w:pPr>
    </w:p>
    <w:p w:rsidR="00DF6F88" w:rsidRDefault="00437DAA">
      <w:pPr>
        <w:ind w:left="426" w:hanging="426"/>
        <w:jc w:val="both"/>
        <w:rPr>
          <w:rFonts w:ascii="Arial" w:hAnsi="Arial" w:cs="Arial"/>
          <w:sz w:val="22"/>
          <w:szCs w:val="22"/>
        </w:rPr>
      </w:pPr>
      <w:r>
        <w:rPr>
          <w:rFonts w:ascii="Arial" w:hAnsi="Arial" w:cs="Arial"/>
          <w:sz w:val="22"/>
          <w:szCs w:val="22"/>
        </w:rPr>
        <w:t xml:space="preserve">(3) Dotace dle této smlouvy je poskytnuta v souladu s Rozhodnutím Evropské komise </w:t>
      </w:r>
      <w:r>
        <w:rPr>
          <w:rFonts w:ascii="Arial" w:hAnsi="Arial" w:cs="Arial"/>
          <w:bCs/>
          <w:sz w:val="22"/>
          <w:szCs w:val="22"/>
          <w:lang w:eastAsia="cs-CZ"/>
        </w:rPr>
        <w:t>2012/21/EU</w:t>
      </w:r>
      <w:r>
        <w:rPr>
          <w:rFonts w:ascii="Arial" w:hAnsi="Arial" w:cs="Arial"/>
          <w:bCs/>
          <w:lang w:eastAsia="cs-CZ"/>
        </w:rPr>
        <w:t xml:space="preserve"> </w:t>
      </w:r>
      <w:r>
        <w:rPr>
          <w:rFonts w:ascii="Arial" w:hAnsi="Arial" w:cs="Arial"/>
          <w:sz w:val="22"/>
          <w:szCs w:val="22"/>
        </w:rPr>
        <w:t>ze dne 20. prosince 2011 o použití Čl. 106 odst. 2 Smlouvy o fungování Evropské unie na státní podporu ve formě vyrovnávací platby za závazek veřejné služby udělené určitým podnikům pověřeným poskytováním služeb obecného hospodářského zájmu (dále jen „Rozhodnutí“).</w:t>
      </w:r>
    </w:p>
    <w:p w:rsidR="00DF6F88" w:rsidRDefault="00DF6F88">
      <w:pPr>
        <w:ind w:left="426" w:hanging="426"/>
        <w:jc w:val="both"/>
        <w:rPr>
          <w:rFonts w:ascii="Arial" w:hAnsi="Arial" w:cs="Arial"/>
          <w:sz w:val="22"/>
          <w:szCs w:val="22"/>
        </w:rPr>
      </w:pPr>
    </w:p>
    <w:p w:rsidR="00DF6F88" w:rsidRDefault="00DF6F88">
      <w:pPr>
        <w:spacing w:line="276" w:lineRule="auto"/>
        <w:rPr>
          <w:rFonts w:ascii="Arial" w:hAnsi="Arial" w:cs="Arial"/>
          <w:b/>
          <w:sz w:val="22"/>
          <w:szCs w:val="22"/>
        </w:rPr>
      </w:pPr>
    </w:p>
    <w:p w:rsidR="00DF6F88" w:rsidRDefault="00437DAA">
      <w:pPr>
        <w:spacing w:line="276" w:lineRule="auto"/>
        <w:jc w:val="center"/>
        <w:rPr>
          <w:sz w:val="22"/>
          <w:szCs w:val="22"/>
        </w:rPr>
      </w:pPr>
      <w:r>
        <w:rPr>
          <w:rFonts w:ascii="Arial" w:hAnsi="Arial" w:cs="Arial"/>
          <w:b/>
          <w:sz w:val="22"/>
          <w:szCs w:val="22"/>
        </w:rPr>
        <w:t>Čl. II</w:t>
      </w:r>
    </w:p>
    <w:p w:rsidR="00DF6F88" w:rsidRDefault="00437DAA">
      <w:pPr>
        <w:pStyle w:val="Nadpis1"/>
        <w:spacing w:before="0" w:after="0" w:line="276" w:lineRule="auto"/>
        <w:jc w:val="center"/>
        <w:rPr>
          <w:sz w:val="22"/>
          <w:szCs w:val="22"/>
        </w:rPr>
      </w:pPr>
      <w:r>
        <w:rPr>
          <w:sz w:val="22"/>
          <w:szCs w:val="22"/>
        </w:rPr>
        <w:t>Způsob poskytnutí dotace</w:t>
      </w:r>
    </w:p>
    <w:p w:rsidR="00DF6F88" w:rsidRDefault="00DF6F88">
      <w:pPr>
        <w:spacing w:line="276" w:lineRule="auto"/>
        <w:rPr>
          <w:sz w:val="22"/>
          <w:szCs w:val="22"/>
        </w:rPr>
      </w:pPr>
    </w:p>
    <w:p w:rsidR="00DF6F88" w:rsidRDefault="00437DAA">
      <w:pPr>
        <w:pStyle w:val="Default"/>
        <w:numPr>
          <w:ilvl w:val="0"/>
          <w:numId w:val="10"/>
        </w:numPr>
        <w:tabs>
          <w:tab w:val="clear" w:pos="720"/>
          <w:tab w:val="left" w:pos="360"/>
        </w:tabs>
        <w:ind w:left="426" w:hanging="426"/>
        <w:jc w:val="both"/>
        <w:rPr>
          <w:rFonts w:ascii="Arial" w:hAnsi="Arial" w:cs="Arial"/>
          <w:sz w:val="22"/>
          <w:szCs w:val="22"/>
        </w:rPr>
      </w:pPr>
      <w:r>
        <w:rPr>
          <w:rFonts w:ascii="Arial" w:hAnsi="Arial" w:cs="Arial"/>
          <w:sz w:val="22"/>
          <w:szCs w:val="22"/>
        </w:rPr>
        <w:t xml:space="preserve">Poskytovatel se zavazuje poskytnout dotaci dle této smlouvy Příjemci jednorázově na účet č. </w:t>
      </w:r>
      <w:r w:rsidR="008A4681">
        <w:rPr>
          <w:rFonts w:ascii="Arial" w:hAnsi="Arial" w:cs="Arial"/>
          <w:sz w:val="22"/>
          <w:szCs w:val="22"/>
        </w:rPr>
        <w:t>3782861369/0800</w:t>
      </w:r>
      <w:r>
        <w:rPr>
          <w:rFonts w:ascii="Arial" w:hAnsi="Arial" w:cs="Arial"/>
          <w:sz w:val="22"/>
          <w:szCs w:val="22"/>
        </w:rPr>
        <w:t xml:space="preserve"> ve lhůtě do 14-ti dnů od uzavření této smlouvy.</w:t>
      </w:r>
    </w:p>
    <w:p w:rsidR="00DF6F88" w:rsidRDefault="00DF6F88">
      <w:pPr>
        <w:spacing w:line="276" w:lineRule="auto"/>
        <w:rPr>
          <w:rFonts w:ascii="Arial" w:hAnsi="Arial" w:cs="Arial"/>
          <w:b/>
          <w:sz w:val="22"/>
          <w:szCs w:val="22"/>
        </w:rPr>
      </w:pPr>
    </w:p>
    <w:p w:rsidR="00DF6F88" w:rsidRDefault="00437DAA">
      <w:pPr>
        <w:spacing w:line="276" w:lineRule="auto"/>
        <w:jc w:val="center"/>
        <w:rPr>
          <w:rFonts w:ascii="Arial" w:hAnsi="Arial" w:cs="Arial"/>
          <w:b/>
          <w:sz w:val="22"/>
          <w:szCs w:val="22"/>
        </w:rPr>
      </w:pPr>
      <w:r>
        <w:rPr>
          <w:rFonts w:ascii="Arial" w:hAnsi="Arial" w:cs="Arial"/>
          <w:b/>
          <w:sz w:val="22"/>
          <w:szCs w:val="22"/>
        </w:rPr>
        <w:t>Čl. III</w:t>
      </w:r>
    </w:p>
    <w:p w:rsidR="00DF6F88" w:rsidRDefault="00437DAA">
      <w:pPr>
        <w:jc w:val="center"/>
        <w:rPr>
          <w:rFonts w:ascii="Arial" w:eastAsia="Arial" w:hAnsi="Arial" w:cs="Arial"/>
          <w:sz w:val="22"/>
          <w:szCs w:val="22"/>
        </w:rPr>
      </w:pPr>
      <w:r>
        <w:rPr>
          <w:rFonts w:ascii="Arial" w:hAnsi="Arial" w:cs="Arial"/>
          <w:b/>
          <w:sz w:val="22"/>
          <w:szCs w:val="22"/>
        </w:rPr>
        <w:t>Pověření výkonem veřejné služby</w:t>
      </w:r>
    </w:p>
    <w:p w:rsidR="00DF6F88" w:rsidRDefault="00437DAA">
      <w:pPr>
        <w:tabs>
          <w:tab w:val="left" w:pos="540"/>
        </w:tabs>
        <w:jc w:val="both"/>
        <w:rPr>
          <w:rFonts w:ascii="Arial" w:hAnsi="Arial" w:cs="Arial"/>
          <w:sz w:val="16"/>
          <w:szCs w:val="16"/>
        </w:rPr>
      </w:pPr>
      <w:r>
        <w:rPr>
          <w:rFonts w:ascii="Arial" w:eastAsia="Arial" w:hAnsi="Arial" w:cs="Arial"/>
          <w:sz w:val="22"/>
          <w:szCs w:val="22"/>
        </w:rPr>
        <w:t xml:space="preserve"> </w:t>
      </w:r>
    </w:p>
    <w:p w:rsidR="00DF6F88" w:rsidRDefault="00437DAA">
      <w:pPr>
        <w:pStyle w:val="Default"/>
        <w:numPr>
          <w:ilvl w:val="0"/>
          <w:numId w:val="19"/>
        </w:numPr>
        <w:tabs>
          <w:tab w:val="left" w:pos="426"/>
        </w:tabs>
        <w:ind w:left="426" w:hanging="426"/>
        <w:jc w:val="both"/>
        <w:rPr>
          <w:rFonts w:ascii="Arial" w:hAnsi="Arial" w:cs="Arial"/>
          <w:sz w:val="22"/>
          <w:szCs w:val="22"/>
        </w:rPr>
      </w:pPr>
      <w:r>
        <w:rPr>
          <w:rFonts w:ascii="Arial" w:hAnsi="Arial" w:cs="Arial"/>
          <w:sz w:val="22"/>
          <w:szCs w:val="22"/>
        </w:rPr>
        <w:t xml:space="preserve">Poskytovatel tímto Příjemce pověřuje výkonem veřejné služby v rozsahu dle Čl. I této smlouvy a přistupuje k pověření Příjemce výkonem veřejné služby dle Čl. I této smlouvy na dobu od </w:t>
      </w:r>
      <w:proofErr w:type="gramStart"/>
      <w:r>
        <w:rPr>
          <w:rFonts w:ascii="Arial" w:hAnsi="Arial" w:cs="Arial"/>
          <w:sz w:val="22"/>
          <w:szCs w:val="22"/>
        </w:rPr>
        <w:t>01.01.2026</w:t>
      </w:r>
      <w:proofErr w:type="gramEnd"/>
      <w:r>
        <w:rPr>
          <w:rFonts w:ascii="Arial" w:hAnsi="Arial" w:cs="Arial"/>
          <w:sz w:val="22"/>
          <w:szCs w:val="22"/>
        </w:rPr>
        <w:t xml:space="preserve"> do 31.12.2026, a to na základě usnesení č. </w:t>
      </w:r>
      <w:r w:rsidR="0057257A">
        <w:rPr>
          <w:rFonts w:ascii="Arial" w:hAnsi="Arial" w:cs="Arial"/>
          <w:sz w:val="22"/>
          <w:szCs w:val="22"/>
        </w:rPr>
        <w:t>1568/44/RM/2026</w:t>
      </w:r>
      <w:r>
        <w:rPr>
          <w:rFonts w:ascii="Arial" w:hAnsi="Arial" w:cs="Arial"/>
          <w:sz w:val="22"/>
          <w:szCs w:val="22"/>
        </w:rPr>
        <w:t xml:space="preserve"> </w:t>
      </w:r>
      <w:r>
        <w:rPr>
          <w:sz w:val="21"/>
          <w:szCs w:val="21"/>
          <w:lang w:eastAsia="cs-CZ"/>
        </w:rPr>
        <w:t xml:space="preserve">        </w:t>
      </w:r>
      <w:r>
        <w:rPr>
          <w:rFonts w:ascii="Arial" w:hAnsi="Arial" w:cs="Arial"/>
          <w:sz w:val="22"/>
          <w:szCs w:val="22"/>
        </w:rPr>
        <w:t xml:space="preserve">přijatém na </w:t>
      </w:r>
      <w:r w:rsidR="0057257A">
        <w:rPr>
          <w:rFonts w:ascii="Arial" w:hAnsi="Arial" w:cs="Arial"/>
          <w:sz w:val="22"/>
          <w:szCs w:val="22"/>
        </w:rPr>
        <w:t xml:space="preserve">44. schůzi </w:t>
      </w:r>
      <w:r>
        <w:rPr>
          <w:rFonts w:ascii="Arial" w:hAnsi="Arial" w:cs="Arial"/>
          <w:sz w:val="22"/>
          <w:szCs w:val="22"/>
        </w:rPr>
        <w:t xml:space="preserve">konané dne </w:t>
      </w:r>
      <w:r w:rsidR="0057257A">
        <w:rPr>
          <w:rFonts w:ascii="Arial" w:hAnsi="Arial" w:cs="Arial"/>
          <w:sz w:val="22"/>
          <w:szCs w:val="22"/>
        </w:rPr>
        <w:t>13.05.2026</w:t>
      </w:r>
      <w:r>
        <w:rPr>
          <w:rFonts w:ascii="Arial" w:hAnsi="Arial" w:cs="Arial"/>
          <w:sz w:val="22"/>
          <w:szCs w:val="22"/>
        </w:rPr>
        <w:t xml:space="preserve">. </w:t>
      </w:r>
    </w:p>
    <w:p w:rsidR="00DF6F88" w:rsidRDefault="00437DAA">
      <w:pPr>
        <w:pStyle w:val="Default"/>
        <w:numPr>
          <w:ilvl w:val="0"/>
          <w:numId w:val="19"/>
        </w:numPr>
        <w:tabs>
          <w:tab w:val="left" w:pos="426"/>
        </w:tabs>
        <w:ind w:left="426" w:hanging="426"/>
        <w:jc w:val="both"/>
        <w:rPr>
          <w:rFonts w:ascii="Arial" w:hAnsi="Arial" w:cs="Arial"/>
          <w:sz w:val="22"/>
          <w:szCs w:val="22"/>
        </w:rPr>
      </w:pPr>
      <w:r>
        <w:rPr>
          <w:rFonts w:ascii="Arial" w:hAnsi="Arial" w:cs="Arial"/>
          <w:sz w:val="22"/>
          <w:szCs w:val="22"/>
        </w:rPr>
        <w:t xml:space="preserve">Smluvní strany se dohodly, že pro použití dotace a výkon veřejné služby dle této smlouvy platí podmínky obsažené v pověření Královéhradeckého kraje, není-li touto smlouvou stanoveno jinak. </w:t>
      </w:r>
    </w:p>
    <w:p w:rsidR="00DF6F88" w:rsidRDefault="00DF6F88">
      <w:pPr>
        <w:rPr>
          <w:rFonts w:ascii="Arial" w:hAnsi="Arial" w:cs="Arial"/>
          <w:b/>
          <w:sz w:val="22"/>
          <w:szCs w:val="22"/>
        </w:rPr>
      </w:pPr>
    </w:p>
    <w:p w:rsidR="00DF6F88" w:rsidRDefault="00DF6F88">
      <w:pPr>
        <w:ind w:left="-180" w:firstLine="180"/>
        <w:jc w:val="center"/>
        <w:rPr>
          <w:rFonts w:ascii="Arial" w:hAnsi="Arial" w:cs="Arial"/>
          <w:b/>
          <w:sz w:val="22"/>
          <w:szCs w:val="22"/>
        </w:rPr>
      </w:pPr>
    </w:p>
    <w:p w:rsidR="00DF6F88" w:rsidRDefault="00437DAA">
      <w:pPr>
        <w:ind w:left="-180" w:firstLine="180"/>
        <w:jc w:val="center"/>
        <w:rPr>
          <w:sz w:val="22"/>
          <w:szCs w:val="22"/>
        </w:rPr>
      </w:pPr>
      <w:r>
        <w:rPr>
          <w:rFonts w:ascii="Arial" w:hAnsi="Arial" w:cs="Arial"/>
          <w:b/>
          <w:sz w:val="22"/>
          <w:szCs w:val="22"/>
        </w:rPr>
        <w:t>Čl. IV</w:t>
      </w:r>
    </w:p>
    <w:p w:rsidR="00DF6F88" w:rsidRDefault="00437DAA">
      <w:pPr>
        <w:jc w:val="center"/>
        <w:rPr>
          <w:rFonts w:ascii="Arial" w:hAnsi="Arial" w:cs="Arial"/>
          <w:b/>
          <w:sz w:val="22"/>
          <w:szCs w:val="22"/>
        </w:rPr>
      </w:pPr>
      <w:r>
        <w:rPr>
          <w:rFonts w:ascii="Arial" w:hAnsi="Arial" w:cs="Arial"/>
          <w:b/>
          <w:sz w:val="22"/>
          <w:szCs w:val="22"/>
        </w:rPr>
        <w:t>Podmínky spojené s použitím dotace</w:t>
      </w:r>
    </w:p>
    <w:p w:rsidR="00DF6F88" w:rsidRDefault="00DF6F88">
      <w:pPr>
        <w:pStyle w:val="Default"/>
        <w:tabs>
          <w:tab w:val="left" w:pos="426"/>
        </w:tabs>
        <w:ind w:left="426" w:hanging="426"/>
        <w:jc w:val="both"/>
        <w:rPr>
          <w:rFonts w:ascii="Arial" w:hAnsi="Arial" w:cs="Arial"/>
          <w:sz w:val="22"/>
          <w:szCs w:val="22"/>
        </w:rPr>
      </w:pPr>
    </w:p>
    <w:p w:rsidR="00DF6F88" w:rsidRDefault="00437DAA">
      <w:pPr>
        <w:pStyle w:val="Odstavecseseznamem"/>
        <w:numPr>
          <w:ilvl w:val="0"/>
          <w:numId w:val="2"/>
        </w:numPr>
        <w:tabs>
          <w:tab w:val="clear" w:pos="360"/>
          <w:tab w:val="num" w:pos="567"/>
        </w:tabs>
        <w:spacing w:before="120"/>
        <w:ind w:left="567" w:hanging="425"/>
        <w:contextualSpacing/>
        <w:jc w:val="both"/>
        <w:rPr>
          <w:rFonts w:ascii="Arial" w:hAnsi="Arial" w:cs="Arial"/>
          <w:b/>
          <w:bCs/>
          <w:lang w:eastAsia="cs-CZ"/>
        </w:rPr>
      </w:pPr>
      <w:r>
        <w:rPr>
          <w:rFonts w:ascii="Arial" w:hAnsi="Arial" w:cs="Arial"/>
          <w:bCs/>
          <w:sz w:val="22"/>
          <w:szCs w:val="22"/>
          <w:lang w:eastAsia="cs-CZ"/>
        </w:rPr>
        <w:t>Dotace z rozpočtu města Vrchlabí je přidělována v souladu s ustanovením</w:t>
      </w:r>
      <w:r>
        <w:rPr>
          <w:rFonts w:ascii="Arial" w:hAnsi="Arial" w:cs="Arial"/>
          <w:b/>
          <w:bCs/>
          <w:sz w:val="22"/>
          <w:szCs w:val="22"/>
          <w:lang w:eastAsia="cs-CZ"/>
        </w:rPr>
        <w:t xml:space="preserve"> </w:t>
      </w:r>
      <w:r>
        <w:rPr>
          <w:rFonts w:ascii="Arial" w:hAnsi="Arial" w:cs="Arial"/>
          <w:bCs/>
          <w:sz w:val="22"/>
          <w:szCs w:val="22"/>
          <w:lang w:eastAsia="cs-CZ"/>
        </w:rPr>
        <w:t>§ 10a a násl. zákona č. 250/2000 Sb., o rozpočtových pravidlech územních rozpočtů, ve znění pozdějších předpisů a dále na základě ustanovení § 105 zákona o sociálních službách.</w:t>
      </w:r>
    </w:p>
    <w:p w:rsidR="00DF6F88" w:rsidRDefault="00437DAA">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lastRenderedPageBreak/>
        <w:t>Příjemce je povinen vykonávat veřejnou službu dle této smlouvy a použít dotaci na úhradu uznatelných nákladů</w:t>
      </w:r>
      <w:r>
        <w:rPr>
          <w:rFonts w:ascii="Arial" w:hAnsi="Arial" w:cs="Arial"/>
          <w:color w:val="FF0000"/>
          <w:sz w:val="22"/>
          <w:szCs w:val="22"/>
        </w:rPr>
        <w:t xml:space="preserve"> </w:t>
      </w:r>
      <w:r>
        <w:rPr>
          <w:rFonts w:ascii="Arial" w:hAnsi="Arial" w:cs="Arial"/>
          <w:sz w:val="22"/>
          <w:szCs w:val="22"/>
        </w:rPr>
        <w:t xml:space="preserve">vynaložených na výkon veřejné služby dle této smlouvy v období </w:t>
      </w:r>
      <w:r>
        <w:rPr>
          <w:rFonts w:ascii="Arial" w:hAnsi="Arial" w:cs="Arial"/>
          <w:b/>
          <w:sz w:val="22"/>
          <w:szCs w:val="22"/>
        </w:rPr>
        <w:t xml:space="preserve">od </w:t>
      </w:r>
      <w:proofErr w:type="gramStart"/>
      <w:r>
        <w:rPr>
          <w:rFonts w:ascii="Arial" w:hAnsi="Arial" w:cs="Arial"/>
          <w:b/>
          <w:sz w:val="22"/>
          <w:szCs w:val="22"/>
        </w:rPr>
        <w:t>01.01.2026</w:t>
      </w:r>
      <w:proofErr w:type="gramEnd"/>
      <w:r>
        <w:rPr>
          <w:rFonts w:ascii="Arial" w:hAnsi="Arial" w:cs="Arial"/>
          <w:b/>
          <w:sz w:val="22"/>
          <w:szCs w:val="22"/>
        </w:rPr>
        <w:t xml:space="preserve"> do 31.12.2026.</w:t>
      </w:r>
    </w:p>
    <w:p w:rsidR="00DF6F88" w:rsidRDefault="00437DAA">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lang w:eastAsia="cs-CZ"/>
        </w:rPr>
        <w:t xml:space="preserve">Dotace je poskytována jako dotace neinvestiční a má formu vyrovnávací platby. Je určena k financování běžných nákladů s prokazatelnou vazbou na základní činnosti dle zákona o sociálních službách a je součástí vyrovnávací platby stanovené KHK. </w:t>
      </w:r>
      <w:r>
        <w:rPr>
          <w:rFonts w:ascii="Arial" w:hAnsi="Arial" w:cs="Arial"/>
          <w:sz w:val="22"/>
          <w:szCs w:val="22"/>
        </w:rPr>
        <w:t xml:space="preserve">Uznatelné a neuznatelné náklady jsou </w:t>
      </w:r>
      <w:r>
        <w:rPr>
          <w:rFonts w:ascii="Arial" w:hAnsi="Arial" w:cs="Arial"/>
          <w:b/>
          <w:sz w:val="22"/>
          <w:szCs w:val="22"/>
        </w:rPr>
        <w:t>konkrétně specifikovány v Dotačním programu sociálních služeb ORP Vrchlabí na rok 2026.</w:t>
      </w:r>
      <w:r>
        <w:rPr>
          <w:rFonts w:ascii="Arial" w:hAnsi="Arial" w:cs="Arial"/>
          <w:sz w:val="22"/>
          <w:szCs w:val="22"/>
        </w:rPr>
        <w:t xml:space="preserve"> </w:t>
      </w:r>
    </w:p>
    <w:p w:rsidR="00DF6F88" w:rsidRDefault="00437DAA">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S ohledem na vícezdrojové financování veřejné služby dle této smlouvy, vyplývající z pověření k výkonu této veřejné služby Královéhradeckým krajem, se Příjemce zavazuje k řádnému použití dotace a její evidence v databázi KISSOS. </w:t>
      </w:r>
    </w:p>
    <w:p w:rsidR="00DF6F88" w:rsidRDefault="00437DAA">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Po uzavření účetního období, nejdéle však </w:t>
      </w:r>
      <w:r>
        <w:rPr>
          <w:rFonts w:ascii="Arial" w:hAnsi="Arial" w:cs="Arial"/>
          <w:b/>
          <w:sz w:val="22"/>
          <w:szCs w:val="22"/>
        </w:rPr>
        <w:t xml:space="preserve">do </w:t>
      </w:r>
      <w:proofErr w:type="gramStart"/>
      <w:r>
        <w:rPr>
          <w:rFonts w:ascii="Arial" w:hAnsi="Arial" w:cs="Arial"/>
          <w:b/>
          <w:sz w:val="22"/>
          <w:szCs w:val="22"/>
        </w:rPr>
        <w:t>15.02.2027</w:t>
      </w:r>
      <w:proofErr w:type="gramEnd"/>
      <w:r>
        <w:rPr>
          <w:rFonts w:ascii="Arial" w:hAnsi="Arial" w:cs="Arial"/>
          <w:sz w:val="22"/>
          <w:szCs w:val="22"/>
        </w:rPr>
        <w:t xml:space="preserve">, je Příjemce povinen předložit Poskytovateli závěrečné vyúčtování dotace. Závěrečné vyúčtování se podává prostřednictvím </w:t>
      </w:r>
      <w:r>
        <w:rPr>
          <w:rFonts w:ascii="Arial" w:hAnsi="Arial" w:cs="Arial"/>
          <w:b/>
          <w:bCs/>
          <w:sz w:val="22"/>
          <w:szCs w:val="22"/>
          <w:lang w:eastAsia="cs-CZ"/>
        </w:rPr>
        <w:t>Portálu občana/Dotace/Sociální/2026/Dotační program sociálních služeb ORP Vrchlabí na rok 2026</w:t>
      </w:r>
      <w:r>
        <w:rPr>
          <w:rFonts w:ascii="Arial" w:hAnsi="Arial" w:cs="Arial"/>
          <w:sz w:val="22"/>
          <w:szCs w:val="22"/>
        </w:rPr>
        <w:t xml:space="preserve"> </w:t>
      </w:r>
      <w:r>
        <w:rPr>
          <w:rFonts w:ascii="Arial" w:hAnsi="Arial" w:cs="Arial"/>
          <w:bCs/>
          <w:lang w:eastAsia="cs-CZ"/>
        </w:rPr>
        <w:t>(</w:t>
      </w:r>
      <w:hyperlink r:id="rId7" w:history="1">
        <w:r>
          <w:rPr>
            <w:rStyle w:val="Hypertextovodkaz"/>
            <w:rFonts w:ascii="Arial" w:hAnsi="Arial" w:cs="Arial"/>
            <w:bCs/>
            <w:sz w:val="22"/>
            <w:szCs w:val="22"/>
            <w:lang w:eastAsia="cs-CZ"/>
          </w:rPr>
          <w:t>https://portal.muvrchlabi.cz:4433/portal/dotace.html</w:t>
        </w:r>
      </w:hyperlink>
      <w:r>
        <w:rPr>
          <w:rFonts w:ascii="Arial" w:hAnsi="Arial" w:cs="Arial"/>
          <w:bCs/>
          <w:sz w:val="22"/>
          <w:szCs w:val="22"/>
          <w:lang w:eastAsia="cs-CZ"/>
        </w:rPr>
        <w:t>),</w:t>
      </w:r>
      <w:r>
        <w:rPr>
          <w:rFonts w:ascii="Arial" w:hAnsi="Arial" w:cs="Arial"/>
          <w:bCs/>
          <w:lang w:eastAsia="cs-CZ"/>
        </w:rPr>
        <w:t xml:space="preserve"> </w:t>
      </w:r>
      <w:r>
        <w:rPr>
          <w:rFonts w:ascii="Arial" w:hAnsi="Arial" w:cs="Arial"/>
          <w:sz w:val="22"/>
          <w:szCs w:val="22"/>
        </w:rPr>
        <w:t>a to na předepsaném formuláři, který bude zveřejněn na uvedeném odkazu (</w:t>
      </w:r>
      <w:r>
        <w:rPr>
          <w:rFonts w:ascii="Arial" w:hAnsi="Arial" w:cs="Arial"/>
          <w:sz w:val="22"/>
          <w:szCs w:val="22"/>
          <w:lang w:eastAsia="cs-CZ"/>
        </w:rPr>
        <w:t>součástí formuláře je i prostor pro slovní vyhodnocení fungování sociální služby).</w:t>
      </w:r>
      <w:r>
        <w:rPr>
          <w:rFonts w:ascii="Arial" w:hAnsi="Arial" w:cs="Arial"/>
          <w:sz w:val="22"/>
          <w:szCs w:val="22"/>
        </w:rPr>
        <w:t xml:space="preserve"> </w:t>
      </w:r>
    </w:p>
    <w:p w:rsidR="00DF6F88" w:rsidRDefault="00437DAA">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Čerpání prostředků poskytnuté dotace bude v účetnictví vedeno odděleně.</w:t>
      </w:r>
    </w:p>
    <w:p w:rsidR="00DF6F88" w:rsidRDefault="00437DAA">
      <w:pPr>
        <w:pStyle w:val="Default"/>
        <w:numPr>
          <w:ilvl w:val="0"/>
          <w:numId w:val="2"/>
        </w:numPr>
        <w:tabs>
          <w:tab w:val="clear" w:pos="360"/>
          <w:tab w:val="num" w:pos="567"/>
        </w:tabs>
        <w:ind w:left="567" w:hanging="425"/>
        <w:jc w:val="both"/>
        <w:rPr>
          <w:rFonts w:ascii="Arial" w:hAnsi="Arial" w:cs="Arial"/>
          <w:color w:val="FF0000"/>
          <w:sz w:val="22"/>
          <w:szCs w:val="22"/>
        </w:rPr>
      </w:pPr>
      <w:r>
        <w:rPr>
          <w:rFonts w:ascii="Arial" w:hAnsi="Arial" w:cs="Arial"/>
          <w:sz w:val="22"/>
          <w:szCs w:val="22"/>
          <w:lang w:eastAsia="cs-CZ"/>
        </w:rPr>
        <w:t xml:space="preserve">Příjemce dotace přikládá k závěrečnému vyúčtování účetní sestavu obsahující číslo účetního dokladu, datum, účel použití dotace a částku, která je uplatněná v dotaci. K závěrečnému vyúčtování jsou dále připojeny kopie účetních dokladů, které byly hrazeny z přidělené dotace a jejich výše přesahuje celkovou částku 5 000 Kč. V případě potřeby je poskytovatel dotace oprávněn vyžádat si i další účetní doklady. Originály dokladů hrazených z dotace je příjemce povinen označit číslem veřejnoprávní smlouvy. </w:t>
      </w:r>
    </w:p>
    <w:p w:rsidR="00DF6F88" w:rsidRDefault="00437DAA">
      <w:pPr>
        <w:pStyle w:val="Default"/>
        <w:ind w:left="567"/>
        <w:jc w:val="both"/>
        <w:rPr>
          <w:rFonts w:ascii="Arial" w:hAnsi="Arial" w:cs="Arial"/>
          <w:sz w:val="22"/>
          <w:szCs w:val="22"/>
        </w:rPr>
      </w:pPr>
      <w:r>
        <w:rPr>
          <w:rFonts w:ascii="Arial" w:hAnsi="Arial" w:cs="Arial"/>
          <w:sz w:val="22"/>
          <w:szCs w:val="22"/>
        </w:rPr>
        <w:t>U účetních dokladů, které nejsou plně hrazeny z dotace, je třeba uvést výši částky hrazené z přidělené dotace.</w:t>
      </w:r>
    </w:p>
    <w:p w:rsidR="00DF6F88" w:rsidRPr="0057257A" w:rsidRDefault="00437DAA">
      <w:pPr>
        <w:pStyle w:val="Default"/>
        <w:ind w:left="567"/>
        <w:jc w:val="both"/>
        <w:rPr>
          <w:rFonts w:ascii="Arial" w:hAnsi="Arial" w:cs="Arial"/>
          <w:b/>
          <w:sz w:val="22"/>
          <w:szCs w:val="22"/>
        </w:rPr>
      </w:pPr>
      <w:r w:rsidRPr="0057257A">
        <w:rPr>
          <w:rFonts w:ascii="Arial" w:hAnsi="Arial" w:cs="Arial"/>
          <w:b/>
          <w:sz w:val="22"/>
          <w:szCs w:val="22"/>
        </w:rPr>
        <w:t>Příjemce dotace je povinen vrátit část dotace v případě, kdy nejsou personálně zajištěny úvazky uvedené v žádosti ve vyšší míře než 10 %, pokud se smluvní strany nedomluví jinak.</w:t>
      </w:r>
    </w:p>
    <w:p w:rsidR="00DF6F88" w:rsidRDefault="00437DAA">
      <w:pPr>
        <w:pStyle w:val="Default"/>
        <w:numPr>
          <w:ilvl w:val="0"/>
          <w:numId w:val="2"/>
        </w:numPr>
        <w:tabs>
          <w:tab w:val="clear" w:pos="360"/>
          <w:tab w:val="num" w:pos="567"/>
        </w:tabs>
        <w:ind w:left="567" w:hanging="425"/>
        <w:jc w:val="both"/>
        <w:rPr>
          <w:rFonts w:ascii="Arial" w:hAnsi="Arial" w:cs="Arial"/>
          <w:color w:val="FF0000"/>
          <w:sz w:val="22"/>
          <w:szCs w:val="22"/>
        </w:rPr>
      </w:pPr>
      <w:r>
        <w:rPr>
          <w:rFonts w:ascii="Arial" w:hAnsi="Arial" w:cs="Arial"/>
          <w:sz w:val="22"/>
          <w:szCs w:val="22"/>
          <w:lang w:eastAsia="cs-CZ"/>
        </w:rPr>
        <w:t>Poskytnutá dotace je veřejnou finanční podporou ve smyslu zákona č. 320/2001 Sb., o finanční kontrole, ve znění pozdějších předpisů (dále jen „zákon o finanční kontrole“). Příslušné orgány města jsou oprávněny zejména v souladu s § 9 odst. 2 zákona o finanční kontrole provádět kontroly dodržení účelu a podmínek, za kterých byla dotace poskytnuta a čerpána. Příjemce dotace je povinen v termínu určeném městem strpět kontrolu účetnictví dle zákona o finanční kontrole. Dále je příjemce dotace povinen předložit kontrolním orgánům města k nahlédnutí originály všech účetních dokladů týkajících se dané sociální služby.</w:t>
      </w:r>
    </w:p>
    <w:p w:rsidR="00DF6F88" w:rsidRDefault="00437DAA">
      <w:pPr>
        <w:pStyle w:val="Default"/>
        <w:numPr>
          <w:ilvl w:val="0"/>
          <w:numId w:val="2"/>
        </w:numPr>
        <w:tabs>
          <w:tab w:val="clear" w:pos="360"/>
          <w:tab w:val="num" w:pos="567"/>
        </w:tabs>
        <w:ind w:left="567" w:hanging="425"/>
        <w:jc w:val="both"/>
        <w:rPr>
          <w:rFonts w:ascii="Arial" w:hAnsi="Arial" w:cs="Arial"/>
          <w:sz w:val="22"/>
          <w:szCs w:val="22"/>
        </w:rPr>
      </w:pPr>
      <w:r>
        <w:rPr>
          <w:rFonts w:ascii="Arial" w:hAnsi="Arial" w:cs="Arial"/>
          <w:sz w:val="22"/>
          <w:szCs w:val="22"/>
        </w:rPr>
        <w:t xml:space="preserve">Poskytovatel má právo na provedení průběžné a následné veřejnosprávní kontroly použití dotace. V případě žádosti Poskytovatele se Příjemce zavazuje poskytnout mu k tomuto účelu veškeré potřebné doklady.  </w:t>
      </w:r>
    </w:p>
    <w:p w:rsidR="00DF6F88" w:rsidRDefault="00437DAA">
      <w:pPr>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Příjemce odpovídá za hospodárné, účelné a efektivní využití poskytnuté dotace.</w:t>
      </w:r>
    </w:p>
    <w:p w:rsidR="00DF6F88" w:rsidRDefault="00437DAA">
      <w:pPr>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Příjemce nesmí použít prostředky z této dotace pro činnost jiných subjektů, právnických, fyzických osob, nebo jiným způsobem, než je stanoveno touto smlouvou.</w:t>
      </w:r>
    </w:p>
    <w:p w:rsidR="00DF6F88" w:rsidRDefault="00437DAA">
      <w:pPr>
        <w:pStyle w:val="Default"/>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 xml:space="preserve">Je-li Příjemce plátcem daně z přidané hodnoty (dále „DPH“) a může uplatnit odpočet DPH podléhající dani na výstupu podle § 72 zákona č. 235/2004 Sb., o dani z přidané hodnoty, v platném znění (dále jen „ZDPH“), a to v plné nebo zkrácené výši, nelze z dotace uhradit DPH ve výši odpočtu DPH, na který příjemci vznikl nárok. </w:t>
      </w:r>
    </w:p>
    <w:p w:rsidR="00DF6F88" w:rsidRDefault="00437DAA">
      <w:pPr>
        <w:pStyle w:val="Default"/>
        <w:numPr>
          <w:ilvl w:val="0"/>
          <w:numId w:val="2"/>
        </w:numPr>
        <w:tabs>
          <w:tab w:val="clear" w:pos="360"/>
          <w:tab w:val="num" w:pos="567"/>
        </w:tabs>
        <w:ind w:left="567" w:hanging="567"/>
        <w:jc w:val="both"/>
        <w:rPr>
          <w:rFonts w:ascii="Arial" w:hAnsi="Arial" w:cs="Arial"/>
          <w:sz w:val="22"/>
          <w:szCs w:val="22"/>
        </w:rPr>
      </w:pPr>
      <w:r>
        <w:rPr>
          <w:rFonts w:ascii="Arial" w:hAnsi="Arial" w:cs="Arial"/>
          <w:sz w:val="22"/>
          <w:szCs w:val="22"/>
        </w:rPr>
        <w:t>V případě zrušení pověření nebo při předčasném ukončení výkonu veřejné služby je Příjemce povinen vrátit nevyčerpanou část dotace ve výši odpovídající podílu z celkové platby a počtu měsíců nerealizované činnosti ve lhůtě 30 dnů od ukončení činnosti.</w:t>
      </w:r>
    </w:p>
    <w:p w:rsidR="00DF6F88" w:rsidRDefault="00DF6F88">
      <w:pPr>
        <w:pStyle w:val="Default"/>
        <w:tabs>
          <w:tab w:val="left" w:pos="360"/>
        </w:tabs>
        <w:jc w:val="both"/>
        <w:rPr>
          <w:rFonts w:ascii="Arial" w:hAnsi="Arial" w:cs="Arial"/>
          <w:b/>
          <w:sz w:val="22"/>
          <w:szCs w:val="22"/>
        </w:rPr>
      </w:pPr>
    </w:p>
    <w:p w:rsidR="00DF6F88" w:rsidRDefault="00DF6F88">
      <w:pPr>
        <w:rPr>
          <w:rFonts w:ascii="Arial" w:hAnsi="Arial" w:cs="Arial"/>
          <w:b/>
          <w:sz w:val="22"/>
          <w:szCs w:val="22"/>
        </w:rPr>
      </w:pPr>
    </w:p>
    <w:p w:rsidR="00604E56" w:rsidRDefault="00604E56">
      <w:pPr>
        <w:jc w:val="center"/>
        <w:rPr>
          <w:rFonts w:ascii="Arial" w:hAnsi="Arial" w:cs="Arial"/>
          <w:b/>
          <w:sz w:val="22"/>
          <w:szCs w:val="22"/>
        </w:rPr>
      </w:pPr>
    </w:p>
    <w:p w:rsidR="00604E56" w:rsidRDefault="00604E56">
      <w:pPr>
        <w:jc w:val="center"/>
        <w:rPr>
          <w:rFonts w:ascii="Arial" w:hAnsi="Arial" w:cs="Arial"/>
          <w:b/>
          <w:sz w:val="22"/>
          <w:szCs w:val="22"/>
        </w:rPr>
      </w:pPr>
    </w:p>
    <w:p w:rsidR="00604E56" w:rsidRDefault="00604E56">
      <w:pPr>
        <w:jc w:val="center"/>
        <w:rPr>
          <w:rFonts w:ascii="Arial" w:hAnsi="Arial" w:cs="Arial"/>
          <w:b/>
          <w:sz w:val="22"/>
          <w:szCs w:val="22"/>
        </w:rPr>
      </w:pPr>
    </w:p>
    <w:p w:rsidR="00DF6F88" w:rsidRDefault="00437DAA">
      <w:pPr>
        <w:jc w:val="center"/>
        <w:rPr>
          <w:rFonts w:ascii="Arial" w:hAnsi="Arial" w:cs="Arial"/>
          <w:b/>
          <w:sz w:val="22"/>
          <w:szCs w:val="22"/>
        </w:rPr>
      </w:pPr>
      <w:r>
        <w:rPr>
          <w:rFonts w:ascii="Arial" w:hAnsi="Arial" w:cs="Arial"/>
          <w:b/>
          <w:sz w:val="22"/>
          <w:szCs w:val="22"/>
        </w:rPr>
        <w:lastRenderedPageBreak/>
        <w:t>Čl. V</w:t>
      </w:r>
    </w:p>
    <w:p w:rsidR="00DF6F88" w:rsidRDefault="00437DAA">
      <w:pPr>
        <w:ind w:left="360"/>
        <w:jc w:val="center"/>
        <w:rPr>
          <w:rFonts w:ascii="Arial" w:hAnsi="Arial" w:cs="Arial"/>
          <w:b/>
          <w:sz w:val="22"/>
          <w:szCs w:val="22"/>
        </w:rPr>
      </w:pPr>
      <w:r>
        <w:rPr>
          <w:rFonts w:ascii="Arial" w:hAnsi="Arial" w:cs="Arial"/>
          <w:b/>
          <w:sz w:val="22"/>
          <w:szCs w:val="22"/>
        </w:rPr>
        <w:t>Přeměna nebo zrušení Příjemce</w:t>
      </w:r>
    </w:p>
    <w:p w:rsidR="00DF6F88" w:rsidRDefault="00DF6F88">
      <w:pPr>
        <w:jc w:val="both"/>
        <w:rPr>
          <w:rFonts w:ascii="Arial" w:hAnsi="Arial" w:cs="Arial"/>
          <w:b/>
          <w:sz w:val="16"/>
          <w:szCs w:val="16"/>
        </w:rPr>
      </w:pPr>
    </w:p>
    <w:p w:rsidR="00DF6F88" w:rsidRDefault="00437DAA">
      <w:pPr>
        <w:numPr>
          <w:ilvl w:val="0"/>
          <w:numId w:val="24"/>
        </w:numPr>
        <w:tabs>
          <w:tab w:val="left" w:pos="426"/>
        </w:tabs>
        <w:ind w:left="426" w:hanging="426"/>
        <w:jc w:val="both"/>
        <w:rPr>
          <w:rFonts w:ascii="Arial" w:hAnsi="Arial" w:cs="Arial"/>
          <w:sz w:val="22"/>
          <w:szCs w:val="22"/>
        </w:rPr>
      </w:pPr>
      <w:r>
        <w:rPr>
          <w:rFonts w:ascii="Arial" w:hAnsi="Arial" w:cs="Arial"/>
          <w:sz w:val="22"/>
          <w:szCs w:val="22"/>
        </w:rPr>
        <w:t>V případě přeměny Příjemce nebo jeho zrušení s likvidací je Poskytovatel oprávněn tuto smlouvu vypovědět písemnou výpovědí s uvedením jejího důvodu. Smlouva zaniká doručením této písemné výpovědi Příjemci.</w:t>
      </w:r>
    </w:p>
    <w:p w:rsidR="00DF6F88" w:rsidRDefault="00437DAA">
      <w:pPr>
        <w:numPr>
          <w:ilvl w:val="0"/>
          <w:numId w:val="24"/>
        </w:numPr>
        <w:tabs>
          <w:tab w:val="left" w:pos="426"/>
        </w:tabs>
        <w:ind w:left="426" w:hanging="426"/>
        <w:jc w:val="both"/>
        <w:rPr>
          <w:rFonts w:ascii="Arial" w:hAnsi="Arial" w:cs="Arial"/>
          <w:sz w:val="22"/>
          <w:szCs w:val="22"/>
        </w:rPr>
      </w:pPr>
      <w:r>
        <w:rPr>
          <w:rFonts w:ascii="Arial" w:hAnsi="Arial" w:cs="Arial"/>
          <w:sz w:val="22"/>
          <w:szCs w:val="22"/>
        </w:rPr>
        <w:t>V takovém případě je povinen Příjemce vrátit část vyrovnávací platby nepoužitou v souladu s touto smlouvou do dne jejího zániku.</w:t>
      </w:r>
    </w:p>
    <w:p w:rsidR="00DF6F88" w:rsidRDefault="00437DAA">
      <w:pPr>
        <w:numPr>
          <w:ilvl w:val="0"/>
          <w:numId w:val="24"/>
        </w:numPr>
        <w:tabs>
          <w:tab w:val="left" w:pos="426"/>
        </w:tabs>
        <w:ind w:left="426" w:hanging="426"/>
        <w:jc w:val="both"/>
        <w:rPr>
          <w:rFonts w:ascii="Arial" w:hAnsi="Arial" w:cs="Arial"/>
          <w:sz w:val="22"/>
          <w:szCs w:val="22"/>
        </w:rPr>
      </w:pPr>
      <w:r>
        <w:rPr>
          <w:rFonts w:ascii="Arial" w:hAnsi="Arial" w:cs="Arial"/>
          <w:sz w:val="22"/>
          <w:szCs w:val="22"/>
        </w:rPr>
        <w:t xml:space="preserve">V případě zániku této smlouvy výpovědí nezanikají nároky Poskytovatele sjednané touto smlouvou ve vztahu k její poskytnuté části.    </w:t>
      </w:r>
    </w:p>
    <w:p w:rsidR="00DF6F88" w:rsidRDefault="00DF6F88">
      <w:pPr>
        <w:ind w:left="360" w:hanging="360"/>
        <w:jc w:val="both"/>
        <w:rPr>
          <w:rFonts w:ascii="Arial" w:hAnsi="Arial" w:cs="Arial"/>
          <w:sz w:val="22"/>
          <w:szCs w:val="22"/>
        </w:rPr>
      </w:pPr>
    </w:p>
    <w:p w:rsidR="00DF6F88" w:rsidRDefault="00DF6F88">
      <w:pPr>
        <w:jc w:val="both"/>
        <w:rPr>
          <w:rFonts w:ascii="Arial" w:hAnsi="Arial" w:cs="Arial"/>
          <w:b/>
          <w:sz w:val="22"/>
          <w:szCs w:val="22"/>
        </w:rPr>
      </w:pPr>
    </w:p>
    <w:p w:rsidR="00DF6F88" w:rsidRDefault="00DF6F88">
      <w:pPr>
        <w:jc w:val="both"/>
        <w:rPr>
          <w:rFonts w:ascii="Arial" w:hAnsi="Arial" w:cs="Arial"/>
          <w:b/>
          <w:sz w:val="22"/>
          <w:szCs w:val="22"/>
        </w:rPr>
      </w:pPr>
    </w:p>
    <w:p w:rsidR="00DF6F88" w:rsidRDefault="00437DAA">
      <w:pPr>
        <w:jc w:val="center"/>
        <w:rPr>
          <w:rFonts w:ascii="Arial" w:eastAsia="Arial" w:hAnsi="Arial" w:cs="Arial"/>
          <w:b/>
          <w:sz w:val="22"/>
          <w:szCs w:val="22"/>
        </w:rPr>
      </w:pPr>
      <w:r>
        <w:rPr>
          <w:rFonts w:ascii="Arial" w:hAnsi="Arial" w:cs="Arial"/>
          <w:b/>
          <w:sz w:val="22"/>
          <w:szCs w:val="22"/>
        </w:rPr>
        <w:t>Čl. VI</w:t>
      </w:r>
    </w:p>
    <w:p w:rsidR="00DF6F88" w:rsidRDefault="00437DAA">
      <w:pPr>
        <w:ind w:left="360"/>
        <w:rPr>
          <w:rFonts w:ascii="Arial" w:hAnsi="Arial" w:cs="Arial"/>
          <w:b/>
          <w:color w:val="3366FF"/>
          <w:sz w:val="22"/>
          <w:szCs w:val="22"/>
        </w:rPr>
      </w:pPr>
      <w:r>
        <w:rPr>
          <w:rFonts w:ascii="Arial" w:eastAsia="Arial" w:hAnsi="Arial" w:cs="Arial"/>
          <w:b/>
          <w:sz w:val="22"/>
          <w:szCs w:val="22"/>
        </w:rPr>
        <w:t xml:space="preserve">                                          Kontrola </w:t>
      </w:r>
      <w:r>
        <w:rPr>
          <w:rFonts w:ascii="Arial" w:hAnsi="Arial" w:cs="Arial"/>
          <w:b/>
          <w:sz w:val="22"/>
          <w:szCs w:val="22"/>
        </w:rPr>
        <w:t>nadměrného vyrovnání a sankce</w:t>
      </w:r>
    </w:p>
    <w:p w:rsidR="00DF6F88" w:rsidRDefault="00DF6F88">
      <w:pPr>
        <w:ind w:left="360"/>
        <w:rPr>
          <w:rFonts w:ascii="Arial" w:hAnsi="Arial" w:cs="Arial"/>
          <w:b/>
          <w:color w:val="3366FF"/>
          <w:sz w:val="16"/>
          <w:szCs w:val="16"/>
        </w:rPr>
      </w:pPr>
    </w:p>
    <w:p w:rsidR="00DF6F88" w:rsidRDefault="00437DAA">
      <w:pPr>
        <w:numPr>
          <w:ilvl w:val="0"/>
          <w:numId w:val="16"/>
        </w:numPr>
        <w:tabs>
          <w:tab w:val="clear" w:pos="502"/>
          <w:tab w:val="num" w:pos="426"/>
          <w:tab w:val="left" w:pos="567"/>
        </w:tabs>
        <w:ind w:left="426" w:hanging="426"/>
        <w:jc w:val="both"/>
        <w:rPr>
          <w:rFonts w:ascii="Arial" w:hAnsi="Arial" w:cs="Arial"/>
          <w:sz w:val="22"/>
          <w:szCs w:val="22"/>
        </w:rPr>
      </w:pPr>
      <w:r>
        <w:rPr>
          <w:rFonts w:ascii="Arial" w:hAnsi="Arial" w:cs="Arial"/>
          <w:sz w:val="22"/>
          <w:szCs w:val="22"/>
        </w:rPr>
        <w:t xml:space="preserve">Pro stanovení výše vyrovnávací platby platí </w:t>
      </w:r>
      <w:proofErr w:type="spellStart"/>
      <w:r>
        <w:rPr>
          <w:rFonts w:ascii="Arial" w:hAnsi="Arial" w:cs="Arial"/>
          <w:sz w:val="22"/>
          <w:szCs w:val="22"/>
        </w:rPr>
        <w:t>ust</w:t>
      </w:r>
      <w:proofErr w:type="spellEnd"/>
      <w:r>
        <w:rPr>
          <w:rFonts w:ascii="Arial" w:hAnsi="Arial" w:cs="Arial"/>
          <w:sz w:val="22"/>
          <w:szCs w:val="22"/>
        </w:rPr>
        <w:t xml:space="preserve">. Čl. 5 Rozhodnutí. </w:t>
      </w:r>
    </w:p>
    <w:p w:rsidR="00DF6F88" w:rsidRDefault="00437DAA">
      <w:pPr>
        <w:numPr>
          <w:ilvl w:val="0"/>
          <w:numId w:val="16"/>
        </w:numPr>
        <w:tabs>
          <w:tab w:val="clear" w:pos="502"/>
          <w:tab w:val="num" w:pos="426"/>
          <w:tab w:val="left" w:pos="567"/>
        </w:tabs>
        <w:ind w:left="426" w:hanging="426"/>
        <w:jc w:val="both"/>
        <w:rPr>
          <w:rFonts w:ascii="Arial" w:hAnsi="Arial" w:cs="Arial"/>
          <w:color w:val="FF0000"/>
          <w:sz w:val="22"/>
          <w:szCs w:val="22"/>
        </w:rPr>
      </w:pPr>
      <w:r>
        <w:rPr>
          <w:rFonts w:ascii="Arial" w:hAnsi="Arial" w:cs="Arial"/>
          <w:sz w:val="22"/>
          <w:szCs w:val="22"/>
        </w:rPr>
        <w:t>V případě, že výše poskytnuté vyrovnávací platby převyšuje částku stanovenou dle Čl. 5 Rozhodnutí, je povinen Příjemce vrátit nadměrně vyplacenou částku ve lhůtě stanovené Poskytovatelem.</w:t>
      </w:r>
    </w:p>
    <w:p w:rsidR="00DF6F88" w:rsidRDefault="00437DAA">
      <w:pPr>
        <w:numPr>
          <w:ilvl w:val="0"/>
          <w:numId w:val="16"/>
        </w:numPr>
        <w:tabs>
          <w:tab w:val="clear" w:pos="502"/>
          <w:tab w:val="num" w:pos="426"/>
          <w:tab w:val="left" w:pos="567"/>
        </w:tabs>
        <w:ind w:left="360"/>
        <w:jc w:val="both"/>
        <w:rPr>
          <w:rFonts w:ascii="Arial" w:hAnsi="Arial" w:cs="Arial"/>
          <w:sz w:val="22"/>
          <w:szCs w:val="22"/>
          <w:lang w:eastAsia="cs-CZ"/>
        </w:rPr>
      </w:pPr>
      <w:r>
        <w:rPr>
          <w:rFonts w:ascii="Arial" w:hAnsi="Arial" w:cs="Arial"/>
          <w:sz w:val="22"/>
          <w:szCs w:val="22"/>
          <w:lang w:eastAsia="cs-CZ"/>
        </w:rPr>
        <w:t xml:space="preserve">V případě, že vícezdrojová vyrovnávací platba ve svém součtu  je vyrovnávací platbou nadměrnou, zavazuje se Příjemce vrátit Poskytovateli část nadměrné vyrovnávací platby odpovídající podílu Poskytovatele na celkové výši vícezdrojové vyrovnávací platby poskytnuté Příjemci na rok 2026 </w:t>
      </w:r>
      <w:r>
        <w:rPr>
          <w:rFonts w:ascii="Arial" w:hAnsi="Arial" w:cs="Arial"/>
          <w:b/>
          <w:bCs/>
          <w:sz w:val="22"/>
          <w:szCs w:val="22"/>
          <w:lang w:eastAsia="cs-CZ"/>
        </w:rPr>
        <w:t xml:space="preserve">nejpozději do </w:t>
      </w:r>
      <w:proofErr w:type="gramStart"/>
      <w:r>
        <w:rPr>
          <w:rFonts w:ascii="Arial" w:hAnsi="Arial" w:cs="Arial"/>
          <w:b/>
          <w:bCs/>
          <w:sz w:val="22"/>
          <w:szCs w:val="22"/>
          <w:lang w:eastAsia="cs-CZ"/>
        </w:rPr>
        <w:t>30.6. roku</w:t>
      </w:r>
      <w:proofErr w:type="gramEnd"/>
      <w:r>
        <w:rPr>
          <w:rFonts w:ascii="Arial" w:hAnsi="Arial" w:cs="Arial"/>
          <w:b/>
          <w:bCs/>
          <w:sz w:val="22"/>
          <w:szCs w:val="22"/>
          <w:lang w:eastAsia="cs-CZ"/>
        </w:rPr>
        <w:t xml:space="preserve"> následujícího na účet poskytovatele č. 346662220/0300.</w:t>
      </w:r>
    </w:p>
    <w:p w:rsidR="00DF6F88" w:rsidRDefault="00437DAA">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rPr>
        <w:t>Neoprávněné použití nebo zadržení peněžních prostředků poskytnutých dle této smlouvy je porušením rozpočtové kázně, které je stíháno sankcemi dle zvláštního předpisu (§ 22 zákona č. 250/2000 Sb., o rozpočtových pravidlech územních samosprávných celků, ve znění pozdějších předpisů).</w:t>
      </w:r>
    </w:p>
    <w:p w:rsidR="00DF6F88" w:rsidRDefault="00437DAA">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rPr>
        <w:t xml:space="preserve">Poskytovatel je oprávněn odstoupit od této smlouvy v případě, že se kterákoliv ze skutečností uvedených Příjemcem v žádosti o dotaci dle této smlouvy ukáže jako nepravdivá, hrubě zkreslená nebo v případě, že Příjemce údaje podstatné pro rozhodování o poskytnutí dotace zamlčel. Odstoupením Poskytovatele od smlouvy zaniká tato smlouva ex </w:t>
      </w:r>
      <w:proofErr w:type="spellStart"/>
      <w:r>
        <w:rPr>
          <w:rFonts w:ascii="Arial" w:hAnsi="Arial" w:cs="Arial"/>
          <w:sz w:val="22"/>
          <w:szCs w:val="22"/>
        </w:rPr>
        <w:t>tunc</w:t>
      </w:r>
      <w:proofErr w:type="spellEnd"/>
      <w:r>
        <w:rPr>
          <w:rFonts w:ascii="Arial" w:hAnsi="Arial" w:cs="Arial"/>
          <w:sz w:val="22"/>
          <w:szCs w:val="22"/>
        </w:rPr>
        <w:t xml:space="preserve"> (od počátku) a Příjemce je povinen vrátit dotaci ve lhůtě stanovené Poskytovatelem.</w:t>
      </w:r>
    </w:p>
    <w:p w:rsidR="00DF6F88" w:rsidRDefault="00437DAA">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lang w:eastAsia="cs-CZ"/>
        </w:rPr>
        <w:t>Poskytnutá dotace je veřejnou finanční podporou ve smyslu zákona č. 320/2001 Sb., o finanční kontrole, ve znění pozdějších předpisů (dále jen „zákon o finanční kontrole“). Příslušné orgány města jsou oprávněny zejména v souladu s § 9 odst. 2 zákona o finanční kontrole provádět kontroly dodržení účelu a podmínek, za kterých byla dotace poskytnuta a čerpána. Příjemce dotace je povinen v termínu určeném městem strpět kontrolu účetnictví dle zákona o finanční kontrole. Dále je příjemce dotace povinen předložit kontrolním orgánům města k nahlédnutí originály všech účetních dokladů týkajících se dané sociální služby.</w:t>
      </w:r>
    </w:p>
    <w:p w:rsidR="00DF6F88" w:rsidRDefault="00437DAA">
      <w:pPr>
        <w:pStyle w:val="Default"/>
        <w:numPr>
          <w:ilvl w:val="0"/>
          <w:numId w:val="16"/>
        </w:numPr>
        <w:tabs>
          <w:tab w:val="num" w:pos="426"/>
        </w:tabs>
        <w:ind w:left="426" w:hanging="426"/>
        <w:jc w:val="both"/>
        <w:rPr>
          <w:rFonts w:ascii="Arial" w:hAnsi="Arial" w:cs="Arial"/>
          <w:sz w:val="22"/>
          <w:szCs w:val="22"/>
        </w:rPr>
      </w:pPr>
      <w:r>
        <w:rPr>
          <w:rFonts w:ascii="Arial" w:hAnsi="Arial" w:cs="Arial"/>
          <w:sz w:val="22"/>
          <w:szCs w:val="22"/>
          <w:lang w:eastAsia="cs-CZ"/>
        </w:rPr>
        <w:t>Příjemce dotace bere na vědomí, že porušení povinností vyplývajících z účelově vázané dotace, bude řešeno jako porušení rozpočtové kázně v souladu s příslušnými ustanoveními zákona č. 250/2000 Sb., o rozpočtových pravidlech územních rozpočtů, ve znění pozdějších předpisů.</w:t>
      </w:r>
    </w:p>
    <w:p w:rsidR="00DF6F88" w:rsidRDefault="00DF6F88">
      <w:pPr>
        <w:pStyle w:val="Default"/>
        <w:ind w:left="426"/>
        <w:jc w:val="both"/>
        <w:rPr>
          <w:rFonts w:ascii="Arial" w:hAnsi="Arial" w:cs="Arial"/>
          <w:sz w:val="22"/>
          <w:szCs w:val="22"/>
        </w:rPr>
      </w:pPr>
    </w:p>
    <w:p w:rsidR="00DF6F88" w:rsidRDefault="00DF6F88">
      <w:pPr>
        <w:pStyle w:val="Default"/>
        <w:ind w:left="426"/>
        <w:jc w:val="both"/>
        <w:rPr>
          <w:rFonts w:ascii="Arial" w:hAnsi="Arial" w:cs="Arial"/>
          <w:sz w:val="22"/>
          <w:szCs w:val="22"/>
        </w:rPr>
      </w:pPr>
    </w:p>
    <w:p w:rsidR="00DF6F88" w:rsidRDefault="00DF6F88">
      <w:pPr>
        <w:rPr>
          <w:rFonts w:ascii="Arial" w:hAnsi="Arial" w:cs="Arial"/>
          <w:sz w:val="22"/>
          <w:szCs w:val="22"/>
        </w:rPr>
      </w:pPr>
    </w:p>
    <w:p w:rsidR="00DF6F88" w:rsidRDefault="00437DAA">
      <w:pPr>
        <w:jc w:val="center"/>
        <w:rPr>
          <w:rFonts w:ascii="Arial" w:hAnsi="Arial" w:cs="Arial"/>
          <w:b/>
          <w:sz w:val="22"/>
          <w:szCs w:val="22"/>
        </w:rPr>
      </w:pPr>
      <w:r>
        <w:rPr>
          <w:rFonts w:ascii="Arial" w:hAnsi="Arial" w:cs="Arial"/>
          <w:b/>
          <w:sz w:val="22"/>
          <w:szCs w:val="22"/>
        </w:rPr>
        <w:t>Čl. VII</w:t>
      </w:r>
    </w:p>
    <w:p w:rsidR="00DF6F88" w:rsidRDefault="00437DAA">
      <w:pPr>
        <w:ind w:left="708"/>
        <w:jc w:val="center"/>
        <w:rPr>
          <w:rFonts w:ascii="Arial" w:hAnsi="Arial" w:cs="Arial"/>
          <w:b/>
          <w:sz w:val="22"/>
          <w:szCs w:val="22"/>
        </w:rPr>
      </w:pPr>
      <w:r>
        <w:rPr>
          <w:rFonts w:ascii="Arial" w:hAnsi="Arial" w:cs="Arial"/>
          <w:b/>
          <w:sz w:val="22"/>
          <w:szCs w:val="22"/>
        </w:rPr>
        <w:t>Společná a závěrečná ustanovení</w:t>
      </w:r>
    </w:p>
    <w:p w:rsidR="00DF6F88" w:rsidRDefault="00DF6F88">
      <w:pPr>
        <w:pStyle w:val="Default"/>
        <w:tabs>
          <w:tab w:val="left" w:pos="360"/>
        </w:tabs>
        <w:jc w:val="center"/>
        <w:rPr>
          <w:rFonts w:ascii="Arial" w:hAnsi="Arial" w:cs="Arial"/>
          <w:b/>
          <w:sz w:val="22"/>
          <w:szCs w:val="22"/>
        </w:rPr>
      </w:pPr>
    </w:p>
    <w:p w:rsidR="00DF6F88" w:rsidRDefault="00437DAA">
      <w:pPr>
        <w:tabs>
          <w:tab w:val="left" w:pos="360"/>
        </w:tabs>
        <w:ind w:left="2880"/>
        <w:jc w:val="both"/>
        <w:rPr>
          <w:rFonts w:ascii="Arial" w:hAnsi="Arial" w:cs="Arial"/>
          <w:sz w:val="22"/>
          <w:szCs w:val="22"/>
        </w:rPr>
      </w:pPr>
      <w:r>
        <w:rPr>
          <w:rFonts w:ascii="Arial" w:hAnsi="Arial" w:cs="Arial"/>
          <w:sz w:val="22"/>
          <w:szCs w:val="22"/>
        </w:rPr>
        <w:t xml:space="preserve">  </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Poskytovatel konstatuje, že u Příjemce byla vykonána předběžná finanční kontrola se zjištěním, že Příjemce vyhovuje podmínkám pro poskytnutí shora uvedené vyrovnávací platby formou dotace.</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lastRenderedPageBreak/>
        <w:t>Příjemce bere na vědomí, že poskytnutí dotace z Dotačního programu sociálních služeb ORP Vrchlabí na rok 2026 je důvodem pro neposkytnutí individuální dotace pro stejný účel z jednotlivých rozpočtů obcí ORP Vrchlabí.</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Příjemce se zavazuje uvést na svých webových stránkách a v dalších materiálech (výroční zpráva apod.), že sociální služba je spolufinancována obcemi ORP Vrchlabí z Fondu sdíleného financování sociálních služeb na území ORP Vrchlabí.</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Tato Smlouva je vyhotovena ve dvou originálech po jedné pro každou smluvní stranu.</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 xml:space="preserve">Příjemce dotace bere na vědomí, že tato smlouva včetně dodatků podléhá povinnému zveřejnění v registru smluv, a to na základě </w:t>
      </w:r>
      <w:proofErr w:type="spellStart"/>
      <w:r>
        <w:rPr>
          <w:rFonts w:ascii="Arial" w:hAnsi="Arial" w:cs="Arial"/>
          <w:sz w:val="22"/>
          <w:szCs w:val="22"/>
        </w:rPr>
        <w:t>ust</w:t>
      </w:r>
      <w:proofErr w:type="spellEnd"/>
      <w:r>
        <w:rPr>
          <w:rFonts w:ascii="Arial" w:hAnsi="Arial" w:cs="Arial"/>
          <w:sz w:val="22"/>
          <w:szCs w:val="22"/>
        </w:rPr>
        <w:t>. § 2 odst. 1 písm. b) zákona č. 340/2015 Sb., o zvláštních podmínkách účinnosti některých smluv, uveřejňování těchto smluv a o registru smluv (zákon o registru smluv), ve znění pozdějších předpisů. Toto zveřejnění zajistí Poskytovatel.</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lang w:eastAsia="cs-CZ"/>
        </w:rPr>
        <w:t>Tato smlouva vychází z platných dokumentů k Fondu sdíleného financování sociálních služeb na území ORP Vrchlabí, konkrétně ze Statutu, Pravidel čerpání Fondu a smluv s obcemi o finančním příspěvku do Fondu.</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Všechny změny a doplňky této smlouvy budou činěny výhradně číslovanými písemnými dodatky, které budou podepsány oběma smluvními stranami.</w:t>
      </w:r>
    </w:p>
    <w:p w:rsidR="00DF6F88" w:rsidRPr="00604E56" w:rsidRDefault="00437DAA">
      <w:pPr>
        <w:numPr>
          <w:ilvl w:val="0"/>
          <w:numId w:val="3"/>
        </w:numPr>
        <w:tabs>
          <w:tab w:val="clear" w:pos="3240"/>
          <w:tab w:val="left" w:pos="360"/>
          <w:tab w:val="num" w:pos="720"/>
        </w:tabs>
        <w:ind w:left="357" w:hanging="357"/>
        <w:jc w:val="both"/>
        <w:rPr>
          <w:rFonts w:ascii="Arial" w:hAnsi="Arial" w:cs="Arial"/>
          <w:sz w:val="22"/>
          <w:szCs w:val="22"/>
        </w:rPr>
      </w:pPr>
      <w:r w:rsidRPr="00604E56">
        <w:rPr>
          <w:rFonts w:ascii="Arial" w:hAnsi="Arial" w:cs="Arial"/>
          <w:sz w:val="22"/>
          <w:szCs w:val="22"/>
        </w:rPr>
        <w:t xml:space="preserve">Uzavření této smlouvy bylo schváleno Zastupitelstvem města Vrchlabí na </w:t>
      </w:r>
      <w:r w:rsidR="00604E56" w:rsidRPr="00604E56">
        <w:rPr>
          <w:rFonts w:ascii="Arial" w:hAnsi="Arial" w:cs="Arial"/>
          <w:sz w:val="22"/>
          <w:szCs w:val="22"/>
        </w:rPr>
        <w:t xml:space="preserve">16. </w:t>
      </w:r>
      <w:r w:rsidRPr="00604E56">
        <w:rPr>
          <w:rFonts w:ascii="Arial" w:hAnsi="Arial" w:cs="Arial"/>
          <w:sz w:val="22"/>
          <w:szCs w:val="22"/>
        </w:rPr>
        <w:t xml:space="preserve">zasedání konaném dne </w:t>
      </w:r>
      <w:proofErr w:type="gramStart"/>
      <w:r w:rsidR="0057257A" w:rsidRPr="00604E56">
        <w:rPr>
          <w:rFonts w:ascii="Arial" w:hAnsi="Arial" w:cs="Arial"/>
          <w:sz w:val="22"/>
          <w:szCs w:val="22"/>
        </w:rPr>
        <w:t>03.06.2026</w:t>
      </w:r>
      <w:proofErr w:type="gramEnd"/>
      <w:r w:rsidRPr="00604E56">
        <w:rPr>
          <w:rFonts w:ascii="Arial" w:hAnsi="Arial" w:cs="Arial"/>
          <w:sz w:val="22"/>
          <w:szCs w:val="22"/>
        </w:rPr>
        <w:t xml:space="preserve"> (usnesení č.: </w:t>
      </w:r>
      <w:r w:rsidR="00CF61C0">
        <w:rPr>
          <w:rFonts w:ascii="Arial" w:hAnsi="Arial" w:cs="Arial"/>
          <w:sz w:val="22"/>
          <w:szCs w:val="22"/>
        </w:rPr>
        <w:t>235</w:t>
      </w:r>
      <w:r w:rsidR="00604E56" w:rsidRPr="00604E56">
        <w:rPr>
          <w:rFonts w:ascii="Arial" w:hAnsi="Arial" w:cs="Arial"/>
          <w:sz w:val="22"/>
          <w:szCs w:val="22"/>
        </w:rPr>
        <w:t>/16/ZM/2026)</w:t>
      </w:r>
      <w:r w:rsidRPr="00604E56">
        <w:rPr>
          <w:rFonts w:ascii="Arial" w:hAnsi="Arial" w:cs="Arial"/>
          <w:sz w:val="22"/>
          <w:szCs w:val="22"/>
        </w:rPr>
        <w:t xml:space="preserve">. </w:t>
      </w:r>
    </w:p>
    <w:p w:rsidR="00DF6F88" w:rsidRDefault="00437DAA">
      <w:pPr>
        <w:numPr>
          <w:ilvl w:val="0"/>
          <w:numId w:val="3"/>
        </w:numPr>
        <w:tabs>
          <w:tab w:val="clear" w:pos="3240"/>
          <w:tab w:val="left" w:pos="360"/>
          <w:tab w:val="num" w:pos="720"/>
        </w:tabs>
        <w:ind w:left="357" w:hanging="357"/>
        <w:jc w:val="both"/>
        <w:rPr>
          <w:rFonts w:ascii="Arial" w:hAnsi="Arial" w:cs="Arial"/>
          <w:sz w:val="22"/>
          <w:szCs w:val="22"/>
        </w:rPr>
      </w:pPr>
      <w:r>
        <w:rPr>
          <w:rFonts w:ascii="Arial" w:hAnsi="Arial" w:cs="Arial"/>
          <w:sz w:val="22"/>
          <w:szCs w:val="22"/>
        </w:rPr>
        <w:t>Tato smlouva nabývá platnosti dnem podpisu oběma smluvními stranami a účinnosti zveřejněním v registru smluv.</w:t>
      </w:r>
    </w:p>
    <w:p w:rsidR="00DF6F88" w:rsidRDefault="00DF6F88">
      <w:pPr>
        <w:jc w:val="both"/>
        <w:rPr>
          <w:rFonts w:ascii="Arial" w:hAnsi="Arial" w:cs="Arial"/>
          <w:b/>
          <w:bCs/>
          <w:sz w:val="22"/>
          <w:szCs w:val="22"/>
        </w:rPr>
      </w:pPr>
    </w:p>
    <w:p w:rsidR="00DF6F88" w:rsidRDefault="00DF6F88">
      <w:pPr>
        <w:jc w:val="both"/>
        <w:rPr>
          <w:rFonts w:ascii="Arial" w:hAnsi="Arial" w:cs="Arial"/>
          <w:b/>
          <w:bCs/>
          <w:sz w:val="22"/>
          <w:szCs w:val="22"/>
        </w:rPr>
      </w:pPr>
    </w:p>
    <w:p w:rsidR="00DF6F88" w:rsidRDefault="00DF6F88">
      <w:pPr>
        <w:jc w:val="both"/>
        <w:rPr>
          <w:rFonts w:ascii="Arial" w:hAnsi="Arial" w:cs="Arial"/>
          <w:b/>
          <w:bCs/>
          <w:sz w:val="22"/>
          <w:szCs w:val="22"/>
        </w:rPr>
      </w:pPr>
    </w:p>
    <w:p w:rsidR="00DF6F88" w:rsidRDefault="00DF6F88">
      <w:pPr>
        <w:jc w:val="both"/>
        <w:rPr>
          <w:rFonts w:ascii="Arial" w:hAnsi="Arial" w:cs="Arial"/>
          <w:b/>
          <w:bCs/>
          <w:sz w:val="22"/>
          <w:szCs w:val="22"/>
        </w:rPr>
      </w:pPr>
    </w:p>
    <w:p w:rsidR="00DF6F88" w:rsidRDefault="00437DAA">
      <w:pPr>
        <w:ind w:left="720" w:hanging="720"/>
        <w:jc w:val="both"/>
        <w:rPr>
          <w:rFonts w:ascii="Arial" w:hAnsi="Arial" w:cs="Arial"/>
          <w:b/>
          <w:sz w:val="22"/>
          <w:szCs w:val="22"/>
        </w:rPr>
      </w:pPr>
      <w:r>
        <w:rPr>
          <w:rFonts w:ascii="Arial" w:hAnsi="Arial" w:cs="Arial"/>
          <w:bCs/>
          <w:sz w:val="22"/>
          <w:szCs w:val="22"/>
        </w:rPr>
        <w:t>Ve Vrchlabí dne</w:t>
      </w:r>
    </w:p>
    <w:p w:rsidR="00DF6F88" w:rsidRDefault="00DF6F88">
      <w:pPr>
        <w:ind w:left="360"/>
        <w:jc w:val="both"/>
        <w:rPr>
          <w:rFonts w:ascii="Arial" w:hAnsi="Arial" w:cs="Arial"/>
          <w:b/>
          <w:sz w:val="22"/>
          <w:szCs w:val="22"/>
        </w:rPr>
      </w:pPr>
    </w:p>
    <w:p w:rsidR="00DF6F88" w:rsidRDefault="00DF6F88">
      <w:pPr>
        <w:jc w:val="both"/>
        <w:rPr>
          <w:rFonts w:ascii="Arial" w:hAnsi="Arial" w:cs="Arial"/>
          <w:b/>
          <w:sz w:val="22"/>
          <w:szCs w:val="22"/>
        </w:rPr>
      </w:pPr>
    </w:p>
    <w:p w:rsidR="00DF6F88" w:rsidRDefault="00437DAA">
      <w:pPr>
        <w:jc w:val="both"/>
        <w:rPr>
          <w:rFonts w:ascii="Arial" w:hAnsi="Arial" w:cs="Arial"/>
          <w:b/>
          <w:sz w:val="22"/>
          <w:szCs w:val="22"/>
        </w:rPr>
      </w:pPr>
      <w:r>
        <w:rPr>
          <w:rFonts w:ascii="Arial" w:hAnsi="Arial" w:cs="Arial"/>
          <w:sz w:val="22"/>
          <w:szCs w:val="22"/>
        </w:rPr>
        <w:t xml:space="preserve">Za  Poskytovatele: </w:t>
      </w:r>
      <w:proofErr w:type="gramStart"/>
      <w:r w:rsidR="00263B71">
        <w:rPr>
          <w:rFonts w:ascii="Arial" w:hAnsi="Arial" w:cs="Arial"/>
          <w:sz w:val="22"/>
          <w:szCs w:val="22"/>
        </w:rPr>
        <w:t>14.07.2026</w:t>
      </w:r>
      <w:proofErr w:type="gramEnd"/>
      <w:r>
        <w:rPr>
          <w:rFonts w:ascii="Arial" w:hAnsi="Arial" w:cs="Arial"/>
          <w:sz w:val="22"/>
          <w:szCs w:val="22"/>
        </w:rPr>
        <w:t xml:space="preserve">                                 </w:t>
      </w:r>
      <w:r w:rsidR="00263B71">
        <w:rPr>
          <w:rFonts w:ascii="Arial" w:hAnsi="Arial" w:cs="Arial"/>
          <w:sz w:val="22"/>
          <w:szCs w:val="22"/>
        </w:rPr>
        <w:t xml:space="preserve">      </w:t>
      </w:r>
      <w:bookmarkStart w:id="0" w:name="_GoBack"/>
      <w:bookmarkEnd w:id="0"/>
      <w:r>
        <w:rPr>
          <w:rFonts w:ascii="Arial" w:hAnsi="Arial" w:cs="Arial"/>
          <w:sz w:val="22"/>
          <w:szCs w:val="22"/>
        </w:rPr>
        <w:t>Za  Příjemce:</w:t>
      </w:r>
      <w:r w:rsidR="00263B71">
        <w:rPr>
          <w:rFonts w:ascii="Arial" w:hAnsi="Arial" w:cs="Arial"/>
          <w:sz w:val="22"/>
          <w:szCs w:val="22"/>
        </w:rPr>
        <w:t xml:space="preserve"> </w:t>
      </w:r>
      <w:proofErr w:type="gramStart"/>
      <w:r w:rsidR="00263B71">
        <w:rPr>
          <w:rFonts w:ascii="Arial" w:hAnsi="Arial" w:cs="Arial"/>
          <w:sz w:val="22"/>
          <w:szCs w:val="22"/>
        </w:rPr>
        <w:t>13.07.2026</w:t>
      </w:r>
      <w:proofErr w:type="gramEnd"/>
    </w:p>
    <w:p w:rsidR="00DF6F88" w:rsidRDefault="00DF6F88">
      <w:pPr>
        <w:ind w:left="360"/>
        <w:jc w:val="both"/>
        <w:rPr>
          <w:rFonts w:ascii="Arial" w:hAnsi="Arial" w:cs="Arial"/>
          <w:b/>
          <w:sz w:val="22"/>
          <w:szCs w:val="22"/>
        </w:rPr>
      </w:pPr>
    </w:p>
    <w:p w:rsidR="00DF6F88" w:rsidRDefault="00DF6F88">
      <w:pPr>
        <w:jc w:val="both"/>
        <w:rPr>
          <w:rFonts w:ascii="Arial" w:hAnsi="Arial" w:cs="Arial"/>
          <w:b/>
          <w:sz w:val="22"/>
          <w:szCs w:val="22"/>
        </w:rPr>
      </w:pPr>
    </w:p>
    <w:p w:rsidR="00DF6F88" w:rsidRDefault="00DF6F88">
      <w:pPr>
        <w:jc w:val="both"/>
        <w:rPr>
          <w:rFonts w:ascii="Arial" w:hAnsi="Arial" w:cs="Arial"/>
          <w:b/>
          <w:sz w:val="22"/>
          <w:szCs w:val="22"/>
        </w:rPr>
      </w:pPr>
    </w:p>
    <w:p w:rsidR="00DF6F88" w:rsidRDefault="00DF6F88">
      <w:pPr>
        <w:spacing w:line="276" w:lineRule="auto"/>
        <w:jc w:val="both"/>
        <w:rPr>
          <w:rFonts w:ascii="Arial" w:hAnsi="Arial" w:cs="Arial"/>
          <w:b/>
          <w:sz w:val="22"/>
          <w:szCs w:val="22"/>
        </w:rPr>
      </w:pPr>
    </w:p>
    <w:p w:rsidR="00DF6F88" w:rsidRDefault="00437DAA">
      <w:pPr>
        <w:tabs>
          <w:tab w:val="left" w:pos="5040"/>
        </w:tabs>
        <w:ind w:left="708" w:hanging="708"/>
        <w:jc w:val="both"/>
        <w:outlineLvl w:val="0"/>
        <w:rPr>
          <w:rFonts w:ascii="Arial" w:hAnsi="Arial" w:cs="Arial"/>
          <w:sz w:val="22"/>
          <w:szCs w:val="22"/>
        </w:rPr>
      </w:pPr>
      <w:r>
        <w:rPr>
          <w:rFonts w:ascii="Arial" w:hAnsi="Arial" w:cs="Arial"/>
          <w:sz w:val="22"/>
          <w:szCs w:val="22"/>
        </w:rPr>
        <w:t>Ing. Jan Sobotka</w:t>
      </w:r>
      <w:r w:rsidR="00263B71">
        <w:rPr>
          <w:rFonts w:ascii="Arial" w:hAnsi="Arial" w:cs="Arial"/>
          <w:sz w:val="22"/>
          <w:szCs w:val="22"/>
        </w:rPr>
        <w:t xml:space="preserve">, </w:t>
      </w:r>
      <w:proofErr w:type="gramStart"/>
      <w:r w:rsidR="00263B71">
        <w:rPr>
          <w:rFonts w:ascii="Arial" w:hAnsi="Arial" w:cs="Arial"/>
          <w:sz w:val="22"/>
          <w:szCs w:val="22"/>
        </w:rPr>
        <w:t>v.r.</w:t>
      </w:r>
      <w:proofErr w:type="gramEnd"/>
      <w:r>
        <w:rPr>
          <w:rFonts w:ascii="Arial" w:hAnsi="Arial" w:cs="Arial"/>
          <w:bCs/>
          <w:sz w:val="22"/>
          <w:szCs w:val="22"/>
        </w:rPr>
        <w:t xml:space="preserve">                               </w:t>
      </w:r>
      <w:r w:rsidR="00263B71">
        <w:rPr>
          <w:rFonts w:ascii="Arial" w:hAnsi="Arial" w:cs="Arial"/>
          <w:bCs/>
          <w:sz w:val="22"/>
          <w:szCs w:val="22"/>
        </w:rPr>
        <w:t xml:space="preserve">                        </w:t>
      </w:r>
      <w:proofErr w:type="spellStart"/>
      <w:r w:rsidR="00263B71">
        <w:rPr>
          <w:rFonts w:ascii="Arial" w:hAnsi="Arial" w:cs="Arial"/>
          <w:bCs/>
          <w:sz w:val="22"/>
          <w:szCs w:val="22"/>
        </w:rPr>
        <w:t>Mgr</w:t>
      </w:r>
      <w:proofErr w:type="spellEnd"/>
      <w:r w:rsidR="00263B71">
        <w:rPr>
          <w:rFonts w:ascii="Arial" w:hAnsi="Arial" w:cs="Arial"/>
          <w:bCs/>
          <w:sz w:val="22"/>
          <w:szCs w:val="22"/>
        </w:rPr>
        <w:t>.,</w:t>
      </w:r>
      <w:proofErr w:type="spellStart"/>
      <w:r w:rsidR="00263B71">
        <w:rPr>
          <w:rFonts w:ascii="Arial" w:hAnsi="Arial" w:cs="Arial"/>
          <w:bCs/>
          <w:sz w:val="22"/>
          <w:szCs w:val="22"/>
        </w:rPr>
        <w:t>PhDr</w:t>
      </w:r>
      <w:proofErr w:type="spellEnd"/>
      <w:r w:rsidR="00263B71">
        <w:rPr>
          <w:rFonts w:ascii="Arial" w:hAnsi="Arial" w:cs="Arial"/>
          <w:bCs/>
          <w:sz w:val="22"/>
          <w:szCs w:val="22"/>
        </w:rPr>
        <w:t xml:space="preserve"> Miroslav Novotný, </w:t>
      </w:r>
      <w:proofErr w:type="spellStart"/>
      <w:r w:rsidR="00263B71">
        <w:rPr>
          <w:rFonts w:ascii="Arial" w:hAnsi="Arial" w:cs="Arial"/>
          <w:bCs/>
          <w:sz w:val="22"/>
          <w:szCs w:val="22"/>
        </w:rPr>
        <w:t>DiS</w:t>
      </w:r>
      <w:proofErr w:type="spellEnd"/>
      <w:r w:rsidR="00263B71">
        <w:rPr>
          <w:rFonts w:ascii="Arial" w:hAnsi="Arial" w:cs="Arial"/>
          <w:bCs/>
          <w:sz w:val="22"/>
          <w:szCs w:val="22"/>
        </w:rPr>
        <w:t xml:space="preserve">., </w:t>
      </w:r>
      <w:proofErr w:type="gramStart"/>
      <w:r w:rsidR="00263B71">
        <w:rPr>
          <w:rFonts w:ascii="Arial" w:hAnsi="Arial" w:cs="Arial"/>
          <w:bCs/>
          <w:sz w:val="22"/>
          <w:szCs w:val="22"/>
        </w:rPr>
        <w:t>v.r.</w:t>
      </w:r>
      <w:proofErr w:type="gramEnd"/>
      <w:r>
        <w:rPr>
          <w:rFonts w:ascii="Arial" w:hAnsi="Arial" w:cs="Arial"/>
          <w:bCs/>
          <w:sz w:val="22"/>
          <w:szCs w:val="22"/>
        </w:rPr>
        <w:t xml:space="preserve">  </w:t>
      </w:r>
    </w:p>
    <w:p w:rsidR="00DF6F88" w:rsidRDefault="00437DAA">
      <w:pPr>
        <w:tabs>
          <w:tab w:val="left" w:pos="5040"/>
        </w:tabs>
        <w:ind w:left="708" w:hanging="708"/>
        <w:jc w:val="both"/>
        <w:outlineLvl w:val="0"/>
        <w:rPr>
          <w:rFonts w:ascii="Arial" w:hAnsi="Arial" w:cs="Arial"/>
          <w:bCs/>
          <w:sz w:val="22"/>
          <w:szCs w:val="22"/>
        </w:rPr>
      </w:pPr>
      <w:r>
        <w:rPr>
          <w:rFonts w:ascii="Arial" w:hAnsi="Arial" w:cs="Arial"/>
          <w:bCs/>
          <w:sz w:val="22"/>
          <w:szCs w:val="22"/>
        </w:rPr>
        <w:t xml:space="preserve">  starosta města                                                                       ředitel/ředitelka</w:t>
      </w:r>
      <w:r>
        <w:rPr>
          <w:rFonts w:ascii="Arial" w:hAnsi="Arial" w:cs="Arial"/>
          <w:bCs/>
          <w:sz w:val="22"/>
          <w:szCs w:val="22"/>
        </w:rPr>
        <w:tab/>
        <w:t xml:space="preserve">             </w:t>
      </w:r>
    </w:p>
    <w:p w:rsidR="00DF6F88" w:rsidRDefault="00437DAA">
      <w:pPr>
        <w:jc w:val="both"/>
        <w:rPr>
          <w:rFonts w:ascii="Arial" w:hAnsi="Arial" w:cs="Arial"/>
          <w:b/>
          <w:sz w:val="22"/>
          <w:szCs w:val="22"/>
        </w:rPr>
      </w:pPr>
      <w:r>
        <w:rPr>
          <w:rFonts w:ascii="Arial" w:hAnsi="Arial" w:cs="Arial"/>
          <w:b/>
          <w:sz w:val="22"/>
          <w:szCs w:val="22"/>
        </w:rPr>
        <w:t xml:space="preserve"> </w:t>
      </w: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ind w:left="360"/>
        <w:jc w:val="both"/>
        <w:rPr>
          <w:rFonts w:ascii="Arial" w:hAnsi="Arial" w:cs="Arial"/>
          <w:b/>
          <w:sz w:val="22"/>
          <w:szCs w:val="22"/>
        </w:rPr>
      </w:pPr>
    </w:p>
    <w:p w:rsidR="00DF6F88" w:rsidRDefault="00DF6F88">
      <w:pPr>
        <w:jc w:val="both"/>
        <w:rPr>
          <w:rFonts w:ascii="Arial" w:hAnsi="Arial" w:cs="Arial"/>
          <w:b/>
          <w:sz w:val="22"/>
          <w:szCs w:val="22"/>
        </w:rPr>
      </w:pPr>
    </w:p>
    <w:p w:rsidR="00DF6F88" w:rsidRDefault="00DF6F88">
      <w:pPr>
        <w:ind w:left="360"/>
        <w:jc w:val="both"/>
        <w:rPr>
          <w:rFonts w:ascii="Arial" w:hAnsi="Arial" w:cs="Arial"/>
          <w:b/>
          <w:sz w:val="22"/>
          <w:szCs w:val="22"/>
        </w:rPr>
      </w:pPr>
    </w:p>
    <w:sectPr w:rsidR="00DF6F88">
      <w:footerReference w:type="default" r:id="rId8"/>
      <w:pgSz w:w="11906" w:h="16838"/>
      <w:pgMar w:top="1134" w:right="1418" w:bottom="1276" w:left="1418" w:header="708"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A6" w:rsidRDefault="002B2FA6">
      <w:r>
        <w:separator/>
      </w:r>
    </w:p>
  </w:endnote>
  <w:endnote w:type="continuationSeparator" w:id="0">
    <w:p w:rsidR="002B2FA6" w:rsidRDefault="002B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0"/>
    <w:family w:val="auto"/>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auto"/>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88" w:rsidRDefault="00437DAA">
    <w:pPr>
      <w:pStyle w:val="Zpat"/>
    </w:pPr>
    <w:r>
      <w:rPr>
        <w:noProof/>
        <w:lang w:eastAsia="cs-CZ"/>
      </w:rPr>
      <mc:AlternateContent>
        <mc:Choice Requires="wps">
          <w:drawing>
            <wp:anchor distT="0" distB="0" distL="0" distR="0" simplePos="0" relativeHeight="524288" behindDoc="0" locked="0" layoutInCell="1" allowOverlap="1">
              <wp:simplePos x="0" y="0"/>
              <wp:positionH relativeFrom="margin">
                <wp:align>center</wp:align>
              </wp:positionH>
              <wp:positionV relativeFrom="paragraph">
                <wp:posOffset>635</wp:posOffset>
              </wp:positionV>
              <wp:extent cx="76200" cy="174625"/>
              <wp:effectExtent l="0" t="0" r="0" b="0"/>
              <wp:wrapSquare wrapText="bothSides"/>
              <wp:docPr id="1" name="_x0000_s2049"/>
              <wp:cNvGraphicFramePr/>
              <a:graphic xmlns:a="http://schemas.openxmlformats.org/drawingml/2006/main">
                <a:graphicData uri="http://schemas.microsoft.com/office/word/2010/wordprocessingShape">
                  <wps:wsp>
                    <wps:cNvSpPr txBox="1"/>
                    <wps:spPr bwMode="auto">
                      <a:xfrm>
                        <a:off x="0" y="0"/>
                        <a:ext cx="76200" cy="174625"/>
                      </a:xfrm>
                      <a:prstGeom prst="rect">
                        <a:avLst/>
                      </a:prstGeom>
                      <a:solidFill>
                        <a:srgbClr val="FFFFFF">
                          <a:alpha val="0"/>
                        </a:srgbClr>
                      </a:solidFill>
                      <a:ln>
                        <a:noFill/>
                      </a:ln>
                    </wps:spPr>
                    <wps:txbx>
                      <w:txbxContent>
                        <w:p w:rsidR="00DF6F88" w:rsidRDefault="00437DAA">
                          <w:pPr>
                            <w:pStyle w:val="Zpa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263B71">
                            <w:rPr>
                              <w:rStyle w:val="slostrnky"/>
                              <w:rFonts w:ascii="Arial" w:hAnsi="Arial" w:cs="Arial"/>
                              <w:noProof/>
                              <w:sz w:val="20"/>
                              <w:szCs w:val="20"/>
                            </w:rPr>
                            <w:t>5</w:t>
                          </w:r>
                          <w:r>
                            <w:rPr>
                              <w:rStyle w:val="slostrnky"/>
                              <w:rFonts w:ascii="Arial" w:hAnsi="Arial" w:cs="Arial"/>
                              <w:sz w:val="20"/>
                              <w:szCs w:val="20"/>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2049" o:spid="_x0000_s1026" type="#_x0000_t202" style="position:absolute;margin-left:0;margin-top:.05pt;width:6pt;height:13.75pt;z-index:524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" stroked="f">
              <v:fill opacity="0"/>
              <v:textbox inset="0,0,0,0">
                <w:txbxContent>
                  <w:p w:rsidR="00DF6F88" w:rsidRDefault="00437DAA">
                    <w:pPr>
                      <w:pStyle w:val="Zpa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263B71">
                      <w:rPr>
                        <w:rStyle w:val="slostrnky"/>
                        <w:rFonts w:ascii="Arial" w:hAnsi="Arial" w:cs="Arial"/>
                        <w:noProof/>
                        <w:sz w:val="20"/>
                        <w:szCs w:val="20"/>
                      </w:rPr>
                      <w:t>5</w:t>
                    </w:r>
                    <w:r>
                      <w:rPr>
                        <w:rStyle w:val="slostrnky"/>
                        <w:rFonts w:ascii="Arial" w:hAnsi="Arial" w:cs="Arial"/>
                        <w:sz w:val="20"/>
                        <w:szCs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A6" w:rsidRDefault="002B2FA6">
      <w:r>
        <w:separator/>
      </w:r>
    </w:p>
  </w:footnote>
  <w:footnote w:type="continuationSeparator" w:id="0">
    <w:p w:rsidR="002B2FA6" w:rsidRDefault="002B2F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FEE05C"/>
    <w:lvl w:ilvl="0">
      <w:start w:val="1"/>
      <w:numFmt w:val="decimal"/>
      <w:pStyle w:val="Nadpis1"/>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00000002"/>
    <w:multiLevelType w:val="multilevel"/>
    <w:tmpl w:val="A68E4196"/>
    <w:lvl w:ilvl="0">
      <w:start w:val="1"/>
      <w:numFmt w:val="decimal"/>
      <w:lvlText w:val="(%1)"/>
      <w:lvlJc w:val="left"/>
      <w:pPr>
        <w:tabs>
          <w:tab w:val="num" w:pos="360"/>
        </w:tabs>
        <w:ind w:left="360" w:hanging="360"/>
      </w:pPr>
      <w:rPr>
        <w:rFonts w:ascii="Arial" w:hAnsi="Arial" w:cs="Arial"/>
        <w:b w:val="0"/>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3"/>
    <w:multiLevelType w:val="multilevel"/>
    <w:tmpl w:val="975AEA7C"/>
    <w:lvl w:ilvl="0">
      <w:start w:val="1"/>
      <w:numFmt w:val="decimal"/>
      <w:lvlText w:val="(%1)"/>
      <w:lvlJc w:val="left"/>
      <w:pPr>
        <w:tabs>
          <w:tab w:val="num" w:pos="3240"/>
        </w:tabs>
        <w:ind w:left="3240" w:hanging="360"/>
      </w:pPr>
      <w:rPr>
        <w:rFonts w:ascii="Arial" w:hAnsi="Arial" w:cs="Arial"/>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004"/>
    <w:multiLevelType w:val="multilevel"/>
    <w:tmpl w:val="2F6C8732"/>
    <w:lvl w:ilvl="0">
      <w:start w:val="1"/>
      <w:numFmt w:val="decimal"/>
      <w:lvlText w:val="(%1)"/>
      <w:lvlJc w:val="left"/>
      <w:pPr>
        <w:tabs>
          <w:tab w:val="num" w:pos="720"/>
        </w:tabs>
        <w:ind w:left="72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005"/>
    <w:multiLevelType w:val="multilevel"/>
    <w:tmpl w:val="EDFC7024"/>
    <w:lvl w:ilvl="0">
      <w:start w:val="1"/>
      <w:numFmt w:val="decimal"/>
      <w:lvlText w:val="(%1)"/>
      <w:lvlJc w:val="left"/>
      <w:pPr>
        <w:tabs>
          <w:tab w:val="num" w:pos="720"/>
        </w:tabs>
        <w:ind w:left="72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006"/>
    <w:multiLevelType w:val="multilevel"/>
    <w:tmpl w:val="A5E82B88"/>
    <w:lvl w:ilvl="0">
      <w:start w:val="1"/>
      <w:numFmt w:val="decimal"/>
      <w:lvlText w:val="(%1)"/>
      <w:lvlJc w:val="left"/>
      <w:pPr>
        <w:tabs>
          <w:tab w:val="num" w:pos="900"/>
        </w:tabs>
        <w:ind w:left="900" w:hanging="360"/>
      </w:pPr>
      <w:rPr>
        <w:rFonts w:ascii="Arial" w:hAnsi="Arial" w:cs="Arial"/>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007"/>
    <w:multiLevelType w:val="multilevel"/>
    <w:tmpl w:val="7E52A3DA"/>
    <w:lvl w:ilvl="0">
      <w:start w:val="1"/>
      <w:numFmt w:val="decimal"/>
      <w:lvlText w:val="(%1)"/>
      <w:lvlJc w:val="left"/>
      <w:pPr>
        <w:tabs>
          <w:tab w:val="num" w:pos="900"/>
        </w:tabs>
        <w:ind w:left="90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4A2C0230"/>
    <w:lvl w:ilvl="0">
      <w:start w:val="1"/>
      <w:numFmt w:val="decimal"/>
      <w:lvlText w:val="(%1)"/>
      <w:lvlJc w:val="left"/>
      <w:pPr>
        <w:tabs>
          <w:tab w:val="num" w:pos="360"/>
        </w:tabs>
        <w:ind w:left="36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B965C2"/>
    <w:multiLevelType w:val="multilevel"/>
    <w:tmpl w:val="35A09B82"/>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A021D0"/>
    <w:multiLevelType w:val="multilevel"/>
    <w:tmpl w:val="56D6E5BC"/>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C85739D"/>
    <w:multiLevelType w:val="multilevel"/>
    <w:tmpl w:val="0C02247E"/>
    <w:lvl w:ilvl="0">
      <w:start w:val="1"/>
      <w:numFmt w:val="decimal"/>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44494F"/>
    <w:multiLevelType w:val="multilevel"/>
    <w:tmpl w:val="82940E0A"/>
    <w:lvl w:ilvl="0">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40DD1596"/>
    <w:multiLevelType w:val="multilevel"/>
    <w:tmpl w:val="D4D0F11C"/>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lvl>
    <w:lvl w:ilvl="2">
      <w:start w:val="1"/>
      <w:numFmt w:val="bullet"/>
      <w:pStyle w:val="Odrazka3"/>
      <w:lvlText w:val=""/>
      <w:lvlJc w:val="left"/>
      <w:pPr>
        <w:tabs>
          <w:tab w:val="num" w:pos="1304"/>
        </w:tabs>
        <w:ind w:left="1304" w:hanging="51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917ADC"/>
    <w:multiLevelType w:val="multilevel"/>
    <w:tmpl w:val="7B1695C2"/>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A84CAA"/>
    <w:multiLevelType w:val="multilevel"/>
    <w:tmpl w:val="BFF6FA6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535663D3"/>
    <w:multiLevelType w:val="multilevel"/>
    <w:tmpl w:val="0C5216E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56176ACB"/>
    <w:multiLevelType w:val="multilevel"/>
    <w:tmpl w:val="04267C2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F93FD5"/>
    <w:multiLevelType w:val="multilevel"/>
    <w:tmpl w:val="6038C5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33204E"/>
    <w:multiLevelType w:val="multilevel"/>
    <w:tmpl w:val="12084312"/>
    <w:lvl w:ilvl="0">
      <w:start w:val="1"/>
      <w:numFmt w:val="decimal"/>
      <w:lvlText w:val="(%1)"/>
      <w:lvlJc w:val="left"/>
      <w:pPr>
        <w:ind w:left="924" w:hanging="56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DC073C"/>
    <w:multiLevelType w:val="multilevel"/>
    <w:tmpl w:val="55CE41D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6295339F"/>
    <w:multiLevelType w:val="multilevel"/>
    <w:tmpl w:val="ABD23EA0"/>
    <w:lvl w:ilvl="0">
      <w:start w:val="1"/>
      <w:numFmt w:val="upperRoman"/>
      <w:lvlText w:val="%1."/>
      <w:lvlJc w:val="right"/>
      <w:pPr>
        <w:ind w:left="0" w:firstLine="0"/>
      </w:pPr>
      <w:rPr>
        <w:color w:val="000000"/>
      </w:rPr>
    </w:lvl>
    <w:lvl w:ilvl="1">
      <w:start w:val="1"/>
      <w:numFmt w:val="decimalZero"/>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rPr>
        <w:b w:val="0"/>
      </w:r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5DE4F2A"/>
    <w:multiLevelType w:val="multilevel"/>
    <w:tmpl w:val="F7D69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28790D"/>
    <w:multiLevelType w:val="multilevel"/>
    <w:tmpl w:val="83523F7C"/>
    <w:lvl w:ilvl="0">
      <w:start w:val="1"/>
      <w:numFmt w:val="decimal"/>
      <w:lvlText w:val="(%1)"/>
      <w:lvlJc w:val="left"/>
      <w:pPr>
        <w:tabs>
          <w:tab w:val="num" w:pos="502"/>
        </w:tabs>
        <w:ind w:left="502" w:hanging="360"/>
      </w:pPr>
      <w:rPr>
        <w:rFonts w:ascii="Arial" w:hAnsi="Arial" w:cs="Arial"/>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4F7295"/>
    <w:multiLevelType w:val="multilevel"/>
    <w:tmpl w:val="C20AA43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F331847"/>
    <w:multiLevelType w:val="multilevel"/>
    <w:tmpl w:val="3014D38E"/>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9"/>
  </w:num>
  <w:num w:numId="10">
    <w:abstractNumId w:val="13"/>
  </w:num>
  <w:num w:numId="11">
    <w:abstractNumId w:val="9"/>
  </w:num>
  <w:num w:numId="12">
    <w:abstractNumId w:val="17"/>
  </w:num>
  <w:num w:numId="13">
    <w:abstractNumId w:val="14"/>
  </w:num>
  <w:num w:numId="14">
    <w:abstractNumId w:val="1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1"/>
  </w:num>
  <w:num w:numId="18">
    <w:abstractNumId w:val="23"/>
  </w:num>
  <w:num w:numId="19">
    <w:abstractNumId w:val="10"/>
  </w:num>
  <w:num w:numId="20">
    <w:abstractNumId w:val="18"/>
  </w:num>
  <w:num w:numId="21">
    <w:abstractNumId w:val="20"/>
  </w:num>
  <w:num w:numId="22">
    <w:abstractNumId w:val="8"/>
  </w:num>
  <w:num w:numId="23">
    <w:abstractNumId w:val="16"/>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88"/>
    <w:rsid w:val="001C3E6F"/>
    <w:rsid w:val="00263B71"/>
    <w:rsid w:val="002B2FA6"/>
    <w:rsid w:val="002D2B36"/>
    <w:rsid w:val="002D58A5"/>
    <w:rsid w:val="00437DAA"/>
    <w:rsid w:val="0057257A"/>
    <w:rsid w:val="00604E56"/>
    <w:rsid w:val="006333E3"/>
    <w:rsid w:val="00721002"/>
    <w:rsid w:val="008A4681"/>
    <w:rsid w:val="00A34161"/>
    <w:rsid w:val="00CF61C0"/>
    <w:rsid w:val="00DF6F88"/>
    <w:rsid w:val="00E831D6"/>
    <w:rsid w:val="00EA2769"/>
    <w:rsid w:val="00ED2655"/>
    <w:rsid w:val="00F2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7AD"/>
  <w15:docId w15:val="{292476FD-0343-48B6-948A-809B94CB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numPr>
        <w:numId w:val="1"/>
      </w:numPr>
      <w:spacing w:before="240" w:after="60"/>
      <w:outlineLvl w:val="0"/>
    </w:pPr>
    <w:rPr>
      <w:rFonts w:ascii="Arial" w:hAnsi="Arial" w:cs="Arial"/>
      <w:b/>
      <w:bCs/>
      <w:sz w:val="32"/>
      <w:szCs w:val="32"/>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Odstavecseseznamem">
    <w:name w:val="List Paragraph"/>
    <w:basedOn w:val="Normln"/>
    <w:link w:val="OdstavecseseznamemChar"/>
    <w:uiPriority w:val="34"/>
    <w:qFormat/>
    <w:pPr>
      <w:ind w:left="708"/>
    </w:p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qFormat/>
    <w:pPr>
      <w:suppressLineNumbers/>
      <w:spacing w:before="120" w:after="120"/>
    </w:pPr>
    <w:rPr>
      <w:rFonts w:cs="Mangal"/>
      <w:i/>
      <w:iCs/>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uiPriority w:val="99"/>
    <w:unhideWhenUsed/>
    <w:rPr>
      <w:color w:val="0563C1"/>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customStyle="1" w:styleId="Rejstk">
    <w:name w:val="Rejstřík"/>
    <w:basedOn w:val="Normln"/>
    <w:pPr>
      <w:suppressLineNumbers/>
    </w:pPr>
    <w:rPr>
      <w:rFonts w:cs="Mangal"/>
    </w:rPr>
  </w:style>
  <w:style w:type="paragraph" w:customStyle="1" w:styleId="Default">
    <w:name w:val="Default"/>
    <w:rPr>
      <w:rFonts w:ascii="Tahoma" w:hAnsi="Tahoma" w:cs="Tahoma"/>
      <w:color w:val="000000"/>
      <w:sz w:val="24"/>
      <w:szCs w:val="24"/>
    </w:rPr>
  </w:style>
  <w:style w:type="paragraph" w:customStyle="1" w:styleId="Obsahrmce">
    <w:name w:val="Obsah rámce"/>
    <w:basedOn w:val="Normln"/>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Obsahtabulky">
    <w:name w:val="Obsah tabulky"/>
    <w:basedOn w:val="Normln"/>
    <w:pPr>
      <w:widowControl w:val="0"/>
    </w:pPr>
    <w:rPr>
      <w:rFonts w:ascii="Courier" w:hAnsi="Courier" w:cs="Courier"/>
      <w:lang w:eastAsia="cs-CZ"/>
    </w:rPr>
  </w:style>
  <w:style w:type="character" w:customStyle="1" w:styleId="OdstavecseseznamemChar">
    <w:name w:val="Odstavec se seznamem Char"/>
    <w:link w:val="Odstavecseseznamem"/>
    <w:uiPriority w:val="34"/>
    <w:rPr>
      <w:sz w:val="24"/>
      <w:szCs w:val="24"/>
      <w:lang w:eastAsia="zh-CN"/>
    </w:rPr>
  </w:style>
  <w:style w:type="paragraph" w:customStyle="1" w:styleId="Odrazka1">
    <w:name w:val="Odrazka 1"/>
    <w:basedOn w:val="Normln"/>
    <w:qFormat/>
    <w:pPr>
      <w:numPr>
        <w:numId w:val="25"/>
      </w:numPr>
      <w:spacing w:before="60" w:after="60" w:line="276" w:lineRule="auto"/>
      <w:jc w:val="both"/>
    </w:pPr>
    <w:rPr>
      <w:rFonts w:ascii="Calibri" w:hAnsi="Calibri"/>
      <w:lang w:eastAsia="cs-CZ"/>
    </w:rPr>
  </w:style>
  <w:style w:type="paragraph" w:customStyle="1" w:styleId="Odrazka2">
    <w:name w:val="Odrazka 2"/>
    <w:basedOn w:val="Odrazka1"/>
    <w:qFormat/>
    <w:pPr>
      <w:numPr>
        <w:ilvl w:val="1"/>
      </w:numPr>
    </w:pPr>
  </w:style>
  <w:style w:type="paragraph" w:customStyle="1" w:styleId="Odrazka3">
    <w:name w:val="Odrazka 3"/>
    <w:basedOn w:val="Odrazka2"/>
    <w:qFormat/>
    <w:pPr>
      <w:numPr>
        <w:ilvl w:val="2"/>
      </w:numPr>
      <w:tabs>
        <w:tab w:val="clear" w:pos="1304"/>
        <w:tab w:val="num" w:pos="360"/>
      </w:tabs>
      <w:ind w:left="1191"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muvrchlabi.cz:4433/portal/dota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1869</Words>
  <Characters>11029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POSKYTNUTÍ DOTACE</vt:lpstr>
    </vt:vector>
  </TitlesOfParts>
  <Company>MěU Vrchlabí</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dc:title>
  <dc:creator>VankovaDana</dc:creator>
  <cp:lastModifiedBy>ChlumovaLucie</cp:lastModifiedBy>
  <cp:revision>15</cp:revision>
  <dcterms:created xsi:type="dcterms:W3CDTF">2026-01-14T08:49:00Z</dcterms:created>
  <dcterms:modified xsi:type="dcterms:W3CDTF">2026-07-15T07:37:00Z</dcterms:modified>
  <cp:version>1048576</cp:version>
</cp:coreProperties>
</file>