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260" w:after="20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DODATEK č. 5</w:t>
      </w:r>
      <w:bookmarkEnd w:id="0"/>
      <w:bookmarkEnd w:id="1"/>
      <w:bookmarkEnd w:id="2"/>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ke smlouvě o dočasném zajištění služby dodání surové vody z české vodní nádrže Fláje po</w:t>
        <w:br/>
        <w:t>dobu sanace saského vodního díla Lichtenberg</w:t>
      </w:r>
    </w:p>
    <w:p>
      <w:pPr>
        <w:pStyle w:val="Style2"/>
        <w:keepNext w:val="0"/>
        <w:keepLines w:val="0"/>
        <w:widowControl w:val="0"/>
        <w:shd w:val="clear" w:color="auto" w:fill="auto"/>
        <w:tabs>
          <w:tab w:pos="2704" w:val="left"/>
        </w:tabs>
        <w:bidi w:val="0"/>
        <w:spacing w:before="0" w:after="0" w:line="240" w:lineRule="auto"/>
        <w:ind w:left="0" w:right="0" w:firstLine="160"/>
        <w:jc w:val="left"/>
      </w:pPr>
      <w:r>
        <w:rPr>
          <w:color w:val="000000"/>
          <w:spacing w:val="0"/>
          <w:w w:val="100"/>
          <w:position w:val="0"/>
          <w:shd w:val="clear" w:color="auto" w:fill="auto"/>
          <w:lang w:val="cs-CZ" w:eastAsia="cs-CZ" w:bidi="cs-CZ"/>
        </w:rPr>
        <w:t>uzavřená mezi</w:t>
        <w:tab/>
        <w:t>Svobodným státem Sasko</w:t>
      </w:r>
    </w:p>
    <w:p>
      <w:pPr>
        <w:pStyle w:val="Style2"/>
        <w:keepNext w:val="0"/>
        <w:keepLines w:val="0"/>
        <w:widowControl w:val="0"/>
        <w:shd w:val="clear" w:color="auto" w:fill="auto"/>
        <w:bidi w:val="0"/>
        <w:spacing w:before="0" w:line="240" w:lineRule="auto"/>
        <w:ind w:left="2700" w:right="0" w:firstLine="0"/>
        <w:jc w:val="left"/>
      </w:pPr>
      <w:r>
        <w:rPr>
          <w:color w:val="000000"/>
          <w:spacing w:val="0"/>
          <w:w w:val="100"/>
          <w:position w:val="0"/>
          <w:shd w:val="clear" w:color="auto" w:fill="auto"/>
          <w:lang w:val="cs-CZ" w:eastAsia="cs-CZ" w:bidi="cs-CZ"/>
        </w:rPr>
        <w:t>Státním ministerstvem energetiky, ochrany klimatu, životního prostředí a zemědělství</w:t>
      </w:r>
    </w:p>
    <w:p>
      <w:pPr>
        <w:pStyle w:val="Style2"/>
        <w:keepNext w:val="0"/>
        <w:keepLines w:val="0"/>
        <w:widowControl w:val="0"/>
        <w:shd w:val="clear" w:color="auto" w:fill="auto"/>
        <w:tabs>
          <w:tab w:pos="2704" w:val="left"/>
        </w:tabs>
        <w:bidi w:val="0"/>
        <w:spacing w:before="0" w:after="0" w:line="240" w:lineRule="auto"/>
        <w:ind w:left="0" w:right="0" w:firstLine="160"/>
        <w:jc w:val="left"/>
      </w:pPr>
      <w:r>
        <w:rPr>
          <w:color w:val="000000"/>
          <w:spacing w:val="0"/>
          <w:w w:val="100"/>
          <w:position w:val="0"/>
          <w:shd w:val="clear" w:color="auto" w:fill="auto"/>
          <w:lang w:val="cs-CZ" w:eastAsia="cs-CZ" w:bidi="cs-CZ"/>
        </w:rPr>
        <w:t>zastoupeným</w:t>
        <w:tab/>
        <w:t>Zemskou správou přehrad Svobodného státu Sasko</w:t>
      </w:r>
    </w:p>
    <w:p>
      <w:pPr>
        <w:pStyle w:val="Style2"/>
        <w:keepNext w:val="0"/>
        <w:keepLines w:val="0"/>
        <w:widowControl w:val="0"/>
        <w:shd w:val="clear" w:color="auto" w:fill="auto"/>
        <w:bidi w:val="0"/>
        <w:spacing w:before="0" w:line="240" w:lineRule="auto"/>
        <w:ind w:left="2700" w:right="0" w:firstLine="0"/>
        <w:jc w:val="left"/>
      </w:pPr>
      <w:r>
        <w:rPr>
          <w:color w:val="000000"/>
          <w:spacing w:val="0"/>
          <w:w w:val="100"/>
          <w:position w:val="0"/>
          <w:shd w:val="clear" w:color="auto" w:fill="auto"/>
          <w:lang w:val="de-DE" w:eastAsia="de-DE" w:bidi="de-DE"/>
        </w:rPr>
        <w:t xml:space="preserve">Bahnhofstraße </w:t>
      </w:r>
      <w:r>
        <w:rPr>
          <w:color w:val="000000"/>
          <w:spacing w:val="0"/>
          <w:w w:val="100"/>
          <w:position w:val="0"/>
          <w:shd w:val="clear" w:color="auto" w:fill="auto"/>
          <w:lang w:val="cs-CZ" w:eastAsia="cs-CZ" w:bidi="cs-CZ"/>
        </w:rPr>
        <w:t>14 01796 Pirna zastoupenou</w:t>
      </w:r>
    </w:p>
    <w:p>
      <w:pPr>
        <w:pStyle w:val="Style2"/>
        <w:keepNext w:val="0"/>
        <w:keepLines w:val="0"/>
        <w:widowControl w:val="0"/>
        <w:shd w:val="clear" w:color="auto" w:fill="auto"/>
        <w:bidi w:val="0"/>
        <w:spacing w:before="0" w:line="240" w:lineRule="auto"/>
        <w:ind w:left="2700" w:right="0" w:firstLine="0"/>
        <w:jc w:val="left"/>
      </w:pPr>
      <w:r>
        <w:rPr>
          <w:color w:val="000000"/>
          <w:spacing w:val="0"/>
          <w:w w:val="100"/>
          <w:position w:val="0"/>
          <w:shd w:val="clear" w:color="auto" w:fill="auto"/>
          <w:lang w:val="cs-CZ" w:eastAsia="cs-CZ" w:bidi="cs-CZ"/>
        </w:rPr>
        <w:t xml:space="preserve">DIČ: DE19952 1669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LTV</w:t>
      </w:r>
    </w:p>
    <w:p>
      <w:pPr>
        <w:pStyle w:val="Style2"/>
        <w:keepNext w:val="0"/>
        <w:keepLines w:val="0"/>
        <w:widowControl w:val="0"/>
        <w:shd w:val="clear" w:color="auto" w:fill="auto"/>
        <w:tabs>
          <w:tab w:pos="2704" w:val="left"/>
        </w:tabs>
        <w:bidi w:val="0"/>
        <w:spacing w:before="0" w:after="0" w:line="240" w:lineRule="auto"/>
        <w:ind w:left="0" w:right="0" w:firstLine="160"/>
        <w:jc w:val="left"/>
      </w:pPr>
      <w:r>
        <w:rPr>
          <w:color w:val="000000"/>
          <w:spacing w:val="0"/>
          <w:w w:val="100"/>
          <w:position w:val="0"/>
          <w:shd w:val="clear" w:color="auto" w:fill="auto"/>
          <w:lang w:val="cs-CZ" w:eastAsia="cs-CZ" w:bidi="cs-CZ"/>
        </w:rPr>
        <w:t>a</w:t>
        <w:tab/>
        <w:t>Státním podnikem Povodí Ohře</w:t>
      </w:r>
    </w:p>
    <w:p>
      <w:pPr>
        <w:pStyle w:val="Style2"/>
        <w:keepNext w:val="0"/>
        <w:keepLines w:val="0"/>
        <w:widowControl w:val="0"/>
        <w:shd w:val="clear" w:color="auto" w:fill="auto"/>
        <w:bidi w:val="0"/>
        <w:spacing w:before="0" w:line="240" w:lineRule="auto"/>
        <w:ind w:left="2700" w:right="0" w:firstLine="0"/>
        <w:jc w:val="left"/>
      </w:pPr>
      <w:r>
        <w:rPr>
          <w:color w:val="000000"/>
          <w:spacing w:val="0"/>
          <w:w w:val="100"/>
          <w:position w:val="0"/>
          <w:shd w:val="clear" w:color="auto" w:fill="auto"/>
          <w:lang w:val="cs-CZ" w:eastAsia="cs-CZ" w:bidi="cs-CZ"/>
        </w:rPr>
        <w:t>Bezručova 4219 CZ – 430 03 Chomutov</w:t>
      </w:r>
    </w:p>
    <w:p>
      <w:pPr>
        <w:pStyle w:val="Style2"/>
        <w:keepNext w:val="0"/>
        <w:keepLines w:val="0"/>
        <w:widowControl w:val="0"/>
        <w:shd w:val="clear" w:color="auto" w:fill="auto"/>
        <w:bidi w:val="0"/>
        <w:spacing w:before="0" w:after="0" w:line="240" w:lineRule="auto"/>
        <w:ind w:left="270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440" w:line="240" w:lineRule="auto"/>
        <w:ind w:left="2700" w:right="0" w:firstLine="0"/>
        <w:jc w:val="left"/>
      </w:pPr>
      <w:r>
        <w:rPr>
          <w:color w:val="000000"/>
          <w:spacing w:val="0"/>
          <w:w w:val="100"/>
          <w:position w:val="0"/>
          <w:shd w:val="clear" w:color="auto" w:fill="auto"/>
          <w:lang w:val="cs-CZ" w:eastAsia="cs-CZ" w:bidi="cs-CZ"/>
        </w:rPr>
        <w:t>DIČ: CZ70889988</w:t>
      </w:r>
    </w:p>
    <w:p>
      <w:pPr>
        <w:pStyle w:val="Style2"/>
        <w:keepNext w:val="0"/>
        <w:keepLines w:val="0"/>
        <w:widowControl w:val="0"/>
        <w:shd w:val="clear" w:color="auto" w:fill="auto"/>
        <w:bidi w:val="0"/>
        <w:spacing w:before="0" w:after="1940" w:line="240" w:lineRule="auto"/>
        <w:ind w:left="270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dále jen: </w:t>
      </w:r>
      <w:r>
        <w:rPr>
          <w:b/>
          <w:bCs/>
          <w:color w:val="000000"/>
          <w:spacing w:val="0"/>
          <w:w w:val="100"/>
          <w:position w:val="0"/>
          <w:shd w:val="clear" w:color="auto" w:fill="auto"/>
          <w:lang w:val="cs-CZ" w:eastAsia="cs-CZ" w:bidi="cs-CZ"/>
        </w:rPr>
        <w:t>POh</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PRVNÍ ČÁST</w:t>
      </w:r>
    </w:p>
    <w:p>
      <w:pPr>
        <w:pStyle w:val="Style4"/>
        <w:keepNext/>
        <w:keepLines/>
        <w:widowControl w:val="0"/>
        <w:shd w:val="clear" w:color="auto" w:fill="auto"/>
        <w:bidi w:val="0"/>
        <w:spacing w:before="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Účel dodatku</w:t>
      </w:r>
      <w:bookmarkEnd w:id="3"/>
      <w:bookmarkEnd w:id="4"/>
      <w:bookmarkEnd w:id="5"/>
    </w:p>
    <w:p>
      <w:pPr>
        <w:pStyle w:val="Style2"/>
        <w:keepNext w:val="0"/>
        <w:keepLines w:val="0"/>
        <w:widowControl w:val="0"/>
        <w:shd w:val="clear" w:color="auto" w:fill="auto"/>
        <w:bidi w:val="0"/>
        <w:spacing w:before="0" w:after="260"/>
        <w:ind w:left="0" w:right="0" w:firstLine="160"/>
        <w:jc w:val="left"/>
      </w:pPr>
      <w:r>
        <w:rPr>
          <w:color w:val="000000"/>
          <w:spacing w:val="0"/>
          <w:w w:val="100"/>
          <w:position w:val="0"/>
          <w:shd w:val="clear" w:color="auto" w:fill="auto"/>
          <w:lang w:val="cs-CZ" w:eastAsia="cs-CZ" w:bidi="cs-CZ"/>
        </w:rPr>
        <w:t>Prostřednictvím tohoto dodatku se původní ujednání smlouvy mění následujícími ustanoveními:</w:t>
      </w:r>
    </w:p>
    <w:p>
      <w:pPr>
        <w:pStyle w:val="Style2"/>
        <w:keepNext w:val="0"/>
        <w:keepLines w:val="0"/>
        <w:widowControl w:val="0"/>
        <w:shd w:val="clear" w:color="auto" w:fill="auto"/>
        <w:bidi w:val="0"/>
        <w:spacing w:before="0" w:after="220"/>
        <w:ind w:left="380" w:right="0" w:hanging="380"/>
        <w:jc w:val="left"/>
      </w:pPr>
      <w:r>
        <w:rPr>
          <w:color w:val="000000"/>
          <w:spacing w:val="0"/>
          <w:w w:val="100"/>
          <w:position w:val="0"/>
          <w:shd w:val="clear" w:color="auto" w:fill="auto"/>
          <w:lang w:val="cs-CZ" w:eastAsia="cs-CZ" w:bidi="cs-CZ"/>
        </w:rPr>
        <w:t>1) V souladu s ustanovením § 4 Odměna bude v bodě (1) odpovídajícím způsobem aktualizována odměna za plnění pro rok 2026 dle uvedených pravidel. Inflace v České republice byla za rok 2025 stanovena Českým statistickým úřadem na 2,5 %. Zvýšení odměny za plnění se sjednává na maximálně povolených 2,5 % ročně.</w:t>
      </w:r>
    </w:p>
    <w:p>
      <w:pPr>
        <w:pStyle w:val="Style2"/>
        <w:keepNext w:val="0"/>
        <w:keepLines w:val="0"/>
        <w:widowControl w:val="0"/>
        <w:shd w:val="clear" w:color="auto" w:fill="auto"/>
        <w:bidi w:val="0"/>
        <w:spacing w:before="0" w:after="540"/>
        <w:ind w:left="380" w:right="0" w:hanging="380"/>
        <w:jc w:val="both"/>
      </w:pPr>
      <w:r>
        <w:rPr>
          <w:color w:val="000000"/>
          <w:spacing w:val="0"/>
          <w:w w:val="100"/>
          <w:position w:val="0"/>
          <w:shd w:val="clear" w:color="auto" w:fill="auto"/>
          <w:lang w:val="cs-CZ" w:eastAsia="cs-CZ" w:bidi="cs-CZ"/>
        </w:rPr>
        <w:t>2) Při jednáních o poskytování dodatečných množství vody z nádrže Fláje mezi LTV a POh byly pro rok 2026 dohodnuty dodatečné objemy vody na období květen až říjen 2026. Současně je otevřena možnost na další množství až do konce trvání smlouvy, avšak bez pevného závazku ze strany POh, a to s podmínkou, že toto dodatečné množství musí být k dispozici v nádrži Fláje.</w:t>
      </w:r>
    </w:p>
    <w:p>
      <w:pPr>
        <w:pStyle w:val="Style2"/>
        <w:keepNext w:val="0"/>
        <w:keepLines w:val="0"/>
        <w:widowControl w:val="0"/>
        <w:shd w:val="clear" w:color="auto" w:fill="auto"/>
        <w:bidi w:val="0"/>
        <w:spacing w:before="0" w:after="260"/>
        <w:ind w:left="0" w:right="0" w:firstLine="0"/>
        <w:jc w:val="center"/>
      </w:pPr>
      <w:r>
        <w:rPr>
          <w:b/>
          <w:bCs/>
          <w:color w:val="000000"/>
          <w:spacing w:val="0"/>
          <w:w w:val="100"/>
          <w:position w:val="0"/>
          <w:shd w:val="clear" w:color="auto" w:fill="auto"/>
          <w:lang w:val="cs-CZ" w:eastAsia="cs-CZ" w:bidi="cs-CZ"/>
        </w:rPr>
        <w:t>DRUHÁ ČÁST</w:t>
        <w:br/>
        <w:t>Předmět dodatku</w:t>
        <w:br/>
        <w:t>§ 1</w:t>
        <w:br/>
        <w:t>Předmět smlouvy</w:t>
      </w:r>
    </w:p>
    <w:p>
      <w:pPr>
        <w:pStyle w:val="Style2"/>
        <w:keepNext w:val="0"/>
        <w:keepLines w:val="0"/>
        <w:widowControl w:val="0"/>
        <w:shd w:val="clear" w:color="auto" w:fill="auto"/>
        <w:bidi w:val="0"/>
        <w:spacing w:before="0" w:after="260"/>
        <w:ind w:left="0" w:right="0" w:firstLine="160"/>
        <w:jc w:val="left"/>
      </w:pPr>
      <w:r>
        <w:rPr>
          <w:color w:val="000000"/>
          <w:spacing w:val="0"/>
          <w:w w:val="100"/>
          <w:position w:val="0"/>
          <w:shd w:val="clear" w:color="auto" w:fill="auto"/>
          <w:lang w:val="cs-CZ" w:eastAsia="cs-CZ" w:bidi="cs-CZ"/>
        </w:rPr>
        <w:t>Bod (1) se nahrazuje tímto novým zněním:</w:t>
      </w:r>
    </w:p>
    <w:p>
      <w:pPr>
        <w:pStyle w:val="Style2"/>
        <w:keepNext w:val="0"/>
        <w:keepLines w:val="0"/>
        <w:widowControl w:val="0"/>
        <w:shd w:val="clear" w:color="auto" w:fill="auto"/>
        <w:bidi w:val="0"/>
        <w:spacing w:before="0" w:after="0"/>
        <w:ind w:left="380" w:right="0" w:hanging="380"/>
        <w:jc w:val="both"/>
      </w:pPr>
      <w:r>
        <w:rPr>
          <w:color w:val="000000"/>
          <w:spacing w:val="0"/>
          <w:w w:val="100"/>
          <w:position w:val="0"/>
          <w:shd w:val="clear" w:color="auto" w:fill="auto"/>
          <w:lang w:val="cs-CZ" w:eastAsia="cs-CZ" w:bidi="cs-CZ"/>
        </w:rPr>
        <w:t>(1) POh poskytuje plnění spočívající v zajištění dodatečného množství vody ke zvýšení průtoku nad minimální průtok na měřicím profilu Český Jiřetín (referenční úroveň) z nynějších 75 l/s o 40 l/s na minimálně 115 l/s pro dobu uvedenou v § 2 odst. 1.</w:t>
      </w:r>
    </w:p>
    <w:p>
      <w:pPr>
        <w:pStyle w:val="Style2"/>
        <w:keepNext w:val="0"/>
        <w:keepLines w:val="0"/>
        <w:widowControl w:val="0"/>
        <w:shd w:val="clear" w:color="auto" w:fill="auto"/>
        <w:bidi w:val="0"/>
        <w:spacing w:before="0" w:after="0"/>
        <w:ind w:left="380" w:right="0" w:firstLine="60"/>
        <w:jc w:val="both"/>
      </w:pPr>
      <w:r>
        <w:rPr>
          <w:color w:val="000000"/>
          <w:spacing w:val="0"/>
          <w:w w:val="100"/>
          <w:position w:val="0"/>
          <w:shd w:val="clear" w:color="auto" w:fill="auto"/>
          <w:lang w:val="cs-CZ" w:eastAsia="cs-CZ" w:bidi="cs-CZ"/>
        </w:rPr>
        <w:t>POh dále poskytne od 1. května do 31. října 2026, nad množství uvedená ve větě 1, dodatečné množství vody ke zvýšení průtoku nad minimální průtok na měřicím profilu Český Jiřetín o 20 l/s na minimálně 135 l/s.</w:t>
      </w:r>
    </w:p>
    <w:p>
      <w:pPr>
        <w:pStyle w:val="Style2"/>
        <w:keepNext w:val="0"/>
        <w:keepLines w:val="0"/>
        <w:widowControl w:val="0"/>
        <w:shd w:val="clear" w:color="auto" w:fill="auto"/>
        <w:bidi w:val="0"/>
        <w:spacing w:before="0" w:after="840"/>
        <w:ind w:left="380" w:right="0" w:firstLine="60"/>
        <w:jc w:val="both"/>
      </w:pPr>
      <w:r>
        <w:rPr>
          <w:color w:val="000000"/>
          <w:spacing w:val="0"/>
          <w:w w:val="100"/>
          <w:position w:val="0"/>
          <w:shd w:val="clear" w:color="auto" w:fill="auto"/>
          <w:lang w:val="cs-CZ" w:eastAsia="cs-CZ" w:bidi="cs-CZ"/>
        </w:rPr>
        <w:t>Pro období od 1. listopadu 2026 do 31. prosince 2027 je sjednána pro POh volitelná možnost poskytnutí dodatečného množství vody ke zvýšení průtoku nad minimální průtok na měřicím profilu Český Jiřetín o 20 l/s na minimálně 135 l/s, a to na základě žádosti LTV, zaslané POh, nejméně 30 dní před požadovaným začátkem plnění. POh rozhodne o žádosti a do 10 dní před požadovaným začátkem plnění sdělí LTV, zda poskytnutí provede, nebo tuto žádost odmítne.</w:t>
      </w:r>
    </w:p>
    <w:p>
      <w:pPr>
        <w:pStyle w:val="Style4"/>
        <w:keepNext/>
        <w:keepLines/>
        <w:widowControl w:val="0"/>
        <w:shd w:val="clear" w:color="auto" w:fill="auto"/>
        <w:bidi w:val="0"/>
        <w:spacing w:before="0"/>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4</w:t>
        <w:br/>
        <w:t>Odměna</w:t>
      </w:r>
      <w:bookmarkEnd w:id="6"/>
      <w:bookmarkEnd w:id="7"/>
      <w:bookmarkEnd w:id="8"/>
    </w:p>
    <w:p>
      <w:pPr>
        <w:pStyle w:val="Style2"/>
        <w:keepNext w:val="0"/>
        <w:keepLines w:val="0"/>
        <w:widowControl w:val="0"/>
        <w:shd w:val="clear" w:color="auto" w:fill="auto"/>
        <w:bidi w:val="0"/>
        <w:spacing w:before="0" w:after="260"/>
        <w:ind w:left="0" w:right="0" w:firstLine="160"/>
        <w:jc w:val="left"/>
      </w:pPr>
      <w:r>
        <w:rPr>
          <w:color w:val="000000"/>
          <w:spacing w:val="0"/>
          <w:w w:val="100"/>
          <w:position w:val="0"/>
          <w:shd w:val="clear" w:color="auto" w:fill="auto"/>
          <w:lang w:val="cs-CZ" w:eastAsia="cs-CZ" w:bidi="cs-CZ"/>
        </w:rPr>
        <w:t>Bod (1) a bod (2) se nahrazuje tímto novým zněním:</w:t>
      </w:r>
    </w:p>
    <w:p>
      <w:pPr>
        <w:pStyle w:val="Style2"/>
        <w:keepNext w:val="0"/>
        <w:keepLines w:val="0"/>
        <w:widowControl w:val="0"/>
        <w:numPr>
          <w:ilvl w:val="0"/>
          <w:numId w:val="1"/>
        </w:numPr>
        <w:shd w:val="clear" w:color="auto" w:fill="auto"/>
        <w:tabs>
          <w:tab w:pos="422" w:val="left"/>
        </w:tabs>
        <w:bidi w:val="0"/>
        <w:spacing w:before="0" w:after="0"/>
        <w:ind w:left="380" w:right="0" w:hanging="380"/>
        <w:jc w:val="both"/>
      </w:pPr>
      <w:bookmarkStart w:id="9" w:name="bookmark9"/>
      <w:bookmarkEnd w:id="9"/>
      <w:r>
        <w:rPr>
          <w:color w:val="000000"/>
          <w:spacing w:val="0"/>
          <w:w w:val="100"/>
          <w:position w:val="0"/>
          <w:shd w:val="clear" w:color="auto" w:fill="auto"/>
          <w:lang w:val="cs-CZ" w:eastAsia="cs-CZ" w:bidi="cs-CZ"/>
        </w:rPr>
        <w:t>Odměna za plnění podle § 1 bude rozdělena do dvou částí. Výše odměny platí pro rok 2026. Odměna za celoroční dohodnuté zvýšení průtoků o 40 l/s na 115 l/s v profilu Český Jiřetín činí 8,114 milionu CZK/rok (bez DPH). Odměna za dodatečné navýšení průtoku o 20 l/s na 135 l/s v profilu Český Jiřetín v období od května do října roku 2026 činí 2,029 mil. CZK bez DPH. Možné využití volby v roce 2027 bude samostatně upraveno podle pravidel této smlouvy a bude zaúčtováno zvlášť. DPH, která činí v současnosti 21 %, bude uplatněna v souladu s platným právem České republiky ke dni poskytování služby. Cena služby za příslušný další kalendářní rok bude stanovena vždy do 30.11. příslušného předchozího roku formou dodatku ke smlouvě. Meziroční zvýšení ceny je v rámci míry inflace podle údajů Českého statistického úřadu přípustné až do 2,5 %.</w:t>
      </w:r>
    </w:p>
    <w:p>
      <w:pPr>
        <w:pStyle w:val="Style2"/>
        <w:keepNext w:val="0"/>
        <w:keepLines w:val="0"/>
        <w:widowControl w:val="0"/>
        <w:numPr>
          <w:ilvl w:val="0"/>
          <w:numId w:val="1"/>
        </w:numPr>
        <w:shd w:val="clear" w:color="auto" w:fill="auto"/>
        <w:tabs>
          <w:tab w:pos="422" w:val="left"/>
        </w:tabs>
        <w:bidi w:val="0"/>
        <w:spacing w:before="0" w:after="260"/>
        <w:ind w:left="380" w:right="0" w:hanging="380"/>
        <w:jc w:val="both"/>
      </w:pPr>
      <w:bookmarkStart w:id="10" w:name="bookmark10"/>
      <w:bookmarkEnd w:id="10"/>
      <w:r>
        <w:rPr>
          <w:color w:val="000000"/>
          <w:spacing w:val="0"/>
          <w:w w:val="100"/>
          <w:position w:val="0"/>
          <w:shd w:val="clear" w:color="auto" w:fill="auto"/>
          <w:lang w:val="cs-CZ" w:eastAsia="cs-CZ" w:bidi="cs-CZ"/>
        </w:rPr>
        <w:t>Služby, které nebudou poskytnuty v celé své předpokládané délce, budou odměňovány měsíčním alikvotním podílem 1/12, respektive 1/6 částky podle předpokládaných dob trvání nadlepšení uvedených v odst. 1.</w:t>
      </w:r>
      <w:r>
        <w:br w:type="page"/>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TŘETÍ ČÁST</w:t>
      </w:r>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Společná ustanovení</w:t>
      </w:r>
    </w:p>
    <w:p>
      <w:pPr>
        <w:pStyle w:val="Style2"/>
        <w:keepNext w:val="0"/>
        <w:keepLines w:val="0"/>
        <w:widowControl w:val="0"/>
        <w:numPr>
          <w:ilvl w:val="0"/>
          <w:numId w:val="3"/>
        </w:numPr>
        <w:shd w:val="clear" w:color="auto" w:fill="auto"/>
        <w:tabs>
          <w:tab w:pos="902" w:val="left"/>
        </w:tabs>
        <w:bidi w:val="0"/>
        <w:spacing w:before="0" w:after="0"/>
        <w:ind w:left="880" w:right="0" w:hanging="360"/>
        <w:jc w:val="left"/>
      </w:pPr>
      <w:bookmarkStart w:id="11" w:name="bookmark11"/>
      <w:bookmarkEnd w:id="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3"/>
        </w:numPr>
        <w:shd w:val="clear" w:color="auto" w:fill="auto"/>
        <w:tabs>
          <w:tab w:pos="902" w:val="left"/>
        </w:tabs>
        <w:bidi w:val="0"/>
        <w:spacing w:before="0" w:after="0"/>
        <w:ind w:left="0" w:right="0" w:firstLine="520"/>
        <w:jc w:val="left"/>
      </w:pPr>
      <w:bookmarkStart w:id="12" w:name="bookmark12"/>
      <w:bookmarkEnd w:id="12"/>
      <w:r>
        <w:rPr>
          <w:color w:val="000000"/>
          <w:spacing w:val="0"/>
          <w:w w:val="100"/>
          <w:position w:val="0"/>
          <w:shd w:val="clear" w:color="auto" w:fill="auto"/>
          <w:lang w:val="cs-CZ" w:eastAsia="cs-CZ" w:bidi="cs-CZ"/>
        </w:rPr>
        <w:t>Ostatní body smlouvy se nemění.</w:t>
      </w:r>
    </w:p>
    <w:p>
      <w:pPr>
        <w:pStyle w:val="Style2"/>
        <w:keepNext w:val="0"/>
        <w:keepLines w:val="0"/>
        <w:widowControl w:val="0"/>
        <w:numPr>
          <w:ilvl w:val="0"/>
          <w:numId w:val="3"/>
        </w:numPr>
        <w:shd w:val="clear" w:color="auto" w:fill="auto"/>
        <w:tabs>
          <w:tab w:pos="902" w:val="left"/>
        </w:tabs>
        <w:bidi w:val="0"/>
        <w:spacing w:before="0" w:after="0"/>
        <w:ind w:left="880" w:right="0" w:hanging="360"/>
        <w:jc w:val="left"/>
      </w:pPr>
      <w:bookmarkStart w:id="13" w:name="bookmark13"/>
      <w:bookmarkEnd w:id="13"/>
      <w:r>
        <w:rPr>
          <w:color w:val="000000"/>
          <w:spacing w:val="0"/>
          <w:w w:val="100"/>
          <w:position w:val="0"/>
          <w:shd w:val="clear" w:color="auto" w:fill="auto"/>
          <w:lang w:val="cs-CZ" w:eastAsia="cs-CZ" w:bidi="cs-CZ"/>
        </w:rPr>
        <w:t>Tato dodatek č. 5 je vyhotoven ve čtyřech stejnopisech v německém a českém jazyce; každá smluvní strana obdrží dva výtisky tohoto dodatku.</w:t>
      </w:r>
    </w:p>
    <w:p>
      <w:pPr>
        <w:pStyle w:val="Style2"/>
        <w:keepNext w:val="0"/>
        <w:keepLines w:val="0"/>
        <w:widowControl w:val="0"/>
        <w:numPr>
          <w:ilvl w:val="0"/>
          <w:numId w:val="3"/>
        </w:numPr>
        <w:shd w:val="clear" w:color="auto" w:fill="auto"/>
        <w:tabs>
          <w:tab w:pos="902" w:val="left"/>
        </w:tabs>
        <w:bidi w:val="0"/>
        <w:spacing w:before="0" w:after="1740" w:line="266" w:lineRule="auto"/>
        <w:ind w:left="880" w:right="0" w:hanging="360"/>
        <w:jc w:val="left"/>
      </w:pPr>
      <w:bookmarkStart w:id="14" w:name="bookmark14"/>
      <w:bookmarkEnd w:id="14"/>
      <w:r>
        <w:rPr>
          <w:color w:val="000000"/>
          <w:spacing w:val="0"/>
          <w:w w:val="100"/>
          <w:position w:val="0"/>
          <w:shd w:val="clear" w:color="auto" w:fill="auto"/>
          <w:lang w:val="cs-CZ" w:eastAsia="cs-CZ" w:bidi="cs-CZ"/>
        </w:rPr>
        <w:t>Tento dodatek nabývá platnosti dnem podpisu oběma smluvními stranami a účinnosti nabývá zveřejněním v registru smluv.</w:t>
      </w:r>
    </w:p>
    <w:p>
      <w:pPr>
        <w:pStyle w:val="Style2"/>
        <w:keepNext w:val="0"/>
        <w:keepLines w:val="0"/>
        <w:widowControl w:val="0"/>
        <w:shd w:val="clear" w:color="auto" w:fill="auto"/>
        <w:bidi w:val="0"/>
        <w:spacing w:before="0" w:line="240" w:lineRule="auto"/>
        <w:ind w:left="37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897255</wp:posOffset>
                </wp:positionH>
                <wp:positionV relativeFrom="paragraph">
                  <wp:posOffset>12700</wp:posOffset>
                </wp:positionV>
                <wp:extent cx="1511935" cy="548640"/>
                <wp:wrapSquare wrapText="right"/>
                <wp:docPr id="1" name="Shape 1"/>
                <a:graphic xmlns:a="http://schemas.openxmlformats.org/drawingml/2006/main">
                  <a:graphicData uri="http://schemas.microsoft.com/office/word/2010/wordprocessingShape">
                    <wps:wsp>
                      <wps:cNvSpPr txBox="1"/>
                      <wps:spPr>
                        <a:xfrm>
                          <a:ext cx="1511935" cy="54864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Pirna,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Zemská správa přehrad</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650000000000006pt;margin-top:1.pt;width:119.05pt;height:43.2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Pirna,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Zemská správa přehrad</w:t>
                      </w:r>
                    </w:p>
                  </w:txbxContent>
                </v:textbox>
                <w10:wrap type="square" side="right" anchorx="page"/>
              </v:shape>
            </w:pict>
          </mc:Fallback>
        </mc:AlternateContent>
      </w:r>
      <w:r>
        <w:rPr>
          <w:color w:val="000000"/>
          <w:spacing w:val="0"/>
          <w:w w:val="100"/>
          <w:position w:val="0"/>
          <w:shd w:val="clear" w:color="auto" w:fill="auto"/>
          <w:lang w:val="cs-CZ" w:eastAsia="cs-CZ" w:bidi="cs-CZ"/>
        </w:rPr>
        <w:t>Chomutov,</w:t>
      </w:r>
    </w:p>
    <w:p>
      <w:pPr>
        <w:pStyle w:val="Style2"/>
        <w:keepNext w:val="0"/>
        <w:keepLines w:val="0"/>
        <w:widowControl w:val="0"/>
        <w:shd w:val="clear" w:color="auto" w:fill="auto"/>
        <w:bidi w:val="0"/>
        <w:spacing w:before="0" w:after="260" w:line="240" w:lineRule="auto"/>
        <w:ind w:left="3740" w:right="0" w:firstLine="0"/>
        <w:jc w:val="left"/>
      </w:pPr>
      <w:r>
        <w:rPr>
          <w:color w:val="000000"/>
          <w:spacing w:val="0"/>
          <w:w w:val="100"/>
          <w:position w:val="0"/>
          <w:shd w:val="clear" w:color="auto" w:fill="auto"/>
          <w:lang w:val="cs-CZ" w:eastAsia="cs-CZ" w:bidi="cs-CZ"/>
        </w:rPr>
        <w:t>Povodí Ohře, státní podnik</w:t>
      </w:r>
    </w:p>
    <w:sectPr>
      <w:headerReference w:type="default" r:id="rId5"/>
      <w:footerReference w:type="default" r:id="rId6"/>
      <w:footnotePr>
        <w:pos w:val="pageBottom"/>
        <w:numFmt w:val="decimal"/>
        <w:numRestart w:val="continuous"/>
      </w:footnotePr>
      <w:pgSz w:w="11909" w:h="16838"/>
      <w:pgMar w:top="1368" w:left="1216" w:right="1020" w:bottom="176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6359525</wp:posOffset>
              </wp:positionH>
              <wp:positionV relativeFrom="page">
                <wp:posOffset>9909175</wp:posOffset>
              </wp:positionV>
              <wp:extent cx="460375" cy="170815"/>
              <wp:wrapNone/>
              <wp:docPr id="6" name="Shape 6"/>
              <a:graphic xmlns:a="http://schemas.openxmlformats.org/drawingml/2006/main">
                <a:graphicData uri="http://schemas.microsoft.com/office/word/2010/wordprocessingShape">
                  <wps:wsp>
                    <wps:cNvSpPr txBox="1"/>
                    <wps:spPr>
                      <a:xfrm>
                        <a:ext cx="46037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2" type="#_x0000_t202" style="position:absolute;margin-left:500.75pt;margin-top:780.25pt;width:36.25pt;height:13.4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878840</wp:posOffset>
              </wp:positionH>
              <wp:positionV relativeFrom="page">
                <wp:posOffset>441960</wp:posOffset>
              </wp:positionV>
              <wp:extent cx="5745480" cy="182880"/>
              <wp:wrapNone/>
              <wp:docPr id="3" name="Shape 3"/>
              <a:graphic xmlns:a="http://schemas.openxmlformats.org/drawingml/2006/main">
                <a:graphicData uri="http://schemas.microsoft.com/office/word/2010/wordprocessingShape">
                  <wps:wsp>
                    <wps:cNvSpPr txBox="1"/>
                    <wps:spPr>
                      <a:xfrm>
                        <a:ext cx="5745480" cy="182880"/>
                      </a:xfrm>
                      <a:prstGeom prst="rect"/>
                      <a:noFill/>
                    </wps:spPr>
                    <wps:txbx>
                      <w:txbxContent>
                        <w:p>
                          <w:pPr>
                            <w:pStyle w:val="Style6"/>
                            <w:keepNext w:val="0"/>
                            <w:keepLines w:val="0"/>
                            <w:widowControl w:val="0"/>
                            <w:shd w:val="clear" w:color="auto" w:fill="auto"/>
                            <w:tabs>
                              <w:tab w:pos="9048" w:val="right"/>
                            </w:tabs>
                            <w:bidi w:val="0"/>
                            <w:spacing w:before="0" w:after="0" w:line="240" w:lineRule="auto"/>
                            <w:ind w:left="0" w:right="0" w:firstLine="0"/>
                            <w:jc w:val="left"/>
                            <w:rPr>
                              <w:sz w:val="22"/>
                              <w:szCs w:val="22"/>
                            </w:rPr>
                          </w:pPr>
                          <w:r>
                            <w:rPr>
                              <w:rFonts w:ascii="Arial" w:eastAsia="Arial" w:hAnsi="Arial" w:cs="Arial"/>
                              <w:i/>
                              <w:iCs/>
                              <w:color w:val="000000"/>
                              <w:spacing w:val="0"/>
                              <w:w w:val="100"/>
                              <w:position w:val="0"/>
                              <w:sz w:val="22"/>
                              <w:szCs w:val="22"/>
                              <w:shd w:val="clear" w:color="auto" w:fill="auto"/>
                              <w:lang w:val="cs-CZ" w:eastAsia="cs-CZ" w:bidi="cs-CZ"/>
                            </w:rPr>
                            <w:t>číslo smlouvy LTV: 45 001 44277</w:t>
                            <w:tab/>
                            <w:t>číslo smlouvy POh: 798/2020</w:t>
                          </w:r>
                        </w:p>
                      </w:txbxContent>
                    </wps:txbx>
                    <wps:bodyPr lIns="0" tIns="0" rIns="0" bIns="0">
                      <a:spAutoFit/>
                    </wps:bodyPr>
                  </wps:wsp>
                </a:graphicData>
              </a:graphic>
            </wp:anchor>
          </w:drawing>
        </mc:Choice>
        <mc:Fallback>
          <w:pict>
            <v:shape id="_x0000_s1029" type="#_x0000_t202" style="position:absolute;margin-left:69.200000000000003pt;margin-top:34.800000000000004pt;width:452.40000000000003pt;height:14.4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48" w:val="right"/>
                      </w:tabs>
                      <w:bidi w:val="0"/>
                      <w:spacing w:before="0" w:after="0" w:line="240" w:lineRule="auto"/>
                      <w:ind w:left="0" w:right="0" w:firstLine="0"/>
                      <w:jc w:val="left"/>
                      <w:rPr>
                        <w:sz w:val="22"/>
                        <w:szCs w:val="22"/>
                      </w:rPr>
                    </w:pPr>
                    <w:r>
                      <w:rPr>
                        <w:rFonts w:ascii="Arial" w:eastAsia="Arial" w:hAnsi="Arial" w:cs="Arial"/>
                        <w:i/>
                        <w:iCs/>
                        <w:color w:val="000000"/>
                        <w:spacing w:val="0"/>
                        <w:w w:val="100"/>
                        <w:position w:val="0"/>
                        <w:sz w:val="22"/>
                        <w:szCs w:val="22"/>
                        <w:shd w:val="clear" w:color="auto" w:fill="auto"/>
                        <w:lang w:val="cs-CZ" w:eastAsia="cs-CZ" w:bidi="cs-CZ"/>
                      </w:rPr>
                      <w:t>číslo smlouvy LTV: 45 001 44277</w:t>
                      <w:tab/>
                      <w:t>číslo smlouvy POh: 798/2020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875665</wp:posOffset>
              </wp:positionH>
              <wp:positionV relativeFrom="page">
                <wp:posOffset>627380</wp:posOffset>
              </wp:positionV>
              <wp:extent cx="5940425" cy="0"/>
              <wp:wrapNone/>
              <wp:docPr id="5" name="Shape 5"/>
              <a:graphic xmlns:a="http://schemas.openxmlformats.org/drawingml/2006/main">
                <a:graphicData uri="http://schemas.microsoft.com/office/word/2010/wordprocessingShape">
                  <wps:wsp>
                    <wps:cNvCnPr/>
                    <wps:spPr>
                      <a:xfrm>
                        <a:ext cx="5940425" cy="0"/>
                      </a:xfrm>
                      <a:prstGeom prst="straightConnector1"/>
                      <a:ln w="12700">
                        <a:solidFill/>
                      </a:ln>
                    </wps:spPr>
                    <wps:bodyPr/>
                  </wps:wsp>
                </a:graphicData>
              </a:graphic>
            </wp:anchor>
          </w:drawing>
        </mc:Choice>
        <mc:Fallback>
          <w:pict>
            <v:shape o:spt="32" o:oned="true" path="m,l21600,21600e" style="position:absolute;margin-left:68.950000000000003pt;margin-top:49.399999999999999pt;width:467.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line="276" w:lineRule="auto"/>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60" w:line="276" w:lineRule="auto"/>
      <w:jc w:val="center"/>
      <w:outlineLvl w:val="0"/>
    </w:pPr>
    <w:rPr>
      <w:rFonts w:ascii="Arial" w:eastAsia="Arial" w:hAnsi="Arial" w:cs="Arial"/>
      <w:b/>
      <w:bCs/>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