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val="0"/>
        <w:keepLines w:val="0"/>
        <w:widowControl w:val="0"/>
        <w:shd w:val="clear" w:color="auto" w:fill="auto"/>
        <w:bidi w:val="0"/>
        <w:spacing w:line="240" w:lineRule="auto"/>
        <w:ind w:left="0" w:right="0" w:firstLine="0"/>
        <w:jc w:val="both"/>
      </w:pPr>
      <w:r>
        <w:rPr>
          <w:color w:val="000000"/>
          <w:spacing w:val="0"/>
          <w:w w:val="100"/>
          <w:position w:val="0"/>
          <w:shd w:val="clear" w:color="auto" w:fill="auto"/>
          <w:lang w:val="cs-CZ" w:eastAsia="cs-CZ" w:bidi="cs-CZ"/>
        </w:rPr>
        <w:t>Čj.: UZSVM/P/304625/2026-PKVM</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Bezručova 4219, 430 03 Chomutov,</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který zastupuje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zapsaný v obchodním rejstříku vedeném Krajským soudem v Ústí n. L., oddíl A, vložka 13052, IČO: 70889988, DIČ: CZ70889988</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„předávající“</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Česká republika - Úřad pro zastupování státu ve věcech majetkových</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Rašínovo nábřeží 390/42, 128 00 Praha 2</w:t>
      </w:r>
    </w:p>
    <w:p>
      <w:pPr>
        <w:pStyle w:val="Style11"/>
        <w:keepNext/>
        <w:keepLines/>
        <w:widowControl w:val="0"/>
        <w:shd w:val="clear" w:color="auto" w:fill="auto"/>
        <w:bidi w:val="0"/>
        <w:spacing w:before="0" w:after="0" w:line="240" w:lineRule="auto"/>
        <w:ind w:left="0" w:right="0" w:firstLine="0"/>
        <w:jc w:val="both"/>
      </w:pPr>
      <w:bookmarkStart w:id="0" w:name="bookmark0"/>
      <w:bookmarkStart w:id="1" w:name="bookmark1"/>
      <w:bookmarkStart w:id="2" w:name="bookmark2"/>
      <w:r>
        <w:rPr>
          <w:color w:val="000000"/>
          <w:spacing w:val="0"/>
          <w:w w:val="100"/>
          <w:position w:val="0"/>
          <w:shd w:val="clear" w:color="auto" w:fill="auto"/>
          <w:lang w:val="cs-CZ" w:eastAsia="cs-CZ" w:bidi="cs-CZ"/>
        </w:rPr>
        <w:t>za kterou právně jedná</w:t>
      </w:r>
      <w:bookmarkEnd w:id="0"/>
      <w:bookmarkEnd w:id="1"/>
      <w:bookmarkEnd w:id="2"/>
    </w:p>
    <w:p>
      <w:pPr>
        <w:pStyle w:val="Style11"/>
        <w:keepNext/>
        <w:keepLines/>
        <w:widowControl w:val="0"/>
        <w:shd w:val="clear" w:color="auto" w:fill="auto"/>
        <w:bidi w:val="0"/>
        <w:spacing w:before="0" w:after="0" w:line="240" w:lineRule="auto"/>
        <w:ind w:left="0" w:right="0" w:firstLine="0"/>
        <w:jc w:val="both"/>
      </w:pPr>
      <w:bookmarkStart w:id="3" w:name="bookmark3"/>
      <w:bookmarkStart w:id="4" w:name="bookmark4"/>
      <w:bookmarkStart w:id="5" w:name="bookmark5"/>
      <w:r>
        <w:rPr>
          <w:color w:val="000000"/>
          <w:spacing w:val="0"/>
          <w:w w:val="100"/>
          <w:position w:val="0"/>
          <w:shd w:val="clear" w:color="auto" w:fill="auto"/>
          <w:lang w:val="cs-CZ" w:eastAsia="cs-CZ" w:bidi="cs-CZ"/>
        </w:rPr>
        <w:t>Územní pracoviště Plzeň, Radobyčická 14, 301 00 Plzeň, na základě Příkazu generálního ředitele č. 6/2019 v platném znění</w:t>
      </w:r>
      <w:bookmarkEnd w:id="3"/>
      <w:bookmarkEnd w:id="4"/>
      <w:bookmarkEnd w:id="5"/>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69797111</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„přejímající“</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420" w:line="240" w:lineRule="auto"/>
        <w:ind w:left="0" w:right="0" w:firstLine="0"/>
        <w:jc w:val="both"/>
      </w:pPr>
      <w:r>
        <w:rPr>
          <w:color w:val="000000"/>
          <w:spacing w:val="0"/>
          <w:w w:val="100"/>
          <w:position w:val="0"/>
          <w:shd w:val="clear" w:color="auto" w:fill="auto"/>
          <w:lang w:val="cs-CZ" w:eastAsia="cs-CZ" w:bidi="cs-CZ"/>
        </w:rPr>
        <w:t>uzavírají podle Usnesení vlády České republiky ze dne 26. června 2024 č. 422 o výsledku prověření nemovitostí státu a stanovení dalšího postupu (dále jen „Usnesení vlády“), podle zákona č. 77/1997 Sb., o státním podniku, ve znění pozdějších předpisů (dále jen „ZSP“), podle § 55 odst. 3 zákona č. 219/2000 Sb., o majetku České republiky a jejím vystupování v právních vztazích, ve znění pozdějších předpisů (dále jen „ZMS“), a podle § 1746 odst. 2 zákona č. 89/2012 Sb., občanský zákoník, ve znění pozdějších předpisů, tuto</w:t>
      </w:r>
    </w:p>
    <w:p>
      <w:pPr>
        <w:pStyle w:val="Style13"/>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SMLOUVU O PŘEDÁNÍ MAJETKU STÁTU Z PRÁVA HOSPODAŘIT</w:t>
        <w:br/>
        <w:t>STÁTNÍHO PODNIKU DO PŘÍSLUŠNOSTI HOSPODAŘIT ORGANIZAČNÍ</w:t>
        <w:br/>
        <w:t>SLOŽKY STÁTU</w:t>
      </w:r>
    </w:p>
    <w:p>
      <w:pPr>
        <w:pStyle w:val="Style2"/>
        <w:keepNext w:val="0"/>
        <w:keepLines w:val="0"/>
        <w:widowControl w:val="0"/>
        <w:shd w:val="clear" w:color="auto" w:fill="auto"/>
        <w:bidi w:val="0"/>
        <w:spacing w:before="0" w:after="2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č. přejímajícího UZSVM/P/304625/2026-PKVM</w:t>
        <w:br/>
        <w:t>č. předávajícího 707/2026</w:t>
      </w:r>
    </w:p>
    <w:p>
      <w:pPr>
        <w:pStyle w:val="Style2"/>
        <w:keepNext w:val="0"/>
        <w:keepLines w:val="0"/>
        <w:widowControl w:val="0"/>
        <w:shd w:val="clear" w:color="auto" w:fill="auto"/>
        <w:bidi w:val="0"/>
        <w:spacing w:before="0" w:after="0" w:line="480" w:lineRule="auto"/>
        <w:ind w:left="0" w:right="0" w:firstLine="0"/>
        <w:jc w:val="center"/>
      </w:pPr>
      <w:r>
        <w:rPr>
          <w:b/>
          <w:bCs/>
          <w:color w:val="000000"/>
          <w:spacing w:val="0"/>
          <w:w w:val="100"/>
          <w:position w:val="0"/>
          <w:shd w:val="clear" w:color="auto" w:fill="auto"/>
          <w:lang w:val="cs-CZ" w:eastAsia="cs-CZ" w:bidi="cs-CZ"/>
        </w:rPr>
        <w:t>Čl. I</w:t>
      </w:r>
    </w:p>
    <w:p>
      <w:pPr>
        <w:pStyle w:val="Style2"/>
        <w:keepNext w:val="0"/>
        <w:keepLines w:val="0"/>
        <w:widowControl w:val="0"/>
        <w:numPr>
          <w:ilvl w:val="0"/>
          <w:numId w:val="1"/>
        </w:numPr>
        <w:shd w:val="clear" w:color="auto" w:fill="auto"/>
        <w:tabs>
          <w:tab w:pos="382" w:val="left"/>
        </w:tabs>
        <w:bidi w:val="0"/>
        <w:spacing w:before="0" w:after="0" w:line="480" w:lineRule="auto"/>
        <w:ind w:left="0" w:right="0" w:firstLine="0"/>
        <w:jc w:val="left"/>
      </w:pPr>
      <w:bookmarkStart w:id="6" w:name="bookmark6"/>
      <w:bookmarkEnd w:id="6"/>
      <w:r>
        <w:rPr>
          <w:color w:val="000000"/>
          <w:spacing w:val="0"/>
          <w:w w:val="100"/>
          <w:position w:val="0"/>
          <w:shd w:val="clear" w:color="auto" w:fill="auto"/>
          <w:lang w:val="cs-CZ" w:eastAsia="cs-CZ" w:bidi="cs-CZ"/>
        </w:rPr>
        <w:t xml:space="preserve">Česká republika je vlastníkem a předávající má právo hospodařit s níže uvedeným majetkem: </w:t>
      </w:r>
      <w:r>
        <w:rPr>
          <w:b/>
          <w:bCs/>
          <w:color w:val="000000"/>
          <w:spacing w:val="0"/>
          <w:w w:val="100"/>
          <w:position w:val="0"/>
          <w:shd w:val="clear" w:color="auto" w:fill="auto"/>
          <w:lang w:val="cs-CZ" w:eastAsia="cs-CZ" w:bidi="cs-CZ"/>
        </w:rPr>
        <w:t>Pozemky:</w:t>
      </w:r>
    </w:p>
    <w:p>
      <w:pPr>
        <w:pStyle w:val="Style2"/>
        <w:keepNext w:val="0"/>
        <w:keepLines w:val="0"/>
        <w:widowControl w:val="0"/>
        <w:shd w:val="clear" w:color="auto" w:fill="auto"/>
        <w:bidi w:val="0"/>
        <w:spacing w:before="0" w:after="200" w:line="230" w:lineRule="auto"/>
        <w:ind w:left="7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p. č. 16 – </w:t>
      </w:r>
      <w:r>
        <w:rPr>
          <w:color w:val="000000"/>
          <w:spacing w:val="0"/>
          <w:w w:val="100"/>
          <w:position w:val="0"/>
          <w:shd w:val="clear" w:color="auto" w:fill="auto"/>
          <w:lang w:val="cs-CZ" w:eastAsia="cs-CZ" w:bidi="cs-CZ"/>
        </w:rPr>
        <w:t>druh pozemku: ostatní plocha, způsob využití: ostatní komunikace, hodnota v účetnictví činí 15.524,00 Kč</w:t>
      </w:r>
    </w:p>
    <w:p>
      <w:pPr>
        <w:pStyle w:val="Style2"/>
        <w:keepNext w:val="0"/>
        <w:keepLines w:val="0"/>
        <w:widowControl w:val="0"/>
        <w:shd w:val="clear" w:color="auto" w:fill="auto"/>
        <w:bidi w:val="0"/>
        <w:spacing w:before="0" w:after="200" w:line="230" w:lineRule="auto"/>
        <w:ind w:left="7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p. č. 23/2 - </w:t>
      </w:r>
      <w:r>
        <w:rPr>
          <w:color w:val="000000"/>
          <w:spacing w:val="0"/>
          <w:w w:val="100"/>
          <w:position w:val="0"/>
          <w:shd w:val="clear" w:color="auto" w:fill="auto"/>
          <w:lang w:val="cs-CZ" w:eastAsia="cs-CZ" w:bidi="cs-CZ"/>
        </w:rPr>
        <w:t>druh pozemku: ostatní plocha, způsob využití: ostatní komunikace, hodnota v účetnictví činí 1.518,00 Kč</w:t>
      </w:r>
    </w:p>
    <w:p>
      <w:pPr>
        <w:pStyle w:val="Style2"/>
        <w:keepNext w:val="0"/>
        <w:keepLines w:val="0"/>
        <w:widowControl w:val="0"/>
        <w:shd w:val="clear" w:color="auto" w:fill="auto"/>
        <w:bidi w:val="0"/>
        <w:spacing w:before="0" w:after="200" w:line="240" w:lineRule="auto"/>
        <w:ind w:left="740" w:right="0" w:hanging="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p. č. 69/2 - </w:t>
      </w:r>
      <w:r>
        <w:rPr>
          <w:color w:val="000000"/>
          <w:spacing w:val="0"/>
          <w:w w:val="100"/>
          <w:position w:val="0"/>
          <w:shd w:val="clear" w:color="auto" w:fill="auto"/>
          <w:lang w:val="cs-CZ" w:eastAsia="cs-CZ" w:bidi="cs-CZ"/>
        </w:rPr>
        <w:t>druh pozemku: zastavěná plocha a nádvoří, hodnota v účetnictví činí 6.195,00 Kč včetně stavby vodního díla: hráz přehrazující vodní tok nebo údolí, hodnota v účetnictví činí 83.946,00 Kč</w:t>
      </w:r>
    </w:p>
    <w:p>
      <w:pPr>
        <w:pStyle w:val="Style2"/>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 xml:space="preserve">zapsané na listu vlastnictví </w:t>
      </w:r>
      <w:r>
        <w:rPr>
          <w:b/>
          <w:bCs/>
          <w:color w:val="000000"/>
          <w:spacing w:val="0"/>
          <w:w w:val="100"/>
          <w:position w:val="0"/>
          <w:shd w:val="clear" w:color="auto" w:fill="auto"/>
          <w:lang w:val="cs-CZ" w:eastAsia="cs-CZ" w:bidi="cs-CZ"/>
        </w:rPr>
        <w:t>č. 62 pro katastrální území Vackovec</w:t>
      </w:r>
      <w:r>
        <w:rPr>
          <w:color w:val="000000"/>
          <w:spacing w:val="0"/>
          <w:w w:val="100"/>
          <w:position w:val="0"/>
          <w:shd w:val="clear" w:color="auto" w:fill="auto"/>
          <w:lang w:val="cs-CZ" w:eastAsia="cs-CZ" w:bidi="cs-CZ"/>
        </w:rPr>
        <w:t xml:space="preserve">, obec Milhostov, v katastru nemovitostí vedeném Katastrálním úřadem pro Karlovarský kraj, Katastrálním pracovištěm Cheb </w:t>
      </w:r>
      <w:r>
        <w:rPr>
          <w:b/>
          <w:bCs/>
          <w:color w:val="000000"/>
          <w:spacing w:val="0"/>
          <w:w w:val="100"/>
          <w:position w:val="0"/>
          <w:shd w:val="clear" w:color="auto" w:fill="auto"/>
          <w:lang w:val="cs-CZ" w:eastAsia="cs-CZ" w:bidi="cs-CZ"/>
        </w:rPr>
        <w:t>(dále jen „předávaný majetek“).</w:t>
      </w:r>
    </w:p>
    <w:p>
      <w:pPr>
        <w:pStyle w:val="Style2"/>
        <w:keepNext w:val="0"/>
        <w:keepLines w:val="0"/>
        <w:widowControl w:val="0"/>
        <w:numPr>
          <w:ilvl w:val="0"/>
          <w:numId w:val="1"/>
        </w:numPr>
        <w:shd w:val="clear" w:color="auto" w:fill="auto"/>
        <w:tabs>
          <w:tab w:pos="382" w:val="left"/>
        </w:tabs>
        <w:bidi w:val="0"/>
        <w:spacing w:before="0" w:line="240" w:lineRule="auto"/>
        <w:ind w:left="380" w:right="0" w:hanging="380"/>
        <w:jc w:val="both"/>
      </w:pPr>
      <w:bookmarkStart w:id="7" w:name="bookmark7"/>
      <w:bookmarkEnd w:id="7"/>
      <w:r>
        <w:rPr>
          <w:color w:val="000000"/>
          <w:spacing w:val="0"/>
          <w:w w:val="100"/>
          <w:position w:val="0"/>
          <w:shd w:val="clear" w:color="auto" w:fill="auto"/>
          <w:lang w:val="cs-CZ" w:eastAsia="cs-CZ" w:bidi="cs-CZ"/>
        </w:rPr>
        <w:t>Předávající je státní podnik, jehož současné právní poměry jsou upraveny ZSP a má právo hospodařit s předávaným majetkem.</w:t>
      </w:r>
    </w:p>
    <w:p>
      <w:pPr>
        <w:pStyle w:val="Style2"/>
        <w:keepNext w:val="0"/>
        <w:keepLines w:val="0"/>
        <w:widowControl w:val="0"/>
        <w:numPr>
          <w:ilvl w:val="0"/>
          <w:numId w:val="1"/>
        </w:numPr>
        <w:shd w:val="clear" w:color="auto" w:fill="auto"/>
        <w:tabs>
          <w:tab w:pos="382" w:val="left"/>
        </w:tabs>
        <w:bidi w:val="0"/>
        <w:spacing w:before="0" w:line="240" w:lineRule="auto"/>
        <w:ind w:left="380" w:right="0" w:hanging="380"/>
        <w:jc w:val="both"/>
      </w:pPr>
      <w:bookmarkStart w:id="8" w:name="bookmark8"/>
      <w:bookmarkEnd w:id="8"/>
      <w:r>
        <w:rPr>
          <w:color w:val="000000"/>
          <w:spacing w:val="0"/>
          <w:w w:val="100"/>
          <w:position w:val="0"/>
          <w:shd w:val="clear" w:color="auto" w:fill="auto"/>
          <w:lang w:val="cs-CZ" w:eastAsia="cs-CZ" w:bidi="cs-CZ"/>
        </w:rPr>
        <w:t>Přejímající je organizační složka státu, jejíž současné právní poměry jsou upraveny zákonem č. 201/2002 Sb., o Úřadu pro zastupování státu ve věcech majetkových, ve znění pozdějších předpisů.</w:t>
      </w:r>
    </w:p>
    <w:p>
      <w:pPr>
        <w:pStyle w:val="Style2"/>
        <w:keepNext w:val="0"/>
        <w:keepLines w:val="0"/>
        <w:widowControl w:val="0"/>
        <w:numPr>
          <w:ilvl w:val="0"/>
          <w:numId w:val="1"/>
        </w:numPr>
        <w:shd w:val="clear" w:color="auto" w:fill="auto"/>
        <w:tabs>
          <w:tab w:pos="382" w:val="left"/>
        </w:tabs>
        <w:bidi w:val="0"/>
        <w:spacing w:before="0" w:line="240" w:lineRule="auto"/>
        <w:ind w:left="380" w:right="0" w:hanging="380"/>
        <w:jc w:val="both"/>
      </w:pPr>
      <w:bookmarkStart w:id="9" w:name="bookmark9"/>
      <w:bookmarkEnd w:id="9"/>
      <w:r>
        <w:rPr>
          <w:color w:val="000000"/>
          <w:spacing w:val="0"/>
          <w:w w:val="100"/>
          <w:position w:val="0"/>
          <w:shd w:val="clear" w:color="auto" w:fill="auto"/>
          <w:lang w:val="cs-CZ" w:eastAsia="cs-CZ" w:bidi="cs-CZ"/>
        </w:rPr>
        <w:t>Předávající touto smlouvou převádí přejímajícímu předávaný majetek za níže uvedených podmínek a přejímající předávaný majetek za podmínek této smlouvy přejímá.</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w:t>
      </w:r>
    </w:p>
    <w:p>
      <w:pPr>
        <w:pStyle w:val="Style2"/>
        <w:keepNext w:val="0"/>
        <w:keepLines w:val="0"/>
        <w:widowControl w:val="0"/>
        <w:numPr>
          <w:ilvl w:val="0"/>
          <w:numId w:val="3"/>
        </w:numPr>
        <w:shd w:val="clear" w:color="auto" w:fill="auto"/>
        <w:tabs>
          <w:tab w:pos="382" w:val="left"/>
        </w:tabs>
        <w:bidi w:val="0"/>
        <w:spacing w:before="0" w:line="240" w:lineRule="auto"/>
        <w:ind w:left="380" w:right="0" w:hanging="380"/>
        <w:jc w:val="both"/>
      </w:pPr>
      <w:bookmarkStart w:id="10" w:name="bookmark10"/>
      <w:bookmarkEnd w:id="10"/>
      <w:r>
        <w:rPr>
          <w:color w:val="000000"/>
          <w:spacing w:val="0"/>
          <w:w w:val="100"/>
          <w:position w:val="0"/>
          <w:shd w:val="clear" w:color="auto" w:fill="auto"/>
          <w:lang w:val="cs-CZ" w:eastAsia="cs-CZ" w:bidi="cs-CZ"/>
        </w:rPr>
        <w:t>Předání předávaného majetku přejímajícímu se provádí z důvodu postupu podle ustanovení § 17e odst. 1 ZSP v návaznosti na usnesení vlády ze dne 26. června 2024 č. 422, o výsledku prověření nemovitostí státu a stanovení dalšího postupu.</w:t>
      </w:r>
    </w:p>
    <w:p>
      <w:pPr>
        <w:pStyle w:val="Style2"/>
        <w:keepNext w:val="0"/>
        <w:keepLines w:val="0"/>
        <w:widowControl w:val="0"/>
        <w:numPr>
          <w:ilvl w:val="0"/>
          <w:numId w:val="3"/>
        </w:numPr>
        <w:shd w:val="clear" w:color="auto" w:fill="auto"/>
        <w:tabs>
          <w:tab w:pos="382" w:val="left"/>
        </w:tabs>
        <w:bidi w:val="0"/>
        <w:spacing w:before="0" w:line="240" w:lineRule="auto"/>
        <w:ind w:left="0" w:right="0" w:firstLine="0"/>
        <w:jc w:val="both"/>
      </w:pPr>
      <w:bookmarkStart w:id="11" w:name="bookmark11"/>
      <w:bookmarkEnd w:id="11"/>
      <w:r>
        <w:rPr>
          <w:color w:val="000000"/>
          <w:spacing w:val="0"/>
          <w:w w:val="100"/>
          <w:position w:val="0"/>
          <w:shd w:val="clear" w:color="auto" w:fill="auto"/>
          <w:lang w:val="cs-CZ" w:eastAsia="cs-CZ" w:bidi="cs-CZ"/>
        </w:rPr>
        <w:t>Předávající prohlašuje, že jeho dispozice s předávaným majetkem není omezena.</w:t>
      </w:r>
    </w:p>
    <w:p>
      <w:pPr>
        <w:pStyle w:val="Style2"/>
        <w:keepNext w:val="0"/>
        <w:keepLines w:val="0"/>
        <w:widowControl w:val="0"/>
        <w:numPr>
          <w:ilvl w:val="0"/>
          <w:numId w:val="3"/>
        </w:numPr>
        <w:shd w:val="clear" w:color="auto" w:fill="auto"/>
        <w:tabs>
          <w:tab w:pos="382" w:val="left"/>
        </w:tabs>
        <w:bidi w:val="0"/>
        <w:spacing w:before="0" w:line="240" w:lineRule="auto"/>
        <w:ind w:left="380" w:right="0" w:hanging="380"/>
        <w:jc w:val="both"/>
      </w:pPr>
      <w:bookmarkStart w:id="12" w:name="bookmark12"/>
      <w:bookmarkEnd w:id="12"/>
      <w:r>
        <w:rPr>
          <w:color w:val="000000"/>
          <w:spacing w:val="0"/>
          <w:w w:val="100"/>
          <w:position w:val="0"/>
          <w:shd w:val="clear" w:color="auto" w:fill="auto"/>
          <w:lang w:val="cs-CZ" w:eastAsia="cs-CZ" w:bidi="cs-CZ"/>
        </w:rPr>
        <w:t>Předávající předávaný majetek předává přejímajícímu se všemi součástmi a s příslušenstvím, právy a povinnostmi.</w:t>
      </w:r>
    </w:p>
    <w:p>
      <w:pPr>
        <w:pStyle w:val="Style2"/>
        <w:keepNext w:val="0"/>
        <w:keepLines w:val="0"/>
        <w:widowControl w:val="0"/>
        <w:numPr>
          <w:ilvl w:val="0"/>
          <w:numId w:val="3"/>
        </w:numPr>
        <w:shd w:val="clear" w:color="auto" w:fill="auto"/>
        <w:tabs>
          <w:tab w:pos="382" w:val="left"/>
        </w:tabs>
        <w:bidi w:val="0"/>
        <w:spacing w:before="0" w:line="240" w:lineRule="auto"/>
        <w:ind w:left="380" w:right="0" w:hanging="380"/>
        <w:jc w:val="both"/>
      </w:pPr>
      <w:bookmarkStart w:id="13" w:name="bookmark13"/>
      <w:bookmarkEnd w:id="13"/>
      <w:r>
        <w:rPr>
          <w:color w:val="000000"/>
          <w:spacing w:val="0"/>
          <w:w w:val="100"/>
          <w:position w:val="0"/>
          <w:shd w:val="clear" w:color="auto" w:fill="auto"/>
          <w:lang w:val="cs-CZ" w:eastAsia="cs-CZ" w:bidi="cs-CZ"/>
        </w:rPr>
        <w:t>Předávající prohlašuje, že předávaný majetek je dotčen jen závazky, které jsou vymezeny v této smlouvě.</w:t>
      </w:r>
    </w:p>
    <w:p>
      <w:pPr>
        <w:pStyle w:val="Style2"/>
        <w:keepNext w:val="0"/>
        <w:keepLines w:val="0"/>
        <w:widowControl w:val="0"/>
        <w:numPr>
          <w:ilvl w:val="0"/>
          <w:numId w:val="3"/>
        </w:numPr>
        <w:shd w:val="clear" w:color="auto" w:fill="auto"/>
        <w:tabs>
          <w:tab w:pos="382" w:val="left"/>
        </w:tabs>
        <w:bidi w:val="0"/>
        <w:spacing w:before="0" w:line="240" w:lineRule="auto"/>
        <w:ind w:left="380" w:right="0" w:hanging="380"/>
        <w:jc w:val="both"/>
      </w:pPr>
      <w:bookmarkStart w:id="14" w:name="bookmark14"/>
      <w:bookmarkEnd w:id="14"/>
      <w:r>
        <w:rPr>
          <w:color w:val="000000"/>
          <w:spacing w:val="0"/>
          <w:w w:val="100"/>
          <w:position w:val="0"/>
          <w:shd w:val="clear" w:color="auto" w:fill="auto"/>
          <w:lang w:val="cs-CZ" w:eastAsia="cs-CZ" w:bidi="cs-CZ"/>
        </w:rPr>
        <w:t>Předávající prohlašuje, že ohledně předávaného majetku nebyl uplatněn žádný restituční nárok.</w:t>
      </w:r>
    </w:p>
    <w:p>
      <w:pPr>
        <w:pStyle w:val="Style2"/>
        <w:keepNext w:val="0"/>
        <w:keepLines w:val="0"/>
        <w:widowControl w:val="0"/>
        <w:numPr>
          <w:ilvl w:val="0"/>
          <w:numId w:val="3"/>
        </w:numPr>
        <w:shd w:val="clear" w:color="auto" w:fill="auto"/>
        <w:tabs>
          <w:tab w:pos="382" w:val="left"/>
        </w:tabs>
        <w:bidi w:val="0"/>
        <w:spacing w:before="0" w:line="230" w:lineRule="auto"/>
        <w:ind w:left="380" w:right="0" w:hanging="380"/>
        <w:jc w:val="both"/>
      </w:pPr>
      <w:bookmarkStart w:id="15" w:name="bookmark15"/>
      <w:bookmarkEnd w:id="15"/>
      <w:r>
        <w:rPr>
          <w:color w:val="000000"/>
          <w:spacing w:val="0"/>
          <w:w w:val="100"/>
          <w:position w:val="0"/>
          <w:shd w:val="clear" w:color="auto" w:fill="auto"/>
          <w:lang w:val="cs-CZ" w:eastAsia="cs-CZ" w:bidi="cs-CZ"/>
        </w:rPr>
        <w:t>Předávající předá přejímajícímu níže uvedenou dokumentaci k předávanému majetku, a to do 30 dnů od oboustranného podpisu smlouvy na základě předávacího protokolu:</w:t>
      </w:r>
    </w:p>
    <w:p>
      <w:pPr>
        <w:pStyle w:val="Style2"/>
        <w:keepNext w:val="0"/>
        <w:keepLines w:val="0"/>
        <w:widowControl w:val="0"/>
        <w:numPr>
          <w:ilvl w:val="0"/>
          <w:numId w:val="5"/>
        </w:numPr>
        <w:shd w:val="clear" w:color="auto" w:fill="auto"/>
        <w:tabs>
          <w:tab w:pos="762" w:val="left"/>
        </w:tabs>
        <w:bidi w:val="0"/>
        <w:spacing w:before="0" w:after="0" w:line="240" w:lineRule="auto"/>
        <w:ind w:left="740" w:right="0" w:hanging="360"/>
        <w:jc w:val="both"/>
      </w:pPr>
      <w:bookmarkStart w:id="16" w:name="bookmark16"/>
      <w:bookmarkEnd w:id="16"/>
      <w:r>
        <w:rPr>
          <w:color w:val="000000"/>
          <w:spacing w:val="0"/>
          <w:w w:val="100"/>
          <w:position w:val="0"/>
          <w:shd w:val="clear" w:color="auto" w:fill="auto"/>
          <w:lang w:val="cs-CZ" w:eastAsia="cs-CZ" w:bidi="cs-CZ"/>
        </w:rPr>
        <w:t>Projektová dokumentace „Odvodnění pozemků – Vackovec“ (přehledná situace, souhrnná zpráva, vytyčovací schéma atd.)</w:t>
      </w:r>
    </w:p>
    <w:p>
      <w:pPr>
        <w:pStyle w:val="Style2"/>
        <w:keepNext w:val="0"/>
        <w:keepLines w:val="0"/>
        <w:widowControl w:val="0"/>
        <w:numPr>
          <w:ilvl w:val="0"/>
          <w:numId w:val="5"/>
        </w:numPr>
        <w:shd w:val="clear" w:color="auto" w:fill="auto"/>
        <w:tabs>
          <w:tab w:pos="762" w:val="left"/>
        </w:tabs>
        <w:bidi w:val="0"/>
        <w:spacing w:before="0" w:after="0" w:line="240" w:lineRule="auto"/>
        <w:ind w:left="0" w:right="0" w:firstLine="380"/>
        <w:jc w:val="both"/>
      </w:pPr>
      <w:bookmarkStart w:id="17" w:name="bookmark17"/>
      <w:bookmarkEnd w:id="17"/>
      <w:r>
        <w:rPr>
          <w:color w:val="000000"/>
          <w:spacing w:val="0"/>
          <w:w w:val="100"/>
          <w:position w:val="0"/>
          <w:shd w:val="clear" w:color="auto" w:fill="auto"/>
          <w:lang w:val="cs-CZ" w:eastAsia="cs-CZ" w:bidi="cs-CZ"/>
        </w:rPr>
        <w:t>Povolení k nakládání s vodami čj. MUCH 117774/2024 ze dne 30.12.2024</w:t>
      </w:r>
    </w:p>
    <w:p>
      <w:pPr>
        <w:pStyle w:val="Style2"/>
        <w:keepNext w:val="0"/>
        <w:keepLines w:val="0"/>
        <w:widowControl w:val="0"/>
        <w:numPr>
          <w:ilvl w:val="0"/>
          <w:numId w:val="5"/>
        </w:numPr>
        <w:shd w:val="clear" w:color="auto" w:fill="auto"/>
        <w:tabs>
          <w:tab w:pos="762" w:val="left"/>
        </w:tabs>
        <w:bidi w:val="0"/>
        <w:spacing w:before="0" w:after="0" w:line="240" w:lineRule="auto"/>
        <w:ind w:left="0" w:right="0" w:firstLine="380"/>
        <w:jc w:val="both"/>
      </w:pPr>
      <w:bookmarkStart w:id="18" w:name="bookmark18"/>
      <w:bookmarkEnd w:id="18"/>
      <w:r>
        <w:rPr>
          <w:color w:val="000000"/>
          <w:spacing w:val="0"/>
          <w:w w:val="100"/>
          <w:position w:val="0"/>
          <w:shd w:val="clear" w:color="auto" w:fill="auto"/>
          <w:lang w:val="cs-CZ" w:eastAsia="cs-CZ" w:bidi="cs-CZ"/>
        </w:rPr>
        <w:t>Stavební povolení čj. Vod/1791/63 ze dne 14.12.1963</w:t>
      </w:r>
    </w:p>
    <w:p>
      <w:pPr>
        <w:pStyle w:val="Style2"/>
        <w:keepNext w:val="0"/>
        <w:keepLines w:val="0"/>
        <w:widowControl w:val="0"/>
        <w:numPr>
          <w:ilvl w:val="0"/>
          <w:numId w:val="5"/>
        </w:numPr>
        <w:shd w:val="clear" w:color="auto" w:fill="auto"/>
        <w:tabs>
          <w:tab w:pos="762" w:val="left"/>
        </w:tabs>
        <w:bidi w:val="0"/>
        <w:spacing w:before="0" w:after="0" w:line="240" w:lineRule="auto"/>
        <w:ind w:left="0" w:right="0" w:firstLine="380"/>
        <w:jc w:val="both"/>
      </w:pPr>
      <w:bookmarkStart w:id="19" w:name="bookmark19"/>
      <w:bookmarkEnd w:id="19"/>
      <w:r>
        <w:rPr>
          <w:color w:val="000000"/>
          <w:spacing w:val="0"/>
          <w:w w:val="100"/>
          <w:position w:val="0"/>
          <w:shd w:val="clear" w:color="auto" w:fill="auto"/>
          <w:lang w:val="cs-CZ" w:eastAsia="cs-CZ" w:bidi="cs-CZ"/>
        </w:rPr>
        <w:t>Kolaudační rozhodnutí čj. Vod/689/65 ze dne 18.10.1965</w:t>
      </w:r>
    </w:p>
    <w:p>
      <w:pPr>
        <w:pStyle w:val="Style2"/>
        <w:keepNext w:val="0"/>
        <w:keepLines w:val="0"/>
        <w:widowControl w:val="0"/>
        <w:numPr>
          <w:ilvl w:val="0"/>
          <w:numId w:val="5"/>
        </w:numPr>
        <w:shd w:val="clear" w:color="auto" w:fill="auto"/>
        <w:tabs>
          <w:tab w:pos="762" w:val="left"/>
        </w:tabs>
        <w:bidi w:val="0"/>
        <w:spacing w:before="0" w:line="240" w:lineRule="auto"/>
        <w:ind w:left="0" w:right="0" w:firstLine="380"/>
        <w:jc w:val="both"/>
      </w:pPr>
      <w:bookmarkStart w:id="20" w:name="bookmark20"/>
      <w:bookmarkEnd w:id="20"/>
      <w:r>
        <w:rPr>
          <w:color w:val="000000"/>
          <w:spacing w:val="0"/>
          <w:w w:val="100"/>
          <w:position w:val="0"/>
          <w:shd w:val="clear" w:color="auto" w:fill="auto"/>
          <w:lang w:val="cs-CZ" w:eastAsia="cs-CZ" w:bidi="cs-CZ"/>
        </w:rPr>
        <w:t>Potvrzení o existenci stavby čj. MUCH 85914/2019 ze dne 24.09.2019</w:t>
      </w:r>
    </w:p>
    <w:p>
      <w:pPr>
        <w:pStyle w:val="Style2"/>
        <w:keepNext w:val="0"/>
        <w:keepLines w:val="0"/>
        <w:widowControl w:val="0"/>
        <w:numPr>
          <w:ilvl w:val="0"/>
          <w:numId w:val="3"/>
        </w:numPr>
        <w:shd w:val="clear" w:color="auto" w:fill="auto"/>
        <w:tabs>
          <w:tab w:pos="382" w:val="left"/>
        </w:tabs>
        <w:bidi w:val="0"/>
        <w:spacing w:before="0" w:line="240" w:lineRule="auto"/>
        <w:ind w:left="380" w:right="0" w:hanging="380"/>
        <w:jc w:val="both"/>
      </w:pPr>
      <w:bookmarkStart w:id="21" w:name="bookmark21"/>
      <w:bookmarkEnd w:id="21"/>
      <w:r>
        <w:rPr>
          <w:color w:val="000000"/>
          <w:spacing w:val="0"/>
          <w:w w:val="100"/>
          <w:position w:val="0"/>
          <w:shd w:val="clear" w:color="auto" w:fill="auto"/>
          <w:lang w:val="cs-CZ" w:eastAsia="cs-CZ" w:bidi="cs-CZ"/>
        </w:rPr>
        <w:t>Předávající prohlašuje, že ohledně předávaného majetku nejsou vedena žádná soudní řízení a správní řízení.</w:t>
      </w:r>
    </w:p>
    <w:p>
      <w:pPr>
        <w:pStyle w:val="Style2"/>
        <w:keepNext w:val="0"/>
        <w:keepLines w:val="0"/>
        <w:widowControl w:val="0"/>
        <w:numPr>
          <w:ilvl w:val="0"/>
          <w:numId w:val="3"/>
        </w:numPr>
        <w:shd w:val="clear" w:color="auto" w:fill="auto"/>
        <w:tabs>
          <w:tab w:pos="382" w:val="left"/>
        </w:tabs>
        <w:bidi w:val="0"/>
        <w:spacing w:before="0" w:line="240" w:lineRule="auto"/>
        <w:ind w:left="380" w:right="0" w:hanging="380"/>
        <w:jc w:val="both"/>
      </w:pPr>
      <w:bookmarkStart w:id="22" w:name="bookmark22"/>
      <w:bookmarkEnd w:id="22"/>
      <w:r>
        <w:rPr>
          <w:color w:val="000000"/>
          <w:spacing w:val="0"/>
          <w:w w:val="100"/>
          <w:position w:val="0"/>
          <w:shd w:val="clear" w:color="auto" w:fill="auto"/>
          <w:lang w:val="cs-CZ" w:eastAsia="cs-CZ" w:bidi="cs-CZ"/>
        </w:rPr>
        <w:t>Předávající prohlašuje, že ohledně předávaného majetku není uzavřena žádná smlouva o nájmu ani smlouva o pachtu.</w:t>
      </w:r>
    </w:p>
    <w:p>
      <w:pPr>
        <w:pStyle w:val="Style2"/>
        <w:keepNext w:val="0"/>
        <w:keepLines w:val="0"/>
        <w:widowControl w:val="0"/>
        <w:numPr>
          <w:ilvl w:val="0"/>
          <w:numId w:val="3"/>
        </w:numPr>
        <w:shd w:val="clear" w:color="auto" w:fill="auto"/>
        <w:tabs>
          <w:tab w:pos="382" w:val="left"/>
        </w:tabs>
        <w:bidi w:val="0"/>
        <w:spacing w:before="0" w:line="240" w:lineRule="auto"/>
        <w:ind w:left="380" w:right="0" w:hanging="380"/>
        <w:jc w:val="both"/>
      </w:pPr>
      <w:bookmarkStart w:id="23" w:name="bookmark23"/>
      <w:bookmarkEnd w:id="23"/>
      <w:r>
        <w:rPr>
          <w:color w:val="000000"/>
          <w:spacing w:val="0"/>
          <w:w w:val="100"/>
          <w:position w:val="0"/>
          <w:shd w:val="clear" w:color="auto" w:fill="auto"/>
          <w:lang w:val="cs-CZ" w:eastAsia="cs-CZ" w:bidi="cs-CZ"/>
        </w:rPr>
        <w:t>Předávající prohlašuje, že předávaný majetek není zatížen žádným věcným právem. Předávající však upozorňuje přejímajícího, že na pozemku může být umístěno vedení a/nebo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přejímajícího.</w:t>
      </w:r>
    </w:p>
    <w:p>
      <w:pPr>
        <w:pStyle w:val="Style2"/>
        <w:keepNext w:val="0"/>
        <w:keepLines w:val="0"/>
        <w:widowControl w:val="0"/>
        <w:numPr>
          <w:ilvl w:val="0"/>
          <w:numId w:val="3"/>
        </w:numPr>
        <w:shd w:val="clear" w:color="auto" w:fill="auto"/>
        <w:tabs>
          <w:tab w:pos="507" w:val="left"/>
        </w:tabs>
        <w:bidi w:val="0"/>
        <w:spacing w:before="0" w:line="240" w:lineRule="auto"/>
        <w:ind w:left="0" w:right="0" w:firstLine="0"/>
        <w:jc w:val="both"/>
      </w:pPr>
      <w:bookmarkStart w:id="24" w:name="bookmark24"/>
      <w:bookmarkEnd w:id="24"/>
      <w:r>
        <w:rPr>
          <w:color w:val="000000"/>
          <w:spacing w:val="0"/>
          <w:w w:val="100"/>
          <w:position w:val="0"/>
          <w:shd w:val="clear" w:color="auto" w:fill="auto"/>
          <w:lang w:val="cs-CZ" w:eastAsia="cs-CZ" w:bidi="cs-CZ"/>
        </w:rPr>
        <w:t>Předávající prohlašuje, že předávaný majetek nepodléhá zvláštnímu zákonnému režimu.</w:t>
      </w:r>
    </w:p>
    <w:p>
      <w:pPr>
        <w:pStyle w:val="Style2"/>
        <w:keepNext w:val="0"/>
        <w:keepLines w:val="0"/>
        <w:widowControl w:val="0"/>
        <w:numPr>
          <w:ilvl w:val="0"/>
          <w:numId w:val="3"/>
        </w:numPr>
        <w:shd w:val="clear" w:color="auto" w:fill="auto"/>
        <w:tabs>
          <w:tab w:pos="507" w:val="left"/>
        </w:tabs>
        <w:bidi w:val="0"/>
        <w:spacing w:before="0" w:line="240" w:lineRule="auto"/>
        <w:ind w:left="0" w:right="0" w:firstLine="0"/>
        <w:jc w:val="both"/>
      </w:pPr>
      <w:bookmarkStart w:id="25" w:name="bookmark25"/>
      <w:bookmarkEnd w:id="25"/>
      <w:r>
        <w:rPr>
          <w:color w:val="000000"/>
          <w:spacing w:val="0"/>
          <w:w w:val="100"/>
          <w:position w:val="0"/>
          <w:shd w:val="clear" w:color="auto" w:fill="auto"/>
          <w:lang w:val="cs-CZ" w:eastAsia="cs-CZ" w:bidi="cs-CZ"/>
        </w:rPr>
        <w:t>Předávající prohlašuje, že předávaný majetek není zatížen ekologickou zátěží.</w:t>
      </w:r>
    </w:p>
    <w:p>
      <w:pPr>
        <w:pStyle w:val="Style2"/>
        <w:keepNext w:val="0"/>
        <w:keepLines w:val="0"/>
        <w:widowControl w:val="0"/>
        <w:numPr>
          <w:ilvl w:val="0"/>
          <w:numId w:val="3"/>
        </w:numPr>
        <w:shd w:val="clear" w:color="auto" w:fill="auto"/>
        <w:tabs>
          <w:tab w:pos="507" w:val="left"/>
        </w:tabs>
        <w:bidi w:val="0"/>
        <w:spacing w:before="0" w:line="240" w:lineRule="auto"/>
        <w:ind w:left="380" w:right="0" w:hanging="380"/>
        <w:jc w:val="both"/>
      </w:pPr>
      <w:bookmarkStart w:id="26" w:name="bookmark26"/>
      <w:bookmarkEnd w:id="26"/>
      <w:r>
        <w:rPr>
          <w:color w:val="000000"/>
          <w:spacing w:val="0"/>
          <w:w w:val="100"/>
          <w:position w:val="0"/>
          <w:shd w:val="clear" w:color="auto" w:fill="auto"/>
          <w:lang w:val="cs-CZ" w:eastAsia="cs-CZ" w:bidi="cs-CZ"/>
        </w:rPr>
        <w:t>Smluvní strany se dohodly, že s předávaným majetkem přejímající nepřebírá žádné pohledávky.</w:t>
      </w:r>
    </w:p>
    <w:p>
      <w:pPr>
        <w:pStyle w:val="Style2"/>
        <w:keepNext w:val="0"/>
        <w:keepLines w:val="0"/>
        <w:widowControl w:val="0"/>
        <w:numPr>
          <w:ilvl w:val="0"/>
          <w:numId w:val="3"/>
        </w:numPr>
        <w:shd w:val="clear" w:color="auto" w:fill="auto"/>
        <w:tabs>
          <w:tab w:pos="487" w:val="left"/>
        </w:tabs>
        <w:bidi w:val="0"/>
        <w:spacing w:before="0" w:line="240" w:lineRule="auto"/>
        <w:ind w:left="380" w:right="0" w:hanging="380"/>
        <w:jc w:val="both"/>
      </w:pPr>
      <w:bookmarkStart w:id="27" w:name="bookmark27"/>
      <w:bookmarkEnd w:id="27"/>
      <w:r>
        <w:rPr>
          <w:color w:val="000000"/>
          <w:spacing w:val="0"/>
          <w:w w:val="100"/>
          <w:position w:val="0"/>
          <w:shd w:val="clear" w:color="auto" w:fill="auto"/>
          <w:lang w:val="cs-CZ" w:eastAsia="cs-CZ" w:bidi="cs-CZ"/>
        </w:rPr>
        <w:t>Předávající prohlašuje, že na předávaném majetku neváznou žádné další právní ani jiné vady, že na předávaný majetek nebyl zpracován privatizační projekt a není určen k privatizaci.</w:t>
      </w:r>
    </w:p>
    <w:p>
      <w:pPr>
        <w:pStyle w:val="Style2"/>
        <w:keepNext w:val="0"/>
        <w:keepLines w:val="0"/>
        <w:widowControl w:val="0"/>
        <w:numPr>
          <w:ilvl w:val="0"/>
          <w:numId w:val="3"/>
        </w:numPr>
        <w:shd w:val="clear" w:color="auto" w:fill="auto"/>
        <w:tabs>
          <w:tab w:pos="487" w:val="left"/>
        </w:tabs>
        <w:bidi w:val="0"/>
        <w:spacing w:before="0" w:line="240" w:lineRule="auto"/>
        <w:ind w:left="380" w:right="0" w:hanging="380"/>
        <w:jc w:val="both"/>
      </w:pPr>
      <w:bookmarkStart w:id="28" w:name="bookmark28"/>
      <w:bookmarkEnd w:id="28"/>
      <w:r>
        <w:rPr>
          <w:color w:val="000000"/>
          <w:spacing w:val="0"/>
          <w:w w:val="100"/>
          <w:position w:val="0"/>
          <w:shd w:val="clear" w:color="auto" w:fill="auto"/>
          <w:lang w:val="cs-CZ" w:eastAsia="cs-CZ" w:bidi="cs-CZ"/>
        </w:rPr>
        <w:t>Přejímající prohlašuje, že je mu současný stav touto smlouvou předávaného majetku znám a že předávaný majetek přejímá. Vzhledem k charakteru předávaného majetku bude předávaný majetek předán přejímajícímu již touto smlouvou, žádný další předávací protokol smluvní strany nebudou vyhotovovat.</w:t>
      </w:r>
    </w:p>
    <w:p>
      <w:pPr>
        <w:pStyle w:val="Style2"/>
        <w:keepNext w:val="0"/>
        <w:keepLines w:val="0"/>
        <w:widowControl w:val="0"/>
        <w:numPr>
          <w:ilvl w:val="0"/>
          <w:numId w:val="3"/>
        </w:numPr>
        <w:shd w:val="clear" w:color="auto" w:fill="auto"/>
        <w:tabs>
          <w:tab w:pos="487" w:val="left"/>
        </w:tabs>
        <w:bidi w:val="0"/>
        <w:spacing w:before="0" w:line="240" w:lineRule="auto"/>
        <w:ind w:left="380" w:right="0" w:hanging="380"/>
        <w:jc w:val="both"/>
      </w:pPr>
      <w:bookmarkStart w:id="29" w:name="bookmark29"/>
      <w:bookmarkEnd w:id="29"/>
      <w:r>
        <w:rPr>
          <w:color w:val="000000"/>
          <w:spacing w:val="0"/>
          <w:w w:val="100"/>
          <w:position w:val="0"/>
          <w:shd w:val="clear" w:color="auto" w:fill="auto"/>
          <w:lang w:val="cs-CZ" w:eastAsia="cs-CZ" w:bidi="cs-CZ"/>
        </w:rPr>
        <w:t>Předávající se podpisem této smlouvy zavazuje předat přejímajícímu kompletní dokumentaci k předávanému majetku, kterou má k dispozici.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Souhrnná zůstatková cena předávaného majetku podle stavu v účetnictví předávajícího ke dni podpisu této smlouvy činí 107.183,00 Kč.</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Podle ustanovení čl. III. odst. 7 písm. cb) usnesení vlády ze dne 26. června 2024 č. 422, o výsledku prověření nemovitostí státu a stanovení dalšího postupu, se předávaný majetek převádí bezúplatně. S předávaným majetkem je přejímající příslušný hospodařit v souladu s ustanovením § 9 zákona č. 219/2000 Sb., o majetku České republiky a jejím vystupování v právních vztazích, ve znění pozdějších předpisů.</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w:t>
      </w:r>
    </w:p>
    <w:p>
      <w:pPr>
        <w:pStyle w:val="Style2"/>
        <w:keepNext w:val="0"/>
        <w:keepLines w:val="0"/>
        <w:widowControl w:val="0"/>
        <w:numPr>
          <w:ilvl w:val="0"/>
          <w:numId w:val="7"/>
        </w:numPr>
        <w:shd w:val="clear" w:color="auto" w:fill="auto"/>
        <w:tabs>
          <w:tab w:pos="367" w:val="left"/>
        </w:tabs>
        <w:bidi w:val="0"/>
        <w:spacing w:before="0" w:line="240" w:lineRule="auto"/>
        <w:ind w:left="380" w:right="0" w:hanging="380"/>
        <w:jc w:val="both"/>
      </w:pPr>
      <w:bookmarkStart w:id="30" w:name="bookmark30"/>
      <w:bookmarkEnd w:id="30"/>
      <w:r>
        <w:rPr>
          <w:color w:val="000000"/>
          <w:spacing w:val="0"/>
          <w:w w:val="100"/>
          <w:position w:val="0"/>
          <w:shd w:val="clear" w:color="auto" w:fill="auto"/>
          <w:lang w:val="cs-CZ" w:eastAsia="cs-CZ" w:bidi="cs-CZ"/>
        </w:rPr>
        <w:t>Smluvní strany výslovně souhlasí s tím, aby podle této smlouvy byl v katastru nemovitostí proveden zápis zániku práva hospodařit předávajícího a vzniku příslušnosti hospodařit přejímajícího k předávanému majetku.</w:t>
      </w:r>
    </w:p>
    <w:p>
      <w:pPr>
        <w:pStyle w:val="Style2"/>
        <w:keepNext w:val="0"/>
        <w:keepLines w:val="0"/>
        <w:widowControl w:val="0"/>
        <w:numPr>
          <w:ilvl w:val="0"/>
          <w:numId w:val="7"/>
        </w:numPr>
        <w:shd w:val="clear" w:color="auto" w:fill="auto"/>
        <w:tabs>
          <w:tab w:pos="367" w:val="left"/>
        </w:tabs>
        <w:bidi w:val="0"/>
        <w:spacing w:before="0" w:line="240" w:lineRule="auto"/>
        <w:ind w:left="380" w:right="0" w:hanging="380"/>
        <w:jc w:val="both"/>
      </w:pPr>
      <w:bookmarkStart w:id="31" w:name="bookmark31"/>
      <w:bookmarkEnd w:id="31"/>
      <w:r>
        <w:rPr>
          <w:color w:val="000000"/>
          <w:spacing w:val="0"/>
          <w:w w:val="100"/>
          <w:position w:val="0"/>
          <w:shd w:val="clear" w:color="auto" w:fill="auto"/>
          <w:lang w:val="cs-CZ" w:eastAsia="cs-CZ" w:bidi="cs-CZ"/>
        </w:rPr>
        <w:t>Změna práva hospodařit předávajícího na příslušnost hospodařit s předávaným majetkem pro přejímajícího nastává dnem podání návrhu na zápis změny příslušnosti hospodařit ve prospěch přejímajícího u příslušného pracoviště katastrálního úřadu.</w:t>
      </w:r>
    </w:p>
    <w:p>
      <w:pPr>
        <w:pStyle w:val="Style2"/>
        <w:keepNext w:val="0"/>
        <w:keepLines w:val="0"/>
        <w:widowControl w:val="0"/>
        <w:numPr>
          <w:ilvl w:val="0"/>
          <w:numId w:val="7"/>
        </w:numPr>
        <w:shd w:val="clear" w:color="auto" w:fill="auto"/>
        <w:tabs>
          <w:tab w:pos="367" w:val="left"/>
        </w:tabs>
        <w:bidi w:val="0"/>
        <w:spacing w:before="0" w:line="240" w:lineRule="auto"/>
        <w:ind w:left="380" w:right="0" w:hanging="380"/>
        <w:jc w:val="both"/>
      </w:pPr>
      <w:bookmarkStart w:id="32" w:name="bookmark32"/>
      <w:bookmarkEnd w:id="32"/>
      <w:r>
        <w:rPr>
          <w:color w:val="000000"/>
          <w:spacing w:val="0"/>
          <w:w w:val="100"/>
          <w:position w:val="0"/>
          <w:shd w:val="clear" w:color="auto" w:fill="auto"/>
          <w:lang w:val="cs-CZ" w:eastAsia="cs-CZ" w:bidi="cs-CZ"/>
        </w:rPr>
        <w:t>Návrh na zápis záznamem podle této smlouvy u příslušného katastrálního úřadu podá předávající.</w:t>
      </w:r>
    </w:p>
    <w:p>
      <w:pPr>
        <w:pStyle w:val="Style2"/>
        <w:keepNext w:val="0"/>
        <w:keepLines w:val="0"/>
        <w:widowControl w:val="0"/>
        <w:numPr>
          <w:ilvl w:val="0"/>
          <w:numId w:val="7"/>
        </w:numPr>
        <w:shd w:val="clear" w:color="auto" w:fill="auto"/>
        <w:tabs>
          <w:tab w:pos="367" w:val="left"/>
        </w:tabs>
        <w:bidi w:val="0"/>
        <w:spacing w:before="0" w:line="240" w:lineRule="auto"/>
        <w:ind w:left="380" w:right="0" w:hanging="380"/>
        <w:jc w:val="both"/>
      </w:pPr>
      <w:bookmarkStart w:id="33" w:name="bookmark33"/>
      <w:bookmarkEnd w:id="33"/>
      <w:r>
        <w:rPr>
          <w:color w:val="000000"/>
          <w:spacing w:val="0"/>
          <w:w w:val="100"/>
          <w:position w:val="0"/>
          <w:shd w:val="clear" w:color="auto" w:fill="auto"/>
          <w:lang w:val="cs-CZ" w:eastAsia="cs-CZ" w:bidi="cs-CZ"/>
        </w:rPr>
        <w:t>Pokud by katastrálním úřadem nebyl návrh na záznam k předávanému majetku proveden, předávající se zavazuje poskytnout přejímajícímu potřebnou součinnost směřující k naplnění účelu této smlouvy.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VI.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Compliance doložka</w:t>
      </w:r>
    </w:p>
    <w:p>
      <w:pPr>
        <w:pStyle w:val="Style2"/>
        <w:keepNext w:val="0"/>
        <w:keepLines w:val="0"/>
        <w:widowControl w:val="0"/>
        <w:numPr>
          <w:ilvl w:val="0"/>
          <w:numId w:val="9"/>
        </w:numPr>
        <w:shd w:val="clear" w:color="auto" w:fill="auto"/>
        <w:tabs>
          <w:tab w:pos="367" w:val="left"/>
        </w:tabs>
        <w:bidi w:val="0"/>
        <w:spacing w:before="0" w:line="240" w:lineRule="auto"/>
        <w:ind w:left="380" w:right="0" w:hanging="380"/>
        <w:jc w:val="both"/>
      </w:pPr>
      <w:bookmarkStart w:id="34" w:name="bookmark34"/>
      <w:bookmarkEnd w:id="34"/>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9"/>
        </w:numPr>
        <w:shd w:val="clear" w:color="auto" w:fill="auto"/>
        <w:tabs>
          <w:tab w:pos="367" w:val="left"/>
        </w:tabs>
        <w:bidi w:val="0"/>
        <w:spacing w:before="0" w:line="240" w:lineRule="auto"/>
        <w:ind w:left="380" w:right="0" w:hanging="380"/>
        <w:jc w:val="both"/>
      </w:pPr>
      <w:bookmarkStart w:id="35" w:name="bookmark35"/>
      <w:bookmarkEnd w:id="3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9"/>
        </w:numPr>
        <w:shd w:val="clear" w:color="auto" w:fill="auto"/>
        <w:tabs>
          <w:tab w:pos="359" w:val="left"/>
          <w:tab w:pos="2672" w:val="left"/>
          <w:tab w:pos="4805" w:val="left"/>
          <w:tab w:pos="6864" w:val="left"/>
          <w:tab w:pos="9149" w:val="left"/>
        </w:tabs>
        <w:bidi w:val="0"/>
        <w:spacing w:before="0" w:after="0" w:line="240" w:lineRule="auto"/>
        <w:ind w:left="380" w:right="0" w:hanging="380"/>
        <w:jc w:val="both"/>
      </w:pPr>
      <w:bookmarkStart w:id="36" w:name="bookmark36"/>
      <w:bookmarkEnd w:id="36"/>
      <w:r>
        <w:rPr>
          <w:color w:val="000000"/>
          <w:spacing w:val="0"/>
          <w:w w:val="100"/>
          <w:position w:val="0"/>
          <w:shd w:val="clear" w:color="auto" w:fill="auto"/>
          <w:lang w:val="cs-CZ" w:eastAsia="cs-CZ" w:bidi="cs-CZ"/>
        </w:rPr>
        <w:t>Přejímající prohlašuje, že se seznámil se zásadami, hodnotami a cíli Compliance programu Povodí</w:t>
        <w:tab/>
        <w:t>Ohře,</w:t>
        <w:tab/>
        <w:t>státní</w:t>
        <w:tab/>
        <w:t>podnik</w:t>
        <w:tab/>
        <w:t>(viz</w:t>
      </w:r>
    </w:p>
    <w:p>
      <w:pPr>
        <w:pStyle w:val="Style2"/>
        <w:keepNext w:val="0"/>
        <w:keepLines w:val="0"/>
        <w:widowControl w:val="0"/>
        <w:shd w:val="clear" w:color="auto" w:fill="auto"/>
        <w:tabs>
          <w:tab w:pos="2672" w:val="left"/>
          <w:tab w:pos="4805" w:val="left"/>
          <w:tab w:pos="6864" w:val="left"/>
          <w:tab w:pos="8799" w:val="left"/>
        </w:tabs>
        <w:bidi w:val="0"/>
        <w:spacing w:before="0" w:after="0" w:line="240" w:lineRule="auto"/>
        <w:ind w:left="380" w:right="0" w:firstLine="0"/>
        <w:jc w:val="both"/>
      </w:pPr>
      <w:r>
        <w:fldChar w:fldCharType="begin"/>
      </w:r>
      <w:r>
        <w:rPr/>
        <w:instrText> HYPERLINK "https://www.poh.cz/protikorupcni-a-compliance-program/d-1346/p1=1458" </w:instrText>
      </w:r>
      <w:r>
        <w:fldChar w:fldCharType="separate"/>
      </w:r>
      <w:r>
        <w:rPr>
          <w:color w:val="000000"/>
          <w:spacing w:val="0"/>
          <w:w w:val="100"/>
          <w:position w:val="0"/>
          <w:shd w:val="clear" w:color="auto" w:fill="auto"/>
          <w:lang w:val="cs-CZ" w:eastAsia="cs-CZ" w:bidi="cs-CZ"/>
        </w:rPr>
        <w:t>https://www.poh.cz/protikorupcni-a-compliance-program/d-1346/p1=1458</w:t>
      </w:r>
      <w:r>
        <w:fldChar w:fldCharType="end"/>
      </w:r>
      <w:r>
        <w:rPr>
          <w:color w:val="000000"/>
          <w:spacing w:val="0"/>
          <w:w w:val="100"/>
          <w:position w:val="0"/>
          <w:shd w:val="clear" w:color="auto" w:fill="auto"/>
          <w:lang w:val="cs-CZ" w:eastAsia="cs-CZ" w:bidi="cs-CZ"/>
        </w:rPr>
        <w:t>), dále s Etickým kodexem</w:t>
        <w:tab/>
        <w:t>Povodí</w:t>
        <w:tab/>
        <w:t>Ohře,</w:t>
        <w:tab/>
        <w:t>státní</w:t>
        <w:tab/>
        <w:t>podnik,</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a Protikorupčním programem Povodí Ohře, státní podnik. Přejímající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9"/>
        </w:numPr>
        <w:shd w:val="clear" w:color="auto" w:fill="auto"/>
        <w:tabs>
          <w:tab w:pos="359" w:val="left"/>
        </w:tabs>
        <w:bidi w:val="0"/>
        <w:spacing w:before="0" w:line="240" w:lineRule="auto"/>
        <w:ind w:left="300" w:right="0" w:hanging="300"/>
        <w:jc w:val="both"/>
      </w:pPr>
      <w:bookmarkStart w:id="37" w:name="bookmark37"/>
      <w:bookmarkEnd w:id="3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VII.</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ze strany přejímajícího lze nalézt na </w:t>
      </w:r>
      <w:r>
        <w:fldChar w:fldCharType="begin"/>
      </w:r>
      <w:r>
        <w:rPr/>
        <w:instrText> HYPERLINK "https://www.poh.cz/informace-o-zpracovani-osobnich-udaju/d-1369/p1=1459" </w:instrText>
      </w:r>
      <w:r>
        <w:fldChar w:fldCharType="separate"/>
      </w:r>
      <w:r>
        <w:rPr>
          <w:color w:val="000000"/>
          <w:spacing w:val="0"/>
          <w:w w:val="100"/>
          <w:position w:val="0"/>
          <w:shd w:val="clear" w:color="auto" w:fill="auto"/>
          <w:lang w:val="cs-CZ" w:eastAsia="cs-CZ" w:bidi="cs-CZ"/>
        </w:rPr>
        <w:t>https://www.poh.cz/informace-o-zpracovani-osobnich-udaju/d-1369/p1=1459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w:t>
      </w:r>
    </w:p>
    <w:p>
      <w:pPr>
        <w:pStyle w:val="Style2"/>
        <w:keepNext w:val="0"/>
        <w:keepLines w:val="0"/>
        <w:widowControl w:val="0"/>
        <w:numPr>
          <w:ilvl w:val="0"/>
          <w:numId w:val="11"/>
        </w:numPr>
        <w:shd w:val="clear" w:color="auto" w:fill="auto"/>
        <w:tabs>
          <w:tab w:pos="359" w:val="left"/>
        </w:tabs>
        <w:bidi w:val="0"/>
        <w:spacing w:before="0" w:line="240" w:lineRule="auto"/>
        <w:ind w:left="380" w:right="0" w:hanging="380"/>
        <w:jc w:val="both"/>
      </w:pPr>
      <w:bookmarkStart w:id="38" w:name="bookmark38"/>
      <w:bookmarkEnd w:id="38"/>
      <w:r>
        <w:rPr>
          <w:color w:val="000000"/>
          <w:spacing w:val="0"/>
          <w:w w:val="100"/>
          <w:position w:val="0"/>
          <w:shd w:val="clear" w:color="auto" w:fill="auto"/>
          <w:lang w:val="cs-CZ" w:eastAsia="cs-CZ" w:bidi="cs-CZ"/>
        </w:rPr>
        <w:t>Pro platnost této smlouvy je v souladu s platným Statutem předávajícího a ZSP nutný písemný souhlas Ministerstva zemědělství, které vykonává jménem státu funkci zakladatele předávajícího (dále jen „Zakladatel“).</w:t>
      </w:r>
    </w:p>
    <w:p>
      <w:pPr>
        <w:pStyle w:val="Style2"/>
        <w:keepNext w:val="0"/>
        <w:keepLines w:val="0"/>
        <w:widowControl w:val="0"/>
        <w:numPr>
          <w:ilvl w:val="0"/>
          <w:numId w:val="11"/>
        </w:numPr>
        <w:shd w:val="clear" w:color="auto" w:fill="auto"/>
        <w:tabs>
          <w:tab w:pos="359" w:val="left"/>
        </w:tabs>
        <w:bidi w:val="0"/>
        <w:spacing w:before="0" w:line="240" w:lineRule="auto"/>
        <w:ind w:left="380" w:right="0" w:hanging="380"/>
        <w:jc w:val="both"/>
      </w:pPr>
      <w:bookmarkStart w:id="39" w:name="bookmark39"/>
      <w:bookmarkEnd w:id="39"/>
      <w:r>
        <w:rPr>
          <w:color w:val="000000"/>
          <w:spacing w:val="0"/>
          <w:w w:val="100"/>
          <w:position w:val="0"/>
          <w:shd w:val="clear" w:color="auto" w:fill="auto"/>
          <w:lang w:val="cs-CZ" w:eastAsia="cs-CZ" w:bidi="cs-CZ"/>
        </w:rPr>
        <w:t>Zakladatel udělil písemný souhlas s převodem předávaného majetku dne 29.06.2026 pod čj. MZE-50256/2026-15112. Z tohoto důvodu je vyloučeno přijetí nabídky s dodatkem nebo odchylkou i když dodatek nebo odchylka podstatně nemění podmínky nabídky (§ 1740 odst. 3 OZ).</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40" w:name="bookmark40"/>
      <w:bookmarkEnd w:id="40"/>
      <w:r>
        <w:rPr>
          <w:color w:val="000000"/>
          <w:spacing w:val="0"/>
          <w:w w:val="100"/>
          <w:position w:val="0"/>
          <w:shd w:val="clear" w:color="auto" w:fill="auto"/>
          <w:lang w:val="cs-CZ" w:eastAsia="cs-CZ" w:bidi="cs-CZ"/>
        </w:rPr>
        <w:t>Smlouva je uzavřena, nabývá platnosti okamžikem podpisu poslední smluvní stranou za podmínky, že byl vydán předchozí písemný souhlas zakladatele s návrhem smlouvy a účinnosti nabývá dnem jejího uveřejnění v registru smluv v souladu se zákonem č. 340/2015 Sb., o zvláštních podmínkách účinnosti některých smluv, uveřejňování těchto smluv a o registru smluv (zákon o registru smluv), ve znění pozdějších předpisů.</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41" w:name="bookmark41"/>
      <w:bookmarkEnd w:id="41"/>
      <w:r>
        <w:rPr>
          <w:color w:val="000000"/>
          <w:spacing w:val="0"/>
          <w:w w:val="100"/>
          <w:position w:val="0"/>
          <w:shd w:val="clear" w:color="auto" w:fill="auto"/>
          <w:lang w:val="cs-CZ" w:eastAsia="cs-CZ" w:bidi="cs-CZ"/>
        </w:rPr>
        <w:t>Předávající zašle tuto smlouvu správci registru smluv k uveřejnění bez zbytečného odkladu, nejpozději však do 30 dnů od uzavření smlouvy.</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42" w:name="bookmark42"/>
      <w:bookmarkEnd w:id="42"/>
      <w:r>
        <w:rPr>
          <w:color w:val="000000"/>
          <w:spacing w:val="0"/>
          <w:w w:val="100"/>
          <w:position w:val="0"/>
          <w:shd w:val="clear" w:color="auto" w:fill="auto"/>
          <w:lang w:val="cs-CZ" w:eastAsia="cs-CZ" w:bidi="cs-CZ"/>
        </w:rPr>
        <w:t>Pro účely uveřejnění v registru smluv smluvní strany navzájem prohlašují, že smlouva neobsahuje žádné obchodní tajemství.</w:t>
      </w:r>
    </w:p>
    <w:p>
      <w:pPr>
        <w:pStyle w:val="Style2"/>
        <w:keepNext w:val="0"/>
        <w:keepLines w:val="0"/>
        <w:widowControl w:val="0"/>
        <w:numPr>
          <w:ilvl w:val="0"/>
          <w:numId w:val="13"/>
        </w:numPr>
        <w:shd w:val="clear" w:color="auto" w:fill="auto"/>
        <w:tabs>
          <w:tab w:pos="359" w:val="left"/>
        </w:tabs>
        <w:bidi w:val="0"/>
        <w:spacing w:before="0" w:line="240" w:lineRule="auto"/>
        <w:ind w:left="380" w:right="0" w:hanging="380"/>
        <w:jc w:val="both"/>
      </w:pPr>
      <w:bookmarkStart w:id="43" w:name="bookmark43"/>
      <w:bookmarkEnd w:id="43"/>
      <w:r>
        <w:rPr>
          <w:color w:val="000000"/>
          <w:spacing w:val="0"/>
          <w:w w:val="100"/>
          <w:position w:val="0"/>
          <w:shd w:val="clear" w:color="auto" w:fill="auto"/>
          <w:lang w:val="cs-CZ" w:eastAsia="cs-CZ" w:bidi="cs-CZ"/>
        </w:rPr>
        <w:t>Tato smlouva je vyhotovena elektronicky v jednom vyhotovení s platností originálu s kvalifikovanými elektronickými podpisy a kvalifikovanými elektronickými časovými razítky obou smluvních stran v souladu se zákonem č. 297/2016 Sb., o službách vytvářejících důvěru pro elektronické transakce, ve znění pozdějších předpisů.</w:t>
      </w:r>
      <w:r>
        <w:br w:type="page"/>
      </w:r>
    </w:p>
    <w:p>
      <w:pPr>
        <w:pStyle w:val="Style2"/>
        <w:keepNext w:val="0"/>
        <w:keepLines w:val="0"/>
        <w:widowControl w:val="0"/>
        <w:numPr>
          <w:ilvl w:val="0"/>
          <w:numId w:val="13"/>
        </w:numPr>
        <w:shd w:val="clear" w:color="auto" w:fill="auto"/>
        <w:tabs>
          <w:tab w:pos="377" w:val="left"/>
        </w:tabs>
        <w:bidi w:val="0"/>
        <w:spacing w:before="0" w:after="440" w:line="240" w:lineRule="auto"/>
        <w:ind w:left="380" w:right="0" w:hanging="380"/>
        <w:jc w:val="both"/>
      </w:pPr>
      <w:bookmarkStart w:id="44" w:name="bookmark44"/>
      <w:bookmarkEnd w:id="44"/>
      <w:r>
        <w:rPr>
          <w:color w:val="000000"/>
          <w:spacing w:val="0"/>
          <w:w w:val="100"/>
          <w:position w:val="0"/>
          <w:shd w:val="clear" w:color="auto" w:fill="auto"/>
          <w:lang w:val="cs-CZ" w:eastAsia="cs-CZ" w:bidi="cs-CZ"/>
        </w:rPr>
        <w:t>Smluvní strany prohlašují, že si tuto smlouvu před jejím podpisem přečetly, že jim je srozumitelná a že tuto smlouvu uzavřely svobodně a vážně, nikoliv z přinucení nebo omylu. Na důkaz toho připojují podpisy svých zástupců.</w:t>
      </w:r>
    </w:p>
    <w:p>
      <w:pPr>
        <w:pStyle w:val="Style2"/>
        <w:keepNext w:val="0"/>
        <w:keepLines w:val="0"/>
        <w:widowControl w:val="0"/>
        <w:shd w:val="clear" w:color="auto" w:fill="auto"/>
        <w:bidi w:val="0"/>
        <w:spacing w:before="0" w:after="260" w:line="254" w:lineRule="auto"/>
        <w:ind w:left="1300" w:right="0" w:firstLine="0"/>
        <w:jc w:val="right"/>
      </w:pPr>
      <w:r>
        <mc:AlternateContent>
          <mc:Choice Requires="wps">
            <w:drawing>
              <wp:anchor distT="0" distB="0" distL="114300" distR="114300" simplePos="0" relativeHeight="125829378" behindDoc="0" locked="0" layoutInCell="1" allowOverlap="1">
                <wp:simplePos x="0" y="0"/>
                <wp:positionH relativeFrom="page">
                  <wp:posOffset>1029335</wp:posOffset>
                </wp:positionH>
                <wp:positionV relativeFrom="margin">
                  <wp:posOffset>801370</wp:posOffset>
                </wp:positionV>
                <wp:extent cx="2200910" cy="749935"/>
                <wp:wrapSquare wrapText="right"/>
                <wp:docPr id="1" name="Shape 1"/>
                <a:graphic xmlns:a="http://schemas.openxmlformats.org/drawingml/2006/main">
                  <a:graphicData uri="http://schemas.microsoft.com/office/word/2010/wordprocessingShape">
                    <wps:wsp>
                      <wps:cNvSpPr txBox="1"/>
                      <wps:spPr>
                        <a:xfrm>
                          <a:ext cx="2200910" cy="749935"/>
                        </a:xfrm>
                        <a:prstGeom prst="rect"/>
                        <a:noFill/>
                      </wps:spPr>
                      <wps:txbx>
                        <w:txbxContent>
                          <w:p>
                            <w:pPr>
                              <w:pStyle w:val="Style2"/>
                              <w:keepNext w:val="0"/>
                              <w:keepLines w:val="0"/>
                              <w:widowControl w:val="0"/>
                              <w:shd w:val="clear" w:color="auto" w:fill="auto"/>
                              <w:bidi w:val="0"/>
                              <w:spacing w:before="0" w:after="220" w:line="254" w:lineRule="auto"/>
                              <w:ind w:left="0" w:right="0" w:firstLine="0"/>
                              <w:jc w:val="left"/>
                            </w:pPr>
                            <w:r>
                              <w:rPr>
                                <w:color w:val="000000"/>
                                <w:spacing w:val="0"/>
                                <w:w w:val="100"/>
                                <w:position w:val="0"/>
                                <w:shd w:val="clear" w:color="auto" w:fill="auto"/>
                                <w:lang w:val="cs-CZ" w:eastAsia="cs-CZ" w:bidi="cs-CZ"/>
                              </w:rPr>
                              <w:t xml:space="preserve">V Chomutově dne </w:t>
                            </w:r>
                            <w:r>
                              <w:rPr>
                                <w:i/>
                                <w:iCs/>
                                <w:color w:val="000000"/>
                                <w:spacing w:val="0"/>
                                <w:w w:val="100"/>
                                <w:position w:val="0"/>
                                <w:shd w:val="clear" w:color="auto" w:fill="auto"/>
                                <w:lang w:val="cs-CZ" w:eastAsia="cs-CZ" w:bidi="cs-CZ"/>
                              </w:rPr>
                              <w:t>(datum uvedeno v doložce</w:t>
                            </w:r>
                            <w:r>
                              <w:rPr>
                                <w:color w:val="000000"/>
                                <w:spacing w:val="0"/>
                                <w:w w:val="100"/>
                                <w:position w:val="0"/>
                                <w:shd w:val="clear" w:color="auto" w:fill="auto"/>
                                <w:lang w:val="cs-CZ" w:eastAsia="cs-CZ" w:bidi="cs-CZ"/>
                              </w:rPr>
                              <w:t xml:space="preserve"> elektronického podpisu)</w:t>
                            </w:r>
                          </w:p>
                          <w:p>
                            <w:pPr>
                              <w:pStyle w:val="Style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1.049999999999997pt;margin-top:63.100000000000001pt;width:173.30000000000001pt;height:59.050000000000004pt;z-index:-125829375;mso-wrap-distance-left:9.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220" w:line="254" w:lineRule="auto"/>
                        <w:ind w:left="0" w:right="0" w:firstLine="0"/>
                        <w:jc w:val="left"/>
                      </w:pPr>
                      <w:r>
                        <w:rPr>
                          <w:color w:val="000000"/>
                          <w:spacing w:val="0"/>
                          <w:w w:val="100"/>
                          <w:position w:val="0"/>
                          <w:shd w:val="clear" w:color="auto" w:fill="auto"/>
                          <w:lang w:val="cs-CZ" w:eastAsia="cs-CZ" w:bidi="cs-CZ"/>
                        </w:rPr>
                        <w:t xml:space="preserve">V Chomutově dne </w:t>
                      </w:r>
                      <w:r>
                        <w:rPr>
                          <w:i/>
                          <w:iCs/>
                          <w:color w:val="000000"/>
                          <w:spacing w:val="0"/>
                          <w:w w:val="100"/>
                          <w:position w:val="0"/>
                          <w:shd w:val="clear" w:color="auto" w:fill="auto"/>
                          <w:lang w:val="cs-CZ" w:eastAsia="cs-CZ" w:bidi="cs-CZ"/>
                        </w:rPr>
                        <w:t>(datum uvedeno v doložce</w:t>
                      </w:r>
                      <w:r>
                        <w:rPr>
                          <w:color w:val="000000"/>
                          <w:spacing w:val="0"/>
                          <w:w w:val="100"/>
                          <w:position w:val="0"/>
                          <w:shd w:val="clear" w:color="auto" w:fill="auto"/>
                          <w:lang w:val="cs-CZ" w:eastAsia="cs-CZ" w:bidi="cs-CZ"/>
                        </w:rPr>
                        <w:t xml:space="preserve"> elektronického podpisu)</w:t>
                      </w:r>
                    </w:p>
                    <w:p>
                      <w:pPr>
                        <w:pStyle w:val="Style2"/>
                        <w:keepNext w:val="0"/>
                        <w:keepLines w:val="0"/>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Povodí Ohře, státní podnik</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 xml:space="preserve">V Karlových Varech dne </w:t>
      </w:r>
      <w:r>
        <w:rPr>
          <w:i/>
          <w:iCs/>
          <w:color w:val="000000"/>
          <w:spacing w:val="0"/>
          <w:w w:val="100"/>
          <w:position w:val="0"/>
          <w:shd w:val="clear" w:color="auto" w:fill="auto"/>
          <w:lang w:val="cs-CZ" w:eastAsia="cs-CZ" w:bidi="cs-CZ"/>
        </w:rPr>
        <w:t>(datum uvedeno v doložce elektronického podpisu)</w:t>
      </w:r>
    </w:p>
    <w:p>
      <w:pPr>
        <w:pStyle w:val="Style2"/>
        <w:keepNext w:val="0"/>
        <w:keepLines w:val="0"/>
        <w:widowControl w:val="0"/>
        <w:shd w:val="clear" w:color="auto" w:fill="auto"/>
        <w:bidi w:val="0"/>
        <w:spacing w:before="0" w:after="0" w:line="254" w:lineRule="auto"/>
        <w:ind w:left="1300" w:right="0" w:firstLine="0"/>
        <w:jc w:val="right"/>
        <w:sectPr>
          <w:footerReference w:type="default" r:id="rId5"/>
          <w:footnotePr>
            <w:pos w:val="pageBottom"/>
            <w:numFmt w:val="decimal"/>
            <w:numRestart w:val="continuous"/>
          </w:footnotePr>
          <w:pgSz w:w="11909" w:h="16838"/>
          <w:pgMar w:top="1147" w:left="1235" w:right="1063" w:bottom="1389" w:header="719" w:footer="3" w:gutter="0"/>
          <w:pgNumType w:start="1"/>
          <w:cols w:space="720"/>
          <w:noEndnote/>
          <w:rtlGutter w:val="0"/>
          <w:docGrid w:linePitch="360"/>
        </w:sectPr>
      </w:pPr>
      <w:r>
        <w:rPr>
          <w:b/>
          <w:bCs/>
          <w:color w:val="000000"/>
          <w:spacing w:val="0"/>
          <w:w w:val="100"/>
          <w:position w:val="0"/>
          <w:shd w:val="clear" w:color="auto" w:fill="auto"/>
          <w:lang w:val="cs-CZ" w:eastAsia="cs-CZ" w:bidi="cs-CZ"/>
        </w:rPr>
        <w:t>Česká republika – Úřad pro zastupování státu ve věcech majetkových</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18" w:left="0" w:right="0" w:bottom="1262" w:header="0" w:footer="3" w:gutter="0"/>
          <w:cols w:space="720"/>
          <w:noEndnote/>
          <w:rtlGutter w:val="0"/>
          <w:docGrid w:linePitch="360"/>
        </w:sectPr>
      </w:pPr>
    </w:p>
    <w:p>
      <w:pPr>
        <w:pStyle w:val="Style2"/>
        <w:keepNext w:val="0"/>
        <w:keepLines w:val="0"/>
        <w:widowControl w:val="0"/>
        <w:shd w:val="clear" w:color="auto" w:fill="auto"/>
        <w:bidi w:val="0"/>
        <w:spacing w:before="0" w:after="0" w:line="516" w:lineRule="auto"/>
        <w:ind w:left="0" w:right="0" w:firstLine="0"/>
        <w:jc w:val="center"/>
      </w:pPr>
      <w:r>
        <w:rPr>
          <w:color w:val="000000"/>
          <w:spacing w:val="0"/>
          <w:w w:val="100"/>
          <w:position w:val="0"/>
          <w:shd w:val="clear" w:color="auto" w:fill="auto"/>
          <w:lang w:val="cs-CZ" w:eastAsia="cs-CZ" w:bidi="cs-CZ"/>
        </w:rPr>
        <w:t>…………………………….…………………</w:t>
        <w:br/>
        <w:t>generální ředitel</w:t>
      </w:r>
    </w:p>
    <w:p>
      <w:pPr>
        <w:pStyle w:val="Style2"/>
        <w:keepNext w:val="0"/>
        <w:keepLines w:val="0"/>
        <w:widowControl w:val="0"/>
        <w:shd w:val="clear" w:color="auto" w:fill="auto"/>
        <w:bidi w:val="0"/>
        <w:spacing w:before="0" w:after="0" w:line="516" w:lineRule="auto"/>
        <w:ind w:left="0" w:right="0" w:firstLine="0"/>
        <w:jc w:val="center"/>
      </w:pPr>
      <w:r>
        <w:rPr>
          <w:color w:val="000000"/>
          <w:spacing w:val="0"/>
          <w:w w:val="100"/>
          <w:position w:val="0"/>
          <w:shd w:val="clear" w:color="auto" w:fill="auto"/>
          <w:lang w:val="cs-CZ" w:eastAsia="cs-CZ" w:bidi="cs-CZ"/>
        </w:rPr>
        <w:t>…………………………….…………</w:t>
        <w:br/>
        <w:t>vedoucí odboru</w:t>
      </w:r>
    </w:p>
    <w:p>
      <w:pPr>
        <w:pStyle w:val="Style2"/>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9" w:h="16838"/>
          <w:pgMar w:top="1118" w:left="1970" w:right="1490" w:bottom="1262" w:header="0" w:footer="3" w:gutter="0"/>
          <w:cols w:num="2" w:space="720" w:equalWidth="0">
            <w:col w:w="4080" w:space="826"/>
            <w:col w:w="3542"/>
          </w:cols>
          <w:noEndnote/>
          <w:rtlGutter w:val="0"/>
          <w:docGrid w:linePitch="360"/>
        </w:sectPr>
      </w:pPr>
      <w:r>
        <w:rPr>
          <w:color w:val="000000"/>
          <w:spacing w:val="0"/>
          <w:w w:val="100"/>
          <w:position w:val="0"/>
          <w:shd w:val="clear" w:color="auto" w:fill="auto"/>
          <w:lang w:val="cs-CZ" w:eastAsia="cs-CZ" w:bidi="cs-CZ"/>
        </w:rPr>
        <w:t>Odloučené pracoviště Karlovy Vary</w:t>
      </w:r>
    </w:p>
    <w:p>
      <w:pPr>
        <w:rPr>
          <w:sz w:val="2"/>
          <w:szCs w:val="2"/>
        </w:rPr>
        <w:sectPr>
          <w:footnotePr>
            <w:pos w:val="pageBottom"/>
            <w:numFmt w:val="decimal"/>
            <w:numRestart w:val="continuous"/>
          </w:footnotePr>
          <w:type w:val="continuous"/>
          <w:pgSz w:w="11909" w:h="16838"/>
          <w:pgMar w:top="1118" w:left="1970" w:right="1490" w:bottom="1262" w:header="0" w:footer="3" w:gutter="0"/>
          <w:cols w:num="2" w:space="720" w:equalWidth="0">
            <w:col w:w="4080" w:space="826"/>
            <w:col w:w="3542"/>
          </w:cols>
          <w:noEndnote/>
          <w:rtlGutter w:val="0"/>
          <w:docGrid w:linePitch="360"/>
        </w:sectPr>
      </w:pP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Zpracoval:</w:t>
      </w:r>
    </w:p>
    <w:sectPr>
      <w:footnotePr>
        <w:pos w:val="pageBottom"/>
        <w:numFmt w:val="decimal"/>
        <w:numRestart w:val="continuous"/>
      </w:footnotePr>
      <w:pgSz w:w="11909" w:h="16838"/>
      <w:pgMar w:top="1377" w:left="1251" w:right="9850" w:bottom="1377" w:header="94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3683000</wp:posOffset>
              </wp:positionH>
              <wp:positionV relativeFrom="page">
                <wp:posOffset>9909175</wp:posOffset>
              </wp:positionV>
              <wp:extent cx="301625" cy="191770"/>
              <wp:wrapNone/>
              <wp:docPr id="3" name="Shape 3"/>
              <a:graphic xmlns:a="http://schemas.openxmlformats.org/drawingml/2006/main">
                <a:graphicData uri="http://schemas.microsoft.com/office/word/2010/wordprocessingShape">
                  <wps:wsp>
                    <wps:cNvSpPr txBox="1"/>
                    <wps:spPr>
                      <a:xfrm>
                        <a:ext cx="301625" cy="1917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r>
                            <w:rPr>
                              <w:rFonts w:ascii="Arial" w:eastAsia="Arial" w:hAnsi="Arial" w:cs="Arial"/>
                              <w:color w:val="000000"/>
                              <w:spacing w:val="0"/>
                              <w:w w:val="100"/>
                              <w:position w:val="0"/>
                              <w:sz w:val="22"/>
                              <w:szCs w:val="22"/>
                              <w:shd w:val="clear" w:color="auto" w:fill="auto"/>
                              <w:lang w:val="cs-CZ" w:eastAsia="cs-CZ" w:bidi="cs-CZ"/>
                            </w:rPr>
                            <w:t xml:space="preserve"> z 6</w:t>
                          </w:r>
                        </w:p>
                      </w:txbxContent>
                    </wps:txbx>
                    <wps:bodyPr wrap="none" lIns="0" tIns="0" rIns="0" bIns="0">
                      <a:spAutoFit/>
                    </wps:bodyPr>
                  </wps:wsp>
                </a:graphicData>
              </a:graphic>
            </wp:anchor>
          </w:drawing>
        </mc:Choice>
        <mc:Fallback>
          <w:pict>
            <v:shape id="_x0000_s1029" type="#_x0000_t202" style="position:absolute;margin-left:290.pt;margin-top:780.25pt;width:23.75pt;height:15.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Arial" w:eastAsia="Arial" w:hAnsi="Arial" w:cs="Arial"/>
                          <w:color w:val="000000"/>
                          <w:spacing w:val="0"/>
                          <w:w w:val="100"/>
                          <w:position w:val="0"/>
                          <w:sz w:val="22"/>
                          <w:szCs w:val="22"/>
                          <w:shd w:val="clear" w:color="auto" w:fill="auto"/>
                          <w:lang w:val="cs-CZ" w:eastAsia="cs-CZ" w:bidi="cs-CZ"/>
                        </w:rPr>
                        <w:t>#</w:t>
                      </w:r>
                    </w:fldSimple>
                    <w:r>
                      <w:rPr>
                        <w:rFonts w:ascii="Arial" w:eastAsia="Arial" w:hAnsi="Arial" w:cs="Arial"/>
                        <w:color w:val="000000"/>
                        <w:spacing w:val="0"/>
                        <w:w w:val="100"/>
                        <w:position w:val="0"/>
                        <w:sz w:val="22"/>
                        <w:szCs w:val="22"/>
                        <w:shd w:val="clear" w:color="auto" w:fill="auto"/>
                        <w:lang w:val="cs-CZ" w:eastAsia="cs-CZ" w:bidi="cs-CZ"/>
                      </w:rPr>
                      <w:t xml:space="preserve"> z 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18"/>
      <w:szCs w:val="18"/>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8"/>
      <w:szCs w:val="28"/>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16"/>
      <w:szCs w:val="16"/>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spacing w:before="300" w:after="200"/>
    </w:pPr>
    <w:rPr>
      <w:rFonts w:ascii="Arial" w:eastAsia="Arial" w:hAnsi="Arial" w:cs="Arial"/>
      <w:b w:val="0"/>
      <w:bCs w:val="0"/>
      <w:i w:val="0"/>
      <w:iCs w:val="0"/>
      <w:smallCaps w:val="0"/>
      <w:strike w:val="0"/>
      <w:sz w:val="18"/>
      <w:szCs w:val="18"/>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13">
    <w:name w:val="Style 13"/>
    <w:basedOn w:val="Normal"/>
    <w:link w:val="CharStyle14"/>
    <w:pPr>
      <w:widowControl w:val="0"/>
      <w:shd w:val="clear" w:color="auto" w:fill="FFFFFF"/>
      <w:spacing w:after="240"/>
      <w:jc w:val="center"/>
    </w:pPr>
    <w:rPr>
      <w:rFonts w:ascii="Arial" w:eastAsia="Arial" w:hAnsi="Arial" w:cs="Arial"/>
      <w:b/>
      <w:bCs/>
      <w:i w:val="0"/>
      <w:iCs w:val="0"/>
      <w:smallCaps w:val="0"/>
      <w:strike w:val="0"/>
      <w:sz w:val="28"/>
      <w:szCs w:val="28"/>
      <w:u w:val="none"/>
    </w:rPr>
  </w:style>
  <w:style w:type="paragraph" w:customStyle="1" w:styleId="Style18">
    <w:name w:val="Style 18"/>
    <w:basedOn w:val="Normal"/>
    <w:link w:val="CharStyle19"/>
    <w:pPr>
      <w:widowControl w:val="0"/>
      <w:shd w:val="clear" w:color="auto" w:fill="FFFFFF"/>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smolovar</dc:creator>
  <cp:keywords/>
</cp:coreProperties>
</file>