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mc:AlternateContent>
          <mc:Choice Requires="wps">
            <w:drawing>
              <wp:anchor distT="0" distB="2346960" distL="114300" distR="114300" simplePos="0" relativeHeight="125829378" behindDoc="0" locked="0" layoutInCell="1" allowOverlap="1">
                <wp:simplePos x="0" y="0"/>
                <wp:positionH relativeFrom="page">
                  <wp:posOffset>2859405</wp:posOffset>
                </wp:positionH>
                <wp:positionV relativeFrom="paragraph">
                  <wp:posOffset>1237615</wp:posOffset>
                </wp:positionV>
                <wp:extent cx="3669665" cy="929640"/>
                <wp:wrapSquare wrapText="left"/>
                <wp:docPr id="1" name="Shape 1"/>
                <a:graphic xmlns:a="http://schemas.openxmlformats.org/drawingml/2006/main">
                  <a:graphicData uri="http://schemas.microsoft.com/office/word/2010/wordprocessingShape">
                    <wps:wsp>
                      <wps:cNvSpPr txBox="1"/>
                      <wps:spPr>
                        <a:xfrm>
                          <a:ext cx="3669665" cy="92964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Povodí Ohře, státní podnik</w:t>
                            </w:r>
                          </w:p>
                          <w:p>
                            <w:pPr>
                              <w:pStyle w:val="Style5"/>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Bezručova 4219, 430 03 Chomutov</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70889988</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CZ70889988</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u Krajského soudu v Ústí nad Labem v oddílu A, vložce č. 13052</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25.15000000000001pt;margin-top:97.450000000000003pt;width:288.94999999999999pt;height:73.200000000000003pt;z-index:-125829375;mso-wrap-distance-left:9.pt;mso-wrap-distance-right:9.pt;mso-wrap-distance-bottom:184.80000000000001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Povodí Ohře, státní podnik</w:t>
                      </w:r>
                    </w:p>
                    <w:p>
                      <w:pPr>
                        <w:pStyle w:val="Style5"/>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Bezručova 4219, 430 03 Chomutov</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70889988</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CZ70889988</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u Krajského soudu v Ústí nad Labem v oddílu A, vložce č. 13052</w:t>
                      </w:r>
                    </w:p>
                  </w:txbxContent>
                </v:textbox>
                <w10:wrap type="square" side="left" anchorx="page"/>
              </v:shape>
            </w:pict>
          </mc:Fallback>
        </mc:AlternateContent>
      </w:r>
      <w:r>
        <mc:AlternateContent>
          <mc:Choice Requires="wps">
            <w:drawing>
              <wp:anchor distT="2346960" distB="0" distL="114300" distR="1129030" simplePos="0" relativeHeight="125829380" behindDoc="0" locked="0" layoutInCell="1" allowOverlap="1">
                <wp:simplePos x="0" y="0"/>
                <wp:positionH relativeFrom="page">
                  <wp:posOffset>2859405</wp:posOffset>
                </wp:positionH>
                <wp:positionV relativeFrom="paragraph">
                  <wp:posOffset>3584575</wp:posOffset>
                </wp:positionV>
                <wp:extent cx="2654935" cy="929640"/>
                <wp:wrapSquare wrapText="left"/>
                <wp:docPr id="3" name="Shape 3"/>
                <a:graphic xmlns:a="http://schemas.openxmlformats.org/drawingml/2006/main">
                  <a:graphicData uri="http://schemas.microsoft.com/office/word/2010/wordprocessingShape">
                    <wps:wsp>
                      <wps:cNvSpPr txBox="1"/>
                      <wps:spPr>
                        <a:xfrm>
                          <a:ext cx="2654935" cy="92964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HBAPS, s.r.o.</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Březinova 191/13, 460 05 Liberec V-Kristiánov</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27266036</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CZ27266036</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u KS v Ústí nad Labem, oddíl C, vložka 21507</w:t>
                            </w:r>
                          </w:p>
                        </w:txbxContent>
                      </wps:txbx>
                      <wps:bodyPr lIns="0" tIns="0" rIns="0" bIns="0">
                        <a:noAutoFit/>
                      </wps:bodyPr>
                    </wps:wsp>
                  </a:graphicData>
                </a:graphic>
              </wp:anchor>
            </w:drawing>
          </mc:Choice>
          <mc:Fallback>
            <w:pict>
              <v:shape id="_x0000_s1029" type="#_x0000_t202" style="position:absolute;margin-left:225.15000000000001pt;margin-top:282.25pt;width:209.05000000000001pt;height:73.200000000000003pt;z-index:-125829373;mso-wrap-distance-left:9.pt;mso-wrap-distance-top:184.80000000000001pt;mso-wrap-distance-right:88.900000000000006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HBAPS, s.r.o.</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Březinova 191/13, 460 05 Liberec V-Kristiánov</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27266036</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CZ27266036</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u KS v Ústí nad Labem, oddíl C, vložka 21507</w:t>
                      </w:r>
                    </w:p>
                  </w:txbxContent>
                </v:textbox>
                <w10:wrap type="square" side="left" anchorx="page"/>
              </v:shape>
            </w:pict>
          </mc:Fallback>
        </mc:AlternateContent>
      </w:r>
    </w:p>
    <w:p>
      <w:pPr>
        <w:pStyle w:val="Style9"/>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Smlouva o dílo</w:t>
      </w:r>
    </w:p>
    <w:p>
      <w:pPr>
        <w:pStyle w:val="Style5"/>
        <w:keepNext w:val="0"/>
        <w:keepLines w:val="0"/>
        <w:widowControl w:val="0"/>
        <w:shd w:val="clear" w:color="auto" w:fill="auto"/>
        <w:bidi w:val="0"/>
        <w:spacing w:before="0" w:line="240" w:lineRule="auto"/>
        <w:ind w:left="0" w:right="0" w:firstLine="0"/>
        <w:jc w:val="left"/>
      </w:pPr>
      <w:r>
        <w:rPr>
          <w:b/>
          <w:bCs/>
          <w:color w:val="000000"/>
          <w:spacing w:val="0"/>
          <w:w w:val="100"/>
          <w:position w:val="0"/>
          <w:shd w:val="clear" w:color="auto" w:fill="auto"/>
          <w:lang w:val="cs-CZ" w:eastAsia="cs-CZ" w:bidi="cs-CZ"/>
        </w:rPr>
        <w:t>Evidenční číslo Objednatele: 716/2026</w:t>
      </w:r>
    </w:p>
    <w:p>
      <w:pPr>
        <w:pStyle w:val="Style5"/>
        <w:keepNext w:val="0"/>
        <w:keepLines w:val="0"/>
        <w:widowControl w:val="0"/>
        <w:shd w:val="clear" w:color="auto" w:fill="auto"/>
        <w:bidi w:val="0"/>
        <w:spacing w:before="0" w:line="240" w:lineRule="auto"/>
        <w:ind w:left="0" w:right="0" w:firstLine="0"/>
        <w:jc w:val="left"/>
      </w:pPr>
      <w:r>
        <w:rPr>
          <w:b/>
          <w:bCs/>
          <w:color w:val="000000"/>
          <w:spacing w:val="0"/>
          <w:w w:val="100"/>
          <w:position w:val="0"/>
          <w:shd w:val="clear" w:color="auto" w:fill="auto"/>
          <w:lang w:val="cs-CZ" w:eastAsia="cs-CZ" w:bidi="cs-CZ"/>
        </w:rPr>
        <w:t>Evidenční číslo Zhotovitele:</w:t>
      </w:r>
    </w:p>
    <w:p>
      <w:pPr>
        <w:pStyle w:val="Style5"/>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Smlouva je uzavřena mezi následujícími Stranami:</w:t>
      </w:r>
    </w:p>
    <w:p>
      <w:pPr>
        <w:pStyle w:val="Style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Objednatelem:</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ID datové schránky:</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Osoba oprávněná</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 podpisu Smlouvy o dílo: a</w:t>
      </w:r>
    </w:p>
    <w:p>
      <w:pPr>
        <w:pStyle w:val="Style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Zhotovitelem:</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5"/>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Číslo účtu:</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ID datové schránky:</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Osoba oprávněná</w:t>
      </w:r>
    </w:p>
    <w:p>
      <w:pPr>
        <w:pStyle w:val="Style5"/>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s-CZ" w:eastAsia="cs-CZ" w:bidi="cs-CZ"/>
        </w:rPr>
        <w:t>k podpisu Smlouvy o dílo:</w:t>
      </w:r>
    </w:p>
    <w:p>
      <w:pPr>
        <w:pStyle w:val="Style5"/>
        <w:keepNext w:val="0"/>
        <w:keepLines w:val="0"/>
        <w:widowControl w:val="0"/>
        <w:numPr>
          <w:ilvl w:val="0"/>
          <w:numId w:val="1"/>
        </w:numPr>
        <w:shd w:val="clear" w:color="auto" w:fill="auto"/>
        <w:tabs>
          <w:tab w:pos="363" w:val="left"/>
        </w:tabs>
        <w:bidi w:val="0"/>
        <w:spacing w:before="0" w:after="0" w:line="240" w:lineRule="auto"/>
        <w:ind w:left="300" w:right="0" w:hanging="300"/>
        <w:jc w:val="both"/>
      </w:pPr>
      <w:bookmarkStart w:id="2" w:name="bookmark2"/>
      <w:bookmarkStart w:id="3" w:name="bookmark3"/>
      <w:bookmarkEnd w:id="2"/>
      <w:r>
        <w:rPr>
          <w:b/>
          <w:bCs/>
          <w:color w:val="000000"/>
          <w:spacing w:val="0"/>
          <w:w w:val="100"/>
          <w:position w:val="0"/>
          <w:shd w:val="clear" w:color="auto" w:fill="auto"/>
          <w:lang w:val="cs-CZ" w:eastAsia="cs-CZ" w:bidi="cs-CZ"/>
        </w:rPr>
        <w:t xml:space="preserve">ÚVODNÍ UJEDNÁNÍ </w:t>
      </w:r>
      <w:r>
        <w:rPr>
          <w:color w:val="000000"/>
          <w:spacing w:val="0"/>
          <w:w w:val="100"/>
          <w:position w:val="0"/>
          <w:shd w:val="clear" w:color="auto" w:fill="auto"/>
          <w:lang w:val="cs-CZ" w:eastAsia="cs-CZ" w:bidi="cs-CZ"/>
        </w:rPr>
        <w:t>Vzhledem k tomu, že</w:t>
      </w:r>
      <w:bookmarkEnd w:id="3"/>
    </w:p>
    <w:p>
      <w:pPr>
        <w:pStyle w:val="Style5"/>
        <w:keepNext w:val="0"/>
        <w:keepLines w:val="0"/>
        <w:widowControl w:val="0"/>
        <w:shd w:val="clear" w:color="auto" w:fill="auto"/>
        <w:bidi w:val="0"/>
        <w:spacing w:before="0" w:after="0" w:line="240" w:lineRule="auto"/>
        <w:ind w:left="580" w:right="0" w:firstLine="0"/>
        <w:jc w:val="both"/>
      </w:pPr>
      <w:r>
        <w:rPr>
          <w:color w:val="000000"/>
          <w:spacing w:val="0"/>
          <w:w w:val="100"/>
          <w:position w:val="0"/>
          <w:shd w:val="clear" w:color="auto" w:fill="auto"/>
          <w:lang w:val="cs-CZ" w:eastAsia="cs-CZ" w:bidi="cs-CZ"/>
        </w:rPr>
        <w:t>Zhotovitel byl Objednatelem vybrán k uzavření Smlouvy na základě výsledku zadávacího řízení dle zákona č. 134/2016 Sb., o zadávání veřejných zakázek, ve znění pozdějších předpisů, pro veřejnou zakázku s názvem „</w:t>
      </w:r>
      <w:r>
        <w:rPr>
          <w:b/>
          <w:bCs/>
          <w:color w:val="000000"/>
          <w:spacing w:val="0"/>
          <w:w w:val="100"/>
          <w:position w:val="0"/>
          <w:shd w:val="clear" w:color="auto" w:fill="auto"/>
          <w:lang w:val="cs-CZ" w:eastAsia="cs-CZ" w:bidi="cs-CZ"/>
        </w:rPr>
        <w:t>Oprava a rekonstrukce Šluknovského potoka v Císařském – III. Etapa (u mandlu)</w:t>
      </w:r>
      <w:r>
        <w:rPr>
          <w:color w:val="000000"/>
          <w:spacing w:val="0"/>
          <w:w w:val="100"/>
          <w:position w:val="0"/>
          <w:shd w:val="clear" w:color="auto" w:fill="auto"/>
          <w:lang w:val="cs-CZ" w:eastAsia="cs-CZ" w:bidi="cs-CZ"/>
        </w:rPr>
        <w:t>“,</w:t>
      </w:r>
    </w:p>
    <w:p>
      <w:pPr>
        <w:pStyle w:val="Style5"/>
        <w:keepNext w:val="0"/>
        <w:keepLines w:val="0"/>
        <w:widowControl w:val="0"/>
        <w:shd w:val="clear" w:color="auto" w:fill="auto"/>
        <w:bidi w:val="0"/>
        <w:spacing w:before="0" w:after="180" w:line="240" w:lineRule="auto"/>
        <w:ind w:left="0" w:right="0" w:firstLine="300"/>
        <w:jc w:val="both"/>
      </w:pPr>
      <w:r>
        <w:rPr>
          <w:color w:val="000000"/>
          <w:spacing w:val="0"/>
          <w:w w:val="100"/>
          <w:position w:val="0"/>
          <w:shd w:val="clear" w:color="auto" w:fill="auto"/>
          <w:lang w:val="cs-CZ" w:eastAsia="cs-CZ" w:bidi="cs-CZ"/>
        </w:rPr>
        <w:t>se Strany dohodly na následujícím:</w:t>
      </w:r>
    </w:p>
    <w:p>
      <w:pPr>
        <w:pStyle w:val="Style15"/>
        <w:keepNext/>
        <w:keepLines/>
        <w:widowControl w:val="0"/>
        <w:numPr>
          <w:ilvl w:val="0"/>
          <w:numId w:val="1"/>
        </w:numPr>
        <w:shd w:val="clear" w:color="auto" w:fill="auto"/>
        <w:tabs>
          <w:tab w:pos="363" w:val="left"/>
        </w:tabs>
        <w:bidi w:val="0"/>
        <w:spacing w:before="0" w:after="0" w:line="240" w:lineRule="auto"/>
        <w:ind w:left="0" w:right="0" w:firstLine="0"/>
        <w:jc w:val="left"/>
      </w:pPr>
      <w:bookmarkStart w:id="4" w:name="bookmark4"/>
      <w:bookmarkStart w:id="5" w:name="bookmark5"/>
      <w:bookmarkStart w:id="6" w:name="bookmark6"/>
      <w:bookmarkStart w:id="7" w:name="bookmark7"/>
      <w:bookmarkEnd w:id="6"/>
      <w:r>
        <w:rPr>
          <w:b/>
          <w:bCs/>
          <w:color w:val="000000"/>
          <w:spacing w:val="0"/>
          <w:w w:val="100"/>
          <w:position w:val="0"/>
          <w:shd w:val="clear" w:color="auto" w:fill="auto"/>
          <w:lang w:val="cs-CZ" w:eastAsia="cs-CZ" w:bidi="cs-CZ"/>
        </w:rPr>
        <w:t>PŘEDMĚT SMLOUVY</w:t>
      </w:r>
      <w:bookmarkEnd w:id="4"/>
      <w:bookmarkEnd w:id="5"/>
      <w:bookmarkEnd w:id="7"/>
    </w:p>
    <w:p>
      <w:pPr>
        <w:pStyle w:val="Style5"/>
        <w:keepNext w:val="0"/>
        <w:keepLines w:val="0"/>
        <w:widowControl w:val="0"/>
        <w:shd w:val="clear" w:color="auto" w:fill="auto"/>
        <w:bidi w:val="0"/>
        <w:spacing w:before="0" w:after="180" w:line="240" w:lineRule="auto"/>
        <w:ind w:left="300" w:right="0" w:firstLine="0"/>
        <w:jc w:val="both"/>
      </w:pPr>
      <w:r>
        <w:rPr>
          <w:color w:val="000000"/>
          <w:spacing w:val="0"/>
          <w:w w:val="100"/>
          <w:position w:val="0"/>
          <w:shd w:val="clear" w:color="auto" w:fill="auto"/>
          <w:lang w:val="cs-CZ" w:eastAsia="cs-CZ" w:bidi="cs-CZ"/>
        </w:rPr>
        <w:t xml:space="preserve">Zhotovitel se zavazuje provést na svůj náklad a nebezpečí pro Objednatele Dílo a Objednatel se zavazuje Dílo převzít a zaplatit Smluvní cenu za Dílo za podmínek uvedených ve Smlouvě. Zhotovitel se zavazuje respektovat veškerá ustanovení Pravidel České republiky – Ministerstva zemědělství pro poskytování a čerpání dotací z programu 129 490 „Podpora opatření na malých vodních nádržích a drobných vodních tocích – 3. etapa“ a způsobu kontroly jejich užití a dalších závazných ustanovení obsažených v předpisech pro příjemce dotace. To platí i pro fázi po splnění závazku založeného touto smlouvou. Dokumenty jsou dostupné na </w:t>
      </w:r>
      <w:r>
        <w:fldChar w:fldCharType="begin"/>
      </w:r>
      <w:r>
        <w:rPr/>
        <w:instrText> HYPERLINK "http://www.mze.gov.cz/" </w:instrText>
      </w:r>
      <w:r>
        <w:fldChar w:fldCharType="separate"/>
      </w:r>
      <w:r>
        <w:rPr>
          <w:color w:val="0000FF"/>
          <w:spacing w:val="0"/>
          <w:w w:val="100"/>
          <w:position w:val="0"/>
          <w:shd w:val="clear" w:color="auto" w:fill="auto"/>
          <w:lang w:val="cs-CZ" w:eastAsia="cs-CZ" w:bidi="cs-CZ"/>
        </w:rPr>
        <w:t>http://www.mze.gov.cz/</w:t>
      </w:r>
      <w:r>
        <w:fldChar w:fldCharType="end"/>
      </w:r>
      <w:r>
        <w:rPr>
          <w:color w:val="000000"/>
          <w:spacing w:val="0"/>
          <w:w w:val="100"/>
          <w:position w:val="0"/>
          <w:shd w:val="clear" w:color="auto" w:fill="auto"/>
          <w:lang w:val="cs-CZ" w:eastAsia="cs-CZ" w:bidi="cs-CZ"/>
        </w:rPr>
        <w:t>.</w:t>
      </w:r>
    </w:p>
    <w:p>
      <w:pPr>
        <w:pStyle w:val="Style15"/>
        <w:keepNext/>
        <w:keepLines/>
        <w:widowControl w:val="0"/>
        <w:numPr>
          <w:ilvl w:val="0"/>
          <w:numId w:val="1"/>
        </w:numPr>
        <w:shd w:val="clear" w:color="auto" w:fill="auto"/>
        <w:tabs>
          <w:tab w:pos="363" w:val="left"/>
        </w:tabs>
        <w:bidi w:val="0"/>
        <w:spacing w:before="0" w:after="0" w:line="240" w:lineRule="auto"/>
        <w:ind w:left="0" w:right="0" w:firstLine="0"/>
        <w:jc w:val="left"/>
      </w:pPr>
      <w:bookmarkStart w:id="10" w:name="bookmark10"/>
      <w:bookmarkStart w:id="11" w:name="bookmark11"/>
      <w:bookmarkStart w:id="8" w:name="bookmark8"/>
      <w:bookmarkStart w:id="9" w:name="bookmark9"/>
      <w:bookmarkEnd w:id="10"/>
      <w:r>
        <w:rPr>
          <w:b/>
          <w:bCs/>
          <w:color w:val="000000"/>
          <w:spacing w:val="0"/>
          <w:w w:val="100"/>
          <w:position w:val="0"/>
          <w:shd w:val="clear" w:color="auto" w:fill="auto"/>
          <w:lang w:val="cs-CZ" w:eastAsia="cs-CZ" w:bidi="cs-CZ"/>
        </w:rPr>
        <w:t>OBSAH SMLOUVY</w:t>
      </w:r>
      <w:bookmarkEnd w:id="11"/>
      <w:bookmarkEnd w:id="8"/>
      <w:bookmarkEnd w:id="9"/>
    </w:p>
    <w:p>
      <w:pPr>
        <w:pStyle w:val="Style5"/>
        <w:keepNext w:val="0"/>
        <w:keepLines w:val="0"/>
        <w:widowControl w:val="0"/>
        <w:shd w:val="clear" w:color="auto" w:fill="auto"/>
        <w:bidi w:val="0"/>
        <w:spacing w:before="0" w:after="0" w:line="240" w:lineRule="auto"/>
        <w:ind w:left="300" w:right="0" w:firstLine="0"/>
        <w:jc w:val="both"/>
      </w:pPr>
      <w:r>
        <w:rPr>
          <w:color w:val="000000"/>
          <w:spacing w:val="0"/>
          <w:w w:val="100"/>
          <w:position w:val="0"/>
          <w:shd w:val="clear" w:color="auto" w:fill="auto"/>
          <w:lang w:val="cs-CZ" w:eastAsia="cs-CZ" w:bidi="cs-CZ"/>
        </w:rPr>
        <w:t>Veškeré dokumenty, které společně se Smlouvou o dílo tvoří Smlouvu a ve kterých jsou uvedeny definice pojmů používaných ve Smlouvě, jsou uvedeny v Příloze, která je součástí Smlouvy o dílo.</w:t>
      </w:r>
    </w:p>
    <w:p>
      <w:pPr>
        <w:pStyle w:val="Style15"/>
        <w:keepNext/>
        <w:keepLines/>
        <w:widowControl w:val="0"/>
        <w:numPr>
          <w:ilvl w:val="0"/>
          <w:numId w:val="1"/>
        </w:numPr>
        <w:shd w:val="clear" w:color="auto" w:fill="auto"/>
        <w:tabs>
          <w:tab w:pos="331" w:val="left"/>
        </w:tabs>
        <w:bidi w:val="0"/>
        <w:spacing w:before="0" w:after="0" w:line="240" w:lineRule="auto"/>
        <w:ind w:left="0" w:right="0" w:firstLine="0"/>
        <w:jc w:val="both"/>
      </w:pPr>
      <w:bookmarkStart w:id="12" w:name="bookmark12"/>
      <w:bookmarkStart w:id="13" w:name="bookmark13"/>
      <w:bookmarkStart w:id="14" w:name="bookmark14"/>
      <w:bookmarkStart w:id="15" w:name="bookmark15"/>
      <w:bookmarkEnd w:id="14"/>
      <w:r>
        <w:rPr>
          <w:b/>
          <w:bCs/>
          <w:color w:val="000000"/>
          <w:spacing w:val="0"/>
          <w:w w:val="100"/>
          <w:position w:val="0"/>
          <w:shd w:val="clear" w:color="auto" w:fill="auto"/>
          <w:lang w:val="cs-CZ" w:eastAsia="cs-CZ" w:bidi="cs-CZ"/>
        </w:rPr>
        <w:t>PŘIJATÁ SMLUVNÍ ČÁSTKA</w:t>
      </w:r>
      <w:bookmarkEnd w:id="12"/>
      <w:bookmarkEnd w:id="13"/>
      <w:bookmarkEnd w:id="15"/>
    </w:p>
    <w:p>
      <w:pPr>
        <w:pStyle w:val="Style5"/>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Přijatá smluvní částka je 16.085.449,14 Kč bez DPH.</w:t>
      </w:r>
    </w:p>
    <w:p>
      <w:pPr>
        <w:pStyle w:val="Style5"/>
        <w:keepNext w:val="0"/>
        <w:keepLines w:val="0"/>
        <w:widowControl w:val="0"/>
        <w:shd w:val="clear" w:color="auto" w:fill="auto"/>
        <w:bidi w:val="0"/>
        <w:spacing w:before="0" w:after="180" w:line="240" w:lineRule="auto"/>
        <w:ind w:left="300" w:right="0" w:firstLine="0"/>
        <w:jc w:val="both"/>
      </w:pPr>
      <w:r>
        <w:rPr>
          <w:color w:val="000000"/>
          <w:spacing w:val="0"/>
          <w:w w:val="100"/>
          <w:position w:val="0"/>
          <w:shd w:val="clear" w:color="auto" w:fill="auto"/>
          <w:lang w:val="cs-CZ" w:eastAsia="cs-CZ" w:bidi="cs-CZ"/>
        </w:rPr>
        <w:t>Přijatá smluvní částka je předpokládanou cenou Díla stanovenou na základě oceněného Výkazu výměr předloženého Zhotovitelem v řízení pro zadání podlimitní veřejné zakázky na stavební práce. Smluvní strany tak berou na vědomí, že Přijatá smluvní částka jako taková podléhá úpravám v souladu se Smlouvou a bude k ní přičtena dan z přidané hodnoty ve výši podle platných a účinných Právních předpisů.</w:t>
      </w:r>
    </w:p>
    <w:p>
      <w:pPr>
        <w:pStyle w:val="Style15"/>
        <w:keepNext/>
        <w:keepLines/>
        <w:widowControl w:val="0"/>
        <w:numPr>
          <w:ilvl w:val="0"/>
          <w:numId w:val="1"/>
        </w:numPr>
        <w:shd w:val="clear" w:color="auto" w:fill="auto"/>
        <w:tabs>
          <w:tab w:pos="331" w:val="left"/>
        </w:tabs>
        <w:bidi w:val="0"/>
        <w:spacing w:before="0" w:after="0" w:line="240" w:lineRule="auto"/>
        <w:ind w:left="0" w:right="0" w:firstLine="0"/>
        <w:jc w:val="left"/>
      </w:pPr>
      <w:bookmarkStart w:id="16" w:name="bookmark16"/>
      <w:bookmarkStart w:id="17" w:name="bookmark17"/>
      <w:bookmarkStart w:id="18" w:name="bookmark18"/>
      <w:bookmarkStart w:id="19" w:name="bookmark19"/>
      <w:bookmarkEnd w:id="18"/>
      <w:r>
        <w:rPr>
          <w:b/>
          <w:bCs/>
          <w:color w:val="000000"/>
          <w:spacing w:val="0"/>
          <w:w w:val="100"/>
          <w:position w:val="0"/>
          <w:shd w:val="clear" w:color="auto" w:fill="auto"/>
          <w:lang w:val="cs-CZ" w:eastAsia="cs-CZ" w:bidi="cs-CZ"/>
        </w:rPr>
        <w:t>UVEŘEJNĚNÍ SMLOUVY</w:t>
      </w:r>
      <w:bookmarkEnd w:id="16"/>
      <w:bookmarkEnd w:id="17"/>
      <w:bookmarkEnd w:id="19"/>
    </w:p>
    <w:p>
      <w:pPr>
        <w:pStyle w:val="Style5"/>
        <w:keepNext w:val="0"/>
        <w:keepLines w:val="0"/>
        <w:widowControl w:val="0"/>
        <w:shd w:val="clear" w:color="auto" w:fill="auto"/>
        <w:bidi w:val="0"/>
        <w:spacing w:before="0" w:after="180" w:line="240" w:lineRule="auto"/>
        <w:ind w:left="300" w:right="0" w:firstLine="0"/>
        <w:jc w:val="both"/>
      </w:pPr>
      <w:r>
        <w:rPr>
          <w:color w:val="000000"/>
          <w:spacing w:val="0"/>
          <w:w w:val="100"/>
          <w:position w:val="0"/>
          <w:shd w:val="clear" w:color="auto" w:fill="auto"/>
          <w:lang w:val="cs-CZ" w:eastAsia="cs-CZ" w:bidi="cs-CZ"/>
        </w:rPr>
        <w:t>Strany souhlasí s uveřejněním Smlouvy v souladu se zněním zákona č. 340/2015 Sb., o zvláštních podmínkách účinnosti některých smluv, uveřejňování těchto smluv a o registru smluv (zákon o registru smluv), ve znění pozdějších předpisů, které zajistí Objednatel. Strany dále souhlasí s poskytnutím nebo uveřejněním Smlouvy v souladu se zákonem č. 106/1999 Sb., o svobodném přístupu k informacím, ve znění pozdějších předpisů.</w:t>
      </w:r>
    </w:p>
    <w:p>
      <w:pPr>
        <w:pStyle w:val="Style15"/>
        <w:keepNext/>
        <w:keepLines/>
        <w:widowControl w:val="0"/>
        <w:numPr>
          <w:ilvl w:val="0"/>
          <w:numId w:val="1"/>
        </w:numPr>
        <w:shd w:val="clear" w:color="auto" w:fill="auto"/>
        <w:tabs>
          <w:tab w:pos="331" w:val="left"/>
        </w:tabs>
        <w:bidi w:val="0"/>
        <w:spacing w:before="0" w:after="0" w:line="240" w:lineRule="auto"/>
        <w:ind w:left="0" w:right="0" w:firstLine="0"/>
        <w:jc w:val="left"/>
      </w:pPr>
      <w:bookmarkStart w:id="20" w:name="bookmark20"/>
      <w:bookmarkStart w:id="21" w:name="bookmark21"/>
      <w:bookmarkStart w:id="22" w:name="bookmark22"/>
      <w:bookmarkStart w:id="23" w:name="bookmark23"/>
      <w:bookmarkEnd w:id="22"/>
      <w:r>
        <w:rPr>
          <w:b/>
          <w:bCs/>
          <w:color w:val="000000"/>
          <w:spacing w:val="0"/>
          <w:w w:val="100"/>
          <w:position w:val="0"/>
          <w:shd w:val="clear" w:color="auto" w:fill="auto"/>
          <w:lang w:val="cs-CZ" w:eastAsia="cs-CZ" w:bidi="cs-CZ"/>
        </w:rPr>
        <w:t>PLATNOST A ÚČINNOST SMLOUVY</w:t>
      </w:r>
      <w:bookmarkEnd w:id="20"/>
      <w:bookmarkEnd w:id="21"/>
      <w:bookmarkEnd w:id="23"/>
    </w:p>
    <w:p>
      <w:pPr>
        <w:pStyle w:val="Style5"/>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Smlouva nabývá platnosti dnem podpisu Smlouvy o dílo oběma Stranami.</w:t>
      </w:r>
    </w:p>
    <w:p>
      <w:pPr>
        <w:pStyle w:val="Style5"/>
        <w:keepNext w:val="0"/>
        <w:keepLines w:val="0"/>
        <w:widowControl w:val="0"/>
        <w:shd w:val="clear" w:color="auto" w:fill="auto"/>
        <w:bidi w:val="0"/>
        <w:spacing w:before="0" w:after="180" w:line="240" w:lineRule="auto"/>
        <w:ind w:left="300" w:right="0" w:firstLine="0"/>
        <w:jc w:val="both"/>
      </w:pPr>
      <w:r>
        <w:rPr>
          <w:color w:val="000000"/>
          <w:spacing w:val="0"/>
          <w:w w:val="100"/>
          <w:position w:val="0"/>
          <w:shd w:val="clear" w:color="auto" w:fill="auto"/>
          <w:lang w:val="cs-CZ" w:eastAsia="cs-CZ" w:bidi="cs-CZ"/>
        </w:rPr>
        <w:t>Smlouva nabývá účinnosti dnem, kdy je splněna podmínka uveřejnění Smlouvy v souladu se zákonem č. 340/2015 Sb., o zvláštních podmínkách účinnosti některých smluv, uveřejňování těchto smluv a o registru smluv (zákon o registru smluv), ve znění pozdějších předpisů.</w:t>
      </w:r>
    </w:p>
    <w:p>
      <w:pPr>
        <w:pStyle w:val="Style15"/>
        <w:keepNext/>
        <w:keepLines/>
        <w:widowControl w:val="0"/>
        <w:numPr>
          <w:ilvl w:val="0"/>
          <w:numId w:val="1"/>
        </w:numPr>
        <w:shd w:val="clear" w:color="auto" w:fill="auto"/>
        <w:tabs>
          <w:tab w:pos="331" w:val="left"/>
        </w:tabs>
        <w:bidi w:val="0"/>
        <w:spacing w:before="0" w:after="0" w:line="240" w:lineRule="auto"/>
        <w:ind w:left="0" w:right="0" w:firstLine="0"/>
        <w:jc w:val="both"/>
      </w:pPr>
      <w:bookmarkStart w:id="24" w:name="bookmark24"/>
      <w:bookmarkStart w:id="25" w:name="bookmark25"/>
      <w:bookmarkStart w:id="26" w:name="bookmark26"/>
      <w:bookmarkStart w:id="27" w:name="bookmark27"/>
      <w:bookmarkEnd w:id="26"/>
      <w:r>
        <w:rPr>
          <w:b/>
          <w:bCs/>
          <w:color w:val="000000"/>
          <w:spacing w:val="0"/>
          <w:w w:val="100"/>
          <w:position w:val="0"/>
          <w:shd w:val="clear" w:color="auto" w:fill="auto"/>
          <w:lang w:val="cs-CZ" w:eastAsia="cs-CZ" w:bidi="cs-CZ"/>
        </w:rPr>
        <w:t>COMPLIANCE DOLOŽKA</w:t>
      </w:r>
      <w:bookmarkEnd w:id="24"/>
      <w:bookmarkEnd w:id="25"/>
      <w:bookmarkEnd w:id="27"/>
    </w:p>
    <w:p>
      <w:pPr>
        <w:pStyle w:val="Style15"/>
        <w:keepNext/>
        <w:keepLines/>
        <w:widowControl w:val="0"/>
        <w:numPr>
          <w:ilvl w:val="0"/>
          <w:numId w:val="3"/>
        </w:numPr>
        <w:shd w:val="clear" w:color="auto" w:fill="auto"/>
        <w:tabs>
          <w:tab w:pos="331" w:val="left"/>
        </w:tabs>
        <w:bidi w:val="0"/>
        <w:spacing w:before="0" w:line="240" w:lineRule="auto"/>
        <w:ind w:right="0"/>
        <w:jc w:val="both"/>
      </w:pPr>
      <w:bookmarkStart w:id="28" w:name="bookmark28"/>
      <w:bookmarkStart w:id="29" w:name="bookmark29"/>
      <w:bookmarkStart w:id="30" w:name="bookmark30"/>
      <w:bookmarkStart w:id="31" w:name="bookmark31"/>
      <w:bookmarkEnd w:id="30"/>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bookmarkEnd w:id="28"/>
      <w:bookmarkEnd w:id="29"/>
      <w:bookmarkEnd w:id="31"/>
    </w:p>
    <w:p>
      <w:pPr>
        <w:pStyle w:val="Style15"/>
        <w:keepNext/>
        <w:keepLines/>
        <w:widowControl w:val="0"/>
        <w:numPr>
          <w:ilvl w:val="0"/>
          <w:numId w:val="3"/>
        </w:numPr>
        <w:shd w:val="clear" w:color="auto" w:fill="auto"/>
        <w:tabs>
          <w:tab w:pos="331" w:val="left"/>
        </w:tabs>
        <w:bidi w:val="0"/>
        <w:spacing w:before="0" w:line="240" w:lineRule="auto"/>
        <w:ind w:right="0"/>
        <w:jc w:val="both"/>
      </w:pPr>
      <w:bookmarkStart w:id="32" w:name="bookmark32"/>
      <w:bookmarkStart w:id="33" w:name="bookmark33"/>
      <w:bookmarkStart w:id="34" w:name="bookmark34"/>
      <w:bookmarkStart w:id="35" w:name="bookmark35"/>
      <w:bookmarkEnd w:id="34"/>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bookmarkEnd w:id="32"/>
      <w:bookmarkEnd w:id="33"/>
      <w:bookmarkEnd w:id="35"/>
    </w:p>
    <w:p>
      <w:pPr>
        <w:pStyle w:val="Style15"/>
        <w:keepNext/>
        <w:keepLines/>
        <w:widowControl w:val="0"/>
        <w:numPr>
          <w:ilvl w:val="0"/>
          <w:numId w:val="3"/>
        </w:numPr>
        <w:shd w:val="clear" w:color="auto" w:fill="auto"/>
        <w:tabs>
          <w:tab w:pos="331" w:val="left"/>
        </w:tabs>
        <w:bidi w:val="0"/>
        <w:spacing w:before="0" w:line="240" w:lineRule="auto"/>
        <w:ind w:right="0"/>
        <w:jc w:val="both"/>
      </w:pPr>
      <w:bookmarkStart w:id="36" w:name="bookmark36"/>
      <w:bookmarkStart w:id="37" w:name="bookmark37"/>
      <w:bookmarkStart w:id="38" w:name="bookmark38"/>
      <w:bookmarkStart w:id="39" w:name="bookmark39"/>
      <w:bookmarkEnd w:id="38"/>
      <w:r>
        <w:rPr>
          <w:color w:val="000000"/>
          <w:spacing w:val="0"/>
          <w:w w:val="100"/>
          <w:position w:val="0"/>
          <w:shd w:val="clear" w:color="auto" w:fill="auto"/>
          <w:lang w:val="cs-CZ" w:eastAsia="cs-CZ" w:bidi="cs-CZ"/>
        </w:rPr>
        <w:t xml:space="preserve">Zhotovitel prohlašuje, že se seznámil se zásadami, hodnotami a cíli Compliance programu Povodí Ohře, státní podnik (viz </w:t>
      </w: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bookmarkEnd w:id="36"/>
      <w:bookmarkEnd w:id="37"/>
      <w:bookmarkEnd w:id="39"/>
    </w:p>
    <w:p>
      <w:pPr>
        <w:pStyle w:val="Style15"/>
        <w:keepNext/>
        <w:keepLines/>
        <w:widowControl w:val="0"/>
        <w:numPr>
          <w:ilvl w:val="0"/>
          <w:numId w:val="3"/>
        </w:numPr>
        <w:shd w:val="clear" w:color="auto" w:fill="auto"/>
        <w:tabs>
          <w:tab w:pos="331" w:val="left"/>
        </w:tabs>
        <w:bidi w:val="0"/>
        <w:spacing w:before="0" w:after="560" w:line="240" w:lineRule="auto"/>
        <w:ind w:right="0"/>
        <w:jc w:val="both"/>
      </w:pPr>
      <w:bookmarkStart w:id="40" w:name="bookmark40"/>
      <w:bookmarkStart w:id="41" w:name="bookmark41"/>
      <w:bookmarkStart w:id="42" w:name="bookmark42"/>
      <w:bookmarkStart w:id="43" w:name="bookmark43"/>
      <w:bookmarkEnd w:id="42"/>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bookmarkEnd w:id="40"/>
      <w:bookmarkEnd w:id="41"/>
      <w:bookmarkEnd w:id="43"/>
    </w:p>
    <w:p>
      <w:pPr>
        <w:pStyle w:val="Style5"/>
        <w:keepNext w:val="0"/>
        <w:keepLines w:val="0"/>
        <w:widowControl w:val="0"/>
        <w:shd w:val="clear" w:color="auto" w:fill="auto"/>
        <w:bidi w:val="0"/>
        <w:spacing w:before="0" w:after="1920" w:line="240" w:lineRule="auto"/>
        <w:ind w:left="0" w:right="0" w:firstLine="0"/>
        <w:jc w:val="left"/>
      </w:pPr>
      <w:r>
        <mc:AlternateContent>
          <mc:Choice Requires="wps">
            <w:drawing>
              <wp:anchor distT="0" distB="0" distL="114300" distR="114300" simplePos="0" relativeHeight="125829382" behindDoc="0" locked="0" layoutInCell="1" allowOverlap="1">
                <wp:simplePos x="0" y="0"/>
                <wp:positionH relativeFrom="page">
                  <wp:posOffset>4297680</wp:posOffset>
                </wp:positionH>
                <wp:positionV relativeFrom="paragraph">
                  <wp:posOffset>12700</wp:posOffset>
                </wp:positionV>
                <wp:extent cx="624840" cy="210185"/>
                <wp:wrapSquare wrapText="left"/>
                <wp:docPr id="5" name="Shape 5"/>
                <a:graphic xmlns:a="http://schemas.openxmlformats.org/drawingml/2006/main">
                  <a:graphicData uri="http://schemas.microsoft.com/office/word/2010/wordprocessingShape">
                    <wps:wsp>
                      <wps:cNvSpPr txBox="1"/>
                      <wps:spPr>
                        <a:xfrm>
                          <a:ext cx="624840" cy="21018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Zhotovitel:</w:t>
                            </w:r>
                          </w:p>
                        </w:txbxContent>
                      </wps:txbx>
                      <wps:bodyPr wrap="none" lIns="0" tIns="0" rIns="0" bIns="0">
                        <a:noAutoFit/>
                      </wps:bodyPr>
                    </wps:wsp>
                  </a:graphicData>
                </a:graphic>
              </wp:anchor>
            </w:drawing>
          </mc:Choice>
          <mc:Fallback>
            <w:pict>
              <v:shape id="_x0000_s1031" type="#_x0000_t202" style="position:absolute;margin-left:338.40000000000003pt;margin-top:1.pt;width:49.200000000000003pt;height:16.550000000000001pt;z-index:-125829371;mso-wrap-distance-left:9.pt;mso-wrap-distance-right:9.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Zhotovitel:</w:t>
                      </w:r>
                    </w:p>
                  </w:txbxContent>
                </v:textbox>
                <w10:wrap type="square" side="left" anchorx="page"/>
              </v:shape>
            </w:pict>
          </mc:Fallback>
        </mc:AlternateContent>
      </w:r>
      <w:r>
        <w:rPr>
          <w:color w:val="000000"/>
          <w:spacing w:val="0"/>
          <w:w w:val="100"/>
          <w:position w:val="0"/>
          <w:shd w:val="clear" w:color="auto" w:fill="auto"/>
          <w:lang w:val="cs-CZ" w:eastAsia="cs-CZ" w:bidi="cs-CZ"/>
        </w:rPr>
        <w:t>Objednatel:</w:t>
      </w:r>
    </w:p>
    <w:p>
      <w:pPr>
        <w:pStyle w:val="Style5"/>
        <w:keepNext w:val="0"/>
        <w:keepLines w:val="0"/>
        <w:widowControl w:val="0"/>
        <w:shd w:val="clear" w:color="auto" w:fill="auto"/>
        <w:bidi w:val="0"/>
        <w:spacing w:before="0" w:after="0" w:line="240" w:lineRule="auto"/>
        <w:ind w:left="4000" w:right="0" w:firstLine="0"/>
        <w:jc w:val="left"/>
      </w:pPr>
      <w:r>
        <mc:AlternateContent>
          <mc:Choice Requires="wps">
            <w:drawing>
              <wp:anchor distT="0" distB="0" distL="114300" distR="114300" simplePos="0" relativeHeight="125829384" behindDoc="0" locked="0" layoutInCell="1" allowOverlap="1">
                <wp:simplePos x="0" y="0"/>
                <wp:positionH relativeFrom="page">
                  <wp:posOffset>701040</wp:posOffset>
                </wp:positionH>
                <wp:positionV relativeFrom="paragraph">
                  <wp:posOffset>12700</wp:posOffset>
                </wp:positionV>
                <wp:extent cx="951230" cy="210185"/>
                <wp:wrapSquare wrapText="bothSides"/>
                <wp:docPr id="7" name="Shape 7"/>
                <a:graphic xmlns:a="http://schemas.openxmlformats.org/drawingml/2006/main">
                  <a:graphicData uri="http://schemas.microsoft.com/office/word/2010/wordprocessingShape">
                    <wps:wsp>
                      <wps:cNvSpPr txBox="1"/>
                      <wps:spPr>
                        <a:xfrm>
                          <a:ext cx="951230" cy="21018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Investiční ředitel</w:t>
                            </w:r>
                          </w:p>
                        </w:txbxContent>
                      </wps:txbx>
                      <wps:bodyPr wrap="none" lIns="0" tIns="0" rIns="0" bIns="0">
                        <a:noAutoFit/>
                      </wps:bodyPr>
                    </wps:wsp>
                  </a:graphicData>
                </a:graphic>
              </wp:anchor>
            </w:drawing>
          </mc:Choice>
          <mc:Fallback>
            <w:pict>
              <v:shape id="_x0000_s1033" type="#_x0000_t202" style="position:absolute;margin-left:55.200000000000003pt;margin-top:1.pt;width:74.900000000000006pt;height:16.550000000000001pt;z-index:-125829369;mso-wrap-distance-left:9.pt;mso-wrap-distance-right:9.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Investiční ředitel</w:t>
                      </w:r>
                    </w:p>
                  </w:txbxContent>
                </v:textbox>
                <w10:wrap type="square" anchorx="page"/>
              </v:shape>
            </w:pict>
          </mc:Fallback>
        </mc:AlternateContent>
      </w:r>
      <w:r>
        <w:rPr>
          <w:color w:val="000000"/>
          <w:spacing w:val="0"/>
          <w:w w:val="100"/>
          <w:position w:val="0"/>
          <w:shd w:val="clear" w:color="auto" w:fill="auto"/>
          <w:lang w:val="cs-CZ" w:eastAsia="cs-CZ" w:bidi="cs-CZ"/>
        </w:rPr>
        <w:t>Jednatel společnosti</w:t>
      </w:r>
    </w:p>
    <w:p>
      <w:pPr>
        <w:pStyle w:val="Style5"/>
        <w:keepNext w:val="0"/>
        <w:keepLines w:val="0"/>
        <w:widowControl w:val="0"/>
        <w:shd w:val="clear" w:color="auto" w:fill="auto"/>
        <w:bidi w:val="0"/>
        <w:spacing w:before="0" w:after="180" w:line="240" w:lineRule="auto"/>
        <w:ind w:left="5680" w:right="0" w:firstLine="0"/>
        <w:jc w:val="left"/>
        <w:sectPr>
          <w:headerReference w:type="default" r:id="rId5"/>
          <w:footnotePr>
            <w:pos w:val="pageBottom"/>
            <w:numFmt w:val="decimal"/>
            <w:numStart w:val="2"/>
            <w:numRestart w:val="continuous"/>
            <w15:footnoteColumns w:val="1"/>
          </w:footnotePr>
          <w:pgSz w:w="11909" w:h="16838"/>
          <w:pgMar w:top="1109" w:left="1104" w:right="1098" w:bottom="1085" w:header="0" w:footer="657" w:gutter="0"/>
          <w:pgNumType w:start="1"/>
          <w:cols w:space="720"/>
          <w:noEndnote/>
          <w:rtlGutter w:val="0"/>
          <w:docGrid w:linePitch="360"/>
        </w:sectPr>
      </w:pPr>
      <w:r>
        <w:rPr>
          <w:b/>
          <w:bCs/>
          <w:color w:val="000000"/>
          <w:spacing w:val="0"/>
          <w:w w:val="100"/>
          <w:position w:val="0"/>
          <w:shd w:val="clear" w:color="auto" w:fill="auto"/>
          <w:lang w:val="cs-CZ" w:eastAsia="cs-CZ" w:bidi="cs-CZ"/>
        </w:rPr>
        <w:t>HBAPS, s.r.o.</w:t>
      </w:r>
    </w:p>
    <w:p>
      <w:pPr>
        <w:pStyle w:val="Style9"/>
        <w:keepNext w:val="0"/>
        <w:keepLines w:val="0"/>
        <w:widowControl w:val="0"/>
        <w:shd w:val="clear" w:color="auto" w:fill="auto"/>
        <w:bidi w:val="0"/>
        <w:spacing w:before="0" w:after="300" w:line="240" w:lineRule="auto"/>
        <w:ind w:left="0" w:right="0" w:firstLine="0"/>
        <w:jc w:val="center"/>
      </w:pPr>
      <w:r>
        <w:rPr>
          <w:color w:val="000000"/>
          <w:spacing w:val="0"/>
          <w:w w:val="100"/>
          <w:position w:val="0"/>
          <w:shd w:val="clear" w:color="auto" w:fill="auto"/>
          <w:lang w:val="cs-CZ" w:eastAsia="cs-CZ" w:bidi="cs-CZ"/>
        </w:rPr>
        <w:t>Příloha</w:t>
      </w:r>
    </w:p>
    <w:p>
      <w:pPr>
        <w:pStyle w:val="Style19"/>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Příloha je součástí Smlouvy o dílo.</w:t>
      </w:r>
    </w:p>
    <w:tbl>
      <w:tblPr>
        <w:tblOverlap w:val="never"/>
        <w:jc w:val="center"/>
        <w:tblLayout w:type="fixed"/>
      </w:tblPr>
      <w:tblGrid>
        <w:gridCol w:w="3413"/>
        <w:gridCol w:w="850"/>
        <w:gridCol w:w="5395"/>
      </w:tblGrid>
      <w:tr>
        <w:trPr>
          <w:trHeight w:val="701" w:hRule="exact"/>
        </w:trPr>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Název</w:t>
            </w:r>
            <w:hyperlink w:anchor="bookmark44" w:tooltip="Current Document">
              <w:bookmarkStart w:id="45" w:name="bookmark45"/>
              <w:r>
                <w:rPr>
                  <w:color w:val="000000"/>
                  <w:spacing w:val="0"/>
                  <w:w w:val="100"/>
                  <w:position w:val="0"/>
                  <w:shd w:val="clear" w:color="auto" w:fill="auto"/>
                  <w:vertAlign w:val="superscript"/>
                  <w:lang w:val="cs-CZ" w:eastAsia="cs-CZ" w:bidi="cs-CZ"/>
                </w:rPr>
                <w:t>1</w:t>
              </w:r>
              <w:bookmarkEnd w:id="45"/>
            </w:hyperlink>
          </w:p>
        </w:tc>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Čísl</w:t>
            </w:r>
            <w:hyperlink w:anchor="bookmark0" w:tooltip="Current Document">
              <w:bookmarkStart w:id="46" w:name="bookmark46"/>
              <w:r>
                <w:rPr>
                  <w:color w:val="000000"/>
                  <w:spacing w:val="0"/>
                  <w:w w:val="100"/>
                  <w:position w:val="0"/>
                  <w:shd w:val="clear" w:color="auto" w:fill="auto"/>
                  <w:lang w:val="cs-CZ" w:eastAsia="cs-CZ" w:bidi="cs-CZ"/>
                </w:rPr>
                <w:t>o</w:t>
              </w:r>
              <w:bookmarkEnd w:id="46"/>
              <w:r>
                <w:rPr>
                  <w:color w:val="000000"/>
                  <w:spacing w:val="0"/>
                  <w:w w:val="100"/>
                  <w:position w:val="0"/>
                  <w:shd w:val="clear" w:color="auto" w:fill="auto"/>
                  <w:vertAlign w:val="superscript"/>
                  <w:lang w:val="cs-CZ" w:eastAsia="cs-CZ" w:bidi="cs-CZ"/>
                </w:rPr>
                <w:footnoteReference w:id="2"/>
              </w:r>
            </w:hyperlink>
          </w:p>
        </w:tc>
        <w:tc>
          <w:tcPr>
            <w:tcBorders>
              <w:top w:val="single" w:sz="4"/>
              <w:left w:val="single" w:sz="4"/>
              <w:righ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Údaje</w:t>
            </w:r>
            <w:hyperlink w:anchor="bookmark1" w:tooltip="Current Document">
              <w:bookmarkStart w:id="47" w:name="bookmark47"/>
              <w:r>
                <w:rPr>
                  <w:color w:val="000000"/>
                  <w:spacing w:val="0"/>
                  <w:w w:val="100"/>
                  <w:position w:val="0"/>
                  <w:shd w:val="clear" w:color="auto" w:fill="auto"/>
                  <w:vertAlign w:val="superscript"/>
                  <w:lang w:val="cs-CZ" w:eastAsia="cs-CZ" w:bidi="cs-CZ"/>
                </w:rPr>
                <w:footnoteReference w:id="3"/>
              </w:r>
              <w:bookmarkEnd w:id="47"/>
            </w:hyperlink>
          </w:p>
        </w:tc>
      </w:tr>
      <w:tr>
        <w:trPr>
          <w:trHeight w:val="811" w:hRule="exact"/>
        </w:trPr>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Smlouva</w:t>
            </w:r>
          </w:p>
        </w:tc>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1.1.1</w:t>
            </w:r>
          </w:p>
        </w:tc>
        <w:tc>
          <w:tcPr>
            <w:tcBorders>
              <w:top w:val="single" w:sz="4"/>
              <w:left w:val="single" w:sz="4"/>
              <w:righ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Veškeré dokumenty, které tvoří Smlouvu, jsou uvedeny a konkretizovány v položce Hierarchie smluvních dokumentů níže.</w:t>
            </w:r>
          </w:p>
        </w:tc>
      </w:tr>
      <w:tr>
        <w:trPr>
          <w:trHeight w:val="691" w:hRule="exact"/>
        </w:trPr>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Technická specifikace</w:t>
            </w:r>
          </w:p>
        </w:tc>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1.1.2</w:t>
            </w:r>
          </w:p>
        </w:tc>
        <w:tc>
          <w:tcPr>
            <w:tcBorders>
              <w:top w:val="single" w:sz="4"/>
              <w:left w:val="single" w:sz="4"/>
              <w:righ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Technická specifikace je konkretizována v položce Hierarchie smluvních dokumentů níže.</w:t>
            </w:r>
          </w:p>
        </w:tc>
      </w:tr>
      <w:tr>
        <w:trPr>
          <w:trHeight w:val="691" w:hRule="exact"/>
        </w:trPr>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Výkresy</w:t>
            </w:r>
          </w:p>
        </w:tc>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1.1.3</w:t>
            </w:r>
          </w:p>
        </w:tc>
        <w:tc>
          <w:tcPr>
            <w:tcBorders>
              <w:top w:val="single" w:sz="4"/>
              <w:left w:val="single" w:sz="4"/>
              <w:righ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Výkresy jsou konkretizovány v položce Hierarchie smluvních dokumentů níže.</w:t>
            </w:r>
          </w:p>
        </w:tc>
      </w:tr>
      <w:tr>
        <w:trPr>
          <w:trHeight w:val="1046" w:hRule="exact"/>
        </w:trPr>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zahájení prací</w:t>
            </w:r>
          </w:p>
        </w:tc>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1.1.7</w:t>
            </w:r>
          </w:p>
        </w:tc>
        <w:tc>
          <w:tcPr>
            <w:tcBorders>
              <w:top w:val="single" w:sz="4"/>
              <w:left w:val="single" w:sz="4"/>
              <w:righ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Datum zahájení prací: do 14 kalendářních dní od písemné výzvy odeslané Pověřenou osobou objednatele. Výzva bude odeslána na e-mail zhotovitele: </w:t>
            </w:r>
            <w:r>
              <w:fldChar w:fldCharType="begin"/>
            </w:r>
            <w:r>
              <w:rPr/>
              <w:instrText> HYPERLINK "mailto:uncovsky@hbaps.cz" </w:instrText>
            </w:r>
            <w:r>
              <w:fldChar w:fldCharType="separate"/>
            </w:r>
            <w:r>
              <w:rPr>
                <w:color w:val="000000"/>
                <w:spacing w:val="0"/>
                <w:w w:val="100"/>
                <w:position w:val="0"/>
                <w:shd w:val="clear" w:color="auto" w:fill="auto"/>
                <w:lang w:val="cs-CZ" w:eastAsia="cs-CZ" w:bidi="cs-CZ"/>
              </w:rPr>
              <w:t>uncovsky@hbaps.cz</w:t>
            </w:r>
            <w:r>
              <w:fldChar w:fldCharType="end"/>
            </w:r>
            <w:r>
              <w:rPr>
                <w:color w:val="000000"/>
                <w:spacing w:val="0"/>
                <w:w w:val="100"/>
                <w:position w:val="0"/>
                <w:shd w:val="clear" w:color="auto" w:fill="auto"/>
                <w:lang w:val="cs-CZ" w:eastAsia="cs-CZ" w:bidi="cs-CZ"/>
              </w:rPr>
              <w:t xml:space="preserve"> nebo do datové schránky.</w:t>
            </w:r>
          </w:p>
        </w:tc>
      </w:tr>
      <w:tr>
        <w:trPr>
          <w:trHeight w:val="1733" w:hRule="exact"/>
        </w:trPr>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Doba pro dokončení</w:t>
            </w:r>
          </w:p>
        </w:tc>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1.1.9</w:t>
            </w:r>
          </w:p>
        </w:tc>
        <w:tc>
          <w:tcPr>
            <w:tcBorders>
              <w:top w:val="single" w:sz="4"/>
              <w:left w:val="single" w:sz="4"/>
              <w:righ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364 kalendářních dní od Data zahájení prací, maximálně však do 31.10.2027.</w:t>
            </w:r>
          </w:p>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 doby pro dokončení se nezapočítává období od 1.3. do 30.6. každého roku (časové omezení plynoucí z podmínek ochrany přírody).</w:t>
            </w:r>
          </w:p>
        </w:tc>
      </w:tr>
      <w:tr>
        <w:trPr>
          <w:trHeight w:val="691" w:hRule="exact"/>
        </w:trPr>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Sekce</w:t>
            </w:r>
          </w:p>
        </w:tc>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1.1.26</w:t>
            </w:r>
          </w:p>
        </w:tc>
        <w:tc>
          <w:tcPr>
            <w:tcBorders>
              <w:top w:val="single" w:sz="4"/>
              <w:left w:val="single" w:sz="4"/>
              <w:righ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Nepoužije se.</w:t>
            </w:r>
          </w:p>
        </w:tc>
      </w:tr>
      <w:tr>
        <w:trPr>
          <w:trHeight w:val="691" w:hRule="exact"/>
        </w:trPr>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Záruční doba</w:t>
            </w:r>
          </w:p>
        </w:tc>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1.1.30</w:t>
            </w:r>
          </w:p>
        </w:tc>
        <w:tc>
          <w:tcPr>
            <w:tcBorders>
              <w:top w:val="single" w:sz="4"/>
              <w:left w:val="single" w:sz="4"/>
              <w:righ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60 měsíců</w:t>
            </w:r>
          </w:p>
        </w:tc>
      </w:tr>
      <w:tr>
        <w:trPr>
          <w:trHeight w:val="691" w:hRule="exact"/>
        </w:trPr>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Hierarchie smluvních dokumentů</w:t>
            </w:r>
          </w:p>
        </w:tc>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1.3</w:t>
            </w:r>
          </w:p>
        </w:tc>
        <w:tc>
          <w:tcPr>
            <w:tcBorders>
              <w:top w:val="single" w:sz="4"/>
              <w:left w:val="single" w:sz="4"/>
              <w:righ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Seřazeno v pořadí od nejvyšší výkladové priority k nejnižší.</w:t>
            </w:r>
          </w:p>
        </w:tc>
      </w:tr>
      <w:tr>
        <w:trPr>
          <w:trHeight w:val="691" w:hRule="exact"/>
        </w:trPr>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cs-CZ" w:eastAsia="cs-CZ" w:bidi="cs-CZ"/>
              </w:rPr>
              <w:t>Smlouva o dílo včetně Přílohy</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272" w:hRule="exact"/>
        </w:trPr>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cs-CZ" w:eastAsia="cs-CZ" w:bidi="cs-CZ"/>
              </w:rPr>
              <w:t>Zvláštní podmínky</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Smluvní podmínky pro stavby menšího rozsahu Zvláštní podmínky pro výstavbu prováděnou v rámci resortu Ministerstva dopravy a Ministerstva zemědělství podniky Povodí a Ředitelstvím vodních cest ČR První vydání, 1999</w:t>
            </w:r>
          </w:p>
        </w:tc>
      </w:tr>
      <w:tr>
        <w:trPr>
          <w:trHeight w:val="816" w:hRule="exact"/>
        </w:trPr>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cs-CZ" w:eastAsia="cs-CZ" w:bidi="cs-CZ"/>
              </w:rPr>
              <w:t>Obecné podmínky</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Smluvní podmínky pro stavby menšího rozsahu Obecné podmínky První vydání, 1999</w:t>
            </w:r>
          </w:p>
        </w:tc>
      </w:tr>
      <w:tr>
        <w:trPr>
          <w:trHeight w:val="821" w:hRule="exact"/>
        </w:trPr>
        <w:tc>
          <w:tcPr>
            <w:tcBorders>
              <w:top w:val="single" w:sz="4"/>
              <w:left w:val="single" w:sz="4"/>
              <w:bottom w:val="single" w:sz="4"/>
            </w:tcBorders>
            <w:shd w:val="clear" w:color="auto" w:fill="FFFFFF"/>
            <w:vAlign w:val="top"/>
          </w:tcPr>
          <w:p>
            <w:pPr>
              <w:pStyle w:val="Style23"/>
              <w:keepNext w:val="0"/>
              <w:keepLines w:val="0"/>
              <w:widowControl w:val="0"/>
              <w:shd w:val="clear" w:color="auto" w:fill="auto"/>
              <w:bidi w:val="0"/>
              <w:spacing w:before="0" w:after="0" w:line="240" w:lineRule="auto"/>
              <w:ind w:left="400" w:right="0" w:firstLine="0"/>
              <w:jc w:val="left"/>
            </w:pPr>
            <w:r>
              <w:rPr>
                <w:color w:val="000000"/>
                <w:spacing w:val="0"/>
                <w:w w:val="100"/>
                <w:position w:val="0"/>
                <w:shd w:val="clear" w:color="auto" w:fill="auto"/>
                <w:lang w:val="cs-CZ" w:eastAsia="cs-CZ" w:bidi="cs-CZ"/>
              </w:rPr>
              <w:t>Čestné prohlášení o společensky odpovědném plnění veřejné zakázky</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pStyle w:val="Style19"/>
        <w:keepNext w:val="0"/>
        <w:keepLines w:val="0"/>
        <w:widowControl w:val="0"/>
        <w:numPr>
          <w:ilvl w:val="0"/>
          <w:numId w:val="5"/>
        </w:numPr>
        <w:shd w:val="clear" w:color="auto" w:fill="auto"/>
        <w:tabs>
          <w:tab w:pos="-17" w:val="left"/>
        </w:tabs>
        <w:bidi w:val="0"/>
        <w:spacing w:before="0" w:after="0" w:line="240" w:lineRule="auto"/>
        <w:ind w:left="0" w:right="0" w:firstLine="0"/>
        <w:jc w:val="left"/>
      </w:pPr>
      <w:bookmarkStart w:id="44" w:name="bookmark44"/>
      <w:bookmarkEnd w:id="44"/>
      <w:r>
        <w:rPr>
          <w:color w:val="000000"/>
          <w:spacing w:val="0"/>
          <w:w w:val="100"/>
          <w:position w:val="0"/>
          <w:shd w:val="clear" w:color="auto" w:fill="auto"/>
          <w:lang w:val="cs-CZ" w:eastAsia="cs-CZ" w:bidi="cs-CZ"/>
        </w:rPr>
        <w:t>Názvem se rozumí název odpovídajícího Článku/Pod-článku/pod-odstavce Obecných podmínek ve znění Zvláštních podmínek nebo název odpovídající položky.</w:t>
      </w:r>
    </w:p>
    <w:p>
      <w:pPr>
        <w:widowControl w:val="0"/>
        <w:spacing w:line="1" w:lineRule="exact"/>
      </w:pPr>
      <w:r>
        <w:br w:type="page"/>
      </w:r>
    </w:p>
    <w:tbl>
      <w:tblPr>
        <w:tblOverlap w:val="never"/>
        <w:jc w:val="center"/>
        <w:tblLayout w:type="fixed"/>
      </w:tblPr>
      <w:tblGrid>
        <w:gridCol w:w="3413"/>
        <w:gridCol w:w="850"/>
        <w:gridCol w:w="5395"/>
      </w:tblGrid>
      <w:tr>
        <w:trPr>
          <w:trHeight w:val="701" w:hRule="exact"/>
        </w:trPr>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400" w:right="0" w:firstLine="0"/>
              <w:jc w:val="left"/>
            </w:pPr>
            <w:r>
              <w:rPr>
                <w:color w:val="000000"/>
                <w:spacing w:val="0"/>
                <w:w w:val="100"/>
                <w:position w:val="0"/>
                <w:shd w:val="clear" w:color="auto" w:fill="auto"/>
                <w:lang w:val="cs-CZ" w:eastAsia="cs-CZ" w:bidi="cs-CZ"/>
              </w:rPr>
              <w:t>Čestné prohlášení k finančním sankcím</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691" w:hRule="exact"/>
        </w:trPr>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400" w:right="0" w:firstLine="0"/>
              <w:jc w:val="left"/>
            </w:pPr>
            <w:r>
              <w:rPr>
                <w:color w:val="000000"/>
                <w:spacing w:val="0"/>
                <w:w w:val="100"/>
                <w:position w:val="0"/>
                <w:shd w:val="clear" w:color="auto" w:fill="auto"/>
                <w:lang w:val="cs-CZ" w:eastAsia="cs-CZ" w:bidi="cs-CZ"/>
              </w:rPr>
              <w:t>Čestné prohlášení o neexistenci střetu zájmů</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691" w:hRule="exact"/>
        </w:trPr>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400" w:right="0" w:firstLine="0"/>
              <w:jc w:val="left"/>
            </w:pPr>
            <w:r>
              <w:rPr>
                <w:color w:val="000000"/>
                <w:spacing w:val="0"/>
                <w:w w:val="100"/>
                <w:position w:val="0"/>
                <w:shd w:val="clear" w:color="auto" w:fill="auto"/>
                <w:lang w:val="cs-CZ" w:eastAsia="cs-CZ" w:bidi="cs-CZ"/>
              </w:rPr>
              <w:t>Technická specifikace</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Dokument nazvaný „Technická specifikace“ a označený názvem Díla.</w:t>
            </w:r>
          </w:p>
        </w:tc>
      </w:tr>
      <w:tr>
        <w:trPr>
          <w:trHeight w:val="1507" w:hRule="exact"/>
        </w:trPr>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400" w:right="0" w:firstLine="0"/>
              <w:jc w:val="left"/>
            </w:pPr>
            <w:r>
              <w:rPr>
                <w:color w:val="000000"/>
                <w:spacing w:val="0"/>
                <w:w w:val="100"/>
                <w:position w:val="0"/>
                <w:shd w:val="clear" w:color="auto" w:fill="auto"/>
                <w:lang w:val="cs-CZ" w:eastAsia="cs-CZ" w:bidi="cs-CZ"/>
              </w:rPr>
              <w:t>Výkaz výměr</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Zhotovitelem oceněný soupis stavebních prací, dodávek a služeb s výkazem výměr stavby</w:t>
            </w:r>
          </w:p>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Oprava a rekonstrukce Šluknovského potoka v Císařském – III. Etapa (u mandlu), odp. projektant Vodohospodářský rozvoj a výstavba a.s. z 03/2021 včetně aktualizace z 09/2024 a aktualizace z 06/2025.</w:t>
            </w:r>
          </w:p>
        </w:tc>
      </w:tr>
      <w:tr>
        <w:trPr>
          <w:trHeight w:val="1272" w:hRule="exact"/>
        </w:trPr>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400" w:right="0" w:firstLine="0"/>
              <w:jc w:val="left"/>
            </w:pPr>
            <w:r>
              <w:rPr>
                <w:color w:val="000000"/>
                <w:spacing w:val="0"/>
                <w:w w:val="100"/>
                <w:position w:val="0"/>
                <w:shd w:val="clear" w:color="auto" w:fill="auto"/>
                <w:lang w:val="cs-CZ" w:eastAsia="cs-CZ" w:bidi="cs-CZ"/>
              </w:rPr>
              <w:t>Výkresy</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Projektová dokumentace pro provedení stavby</w:t>
            </w:r>
          </w:p>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Oprava a rekonstrukce Šluknovského potoka v Císařském – III. Etapa (u mandlu), odp. projektant Vodohospodářský rozvoj a výstavba a.s. z 03/2021 včetně aktualizace z 09/2024 a aktualizace z 06/2025.</w:t>
            </w:r>
          </w:p>
        </w:tc>
      </w:tr>
      <w:tr>
        <w:trPr>
          <w:trHeight w:val="816" w:hRule="exact"/>
        </w:trPr>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Právo</w:t>
            </w:r>
          </w:p>
        </w:tc>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1.4</w:t>
            </w:r>
          </w:p>
        </w:tc>
        <w:tc>
          <w:tcPr>
            <w:tcBorders>
              <w:top w:val="single" w:sz="4"/>
              <w:left w:val="single" w:sz="4"/>
              <w:right w:val="single" w:sz="4"/>
            </w:tcBorders>
            <w:shd w:val="clear" w:color="auto" w:fill="FFFFFF"/>
            <w:vAlign w:val="top"/>
          </w:tcPr>
          <w:p>
            <w:pPr>
              <w:pStyle w:val="Style23"/>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Právo Smlouvy: právo České republiky</w:t>
            </w:r>
          </w:p>
        </w:tc>
      </w:tr>
      <w:tr>
        <w:trPr>
          <w:trHeight w:val="811" w:hRule="exact"/>
        </w:trPr>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Komunikace</w:t>
            </w:r>
          </w:p>
        </w:tc>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1.5</w:t>
            </w:r>
          </w:p>
        </w:tc>
        <w:tc>
          <w:tcPr>
            <w:tcBorders>
              <w:top w:val="single" w:sz="4"/>
              <w:left w:val="single" w:sz="4"/>
              <w:right w:val="single" w:sz="4"/>
            </w:tcBorders>
            <w:shd w:val="clear" w:color="auto" w:fill="FFFFFF"/>
            <w:vAlign w:val="top"/>
          </w:tcPr>
          <w:p>
            <w:pPr>
              <w:pStyle w:val="Style23"/>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Jazyk komunikace: český jazyk</w:t>
            </w:r>
          </w:p>
        </w:tc>
      </w:tr>
      <w:tr>
        <w:trPr>
          <w:trHeight w:val="691" w:hRule="exact"/>
        </w:trPr>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Sociální odpovědnost</w:t>
            </w:r>
          </w:p>
        </w:tc>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1.7</w:t>
            </w:r>
          </w:p>
        </w:tc>
        <w:tc>
          <w:tcPr>
            <w:tcBorders>
              <w:top w:val="single" w:sz="4"/>
              <w:left w:val="single" w:sz="4"/>
              <w:right w:val="single" w:sz="4"/>
            </w:tcBorders>
            <w:shd w:val="clear" w:color="auto" w:fill="FFFFFF"/>
            <w:vAlign w:val="top"/>
          </w:tcPr>
          <w:p>
            <w:pPr>
              <w:widowControl w:val="0"/>
              <w:rPr>
                <w:sz w:val="10"/>
                <w:szCs w:val="10"/>
              </w:rPr>
            </w:pPr>
          </w:p>
        </w:tc>
      </w:tr>
      <w:tr>
        <w:trPr>
          <w:trHeight w:val="1046" w:hRule="exact"/>
        </w:trPr>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cs-CZ" w:eastAsia="cs-CZ" w:bidi="cs-CZ"/>
              </w:rPr>
              <w:t>Sociální odpovědnost</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Zhotovitel podpisem této Smlouvy přebírá povinnosti uvedené v Čestném prohlášení o společensky odpovědném plnění veřejné zakázky, které je součástí nabídky Zhotovitele podané v rámci veřejné zakázky.</w:t>
            </w:r>
          </w:p>
        </w:tc>
      </w:tr>
      <w:tr>
        <w:trPr>
          <w:trHeight w:val="1042" w:hRule="exact"/>
        </w:trPr>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cs-CZ" w:eastAsia="cs-CZ" w:bidi="cs-CZ"/>
              </w:rPr>
              <w:t>Environmentální odpovědnost</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Zhotovitel podpisem této Smlouvy přebírá povinnosti uvedené v Čestném prohlášení o společensky odpovědném plnění veřejné zakázky, které je součástí nabídky Zhotovitele podané v rámci veřejné zakázky.</w:t>
            </w:r>
          </w:p>
        </w:tc>
      </w:tr>
      <w:tr>
        <w:trPr>
          <w:trHeight w:val="816" w:hRule="exact"/>
        </w:trPr>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Poskytnutí Staveniště</w:t>
            </w:r>
          </w:p>
        </w:tc>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2.1</w:t>
            </w:r>
          </w:p>
        </w:tc>
        <w:tc>
          <w:tcPr>
            <w:tcBorders>
              <w:top w:val="single" w:sz="4"/>
              <w:left w:val="single" w:sz="4"/>
              <w:right w:val="single" w:sz="4"/>
            </w:tcBorders>
            <w:shd w:val="clear" w:color="auto" w:fill="FFFFFF"/>
            <w:vAlign w:val="top"/>
          </w:tcPr>
          <w:p>
            <w:pPr>
              <w:pStyle w:val="Style23"/>
              <w:keepNext w:val="0"/>
              <w:keepLines w:val="0"/>
              <w:widowControl w:val="0"/>
              <w:shd w:val="clear" w:color="auto" w:fill="auto"/>
              <w:bidi w:val="0"/>
              <w:spacing w:before="0" w:after="0" w:line="480" w:lineRule="auto"/>
              <w:ind w:left="0" w:right="0" w:firstLine="0"/>
              <w:jc w:val="both"/>
            </w:pPr>
            <w:r>
              <w:rPr>
                <w:color w:val="000000"/>
                <w:spacing w:val="0"/>
                <w:w w:val="100"/>
                <w:position w:val="0"/>
                <w:shd w:val="clear" w:color="auto" w:fill="auto"/>
                <w:lang w:val="cs-CZ" w:eastAsia="cs-CZ" w:bidi="cs-CZ"/>
              </w:rPr>
              <w:t>Doba poskytnutí práva přístupu na Staveniště: Od Data zahájení prací</w:t>
            </w:r>
          </w:p>
        </w:tc>
      </w:tr>
      <w:tr>
        <w:trPr>
          <w:trHeight w:val="691" w:hRule="exact"/>
        </w:trPr>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Pověřená osoba</w:t>
            </w:r>
          </w:p>
        </w:tc>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3.1</w:t>
            </w:r>
          </w:p>
        </w:tc>
        <w:tc>
          <w:tcPr>
            <w:tcBorders>
              <w:top w:val="single" w:sz="4"/>
              <w:left w:val="single" w:sz="4"/>
              <w:right w:val="single" w:sz="4"/>
            </w:tcBorders>
            <w:shd w:val="clear" w:color="auto" w:fill="FFFFFF"/>
            <w:vAlign w:val="top"/>
          </w:tcPr>
          <w:p>
            <w:pPr>
              <w:widowControl w:val="0"/>
              <w:rPr>
                <w:sz w:val="10"/>
                <w:szCs w:val="10"/>
              </w:rPr>
            </w:pPr>
          </w:p>
        </w:tc>
      </w:tr>
      <w:tr>
        <w:trPr>
          <w:trHeight w:val="691" w:hRule="exact"/>
        </w:trPr>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Obecné povinnosti</w:t>
            </w:r>
          </w:p>
        </w:tc>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4.1</w:t>
            </w:r>
          </w:p>
        </w:tc>
        <w:tc>
          <w:tcPr>
            <w:tcBorders>
              <w:top w:val="single" w:sz="4"/>
              <w:left w:val="single" w:sz="4"/>
              <w:right w:val="single" w:sz="4"/>
            </w:tcBorders>
            <w:shd w:val="clear" w:color="auto" w:fill="FFFFFF"/>
            <w:vAlign w:val="top"/>
          </w:tcPr>
          <w:p>
            <w:pPr>
              <w:widowControl w:val="0"/>
              <w:rPr>
                <w:sz w:val="10"/>
                <w:szCs w:val="10"/>
              </w:rPr>
            </w:pPr>
          </w:p>
        </w:tc>
      </w:tr>
      <w:tr>
        <w:trPr>
          <w:trHeight w:val="691" w:hRule="exact"/>
        </w:trPr>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400" w:right="0" w:firstLine="0"/>
              <w:jc w:val="left"/>
            </w:pPr>
            <w:r>
              <w:rPr>
                <w:color w:val="000000"/>
                <w:spacing w:val="0"/>
                <w:w w:val="100"/>
                <w:position w:val="0"/>
                <w:shd w:val="clear" w:color="auto" w:fill="auto"/>
                <w:lang w:val="cs-CZ" w:eastAsia="cs-CZ" w:bidi="cs-CZ"/>
              </w:rPr>
              <w:t>Výhrada podle § 105 odst. 2 zákona č. 134/2016 Sb.</w:t>
            </w:r>
          </w:p>
        </w:tc>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4.1.3</w:t>
            </w:r>
          </w:p>
        </w:tc>
        <w:tc>
          <w:tcPr>
            <w:tcBorders>
              <w:top w:val="single" w:sz="4"/>
              <w:left w:val="single" w:sz="4"/>
              <w:righ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Nepoužije se.</w:t>
            </w:r>
          </w:p>
        </w:tc>
      </w:tr>
      <w:tr>
        <w:trPr>
          <w:trHeight w:val="686" w:hRule="exact"/>
        </w:trPr>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400" w:right="0" w:firstLine="0"/>
              <w:jc w:val="left"/>
            </w:pPr>
            <w:r>
              <w:rPr>
                <w:color w:val="000000"/>
                <w:spacing w:val="0"/>
                <w:w w:val="100"/>
                <w:position w:val="0"/>
                <w:shd w:val="clear" w:color="auto" w:fill="auto"/>
                <w:lang w:val="cs-CZ" w:eastAsia="cs-CZ" w:bidi="cs-CZ"/>
              </w:rPr>
              <w:t>Označení stavby</w:t>
            </w:r>
          </w:p>
        </w:tc>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4.1.4</w:t>
            </w:r>
          </w:p>
        </w:tc>
        <w:tc>
          <w:tcPr>
            <w:tcBorders>
              <w:top w:val="single" w:sz="4"/>
              <w:left w:val="single" w:sz="4"/>
              <w:righ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Bude předáno Zhotoviteli ke Datu zahájení prací</w:t>
            </w:r>
          </w:p>
        </w:tc>
      </w:tr>
      <w:tr>
        <w:trPr>
          <w:trHeight w:val="1286" w:hRule="exact"/>
        </w:trPr>
        <w:tc>
          <w:tcPr>
            <w:tcBorders>
              <w:top w:val="single" w:sz="4"/>
              <w:left w:val="single" w:sz="4"/>
              <w:bottom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Subdodávky</w:t>
            </w:r>
          </w:p>
        </w:tc>
        <w:tc>
          <w:tcPr>
            <w:tcBorders>
              <w:top w:val="single" w:sz="4"/>
              <w:left w:val="single" w:sz="4"/>
              <w:bottom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4.3</w:t>
            </w:r>
          </w:p>
        </w:tc>
        <w:tc>
          <w:tcPr>
            <w:tcBorders>
              <w:top w:val="single" w:sz="4"/>
              <w:left w:val="single" w:sz="4"/>
              <w:bottom w:val="single" w:sz="4"/>
              <w:right w:val="single" w:sz="4"/>
            </w:tcBorders>
            <w:shd w:val="clear" w:color="auto" w:fill="FFFFFF"/>
            <w:vAlign w:val="top"/>
          </w:tcPr>
          <w:p>
            <w:pPr>
              <w:pStyle w:val="Style23"/>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Podzhotovitelé, jejichž prostřednictvím prokazoval Zhotovitel kvalifikaci v zadávacím řízení, na jehož základě byla uzavřena Smlouva:</w:t>
            </w:r>
          </w:p>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Nepoužije se.</w:t>
            </w:r>
          </w:p>
        </w:tc>
      </w:tr>
    </w:tbl>
    <w:p>
      <w:pPr>
        <w:widowControl w:val="0"/>
        <w:spacing w:line="1" w:lineRule="exact"/>
      </w:pPr>
      <w:r>
        <w:br w:type="page"/>
      </w:r>
    </w:p>
    <w:tbl>
      <w:tblPr>
        <w:tblOverlap w:val="never"/>
        <w:jc w:val="center"/>
        <w:tblLayout w:type="fixed"/>
      </w:tblPr>
      <w:tblGrid>
        <w:gridCol w:w="3413"/>
        <w:gridCol w:w="850"/>
        <w:gridCol w:w="5395"/>
      </w:tblGrid>
      <w:tr>
        <w:trPr>
          <w:trHeight w:val="701" w:hRule="exact"/>
        </w:trPr>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Zajištění splnění smlouvy</w:t>
            </w:r>
          </w:p>
        </w:tc>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4.4</w:t>
            </w:r>
          </w:p>
        </w:tc>
        <w:tc>
          <w:tcPr>
            <w:tcBorders>
              <w:top w:val="single" w:sz="4"/>
              <w:left w:val="single" w:sz="4"/>
              <w:righ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5 % z Přijaté smluvní částky ve formě bankovní záruky.</w:t>
            </w:r>
          </w:p>
        </w:tc>
      </w:tr>
      <w:tr>
        <w:trPr>
          <w:trHeight w:val="691" w:hRule="exact"/>
        </w:trPr>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Zajištění kvality</w:t>
            </w:r>
          </w:p>
        </w:tc>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4.5</w:t>
            </w:r>
          </w:p>
        </w:tc>
        <w:tc>
          <w:tcPr>
            <w:tcBorders>
              <w:top w:val="single" w:sz="4"/>
              <w:left w:val="single" w:sz="4"/>
              <w:righ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průběhu stavby v měsíčním intervalu bude prováděno geodetické zaměření provedených konstrukcí.</w:t>
            </w:r>
          </w:p>
        </w:tc>
      </w:tr>
      <w:tr>
        <w:trPr>
          <w:trHeight w:val="691" w:hRule="exact"/>
        </w:trPr>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Záruka za odstranění vad</w:t>
            </w:r>
          </w:p>
        </w:tc>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4.6</w:t>
            </w:r>
          </w:p>
        </w:tc>
        <w:tc>
          <w:tcPr>
            <w:tcBorders>
              <w:top w:val="single" w:sz="4"/>
              <w:left w:val="single" w:sz="4"/>
              <w:righ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2,5 % z Přijaté smluvní částky ve formě bankovní záruky.</w:t>
            </w:r>
          </w:p>
        </w:tc>
      </w:tr>
      <w:tr>
        <w:trPr>
          <w:trHeight w:val="691" w:hRule="exact"/>
        </w:trPr>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Projektová dokumentace</w:t>
            </w:r>
          </w:p>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Zhotovitele</w:t>
            </w:r>
          </w:p>
        </w:tc>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5.1</w:t>
            </w:r>
          </w:p>
        </w:tc>
        <w:tc>
          <w:tcPr>
            <w:tcBorders>
              <w:top w:val="single" w:sz="4"/>
              <w:left w:val="single" w:sz="4"/>
              <w:righ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Nepoužije se.</w:t>
            </w:r>
          </w:p>
        </w:tc>
      </w:tr>
      <w:tr>
        <w:trPr>
          <w:trHeight w:val="691"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5.2</w:t>
            </w:r>
          </w:p>
        </w:tc>
        <w:tc>
          <w:tcPr>
            <w:tcBorders>
              <w:top w:val="single" w:sz="4"/>
              <w:left w:val="single" w:sz="4"/>
              <w:righ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Nepoužije se.</w:t>
            </w:r>
          </w:p>
        </w:tc>
      </w:tr>
      <w:tr>
        <w:trPr>
          <w:trHeight w:val="691" w:hRule="exact"/>
        </w:trPr>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Rizika objednatele</w:t>
            </w:r>
          </w:p>
        </w:tc>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6.1</w:t>
            </w:r>
          </w:p>
        </w:tc>
        <w:tc>
          <w:tcPr>
            <w:tcBorders>
              <w:top w:val="single" w:sz="4"/>
              <w:left w:val="single" w:sz="4"/>
              <w:right w:val="single" w:sz="4"/>
            </w:tcBorders>
            <w:shd w:val="clear" w:color="auto" w:fill="FFFFFF"/>
            <w:vAlign w:val="top"/>
          </w:tcPr>
          <w:p>
            <w:pPr>
              <w:widowControl w:val="0"/>
              <w:rPr>
                <w:sz w:val="10"/>
                <w:szCs w:val="10"/>
              </w:rPr>
            </w:pPr>
          </w:p>
        </w:tc>
      </w:tr>
      <w:tr>
        <w:trPr>
          <w:trHeight w:val="691" w:hRule="exact"/>
        </w:trPr>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Rizika spojená s vodou</w:t>
            </w:r>
          </w:p>
        </w:tc>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t)</w:t>
            </w:r>
          </w:p>
        </w:tc>
        <w:tc>
          <w:tcPr>
            <w:tcBorders>
              <w:top w:val="single" w:sz="4"/>
              <w:left w:val="single" w:sz="4"/>
              <w:righ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Nepoužije se.</w:t>
            </w:r>
          </w:p>
        </w:tc>
      </w:tr>
      <w:tr>
        <w:trPr>
          <w:trHeight w:val="816" w:hRule="exact"/>
        </w:trPr>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Harmonogram</w:t>
            </w:r>
          </w:p>
        </w:tc>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7.2</w:t>
            </w:r>
          </w:p>
        </w:tc>
        <w:tc>
          <w:tcPr>
            <w:tcBorders>
              <w:top w:val="single" w:sz="4"/>
              <w:left w:val="single" w:sz="4"/>
              <w:righ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 14 dnů od Oznámení Data zahájení prací.</w:t>
            </w:r>
          </w:p>
        </w:tc>
      </w:tr>
      <w:tr>
        <w:trPr>
          <w:trHeight w:val="1502" w:hRule="exact"/>
        </w:trPr>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Postupné závazné milníky</w:t>
            </w:r>
          </w:p>
        </w:tc>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7.5</w:t>
            </w:r>
          </w:p>
        </w:tc>
        <w:tc>
          <w:tcPr>
            <w:tcBorders>
              <w:top w:val="single" w:sz="4"/>
              <w:left w:val="single" w:sz="4"/>
              <w:righ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 Zhotovitel do 150 dnů od Data zahájení prací provede práce v souhrnném finančním objemu v minimální výši 40 % z Přijaté smluvní částky.</w:t>
            </w:r>
          </w:p>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 této doby se nezapočítává období od 1.3. do 30.6. každého roku (časové omezení plynoucí z podmínek ochrany přírody).</w:t>
            </w:r>
          </w:p>
        </w:tc>
      </w:tr>
      <w:tr>
        <w:trPr>
          <w:trHeight w:val="691" w:hRule="exact"/>
        </w:trPr>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Předčasné užívání</w:t>
            </w:r>
          </w:p>
        </w:tc>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7.6</w:t>
            </w:r>
          </w:p>
        </w:tc>
        <w:tc>
          <w:tcPr>
            <w:tcBorders>
              <w:top w:val="single" w:sz="4"/>
              <w:left w:val="single" w:sz="4"/>
              <w:righ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Nepoužije se.</w:t>
            </w:r>
          </w:p>
        </w:tc>
      </w:tr>
      <w:tr>
        <w:trPr>
          <w:trHeight w:val="691" w:hRule="exact"/>
        </w:trPr>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Zkušení provoz</w:t>
            </w:r>
          </w:p>
        </w:tc>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7.7</w:t>
            </w:r>
          </w:p>
        </w:tc>
        <w:tc>
          <w:tcPr>
            <w:tcBorders>
              <w:top w:val="single" w:sz="4"/>
              <w:left w:val="single" w:sz="4"/>
              <w:righ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Nepoužije se.</w:t>
            </w:r>
          </w:p>
        </w:tc>
      </w:tr>
      <w:tr>
        <w:trPr>
          <w:trHeight w:val="691" w:hRule="exact"/>
        </w:trPr>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Ověření funkčnosti díla nebo sekce</w:t>
            </w:r>
          </w:p>
        </w:tc>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7.8</w:t>
            </w:r>
          </w:p>
        </w:tc>
        <w:tc>
          <w:tcPr>
            <w:tcBorders>
              <w:top w:val="single" w:sz="4"/>
              <w:left w:val="single" w:sz="4"/>
              <w:righ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Nepoužije se.</w:t>
            </w:r>
          </w:p>
        </w:tc>
      </w:tr>
      <w:tr>
        <w:trPr>
          <w:trHeight w:val="691" w:hRule="exact"/>
        </w:trPr>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Odstranění vad</w:t>
            </w:r>
          </w:p>
        </w:tc>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9.1</w:t>
            </w:r>
          </w:p>
        </w:tc>
        <w:tc>
          <w:tcPr>
            <w:tcBorders>
              <w:top w:val="single" w:sz="4"/>
              <w:left w:val="single" w:sz="4"/>
              <w:right w:val="single" w:sz="4"/>
            </w:tcBorders>
            <w:shd w:val="clear" w:color="auto" w:fill="FFFFFF"/>
            <w:vAlign w:val="top"/>
          </w:tcPr>
          <w:p>
            <w:pPr>
              <w:widowControl w:val="0"/>
              <w:rPr>
                <w:sz w:val="10"/>
                <w:szCs w:val="10"/>
              </w:rPr>
            </w:pPr>
          </w:p>
        </w:tc>
      </w:tr>
      <w:tr>
        <w:trPr>
          <w:trHeight w:val="2194" w:hRule="exact"/>
        </w:trPr>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cs-CZ" w:eastAsia="cs-CZ" w:bidi="cs-CZ"/>
              </w:rPr>
              <w:t>Doba pro odstranění vady</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bottom"/>
          </w:tcPr>
          <w:p>
            <w:pPr>
              <w:pStyle w:val="Style23"/>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Odstranění vady díla:</w:t>
            </w:r>
          </w:p>
          <w:p>
            <w:pPr>
              <w:pStyle w:val="Style23"/>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do 20 dnů od oznámení vady</w:t>
            </w:r>
          </w:p>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případě vad, které nelze objektivně odstranit</w:t>
            </w:r>
          </w:p>
          <w:p>
            <w:pPr>
              <w:pStyle w:val="Style23"/>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v uvedených termínech, bude termín odstranění vady dohodnut mezi Stranami individuálně. V případě, kdy nedojde k dohodě o termínu odstranění, platí že vada musí být odstraněna v termínu 20 dnů od oznámení vady.</w:t>
            </w:r>
          </w:p>
        </w:tc>
      </w:tr>
      <w:tr>
        <w:trPr>
          <w:trHeight w:val="691" w:hRule="exact"/>
        </w:trPr>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Oprávnění k Variaci</w:t>
            </w:r>
          </w:p>
        </w:tc>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10.1</w:t>
            </w:r>
          </w:p>
        </w:tc>
        <w:tc>
          <w:tcPr>
            <w:tcBorders>
              <w:top w:val="single" w:sz="4"/>
              <w:left w:val="single" w:sz="4"/>
              <w:righ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Postup Stran v případě Variace je specifikován v Postupu při variaci, který je součástí Přílohy.</w:t>
            </w:r>
          </w:p>
        </w:tc>
      </w:tr>
      <w:tr>
        <w:trPr>
          <w:trHeight w:val="811" w:hRule="exact"/>
        </w:trPr>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Cenová soustava</w:t>
            </w:r>
          </w:p>
        </w:tc>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10.2</w:t>
            </w:r>
          </w:p>
        </w:tc>
        <w:tc>
          <w:tcPr>
            <w:tcBorders>
              <w:top w:val="single" w:sz="4"/>
              <w:left w:val="single" w:sz="4"/>
              <w:righ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Cenová soustava URS.</w:t>
            </w:r>
          </w:p>
        </w:tc>
      </w:tr>
      <w:tr>
        <w:trPr>
          <w:trHeight w:val="706" w:hRule="exact"/>
        </w:trPr>
        <w:tc>
          <w:tcPr>
            <w:tcBorders>
              <w:top w:val="single" w:sz="4"/>
              <w:left w:val="single" w:sz="4"/>
              <w:bottom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Oceňování díla</w:t>
            </w:r>
          </w:p>
        </w:tc>
        <w:tc>
          <w:tcPr>
            <w:tcBorders>
              <w:top w:val="single" w:sz="4"/>
              <w:left w:val="single" w:sz="4"/>
              <w:bottom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11.1</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r>
        <w:br w:type="page"/>
      </w:r>
    </w:p>
    <w:tbl>
      <w:tblPr>
        <w:tblOverlap w:val="never"/>
        <w:jc w:val="center"/>
        <w:tblLayout w:type="fixed"/>
      </w:tblPr>
      <w:tblGrid>
        <w:gridCol w:w="3413"/>
        <w:gridCol w:w="850"/>
        <w:gridCol w:w="5395"/>
      </w:tblGrid>
      <w:tr>
        <w:trPr>
          <w:trHeight w:val="701" w:hRule="exact"/>
        </w:trPr>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cs-CZ" w:eastAsia="cs-CZ" w:bidi="cs-CZ"/>
              </w:rPr>
              <w:t>Neměřené položky</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Položky označené ve Výkazu výměr měrnou jednotkou kpl. nebo sada se neměří.</w:t>
            </w:r>
          </w:p>
        </w:tc>
      </w:tr>
      <w:tr>
        <w:trPr>
          <w:trHeight w:val="816" w:hRule="exact"/>
        </w:trPr>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cs-CZ" w:eastAsia="cs-CZ" w:bidi="cs-CZ"/>
              </w:rPr>
              <w:t>Omezení vyhrazené změny</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Vyhrazená změna k měření změny položek je použitelná pouze do výše 15 % původního předpokládaného množství každé položky.</w:t>
            </w:r>
          </w:p>
        </w:tc>
      </w:tr>
      <w:tr>
        <w:trPr>
          <w:trHeight w:val="691" w:hRule="exact"/>
        </w:trPr>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Vyúčtování</w:t>
            </w:r>
          </w:p>
        </w:tc>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11.2</w:t>
            </w:r>
          </w:p>
        </w:tc>
        <w:tc>
          <w:tcPr>
            <w:tcBorders>
              <w:top w:val="single" w:sz="4"/>
              <w:left w:val="single" w:sz="4"/>
              <w:right w:val="single" w:sz="4"/>
            </w:tcBorders>
            <w:shd w:val="clear" w:color="auto" w:fill="FFFFFF"/>
            <w:vAlign w:val="top"/>
          </w:tcPr>
          <w:p>
            <w:pPr>
              <w:widowControl w:val="0"/>
              <w:rPr>
                <w:sz w:val="10"/>
                <w:szCs w:val="10"/>
              </w:rPr>
            </w:pPr>
          </w:p>
        </w:tc>
      </w:tr>
      <w:tr>
        <w:trPr>
          <w:trHeight w:val="691" w:hRule="exact"/>
        </w:trPr>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400" w:right="0" w:firstLine="0"/>
              <w:jc w:val="left"/>
            </w:pPr>
            <w:r>
              <w:rPr>
                <w:color w:val="000000"/>
                <w:spacing w:val="0"/>
                <w:w w:val="100"/>
                <w:position w:val="0"/>
                <w:shd w:val="clear" w:color="auto" w:fill="auto"/>
                <w:lang w:val="cs-CZ" w:eastAsia="cs-CZ" w:bidi="cs-CZ"/>
              </w:rPr>
              <w:t>Termíny a periodicita průběžných plateb</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Platba hodnoty provedeného Díla bude prováděna v měsíční periodicitě.</w:t>
            </w:r>
          </w:p>
        </w:tc>
      </w:tr>
      <w:tr>
        <w:trPr>
          <w:trHeight w:val="1042" w:hRule="exact"/>
        </w:trPr>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400" w:right="0" w:firstLine="0"/>
              <w:jc w:val="left"/>
            </w:pPr>
            <w:r>
              <w:rPr>
                <w:color w:val="000000"/>
                <w:spacing w:val="0"/>
                <w:w w:val="100"/>
                <w:position w:val="0"/>
                <w:shd w:val="clear" w:color="auto" w:fill="auto"/>
                <w:lang w:val="cs-CZ" w:eastAsia="cs-CZ" w:bidi="cs-CZ"/>
              </w:rPr>
              <w:t>Formát Vyúčtování</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Odsouhlasený soupis provedených prací je Zhotovitel povinen zpracovat vždy k poslednímu dni kalendářního měsíce, a to jak v písemné, tak v elektronické podobě, a to v elektronickém formátu XC4.</w:t>
            </w:r>
          </w:p>
        </w:tc>
      </w:tr>
      <w:tr>
        <w:trPr>
          <w:trHeight w:val="586" w:hRule="exact"/>
        </w:trPr>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Průběžné platby</w:t>
            </w:r>
          </w:p>
        </w:tc>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11.3</w:t>
            </w:r>
          </w:p>
        </w:tc>
        <w:tc>
          <w:tcPr>
            <w:tcBorders>
              <w:top w:val="single" w:sz="4"/>
              <w:left w:val="single" w:sz="4"/>
              <w:righ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Splatnost Faktur je 45 dní od data doručení Faktury Objednateli.</w:t>
            </w:r>
          </w:p>
        </w:tc>
      </w:tr>
      <w:tr>
        <w:trPr>
          <w:trHeight w:val="1733" w:hRule="exact"/>
        </w:trPr>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cs-CZ" w:eastAsia="cs-CZ" w:bidi="cs-CZ"/>
              </w:rPr>
              <w:t>Formát Faktur</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Samostatně budou vystavovány faktury způsobilých a nezpůsobilých výdajů dotační akce.</w:t>
            </w:r>
          </w:p>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Samostatně budou vystaveny faktury na případné Variace, které povedou k navýšení Smluvní ceny (vícepráce).</w:t>
            </w:r>
          </w:p>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Samostatně budou vystaveny faktury pro investice a neinvestice.</w:t>
            </w:r>
          </w:p>
        </w:tc>
      </w:tr>
      <w:tr>
        <w:trPr>
          <w:trHeight w:val="1507" w:hRule="exact"/>
        </w:trPr>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400" w:right="0" w:firstLine="0"/>
              <w:jc w:val="left"/>
            </w:pPr>
            <w:r>
              <w:rPr>
                <w:color w:val="000000"/>
                <w:spacing w:val="0"/>
                <w:w w:val="100"/>
                <w:position w:val="0"/>
                <w:shd w:val="clear" w:color="auto" w:fill="auto"/>
                <w:lang w:val="cs-CZ" w:eastAsia="cs-CZ" w:bidi="cs-CZ"/>
              </w:rPr>
              <w:t>Zadržená částka z průběžné platby:</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pStyle w:val="Style23"/>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Maximální možná výše zadržené částky z každé průběžné platby v případě podle Pod-článku 11.3 třetího odstavce písm. (a) až (d):</w:t>
            </w:r>
          </w:p>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15 % průběžné platby</w:t>
            </w:r>
          </w:p>
        </w:tc>
      </w:tr>
      <w:tr>
        <w:trPr>
          <w:trHeight w:val="1272" w:hRule="exact"/>
        </w:trPr>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400" w:right="0" w:firstLine="0"/>
              <w:jc w:val="left"/>
            </w:pPr>
            <w:r>
              <w:rPr>
                <w:color w:val="000000"/>
                <w:spacing w:val="0"/>
                <w:w w:val="100"/>
                <w:position w:val="0"/>
                <w:shd w:val="clear" w:color="auto" w:fill="auto"/>
                <w:lang w:val="cs-CZ" w:eastAsia="cs-CZ" w:bidi="cs-CZ"/>
              </w:rPr>
              <w:t>Celková výše zadržených částek:</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pStyle w:val="Style23"/>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Celková maximální možná výše zadržené částky ze všech průběžných plateb:</w:t>
            </w:r>
          </w:p>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15 % Přijaté smluvní částky</w:t>
            </w:r>
          </w:p>
        </w:tc>
      </w:tr>
      <w:tr>
        <w:trPr>
          <w:trHeight w:val="691" w:hRule="exact"/>
        </w:trPr>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Závěrečná platba</w:t>
            </w:r>
          </w:p>
        </w:tc>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11.6</w:t>
            </w:r>
          </w:p>
        </w:tc>
        <w:tc>
          <w:tcPr>
            <w:tcBorders>
              <w:top w:val="single" w:sz="4"/>
              <w:left w:val="single" w:sz="4"/>
              <w:righ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Splatnost Faktur je 45 dní od data doručení Faktury Objednateli.</w:t>
            </w:r>
          </w:p>
        </w:tc>
      </w:tr>
      <w:tr>
        <w:trPr>
          <w:trHeight w:val="1733" w:hRule="exact"/>
        </w:trPr>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Formát Faktur</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Samostatně budou vystavovány faktury způsobilých a nezpůsobilých výdajů dotační akce.</w:t>
            </w:r>
          </w:p>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Samostatně budou vystaveny faktury na případné Variace, které povedou k navýšení Smluvní ceny (vícepráce).</w:t>
            </w:r>
          </w:p>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Samostatně budou vystaveny faktury pro investice a neinvestice.</w:t>
            </w:r>
          </w:p>
        </w:tc>
      </w:tr>
      <w:tr>
        <w:trPr>
          <w:trHeight w:val="691" w:hRule="exact"/>
        </w:trPr>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Měna</w:t>
            </w:r>
          </w:p>
        </w:tc>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11.7</w:t>
            </w:r>
          </w:p>
        </w:tc>
        <w:tc>
          <w:tcPr>
            <w:tcBorders>
              <w:top w:val="single" w:sz="4"/>
              <w:left w:val="single" w:sz="4"/>
              <w:righ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Koruna česká (CZK)</w:t>
            </w:r>
          </w:p>
        </w:tc>
      </w:tr>
      <w:tr>
        <w:trPr>
          <w:trHeight w:val="1478" w:hRule="exact"/>
        </w:trPr>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Zpožděná platba</w:t>
            </w:r>
          </w:p>
        </w:tc>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11.8</w:t>
            </w:r>
          </w:p>
        </w:tc>
        <w:tc>
          <w:tcPr>
            <w:tcBorders>
              <w:top w:val="single" w:sz="4"/>
              <w:left w:val="single" w:sz="4"/>
              <w:right w:val="single" w:sz="4"/>
            </w:tcBorders>
            <w:shd w:val="clear" w:color="auto" w:fill="FFFFFF"/>
            <w:vAlign w:val="top"/>
          </w:tcPr>
          <w:p>
            <w:pPr>
              <w:pStyle w:val="Style23"/>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Sazba úroku z prodlení</w:t>
            </w:r>
          </w:p>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0,05 % Přijaté smluvní částky za každý započatý den prodlení</w:t>
            </w:r>
          </w:p>
        </w:tc>
      </w:tr>
      <w:tr>
        <w:trPr>
          <w:trHeight w:val="701" w:hRule="exact"/>
        </w:trPr>
        <w:tc>
          <w:tcPr>
            <w:tcBorders>
              <w:top w:val="single" w:sz="4"/>
              <w:left w:val="single" w:sz="4"/>
              <w:bottom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Výzisky</w:t>
            </w:r>
          </w:p>
        </w:tc>
        <w:tc>
          <w:tcPr>
            <w:tcBorders>
              <w:top w:val="single" w:sz="4"/>
              <w:left w:val="single" w:sz="4"/>
              <w:bottom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11.10</w:t>
            </w:r>
          </w:p>
        </w:tc>
        <w:tc>
          <w:tcPr>
            <w:tcBorders>
              <w:top w:val="single" w:sz="4"/>
              <w:left w:val="single" w:sz="4"/>
              <w:bottom w:val="single" w:sz="4"/>
              <w:righ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Nepoužije se.</w:t>
            </w:r>
          </w:p>
        </w:tc>
      </w:tr>
    </w:tbl>
    <w:p>
      <w:pPr>
        <w:widowControl w:val="0"/>
        <w:spacing w:line="1" w:lineRule="exact"/>
      </w:pPr>
      <w:r>
        <w:br w:type="page"/>
      </w:r>
    </w:p>
    <w:tbl>
      <w:tblPr>
        <w:tblOverlap w:val="never"/>
        <w:jc w:val="center"/>
        <w:tblLayout w:type="fixed"/>
      </w:tblPr>
      <w:tblGrid>
        <w:gridCol w:w="3413"/>
        <w:gridCol w:w="850"/>
        <w:gridCol w:w="5395"/>
      </w:tblGrid>
      <w:tr>
        <w:trPr>
          <w:trHeight w:val="701" w:hRule="exact"/>
        </w:trPr>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Povinnost zaplatit smluvní pokutu</w:t>
            </w:r>
          </w:p>
        </w:tc>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12.5</w:t>
            </w:r>
          </w:p>
        </w:tc>
        <w:tc>
          <w:tcPr>
            <w:tcBorders>
              <w:top w:val="single" w:sz="4"/>
              <w:left w:val="single" w:sz="4"/>
              <w:right w:val="single" w:sz="4"/>
            </w:tcBorders>
            <w:shd w:val="clear" w:color="auto" w:fill="FFFFFF"/>
            <w:vAlign w:val="top"/>
          </w:tcPr>
          <w:p>
            <w:pPr>
              <w:widowControl w:val="0"/>
              <w:rPr>
                <w:sz w:val="10"/>
                <w:szCs w:val="10"/>
              </w:rPr>
            </w:pPr>
          </w:p>
        </w:tc>
      </w:tr>
      <w:tr>
        <w:trPr>
          <w:trHeight w:val="691"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a)</w:t>
            </w:r>
          </w:p>
        </w:tc>
        <w:tc>
          <w:tcPr>
            <w:tcBorders>
              <w:top w:val="single" w:sz="4"/>
              <w:left w:val="single" w:sz="4"/>
              <w:righ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0,01 % Přijaté smluvní částky za každý jednotlivý případ porušení povinnosti Zhotovitele</w:t>
            </w:r>
          </w:p>
        </w:tc>
      </w:tr>
      <w:tr>
        <w:trPr>
          <w:trHeight w:val="691"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b)</w:t>
            </w:r>
          </w:p>
        </w:tc>
        <w:tc>
          <w:tcPr>
            <w:tcBorders>
              <w:top w:val="single" w:sz="4"/>
              <w:left w:val="single" w:sz="4"/>
              <w:righ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0,01 % Přijaté smluvní částky za každý jednotlivý případ porušení povinnosti Zhotovitele</w:t>
            </w:r>
          </w:p>
        </w:tc>
      </w:tr>
      <w:tr>
        <w:trPr>
          <w:trHeight w:val="691"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c)</w:t>
            </w:r>
          </w:p>
        </w:tc>
        <w:tc>
          <w:tcPr>
            <w:tcBorders>
              <w:top w:val="single" w:sz="4"/>
              <w:left w:val="single" w:sz="4"/>
              <w:righ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Nepoužije se.</w:t>
            </w:r>
          </w:p>
        </w:tc>
      </w:tr>
      <w:tr>
        <w:trPr>
          <w:trHeight w:val="691"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d)</w:t>
            </w:r>
          </w:p>
        </w:tc>
        <w:tc>
          <w:tcPr>
            <w:tcBorders>
              <w:top w:val="single" w:sz="4"/>
              <w:left w:val="single" w:sz="4"/>
              <w:righ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0,01 % Přijaté smluvní částky za každý jednotlivý případ porušení povinnosti Zhotovitele</w:t>
            </w:r>
          </w:p>
        </w:tc>
      </w:tr>
      <w:tr>
        <w:trPr>
          <w:trHeight w:val="691"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e)</w:t>
            </w:r>
          </w:p>
        </w:tc>
        <w:tc>
          <w:tcPr>
            <w:tcBorders>
              <w:top w:val="single" w:sz="4"/>
              <w:left w:val="single" w:sz="4"/>
              <w:righ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0,01 % Přijaté smluvní částky za každý jednotlivý případ porušení povinnosti Zhotovitele</w:t>
            </w:r>
          </w:p>
        </w:tc>
      </w:tr>
      <w:tr>
        <w:trPr>
          <w:trHeight w:val="691"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f)</w:t>
            </w:r>
          </w:p>
        </w:tc>
        <w:tc>
          <w:tcPr>
            <w:tcBorders>
              <w:top w:val="single" w:sz="4"/>
              <w:left w:val="single" w:sz="4"/>
              <w:righ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200 000 Kč za každý zjištěný případ</w:t>
            </w:r>
          </w:p>
        </w:tc>
      </w:tr>
      <w:tr>
        <w:trPr>
          <w:trHeight w:val="691"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g)</w:t>
            </w:r>
          </w:p>
        </w:tc>
        <w:tc>
          <w:tcPr>
            <w:tcBorders>
              <w:top w:val="single" w:sz="4"/>
              <w:left w:val="single" w:sz="4"/>
              <w:righ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0,1 % Přijaté smluvní částky za každý kalendářní den prodlení až do splnění povinnosti</w:t>
            </w:r>
          </w:p>
        </w:tc>
      </w:tr>
      <w:tr>
        <w:trPr>
          <w:trHeight w:val="691"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i)</w:t>
            </w:r>
          </w:p>
        </w:tc>
        <w:tc>
          <w:tcPr>
            <w:tcBorders>
              <w:top w:val="single" w:sz="4"/>
              <w:left w:val="single" w:sz="4"/>
              <w:righ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Nepoužije se</w:t>
            </w:r>
          </w:p>
        </w:tc>
      </w:tr>
      <w:tr>
        <w:trPr>
          <w:trHeight w:val="691"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h)</w:t>
            </w:r>
          </w:p>
        </w:tc>
        <w:tc>
          <w:tcPr>
            <w:tcBorders>
              <w:top w:val="single" w:sz="4"/>
              <w:left w:val="single" w:sz="4"/>
              <w:righ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0,04 % Přijaté smluvní částky za každý kalendářní den prodlení až do splnění povinnosti</w:t>
            </w:r>
          </w:p>
        </w:tc>
      </w:tr>
      <w:tr>
        <w:trPr>
          <w:trHeight w:val="691"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j)</w:t>
            </w:r>
          </w:p>
        </w:tc>
        <w:tc>
          <w:tcPr>
            <w:tcBorders>
              <w:top w:val="single" w:sz="4"/>
              <w:left w:val="single" w:sz="4"/>
              <w:righ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0,01 % Přijaté smluvní částky za každý započatý den prodlení Zhotovitele s odstraněním každé jednotlivé vady</w:t>
            </w:r>
          </w:p>
        </w:tc>
      </w:tr>
      <w:tr>
        <w:trPr>
          <w:trHeight w:val="691"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k)</w:t>
            </w:r>
          </w:p>
        </w:tc>
        <w:tc>
          <w:tcPr>
            <w:tcBorders>
              <w:top w:val="single" w:sz="4"/>
              <w:left w:val="single" w:sz="4"/>
              <w:righ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0,01 % Přijaté smluvní částky za každý započatý den prodlení Zhotovitele</w:t>
            </w:r>
          </w:p>
        </w:tc>
      </w:tr>
      <w:tr>
        <w:trPr>
          <w:trHeight w:val="691"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l)</w:t>
            </w:r>
          </w:p>
        </w:tc>
        <w:tc>
          <w:tcPr>
            <w:tcBorders>
              <w:top w:val="single" w:sz="4"/>
              <w:left w:val="single" w:sz="4"/>
              <w:righ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Nepoužije se</w:t>
            </w:r>
          </w:p>
        </w:tc>
      </w:tr>
      <w:tr>
        <w:trPr>
          <w:trHeight w:val="1042" w:hRule="exact"/>
        </w:trPr>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400" w:right="0" w:firstLine="0"/>
              <w:jc w:val="left"/>
            </w:pPr>
            <w:r>
              <w:rPr>
                <w:color w:val="000000"/>
                <w:spacing w:val="0"/>
                <w:w w:val="100"/>
                <w:position w:val="0"/>
                <w:shd w:val="clear" w:color="auto" w:fill="auto"/>
                <w:lang w:val="cs-CZ" w:eastAsia="cs-CZ" w:bidi="cs-CZ"/>
              </w:rPr>
              <w:t>Maximální celková výše smluvních pokut uhrazených Zhotovitelem za porušení Smlouvy:</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30 % Přijaté smluvní částky</w:t>
            </w:r>
          </w:p>
        </w:tc>
      </w:tr>
      <w:tr>
        <w:trPr>
          <w:trHeight w:val="691" w:hRule="exact"/>
        </w:trPr>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Obecné požadavky na pojištění</w:t>
            </w:r>
          </w:p>
        </w:tc>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14.2</w:t>
            </w:r>
          </w:p>
        </w:tc>
        <w:tc>
          <w:tcPr>
            <w:tcBorders>
              <w:top w:val="single" w:sz="4"/>
              <w:left w:val="single" w:sz="4"/>
              <w:righ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Pojistné plnění minimálně ve výši 10 000 000 Kč.</w:t>
            </w:r>
          </w:p>
        </w:tc>
      </w:tr>
      <w:tr>
        <w:trPr>
          <w:trHeight w:val="826" w:hRule="exact"/>
        </w:trPr>
        <w:tc>
          <w:tcPr>
            <w:tcBorders>
              <w:top w:val="single" w:sz="4"/>
              <w:left w:val="single" w:sz="4"/>
              <w:bottom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Řešení sporů</w:t>
            </w:r>
          </w:p>
        </w:tc>
        <w:tc>
          <w:tcPr>
            <w:tcBorders>
              <w:top w:val="single" w:sz="4"/>
              <w:left w:val="single" w:sz="4"/>
              <w:bottom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15</w:t>
            </w:r>
          </w:p>
        </w:tc>
        <w:tc>
          <w:tcPr>
            <w:tcBorders>
              <w:top w:val="single" w:sz="4"/>
              <w:left w:val="single" w:sz="4"/>
              <w:bottom w:val="single" w:sz="4"/>
              <w:right w:val="single" w:sz="4"/>
            </w:tcBorders>
            <w:shd w:val="clear" w:color="auto" w:fill="FFFFFF"/>
            <w:vAlign w:val="top"/>
          </w:tcPr>
          <w:p>
            <w:pPr>
              <w:pStyle w:val="Style23"/>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Způsob rozhodování sporů: Varianta B</w:t>
            </w:r>
          </w:p>
        </w:tc>
      </w:tr>
    </w:tbl>
    <w:p>
      <w:pPr>
        <w:sectPr>
          <w:headerReference w:type="default" r:id="rId6"/>
          <w:footnotePr>
            <w:pos w:val="pageBottom"/>
            <w:numFmt w:val="decimal"/>
            <w:numStart w:val="2"/>
            <w:numRestart w:val="continuous"/>
            <w15:footnoteColumns w:val="1"/>
          </w:footnotePr>
          <w:pgSz w:w="11909" w:h="16838"/>
          <w:pgMar w:top="1109" w:left="1104" w:right="1098" w:bottom="1085" w:header="0" w:footer="657" w:gutter="0"/>
          <w:cols w:space="720"/>
          <w:noEndnote/>
          <w:rtlGutter w:val="0"/>
          <w:docGrid w:linePitch="360"/>
        </w:sectPr>
      </w:pPr>
    </w:p>
    <w:p>
      <w:pPr>
        <w:pStyle w:val="Style25"/>
        <w:keepNext w:val="0"/>
        <w:keepLines w:val="0"/>
        <w:widowControl w:val="0"/>
        <w:shd w:val="clear" w:color="auto" w:fill="auto"/>
        <w:bidi w:val="0"/>
        <w:spacing w:before="0" w:line="240" w:lineRule="auto"/>
        <w:ind w:left="0" w:right="0" w:firstLine="0"/>
        <w:jc w:val="left"/>
      </w:pPr>
      <w:r>
        <w:rPr>
          <w:spacing w:val="0"/>
          <w:w w:val="100"/>
          <w:position w:val="0"/>
          <w:shd w:val="clear" w:color="auto" w:fill="auto"/>
          <w:lang w:val="cs-CZ" w:eastAsia="cs-CZ" w:bidi="cs-CZ"/>
        </w:rPr>
        <w:t>Oprava a rekonstrukce Šluknovského potoka v Císařském – III. Etapa (u mandlu)</w:t>
      </w:r>
    </w:p>
    <w:p>
      <w:pPr>
        <w:pStyle w:val="Style9"/>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Postup při variaci</w:t>
      </w:r>
    </w:p>
    <w:p>
      <w:pPr>
        <w:pStyle w:val="Style5"/>
        <w:keepNext w:val="0"/>
        <w:keepLines w:val="0"/>
        <w:widowControl w:val="0"/>
        <w:numPr>
          <w:ilvl w:val="0"/>
          <w:numId w:val="7"/>
        </w:numPr>
        <w:shd w:val="clear" w:color="auto" w:fill="auto"/>
        <w:tabs>
          <w:tab w:pos="363" w:val="left"/>
        </w:tabs>
        <w:bidi w:val="0"/>
        <w:spacing w:before="0" w:line="276" w:lineRule="auto"/>
        <w:ind w:left="300" w:right="0" w:hanging="300"/>
        <w:jc w:val="both"/>
      </w:pPr>
      <w:bookmarkStart w:id="48" w:name="bookmark48"/>
      <w:bookmarkEnd w:id="48"/>
      <w:r>
        <w:rPr>
          <w:color w:val="000000"/>
          <w:spacing w:val="0"/>
          <w:w w:val="100"/>
          <w:position w:val="0"/>
          <w:shd w:val="clear" w:color="auto" w:fill="auto"/>
          <w:lang w:val="cs-CZ" w:eastAsia="cs-CZ" w:bidi="cs-CZ"/>
        </w:rPr>
        <w:t>Tento dokument je součástí Přílohy a závazně doplňuje obecný postup Stran při Variaci, tj. změně Díla nařízené nebo schválené jako Variace, podle čl. 10 Smluvních podmínek. Variací není claim.</w:t>
      </w:r>
    </w:p>
    <w:p>
      <w:pPr>
        <w:pStyle w:val="Style5"/>
        <w:keepNext w:val="0"/>
        <w:keepLines w:val="0"/>
        <w:widowControl w:val="0"/>
        <w:numPr>
          <w:ilvl w:val="0"/>
          <w:numId w:val="7"/>
        </w:numPr>
        <w:shd w:val="clear" w:color="auto" w:fill="auto"/>
        <w:tabs>
          <w:tab w:pos="363" w:val="left"/>
        </w:tabs>
        <w:bidi w:val="0"/>
        <w:spacing w:before="0" w:line="276" w:lineRule="auto"/>
        <w:ind w:left="0" w:right="0" w:firstLine="0"/>
        <w:jc w:val="left"/>
      </w:pPr>
      <w:bookmarkStart w:id="49" w:name="bookmark49"/>
      <w:bookmarkEnd w:id="49"/>
      <w:r>
        <w:rPr>
          <w:color w:val="000000"/>
          <w:spacing w:val="0"/>
          <w:w w:val="100"/>
          <w:position w:val="0"/>
          <w:shd w:val="clear" w:color="auto" w:fill="auto"/>
          <w:lang w:val="cs-CZ" w:eastAsia="cs-CZ" w:bidi="cs-CZ"/>
        </w:rPr>
        <w:t>Každá Variace může zahrnovat</w:t>
      </w:r>
    </w:p>
    <w:p>
      <w:pPr>
        <w:pStyle w:val="Style5"/>
        <w:keepNext w:val="0"/>
        <w:keepLines w:val="0"/>
        <w:widowControl w:val="0"/>
        <w:numPr>
          <w:ilvl w:val="0"/>
          <w:numId w:val="9"/>
        </w:numPr>
        <w:shd w:val="clear" w:color="auto" w:fill="auto"/>
        <w:tabs>
          <w:tab w:pos="678" w:val="left"/>
        </w:tabs>
        <w:bidi w:val="0"/>
        <w:spacing w:before="0" w:line="276" w:lineRule="auto"/>
        <w:ind w:left="0" w:right="0" w:firstLine="300"/>
        <w:jc w:val="left"/>
      </w:pPr>
      <w:bookmarkStart w:id="50" w:name="bookmark50"/>
      <w:bookmarkEnd w:id="50"/>
      <w:r>
        <w:rPr>
          <w:color w:val="000000"/>
          <w:spacing w:val="0"/>
          <w:w w:val="100"/>
          <w:position w:val="0"/>
          <w:shd w:val="clear" w:color="auto" w:fill="auto"/>
          <w:lang w:val="cs-CZ" w:eastAsia="cs-CZ" w:bidi="cs-CZ"/>
        </w:rPr>
        <w:t>změny v Technické specifikaci,</w:t>
      </w:r>
    </w:p>
    <w:p>
      <w:pPr>
        <w:pStyle w:val="Style5"/>
        <w:keepNext w:val="0"/>
        <w:keepLines w:val="0"/>
        <w:widowControl w:val="0"/>
        <w:numPr>
          <w:ilvl w:val="0"/>
          <w:numId w:val="9"/>
        </w:numPr>
        <w:shd w:val="clear" w:color="auto" w:fill="auto"/>
        <w:tabs>
          <w:tab w:pos="678" w:val="left"/>
        </w:tabs>
        <w:bidi w:val="0"/>
        <w:spacing w:before="0" w:line="276" w:lineRule="auto"/>
        <w:ind w:left="0" w:right="0" w:firstLine="300"/>
        <w:jc w:val="left"/>
      </w:pPr>
      <w:bookmarkStart w:id="51" w:name="bookmark51"/>
      <w:bookmarkEnd w:id="51"/>
      <w:r>
        <w:rPr>
          <w:color w:val="000000"/>
          <w:spacing w:val="0"/>
          <w:w w:val="100"/>
          <w:position w:val="0"/>
          <w:shd w:val="clear" w:color="auto" w:fill="auto"/>
          <w:lang w:val="cs-CZ" w:eastAsia="cs-CZ" w:bidi="cs-CZ"/>
        </w:rPr>
        <w:t>změny ve Výkresech, nebo</w:t>
      </w:r>
    </w:p>
    <w:p>
      <w:pPr>
        <w:pStyle w:val="Style5"/>
        <w:keepNext w:val="0"/>
        <w:keepLines w:val="0"/>
        <w:widowControl w:val="0"/>
        <w:numPr>
          <w:ilvl w:val="0"/>
          <w:numId w:val="9"/>
        </w:numPr>
        <w:shd w:val="clear" w:color="auto" w:fill="auto"/>
        <w:tabs>
          <w:tab w:pos="678" w:val="left"/>
        </w:tabs>
        <w:bidi w:val="0"/>
        <w:spacing w:before="0" w:line="276" w:lineRule="auto"/>
        <w:ind w:left="0" w:right="0" w:firstLine="300"/>
        <w:jc w:val="left"/>
      </w:pPr>
      <w:bookmarkStart w:id="52" w:name="bookmark52"/>
      <w:bookmarkEnd w:id="52"/>
      <w:r>
        <w:rPr>
          <w:color w:val="000000"/>
          <w:spacing w:val="0"/>
          <w:w w:val="100"/>
          <w:position w:val="0"/>
          <w:shd w:val="clear" w:color="auto" w:fill="auto"/>
          <w:lang w:val="cs-CZ" w:eastAsia="cs-CZ" w:bidi="cs-CZ"/>
        </w:rPr>
        <w:t>změny v posloupnosti a načasování provádění Díla.</w:t>
      </w:r>
    </w:p>
    <w:p>
      <w:pPr>
        <w:pStyle w:val="Style5"/>
        <w:keepNext w:val="0"/>
        <w:keepLines w:val="0"/>
        <w:widowControl w:val="0"/>
        <w:numPr>
          <w:ilvl w:val="0"/>
          <w:numId w:val="7"/>
        </w:numPr>
        <w:shd w:val="clear" w:color="auto" w:fill="auto"/>
        <w:tabs>
          <w:tab w:pos="363" w:val="left"/>
        </w:tabs>
        <w:bidi w:val="0"/>
        <w:spacing w:before="0" w:line="276" w:lineRule="auto"/>
        <w:ind w:left="300" w:right="0" w:hanging="300"/>
        <w:jc w:val="both"/>
      </w:pPr>
      <w:bookmarkStart w:id="53" w:name="bookmark53"/>
      <w:bookmarkEnd w:id="53"/>
      <w:r>
        <w:rPr>
          <w:color w:val="000000"/>
          <w:spacing w:val="0"/>
          <w:w w:val="100"/>
          <w:position w:val="0"/>
          <w:shd w:val="clear" w:color="auto" w:fill="auto"/>
          <w:lang w:val="cs-CZ" w:eastAsia="cs-CZ" w:bidi="cs-CZ"/>
        </w:rPr>
        <w:t>Parametry Variace budou definovány ve změnovém listu podepsaném oběma Stranami. Podobu změnového listu stanoví Objednatel, pokud se Strany nedohodnou jinak.</w:t>
      </w:r>
    </w:p>
    <w:p>
      <w:pPr>
        <w:pStyle w:val="Style5"/>
        <w:keepNext w:val="0"/>
        <w:keepLines w:val="0"/>
        <w:widowControl w:val="0"/>
        <w:numPr>
          <w:ilvl w:val="0"/>
          <w:numId w:val="7"/>
        </w:numPr>
        <w:shd w:val="clear" w:color="auto" w:fill="auto"/>
        <w:tabs>
          <w:tab w:pos="363" w:val="left"/>
        </w:tabs>
        <w:bidi w:val="0"/>
        <w:spacing w:before="0" w:line="276" w:lineRule="auto"/>
        <w:ind w:left="0" w:right="0" w:firstLine="0"/>
        <w:jc w:val="left"/>
      </w:pPr>
      <w:bookmarkStart w:id="54" w:name="bookmark54"/>
      <w:bookmarkEnd w:id="54"/>
      <w:r>
        <w:rPr>
          <w:color w:val="000000"/>
          <w:spacing w:val="0"/>
          <w:w w:val="100"/>
          <w:position w:val="0"/>
          <w:shd w:val="clear" w:color="auto" w:fill="auto"/>
          <w:lang w:val="cs-CZ" w:eastAsia="cs-CZ" w:bidi="cs-CZ"/>
        </w:rPr>
        <w:t>Variace mohou být iniciovány Objednatelem kdykoliv před vydáním Potvrzení o převzetí Díla</w:t>
      </w:r>
    </w:p>
    <w:p>
      <w:pPr>
        <w:pStyle w:val="Style5"/>
        <w:keepNext w:val="0"/>
        <w:keepLines w:val="0"/>
        <w:widowControl w:val="0"/>
        <w:numPr>
          <w:ilvl w:val="0"/>
          <w:numId w:val="11"/>
        </w:numPr>
        <w:shd w:val="clear" w:color="auto" w:fill="auto"/>
        <w:tabs>
          <w:tab w:pos="678" w:val="left"/>
        </w:tabs>
        <w:bidi w:val="0"/>
        <w:spacing w:before="0" w:line="276" w:lineRule="auto"/>
        <w:ind w:left="0" w:right="0" w:firstLine="300"/>
        <w:jc w:val="left"/>
      </w:pPr>
      <w:bookmarkStart w:id="55" w:name="bookmark55"/>
      <w:bookmarkEnd w:id="55"/>
      <w:r>
        <w:rPr>
          <w:color w:val="000000"/>
          <w:spacing w:val="0"/>
          <w:w w:val="100"/>
          <w:position w:val="0"/>
          <w:shd w:val="clear" w:color="auto" w:fill="auto"/>
          <w:lang w:val="cs-CZ" w:eastAsia="cs-CZ" w:bidi="cs-CZ"/>
        </w:rPr>
        <w:t>pokynem, nebo</w:t>
      </w:r>
    </w:p>
    <w:p>
      <w:pPr>
        <w:pStyle w:val="Style5"/>
        <w:keepNext w:val="0"/>
        <w:keepLines w:val="0"/>
        <w:widowControl w:val="0"/>
        <w:numPr>
          <w:ilvl w:val="0"/>
          <w:numId w:val="11"/>
        </w:numPr>
        <w:shd w:val="clear" w:color="auto" w:fill="auto"/>
        <w:tabs>
          <w:tab w:pos="678" w:val="left"/>
        </w:tabs>
        <w:bidi w:val="0"/>
        <w:spacing w:before="0" w:line="276" w:lineRule="auto"/>
        <w:ind w:left="0" w:right="0" w:firstLine="300"/>
        <w:jc w:val="left"/>
      </w:pPr>
      <w:bookmarkStart w:id="56" w:name="bookmark56"/>
      <w:bookmarkEnd w:id="56"/>
      <w:r>
        <w:rPr>
          <w:color w:val="000000"/>
          <w:spacing w:val="0"/>
          <w:w w:val="100"/>
          <w:position w:val="0"/>
          <w:shd w:val="clear" w:color="auto" w:fill="auto"/>
          <w:lang w:val="cs-CZ" w:eastAsia="cs-CZ" w:bidi="cs-CZ"/>
        </w:rPr>
        <w:t>požadavkem, aby Zhotovitel předložil návrh Variace Objednateli.</w:t>
      </w:r>
    </w:p>
    <w:p>
      <w:pPr>
        <w:pStyle w:val="Style5"/>
        <w:keepNext w:val="0"/>
        <w:keepLines w:val="0"/>
        <w:widowControl w:val="0"/>
        <w:numPr>
          <w:ilvl w:val="0"/>
          <w:numId w:val="7"/>
        </w:numPr>
        <w:shd w:val="clear" w:color="auto" w:fill="auto"/>
        <w:tabs>
          <w:tab w:pos="363" w:val="left"/>
        </w:tabs>
        <w:bidi w:val="0"/>
        <w:spacing w:before="0" w:line="276" w:lineRule="auto"/>
        <w:ind w:left="300" w:right="0" w:hanging="300"/>
        <w:jc w:val="both"/>
      </w:pPr>
      <w:bookmarkStart w:id="57" w:name="bookmark57"/>
      <w:bookmarkEnd w:id="57"/>
      <w:r>
        <w:rPr>
          <w:color w:val="000000"/>
          <w:spacing w:val="0"/>
          <w:w w:val="100"/>
          <w:position w:val="0"/>
          <w:shd w:val="clear" w:color="auto" w:fill="auto"/>
          <w:lang w:val="cs-CZ" w:eastAsia="cs-CZ" w:bidi="cs-CZ"/>
        </w:rPr>
        <w:t>Jestliže Objednatel vznese požadavek na předložení návrhu Variace, musí jej Zhotovitel předložit před koncem lhůty stanovené Objednatelem ve formě změnového listu s uvedením údajů rozhodných pro případné prodloužení Doby pro dokončení. Je-li v Příloze stanovena lhůta k předání Harmonogramu, musí Zhotovitel kromě dokladů a údajů dle předchozí věty předložit i návrh na potřebné modifikace Harmonogramu v souladu s Pod-článkem 7.2.</w:t>
      </w:r>
    </w:p>
    <w:p>
      <w:pPr>
        <w:pStyle w:val="Style5"/>
        <w:keepNext w:val="0"/>
        <w:keepLines w:val="0"/>
        <w:widowControl w:val="0"/>
        <w:numPr>
          <w:ilvl w:val="0"/>
          <w:numId w:val="7"/>
        </w:numPr>
        <w:shd w:val="clear" w:color="auto" w:fill="auto"/>
        <w:tabs>
          <w:tab w:pos="363" w:val="left"/>
        </w:tabs>
        <w:bidi w:val="0"/>
        <w:spacing w:before="0" w:line="276" w:lineRule="auto"/>
        <w:ind w:left="300" w:right="0" w:hanging="300"/>
        <w:jc w:val="both"/>
      </w:pPr>
      <w:bookmarkStart w:id="58" w:name="bookmark58"/>
      <w:bookmarkEnd w:id="58"/>
      <w:r>
        <w:rPr>
          <w:color w:val="000000"/>
          <w:spacing w:val="0"/>
          <w:w w:val="100"/>
          <w:position w:val="0"/>
          <w:shd w:val="clear" w:color="auto" w:fill="auto"/>
          <w:lang w:val="cs-CZ" w:eastAsia="cs-CZ" w:bidi="cs-CZ"/>
        </w:rPr>
        <w:t>Na návrh Variace předložený dle předchozího odstavce Objednatel odpoví schválením, neschválením nebo uvedením připomínek. Připomínky Objednatele je Zhotovitel povinen v návrhu Variace zohlednit ve lhůtě stanovené Objednatelem. Platí, že Objednatel návrh Variace schválil, pokud podepsal změnový list předložený dle předchozího odstavce.</w:t>
      </w:r>
    </w:p>
    <w:p>
      <w:pPr>
        <w:pStyle w:val="Style5"/>
        <w:keepNext w:val="0"/>
        <w:keepLines w:val="0"/>
        <w:widowControl w:val="0"/>
        <w:numPr>
          <w:ilvl w:val="0"/>
          <w:numId w:val="7"/>
        </w:numPr>
        <w:shd w:val="clear" w:color="auto" w:fill="auto"/>
        <w:tabs>
          <w:tab w:pos="363" w:val="left"/>
        </w:tabs>
        <w:bidi w:val="0"/>
        <w:spacing w:before="0" w:line="276" w:lineRule="auto"/>
        <w:ind w:left="300" w:right="0" w:hanging="300"/>
        <w:jc w:val="both"/>
      </w:pPr>
      <w:bookmarkStart w:id="59" w:name="bookmark59"/>
      <w:bookmarkEnd w:id="59"/>
      <w:r>
        <w:rPr>
          <w:color w:val="000000"/>
          <w:spacing w:val="0"/>
          <w:w w:val="100"/>
          <w:position w:val="0"/>
          <w:shd w:val="clear" w:color="auto" w:fill="auto"/>
          <w:lang w:val="cs-CZ" w:eastAsia="cs-CZ" w:bidi="cs-CZ"/>
        </w:rPr>
        <w:t>Bez ohledu na způsob iniciace Variace budou práce na Variaci zahájeny až po podpisu změnového listu oběma Stranami. Práce na Variaci mohou být zahájeny pokynem Objednatele ještě před podpisem změnového listu v případě, že</w:t>
      </w:r>
    </w:p>
    <w:p>
      <w:pPr>
        <w:pStyle w:val="Style5"/>
        <w:keepNext w:val="0"/>
        <w:keepLines w:val="0"/>
        <w:widowControl w:val="0"/>
        <w:numPr>
          <w:ilvl w:val="0"/>
          <w:numId w:val="13"/>
        </w:numPr>
        <w:shd w:val="clear" w:color="auto" w:fill="auto"/>
        <w:tabs>
          <w:tab w:pos="678" w:val="left"/>
        </w:tabs>
        <w:bidi w:val="0"/>
        <w:spacing w:before="0" w:line="276" w:lineRule="auto"/>
        <w:ind w:left="580" w:right="0" w:hanging="280"/>
        <w:jc w:val="both"/>
      </w:pPr>
      <w:bookmarkStart w:id="60" w:name="bookmark60"/>
      <w:bookmarkEnd w:id="60"/>
      <w:r>
        <w:rPr>
          <w:color w:val="000000"/>
          <w:spacing w:val="0"/>
          <w:w w:val="100"/>
          <w:position w:val="0"/>
          <w:shd w:val="clear" w:color="auto" w:fill="auto"/>
          <w:lang w:val="cs-CZ" w:eastAsia="cs-CZ" w:bidi="cs-CZ"/>
        </w:rPr>
        <w:t>hrozí zásadní narušení plynulosti postupu prací, jež by mohlo mít vliv na Dobu pro dokončení a/nebo dobu pro splnění postupných závazných milníků, nebo</w:t>
      </w:r>
    </w:p>
    <w:p>
      <w:pPr>
        <w:pStyle w:val="Style5"/>
        <w:keepNext w:val="0"/>
        <w:keepLines w:val="0"/>
        <w:widowControl w:val="0"/>
        <w:numPr>
          <w:ilvl w:val="0"/>
          <w:numId w:val="13"/>
        </w:numPr>
        <w:shd w:val="clear" w:color="auto" w:fill="auto"/>
        <w:tabs>
          <w:tab w:pos="678" w:val="left"/>
        </w:tabs>
        <w:bidi w:val="0"/>
        <w:spacing w:before="0" w:line="276" w:lineRule="auto"/>
        <w:ind w:left="0" w:right="0" w:firstLine="300"/>
        <w:jc w:val="both"/>
      </w:pPr>
      <w:bookmarkStart w:id="61" w:name="bookmark61"/>
      <w:bookmarkEnd w:id="61"/>
      <w:r>
        <w:rPr>
          <w:color w:val="000000"/>
          <w:spacing w:val="0"/>
          <w:w w:val="100"/>
          <w:position w:val="0"/>
          <w:shd w:val="clear" w:color="auto" w:fill="auto"/>
          <w:lang w:val="cs-CZ" w:eastAsia="cs-CZ" w:bidi="cs-CZ"/>
        </w:rPr>
        <w:t>vznik škody.</w:t>
      </w:r>
    </w:p>
    <w:p>
      <w:pPr>
        <w:pStyle w:val="Style5"/>
        <w:keepNext w:val="0"/>
        <w:keepLines w:val="0"/>
        <w:widowControl w:val="0"/>
        <w:numPr>
          <w:ilvl w:val="0"/>
          <w:numId w:val="7"/>
        </w:numPr>
        <w:shd w:val="clear" w:color="auto" w:fill="auto"/>
        <w:tabs>
          <w:tab w:pos="363" w:val="left"/>
        </w:tabs>
        <w:bidi w:val="0"/>
        <w:spacing w:before="0" w:line="276" w:lineRule="auto"/>
        <w:ind w:left="300" w:right="0" w:hanging="300"/>
        <w:jc w:val="both"/>
      </w:pPr>
      <w:bookmarkStart w:id="62" w:name="bookmark62"/>
      <w:bookmarkEnd w:id="62"/>
      <w:r>
        <w:rPr>
          <w:color w:val="000000"/>
          <w:spacing w:val="0"/>
          <w:w w:val="100"/>
          <w:position w:val="0"/>
          <w:shd w:val="clear" w:color="auto" w:fill="auto"/>
          <w:lang w:val="cs-CZ" w:eastAsia="cs-CZ" w:bidi="cs-CZ"/>
        </w:rPr>
        <w:t>Zhotovitel musí provést každou Variaci. Zhotovitel nesmí Dílo nijak pozměnit nebo modifikovat, pokud a dokud Objednatel nedá pokyn k Variaci nebo neschválí návrh Variace.</w:t>
      </w:r>
    </w:p>
    <w:sectPr>
      <w:headerReference w:type="default" r:id="rId7"/>
      <w:footnotePr>
        <w:pos w:val="pageBottom"/>
        <w:numFmt w:val="decimal"/>
        <w:numStart w:val="2"/>
        <w:numRestart w:val="continuous"/>
        <w15:footnoteColumns w:val="1"/>
      </w:footnotePr>
      <w:pgSz w:w="11909" w:h="16838"/>
      <w:pgMar w:top="638" w:left="1111" w:right="977" w:bottom="638" w:header="0" w:footer="210"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2"/>
        <w:keepNext w:val="0"/>
        <w:keepLines w:val="0"/>
        <w:widowControl w:val="0"/>
        <w:shd w:val="clear" w:color="auto" w:fill="auto"/>
        <w:tabs>
          <w:tab w:pos="283" w:val="left"/>
        </w:tabs>
        <w:bidi w:val="0"/>
        <w:spacing w:before="0" w:after="0" w:line="240" w:lineRule="auto"/>
        <w:ind w:right="0"/>
        <w:jc w:val="left"/>
      </w:pPr>
      <w:hyperlink w:anchor="bookmark46" w:tooltip="Current Document">
        <w:bookmarkStart w:id="0" w:name="bookmark0"/>
        <w:r>
          <w:rPr>
            <w:color w:val="000000"/>
            <w:spacing w:val="0"/>
            <w:w w:val="100"/>
            <w:position w:val="0"/>
            <w:sz w:val="10"/>
            <w:szCs w:val="10"/>
            <w:shd w:val="clear" w:color="auto" w:fill="auto"/>
            <w:vertAlign w:val="superscript"/>
            <w:lang w:val="cs-CZ" w:eastAsia="cs-CZ" w:bidi="cs-CZ"/>
          </w:rPr>
          <w:footnoteRef/>
        </w:r>
      </w:hyperlink>
      <w:bookmarkEnd w:id="0"/>
      <w:r>
        <w:rPr>
          <w:color w:val="000000"/>
          <w:spacing w:val="0"/>
          <w:w w:val="100"/>
          <w:position w:val="0"/>
          <w:sz w:val="10"/>
          <w:szCs w:val="10"/>
          <w:shd w:val="clear" w:color="auto" w:fill="auto"/>
          <w:lang w:val="cs-CZ" w:eastAsia="cs-CZ" w:bidi="cs-CZ"/>
        </w:rPr>
        <w:tab/>
      </w:r>
      <w:r>
        <w:rPr>
          <w:color w:val="000000"/>
          <w:spacing w:val="0"/>
          <w:w w:val="100"/>
          <w:position w:val="0"/>
          <w:shd w:val="clear" w:color="auto" w:fill="auto"/>
          <w:lang w:val="cs-CZ" w:eastAsia="cs-CZ" w:bidi="cs-CZ"/>
        </w:rPr>
        <w:t>Číslem se rozumí číslo odpovídajícího Článku/Pod-článku/pod-odstavce Obecných podmínek ve znění Zvláštních podmínek.</w:t>
      </w:r>
    </w:p>
  </w:footnote>
  <w:footnote w:id="3">
    <w:p>
      <w:pPr>
        <w:pStyle w:val="Style2"/>
        <w:keepNext w:val="0"/>
        <w:keepLines w:val="0"/>
        <w:widowControl w:val="0"/>
        <w:shd w:val="clear" w:color="auto" w:fill="auto"/>
        <w:tabs>
          <w:tab w:pos="283" w:val="left"/>
        </w:tabs>
        <w:bidi w:val="0"/>
        <w:spacing w:before="0" w:after="0" w:line="240" w:lineRule="auto"/>
        <w:ind w:right="0"/>
        <w:jc w:val="both"/>
      </w:pPr>
      <w:hyperlink w:anchor="bookmark47" w:tooltip="Current Document">
        <w:bookmarkStart w:id="1" w:name="bookmark1"/>
        <w:r>
          <w:rPr>
            <w:color w:val="000000"/>
            <w:spacing w:val="0"/>
            <w:w w:val="100"/>
            <w:position w:val="0"/>
            <w:sz w:val="10"/>
            <w:szCs w:val="10"/>
            <w:shd w:val="clear" w:color="auto" w:fill="auto"/>
            <w:vertAlign w:val="superscript"/>
            <w:lang w:val="cs-CZ" w:eastAsia="cs-CZ" w:bidi="cs-CZ"/>
          </w:rPr>
          <w:footnoteRef/>
        </w:r>
      </w:hyperlink>
      <w:bookmarkEnd w:id="1"/>
      <w:r>
        <w:rPr>
          <w:color w:val="000000"/>
          <w:spacing w:val="0"/>
          <w:w w:val="100"/>
          <w:position w:val="0"/>
          <w:sz w:val="10"/>
          <w:szCs w:val="10"/>
          <w:shd w:val="clear" w:color="auto" w:fill="auto"/>
          <w:lang w:val="cs-CZ" w:eastAsia="cs-CZ" w:bidi="cs-CZ"/>
        </w:rPr>
        <w:tab/>
      </w:r>
      <w:r>
        <w:rPr>
          <w:color w:val="000000"/>
          <w:spacing w:val="0"/>
          <w:w w:val="100"/>
          <w:position w:val="0"/>
          <w:shd w:val="clear" w:color="auto" w:fill="auto"/>
          <w:lang w:val="cs-CZ" w:eastAsia="cs-CZ" w:bidi="cs-CZ"/>
        </w:rPr>
        <w:t>Údaji se rozumí konkretizace Obecných podmínek ve znění Zvláštních podmínek. Pokud je uveden odkaz na Článek/Pod-článek/pod-odstavce, rozumí se tím vždy odpovídající Článek/Pod-článek/pod-odstavec Obecných podmínek ve znění Zvláštních podmínek.</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719455</wp:posOffset>
              </wp:positionH>
              <wp:positionV relativeFrom="page">
                <wp:posOffset>423545</wp:posOffset>
              </wp:positionV>
              <wp:extent cx="6120130" cy="198120"/>
              <wp:wrapNone/>
              <wp:docPr id="9" name="Shape 9"/>
              <a:graphic xmlns:a="http://schemas.openxmlformats.org/drawingml/2006/main">
                <a:graphicData uri="http://schemas.microsoft.com/office/word/2010/wordprocessingShape">
                  <wps:wsp>
                    <wps:cNvSpPr txBox="1"/>
                    <wps:spPr>
                      <a:xfrm>
                        <a:ext cx="6120130" cy="198120"/>
                      </a:xfrm>
                      <a:prstGeom prst="rect"/>
                      <a:noFill/>
                    </wps:spPr>
                    <wps:txbx>
                      <w:txbxContent>
                        <w:p>
                          <w:pPr>
                            <w:pStyle w:val="Style11"/>
                            <w:keepNext w:val="0"/>
                            <w:keepLines w:val="0"/>
                            <w:widowControl w:val="0"/>
                            <w:shd w:val="clear" w:color="auto" w:fill="auto"/>
                            <w:tabs>
                              <w:tab w:pos="9638" w:val="right"/>
                            </w:tabs>
                            <w:bidi w:val="0"/>
                            <w:spacing w:before="0" w:after="0" w:line="240" w:lineRule="auto"/>
                            <w:ind w:left="0" w:right="0" w:firstLine="0"/>
                            <w:jc w:val="left"/>
                            <w:rPr>
                              <w:sz w:val="18"/>
                              <w:szCs w:val="18"/>
                            </w:rPr>
                          </w:pPr>
                          <w:r>
                            <w:rPr>
                              <w:rFonts w:ascii="Arial" w:eastAsia="Arial" w:hAnsi="Arial" w:cs="Arial"/>
                              <w:color w:val="757477"/>
                              <w:spacing w:val="0"/>
                              <w:w w:val="100"/>
                              <w:position w:val="0"/>
                              <w:sz w:val="17"/>
                              <w:szCs w:val="17"/>
                              <w:shd w:val="clear" w:color="auto" w:fill="auto"/>
                              <w:lang w:val="cs-CZ" w:eastAsia="cs-CZ" w:bidi="cs-CZ"/>
                            </w:rPr>
                            <w:t>Oprava a rekonstrukce Šluknovského potoka v Císařském – III. Etapa (u mandlu)</w:t>
                            <w:tab/>
                          </w:r>
                          <w:r>
                            <w:rPr>
                              <w:rFonts w:ascii="Arial" w:eastAsia="Arial" w:hAnsi="Arial" w:cs="Arial"/>
                              <w:color w:val="000000"/>
                              <w:spacing w:val="0"/>
                              <w:w w:val="100"/>
                              <w:position w:val="0"/>
                              <w:sz w:val="18"/>
                              <w:szCs w:val="18"/>
                              <w:shd w:val="clear" w:color="auto" w:fill="auto"/>
                              <w:lang w:val="cs-CZ" w:eastAsia="cs-CZ" w:bidi="cs-CZ"/>
                            </w:rPr>
                            <w:t>Smlouva o dílo</w:t>
                          </w:r>
                        </w:p>
                      </w:txbxContent>
                    </wps:txbx>
                    <wps:bodyPr lIns="0" tIns="0" rIns="0" bIns="0">
                      <a:spAutoFit/>
                    </wps:bodyPr>
                  </wps:wsp>
                </a:graphicData>
              </a:graphic>
            </wp:anchor>
          </w:drawing>
        </mc:Choice>
        <mc:Fallback>
          <w:pict>
            <v:shape id="_x0000_s1035" type="#_x0000_t202" style="position:absolute;margin-left:56.649999999999999pt;margin-top:33.350000000000001pt;width:481.90000000000003pt;height:15.6pt;z-index:-188744063;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tabs>
                        <w:tab w:pos="9638" w:val="right"/>
                      </w:tabs>
                      <w:bidi w:val="0"/>
                      <w:spacing w:before="0" w:after="0" w:line="240" w:lineRule="auto"/>
                      <w:ind w:left="0" w:right="0" w:firstLine="0"/>
                      <w:jc w:val="left"/>
                      <w:rPr>
                        <w:sz w:val="18"/>
                        <w:szCs w:val="18"/>
                      </w:rPr>
                    </w:pPr>
                    <w:r>
                      <w:rPr>
                        <w:rFonts w:ascii="Arial" w:eastAsia="Arial" w:hAnsi="Arial" w:cs="Arial"/>
                        <w:color w:val="757477"/>
                        <w:spacing w:val="0"/>
                        <w:w w:val="100"/>
                        <w:position w:val="0"/>
                        <w:sz w:val="17"/>
                        <w:szCs w:val="17"/>
                        <w:shd w:val="clear" w:color="auto" w:fill="auto"/>
                        <w:lang w:val="cs-CZ" w:eastAsia="cs-CZ" w:bidi="cs-CZ"/>
                      </w:rPr>
                      <w:t>Oprava a rekonstrukce Šluknovského potoka v Císařském – III. Etapa (u mandlu)</w:t>
                      <w:tab/>
                    </w:r>
                    <w:r>
                      <w:rPr>
                        <w:rFonts w:ascii="Arial" w:eastAsia="Arial" w:hAnsi="Arial" w:cs="Arial"/>
                        <w:color w:val="000000"/>
                        <w:spacing w:val="0"/>
                        <w:w w:val="100"/>
                        <w:position w:val="0"/>
                        <w:sz w:val="18"/>
                        <w:szCs w:val="18"/>
                        <w:shd w:val="clear" w:color="auto" w:fill="auto"/>
                        <w:lang w:val="cs-CZ" w:eastAsia="cs-CZ" w:bidi="cs-CZ"/>
                      </w:rPr>
                      <w:t>Smlouva o dílo</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723900</wp:posOffset>
              </wp:positionH>
              <wp:positionV relativeFrom="page">
                <wp:posOffset>423545</wp:posOffset>
              </wp:positionV>
              <wp:extent cx="6120130" cy="198120"/>
              <wp:wrapNone/>
              <wp:docPr id="11" name="Shape 11"/>
              <a:graphic xmlns:a="http://schemas.openxmlformats.org/drawingml/2006/main">
                <a:graphicData uri="http://schemas.microsoft.com/office/word/2010/wordprocessingShape">
                  <wps:wsp>
                    <wps:cNvSpPr txBox="1"/>
                    <wps:spPr>
                      <a:xfrm>
                        <a:ext cx="6120130" cy="198120"/>
                      </a:xfrm>
                      <a:prstGeom prst="rect"/>
                      <a:noFill/>
                    </wps:spPr>
                    <wps:txbx>
                      <w:txbxContent>
                        <w:p>
                          <w:pPr>
                            <w:pStyle w:val="Style11"/>
                            <w:keepNext w:val="0"/>
                            <w:keepLines w:val="0"/>
                            <w:widowControl w:val="0"/>
                            <w:shd w:val="clear" w:color="auto" w:fill="auto"/>
                            <w:tabs>
                              <w:tab w:pos="9638" w:val="right"/>
                            </w:tabs>
                            <w:bidi w:val="0"/>
                            <w:spacing w:before="0" w:after="0" w:line="240" w:lineRule="auto"/>
                            <w:ind w:left="0" w:right="0" w:firstLine="0"/>
                            <w:jc w:val="left"/>
                            <w:rPr>
                              <w:sz w:val="18"/>
                              <w:szCs w:val="18"/>
                            </w:rPr>
                          </w:pPr>
                          <w:r>
                            <w:rPr>
                              <w:rFonts w:ascii="Arial" w:eastAsia="Arial" w:hAnsi="Arial" w:cs="Arial"/>
                              <w:color w:val="757477"/>
                              <w:spacing w:val="0"/>
                              <w:w w:val="100"/>
                              <w:position w:val="0"/>
                              <w:sz w:val="17"/>
                              <w:szCs w:val="17"/>
                              <w:shd w:val="clear" w:color="auto" w:fill="auto"/>
                              <w:lang w:val="cs-CZ" w:eastAsia="cs-CZ" w:bidi="cs-CZ"/>
                            </w:rPr>
                            <w:t>Oprava a rekonstrukce Šluknovského potoka v Císařském – III. Etapa (u mandlu)</w:t>
                            <w:tab/>
                          </w:r>
                          <w:r>
                            <w:rPr>
                              <w:rFonts w:ascii="Arial" w:eastAsia="Arial" w:hAnsi="Arial" w:cs="Arial"/>
                              <w:color w:val="000000"/>
                              <w:spacing w:val="0"/>
                              <w:w w:val="100"/>
                              <w:position w:val="0"/>
                              <w:sz w:val="18"/>
                              <w:szCs w:val="18"/>
                              <w:shd w:val="clear" w:color="auto" w:fill="auto"/>
                              <w:lang w:val="cs-CZ" w:eastAsia="cs-CZ" w:bidi="cs-CZ"/>
                            </w:rPr>
                            <w:t>Příloha</w:t>
                          </w:r>
                        </w:p>
                      </w:txbxContent>
                    </wps:txbx>
                    <wps:bodyPr lIns="0" tIns="0" rIns="0" bIns="0">
                      <a:spAutoFit/>
                    </wps:bodyPr>
                  </wps:wsp>
                </a:graphicData>
              </a:graphic>
            </wp:anchor>
          </w:drawing>
        </mc:Choice>
        <mc:Fallback>
          <w:pict>
            <v:shape id="_x0000_s1037" type="#_x0000_t202" style="position:absolute;margin-left:57.pt;margin-top:33.350000000000001pt;width:481.90000000000003pt;height:15.6pt;z-index:-188744061;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tabs>
                        <w:tab w:pos="9638" w:val="right"/>
                      </w:tabs>
                      <w:bidi w:val="0"/>
                      <w:spacing w:before="0" w:after="0" w:line="240" w:lineRule="auto"/>
                      <w:ind w:left="0" w:right="0" w:firstLine="0"/>
                      <w:jc w:val="left"/>
                      <w:rPr>
                        <w:sz w:val="18"/>
                        <w:szCs w:val="18"/>
                      </w:rPr>
                    </w:pPr>
                    <w:r>
                      <w:rPr>
                        <w:rFonts w:ascii="Arial" w:eastAsia="Arial" w:hAnsi="Arial" w:cs="Arial"/>
                        <w:color w:val="757477"/>
                        <w:spacing w:val="0"/>
                        <w:w w:val="100"/>
                        <w:position w:val="0"/>
                        <w:sz w:val="17"/>
                        <w:szCs w:val="17"/>
                        <w:shd w:val="clear" w:color="auto" w:fill="auto"/>
                        <w:lang w:val="cs-CZ" w:eastAsia="cs-CZ" w:bidi="cs-CZ"/>
                      </w:rPr>
                      <w:t>Oprava a rekonstrukce Šluknovského potoka v Císařském – III. Etapa (u mandlu)</w:t>
                      <w:tab/>
                    </w:r>
                    <w:r>
                      <w:rPr>
                        <w:rFonts w:ascii="Arial" w:eastAsia="Arial" w:hAnsi="Arial" w:cs="Arial"/>
                        <w:color w:val="000000"/>
                        <w:spacing w:val="0"/>
                        <w:w w:val="100"/>
                        <w:position w:val="0"/>
                        <w:sz w:val="18"/>
                        <w:szCs w:val="18"/>
                        <w:shd w:val="clear" w:color="auto" w:fill="auto"/>
                        <w:lang w:val="cs-CZ" w:eastAsia="cs-CZ" w:bidi="cs-CZ"/>
                      </w:rPr>
                      <w:t>Příloha</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5478145</wp:posOffset>
              </wp:positionH>
              <wp:positionV relativeFrom="page">
                <wp:posOffset>454025</wp:posOffset>
              </wp:positionV>
              <wp:extent cx="1365250" cy="155575"/>
              <wp:wrapNone/>
              <wp:docPr id="13" name="Shape 13"/>
              <a:graphic xmlns:a="http://schemas.openxmlformats.org/drawingml/2006/main">
                <a:graphicData uri="http://schemas.microsoft.com/office/word/2010/wordprocessingShape">
                  <wps:wsp>
                    <wps:cNvSpPr txBox="1"/>
                    <wps:spPr>
                      <a:xfrm>
                        <a:ext cx="1365250" cy="15557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Příloha – Postup při variaci</w:t>
                          </w:r>
                        </w:p>
                      </w:txbxContent>
                    </wps:txbx>
                    <wps:bodyPr wrap="none" lIns="0" tIns="0" rIns="0" bIns="0">
                      <a:spAutoFit/>
                    </wps:bodyPr>
                  </wps:wsp>
                </a:graphicData>
              </a:graphic>
            </wp:anchor>
          </w:drawing>
        </mc:Choice>
        <mc:Fallback>
          <w:pict>
            <v:shape id="_x0000_s1039" type="#_x0000_t202" style="position:absolute;margin-left:431.35000000000002pt;margin-top:35.75pt;width:107.5pt;height:12.25pt;z-index:-188744059;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Příloha – Postup při variaci</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0"/>
        <w:szCs w:val="10"/>
        <w:u w:val="none"/>
        <w:shd w:val="clear" w:color="auto" w:fill="auto"/>
        <w:vertAlign w:val="superscript"/>
        <w:lang w:val="cs-CZ" w:eastAsia="cs-CZ" w:bidi="cs-CZ"/>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18"/>
      <w:szCs w:val="18"/>
      <w:u w:val="none"/>
    </w:rPr>
  </w:style>
  <w:style w:type="character" w:customStyle="1" w:styleId="CharStyle6">
    <w:name w:val="Char Style 6"/>
    <w:basedOn w:val="DefaultParagraphFont"/>
    <w:link w:val="Style5"/>
    <w:rPr>
      <w:rFonts w:ascii="Arial" w:eastAsia="Arial" w:hAnsi="Arial" w:cs="Arial"/>
      <w:b w:val="0"/>
      <w:bCs w:val="0"/>
      <w:i w:val="0"/>
      <w:iCs w:val="0"/>
      <w:smallCaps w:val="0"/>
      <w:strike w:val="0"/>
      <w:sz w:val="20"/>
      <w:szCs w:val="20"/>
      <w:u w:val="none"/>
    </w:rPr>
  </w:style>
  <w:style w:type="character" w:customStyle="1" w:styleId="CharStyle10">
    <w:name w:val="Char Style 10"/>
    <w:basedOn w:val="DefaultParagraphFont"/>
    <w:link w:val="Style9"/>
    <w:rPr>
      <w:rFonts w:ascii="Arial" w:eastAsia="Arial" w:hAnsi="Arial" w:cs="Arial"/>
      <w:b/>
      <w:bCs/>
      <w:i w:val="0"/>
      <w:iCs w:val="0"/>
      <w:smallCaps w:val="0"/>
      <w:strike w:val="0"/>
      <w:sz w:val="32"/>
      <w:szCs w:val="32"/>
      <w:u w:val="none"/>
    </w:rPr>
  </w:style>
  <w:style w:type="character" w:customStyle="1" w:styleId="CharStyle12">
    <w:name w:val="Char Style 12"/>
    <w:basedOn w:val="DefaultParagraphFont"/>
    <w:link w:val="Style11"/>
    <w:rPr>
      <w:b w:val="0"/>
      <w:bCs w:val="0"/>
      <w:i w:val="0"/>
      <w:iCs w:val="0"/>
      <w:smallCaps w:val="0"/>
      <w:strike w:val="0"/>
      <w:sz w:val="20"/>
      <w:szCs w:val="20"/>
      <w:u w:val="none"/>
    </w:rPr>
  </w:style>
  <w:style w:type="character" w:customStyle="1" w:styleId="CharStyle16">
    <w:name w:val="Char Style 16"/>
    <w:basedOn w:val="DefaultParagraphFont"/>
    <w:link w:val="Style15"/>
    <w:rPr>
      <w:rFonts w:ascii="Arial" w:eastAsia="Arial" w:hAnsi="Arial" w:cs="Arial"/>
      <w:b w:val="0"/>
      <w:bCs w:val="0"/>
      <w:i w:val="0"/>
      <w:iCs w:val="0"/>
      <w:smallCaps w:val="0"/>
      <w:strike w:val="0"/>
      <w:sz w:val="20"/>
      <w:szCs w:val="20"/>
      <w:u w:val="none"/>
    </w:rPr>
  </w:style>
  <w:style w:type="character" w:customStyle="1" w:styleId="CharStyle20">
    <w:name w:val="Char Style 20"/>
    <w:basedOn w:val="DefaultParagraphFont"/>
    <w:link w:val="Style19"/>
    <w:rPr>
      <w:rFonts w:ascii="Arial" w:eastAsia="Arial" w:hAnsi="Arial" w:cs="Arial"/>
      <w:b w:val="0"/>
      <w:bCs w:val="0"/>
      <w:i w:val="0"/>
      <w:iCs w:val="0"/>
      <w:smallCaps w:val="0"/>
      <w:strike w:val="0"/>
      <w:sz w:val="18"/>
      <w:szCs w:val="18"/>
      <w:u w:val="none"/>
    </w:rPr>
  </w:style>
  <w:style w:type="character" w:customStyle="1" w:styleId="CharStyle24">
    <w:name w:val="Char Style 24"/>
    <w:basedOn w:val="DefaultParagraphFont"/>
    <w:link w:val="Style23"/>
    <w:rPr>
      <w:rFonts w:ascii="Arial" w:eastAsia="Arial" w:hAnsi="Arial" w:cs="Arial"/>
      <w:b w:val="0"/>
      <w:bCs w:val="0"/>
      <w:i w:val="0"/>
      <w:iCs w:val="0"/>
      <w:smallCaps w:val="0"/>
      <w:strike w:val="0"/>
      <w:sz w:val="20"/>
      <w:szCs w:val="20"/>
      <w:u w:val="none"/>
    </w:rPr>
  </w:style>
  <w:style w:type="character" w:customStyle="1" w:styleId="CharStyle26">
    <w:name w:val="Char Style 26"/>
    <w:basedOn w:val="DefaultParagraphFont"/>
    <w:link w:val="Style25"/>
    <w:rPr>
      <w:rFonts w:ascii="Arial" w:eastAsia="Arial" w:hAnsi="Arial" w:cs="Arial"/>
      <w:b w:val="0"/>
      <w:bCs w:val="0"/>
      <w:i w:val="0"/>
      <w:iCs w:val="0"/>
      <w:smallCaps w:val="0"/>
      <w:strike w:val="0"/>
      <w:color w:val="757477"/>
      <w:sz w:val="17"/>
      <w:szCs w:val="17"/>
      <w:u w:val="none"/>
    </w:rPr>
  </w:style>
  <w:style w:type="paragraph" w:customStyle="1" w:styleId="Style2">
    <w:name w:val="Style 2"/>
    <w:basedOn w:val="Normal"/>
    <w:link w:val="CharStyle3"/>
    <w:pPr>
      <w:widowControl w:val="0"/>
      <w:shd w:val="clear" w:color="auto" w:fill="FFFFFF"/>
      <w:ind w:left="300" w:hanging="300"/>
    </w:pPr>
    <w:rPr>
      <w:rFonts w:ascii="Arial" w:eastAsia="Arial" w:hAnsi="Arial" w:cs="Arial"/>
      <w:b w:val="0"/>
      <w:bCs w:val="0"/>
      <w:i w:val="0"/>
      <w:iCs w:val="0"/>
      <w:smallCaps w:val="0"/>
      <w:strike w:val="0"/>
      <w:sz w:val="18"/>
      <w:szCs w:val="18"/>
      <w:u w:val="none"/>
    </w:rPr>
  </w:style>
  <w:style w:type="paragraph" w:customStyle="1" w:styleId="Style5">
    <w:name w:val="Style 5"/>
    <w:basedOn w:val="Normal"/>
    <w:link w:val="CharStyle6"/>
    <w:pPr>
      <w:widowControl w:val="0"/>
      <w:shd w:val="clear" w:color="auto" w:fill="FFFFFF"/>
      <w:spacing w:after="80"/>
    </w:pPr>
    <w:rPr>
      <w:rFonts w:ascii="Arial" w:eastAsia="Arial" w:hAnsi="Arial" w:cs="Arial"/>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spacing w:after="340"/>
      <w:jc w:val="center"/>
    </w:pPr>
    <w:rPr>
      <w:rFonts w:ascii="Arial" w:eastAsia="Arial" w:hAnsi="Arial" w:cs="Arial"/>
      <w:b/>
      <w:bCs/>
      <w:i w:val="0"/>
      <w:iCs w:val="0"/>
      <w:smallCaps w:val="0"/>
      <w:strike w:val="0"/>
      <w:sz w:val="32"/>
      <w:szCs w:val="32"/>
      <w:u w:val="none"/>
    </w:rPr>
  </w:style>
  <w:style w:type="paragraph" w:customStyle="1" w:styleId="Style11">
    <w:name w:val="Style 11"/>
    <w:basedOn w:val="Normal"/>
    <w:link w:val="CharStyle12"/>
    <w:pPr>
      <w:widowControl w:val="0"/>
      <w:shd w:val="clear" w:color="auto" w:fill="FFFFFF"/>
    </w:pPr>
    <w:rPr>
      <w:b w:val="0"/>
      <w:bCs w:val="0"/>
      <w:i w:val="0"/>
      <w:iCs w:val="0"/>
      <w:smallCaps w:val="0"/>
      <w:strike w:val="0"/>
      <w:sz w:val="20"/>
      <w:szCs w:val="20"/>
      <w:u w:val="none"/>
    </w:rPr>
  </w:style>
  <w:style w:type="paragraph" w:customStyle="1" w:styleId="Style15">
    <w:name w:val="Style 15"/>
    <w:basedOn w:val="Normal"/>
    <w:link w:val="CharStyle16"/>
    <w:pPr>
      <w:widowControl w:val="0"/>
      <w:shd w:val="clear" w:color="auto" w:fill="FFFFFF"/>
      <w:spacing w:after="180"/>
      <w:ind w:left="300" w:hanging="300"/>
      <w:outlineLvl w:val="0"/>
    </w:pPr>
    <w:rPr>
      <w:rFonts w:ascii="Arial" w:eastAsia="Arial" w:hAnsi="Arial" w:cs="Arial"/>
      <w:b w:val="0"/>
      <w:bCs w:val="0"/>
      <w:i w:val="0"/>
      <w:iCs w:val="0"/>
      <w:smallCaps w:val="0"/>
      <w:strike w:val="0"/>
      <w:sz w:val="20"/>
      <w:szCs w:val="20"/>
      <w:u w:val="none"/>
    </w:rPr>
  </w:style>
  <w:style w:type="paragraph" w:customStyle="1" w:styleId="Style19">
    <w:name w:val="Style 19"/>
    <w:basedOn w:val="Normal"/>
    <w:link w:val="CharStyle20"/>
    <w:pPr>
      <w:widowControl w:val="0"/>
      <w:shd w:val="clear" w:color="auto" w:fill="FFFFFF"/>
      <w:ind w:left="300" w:hanging="150"/>
    </w:pPr>
    <w:rPr>
      <w:rFonts w:ascii="Arial" w:eastAsia="Arial" w:hAnsi="Arial" w:cs="Arial"/>
      <w:b w:val="0"/>
      <w:bCs w:val="0"/>
      <w:i w:val="0"/>
      <w:iCs w:val="0"/>
      <w:smallCaps w:val="0"/>
      <w:strike w:val="0"/>
      <w:sz w:val="18"/>
      <w:szCs w:val="18"/>
      <w:u w:val="none"/>
    </w:rPr>
  </w:style>
  <w:style w:type="paragraph" w:customStyle="1" w:styleId="Style23">
    <w:name w:val="Style 23"/>
    <w:basedOn w:val="Normal"/>
    <w:link w:val="CharStyle24"/>
    <w:pPr>
      <w:widowControl w:val="0"/>
      <w:shd w:val="clear" w:color="auto" w:fill="FFFFFF"/>
    </w:pPr>
    <w:rPr>
      <w:rFonts w:ascii="Arial" w:eastAsia="Arial" w:hAnsi="Arial" w:cs="Arial"/>
      <w:b w:val="0"/>
      <w:bCs w:val="0"/>
      <w:i w:val="0"/>
      <w:iCs w:val="0"/>
      <w:smallCaps w:val="0"/>
      <w:strike w:val="0"/>
      <w:sz w:val="20"/>
      <w:szCs w:val="20"/>
      <w:u w:val="none"/>
    </w:rPr>
  </w:style>
  <w:style w:type="paragraph" w:customStyle="1" w:styleId="Style25">
    <w:name w:val="Style 25"/>
    <w:basedOn w:val="Normal"/>
    <w:link w:val="CharStyle26"/>
    <w:pPr>
      <w:widowControl w:val="0"/>
      <w:shd w:val="clear" w:color="auto" w:fill="FFFFFF"/>
      <w:spacing w:after="80"/>
    </w:pPr>
    <w:rPr>
      <w:rFonts w:ascii="Arial" w:eastAsia="Arial" w:hAnsi="Arial" w:cs="Arial"/>
      <w:b w:val="0"/>
      <w:bCs w:val="0"/>
      <w:i w:val="0"/>
      <w:iCs w:val="0"/>
      <w:smallCaps w:val="0"/>
      <w:strike w:val="0"/>
      <w:color w:val="757477"/>
      <w:sz w:val="17"/>
      <w:szCs w:val="17"/>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s>
</file>

<file path=docProps/core.xml><?xml version="1.0" encoding="utf-8"?>
<cp:coreProperties xmlns:cp="http://schemas.openxmlformats.org/package/2006/metadata/core-properties" xmlns:dc="http://purl.org/dc/elements/1.1/">
  <dc:title/>
  <dc:subject/>
  <dc:creator>Filip Svoboda</dc:creator>
  <cp:keywords/>
</cp:coreProperties>
</file>