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8B0CF" w14:textId="77777777" w:rsidR="00E208AD" w:rsidRPr="00097C6F" w:rsidRDefault="00E208AD" w:rsidP="00E208A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Níže uvedeného dne, měsíce a roku uzavřeli</w:t>
      </w:r>
    </w:p>
    <w:p w14:paraId="4843B9E9" w14:textId="77777777" w:rsidR="00E208AD" w:rsidRPr="00097C6F" w:rsidRDefault="00E208AD" w:rsidP="00E208A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</w:p>
    <w:p w14:paraId="693FE8C6" w14:textId="77777777" w:rsidR="00E208AD" w:rsidRPr="00097C6F" w:rsidRDefault="00E208AD" w:rsidP="00E208A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cs-CZ"/>
          <w14:ligatures w14:val="none"/>
        </w:rPr>
        <w:t>Institut plánování a rozvoje hlavního města Prahy,</w:t>
      </w:r>
    </w:p>
    <w:p w14:paraId="53D1D88F" w14:textId="77777777" w:rsidR="00E208AD" w:rsidRPr="00097C6F" w:rsidRDefault="00E208AD" w:rsidP="00E208A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cs-CZ"/>
          <w14:ligatures w14:val="none"/>
        </w:rPr>
        <w:t>příspěvková organizace</w:t>
      </w:r>
    </w:p>
    <w:p w14:paraId="346DBD9E" w14:textId="0BD1E15A" w:rsidR="00E208AD" w:rsidRPr="00097C6F" w:rsidRDefault="00E208AD" w:rsidP="00E208AD">
      <w:pPr>
        <w:spacing w:after="0" w:line="276" w:lineRule="auto"/>
        <w:ind w:left="2120" w:hanging="2120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zastoupený: </w:t>
      </w: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ab/>
        <w:t xml:space="preserve">Adamem Švejdou, zástupcem ředitele pro ekonomickou a provozní činnost </w:t>
      </w:r>
    </w:p>
    <w:p w14:paraId="71101DCD" w14:textId="77777777" w:rsidR="00E208AD" w:rsidRPr="00097C6F" w:rsidRDefault="00E208AD" w:rsidP="00E208AD">
      <w:pPr>
        <w:spacing w:after="0" w:line="276" w:lineRule="auto"/>
        <w:ind w:left="567" w:hanging="567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cs-CZ"/>
          <w14:ligatures w14:val="none"/>
        </w:rPr>
        <w:t xml:space="preserve">sídlo: </w:t>
      </w:r>
      <w:r w:rsidRPr="00097C6F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cs-CZ"/>
          <w14:ligatures w14:val="none"/>
        </w:rPr>
        <w:tab/>
      </w:r>
      <w:r w:rsidRPr="00097C6F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cs-CZ"/>
          <w14:ligatures w14:val="none"/>
        </w:rPr>
        <w:tab/>
      </w:r>
      <w:r w:rsidRPr="00097C6F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cs-CZ"/>
          <w14:ligatures w14:val="none"/>
        </w:rPr>
        <w:tab/>
      </w:r>
      <w:r w:rsidRPr="00097C6F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cs-CZ"/>
          <w14:ligatures w14:val="none"/>
        </w:rPr>
        <w:tab/>
        <w:t>Vyšehradská 2077/57, 128 00 Praha 2 – Nové Město</w:t>
      </w:r>
    </w:p>
    <w:p w14:paraId="125445A6" w14:textId="77777777" w:rsidR="00E208AD" w:rsidRPr="00097C6F" w:rsidRDefault="00E208AD" w:rsidP="00E208AD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cs-CZ"/>
          <w14:ligatures w14:val="none"/>
        </w:rPr>
        <w:t xml:space="preserve">zapsaný: </w:t>
      </w:r>
      <w:r w:rsidRPr="00097C6F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cs-CZ"/>
          <w14:ligatures w14:val="none"/>
        </w:rPr>
        <w:tab/>
      </w:r>
      <w:r w:rsidRPr="00097C6F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cs-CZ"/>
          <w14:ligatures w14:val="none"/>
        </w:rPr>
        <w:tab/>
        <w:t xml:space="preserve">v obchodním rejstříku vedeném Městským soudem v Praze, </w:t>
      </w:r>
      <w:proofErr w:type="spellStart"/>
      <w:r w:rsidRPr="00097C6F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cs-CZ"/>
          <w14:ligatures w14:val="none"/>
        </w:rPr>
        <w:t>sp</w:t>
      </w:r>
      <w:proofErr w:type="spellEnd"/>
      <w:r w:rsidRPr="00097C6F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cs-CZ"/>
          <w14:ligatures w14:val="none"/>
        </w:rPr>
        <w:t xml:space="preserve">. zn. </w:t>
      </w:r>
      <w:proofErr w:type="spellStart"/>
      <w:r w:rsidRPr="00097C6F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cs-CZ"/>
          <w14:ligatures w14:val="none"/>
        </w:rPr>
        <w:t>Pr</w:t>
      </w:r>
      <w:proofErr w:type="spellEnd"/>
      <w:r w:rsidRPr="00097C6F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cs-CZ"/>
          <w14:ligatures w14:val="none"/>
        </w:rPr>
        <w:t xml:space="preserve"> 63</w:t>
      </w:r>
    </w:p>
    <w:p w14:paraId="4600B4AA" w14:textId="77777777" w:rsidR="00E208AD" w:rsidRPr="00097C6F" w:rsidRDefault="00E208AD" w:rsidP="00E208AD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cs-CZ"/>
          <w14:ligatures w14:val="none"/>
        </w:rPr>
        <w:t xml:space="preserve">IČO: </w:t>
      </w:r>
      <w:r w:rsidRPr="00097C6F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cs-CZ"/>
          <w14:ligatures w14:val="none"/>
        </w:rPr>
        <w:tab/>
      </w:r>
      <w:r w:rsidRPr="00097C6F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cs-CZ"/>
          <w14:ligatures w14:val="none"/>
        </w:rPr>
        <w:tab/>
      </w:r>
      <w:r w:rsidRPr="00097C6F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cs-CZ"/>
          <w14:ligatures w14:val="none"/>
        </w:rPr>
        <w:tab/>
        <w:t>70883858</w:t>
      </w:r>
    </w:p>
    <w:p w14:paraId="241FC2EA" w14:textId="77777777" w:rsidR="00E208AD" w:rsidRPr="00097C6F" w:rsidRDefault="00E208AD" w:rsidP="00E208AD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cs-CZ"/>
          <w14:ligatures w14:val="none"/>
        </w:rPr>
        <w:t xml:space="preserve">DIČ: </w:t>
      </w:r>
      <w:r w:rsidRPr="00097C6F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cs-CZ"/>
          <w14:ligatures w14:val="none"/>
        </w:rPr>
        <w:tab/>
      </w:r>
      <w:r w:rsidRPr="00097C6F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cs-CZ"/>
          <w14:ligatures w14:val="none"/>
        </w:rPr>
        <w:tab/>
      </w:r>
      <w:r w:rsidRPr="00097C6F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cs-CZ"/>
          <w14:ligatures w14:val="none"/>
        </w:rPr>
        <w:tab/>
        <w:t>CZ70883858</w:t>
      </w:r>
    </w:p>
    <w:p w14:paraId="718546B9" w14:textId="7B9049F1" w:rsidR="00E208AD" w:rsidRPr="00097C6F" w:rsidRDefault="00E208AD" w:rsidP="00E208AD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cs-CZ"/>
          <w14:ligatures w14:val="none"/>
        </w:rPr>
        <w:t xml:space="preserve">bankovní spojení: </w:t>
      </w:r>
      <w:r w:rsidRPr="00097C6F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cs-CZ"/>
          <w14:ligatures w14:val="none"/>
        </w:rPr>
        <w:tab/>
      </w:r>
      <w:proofErr w:type="spellStart"/>
      <w:r w:rsidR="004C3F1A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cs-CZ"/>
          <w14:ligatures w14:val="none"/>
        </w:rPr>
        <w:t>xxxxxxxxxxxxxxx</w:t>
      </w:r>
      <w:proofErr w:type="spellEnd"/>
    </w:p>
    <w:p w14:paraId="4359A835" w14:textId="7923E272" w:rsidR="00E208AD" w:rsidRPr="00097C6F" w:rsidRDefault="00E208AD" w:rsidP="004C3F1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cs-CZ"/>
          <w14:ligatures w14:val="none"/>
        </w:rPr>
        <w:t xml:space="preserve">číslo účtu: </w:t>
      </w:r>
      <w:r w:rsidRPr="00097C6F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cs-CZ"/>
          <w14:ligatures w14:val="none"/>
        </w:rPr>
        <w:tab/>
      </w:r>
      <w:r w:rsidRPr="00097C6F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cs-CZ"/>
          <w14:ligatures w14:val="none"/>
        </w:rPr>
        <w:tab/>
      </w:r>
      <w:proofErr w:type="spellStart"/>
      <w:r w:rsidR="004C3F1A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cs-CZ"/>
          <w14:ligatures w14:val="none"/>
        </w:rPr>
        <w:t>xxxxxxxxx</w:t>
      </w:r>
      <w:proofErr w:type="spellEnd"/>
    </w:p>
    <w:p w14:paraId="6196CA53" w14:textId="77777777" w:rsidR="00E208AD" w:rsidRPr="00097C6F" w:rsidRDefault="00E208AD" w:rsidP="00E208A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(dále jen „</w:t>
      </w:r>
      <w:r w:rsidRPr="00097C6F">
        <w:rPr>
          <w:rFonts w:ascii="Times New Roman" w:eastAsia="Times New Roman" w:hAnsi="Times New Roman" w:cs="Times New Roman"/>
          <w:b/>
          <w:i/>
          <w:iCs/>
          <w:kern w:val="0"/>
          <w:sz w:val="22"/>
          <w:szCs w:val="22"/>
          <w:lang w:eastAsia="cs-CZ"/>
          <w14:ligatures w14:val="none"/>
        </w:rPr>
        <w:t>objednatel</w:t>
      </w: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“)</w:t>
      </w:r>
    </w:p>
    <w:p w14:paraId="70DCC085" w14:textId="77777777" w:rsidR="00E208AD" w:rsidRPr="00097C6F" w:rsidRDefault="00E208AD" w:rsidP="00E208AD">
      <w:pPr>
        <w:spacing w:after="0" w:line="276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</w:p>
    <w:p w14:paraId="5FD29D82" w14:textId="77777777" w:rsidR="00E208AD" w:rsidRPr="00097C6F" w:rsidRDefault="00E208AD" w:rsidP="00E208AD">
      <w:pPr>
        <w:tabs>
          <w:tab w:val="left" w:pos="5812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cs-CZ"/>
          <w14:ligatures w14:val="none"/>
        </w:rPr>
        <w:t>a</w:t>
      </w:r>
    </w:p>
    <w:p w14:paraId="2DF17359" w14:textId="77777777" w:rsidR="00E208AD" w:rsidRPr="00097C6F" w:rsidRDefault="00E208AD" w:rsidP="00E208AD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cs-CZ"/>
          <w14:ligatures w14:val="none"/>
        </w:rPr>
      </w:pPr>
    </w:p>
    <w:p w14:paraId="14D0B82E" w14:textId="77777777" w:rsidR="00D92A90" w:rsidRPr="00D92A90" w:rsidRDefault="00D92A90" w:rsidP="00D92A9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cs-CZ"/>
          <w14:ligatures w14:val="none"/>
        </w:rPr>
      </w:pPr>
      <w:proofErr w:type="spellStart"/>
      <w:r w:rsidRPr="00D92A90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cs-CZ"/>
          <w14:ligatures w14:val="none"/>
        </w:rPr>
        <w:t>Savills</w:t>
      </w:r>
      <w:proofErr w:type="spellEnd"/>
      <w:r w:rsidRPr="00D92A90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cs-CZ"/>
          <w14:ligatures w14:val="none"/>
        </w:rPr>
        <w:t xml:space="preserve"> CZ s.r.o.</w:t>
      </w:r>
    </w:p>
    <w:p w14:paraId="263671B0" w14:textId="77777777" w:rsidR="00D92A90" w:rsidRPr="00D92A90" w:rsidRDefault="00D92A90" w:rsidP="00D92A90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D92A90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zastoupený: </w:t>
      </w:r>
      <w:r w:rsidRPr="00D92A90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ab/>
      </w:r>
      <w:r w:rsidRPr="00D92A90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ab/>
        <w:t xml:space="preserve">Ing. Jan </w:t>
      </w:r>
      <w:proofErr w:type="spellStart"/>
      <w:r w:rsidRPr="00D92A90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Jurčíček</w:t>
      </w:r>
      <w:proofErr w:type="spellEnd"/>
      <w:r w:rsidRPr="00D92A90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D92A90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Head</w:t>
      </w:r>
      <w:proofErr w:type="spellEnd"/>
      <w:r w:rsidRPr="00D92A90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D92A90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D92A90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D92A90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Building</w:t>
      </w:r>
      <w:proofErr w:type="spellEnd"/>
      <w:r w:rsidRPr="00D92A90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 </w:t>
      </w:r>
      <w:r w:rsidRPr="00D92A90">
        <w:rPr>
          <w:rFonts w:ascii="Times New Roman" w:eastAsia="Times New Roman" w:hAnsi="Times New Roman" w:cs="Times New Roman"/>
          <w:kern w:val="0"/>
          <w:sz w:val="22"/>
          <w:szCs w:val="22"/>
          <w:lang w:val="en-GB" w:eastAsia="cs-CZ"/>
          <w14:ligatures w14:val="none"/>
        </w:rPr>
        <w:t>&amp;</w:t>
      </w:r>
      <w:r w:rsidRPr="00D92A90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 Project Consultancy, </w:t>
      </w:r>
    </w:p>
    <w:p w14:paraId="11B43087" w14:textId="403F3030" w:rsidR="00D92A90" w:rsidRPr="00D92A90" w:rsidRDefault="00D92A90" w:rsidP="00D92A90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D92A90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na základě plné moci ze dne 17.12.2025, která tvoří přílohu č. 1 t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ohoto Dodatku</w:t>
      </w:r>
    </w:p>
    <w:p w14:paraId="48B65860" w14:textId="77777777" w:rsidR="00D92A90" w:rsidRPr="00D92A90" w:rsidRDefault="00D92A90" w:rsidP="00D92A90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D92A90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sídlo: </w:t>
      </w:r>
      <w:r w:rsidRPr="00D92A90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ab/>
      </w:r>
      <w:r w:rsidRPr="00D92A90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ab/>
      </w:r>
      <w:r w:rsidRPr="00D92A90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ab/>
        <w:t>Na Florenci 2139/2, Nové Město, 110 00 Praha 1</w:t>
      </w:r>
    </w:p>
    <w:p w14:paraId="16693099" w14:textId="77777777" w:rsidR="00D92A90" w:rsidRPr="00D92A90" w:rsidRDefault="00D92A90" w:rsidP="00D92A90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D92A90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zapsaný: </w:t>
      </w:r>
      <w:r w:rsidRPr="00D92A90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ab/>
      </w:r>
      <w:r w:rsidRPr="00D92A90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ab/>
        <w:t xml:space="preserve">v obchodním rejstříku vedeném Městským soudem v Praze </w:t>
      </w:r>
    </w:p>
    <w:p w14:paraId="5C7A0944" w14:textId="77777777" w:rsidR="00D92A90" w:rsidRPr="00D92A90" w:rsidRDefault="00D92A90" w:rsidP="00D92A90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D92A90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pod </w:t>
      </w:r>
      <w:proofErr w:type="spellStart"/>
      <w:r w:rsidRPr="00D92A90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sp</w:t>
      </w:r>
      <w:proofErr w:type="spellEnd"/>
      <w:r w:rsidRPr="00D92A90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. zn. C 265898</w:t>
      </w:r>
    </w:p>
    <w:p w14:paraId="50C24B92" w14:textId="77777777" w:rsidR="00D92A90" w:rsidRPr="00D92A90" w:rsidRDefault="00D92A90" w:rsidP="00D92A90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D92A90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IČO: </w:t>
      </w:r>
      <w:r w:rsidRPr="00D92A90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ab/>
      </w:r>
      <w:r w:rsidRPr="00D92A90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ab/>
      </w:r>
      <w:r w:rsidRPr="00D92A90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ab/>
        <w:t>055 61 281</w:t>
      </w:r>
    </w:p>
    <w:p w14:paraId="48DA0006" w14:textId="77777777" w:rsidR="00D92A90" w:rsidRPr="00D92A90" w:rsidRDefault="00D92A90" w:rsidP="00D92A90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D92A90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DIČ: </w:t>
      </w:r>
      <w:r w:rsidRPr="00D92A90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ab/>
      </w:r>
      <w:r w:rsidRPr="00D92A90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ab/>
      </w:r>
      <w:r w:rsidRPr="00D92A90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ab/>
        <w:t>CZ05561281</w:t>
      </w:r>
    </w:p>
    <w:p w14:paraId="6E3FB3CE" w14:textId="39D80161" w:rsidR="00D92A90" w:rsidRPr="00D92A90" w:rsidRDefault="00D92A90" w:rsidP="00D92A90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D92A90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bankovní spojení: </w:t>
      </w:r>
      <w:r w:rsidRPr="00D92A90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ab/>
      </w:r>
      <w:proofErr w:type="spellStart"/>
      <w:r w:rsidR="004C3F1A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xxxxxxxxxx</w:t>
      </w:r>
      <w:proofErr w:type="spellEnd"/>
    </w:p>
    <w:p w14:paraId="1CE1C692" w14:textId="111E6310" w:rsidR="00D92A90" w:rsidRPr="00D92A90" w:rsidRDefault="00D92A90" w:rsidP="00D92A90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D92A90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číslo účtu: </w:t>
      </w:r>
      <w:r w:rsidRPr="00D92A90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ab/>
      </w:r>
      <w:r w:rsidRPr="00D92A90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ab/>
      </w:r>
      <w:proofErr w:type="spellStart"/>
      <w:r w:rsidR="004C3F1A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xxxxxxxxxxxxx</w:t>
      </w:r>
      <w:proofErr w:type="spellEnd"/>
    </w:p>
    <w:p w14:paraId="1C8B95B3" w14:textId="77777777" w:rsidR="00D92A90" w:rsidRPr="00D92A90" w:rsidRDefault="00D92A90" w:rsidP="00D92A90">
      <w:pPr>
        <w:spacing w:after="6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D92A90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plátce DPH </w:t>
      </w:r>
      <w:r w:rsidRPr="00D92A90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ab/>
      </w:r>
    </w:p>
    <w:p w14:paraId="31FAB285" w14:textId="77777777" w:rsidR="00D92A90" w:rsidRPr="00D92A90" w:rsidRDefault="00D92A90" w:rsidP="00D92A90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cs-CZ"/>
          <w14:ligatures w14:val="none"/>
        </w:rPr>
      </w:pPr>
      <w:r w:rsidRPr="00D92A90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cs-CZ"/>
          <w14:ligatures w14:val="none"/>
        </w:rPr>
        <w:t>(dále jen</w:t>
      </w:r>
      <w:r w:rsidRPr="00D92A90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cs-CZ"/>
          <w14:ligatures w14:val="none"/>
        </w:rPr>
        <w:t xml:space="preserve"> „</w:t>
      </w:r>
      <w:r w:rsidRPr="00D92A90">
        <w:rPr>
          <w:rFonts w:ascii="Times New Roman" w:eastAsia="Times New Roman" w:hAnsi="Times New Roman" w:cs="Times New Roman"/>
          <w:b/>
          <w:i/>
          <w:iCs/>
          <w:kern w:val="0"/>
          <w:sz w:val="22"/>
          <w:szCs w:val="22"/>
          <w:lang w:eastAsia="cs-CZ"/>
          <w14:ligatures w14:val="none"/>
        </w:rPr>
        <w:t>poskytovatel</w:t>
      </w:r>
      <w:r w:rsidRPr="00D92A90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cs-CZ"/>
          <w14:ligatures w14:val="none"/>
        </w:rPr>
        <w:t>“</w:t>
      </w:r>
      <w:r w:rsidRPr="00D92A90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cs-CZ"/>
          <w14:ligatures w14:val="none"/>
        </w:rPr>
        <w:t>)</w:t>
      </w:r>
      <w:r w:rsidRPr="00D92A90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cs-CZ"/>
          <w14:ligatures w14:val="none"/>
        </w:rPr>
        <w:t xml:space="preserve"> </w:t>
      </w:r>
    </w:p>
    <w:p w14:paraId="1BBDD267" w14:textId="77777777" w:rsidR="00E208AD" w:rsidRPr="00097C6F" w:rsidRDefault="00E208AD" w:rsidP="00E208AD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</w:p>
    <w:p w14:paraId="5C3D6F4A" w14:textId="420094BB" w:rsidR="00E208AD" w:rsidRDefault="00E208AD" w:rsidP="00E208AD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dle ustanovení § 1746 odst. 2 a násl. a ustanovení § 2358 a násl. zákona č. 89/2012 Sb., občanský zákoník, ve znění pozdějších předpisů (dále jen „občanský zákoník“) t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ento </w:t>
      </w:r>
    </w:p>
    <w:p w14:paraId="53585C3C" w14:textId="77777777" w:rsidR="00787F42" w:rsidRDefault="00787F42" w:rsidP="00E208AD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</w:p>
    <w:p w14:paraId="332F5320" w14:textId="03AAA879" w:rsidR="00E208AD" w:rsidRPr="00E208AD" w:rsidRDefault="00E208AD" w:rsidP="00E208AD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cs-CZ"/>
          <w14:ligatures w14:val="none"/>
        </w:rPr>
      </w:pPr>
      <w:r w:rsidRPr="00E208A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cs-CZ"/>
          <w14:ligatures w14:val="none"/>
        </w:rPr>
        <w:t>Dodatek č. 1</w:t>
      </w:r>
    </w:p>
    <w:p w14:paraId="1C1C5A2E" w14:textId="5DC89C61" w:rsidR="00E208AD" w:rsidRPr="00787F42" w:rsidRDefault="00787F42" w:rsidP="00787F42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cs-CZ"/>
          <w14:ligatures w14:val="none"/>
        </w:rPr>
        <w:t>k</w:t>
      </w:r>
      <w:r w:rsidR="00E208AD" w:rsidRPr="00E208A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cs-CZ"/>
          <w14:ligatures w14:val="none"/>
        </w:rPr>
        <w:t>e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cs-CZ"/>
          <w14:ligatures w14:val="none"/>
        </w:rPr>
        <w:t xml:space="preserve"> </w:t>
      </w:r>
      <w:r w:rsidR="00E208AD" w:rsidRPr="3C9EA26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cs-CZ"/>
          <w14:ligatures w14:val="none"/>
        </w:rPr>
        <w:t>Smlouv</w:t>
      </w:r>
      <w:r w:rsidR="00E208A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cs-CZ"/>
          <w14:ligatures w14:val="none"/>
        </w:rPr>
        <w:t>ě</w:t>
      </w:r>
      <w:r w:rsidR="00E208AD" w:rsidRPr="3C9EA26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cs-CZ"/>
          <w14:ligatures w14:val="none"/>
        </w:rPr>
        <w:t xml:space="preserve"> č. ZAK 26-0079</w:t>
      </w:r>
      <w:r w:rsidR="00A2520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cs-CZ"/>
          <w14:ligatures w14:val="none"/>
        </w:rPr>
        <w:t>/2</w:t>
      </w:r>
      <w:r w:rsidR="00E208AD" w:rsidRPr="3C9EA26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cs-CZ"/>
          <w14:ligatures w14:val="none"/>
        </w:rPr>
        <w:t xml:space="preserve"> </w:t>
      </w:r>
      <w:r w:rsidR="00E208AD"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s</w:t>
      </w:r>
      <w:r w:rsidR="00FC3E8E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 </w:t>
      </w:r>
      <w:r w:rsidR="00E208AD" w:rsidRPr="00097C6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názvem</w:t>
      </w:r>
      <w:r w:rsidR="00FC3E8E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 </w:t>
      </w:r>
      <w:r w:rsidR="00FC3E8E" w:rsidRPr="00FC3E8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cs-CZ"/>
          <w14:ligatures w14:val="none"/>
        </w:rPr>
        <w:t>Koordinace stěhování</w:t>
      </w:r>
    </w:p>
    <w:p w14:paraId="06BC4A91" w14:textId="77777777" w:rsidR="00E208AD" w:rsidRPr="00097C6F" w:rsidRDefault="00E208AD" w:rsidP="00E208AD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cs-CZ"/>
          <w14:ligatures w14:val="none"/>
        </w:rPr>
        <w:t>„</w:t>
      </w:r>
      <w:r w:rsidRPr="00097C6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cs-CZ"/>
          <w14:ligatures w14:val="none"/>
        </w:rPr>
        <w:t>Smlouva o poskytování služeb“</w:t>
      </w:r>
    </w:p>
    <w:p w14:paraId="6E81DA8A" w14:textId="5652ED76" w:rsidR="00FA7877" w:rsidRDefault="00E208AD" w:rsidP="00E208AD">
      <w:pPr>
        <w:spacing w:after="120" w:line="276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097C6F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cs-CZ"/>
          <w14:ligatures w14:val="none"/>
        </w:rPr>
        <w:t>(dále jen „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cs-CZ"/>
          <w14:ligatures w14:val="none"/>
        </w:rPr>
        <w:t>dodatek</w:t>
      </w:r>
      <w:r w:rsidRPr="00097C6F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cs-CZ"/>
          <w14:ligatures w14:val="none"/>
        </w:rPr>
        <w:t>“)</w:t>
      </w:r>
    </w:p>
    <w:p w14:paraId="5247BA1F" w14:textId="1C1FB509" w:rsidR="00E208AD" w:rsidRPr="00F45A70" w:rsidRDefault="00F45A70" w:rsidP="00F45A7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cs-CZ"/>
          <w14:ligatures w14:val="none"/>
        </w:rPr>
      </w:pPr>
      <w:r w:rsidRPr="00F45A7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cs-CZ"/>
          <w14:ligatures w14:val="none"/>
        </w:rPr>
        <w:t>I.</w:t>
      </w:r>
    </w:p>
    <w:p w14:paraId="0CBD33A2" w14:textId="359B48C3" w:rsidR="00F45A70" w:rsidRPr="00F45A70" w:rsidRDefault="00F45A70" w:rsidP="00F45A70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cs-CZ"/>
          <w14:ligatures w14:val="none"/>
        </w:rPr>
      </w:pPr>
      <w:r w:rsidRPr="00F45A7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cs-CZ"/>
          <w14:ligatures w14:val="none"/>
        </w:rPr>
        <w:t>Úvodní ustanovení</w:t>
      </w:r>
    </w:p>
    <w:p w14:paraId="5E9DFBF8" w14:textId="2237FBA9" w:rsidR="00E208AD" w:rsidRPr="00F45A70" w:rsidRDefault="00E208AD" w:rsidP="00F45A70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F45A70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Smluvní strany uzavřely dne </w:t>
      </w:r>
      <w:r w:rsidR="00787F42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10.3.2026 s</w:t>
      </w:r>
      <w:r w:rsidRPr="00F45A70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mlouvu č. ZAK 26-0079</w:t>
      </w:r>
      <w:r w:rsidR="00223EE8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/2</w:t>
      </w:r>
      <w:r w:rsidRPr="00F45A70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 s názvem </w:t>
      </w:r>
      <w:r w:rsidR="00132C89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Koordinace stěhování „</w:t>
      </w:r>
      <w:r w:rsidRPr="00F45A70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Smlouva o poskytování služeb“ (dále jen „</w:t>
      </w:r>
      <w:r w:rsidRPr="00F45A70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eastAsia="cs-CZ"/>
          <w14:ligatures w14:val="none"/>
        </w:rPr>
        <w:t>Smlouva</w:t>
      </w:r>
      <w:r w:rsidRPr="00F45A70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“), jejímž předmětem je závazek poskytovatele zajistit pro objednatele přípravu, koordinaci a kontrolu technických a organizačních procesů spojených s přesunem pracovišť objednatele</w:t>
      </w:r>
      <w:r w:rsidR="006209FB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 a souvisejícího vybavení z prostor stávajících budov objednatele</w:t>
      </w:r>
      <w:r w:rsidRPr="00F45A70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 na adrese Vyšehradská 2077/57, 128 00 Praha  2 – Nové Město, </w:t>
      </w:r>
      <w:r w:rsidR="006209FB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případně z prostor dočasného </w:t>
      </w:r>
      <w:r w:rsidR="0084504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uložení </w:t>
      </w:r>
      <w:r w:rsidR="0084504F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lastRenderedPageBreak/>
        <w:t xml:space="preserve">stěhovaného vybavení objednatele, </w:t>
      </w:r>
      <w:r w:rsidRPr="00F45A70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do prostor nacházejících se v 1. a 2. NP budovy víceúčelového administrativního a obchodního komplexu Gen nacházejícího se na adrese U garáží 1611/1, Praha 7</w:t>
      </w:r>
      <w:r w:rsidR="0098296C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 (dále jen „</w:t>
      </w:r>
      <w:r w:rsidR="0098296C" w:rsidRPr="0098296C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eastAsia="cs-CZ"/>
          <w14:ligatures w14:val="none"/>
        </w:rPr>
        <w:t>kancelářské prostory</w:t>
      </w:r>
      <w:r w:rsidR="0098296C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“)</w:t>
      </w:r>
      <w:r w:rsidRPr="00F45A70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, a to v rozsahu dále ve Smlouvě vymezeném. </w:t>
      </w:r>
    </w:p>
    <w:p w14:paraId="746DBE87" w14:textId="77777777" w:rsidR="00F45A70" w:rsidRDefault="00F45A70" w:rsidP="00F45A70">
      <w:pPr>
        <w:pStyle w:val="Odstavecseseznamem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</w:p>
    <w:p w14:paraId="134FE29C" w14:textId="77777777" w:rsidR="00F45A70" w:rsidRDefault="00F45A70" w:rsidP="00F45A70">
      <w:pPr>
        <w:pStyle w:val="Odstavecseseznamem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</w:p>
    <w:p w14:paraId="4C69BF56" w14:textId="009D8D53" w:rsidR="00F45A70" w:rsidRPr="00F45A70" w:rsidRDefault="00F45A70" w:rsidP="00F45A7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cs-CZ"/>
          <w14:ligatures w14:val="none"/>
        </w:rPr>
      </w:pPr>
      <w:r w:rsidRPr="00F45A7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cs-CZ"/>
          <w14:ligatures w14:val="none"/>
        </w:rPr>
        <w:t>II.</w:t>
      </w:r>
    </w:p>
    <w:p w14:paraId="758CCDB2" w14:textId="6056E50A" w:rsidR="00F45A70" w:rsidRPr="00F45A70" w:rsidRDefault="00F45A70" w:rsidP="00F45A70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cs-CZ"/>
          <w14:ligatures w14:val="none"/>
        </w:rPr>
      </w:pPr>
      <w:r w:rsidRPr="00F45A7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cs-CZ"/>
          <w14:ligatures w14:val="none"/>
        </w:rPr>
        <w:t>Předmět Dodatku</w:t>
      </w:r>
    </w:p>
    <w:p w14:paraId="4AAFE4E3" w14:textId="49104BDA" w:rsidR="00E208AD" w:rsidRDefault="00E208AD" w:rsidP="00DF469E">
      <w:pPr>
        <w:pStyle w:val="Odstavecseseznamem"/>
        <w:numPr>
          <w:ilvl w:val="0"/>
          <w:numId w:val="8"/>
        </w:numP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DF469E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Smluvní strany se dohodly, že se Smlouva mění následovně:</w:t>
      </w:r>
    </w:p>
    <w:p w14:paraId="58C6BED1" w14:textId="77777777" w:rsidR="00DF469E" w:rsidRPr="00DF469E" w:rsidRDefault="00DF469E" w:rsidP="00DF469E">
      <w:pPr>
        <w:pStyle w:val="Odstavecseseznamem"/>
        <w:spacing w:after="120" w:line="276" w:lineRule="auto"/>
        <w:ind w:left="426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</w:p>
    <w:p w14:paraId="6F7174F6" w14:textId="2CFF974E" w:rsidR="00DF469E" w:rsidRDefault="00DF469E" w:rsidP="004276D8">
      <w:pPr>
        <w:pStyle w:val="Odstavecseseznamem"/>
        <w:numPr>
          <w:ilvl w:val="1"/>
          <w:numId w:val="5"/>
        </w:numPr>
        <w:spacing w:after="120" w:line="276" w:lineRule="auto"/>
        <w:ind w:left="851" w:hanging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DF469E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Změna článku I</w:t>
      </w:r>
      <w:r w:rsidR="00F32AFB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.</w:t>
      </w:r>
      <w:r w:rsidRPr="00DF469E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 Smlouvy:</w:t>
      </w:r>
    </w:p>
    <w:p w14:paraId="4D66A11A" w14:textId="77777777" w:rsidR="00DF469E" w:rsidRPr="004276D8" w:rsidRDefault="00DF469E" w:rsidP="00DF469E">
      <w:pPr>
        <w:pStyle w:val="Odstavecseseznamem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cs-CZ"/>
          <w14:ligatures w14:val="none"/>
        </w:rPr>
      </w:pPr>
    </w:p>
    <w:p w14:paraId="092C4BE1" w14:textId="5869815C" w:rsidR="00F45A70" w:rsidRPr="004276D8" w:rsidRDefault="00F45A70" w:rsidP="00DF469E">
      <w:pPr>
        <w:pStyle w:val="Odstavecseseznamem"/>
        <w:numPr>
          <w:ilvl w:val="0"/>
          <w:numId w:val="9"/>
        </w:numPr>
        <w:spacing w:after="120" w:line="276" w:lineRule="auto"/>
        <w:ind w:left="850" w:hanging="425"/>
        <w:contextualSpacing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cs-CZ"/>
          <w14:ligatures w14:val="none"/>
        </w:rPr>
      </w:pPr>
      <w:r w:rsidRPr="004276D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cs-CZ"/>
          <w14:ligatures w14:val="none"/>
        </w:rPr>
        <w:t>Článek I. odst. 3 Smlouvy se mění tak, že se za pododstavec 3.4 zařazuj</w:t>
      </w:r>
      <w:r w:rsidR="00DF469E" w:rsidRPr="004276D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cs-CZ"/>
          <w14:ligatures w14:val="none"/>
        </w:rPr>
        <w:t>í</w:t>
      </w:r>
      <w:r w:rsidRPr="004276D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cs-CZ"/>
          <w14:ligatures w14:val="none"/>
        </w:rPr>
        <w:t xml:space="preserve"> pododstavc</w:t>
      </w:r>
      <w:r w:rsidR="00DF469E" w:rsidRPr="004276D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cs-CZ"/>
          <w14:ligatures w14:val="none"/>
        </w:rPr>
        <w:t>e</w:t>
      </w:r>
      <w:r w:rsidRPr="004276D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cs-CZ"/>
          <w14:ligatures w14:val="none"/>
        </w:rPr>
        <w:t xml:space="preserve"> 3.5</w:t>
      </w:r>
      <w:r w:rsidR="00DF469E" w:rsidRPr="004276D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cs-CZ"/>
          <w14:ligatures w14:val="none"/>
        </w:rPr>
        <w:t xml:space="preserve"> </w:t>
      </w:r>
      <w:r w:rsidR="00B63556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cs-CZ"/>
          <w14:ligatures w14:val="none"/>
        </w:rPr>
        <w:br/>
      </w:r>
      <w:r w:rsidR="00DF469E" w:rsidRPr="004276D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cs-CZ"/>
          <w14:ligatures w14:val="none"/>
        </w:rPr>
        <w:t>a 3.6</w:t>
      </w:r>
      <w:r w:rsidRPr="004276D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cs-CZ"/>
          <w14:ligatures w14:val="none"/>
        </w:rPr>
        <w:t>, kter</w:t>
      </w:r>
      <w:r w:rsidR="00DF469E" w:rsidRPr="004276D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cs-CZ"/>
          <w14:ligatures w14:val="none"/>
        </w:rPr>
        <w:t>é</w:t>
      </w:r>
      <w:r w:rsidRPr="004276D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cs-CZ"/>
          <w14:ligatures w14:val="none"/>
        </w:rPr>
        <w:t xml:space="preserve"> zní následovně:</w:t>
      </w:r>
    </w:p>
    <w:p w14:paraId="6D3C3112" w14:textId="62949743" w:rsidR="009139BC" w:rsidRPr="009139BC" w:rsidRDefault="009139BC" w:rsidP="009139BC">
      <w:pPr>
        <w:spacing w:after="120" w:line="276" w:lineRule="auto"/>
        <w:ind w:left="1418" w:hanging="567"/>
        <w:jc w:val="both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„3.5 </w:t>
      </w:r>
      <w:r w:rsidR="00F45A70" w:rsidRPr="009139BC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Zastupování objednatele při jednání s pronajímatelem </w:t>
      </w:r>
      <w:r w:rsidR="00132944" w:rsidRPr="009139BC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kancelářských prostor </w:t>
      </w:r>
      <w:r w:rsidR="00B63556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br/>
      </w:r>
      <w:r w:rsidR="00F45A70" w:rsidRPr="009139BC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a s dodavateli dodávek nebo služeb spojených se stěhováním</w:t>
      </w:r>
      <w:r w:rsidR="0098296C" w:rsidRPr="009139BC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 (dále jen „</w:t>
      </w:r>
      <w:r w:rsidR="0098296C" w:rsidRPr="009139BC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eastAsia="cs-CZ"/>
          <w14:ligatures w14:val="none"/>
        </w:rPr>
        <w:t>dodavatelé</w:t>
      </w:r>
      <w:r w:rsidR="0098296C" w:rsidRPr="009139BC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“)</w:t>
      </w:r>
      <w:r w:rsidR="006422D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,</w:t>
      </w:r>
      <w:r w:rsidR="00F45A70" w:rsidRPr="009139BC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 </w:t>
      </w:r>
    </w:p>
    <w:p w14:paraId="4D1A158A" w14:textId="3D4EA587" w:rsidR="009B3EFE" w:rsidRPr="009139BC" w:rsidRDefault="009139BC" w:rsidP="009139BC">
      <w:pPr>
        <w:pStyle w:val="Odstavecseseznamem"/>
        <w:tabs>
          <w:tab w:val="left" w:pos="993"/>
        </w:tabs>
        <w:spacing w:after="120" w:line="276" w:lineRule="auto"/>
        <w:ind w:left="1418" w:hanging="567"/>
        <w:contextualSpacing w:val="0"/>
        <w:jc w:val="both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3.6     </w:t>
      </w:r>
      <w:r w:rsidR="009B3EFE" w:rsidRPr="009139BC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Kontrola provádění prací na úpravách interiéru kancelářských prostor (fit-out)</w:t>
      </w:r>
      <w:r w:rsidR="006422D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,</w:t>
      </w:r>
    </w:p>
    <w:p w14:paraId="1A181DFB" w14:textId="2D73787F" w:rsidR="00FB012C" w:rsidRDefault="00F45A70" w:rsidP="009139BC">
      <w:pPr>
        <w:pStyle w:val="Odstavecseseznamem"/>
        <w:spacing w:after="120" w:line="276" w:lineRule="auto"/>
        <w:ind w:left="1418" w:hanging="567"/>
        <w:contextualSpacing w:val="0"/>
        <w:jc w:val="both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</w:pPr>
      <w:r w:rsidRPr="00DF469E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3.</w:t>
      </w:r>
      <w:r w:rsidR="00FB012C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7</w:t>
      </w:r>
      <w:r w:rsidR="00DF469E" w:rsidRPr="00DF469E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 </w:t>
      </w:r>
      <w:r w:rsidR="009139BC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  </w:t>
      </w:r>
      <w:r w:rsidRPr="00DF469E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Koordinace </w:t>
      </w:r>
      <w:r w:rsidR="00DF469E" w:rsidRPr="00DF469E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a kontrola řádného plnění smluvních podmínek </w:t>
      </w:r>
      <w:r w:rsidRPr="00DF469E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dodavatelů objednatele v rámci stěhování</w:t>
      </w:r>
      <w:r w:rsidR="006422D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,</w:t>
      </w:r>
    </w:p>
    <w:p w14:paraId="03BAE92E" w14:textId="5B5C6D2D" w:rsidR="00DF469E" w:rsidRPr="00EA3819" w:rsidRDefault="00FB012C" w:rsidP="009139BC">
      <w:pPr>
        <w:pStyle w:val="Odstavecseseznamem"/>
        <w:spacing w:after="120" w:line="276" w:lineRule="auto"/>
        <w:ind w:left="1418" w:hanging="567"/>
        <w:contextualSpacing w:val="0"/>
        <w:jc w:val="both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3.8 </w:t>
      </w:r>
      <w:r w:rsidR="009139BC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    </w:t>
      </w:r>
      <w:r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Koordinace a řízení vlastního procesu stěhování</w:t>
      </w:r>
      <w:r w:rsidR="0049268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.</w:t>
      </w:r>
      <w:r w:rsidR="00DF469E" w:rsidRPr="00EA3819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“</w:t>
      </w:r>
    </w:p>
    <w:p w14:paraId="43E8760D" w14:textId="15A5D6CD" w:rsidR="00DF469E" w:rsidRPr="004276D8" w:rsidRDefault="00DF469E" w:rsidP="00DF469E">
      <w:pPr>
        <w:pStyle w:val="Odstavecseseznamem"/>
        <w:numPr>
          <w:ilvl w:val="0"/>
          <w:numId w:val="9"/>
        </w:numPr>
        <w:spacing w:after="120" w:line="276" w:lineRule="auto"/>
        <w:ind w:left="851" w:hanging="425"/>
        <w:jc w:val="both"/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cs-CZ"/>
          <w14:ligatures w14:val="none"/>
        </w:rPr>
      </w:pPr>
      <w:r w:rsidRPr="004276D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cs-CZ"/>
          <w14:ligatures w14:val="none"/>
        </w:rPr>
        <w:t>Článek I. Smlouvy se dále mění tak, že za odst. 7. se zařazují nové odstavce 8.</w:t>
      </w:r>
      <w:r w:rsidR="000F0B56" w:rsidRPr="004276D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cs-CZ"/>
          <w14:ligatures w14:val="none"/>
        </w:rPr>
        <w:t xml:space="preserve">, </w:t>
      </w:r>
      <w:r w:rsidRPr="004276D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cs-CZ"/>
          <w14:ligatures w14:val="none"/>
        </w:rPr>
        <w:t>9.</w:t>
      </w:r>
      <w:r w:rsidR="00ED6061" w:rsidRPr="004276D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cs-CZ"/>
          <w14:ligatures w14:val="none"/>
        </w:rPr>
        <w:t>,</w:t>
      </w:r>
      <w:r w:rsidR="000F0B56" w:rsidRPr="004276D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cs-CZ"/>
          <w14:ligatures w14:val="none"/>
        </w:rPr>
        <w:t>10.</w:t>
      </w:r>
      <w:r w:rsidR="00ED6061" w:rsidRPr="004276D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cs-CZ"/>
          <w14:ligatures w14:val="none"/>
        </w:rPr>
        <w:t xml:space="preserve"> a 11.</w:t>
      </w:r>
      <w:r w:rsidRPr="004276D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cs-CZ"/>
          <w14:ligatures w14:val="none"/>
        </w:rPr>
        <w:t>, které zní následovně</w:t>
      </w:r>
      <w:r w:rsidR="004276D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cs-CZ"/>
          <w14:ligatures w14:val="none"/>
        </w:rPr>
        <w:t>:</w:t>
      </w:r>
    </w:p>
    <w:p w14:paraId="790A47B5" w14:textId="60AEC34F" w:rsidR="00DF469E" w:rsidRPr="006E2D6B" w:rsidRDefault="0098296C" w:rsidP="0098296C">
      <w:pPr>
        <w:spacing w:after="120" w:line="276" w:lineRule="auto"/>
        <w:ind w:left="851"/>
        <w:jc w:val="both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</w:pPr>
      <w:r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„</w:t>
      </w:r>
      <w:r w:rsidR="000F0B56"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8</w:t>
      </w:r>
      <w:r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. V rámci zastupování objednatele se poskytovatel zavazuje zejména:</w:t>
      </w:r>
    </w:p>
    <w:p w14:paraId="10C855FA" w14:textId="77777777" w:rsidR="002158D5" w:rsidRPr="006E2D6B" w:rsidRDefault="002158D5" w:rsidP="006E2D6B">
      <w:pPr>
        <w:pStyle w:val="Odstavecseseznamem"/>
        <w:numPr>
          <w:ilvl w:val="0"/>
          <w:numId w:val="10"/>
        </w:numPr>
        <w:spacing w:after="120"/>
        <w:ind w:left="1570" w:hanging="357"/>
        <w:contextualSpacing w:val="0"/>
        <w:jc w:val="both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</w:pPr>
      <w:r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Zastupovat objednatele při jednáních s pronajímatelem týkajících se rozsahu stavebních úprav interiéru kancelářských prostor (fit-out), technického standardu těchto úprav a dodržování sjednaných cen a termínů jejich realizace.</w:t>
      </w:r>
    </w:p>
    <w:p w14:paraId="6C4B904F" w14:textId="1830520C" w:rsidR="002158D5" w:rsidRPr="006E2D6B" w:rsidRDefault="002158D5" w:rsidP="006E2D6B">
      <w:pPr>
        <w:pStyle w:val="Odstavecseseznamem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</w:pPr>
      <w:r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Zastupovat objednatele při jednáních s dodavateli objednatele v záležitostech koordinace jejich plnění, dodržování sjednaných termínů, návaznosti jednotlivých dodávek a odstraňování zjištěných vad plnění, s výjimkou uplatňování práv z vadného plnění a jiných právních nároků objednatele.</w:t>
      </w:r>
    </w:p>
    <w:p w14:paraId="4542BF4A" w14:textId="291D5013" w:rsidR="00CC6BFC" w:rsidRPr="006E2D6B" w:rsidRDefault="00CC6BFC" w:rsidP="006E2D6B">
      <w:pPr>
        <w:ind w:left="1211"/>
        <w:jc w:val="both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</w:pPr>
      <w:r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Poskytovatel není oprávněn za objednatele činit právní jednání, zejména uzavírat, měnit nebo ukončovat smlouvy, uznávat dluhy, vzdávat se práv, uplatňovat nároky z vadného plnění ani jinak zakládat, měnit nebo rušit práva a povinnosti objednatele, pokud k tomu nebude objednatelem výslovně písemně zmocněn</w:t>
      </w:r>
      <w:r w:rsidR="00772F59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.</w:t>
      </w:r>
    </w:p>
    <w:p w14:paraId="52FCE64F" w14:textId="5427FB01" w:rsidR="00FB012C" w:rsidRPr="006E2D6B" w:rsidRDefault="000F0B56" w:rsidP="000D40D6">
      <w:pPr>
        <w:spacing w:after="120" w:line="276" w:lineRule="auto"/>
        <w:ind w:left="1276" w:hanging="283"/>
        <w:jc w:val="both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</w:pPr>
      <w:r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9</w:t>
      </w:r>
      <w:r w:rsidR="00132944"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. </w:t>
      </w:r>
      <w:r w:rsidR="00FB012C"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V rámci kontroly provádění prací na úpravách interiéru kancelářských prostor se poskytovatel zavazuje:</w:t>
      </w:r>
    </w:p>
    <w:p w14:paraId="62436DED" w14:textId="25E1F379" w:rsidR="000446EB" w:rsidRPr="006E2D6B" w:rsidRDefault="00FB012C" w:rsidP="00AC61BC">
      <w:pPr>
        <w:pStyle w:val="Odstavecseseznamem"/>
        <w:numPr>
          <w:ilvl w:val="0"/>
          <w:numId w:val="11"/>
        </w:numPr>
        <w:spacing w:after="120" w:line="276" w:lineRule="auto"/>
        <w:ind w:left="1843" w:hanging="567"/>
        <w:contextualSpacing w:val="0"/>
        <w:jc w:val="both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</w:pPr>
      <w:r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Kontrolovat rozsah</w:t>
      </w:r>
      <w:r w:rsidR="00F81C84"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, </w:t>
      </w:r>
      <w:r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realizaci</w:t>
      </w:r>
      <w:r w:rsidR="00F81C84"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 a soulad</w:t>
      </w:r>
      <w:r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 prováděných prací a informovat objednatele v případě, že se rozsah nebo realizace těchto prací bude lišit od dokumentace vztahující se k</w:t>
      </w:r>
      <w:r w:rsidR="00010CB9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 úpravám interiéru </w:t>
      </w:r>
      <w:r w:rsidR="00DC13E3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kancelářských prostor </w:t>
      </w:r>
      <w:r w:rsidR="00010CB9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(</w:t>
      </w:r>
      <w:r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fit-out</w:t>
      </w:r>
      <w:r w:rsidR="00010CB9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)</w:t>
      </w:r>
      <w:r w:rsidR="000446EB"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.</w:t>
      </w:r>
    </w:p>
    <w:p w14:paraId="55F9EA9D" w14:textId="5CC5C611" w:rsidR="000446EB" w:rsidRPr="006E2D6B" w:rsidRDefault="00F81C84" w:rsidP="00AC61BC">
      <w:pPr>
        <w:pStyle w:val="Odstavecseseznamem"/>
        <w:numPr>
          <w:ilvl w:val="0"/>
          <w:numId w:val="11"/>
        </w:numPr>
        <w:spacing w:after="120" w:line="276" w:lineRule="auto"/>
        <w:ind w:left="1843" w:hanging="567"/>
        <w:contextualSpacing w:val="0"/>
        <w:jc w:val="both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</w:pPr>
      <w:r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lastRenderedPageBreak/>
        <w:t xml:space="preserve">Vyhodnocovat provádění víceprací nebo méněprací, a poskytovat objednateli v souladu s těmito pracemi odborné stanovisko a doporučení </w:t>
      </w:r>
      <w:r w:rsidR="000F0B56"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o rozsahu</w:t>
      </w:r>
      <w:r w:rsidR="00200448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 a</w:t>
      </w:r>
      <w:r w:rsidR="000F0B56"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 nutnosti jejich provedení</w:t>
      </w:r>
      <w:r w:rsidR="000446EB"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.</w:t>
      </w:r>
    </w:p>
    <w:p w14:paraId="5E2CDE89" w14:textId="047B7D0A" w:rsidR="000446EB" w:rsidRPr="006E2D6B" w:rsidRDefault="00F81C84" w:rsidP="00AC61BC">
      <w:pPr>
        <w:pStyle w:val="Odstavecseseznamem"/>
        <w:numPr>
          <w:ilvl w:val="0"/>
          <w:numId w:val="11"/>
        </w:numPr>
        <w:spacing w:after="120" w:line="276" w:lineRule="auto"/>
        <w:ind w:left="1843" w:hanging="567"/>
        <w:contextualSpacing w:val="0"/>
        <w:jc w:val="both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</w:pPr>
      <w:r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Účastnit se kontrolních dnů, a to i v případě, kdy je kontrolního dne přítomen také objednatel</w:t>
      </w:r>
      <w:r w:rsidR="004705D3"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.</w:t>
      </w:r>
    </w:p>
    <w:p w14:paraId="5395E3C6" w14:textId="2D6D3F31" w:rsidR="000446EB" w:rsidRPr="006E2D6B" w:rsidRDefault="006A3024" w:rsidP="00AC61BC">
      <w:pPr>
        <w:pStyle w:val="Odstavecseseznamem"/>
        <w:numPr>
          <w:ilvl w:val="0"/>
          <w:numId w:val="11"/>
        </w:numPr>
        <w:spacing w:after="120" w:line="276" w:lineRule="auto"/>
        <w:ind w:left="1843" w:hanging="567"/>
        <w:contextualSpacing w:val="0"/>
        <w:jc w:val="both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</w:pPr>
      <w:r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U</w:t>
      </w:r>
      <w:r w:rsidR="00F81C84"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pozornit objednatele na vady prováděných prací, a to ihned poté, co bylo možné vadu zjistit, </w:t>
      </w:r>
      <w:r w:rsidR="000F0B56"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tak aby </w:t>
      </w:r>
      <w:r w:rsidR="001D0027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byl </w:t>
      </w:r>
      <w:r w:rsidR="000F0B56"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objednatel na základě této informace schopen včas a řádně vadu oznámit a uplatnit své nároky</w:t>
      </w:r>
      <w:r w:rsidR="000446EB"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.</w:t>
      </w:r>
    </w:p>
    <w:p w14:paraId="40744C5A" w14:textId="77777777" w:rsidR="000446EB" w:rsidRPr="006E2D6B" w:rsidRDefault="00F81C84" w:rsidP="00AC61BC">
      <w:pPr>
        <w:pStyle w:val="Odstavecseseznamem"/>
        <w:numPr>
          <w:ilvl w:val="0"/>
          <w:numId w:val="11"/>
        </w:numPr>
        <w:spacing w:after="120" w:line="276" w:lineRule="auto"/>
        <w:ind w:left="1843" w:hanging="567"/>
        <w:contextualSpacing w:val="0"/>
        <w:jc w:val="both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</w:pPr>
      <w:r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Účastnit se předání kancelářských prostor objednateli k užívání ze strany pronajímatele</w:t>
      </w:r>
      <w:r w:rsidR="000446EB"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.</w:t>
      </w:r>
    </w:p>
    <w:p w14:paraId="78BF2F65" w14:textId="797BD44E" w:rsidR="000446EB" w:rsidRPr="006E2D6B" w:rsidRDefault="000F0B56" w:rsidP="00AC61BC">
      <w:pPr>
        <w:pStyle w:val="Odstavecseseznamem"/>
        <w:numPr>
          <w:ilvl w:val="0"/>
          <w:numId w:val="11"/>
        </w:numPr>
        <w:spacing w:after="120" w:line="276" w:lineRule="auto"/>
        <w:ind w:left="1843" w:hanging="567"/>
        <w:contextualSpacing w:val="0"/>
        <w:jc w:val="both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</w:pPr>
      <w:r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Písemně (na místě do protokolu o převzetí kancelářských prostor) informovat objednatele o</w:t>
      </w:r>
      <w:r w:rsidR="00F81C84"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 vad</w:t>
      </w:r>
      <w:r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ách</w:t>
      </w:r>
      <w:r w:rsidR="00F81C84"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 kancelářských prostor při jejich předání objednateli,</w:t>
      </w:r>
      <w:r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 tak aby </w:t>
      </w:r>
      <w:r w:rsidR="000717B3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byl </w:t>
      </w:r>
      <w:r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objednatel na základě této informace schopen včas a řádně vadu oznámit </w:t>
      </w:r>
      <w:r w:rsidR="00B63556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br/>
      </w:r>
      <w:r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a uplatnit své nároky</w:t>
      </w:r>
      <w:r w:rsidR="000446EB"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.</w:t>
      </w:r>
    </w:p>
    <w:p w14:paraId="4071D749" w14:textId="60266DD4" w:rsidR="000446EB" w:rsidRPr="006E2D6B" w:rsidRDefault="006A3024" w:rsidP="00AC61BC">
      <w:pPr>
        <w:pStyle w:val="Odstavecseseznamem"/>
        <w:numPr>
          <w:ilvl w:val="0"/>
          <w:numId w:val="11"/>
        </w:numPr>
        <w:spacing w:after="120" w:line="276" w:lineRule="auto"/>
        <w:ind w:left="1843" w:hanging="567"/>
        <w:contextualSpacing w:val="0"/>
        <w:jc w:val="both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</w:pPr>
      <w:r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K</w:t>
      </w:r>
      <w:r w:rsidR="00F81C84"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ontrolovat realizaci dokončovacích prací</w:t>
      </w:r>
      <w:r w:rsidR="000446EB"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.</w:t>
      </w:r>
    </w:p>
    <w:p w14:paraId="4BDCD9DE" w14:textId="6DF110F1" w:rsidR="000446EB" w:rsidRPr="006E2D6B" w:rsidRDefault="004705D3" w:rsidP="00AC61BC">
      <w:pPr>
        <w:pStyle w:val="Odstavecseseznamem"/>
        <w:numPr>
          <w:ilvl w:val="0"/>
          <w:numId w:val="11"/>
        </w:numPr>
        <w:spacing w:after="120" w:line="276" w:lineRule="auto"/>
        <w:ind w:left="1843" w:hanging="567"/>
        <w:contextualSpacing w:val="0"/>
        <w:jc w:val="both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</w:pPr>
      <w:r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P</w:t>
      </w:r>
      <w:r w:rsidR="00F81C84"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ísemně informovat objednatele na vady dokončovacích prací, a to ihned poté, co bylo možné vadu zjistit, tak aby</w:t>
      </w:r>
      <w:r w:rsidR="006D704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 byl</w:t>
      </w:r>
      <w:r w:rsidR="00F81C84"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 objednatel na základě této informace schopen včas a ř</w:t>
      </w:r>
      <w:r w:rsidR="000F0B56"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ádně vadu oznámit a </w:t>
      </w:r>
      <w:r w:rsidR="00F81C84"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uplatnit</w:t>
      </w:r>
      <w:r w:rsidR="000F0B56"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 své nároky. </w:t>
      </w:r>
    </w:p>
    <w:p w14:paraId="1D851BE8" w14:textId="6B2953FE" w:rsidR="000446EB" w:rsidRPr="006E2D6B" w:rsidRDefault="004705D3" w:rsidP="00AC61BC">
      <w:pPr>
        <w:pStyle w:val="Odstavecseseznamem"/>
        <w:numPr>
          <w:ilvl w:val="0"/>
          <w:numId w:val="11"/>
        </w:numPr>
        <w:spacing w:after="120" w:line="276" w:lineRule="auto"/>
        <w:ind w:left="1843" w:hanging="567"/>
        <w:contextualSpacing w:val="0"/>
        <w:jc w:val="both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</w:pPr>
      <w:r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U</w:t>
      </w:r>
      <w:r w:rsidR="00F81C84"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pozornit objednatele na prodlení provádění prací v rámci úprav interiéru kancelářských prostor. </w:t>
      </w:r>
    </w:p>
    <w:p w14:paraId="441BA902" w14:textId="271D6AF0" w:rsidR="000446EB" w:rsidRPr="006E2D6B" w:rsidRDefault="009B3BBD" w:rsidP="00AC61BC">
      <w:pPr>
        <w:pStyle w:val="Odstavecseseznamem"/>
        <w:numPr>
          <w:ilvl w:val="0"/>
          <w:numId w:val="11"/>
        </w:numPr>
        <w:spacing w:after="120" w:line="276" w:lineRule="auto"/>
        <w:ind w:left="1843" w:hanging="567"/>
        <w:contextualSpacing w:val="0"/>
        <w:jc w:val="both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</w:pPr>
      <w:r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Kontr</w:t>
      </w:r>
      <w:r w:rsidR="000446EB"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o</w:t>
      </w:r>
      <w:r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lovat odst</w:t>
      </w:r>
      <w:r w:rsidR="000446EB"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r</w:t>
      </w:r>
      <w:r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aňování oznámen</w:t>
      </w:r>
      <w:r w:rsidR="000446EB"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ý</w:t>
      </w:r>
      <w:r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ch vad a nedodělků a upozornit objednatele na prodlení s jejich odstraněním. </w:t>
      </w:r>
    </w:p>
    <w:p w14:paraId="26CB1E00" w14:textId="4BE7E65F" w:rsidR="000446EB" w:rsidRPr="006E2D6B" w:rsidRDefault="00F81C84" w:rsidP="00AC61BC">
      <w:pPr>
        <w:pStyle w:val="Odstavecseseznamem"/>
        <w:numPr>
          <w:ilvl w:val="0"/>
          <w:numId w:val="11"/>
        </w:numPr>
        <w:spacing w:after="120" w:line="276" w:lineRule="auto"/>
        <w:ind w:left="1843" w:hanging="567"/>
        <w:contextualSpacing w:val="0"/>
        <w:jc w:val="both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</w:pPr>
      <w:r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Kontrol</w:t>
      </w:r>
      <w:r w:rsidR="000F0B56"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ovat</w:t>
      </w:r>
      <w:r w:rsidR="007A29A7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,</w:t>
      </w:r>
      <w:r w:rsidR="000F0B56"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 sledovat a vyhodnocovat finanční náklady </w:t>
      </w:r>
      <w:r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na realizaci úprav interiéru kancelářských prostor</w:t>
      </w:r>
      <w:r w:rsidR="000F0B56"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 a posuzovat jejich soulad</w:t>
      </w:r>
      <w:r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 s oceňovacími podklady pronajímatele</w:t>
      </w:r>
      <w:r w:rsidR="001B2ACD"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.</w:t>
      </w:r>
    </w:p>
    <w:p w14:paraId="7AB65D31" w14:textId="709590A7" w:rsidR="00EA7D61" w:rsidRPr="006E2D6B" w:rsidRDefault="001B2ACD" w:rsidP="000446EB">
      <w:pPr>
        <w:pStyle w:val="Odstavecseseznamem"/>
        <w:numPr>
          <w:ilvl w:val="0"/>
          <w:numId w:val="11"/>
        </w:numPr>
        <w:spacing w:after="120" w:line="276" w:lineRule="auto"/>
        <w:ind w:left="1843" w:hanging="567"/>
        <w:jc w:val="both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</w:pPr>
      <w:r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U</w:t>
      </w:r>
      <w:r w:rsidR="00EA7D61"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pozornit objednatele na skutečnosti zakládající možnost uplatnění smluvních </w:t>
      </w:r>
      <w:r w:rsidR="00E0093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nebo zákonných </w:t>
      </w:r>
      <w:r w:rsidR="00EA7D61"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nároků vůči dodavatelům</w:t>
      </w:r>
      <w:r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.</w:t>
      </w:r>
    </w:p>
    <w:p w14:paraId="3CCF346C" w14:textId="2DC01819" w:rsidR="00132944" w:rsidRPr="006E2D6B" w:rsidRDefault="000F0B56" w:rsidP="00132944">
      <w:pPr>
        <w:spacing w:after="120" w:line="276" w:lineRule="auto"/>
        <w:ind w:left="851"/>
        <w:jc w:val="both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</w:pPr>
      <w:r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10</w:t>
      </w:r>
      <w:r w:rsidR="00FB012C"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.  </w:t>
      </w:r>
      <w:r w:rsidR="009B3EFE"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V</w:t>
      </w:r>
      <w:r w:rsidR="00132944"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 rámci koordinace a kontroly plnění dodavatelů se poskytovatel zavazuje:</w:t>
      </w:r>
    </w:p>
    <w:p w14:paraId="7CE3C26C" w14:textId="77777777" w:rsidR="000446EB" w:rsidRPr="006E2D6B" w:rsidRDefault="006638AC" w:rsidP="00AC61BC">
      <w:pPr>
        <w:pStyle w:val="Odstavecseseznamem"/>
        <w:numPr>
          <w:ilvl w:val="0"/>
          <w:numId w:val="12"/>
        </w:numPr>
        <w:spacing w:after="120" w:line="276" w:lineRule="auto"/>
        <w:ind w:left="1843" w:hanging="567"/>
        <w:contextualSpacing w:val="0"/>
        <w:jc w:val="both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</w:pPr>
      <w:r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Komunikovat jménem objednatele s dodavateli objednatele za účelem koordinace jejich činností a zajištění návaznosti plnění.</w:t>
      </w:r>
    </w:p>
    <w:p w14:paraId="4ABB588A" w14:textId="59B33470" w:rsidR="000446EB" w:rsidRPr="006E2D6B" w:rsidRDefault="009B3EFE" w:rsidP="00AC61BC">
      <w:pPr>
        <w:pStyle w:val="Odstavecseseznamem"/>
        <w:numPr>
          <w:ilvl w:val="0"/>
          <w:numId w:val="12"/>
        </w:numPr>
        <w:spacing w:after="120" w:line="276" w:lineRule="auto"/>
        <w:ind w:left="1843" w:hanging="567"/>
        <w:contextualSpacing w:val="0"/>
        <w:jc w:val="both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</w:pPr>
      <w:r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Pravidelně</w:t>
      </w:r>
      <w:r w:rsidR="000F0B56"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,</w:t>
      </w:r>
      <w:r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 nejméně jednou za týden</w:t>
      </w:r>
      <w:r w:rsidR="000F0B56"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,</w:t>
      </w:r>
      <w:r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 písemně informovat objednatele o postupu plnění dodavatelů, dodržování harmonogramu stěhování a přípravných prací v kancelářských prostorách prováděných dodavateli</w:t>
      </w:r>
      <w:r w:rsidR="00D44702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.</w:t>
      </w:r>
    </w:p>
    <w:p w14:paraId="2241B970" w14:textId="5A6BEDBE" w:rsidR="000446EB" w:rsidRPr="006E2D6B" w:rsidRDefault="00F40C18" w:rsidP="00AC61BC">
      <w:pPr>
        <w:pStyle w:val="Odstavecseseznamem"/>
        <w:numPr>
          <w:ilvl w:val="0"/>
          <w:numId w:val="12"/>
        </w:numPr>
        <w:spacing w:after="120" w:line="276" w:lineRule="auto"/>
        <w:ind w:left="1843" w:hanging="567"/>
        <w:contextualSpacing w:val="0"/>
        <w:jc w:val="both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</w:pPr>
      <w:r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Zajistit časovou návaznost plnění dodavatelů </w:t>
      </w:r>
      <w:r w:rsidR="00A903A0"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včetně rozhodování o pořadí nástupu dodavatelů, </w:t>
      </w:r>
      <w:r w:rsidR="00A01C5F"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tak, aby </w:t>
      </w:r>
      <w:r w:rsidR="002B4DCF"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byla </w:t>
      </w:r>
      <w:r w:rsidR="00871914"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zajištěna časová a technická návaznost dodávek a prací</w:t>
      </w:r>
      <w:r w:rsidR="00A01C5F"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 dodavatelů </w:t>
      </w:r>
      <w:r w:rsidR="00871914"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objednatele</w:t>
      </w:r>
      <w:r w:rsidR="00A01C5F"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 a nedocházelo ke zbytečným prodlevám v realizaci </w:t>
      </w:r>
      <w:r w:rsidR="00634DB0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úprav kancelářských prostor a ve </w:t>
      </w:r>
      <w:r w:rsidR="00A01C5F"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stěhování. Poskytovatel se zároveň zavazuje </w:t>
      </w:r>
      <w:r w:rsidR="00A903A0"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informov</w:t>
      </w:r>
      <w:r w:rsidR="00A01C5F"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at</w:t>
      </w:r>
      <w:r w:rsidR="009B3EFE"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 objednatele </w:t>
      </w:r>
      <w:r w:rsidR="00E84021"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o </w:t>
      </w:r>
      <w:r w:rsidR="00CD5D25"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časovém harmonogramu plnění dodavatelů a </w:t>
      </w:r>
      <w:r w:rsidR="005B7F79"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jejich pořadí tak, aby objednatel byl schopen včas </w:t>
      </w:r>
      <w:r w:rsidR="009B3EFE"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objedn</w:t>
      </w:r>
      <w:r w:rsidR="005B7F79"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at</w:t>
      </w:r>
      <w:r w:rsidR="009B3EFE"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 plnění </w:t>
      </w:r>
      <w:r w:rsidR="005B7F79"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příslušných </w:t>
      </w:r>
      <w:r w:rsidR="009B3EFE"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dodavatelů</w:t>
      </w:r>
      <w:r w:rsidR="005B7F79"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.</w:t>
      </w:r>
    </w:p>
    <w:p w14:paraId="7B046046" w14:textId="77777777" w:rsidR="000446EB" w:rsidRPr="006E2D6B" w:rsidRDefault="009A71A1" w:rsidP="00AC61BC">
      <w:pPr>
        <w:pStyle w:val="Odstavecseseznamem"/>
        <w:numPr>
          <w:ilvl w:val="0"/>
          <w:numId w:val="12"/>
        </w:numPr>
        <w:spacing w:after="120" w:line="276" w:lineRule="auto"/>
        <w:ind w:left="1843" w:hanging="567"/>
        <w:contextualSpacing w:val="0"/>
        <w:jc w:val="both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</w:pPr>
      <w:r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lastRenderedPageBreak/>
        <w:t>Průběžně sledovat a vyhodnocovat plnění harmonogramu</w:t>
      </w:r>
      <w:r w:rsidR="007C2427"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 prací dodavatelů,</w:t>
      </w:r>
      <w:r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 </w:t>
      </w:r>
      <w:r w:rsidR="007C2427"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a bez zbytečného odkladu upozornit objednatele na riziko prodlení. </w:t>
      </w:r>
    </w:p>
    <w:p w14:paraId="57F9FD2D" w14:textId="1E8CB4EA" w:rsidR="000446EB" w:rsidRPr="006E2D6B" w:rsidRDefault="009B3EFE" w:rsidP="00AC61BC">
      <w:pPr>
        <w:pStyle w:val="Odstavecseseznamem"/>
        <w:numPr>
          <w:ilvl w:val="0"/>
          <w:numId w:val="12"/>
        </w:numPr>
        <w:spacing w:after="120" w:line="276" w:lineRule="auto"/>
        <w:ind w:left="1843" w:hanging="567"/>
        <w:contextualSpacing w:val="0"/>
        <w:jc w:val="both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</w:pPr>
      <w:r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Přebírat a kontrolovat poskytnutá plnění dodavatelů a ihned písemně upozornit objednatele na případné vady tohoto plnění a nutnost jejich uplatnění </w:t>
      </w:r>
      <w:r w:rsidR="00B63556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br/>
      </w:r>
      <w:r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u dodavatele.</w:t>
      </w:r>
    </w:p>
    <w:p w14:paraId="5C8D660A" w14:textId="0B0D5DD4" w:rsidR="00FB012C" w:rsidRPr="006E2D6B" w:rsidRDefault="006F645F" w:rsidP="000446EB">
      <w:pPr>
        <w:pStyle w:val="Odstavecseseznamem"/>
        <w:numPr>
          <w:ilvl w:val="0"/>
          <w:numId w:val="12"/>
        </w:numPr>
        <w:spacing w:after="120" w:line="276" w:lineRule="auto"/>
        <w:ind w:left="1843" w:hanging="567"/>
        <w:jc w:val="both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</w:pPr>
      <w:r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U</w:t>
      </w:r>
      <w:r w:rsidR="00EF3768"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pozornit objednatele na skutečnosti zakládající možnost uplatnění smluvních nároků vůči dodavatelům </w:t>
      </w:r>
    </w:p>
    <w:p w14:paraId="3BB8A94A" w14:textId="1C98CCE5" w:rsidR="00FB012C" w:rsidRPr="006E2D6B" w:rsidRDefault="000446EB" w:rsidP="00132944">
      <w:pPr>
        <w:spacing w:after="120" w:line="276" w:lineRule="auto"/>
        <w:ind w:left="851"/>
        <w:jc w:val="both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</w:pPr>
      <w:r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11. </w:t>
      </w:r>
      <w:r w:rsidR="00FB012C"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V rámci koordinace vlastního procesu stěhování se poskytovatel zavazuje zejména:</w:t>
      </w:r>
    </w:p>
    <w:p w14:paraId="35C3A994" w14:textId="21C2AFA6" w:rsidR="004F2A3B" w:rsidRPr="00787F42" w:rsidRDefault="006D228F" w:rsidP="00787F42">
      <w:pPr>
        <w:pStyle w:val="Odstavecseseznamem"/>
        <w:numPr>
          <w:ilvl w:val="0"/>
          <w:numId w:val="13"/>
        </w:numPr>
        <w:spacing w:after="120" w:line="276" w:lineRule="auto"/>
        <w:ind w:left="1843" w:hanging="567"/>
        <w:contextualSpacing w:val="0"/>
        <w:jc w:val="both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Zajišťovat komunikaci mezi </w:t>
      </w:r>
      <w:r w:rsidR="00344B05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stěhovací firmou a </w:t>
      </w:r>
      <w:r w:rsidR="00EE3BBE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objednatelem</w:t>
      </w:r>
      <w:r w:rsidR="006F645F"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.</w:t>
      </w:r>
      <w:r w:rsidR="00FB012C"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 </w:t>
      </w:r>
    </w:p>
    <w:p w14:paraId="48D6FACA" w14:textId="17054329" w:rsidR="00AE1214" w:rsidRDefault="004F2A3B" w:rsidP="0097102E">
      <w:pPr>
        <w:pStyle w:val="Odstavecseseznamem"/>
        <w:numPr>
          <w:ilvl w:val="0"/>
          <w:numId w:val="13"/>
        </w:numPr>
        <w:spacing w:after="120" w:line="276" w:lineRule="auto"/>
        <w:ind w:left="1843" w:hanging="567"/>
        <w:contextualSpacing w:val="0"/>
        <w:jc w:val="both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</w:pPr>
      <w:r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Průběžně sledovat a vyhodnocovat plnění harmonogramu </w:t>
      </w:r>
      <w:r w:rsidR="0097102E"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stěhování vybavení </w:t>
      </w:r>
      <w:r w:rsidR="00B63556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br/>
      </w:r>
      <w:r w:rsidR="0097102E"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a jednotlivých sekcí, kanceláří a zaměstnanců objednatele</w:t>
      </w:r>
      <w:r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, a bez zbytečného odkladu upozornit objednatele na riziko prodlení</w:t>
      </w:r>
      <w:r w:rsidR="009260E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 a doporučit</w:t>
      </w:r>
      <w:r w:rsidR="00D11E99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 objednateli</w:t>
      </w:r>
      <w:r w:rsidR="009260E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 nejvhodnější postup pro zamezení vzniku prodlení</w:t>
      </w:r>
      <w:r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.</w:t>
      </w:r>
    </w:p>
    <w:p w14:paraId="04626371" w14:textId="77777777" w:rsidR="00D113E9" w:rsidRDefault="007639A0" w:rsidP="0097102E">
      <w:pPr>
        <w:pStyle w:val="Odstavecseseznamem"/>
        <w:numPr>
          <w:ilvl w:val="0"/>
          <w:numId w:val="13"/>
        </w:numPr>
        <w:spacing w:after="120" w:line="276" w:lineRule="auto"/>
        <w:ind w:left="1843" w:hanging="567"/>
        <w:contextualSpacing w:val="0"/>
        <w:jc w:val="both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Bezodkladně u</w:t>
      </w:r>
      <w:r w:rsidR="00AE12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pozornit </w:t>
      </w:r>
      <w:r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objednatele </w:t>
      </w:r>
      <w:r w:rsidR="00AE121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na případn</w:t>
      </w:r>
      <w:r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é odchylky dodavatele stěhování od standardních postupů stěhování.</w:t>
      </w:r>
    </w:p>
    <w:p w14:paraId="09951E25" w14:textId="542832AC" w:rsidR="009B3EFE" w:rsidRPr="00853BB3" w:rsidRDefault="00D113E9" w:rsidP="00853BB3">
      <w:pPr>
        <w:spacing w:after="120" w:line="276" w:lineRule="auto"/>
        <w:ind w:left="1276"/>
        <w:jc w:val="both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Smluvní strany výslovně </w:t>
      </w:r>
      <w:r w:rsidR="00D61250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uvádí, že předmětem koordinace stěhování není koordinace interních činností objednatele</w:t>
      </w:r>
      <w:r w:rsidR="0029551C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 v souvislosti se stěhováním</w:t>
      </w:r>
      <w:r w:rsidR="00D248B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 ani vzájemná koordinace činností jednotlivých sekcí objednatele</w:t>
      </w:r>
      <w:r w:rsidR="00D61250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 </w:t>
      </w:r>
      <w:r w:rsidR="006E2D6B" w:rsidRPr="00853BB3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“</w:t>
      </w:r>
      <w:r w:rsidR="004F2A3B" w:rsidRPr="00853BB3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 </w:t>
      </w:r>
    </w:p>
    <w:p w14:paraId="315B0E2C" w14:textId="00AF6F7C" w:rsidR="00DF469E" w:rsidRPr="004276D8" w:rsidRDefault="00DF469E" w:rsidP="00F32AFB">
      <w:pPr>
        <w:pStyle w:val="Odstavecseseznamem"/>
        <w:numPr>
          <w:ilvl w:val="0"/>
          <w:numId w:val="9"/>
        </w:numPr>
        <w:spacing w:after="60" w:line="276" w:lineRule="auto"/>
        <w:ind w:left="850" w:hanging="425"/>
        <w:contextualSpacing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cs-CZ"/>
          <w14:ligatures w14:val="none"/>
        </w:rPr>
      </w:pPr>
      <w:r w:rsidRPr="004276D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cs-CZ"/>
          <w14:ligatures w14:val="none"/>
        </w:rPr>
        <w:t>V článku I. Smlouvy se původní odstavce 8., 9. a 10 přečíslovávají následovně:</w:t>
      </w:r>
    </w:p>
    <w:p w14:paraId="206AC89D" w14:textId="72E19BC7" w:rsidR="00DF469E" w:rsidRDefault="00DF469E" w:rsidP="004276D8">
      <w:pPr>
        <w:pStyle w:val="Odstavecseseznamem"/>
        <w:numPr>
          <w:ilvl w:val="0"/>
          <w:numId w:val="6"/>
        </w:numPr>
        <w:spacing w:after="60" w:line="276" w:lineRule="auto"/>
        <w:ind w:left="1417" w:hanging="357"/>
        <w:contextualSpacing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odstavec 8 se přečíslovává na odstavec 1</w:t>
      </w:r>
      <w:r w:rsidR="00ED6061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2</w:t>
      </w:r>
    </w:p>
    <w:p w14:paraId="1F95AA6B" w14:textId="37F6AA4D" w:rsidR="00DF469E" w:rsidRDefault="00DF469E" w:rsidP="004276D8">
      <w:pPr>
        <w:pStyle w:val="Odstavecseseznamem"/>
        <w:numPr>
          <w:ilvl w:val="0"/>
          <w:numId w:val="6"/>
        </w:numPr>
        <w:spacing w:after="60" w:line="276" w:lineRule="auto"/>
        <w:ind w:left="1417" w:hanging="357"/>
        <w:contextualSpacing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odstavec 9 se přečíslovává na odstavec 1</w:t>
      </w:r>
      <w:r w:rsidR="00ED6061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3</w:t>
      </w:r>
    </w:p>
    <w:p w14:paraId="57F0326D" w14:textId="73E48E5C" w:rsidR="00DF469E" w:rsidRDefault="00DF469E" w:rsidP="004276D8">
      <w:pPr>
        <w:pStyle w:val="Odstavecseseznamem"/>
        <w:numPr>
          <w:ilvl w:val="0"/>
          <w:numId w:val="6"/>
        </w:numPr>
        <w:spacing w:after="60" w:line="276" w:lineRule="auto"/>
        <w:ind w:left="1417" w:hanging="357"/>
        <w:contextualSpacing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odstavec 10 se přečíslovává na odstavec 1</w:t>
      </w:r>
      <w:r w:rsidR="00ED6061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4</w:t>
      </w:r>
    </w:p>
    <w:p w14:paraId="7382A2F4" w14:textId="75B2575C" w:rsidR="004F039D" w:rsidRDefault="004F039D" w:rsidP="004276D8">
      <w:pPr>
        <w:pStyle w:val="Odstavecseseznamem"/>
        <w:spacing w:after="120" w:line="276" w:lineRule="auto"/>
        <w:ind w:left="1077"/>
        <w:contextualSpacing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4F039D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Pododstavce těchto odstavců se odpovídajícím způsobem přečíslovávají tak, že první číslice označení pododstavce odpovídá číslu odstavce, jehož jsou součástí.</w:t>
      </w:r>
    </w:p>
    <w:p w14:paraId="757FF9C2" w14:textId="73CDCB83" w:rsidR="00DF469E" w:rsidRPr="004276D8" w:rsidRDefault="009A7B78" w:rsidP="004276D8">
      <w:pPr>
        <w:pStyle w:val="Odstavecseseznamem"/>
        <w:numPr>
          <w:ilvl w:val="0"/>
          <w:numId w:val="9"/>
        </w:numPr>
        <w:spacing w:after="120" w:line="276" w:lineRule="auto"/>
        <w:ind w:left="851" w:hanging="425"/>
        <w:jc w:val="both"/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cs-CZ"/>
          <w14:ligatures w14:val="none"/>
        </w:rPr>
      </w:pPr>
      <w:r w:rsidRPr="004276D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cs-CZ"/>
          <w14:ligatures w14:val="none"/>
        </w:rPr>
        <w:t>V článku I. Smlouvy se původní odstavec 8 (nově 12) bod 8.</w:t>
      </w:r>
      <w:r w:rsidR="0090072D" w:rsidRPr="004276D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cs-CZ"/>
          <w14:ligatures w14:val="none"/>
        </w:rPr>
        <w:t>6 (nově bod 12.6) zrušuje</w:t>
      </w:r>
      <w:r w:rsidR="00B425C3" w:rsidRPr="004276D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cs-CZ"/>
          <w14:ligatures w14:val="none"/>
        </w:rPr>
        <w:t>.</w:t>
      </w:r>
    </w:p>
    <w:p w14:paraId="1EC0D919" w14:textId="77777777" w:rsidR="00B425C3" w:rsidRDefault="00B425C3" w:rsidP="00B425C3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</w:p>
    <w:p w14:paraId="1A779344" w14:textId="47C7BBF0" w:rsidR="00C743E6" w:rsidRDefault="008C0A0B" w:rsidP="004276D8">
      <w:pPr>
        <w:pStyle w:val="Odstavecseseznamem"/>
        <w:numPr>
          <w:ilvl w:val="1"/>
          <w:numId w:val="5"/>
        </w:numPr>
        <w:spacing w:after="120" w:line="276" w:lineRule="auto"/>
        <w:ind w:left="851" w:hanging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Článek II. odst. 1 Smlouvy se </w:t>
      </w:r>
      <w:r w:rsidR="00156B4B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ruší a nahrazuje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 následovn</w:t>
      </w:r>
      <w:r w:rsidR="00156B4B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ým ujednáním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:</w:t>
      </w:r>
    </w:p>
    <w:p w14:paraId="173C3B6F" w14:textId="77777777" w:rsidR="008C0A0B" w:rsidRDefault="008C0A0B" w:rsidP="008C0A0B">
      <w:pPr>
        <w:pStyle w:val="Odstavecseseznamem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</w:p>
    <w:p w14:paraId="3FDE5022" w14:textId="3FEE40AE" w:rsidR="00AC1536" w:rsidRPr="00AC1536" w:rsidRDefault="00AC1536" w:rsidP="004276D8">
      <w:pPr>
        <w:ind w:left="1134" w:hanging="283"/>
        <w:jc w:val="both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</w:pPr>
      <w:r w:rsidRPr="00AC1536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„1. Celková cena za poskytnutí Služeb činí ve svém souhrnu maximálně částku ve výši:</w:t>
      </w:r>
      <w:bookmarkStart w:id="0" w:name="_Hlk145932325"/>
      <w:r w:rsidRPr="00AC1536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 </w:t>
      </w:r>
      <w:proofErr w:type="gramStart"/>
      <w:r w:rsidRPr="00AC1536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eastAsia="cs-CZ"/>
          <w14:ligatures w14:val="none"/>
        </w:rPr>
        <w:t>1.250.000,-</w:t>
      </w:r>
      <w:proofErr w:type="gramEnd"/>
      <w:r w:rsidRPr="00AC1536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eastAsia="cs-CZ"/>
          <w14:ligatures w14:val="none"/>
        </w:rPr>
        <w:t xml:space="preserve"> Kč </w:t>
      </w:r>
      <w:r w:rsidRPr="00AC1536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(slovy: jeden milion dvě stě padesát tisíc korun českých) </w:t>
      </w:r>
      <w:r w:rsidRPr="009D18FB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eastAsia="cs-CZ"/>
          <w14:ligatures w14:val="none"/>
        </w:rPr>
        <w:t>bez DPH</w:t>
      </w:r>
      <w:r w:rsidRPr="00AC1536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eastAsia="cs-CZ"/>
          <w14:ligatures w14:val="none"/>
        </w:rPr>
        <w:t xml:space="preserve">. </w:t>
      </w:r>
      <w:r w:rsidR="00B63556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eastAsia="cs-CZ"/>
          <w14:ligatures w14:val="none"/>
        </w:rPr>
        <w:br/>
      </w:r>
      <w:r w:rsidRPr="00AC1536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K celkové ceně bude připočtena DPH v zákonné výši. </w:t>
      </w:r>
    </w:p>
    <w:bookmarkEnd w:id="0"/>
    <w:p w14:paraId="734123CF" w14:textId="6F0DC0C4" w:rsidR="00AC1536" w:rsidRPr="00AC1536" w:rsidRDefault="00AC1536" w:rsidP="00AC1536">
      <w:pPr>
        <w:pStyle w:val="Odstavecseseznamem"/>
        <w:ind w:firstLine="360"/>
        <w:jc w:val="both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</w:pPr>
      <w:r w:rsidRPr="00AC1536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Objednatel však není povinen vyčerpat celkový sjednaný finanční rámec.</w:t>
      </w:r>
    </w:p>
    <w:p w14:paraId="333E3F7A" w14:textId="3234234F" w:rsidR="00AC1536" w:rsidRPr="00AC1536" w:rsidRDefault="00AC1536" w:rsidP="00AC1536">
      <w:pPr>
        <w:pStyle w:val="Odstavecseseznamem"/>
        <w:spacing w:after="120"/>
        <w:ind w:left="1077"/>
        <w:contextualSpacing w:val="0"/>
        <w:jc w:val="both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</w:pPr>
      <w:r w:rsidRPr="00AC1536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Hodinová sazba činí: </w:t>
      </w:r>
      <w:proofErr w:type="gramStart"/>
      <w:r w:rsidRPr="00AC1536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eastAsia="cs-CZ"/>
          <w14:ligatures w14:val="none"/>
        </w:rPr>
        <w:t>2.000,-</w:t>
      </w:r>
      <w:proofErr w:type="gramEnd"/>
      <w:r w:rsidRPr="00AC1536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eastAsia="cs-CZ"/>
          <w14:ligatures w14:val="none"/>
        </w:rPr>
        <w:t xml:space="preserve"> Kč bez DPH. </w:t>
      </w:r>
      <w:r w:rsidRPr="00AC1536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K hodinové sazbě bude připočtena DPH </w:t>
      </w:r>
      <w:r w:rsidR="00B63556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br/>
      </w:r>
      <w:r w:rsidRPr="00AC1536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v zákonné výši.</w:t>
      </w:r>
    </w:p>
    <w:p w14:paraId="663E7833" w14:textId="76F67208" w:rsidR="00AC1536" w:rsidRDefault="00AC1536" w:rsidP="00AC1536">
      <w:pPr>
        <w:pStyle w:val="Odstavecseseznamem"/>
        <w:ind w:left="1080"/>
        <w:jc w:val="both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</w:pPr>
      <w:r w:rsidRPr="00AC1536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Cena za poskytnutí Služeb bude objednatelem hrazena měsíčně na základě výkazu skutečně odpracovaných hodin (dále jen „</w:t>
      </w:r>
      <w:r w:rsidRPr="00AC1536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eastAsia="cs-CZ"/>
          <w14:ligatures w14:val="none"/>
        </w:rPr>
        <w:t>výkaz</w:t>
      </w:r>
      <w:r w:rsidRPr="00AC1536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“), a to po odsouhlasení výkazu objednatelem.“</w:t>
      </w:r>
    </w:p>
    <w:p w14:paraId="5C8FE137" w14:textId="77777777" w:rsidR="00245965" w:rsidRPr="00AC1536" w:rsidRDefault="00245965" w:rsidP="00AC1536">
      <w:pPr>
        <w:pStyle w:val="Odstavecseseznamem"/>
        <w:ind w:left="1080"/>
        <w:jc w:val="both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</w:pPr>
    </w:p>
    <w:p w14:paraId="66546A6E" w14:textId="1F79D2E0" w:rsidR="001844B4" w:rsidRDefault="00CA6DF0" w:rsidP="004276D8">
      <w:pPr>
        <w:pStyle w:val="Odstavecseseznamem"/>
        <w:numPr>
          <w:ilvl w:val="1"/>
          <w:numId w:val="5"/>
        </w:numPr>
        <w:spacing w:after="120" w:line="276" w:lineRule="auto"/>
        <w:ind w:left="851" w:hanging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Článek IV. Smlouvy se mění následovně:</w:t>
      </w:r>
    </w:p>
    <w:p w14:paraId="5C92DD13" w14:textId="77777777" w:rsidR="00245965" w:rsidRDefault="00245965" w:rsidP="00245965">
      <w:pPr>
        <w:pStyle w:val="Odstavecseseznamem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</w:p>
    <w:p w14:paraId="2FAF9CC1" w14:textId="1FDFF166" w:rsidR="00CA6DF0" w:rsidRDefault="004276D8" w:rsidP="004276D8">
      <w:pPr>
        <w:pStyle w:val="Odstavecseseznamem"/>
        <w:numPr>
          <w:ilvl w:val="0"/>
          <w:numId w:val="16"/>
        </w:numPr>
        <w:spacing w:after="120" w:line="276" w:lineRule="auto"/>
        <w:ind w:left="993" w:hanging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cs-CZ"/>
          <w14:ligatures w14:val="none"/>
        </w:rPr>
        <w:lastRenderedPageBreak/>
        <w:t>D</w:t>
      </w:r>
      <w:r w:rsidR="00C52080" w:rsidRPr="004276D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cs-CZ"/>
          <w14:ligatures w14:val="none"/>
        </w:rPr>
        <w:t xml:space="preserve">o </w:t>
      </w:r>
      <w:r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cs-CZ"/>
          <w14:ligatures w14:val="none"/>
        </w:rPr>
        <w:t>č</w:t>
      </w:r>
      <w:r w:rsidR="00C52080" w:rsidRPr="004276D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cs-CZ"/>
          <w14:ligatures w14:val="none"/>
        </w:rPr>
        <w:t>lánku IV. odst. 1.  se zařazuje pododstavec</w:t>
      </w:r>
      <w:r w:rsidR="00245965" w:rsidRPr="004276D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cs-CZ"/>
          <w14:ligatures w14:val="none"/>
        </w:rPr>
        <w:t xml:space="preserve"> 1.4, který zní následovně</w:t>
      </w:r>
      <w:r w:rsidR="00245965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:</w:t>
      </w:r>
    </w:p>
    <w:p w14:paraId="58713E56" w14:textId="77777777" w:rsidR="00445D07" w:rsidRPr="006E2D6B" w:rsidRDefault="00445D07" w:rsidP="00445D07">
      <w:pPr>
        <w:pStyle w:val="Odstavecseseznamem"/>
        <w:spacing w:after="120" w:line="276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</w:pPr>
    </w:p>
    <w:p w14:paraId="49D9C79A" w14:textId="2FC22160" w:rsidR="00CA3301" w:rsidRDefault="006E2D6B" w:rsidP="0029122E">
      <w:pPr>
        <w:pStyle w:val="Odstavecseseznamem"/>
        <w:ind w:left="1276" w:hanging="425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</w:pPr>
      <w:r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„</w:t>
      </w:r>
      <w:r w:rsidR="00245965"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1.4 </w:t>
      </w:r>
      <w:r w:rsidR="00CA3301"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Objednatel se zavazuje vystavit poskytovateli příslušnou plnou moc k jednáním </w:t>
      </w:r>
      <w:r w:rsidR="00445D07"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za účelem plnění Služeb dle čl. I. odst. </w:t>
      </w:r>
      <w:r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8 této smlouvy</w:t>
      </w:r>
      <w:r w:rsidR="00C04CE6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.</w:t>
      </w:r>
      <w:r w:rsidRPr="006E2D6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“</w:t>
      </w:r>
    </w:p>
    <w:p w14:paraId="03CFBE3C" w14:textId="52F8C228" w:rsidR="007F00C9" w:rsidRDefault="007F00C9" w:rsidP="007F00C9">
      <w:pPr>
        <w:pStyle w:val="Odstavecseseznamem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</w:pPr>
    </w:p>
    <w:p w14:paraId="263D325B" w14:textId="6A9B3090" w:rsidR="007F00C9" w:rsidRPr="004276D8" w:rsidRDefault="004276D8" w:rsidP="004276D8">
      <w:pPr>
        <w:pStyle w:val="Odstavecseseznamem"/>
        <w:numPr>
          <w:ilvl w:val="0"/>
          <w:numId w:val="16"/>
        </w:numPr>
        <w:ind w:left="993" w:hanging="567"/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cs-CZ"/>
          <w14:ligatures w14:val="none"/>
        </w:rPr>
        <w:t>D</w:t>
      </w:r>
      <w:r w:rsidR="007F00C9" w:rsidRPr="004276D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cs-CZ"/>
          <w14:ligatures w14:val="none"/>
        </w:rPr>
        <w:t xml:space="preserve">o článku </w:t>
      </w:r>
      <w:r w:rsidR="00AE3344" w:rsidRPr="004276D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cs-CZ"/>
          <w14:ligatures w14:val="none"/>
        </w:rPr>
        <w:t>IV. odst. 2 se zařazuj</w:t>
      </w:r>
      <w:r w:rsidR="00BC204C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cs-CZ"/>
          <w14:ligatures w14:val="none"/>
        </w:rPr>
        <w:t>e</w:t>
      </w:r>
      <w:r w:rsidR="00AE3344" w:rsidRPr="004276D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cs-CZ"/>
          <w14:ligatures w14:val="none"/>
        </w:rPr>
        <w:t xml:space="preserve"> pododstav</w:t>
      </w:r>
      <w:r w:rsidR="00BC204C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cs-CZ"/>
          <w14:ligatures w14:val="none"/>
        </w:rPr>
        <w:t>ec</w:t>
      </w:r>
      <w:r w:rsidR="00AE3344" w:rsidRPr="004276D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cs-CZ"/>
          <w14:ligatures w14:val="none"/>
        </w:rPr>
        <w:t xml:space="preserve"> 2.17, kter</w:t>
      </w:r>
      <w:r w:rsidR="00A12820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cs-CZ"/>
          <w14:ligatures w14:val="none"/>
        </w:rPr>
        <w:t>ý</w:t>
      </w:r>
      <w:r w:rsidR="00AE3344" w:rsidRPr="004276D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cs-CZ"/>
          <w14:ligatures w14:val="none"/>
        </w:rPr>
        <w:t xml:space="preserve"> zní následovně:</w:t>
      </w:r>
    </w:p>
    <w:p w14:paraId="40CD23B7" w14:textId="77777777" w:rsidR="00AE3344" w:rsidRDefault="00AE3344" w:rsidP="00AE3344">
      <w:pPr>
        <w:pStyle w:val="Odstavecseseznamem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</w:p>
    <w:p w14:paraId="200452D2" w14:textId="0C34A4D5" w:rsidR="00AE3344" w:rsidRDefault="004276D8" w:rsidP="009D18FB">
      <w:pPr>
        <w:pStyle w:val="Odstavecseseznamem"/>
        <w:spacing w:after="120"/>
        <w:ind w:left="1276" w:hanging="425"/>
        <w:contextualSpacing w:val="0"/>
        <w:jc w:val="both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„</w:t>
      </w:r>
      <w:r w:rsidR="00AE3344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2.17</w:t>
      </w:r>
      <w:r w:rsidR="00AE3344" w:rsidRPr="00AE334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 Poskytovatel je při zastupování objednatele</w:t>
      </w:r>
      <w:r w:rsidR="00AE334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 </w:t>
      </w:r>
      <w:r w:rsidR="00C14FC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dle čl. I. odst. 8</w:t>
      </w:r>
      <w:r w:rsidR="00AE3344" w:rsidRPr="00AE334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 </w:t>
      </w:r>
      <w:r w:rsidR="00E235C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této smlouvy </w:t>
      </w:r>
      <w:r w:rsidR="00AE3344" w:rsidRPr="00AE334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postupovat dle pokynů objednatele</w:t>
      </w:r>
      <w:r w:rsidR="0049798E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="0049798E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pododst</w:t>
      </w:r>
      <w:proofErr w:type="spellEnd"/>
      <w:r w:rsidR="0049798E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. 2.14 t</w:t>
      </w:r>
      <w:r w:rsidR="00F45C5C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ohoto odstavce není dotčen</w:t>
      </w:r>
      <w:r w:rsidR="00AE3344" w:rsidRPr="00AE334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. Poskytovatel se zároveň zavazuje dodržovat obecně závazné předpisy a ujednání této smlouvy a neprodleně objednatele písemně informovat o všech podstatných skutečnostech zjištěných při plnění </w:t>
      </w:r>
      <w:r w:rsidR="00D80217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povinností dle čl. I. odst. 8 této smlouvy</w:t>
      </w:r>
      <w:r w:rsidR="00AE3344" w:rsidRPr="00AE334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. Poskytovatel se zdrží veškerého jednání, které by mohlo přímo nebo nepřímo ohrozit zájmy objednatele.</w:t>
      </w:r>
      <w:r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“</w:t>
      </w:r>
      <w:r w:rsidR="00AE3344" w:rsidRPr="00AE334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 </w:t>
      </w:r>
    </w:p>
    <w:p w14:paraId="5942620E" w14:textId="145276FC" w:rsidR="007C3870" w:rsidRPr="00F852FF" w:rsidRDefault="007C3870" w:rsidP="009D18FB">
      <w:pPr>
        <w:pStyle w:val="Odstavecseseznamem"/>
        <w:spacing w:after="120"/>
        <w:ind w:left="1276"/>
        <w:contextualSpacing w:val="0"/>
        <w:jc w:val="both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</w:pPr>
      <w:r w:rsidRPr="00F852F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Poskytovatel je povinen </w:t>
      </w:r>
      <w:r w:rsidR="00F852F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z</w:t>
      </w:r>
      <w:r w:rsidRPr="00F852F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kontrolovat veškeré inf</w:t>
      </w:r>
      <w:r w:rsidR="00E04467" w:rsidRPr="00F852F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or</w:t>
      </w:r>
      <w:r w:rsidRPr="00F852F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mace a </w:t>
      </w:r>
      <w:r w:rsidR="00F852F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ma</w:t>
      </w:r>
      <w:r w:rsidRPr="00F852F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teriály předané mu objednatelem za účelem plnění </w:t>
      </w:r>
      <w:r w:rsidR="00923EF7" w:rsidRPr="00F852F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Služeb dle čl. I. odst. 8</w:t>
      </w:r>
      <w:r w:rsidR="00E235C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 této smlouvy</w:t>
      </w:r>
      <w:r w:rsidR="00923EF7" w:rsidRPr="00F852F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, a to z hledisk</w:t>
      </w:r>
      <w:r w:rsidR="00F852F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a</w:t>
      </w:r>
      <w:r w:rsidR="00923EF7" w:rsidRPr="00F852F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 jejich úplnosti, přehlednosti a využitelnosti pro proveden</w:t>
      </w:r>
      <w:r w:rsidR="00633C3F" w:rsidRPr="00F852F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í těchto Služeb, a v případě, že bude posk</w:t>
      </w:r>
      <w:r w:rsidR="00F852F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y</w:t>
      </w:r>
      <w:r w:rsidR="00633C3F" w:rsidRPr="00F852F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tnuté informace a materiály </w:t>
      </w:r>
      <w:r w:rsidR="001779EA" w:rsidRPr="00F852F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považovat za nedostatečně, upozorní bez zbytečného </w:t>
      </w:r>
      <w:r w:rsidR="00A22A04" w:rsidRPr="00F852F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odkladu na tuto skutečnost objednatele. </w:t>
      </w:r>
    </w:p>
    <w:p w14:paraId="0A4414DA" w14:textId="25E7229B" w:rsidR="00AE3344" w:rsidRDefault="00C14FCF" w:rsidP="009D18FB">
      <w:pPr>
        <w:pStyle w:val="Odstavecseseznamem"/>
        <w:ind w:left="1276"/>
        <w:jc w:val="both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V</w:t>
      </w:r>
      <w:r w:rsidRPr="00AE334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ýsledek </w:t>
      </w:r>
      <w:r w:rsidR="00884917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jakýchkoliv </w:t>
      </w:r>
      <w:r w:rsidRPr="00AE334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jednání s pronajímatelem nebo dodavateli objednatele</w:t>
      </w:r>
      <w:r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 se p</w:t>
      </w:r>
      <w:r w:rsidR="00AE3344" w:rsidRPr="00C14FC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oskytovatel zavazuje sdělit objednateli písemně</w:t>
      </w:r>
      <w:r w:rsidR="00884917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 ihned,</w:t>
      </w:r>
      <w:r w:rsidR="00AE3344" w:rsidRPr="00C14FC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nejpozději</w:t>
      </w:r>
      <w:r w:rsidR="00884917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 však</w:t>
      </w:r>
      <w:r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 do jednoho pracovního </w:t>
      </w:r>
      <w:r w:rsidR="009875B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dne.</w:t>
      </w:r>
    </w:p>
    <w:p w14:paraId="54DCF1BE" w14:textId="77777777" w:rsidR="00662232" w:rsidRPr="00C14FCF" w:rsidRDefault="00662232" w:rsidP="00F852FF">
      <w:pPr>
        <w:pStyle w:val="Odstavecseseznamem"/>
        <w:jc w:val="both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</w:pPr>
    </w:p>
    <w:p w14:paraId="7210D7AB" w14:textId="0C9E131D" w:rsidR="00245965" w:rsidRDefault="00662232" w:rsidP="0029122E">
      <w:pPr>
        <w:pStyle w:val="Odstavecseseznamem"/>
        <w:numPr>
          <w:ilvl w:val="1"/>
          <w:numId w:val="5"/>
        </w:numPr>
        <w:spacing w:after="120" w:line="276" w:lineRule="auto"/>
        <w:ind w:left="851" w:hanging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Článek VII. odst. 3 se mění následovně:</w:t>
      </w:r>
    </w:p>
    <w:p w14:paraId="3F811EE7" w14:textId="77777777" w:rsidR="00662232" w:rsidRDefault="00662232" w:rsidP="00662232">
      <w:pPr>
        <w:pStyle w:val="Odstavecseseznamem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</w:p>
    <w:p w14:paraId="767816EF" w14:textId="6C63D853" w:rsidR="000B1BC0" w:rsidRDefault="0094612B" w:rsidP="0029122E">
      <w:pPr>
        <w:pStyle w:val="Odstavecseseznamem"/>
        <w:ind w:left="1276" w:hanging="425"/>
        <w:jc w:val="both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„</w:t>
      </w:r>
      <w:r w:rsidR="000C6774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3</w:t>
      </w:r>
      <w:r w:rsidRPr="007945E5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.</w:t>
      </w:r>
      <w:r w:rsidR="0029122E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 </w:t>
      </w:r>
      <w:r w:rsidRPr="007945E5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 Důvěrnými informacemi se pro účely této smlouvy rozumí veškeré neveřejné skutečnosti obchodní, výrobní či technické povahy související s činností smluvních stran, zejména veškerá průmyslová práva a know-how, postupy, projektové dokumentace, analýzy, data, podklady, jakékoliv informace získané od dodavatelů nebo od objednatele v rámci plnění </w:t>
      </w:r>
      <w:r w:rsidR="00FA2544" w:rsidRPr="007945E5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Služeb dle čl. I. odst. 8 této smlouvy</w:t>
      </w:r>
      <w:r w:rsidR="007945E5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 včetně</w:t>
      </w:r>
      <w:r w:rsidR="00D26826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 pokynů objednatele a</w:t>
      </w:r>
      <w:r w:rsidR="007945E5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 </w:t>
      </w:r>
      <w:r w:rsidR="007C39E3" w:rsidRPr="007945E5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výsled</w:t>
      </w:r>
      <w:r w:rsidR="007945E5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ku</w:t>
      </w:r>
      <w:r w:rsidR="007C39E3" w:rsidRPr="007945E5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 jednání s pronajímatelem a</w:t>
      </w:r>
      <w:r w:rsidR="007734D9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/nebo</w:t>
      </w:r>
      <w:r w:rsidR="007C39E3" w:rsidRPr="007945E5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 dodavateli, jakož</w:t>
      </w:r>
      <w:r w:rsidRPr="007945E5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 </w:t>
      </w:r>
      <w:r w:rsidR="007734D9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i</w:t>
      </w:r>
      <w:r w:rsidRPr="007945E5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 xml:space="preserve"> další materiální či nemateriální hodnoty bez ohledu na formu jejich zachycení nebo předání. Za důvěrné informace jsou považovány také veškeré podklady předávané objednatelem poskytovateli za účelem plnění této smlouvy, a to bez ohledu na formu jejich předání.</w:t>
      </w:r>
      <w:r w:rsidR="007945E5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  <w:t>“</w:t>
      </w:r>
    </w:p>
    <w:p w14:paraId="2A3A82E3" w14:textId="77777777" w:rsidR="000B1BC0" w:rsidRPr="000B1BC0" w:rsidRDefault="000B1BC0" w:rsidP="000B1BC0">
      <w:pPr>
        <w:pStyle w:val="Odstavecseseznamem"/>
        <w:jc w:val="both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</w:pPr>
    </w:p>
    <w:p w14:paraId="3ED40775" w14:textId="0FDE0ED8" w:rsidR="00936852" w:rsidRDefault="009E55E3" w:rsidP="0029122E">
      <w:pPr>
        <w:pStyle w:val="Odstavecseseznamem"/>
        <w:numPr>
          <w:ilvl w:val="1"/>
          <w:numId w:val="5"/>
        </w:numPr>
        <w:ind w:left="993" w:hanging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Článek </w:t>
      </w:r>
      <w:r w:rsidR="00AB3882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VIII. odst. </w:t>
      </w:r>
      <w:r w:rsidR="009D342A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3 se mění následovně:</w:t>
      </w:r>
    </w:p>
    <w:p w14:paraId="7A036915" w14:textId="77777777" w:rsidR="005A3B46" w:rsidRDefault="005A3B46" w:rsidP="005A3B46">
      <w:pPr>
        <w:pStyle w:val="Odstavecseseznamem"/>
        <w:jc w:val="both"/>
        <w:rPr>
          <w:rFonts w:ascii="Times New Roman" w:hAnsi="Times New Roman" w:cs="Times New Roman"/>
        </w:rPr>
      </w:pPr>
    </w:p>
    <w:p w14:paraId="0138A0CE" w14:textId="04107F79" w:rsidR="009D342A" w:rsidRPr="00EB7BE6" w:rsidRDefault="005A3B46" w:rsidP="0029122E">
      <w:pPr>
        <w:pStyle w:val="Odstavecseseznamem"/>
        <w:ind w:left="1276" w:hanging="425"/>
        <w:jc w:val="both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</w:pPr>
      <w:r w:rsidRPr="00EB7BE6">
        <w:rPr>
          <w:rFonts w:ascii="Times New Roman" w:hAnsi="Times New Roman" w:cs="Times New Roman"/>
          <w:i/>
          <w:iCs/>
        </w:rPr>
        <w:t>„</w:t>
      </w:r>
      <w:r w:rsidRPr="000C6774">
        <w:rPr>
          <w:rFonts w:ascii="Times New Roman" w:hAnsi="Times New Roman" w:cs="Times New Roman"/>
          <w:i/>
          <w:iCs/>
          <w:sz w:val="22"/>
          <w:szCs w:val="22"/>
        </w:rPr>
        <w:t>3.</w:t>
      </w:r>
      <w:r w:rsidR="000C677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0C6774">
        <w:rPr>
          <w:rFonts w:ascii="Times New Roman" w:hAnsi="Times New Roman" w:cs="Times New Roman"/>
          <w:i/>
          <w:iCs/>
          <w:sz w:val="22"/>
          <w:szCs w:val="22"/>
        </w:rPr>
        <w:t xml:space="preserve"> Poruší – </w:t>
      </w:r>
      <w:proofErr w:type="spellStart"/>
      <w:r w:rsidRPr="000C6774">
        <w:rPr>
          <w:rFonts w:ascii="Times New Roman" w:hAnsi="Times New Roman" w:cs="Times New Roman"/>
          <w:i/>
          <w:iCs/>
          <w:sz w:val="22"/>
          <w:szCs w:val="22"/>
        </w:rPr>
        <w:t>li</w:t>
      </w:r>
      <w:proofErr w:type="spellEnd"/>
      <w:r w:rsidRPr="000C6774">
        <w:rPr>
          <w:rFonts w:ascii="Times New Roman" w:hAnsi="Times New Roman" w:cs="Times New Roman"/>
          <w:i/>
          <w:iCs/>
          <w:sz w:val="22"/>
          <w:szCs w:val="22"/>
        </w:rPr>
        <w:t xml:space="preserve"> poskytovatel některou svoji povinnost obsaženou v čl. IV. odst. 2 body 2.1 až 2.8 (včetně), 2.10, 2.12, 2.14 nebo 2.17 této smlouvy, zaplatí objednateli smluvní pokutu ve výši 10.000 Kč (slovy: deset tisíc korun českých) za každé jednotlivé porušení.</w:t>
      </w:r>
      <w:r w:rsidR="00EB7BE6" w:rsidRPr="000C6774">
        <w:rPr>
          <w:rFonts w:ascii="Times New Roman" w:hAnsi="Times New Roman" w:cs="Times New Roman"/>
          <w:i/>
          <w:iCs/>
          <w:sz w:val="22"/>
          <w:szCs w:val="22"/>
        </w:rPr>
        <w:t>“</w:t>
      </w:r>
    </w:p>
    <w:p w14:paraId="55994262" w14:textId="77777777" w:rsidR="0094612B" w:rsidRDefault="0094612B" w:rsidP="00A55E14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</w:p>
    <w:p w14:paraId="2BF618D9" w14:textId="2827DE99" w:rsidR="00AA51CE" w:rsidRPr="00AA51CE" w:rsidRDefault="00AA51CE" w:rsidP="00AA51C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cs-CZ"/>
          <w14:ligatures w14:val="none"/>
        </w:rPr>
      </w:pPr>
      <w:r w:rsidRPr="00AA51C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cs-CZ"/>
          <w14:ligatures w14:val="none"/>
        </w:rPr>
        <w:t>Článek III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cs-CZ"/>
          <w14:ligatures w14:val="none"/>
        </w:rPr>
        <w:t>.</w:t>
      </w:r>
    </w:p>
    <w:p w14:paraId="1B240511" w14:textId="77777777" w:rsidR="00AA51CE" w:rsidRPr="00AA51CE" w:rsidRDefault="00AA51CE" w:rsidP="00AA51CE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cs-CZ"/>
          <w14:ligatures w14:val="none"/>
        </w:rPr>
      </w:pPr>
      <w:r w:rsidRPr="00AA51C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cs-CZ"/>
          <w14:ligatures w14:val="none"/>
        </w:rPr>
        <w:t>Závěrečná ujednání</w:t>
      </w:r>
    </w:p>
    <w:p w14:paraId="484E6D4F" w14:textId="6CC4E4B7" w:rsidR="00AA51CE" w:rsidRPr="00AA51CE" w:rsidRDefault="00AA51CE" w:rsidP="00AA51CE">
      <w:pPr>
        <w:numPr>
          <w:ilvl w:val="1"/>
          <w:numId w:val="18"/>
        </w:numPr>
        <w:tabs>
          <w:tab w:val="clear" w:pos="1004"/>
          <w:tab w:val="num" w:pos="709"/>
        </w:tabs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AA51CE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Ostatní ujednání </w:t>
      </w:r>
      <w:r w:rsidR="0029122E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Smlouvy</w:t>
      </w:r>
      <w:r w:rsidRPr="00AA51CE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 nedotčené tímto Dodatkem zůstávají nezměněn</w:t>
      </w:r>
      <w:r w:rsidR="003A5644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á</w:t>
      </w:r>
      <w:r w:rsidRPr="00AA51CE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 a v platnosti.</w:t>
      </w:r>
    </w:p>
    <w:p w14:paraId="03C45169" w14:textId="23FFBF4C" w:rsidR="00AA51CE" w:rsidRPr="00AA51CE" w:rsidRDefault="00AA51CE" w:rsidP="00AA51CE">
      <w:pPr>
        <w:numPr>
          <w:ilvl w:val="1"/>
          <w:numId w:val="18"/>
        </w:numPr>
        <w:tabs>
          <w:tab w:val="clear" w:pos="1004"/>
          <w:tab w:val="num" w:pos="709"/>
        </w:tabs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cs-CZ"/>
          <w14:ligatures w14:val="none"/>
        </w:rPr>
      </w:pPr>
      <w:r w:rsidRPr="00AA51CE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lastRenderedPageBreak/>
        <w:t xml:space="preserve">Tento Dodatek nabývá platnosti dnem jeho podpisu oběma </w:t>
      </w:r>
      <w:r w:rsidR="0029122E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smluvními s</w:t>
      </w:r>
      <w:r w:rsidRPr="00AA51CE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tranami, není-li v Dodatku uvedeno jiné datum</w:t>
      </w:r>
      <w:r w:rsidR="003A5644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,</w:t>
      </w:r>
      <w:r w:rsidRPr="00AA51CE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 a účinnosti</w:t>
      </w:r>
      <w:r w:rsidRPr="00AA51CE"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cs-CZ"/>
          <w14:ligatures w14:val="none"/>
        </w:rPr>
        <w:t xml:space="preserve"> dnem uveřejnění v registru smluv dle zákona č. 340/2015 Sb., </w:t>
      </w:r>
      <w:r w:rsidR="00B63556"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cs-CZ"/>
          <w14:ligatures w14:val="none"/>
        </w:rPr>
        <w:br/>
      </w:r>
      <w:r w:rsidRPr="00AA51CE"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cs-CZ"/>
          <w14:ligatures w14:val="none"/>
        </w:rPr>
        <w:t>o zvláštních podmínkách účinnosti některých smluv, uveřejňování těchto smluv a o registru smluv, ve znění pozdějších předpisů (zákon o registru smluv). S</w:t>
      </w:r>
      <w:r w:rsidR="003A5644"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cs-CZ"/>
          <w14:ligatures w14:val="none"/>
        </w:rPr>
        <w:t>mluvní s</w:t>
      </w:r>
      <w:r w:rsidRPr="00AA51CE"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cs-CZ"/>
          <w14:ligatures w14:val="none"/>
        </w:rPr>
        <w:t xml:space="preserve">trany výslovně souhlasí </w:t>
      </w:r>
      <w:r w:rsidR="00B63556"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cs-CZ"/>
          <w14:ligatures w14:val="none"/>
        </w:rPr>
        <w:br/>
      </w:r>
      <w:r w:rsidRPr="00AA51CE"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cs-CZ"/>
          <w14:ligatures w14:val="none"/>
        </w:rPr>
        <w:t xml:space="preserve">s uveřejněním tohoto Dodatku v registru smluv. </w:t>
      </w:r>
      <w:r w:rsidR="0017100A"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cs-CZ"/>
          <w14:ligatures w14:val="none"/>
        </w:rPr>
        <w:t>Objednatel</w:t>
      </w:r>
      <w:r w:rsidRPr="00AA51CE"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cs-CZ"/>
          <w14:ligatures w14:val="none"/>
        </w:rPr>
        <w:t xml:space="preserve"> zajistí zveřejnění tohoto Dodatku zasláním správci registru smluv nejpozději ve lhůtě do 30 dnů od podpisu tohoto Dodatku oběma </w:t>
      </w:r>
      <w:r w:rsidR="0017100A"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cs-CZ"/>
          <w14:ligatures w14:val="none"/>
        </w:rPr>
        <w:t>smluvními s</w:t>
      </w:r>
      <w:r w:rsidRPr="00AA51CE"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cs-CZ"/>
          <w14:ligatures w14:val="none"/>
        </w:rPr>
        <w:t>tranami. S</w:t>
      </w:r>
      <w:r w:rsidR="0017100A"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cs-CZ"/>
          <w14:ligatures w14:val="none"/>
        </w:rPr>
        <w:t>mluvní s</w:t>
      </w:r>
      <w:r w:rsidRPr="00AA51CE"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cs-CZ"/>
          <w14:ligatures w14:val="none"/>
        </w:rPr>
        <w:t>trany dále prohlašují, že skutečnosti uvedené v</w:t>
      </w:r>
      <w:r w:rsidR="0017100A"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cs-CZ"/>
          <w14:ligatures w14:val="none"/>
        </w:rPr>
        <w:t> tomto Dodatku</w:t>
      </w:r>
      <w:r w:rsidRPr="00AA51CE"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cs-CZ"/>
          <w14:ligatures w14:val="none"/>
        </w:rPr>
        <w:t xml:space="preserve"> nepovažují za obchodní tajemství ve smyslu ustanovení § 504 občanského zákoníku a udělují svolení k jejich užití a zveřejnění bez stanovení jakýchkoliv dalších podmínek.</w:t>
      </w:r>
    </w:p>
    <w:tbl>
      <w:tblPr>
        <w:tblpPr w:leftFromText="141" w:rightFromText="141" w:vertAnchor="page" w:horzAnchor="margin" w:tblpY="8399"/>
        <w:tblW w:w="100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714"/>
        <w:gridCol w:w="3822"/>
        <w:gridCol w:w="714"/>
      </w:tblGrid>
      <w:tr w:rsidR="003B1D37" w:rsidRPr="003B1D37" w14:paraId="59756721" w14:textId="77777777" w:rsidTr="00787F42">
        <w:trPr>
          <w:trHeight w:val="558"/>
        </w:trPr>
        <w:tc>
          <w:tcPr>
            <w:tcW w:w="5529" w:type="dxa"/>
            <w:gridSpan w:val="2"/>
          </w:tcPr>
          <w:p w14:paraId="456AC877" w14:textId="77777777" w:rsidR="00787F42" w:rsidRPr="00787F42" w:rsidRDefault="00787F42" w:rsidP="00787F42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0FA2F6C0" w14:textId="77777777" w:rsidR="00787F42" w:rsidRPr="00787F42" w:rsidRDefault="00787F42" w:rsidP="003B1D37">
            <w:pPr>
              <w:spacing w:after="120" w:line="276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207FAFC1" w14:textId="77777777" w:rsidR="00787F42" w:rsidRPr="00787F42" w:rsidRDefault="00787F42" w:rsidP="003B1D37">
            <w:pPr>
              <w:spacing w:after="120" w:line="276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06B16A8C" w14:textId="77777777" w:rsidR="009769B7" w:rsidRDefault="009769B7" w:rsidP="003B1D37">
            <w:pPr>
              <w:spacing w:after="120" w:line="276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06C8A04C" w14:textId="5D5AFD39" w:rsidR="003B1D37" w:rsidRPr="00787F42" w:rsidRDefault="003B1D37" w:rsidP="003B1D37">
            <w:pPr>
              <w:spacing w:after="120" w:line="276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87F4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>V Praze dne</w:t>
            </w:r>
            <w:r w:rsidRPr="00787F4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ab/>
            </w:r>
          </w:p>
          <w:p w14:paraId="59BA25DA" w14:textId="77777777" w:rsidR="003B1D37" w:rsidRPr="00787F42" w:rsidRDefault="003B1D37" w:rsidP="003B1D37">
            <w:pPr>
              <w:spacing w:after="120" w:line="276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4E33D4D2" w14:textId="77777777" w:rsidR="00787F42" w:rsidRPr="00787F42" w:rsidRDefault="00787F42" w:rsidP="003B1D37">
            <w:pPr>
              <w:spacing w:after="120" w:line="276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673EF99F" w14:textId="77777777" w:rsidR="00787F42" w:rsidRPr="00787F42" w:rsidRDefault="00787F42" w:rsidP="003B1D37">
            <w:pPr>
              <w:spacing w:after="120" w:line="276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43FFDF58" w14:textId="77777777" w:rsidR="00787F42" w:rsidRPr="00787F42" w:rsidRDefault="00787F42" w:rsidP="003B1D37">
            <w:pPr>
              <w:spacing w:after="120" w:line="276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554AF668" w14:textId="77777777" w:rsidR="003B1D37" w:rsidRPr="00787F42" w:rsidRDefault="003B1D37" w:rsidP="003B1D37">
            <w:pPr>
              <w:spacing w:after="120" w:line="276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87F4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>………………………………..</w:t>
            </w:r>
            <w:r w:rsidRPr="00787F4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ab/>
            </w:r>
          </w:p>
          <w:p w14:paraId="0A6B7066" w14:textId="7C76FB09" w:rsidR="003B1D37" w:rsidRPr="00787F42" w:rsidRDefault="003B1D37" w:rsidP="003B1D37">
            <w:pPr>
              <w:spacing w:after="120" w:line="276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cs-CZ"/>
                <w14:ligatures w14:val="none"/>
              </w:rPr>
            </w:pPr>
            <w:r w:rsidRPr="00787F42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cs-CZ"/>
                <w14:ligatures w14:val="none"/>
              </w:rPr>
              <w:t>Institut plánování a rozvoje hlavního města Prahy,</w:t>
            </w:r>
          </w:p>
          <w:p w14:paraId="56C3A2CA" w14:textId="77777777" w:rsidR="003B1D37" w:rsidRPr="00787F42" w:rsidRDefault="003B1D37" w:rsidP="003B1D37">
            <w:pPr>
              <w:spacing w:after="120" w:line="276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cs-CZ"/>
                <w14:ligatures w14:val="none"/>
              </w:rPr>
            </w:pPr>
            <w:r w:rsidRPr="00787F42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cs-CZ"/>
                <w14:ligatures w14:val="none"/>
              </w:rPr>
              <w:t>příspěvková organizace</w:t>
            </w:r>
          </w:p>
          <w:p w14:paraId="2A48FFE4" w14:textId="77777777" w:rsidR="003B1D37" w:rsidRPr="00787F42" w:rsidRDefault="003B1D37" w:rsidP="003B1D37">
            <w:pPr>
              <w:spacing w:after="120" w:line="276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87F42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cs-CZ"/>
                <w14:ligatures w14:val="none"/>
              </w:rPr>
              <w:t>Mgr. Adam Švejda,</w:t>
            </w:r>
          </w:p>
          <w:p w14:paraId="4E211FE5" w14:textId="7EBCCED7" w:rsidR="003B1D37" w:rsidRPr="00787F42" w:rsidRDefault="003B1D37" w:rsidP="00787F42">
            <w:pPr>
              <w:spacing w:after="120" w:line="276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87F4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>zástupce ředitele pro ekonomickou a provozní činnost</w:t>
            </w:r>
          </w:p>
        </w:tc>
        <w:tc>
          <w:tcPr>
            <w:tcW w:w="4536" w:type="dxa"/>
            <w:gridSpan w:val="2"/>
          </w:tcPr>
          <w:p w14:paraId="44C6FA0C" w14:textId="77777777" w:rsidR="00787F42" w:rsidRPr="00787F42" w:rsidRDefault="00787F42" w:rsidP="003B1D37">
            <w:pPr>
              <w:spacing w:after="120" w:line="276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0AD0F771" w14:textId="77777777" w:rsidR="00787F42" w:rsidRPr="00787F42" w:rsidRDefault="00787F42" w:rsidP="003B1D37">
            <w:pPr>
              <w:spacing w:after="120" w:line="276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68D69048" w14:textId="77777777" w:rsidR="00787F42" w:rsidRPr="00787F42" w:rsidRDefault="00787F42" w:rsidP="003B1D37">
            <w:pPr>
              <w:spacing w:after="120" w:line="276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686BE140" w14:textId="77777777" w:rsidR="00787F42" w:rsidRPr="00787F42" w:rsidRDefault="00787F42" w:rsidP="003B1D37">
            <w:pPr>
              <w:spacing w:after="120" w:line="276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67D183C2" w14:textId="7AAD60EA" w:rsidR="003B1D37" w:rsidRPr="00787F42" w:rsidRDefault="003B1D37" w:rsidP="003B1D37">
            <w:pPr>
              <w:spacing w:after="120" w:line="276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87F4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>V Praze dne</w:t>
            </w:r>
          </w:p>
          <w:p w14:paraId="6BB89512" w14:textId="77777777" w:rsidR="003B1D37" w:rsidRPr="00787F42" w:rsidRDefault="003B1D37" w:rsidP="003B1D37">
            <w:pPr>
              <w:spacing w:after="120" w:line="276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7B35CD40" w14:textId="77777777" w:rsidR="00787F42" w:rsidRPr="00787F42" w:rsidRDefault="00787F42" w:rsidP="003B1D37">
            <w:pPr>
              <w:spacing w:after="120" w:line="276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34C44A5B" w14:textId="77777777" w:rsidR="00787F42" w:rsidRPr="00787F42" w:rsidRDefault="00787F42" w:rsidP="003B1D37">
            <w:pPr>
              <w:spacing w:after="120" w:line="276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6E52ED9E" w14:textId="77777777" w:rsidR="00787F42" w:rsidRPr="00787F42" w:rsidRDefault="00787F42" w:rsidP="003B1D37">
            <w:pPr>
              <w:spacing w:after="120" w:line="276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233BCD73" w14:textId="77777777" w:rsidR="003B1D37" w:rsidRPr="00787F42" w:rsidRDefault="003B1D37" w:rsidP="003B1D37">
            <w:pPr>
              <w:spacing w:after="120" w:line="276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87F4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>………………………………..</w:t>
            </w:r>
            <w:r w:rsidRPr="00787F4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ab/>
            </w:r>
          </w:p>
          <w:p w14:paraId="48457CA2" w14:textId="77777777" w:rsidR="003B1D37" w:rsidRPr="00787F42" w:rsidRDefault="003B1D37" w:rsidP="003B1D37">
            <w:pPr>
              <w:spacing w:after="120" w:line="276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787F42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cs-CZ"/>
                <w14:ligatures w14:val="none"/>
              </w:rPr>
              <w:t>Savills</w:t>
            </w:r>
            <w:proofErr w:type="spellEnd"/>
            <w:r w:rsidRPr="00787F42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cs-CZ"/>
                <w14:ligatures w14:val="none"/>
              </w:rPr>
              <w:t xml:space="preserve"> CZ s.r.o. </w:t>
            </w:r>
          </w:p>
          <w:p w14:paraId="2CCB341C" w14:textId="77777777" w:rsidR="003B1D37" w:rsidRPr="00787F42" w:rsidRDefault="003B1D37" w:rsidP="003B1D37">
            <w:pPr>
              <w:spacing w:after="120" w:line="276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87F42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cs-CZ"/>
                <w14:ligatures w14:val="none"/>
              </w:rPr>
              <w:t xml:space="preserve">Ing. Jan </w:t>
            </w:r>
            <w:proofErr w:type="spellStart"/>
            <w:r w:rsidRPr="00787F42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cs-CZ"/>
                <w14:ligatures w14:val="none"/>
              </w:rPr>
              <w:t>Jurčíček</w:t>
            </w:r>
            <w:proofErr w:type="spellEnd"/>
            <w:r w:rsidRPr="00787F4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 xml:space="preserve"> </w:t>
            </w:r>
          </w:p>
          <w:p w14:paraId="0A9AE72C" w14:textId="77777777" w:rsidR="003B1D37" w:rsidRPr="00787F42" w:rsidRDefault="003B1D37" w:rsidP="003B1D37">
            <w:pPr>
              <w:spacing w:after="120" w:line="276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787F4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>Head</w:t>
            </w:r>
            <w:proofErr w:type="spellEnd"/>
            <w:r w:rsidRPr="00787F4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 xml:space="preserve"> </w:t>
            </w:r>
            <w:proofErr w:type="spellStart"/>
            <w:r w:rsidRPr="00787F4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>of</w:t>
            </w:r>
            <w:proofErr w:type="spellEnd"/>
            <w:r w:rsidRPr="00787F4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 xml:space="preserve"> </w:t>
            </w:r>
            <w:proofErr w:type="spellStart"/>
            <w:r w:rsidRPr="00787F4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>Building</w:t>
            </w:r>
            <w:proofErr w:type="spellEnd"/>
            <w:r w:rsidRPr="00787F4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 xml:space="preserve"> </w:t>
            </w:r>
            <w:r w:rsidRPr="00787F4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cs-CZ"/>
                <w14:ligatures w14:val="none"/>
              </w:rPr>
              <w:t>&amp;</w:t>
            </w:r>
            <w:r w:rsidRPr="00787F4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 xml:space="preserve"> Project Consultancy, </w:t>
            </w:r>
          </w:p>
          <w:p w14:paraId="73A34405" w14:textId="77777777" w:rsidR="003B1D37" w:rsidRPr="00787F42" w:rsidRDefault="003B1D37" w:rsidP="003B1D37">
            <w:pPr>
              <w:spacing w:after="120" w:line="276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87F4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cs-CZ"/>
                <w14:ligatures w14:val="none"/>
              </w:rPr>
              <w:t>na základě plné moci ze dne 17.12.2025</w:t>
            </w:r>
          </w:p>
        </w:tc>
      </w:tr>
      <w:tr w:rsidR="00787F42" w:rsidRPr="003B1D37" w14:paraId="4861CF9C" w14:textId="77777777" w:rsidTr="00787F42">
        <w:trPr>
          <w:gridAfter w:val="1"/>
          <w:wAfter w:w="714" w:type="dxa"/>
          <w:trHeight w:val="558"/>
        </w:trPr>
        <w:tc>
          <w:tcPr>
            <w:tcW w:w="4815" w:type="dxa"/>
          </w:tcPr>
          <w:p w14:paraId="2561A41D" w14:textId="77777777" w:rsidR="00787F42" w:rsidRPr="00787F42" w:rsidRDefault="00787F42" w:rsidP="00787F42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4536" w:type="dxa"/>
            <w:gridSpan w:val="2"/>
          </w:tcPr>
          <w:p w14:paraId="2DE1BECF" w14:textId="77777777" w:rsidR="00787F42" w:rsidRPr="00787F42" w:rsidRDefault="00787F42" w:rsidP="003B1D37">
            <w:pPr>
              <w:spacing w:after="120" w:line="276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</w:tbl>
    <w:p w14:paraId="00149AC0" w14:textId="6F41EDB1" w:rsidR="00AA51CE" w:rsidRPr="00AA51CE" w:rsidRDefault="00AA51CE" w:rsidP="00AA51CE">
      <w:pPr>
        <w:numPr>
          <w:ilvl w:val="1"/>
          <w:numId w:val="18"/>
        </w:numPr>
        <w:tabs>
          <w:tab w:val="clear" w:pos="1004"/>
          <w:tab w:val="num" w:pos="709"/>
        </w:tabs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AA51CE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Tento Dodatek je vyhotoven ve </w:t>
      </w:r>
      <w:r w:rsidR="00142AF8"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cs-CZ"/>
          <w14:ligatures w14:val="none"/>
        </w:rPr>
        <w:t xml:space="preserve">dvou </w:t>
      </w:r>
      <w:r w:rsidRPr="00AA51CE"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cs-CZ"/>
          <w14:ligatures w14:val="none"/>
        </w:rPr>
        <w:t xml:space="preserve">stejnopisech, přičemž každá </w:t>
      </w:r>
      <w:r w:rsidR="0017100A"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cs-CZ"/>
          <w14:ligatures w14:val="none"/>
        </w:rPr>
        <w:t>smluvní s</w:t>
      </w:r>
      <w:r w:rsidRPr="00AA51CE"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cs-CZ"/>
          <w14:ligatures w14:val="none"/>
        </w:rPr>
        <w:t xml:space="preserve">trana obdrží </w:t>
      </w:r>
      <w:r w:rsidR="00142AF8"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cs-CZ"/>
          <w14:ligatures w14:val="none"/>
        </w:rPr>
        <w:t>po jednom vyhotovení.</w:t>
      </w:r>
    </w:p>
    <w:p w14:paraId="4A3900C1" w14:textId="0D7B9C81" w:rsidR="00AA51CE" w:rsidRPr="00AA51CE" w:rsidRDefault="00AA51CE" w:rsidP="00AA51CE">
      <w:pPr>
        <w:numPr>
          <w:ilvl w:val="1"/>
          <w:numId w:val="18"/>
        </w:numP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AA51CE"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cs-CZ"/>
          <w14:ligatures w14:val="none"/>
        </w:rPr>
        <w:t>S</w:t>
      </w:r>
      <w:r w:rsidR="00217E99"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cs-CZ"/>
          <w14:ligatures w14:val="none"/>
        </w:rPr>
        <w:t>mluvní s</w:t>
      </w:r>
      <w:r w:rsidRPr="00AA51CE"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cs-CZ"/>
          <w14:ligatures w14:val="none"/>
        </w:rPr>
        <w:t xml:space="preserve">trany prohlašují, že </w:t>
      </w:r>
      <w:r w:rsidRPr="00AA51CE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tento Dodatek</w:t>
      </w:r>
      <w:r w:rsidRPr="00AA51CE"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cs-CZ"/>
          <w14:ligatures w14:val="none"/>
        </w:rPr>
        <w:t xml:space="preserve"> uzavírají po vzájemné dohodě na základě jejich pravé a svobodné </w:t>
      </w:r>
      <w:proofErr w:type="gramStart"/>
      <w:r w:rsidRPr="00AA51CE"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cs-CZ"/>
          <w14:ligatures w14:val="none"/>
        </w:rPr>
        <w:t>vůle</w:t>
      </w:r>
      <w:proofErr w:type="gramEnd"/>
      <w:r w:rsidRPr="00AA51CE"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cs-CZ"/>
          <w14:ligatures w14:val="none"/>
        </w:rPr>
        <w:t xml:space="preserve"> a nikoliv v tísni za nápadně nevýhodných podmínek, že si </w:t>
      </w:r>
      <w:r w:rsidRPr="00AA51CE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tento Dodatek</w:t>
      </w:r>
      <w:r w:rsidRPr="00AA51CE"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cs-CZ"/>
          <w14:ligatures w14:val="none"/>
        </w:rPr>
        <w:t xml:space="preserve"> přečetly a s jeho obsahem souhlasí. Na důkaz toho připojují podpisy svých oprávněných zástupců.</w:t>
      </w:r>
    </w:p>
    <w:p w14:paraId="17118A16" w14:textId="77777777" w:rsidR="00A55E14" w:rsidRDefault="00A55E14" w:rsidP="00787F42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</w:p>
    <w:p w14:paraId="3009C54F" w14:textId="77777777" w:rsidR="003B1D37" w:rsidRPr="00B017E2" w:rsidRDefault="003B1D37" w:rsidP="00787F42">
      <w:pPr>
        <w:spacing w:after="120" w:line="276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cs-CZ"/>
          <w14:ligatures w14:val="none"/>
        </w:rPr>
      </w:pPr>
    </w:p>
    <w:sectPr w:rsidR="003B1D37" w:rsidRPr="00B017E2" w:rsidSect="003B1D37">
      <w:headerReference w:type="default" r:id="rId7"/>
      <w:footerReference w:type="default" r:id="rId8"/>
      <w:pgSz w:w="11906" w:h="16838"/>
      <w:pgMar w:top="1417" w:right="1417" w:bottom="1417" w:left="1417" w:header="708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ED3E0" w14:textId="77777777" w:rsidR="00516183" w:rsidRDefault="00516183" w:rsidP="00801015">
      <w:pPr>
        <w:spacing w:after="0" w:line="240" w:lineRule="auto"/>
      </w:pPr>
      <w:r>
        <w:separator/>
      </w:r>
    </w:p>
  </w:endnote>
  <w:endnote w:type="continuationSeparator" w:id="0">
    <w:p w14:paraId="45D60658" w14:textId="77777777" w:rsidR="00516183" w:rsidRDefault="00516183" w:rsidP="00801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E8D2D" w14:textId="77777777" w:rsidR="009D18FB" w:rsidRDefault="009D18FB" w:rsidP="009D18FB">
    <w:pPr>
      <w:pStyle w:val="Zpat"/>
      <w:jc w:val="right"/>
    </w:pPr>
  </w:p>
  <w:p w14:paraId="6350E097" w14:textId="77777777" w:rsidR="009D18FB" w:rsidRDefault="009D18FB" w:rsidP="009D18FB">
    <w:pPr>
      <w:pStyle w:val="Zpat"/>
      <w:jc w:val="right"/>
    </w:pPr>
  </w:p>
  <w:p w14:paraId="2B224966" w14:textId="68BADA2D" w:rsidR="009D18FB" w:rsidRPr="009D18FB" w:rsidRDefault="009D18FB" w:rsidP="009D18FB">
    <w:pPr>
      <w:pStyle w:val="Zpat"/>
      <w:jc w:val="right"/>
      <w:rPr>
        <w:rFonts w:ascii="Times New Roman" w:hAnsi="Times New Roman" w:cs="Times New Roman"/>
      </w:rPr>
    </w:pPr>
    <w:r w:rsidRPr="009D18FB">
      <w:rPr>
        <w:rFonts w:ascii="Times New Roman" w:hAnsi="Times New Roman" w:cs="Times New Roman"/>
      </w:rPr>
      <w:t xml:space="preserve">Stránka </w:t>
    </w:r>
    <w:r w:rsidRPr="009D18FB">
      <w:rPr>
        <w:rFonts w:ascii="Times New Roman" w:hAnsi="Times New Roman" w:cs="Times New Roman"/>
        <w:b/>
      </w:rPr>
      <w:fldChar w:fldCharType="begin"/>
    </w:r>
    <w:r w:rsidRPr="009D18FB">
      <w:rPr>
        <w:rFonts w:ascii="Times New Roman" w:hAnsi="Times New Roman" w:cs="Times New Roman"/>
        <w:b/>
      </w:rPr>
      <w:instrText xml:space="preserve"> PAGE </w:instrText>
    </w:r>
    <w:r w:rsidRPr="009D18FB">
      <w:rPr>
        <w:rFonts w:ascii="Times New Roman" w:hAnsi="Times New Roman" w:cs="Times New Roman"/>
        <w:b/>
      </w:rPr>
      <w:fldChar w:fldCharType="separate"/>
    </w:r>
    <w:r w:rsidRPr="009D18FB">
      <w:rPr>
        <w:rFonts w:ascii="Times New Roman" w:hAnsi="Times New Roman" w:cs="Times New Roman"/>
        <w:b/>
      </w:rPr>
      <w:t>1</w:t>
    </w:r>
    <w:r w:rsidRPr="009D18FB">
      <w:rPr>
        <w:rFonts w:ascii="Times New Roman" w:hAnsi="Times New Roman" w:cs="Times New Roman"/>
        <w:b/>
      </w:rPr>
      <w:fldChar w:fldCharType="end"/>
    </w:r>
    <w:r w:rsidRPr="009D18FB">
      <w:rPr>
        <w:rFonts w:ascii="Times New Roman" w:hAnsi="Times New Roman" w:cs="Times New Roman"/>
      </w:rPr>
      <w:t xml:space="preserve"> z </w:t>
    </w:r>
    <w:r w:rsidRPr="009D18FB">
      <w:rPr>
        <w:rFonts w:ascii="Times New Roman" w:hAnsi="Times New Roman" w:cs="Times New Roman"/>
        <w:b/>
      </w:rPr>
      <w:fldChar w:fldCharType="begin"/>
    </w:r>
    <w:r w:rsidRPr="009D18FB">
      <w:rPr>
        <w:rFonts w:ascii="Times New Roman" w:hAnsi="Times New Roman" w:cs="Times New Roman"/>
        <w:b/>
      </w:rPr>
      <w:instrText xml:space="preserve"> NUMPAGES \*Arabic </w:instrText>
    </w:r>
    <w:r w:rsidRPr="009D18FB">
      <w:rPr>
        <w:rFonts w:ascii="Times New Roman" w:hAnsi="Times New Roman" w:cs="Times New Roman"/>
        <w:b/>
      </w:rPr>
      <w:fldChar w:fldCharType="separate"/>
    </w:r>
    <w:r w:rsidRPr="009D18FB">
      <w:rPr>
        <w:rFonts w:ascii="Times New Roman" w:hAnsi="Times New Roman" w:cs="Times New Roman"/>
        <w:b/>
      </w:rPr>
      <w:t>14</w:t>
    </w:r>
    <w:r w:rsidRPr="009D18FB">
      <w:rPr>
        <w:rFonts w:ascii="Times New Roman" w:hAnsi="Times New Roman" w:cs="Times New Roman"/>
        <w:b/>
      </w:rPr>
      <w:fldChar w:fldCharType="end"/>
    </w:r>
  </w:p>
  <w:p w14:paraId="5D668DAB" w14:textId="77777777" w:rsidR="009D18FB" w:rsidRDefault="009D18FB" w:rsidP="009D18FB">
    <w:pPr>
      <w:pStyle w:val="Zpat"/>
    </w:pPr>
  </w:p>
  <w:p w14:paraId="30CB4107" w14:textId="77777777" w:rsidR="00801015" w:rsidRDefault="008010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F15EA" w14:textId="77777777" w:rsidR="00516183" w:rsidRDefault="00516183" w:rsidP="00801015">
      <w:pPr>
        <w:spacing w:after="0" w:line="240" w:lineRule="auto"/>
      </w:pPr>
      <w:r>
        <w:separator/>
      </w:r>
    </w:p>
  </w:footnote>
  <w:footnote w:type="continuationSeparator" w:id="0">
    <w:p w14:paraId="09EB86B5" w14:textId="77777777" w:rsidR="00516183" w:rsidRDefault="00516183" w:rsidP="00801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BE931" w14:textId="1BB12E59" w:rsidR="00801015" w:rsidRPr="00801015" w:rsidRDefault="00801015" w:rsidP="00801015">
    <w:pPr>
      <w:pStyle w:val="Standardnte"/>
      <w:tabs>
        <w:tab w:val="left" w:pos="828"/>
      </w:tabs>
      <w:rPr>
        <w:sz w:val="22"/>
      </w:rPr>
    </w:pPr>
  </w:p>
  <w:p w14:paraId="252DD72B" w14:textId="77777777" w:rsidR="00801015" w:rsidRPr="00801015" w:rsidRDefault="00801015" w:rsidP="00801015">
    <w:pPr>
      <w:tabs>
        <w:tab w:val="left" w:pos="828"/>
      </w:tabs>
      <w:suppressAutoHyphens/>
      <w:spacing w:after="0" w:line="240" w:lineRule="auto"/>
      <w:rPr>
        <w:rFonts w:ascii="Times New Roman" w:eastAsia="Times New Roman" w:hAnsi="Times New Roman" w:cs="Symbol"/>
        <w:color w:val="000000"/>
        <w:kern w:val="0"/>
        <w:sz w:val="22"/>
        <w:szCs w:val="22"/>
        <w:lang w:eastAsia="ar-SA"/>
        <w14:ligatures w14:val="none"/>
      </w:rPr>
    </w:pPr>
    <w:r w:rsidRPr="00801015">
      <w:rPr>
        <w:rFonts w:ascii="Times New Roman" w:eastAsia="Times New Roman" w:hAnsi="Times New Roman" w:cs="Symbol"/>
        <w:color w:val="000000"/>
        <w:kern w:val="0"/>
        <w:sz w:val="22"/>
        <w:szCs w:val="22"/>
        <w:lang w:eastAsia="ar-SA"/>
        <w14:ligatures w14:val="none"/>
      </w:rPr>
      <w:t>č. smlouvy objednatele: ZAK 26-0079/2</w:t>
    </w:r>
  </w:p>
  <w:p w14:paraId="2B4D2082" w14:textId="68DFCF5E" w:rsidR="00801015" w:rsidRPr="00801015" w:rsidRDefault="00801015" w:rsidP="00801015">
    <w:pPr>
      <w:pBdr>
        <w:bottom w:val="single" w:sz="8" w:space="1" w:color="000000"/>
      </w:pBdr>
      <w:tabs>
        <w:tab w:val="center" w:pos="4536"/>
        <w:tab w:val="right" w:pos="9072"/>
      </w:tabs>
      <w:spacing w:after="0" w:line="240" w:lineRule="auto"/>
      <w:rPr>
        <w:rFonts w:ascii="Palatino Linotype" w:eastAsia="Times New Roman" w:hAnsi="Palatino Linotype" w:cs="Palatino Linotype"/>
        <w:kern w:val="0"/>
        <w:sz w:val="22"/>
        <w:szCs w:val="22"/>
        <w:lang w:eastAsia="cs-CZ"/>
        <w14:ligatures w14:val="none"/>
      </w:rPr>
    </w:pPr>
    <w:r w:rsidRPr="00801015">
      <w:rPr>
        <w:rFonts w:ascii="Times New Roman" w:eastAsia="Times New Roman" w:hAnsi="Times New Roman" w:cs="Symbol"/>
        <w:kern w:val="0"/>
        <w:sz w:val="22"/>
        <w:szCs w:val="22"/>
        <w:lang w:eastAsia="cs-CZ"/>
        <w14:ligatures w14:val="none"/>
      </w:rPr>
      <w:t xml:space="preserve">č. smlouvy poskytovatele: </w:t>
    </w:r>
  </w:p>
  <w:p w14:paraId="6F5FCAF4" w14:textId="77777777" w:rsidR="00801015" w:rsidRDefault="0080101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32B2"/>
    <w:multiLevelType w:val="hybridMultilevel"/>
    <w:tmpl w:val="2C1440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41D65"/>
    <w:multiLevelType w:val="hybridMultilevel"/>
    <w:tmpl w:val="122C85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C1E61"/>
    <w:multiLevelType w:val="hybridMultilevel"/>
    <w:tmpl w:val="9A8437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E3E89"/>
    <w:multiLevelType w:val="hybridMultilevel"/>
    <w:tmpl w:val="ADCE2758"/>
    <w:lvl w:ilvl="0" w:tplc="DC3A5DEA">
      <w:start w:val="1"/>
      <w:numFmt w:val="decimal"/>
      <w:lvlText w:val="10.%1."/>
      <w:lvlJc w:val="left"/>
      <w:pPr>
        <w:ind w:left="1571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8CE64D6"/>
    <w:multiLevelType w:val="hybridMultilevel"/>
    <w:tmpl w:val="83A85118"/>
    <w:lvl w:ilvl="0" w:tplc="3C8C3250">
      <w:start w:val="1"/>
      <w:numFmt w:val="decimal"/>
      <w:lvlText w:val="9.%1."/>
      <w:lvlJc w:val="left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FB82FB3"/>
    <w:multiLevelType w:val="hybridMultilevel"/>
    <w:tmpl w:val="2668B8E8"/>
    <w:lvl w:ilvl="0" w:tplc="1CA072D0">
      <w:start w:val="1"/>
      <w:numFmt w:val="decimal"/>
      <w:lvlText w:val="8.%1."/>
      <w:lvlJc w:val="left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42156720"/>
    <w:multiLevelType w:val="multilevel"/>
    <w:tmpl w:val="7E0285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5B31FF0"/>
    <w:multiLevelType w:val="hybridMultilevel"/>
    <w:tmpl w:val="963ABF58"/>
    <w:lvl w:ilvl="0" w:tplc="04DCBE0A">
      <w:start w:val="1"/>
      <w:numFmt w:val="lowerLetter"/>
      <w:lvlText w:val="%1)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2" w:tplc="48847736">
      <w:start w:val="2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8" w15:restartNumberingAfterBreak="0">
    <w:nsid w:val="4CE41960"/>
    <w:multiLevelType w:val="hybridMultilevel"/>
    <w:tmpl w:val="6DC46086"/>
    <w:lvl w:ilvl="0" w:tplc="3C8C3250">
      <w:start w:val="1"/>
      <w:numFmt w:val="decimal"/>
      <w:lvlText w:val="9.%1."/>
      <w:lvlJc w:val="left"/>
      <w:pPr>
        <w:ind w:left="19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51" w:hanging="360"/>
      </w:pPr>
    </w:lvl>
    <w:lvl w:ilvl="2" w:tplc="0405001B" w:tentative="1">
      <w:start w:val="1"/>
      <w:numFmt w:val="lowerRoman"/>
      <w:lvlText w:val="%3."/>
      <w:lvlJc w:val="right"/>
      <w:pPr>
        <w:ind w:left="3371" w:hanging="180"/>
      </w:pPr>
    </w:lvl>
    <w:lvl w:ilvl="3" w:tplc="0405000F" w:tentative="1">
      <w:start w:val="1"/>
      <w:numFmt w:val="decimal"/>
      <w:lvlText w:val="%4."/>
      <w:lvlJc w:val="left"/>
      <w:pPr>
        <w:ind w:left="4091" w:hanging="360"/>
      </w:pPr>
    </w:lvl>
    <w:lvl w:ilvl="4" w:tplc="04050019" w:tentative="1">
      <w:start w:val="1"/>
      <w:numFmt w:val="lowerLetter"/>
      <w:lvlText w:val="%5."/>
      <w:lvlJc w:val="left"/>
      <w:pPr>
        <w:ind w:left="4811" w:hanging="360"/>
      </w:pPr>
    </w:lvl>
    <w:lvl w:ilvl="5" w:tplc="0405001B" w:tentative="1">
      <w:start w:val="1"/>
      <w:numFmt w:val="lowerRoman"/>
      <w:lvlText w:val="%6."/>
      <w:lvlJc w:val="right"/>
      <w:pPr>
        <w:ind w:left="5531" w:hanging="180"/>
      </w:pPr>
    </w:lvl>
    <w:lvl w:ilvl="6" w:tplc="0405000F" w:tentative="1">
      <w:start w:val="1"/>
      <w:numFmt w:val="decimal"/>
      <w:lvlText w:val="%7."/>
      <w:lvlJc w:val="left"/>
      <w:pPr>
        <w:ind w:left="6251" w:hanging="360"/>
      </w:pPr>
    </w:lvl>
    <w:lvl w:ilvl="7" w:tplc="04050019" w:tentative="1">
      <w:start w:val="1"/>
      <w:numFmt w:val="lowerLetter"/>
      <w:lvlText w:val="%8."/>
      <w:lvlJc w:val="left"/>
      <w:pPr>
        <w:ind w:left="6971" w:hanging="360"/>
      </w:pPr>
    </w:lvl>
    <w:lvl w:ilvl="8" w:tplc="040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9" w15:restartNumberingAfterBreak="0">
    <w:nsid w:val="4E084BE9"/>
    <w:multiLevelType w:val="hybridMultilevel"/>
    <w:tmpl w:val="27ECF4DE"/>
    <w:lvl w:ilvl="0" w:tplc="7F0C54E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38312CD"/>
    <w:multiLevelType w:val="hybridMultilevel"/>
    <w:tmpl w:val="E45C22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EF0A8C"/>
    <w:multiLevelType w:val="hybridMultilevel"/>
    <w:tmpl w:val="E13C6E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80FC1"/>
    <w:multiLevelType w:val="hybridMultilevel"/>
    <w:tmpl w:val="D788FB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511B38"/>
    <w:multiLevelType w:val="hybridMultilevel"/>
    <w:tmpl w:val="D7FEBDA6"/>
    <w:lvl w:ilvl="0" w:tplc="3C8C3250">
      <w:start w:val="1"/>
      <w:numFmt w:val="decimal"/>
      <w:lvlText w:val="9.%1."/>
      <w:lvlJc w:val="left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674DB3"/>
    <w:multiLevelType w:val="hybridMultilevel"/>
    <w:tmpl w:val="2A4E7C60"/>
    <w:lvl w:ilvl="0" w:tplc="C5BC32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5D2971"/>
    <w:multiLevelType w:val="hybridMultilevel"/>
    <w:tmpl w:val="6FCC4E02"/>
    <w:lvl w:ilvl="0" w:tplc="144CEF3C">
      <w:start w:val="1"/>
      <w:numFmt w:val="decimal"/>
      <w:lvlText w:val="11.%1."/>
      <w:lvlJc w:val="left"/>
      <w:pPr>
        <w:ind w:left="1571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6C792662"/>
    <w:multiLevelType w:val="hybridMultilevel"/>
    <w:tmpl w:val="BE344B3C"/>
    <w:lvl w:ilvl="0" w:tplc="B70850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F4380F"/>
    <w:multiLevelType w:val="hybridMultilevel"/>
    <w:tmpl w:val="5872A58A"/>
    <w:lvl w:ilvl="0" w:tplc="299488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CB02D2A"/>
    <w:multiLevelType w:val="hybridMultilevel"/>
    <w:tmpl w:val="B3D2227E"/>
    <w:lvl w:ilvl="0" w:tplc="75C224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99610252">
    <w:abstractNumId w:val="10"/>
  </w:num>
  <w:num w:numId="2" w16cid:durableId="1133324307">
    <w:abstractNumId w:val="1"/>
  </w:num>
  <w:num w:numId="3" w16cid:durableId="447817559">
    <w:abstractNumId w:val="17"/>
  </w:num>
  <w:num w:numId="4" w16cid:durableId="922568304">
    <w:abstractNumId w:val="12"/>
  </w:num>
  <w:num w:numId="5" w16cid:durableId="1523517168">
    <w:abstractNumId w:val="6"/>
  </w:num>
  <w:num w:numId="6" w16cid:durableId="180440086">
    <w:abstractNumId w:val="9"/>
  </w:num>
  <w:num w:numId="7" w16cid:durableId="980118223">
    <w:abstractNumId w:val="2"/>
  </w:num>
  <w:num w:numId="8" w16cid:durableId="1930043023">
    <w:abstractNumId w:val="0"/>
  </w:num>
  <w:num w:numId="9" w16cid:durableId="350961288">
    <w:abstractNumId w:val="19"/>
  </w:num>
  <w:num w:numId="10" w16cid:durableId="57409597">
    <w:abstractNumId w:val="5"/>
  </w:num>
  <w:num w:numId="11" w16cid:durableId="1583953390">
    <w:abstractNumId w:val="4"/>
  </w:num>
  <w:num w:numId="12" w16cid:durableId="1779713930">
    <w:abstractNumId w:val="3"/>
  </w:num>
  <w:num w:numId="13" w16cid:durableId="1701467744">
    <w:abstractNumId w:val="16"/>
  </w:num>
  <w:num w:numId="14" w16cid:durableId="931085624">
    <w:abstractNumId w:val="15"/>
  </w:num>
  <w:num w:numId="15" w16cid:durableId="1553925597">
    <w:abstractNumId w:val="18"/>
  </w:num>
  <w:num w:numId="16" w16cid:durableId="2087148265">
    <w:abstractNumId w:val="11"/>
  </w:num>
  <w:num w:numId="17" w16cid:durableId="1428426499">
    <w:abstractNumId w:val="14"/>
  </w:num>
  <w:num w:numId="18" w16cid:durableId="1605112183">
    <w:abstractNumId w:val="7"/>
  </w:num>
  <w:num w:numId="19" w16cid:durableId="1494030476">
    <w:abstractNumId w:val="13"/>
  </w:num>
  <w:num w:numId="20" w16cid:durableId="2912500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8AD"/>
    <w:rsid w:val="00000B48"/>
    <w:rsid w:val="00002E5F"/>
    <w:rsid w:val="00010CB9"/>
    <w:rsid w:val="00024005"/>
    <w:rsid w:val="000446EB"/>
    <w:rsid w:val="0006410E"/>
    <w:rsid w:val="000717B3"/>
    <w:rsid w:val="000819B6"/>
    <w:rsid w:val="000A38B9"/>
    <w:rsid w:val="000B1BC0"/>
    <w:rsid w:val="000C6774"/>
    <w:rsid w:val="000C6DE9"/>
    <w:rsid w:val="000D40D6"/>
    <w:rsid w:val="000F0B56"/>
    <w:rsid w:val="00132944"/>
    <w:rsid w:val="00132C89"/>
    <w:rsid w:val="00142AF8"/>
    <w:rsid w:val="00156B4B"/>
    <w:rsid w:val="0017100A"/>
    <w:rsid w:val="001765C0"/>
    <w:rsid w:val="001779EA"/>
    <w:rsid w:val="001844B4"/>
    <w:rsid w:val="001B2ACD"/>
    <w:rsid w:val="001D0027"/>
    <w:rsid w:val="001F7984"/>
    <w:rsid w:val="00200448"/>
    <w:rsid w:val="002158D5"/>
    <w:rsid w:val="00217E99"/>
    <w:rsid w:val="00223EE8"/>
    <w:rsid w:val="00245965"/>
    <w:rsid w:val="002768D7"/>
    <w:rsid w:val="0029122E"/>
    <w:rsid w:val="0029551C"/>
    <w:rsid w:val="002B4DCF"/>
    <w:rsid w:val="002C0269"/>
    <w:rsid w:val="002C3E4B"/>
    <w:rsid w:val="002D595B"/>
    <w:rsid w:val="0030548B"/>
    <w:rsid w:val="00307DE7"/>
    <w:rsid w:val="00312C0A"/>
    <w:rsid w:val="003208A2"/>
    <w:rsid w:val="00344B05"/>
    <w:rsid w:val="003A5644"/>
    <w:rsid w:val="003B1D37"/>
    <w:rsid w:val="003D7E1C"/>
    <w:rsid w:val="004276D8"/>
    <w:rsid w:val="00445D07"/>
    <w:rsid w:val="004705D3"/>
    <w:rsid w:val="0048509C"/>
    <w:rsid w:val="0049268A"/>
    <w:rsid w:val="0049798E"/>
    <w:rsid w:val="004C3F1A"/>
    <w:rsid w:val="004F039D"/>
    <w:rsid w:val="004F2A3B"/>
    <w:rsid w:val="00500836"/>
    <w:rsid w:val="00516183"/>
    <w:rsid w:val="005178E8"/>
    <w:rsid w:val="005A3B46"/>
    <w:rsid w:val="005B7F79"/>
    <w:rsid w:val="006209FB"/>
    <w:rsid w:val="00633C3F"/>
    <w:rsid w:val="00634DB0"/>
    <w:rsid w:val="006422DD"/>
    <w:rsid w:val="00652780"/>
    <w:rsid w:val="00662232"/>
    <w:rsid w:val="006638AC"/>
    <w:rsid w:val="0068645F"/>
    <w:rsid w:val="006A3024"/>
    <w:rsid w:val="006D228F"/>
    <w:rsid w:val="006D4C4B"/>
    <w:rsid w:val="006D704B"/>
    <w:rsid w:val="006E2D6B"/>
    <w:rsid w:val="006E785F"/>
    <w:rsid w:val="006F645F"/>
    <w:rsid w:val="007639A0"/>
    <w:rsid w:val="00772F59"/>
    <w:rsid w:val="007734D9"/>
    <w:rsid w:val="00787F42"/>
    <w:rsid w:val="007945E5"/>
    <w:rsid w:val="007A29A7"/>
    <w:rsid w:val="007B2A89"/>
    <w:rsid w:val="007C2427"/>
    <w:rsid w:val="007C3870"/>
    <w:rsid w:val="007C39E3"/>
    <w:rsid w:val="007F00C9"/>
    <w:rsid w:val="00801015"/>
    <w:rsid w:val="00810302"/>
    <w:rsid w:val="0081433E"/>
    <w:rsid w:val="00835912"/>
    <w:rsid w:val="0084504F"/>
    <w:rsid w:val="00853BB3"/>
    <w:rsid w:val="00871914"/>
    <w:rsid w:val="00884917"/>
    <w:rsid w:val="008A4578"/>
    <w:rsid w:val="008C0A0B"/>
    <w:rsid w:val="0090072D"/>
    <w:rsid w:val="0091083C"/>
    <w:rsid w:val="009139BC"/>
    <w:rsid w:val="00923EF7"/>
    <w:rsid w:val="009260E4"/>
    <w:rsid w:val="00936852"/>
    <w:rsid w:val="0094612B"/>
    <w:rsid w:val="0097102E"/>
    <w:rsid w:val="009769B7"/>
    <w:rsid w:val="00981469"/>
    <w:rsid w:val="0098296C"/>
    <w:rsid w:val="009875BA"/>
    <w:rsid w:val="009A71A1"/>
    <w:rsid w:val="009A7B78"/>
    <w:rsid w:val="009B3BBD"/>
    <w:rsid w:val="009B3EFE"/>
    <w:rsid w:val="009C0FB5"/>
    <w:rsid w:val="009D18FB"/>
    <w:rsid w:val="009D342A"/>
    <w:rsid w:val="009E55E3"/>
    <w:rsid w:val="00A01C5F"/>
    <w:rsid w:val="00A12820"/>
    <w:rsid w:val="00A22A04"/>
    <w:rsid w:val="00A2520B"/>
    <w:rsid w:val="00A2743B"/>
    <w:rsid w:val="00A35E51"/>
    <w:rsid w:val="00A42DB3"/>
    <w:rsid w:val="00A5305B"/>
    <w:rsid w:val="00A55E14"/>
    <w:rsid w:val="00A903A0"/>
    <w:rsid w:val="00AA51CE"/>
    <w:rsid w:val="00AB3882"/>
    <w:rsid w:val="00AB7D0F"/>
    <w:rsid w:val="00AC1536"/>
    <w:rsid w:val="00AC61BC"/>
    <w:rsid w:val="00AD7515"/>
    <w:rsid w:val="00AE1214"/>
    <w:rsid w:val="00AE3344"/>
    <w:rsid w:val="00B017E2"/>
    <w:rsid w:val="00B2543F"/>
    <w:rsid w:val="00B425C3"/>
    <w:rsid w:val="00B50C84"/>
    <w:rsid w:val="00B63556"/>
    <w:rsid w:val="00B64441"/>
    <w:rsid w:val="00BC1F52"/>
    <w:rsid w:val="00BC204C"/>
    <w:rsid w:val="00BD5C5E"/>
    <w:rsid w:val="00BD6BC8"/>
    <w:rsid w:val="00BE5E55"/>
    <w:rsid w:val="00C04CE6"/>
    <w:rsid w:val="00C130A7"/>
    <w:rsid w:val="00C14FCF"/>
    <w:rsid w:val="00C21B62"/>
    <w:rsid w:val="00C52080"/>
    <w:rsid w:val="00C743E6"/>
    <w:rsid w:val="00CA3301"/>
    <w:rsid w:val="00CA6DF0"/>
    <w:rsid w:val="00CC32F3"/>
    <w:rsid w:val="00CC6BFC"/>
    <w:rsid w:val="00CD5D25"/>
    <w:rsid w:val="00D113E9"/>
    <w:rsid w:val="00D11E99"/>
    <w:rsid w:val="00D171E6"/>
    <w:rsid w:val="00D215BF"/>
    <w:rsid w:val="00D248B1"/>
    <w:rsid w:val="00D26826"/>
    <w:rsid w:val="00D44702"/>
    <w:rsid w:val="00D61250"/>
    <w:rsid w:val="00D65E00"/>
    <w:rsid w:val="00D80217"/>
    <w:rsid w:val="00D92A90"/>
    <w:rsid w:val="00DC13E3"/>
    <w:rsid w:val="00DF2455"/>
    <w:rsid w:val="00DF469E"/>
    <w:rsid w:val="00E0093F"/>
    <w:rsid w:val="00E04467"/>
    <w:rsid w:val="00E208AD"/>
    <w:rsid w:val="00E235CD"/>
    <w:rsid w:val="00E47E51"/>
    <w:rsid w:val="00E74ADD"/>
    <w:rsid w:val="00E84021"/>
    <w:rsid w:val="00E94C74"/>
    <w:rsid w:val="00EA3819"/>
    <w:rsid w:val="00EA7D61"/>
    <w:rsid w:val="00EB4B98"/>
    <w:rsid w:val="00EB7BE6"/>
    <w:rsid w:val="00ED6061"/>
    <w:rsid w:val="00EE3BBE"/>
    <w:rsid w:val="00EF3768"/>
    <w:rsid w:val="00F13C17"/>
    <w:rsid w:val="00F32AFB"/>
    <w:rsid w:val="00F40C18"/>
    <w:rsid w:val="00F45A70"/>
    <w:rsid w:val="00F45C5C"/>
    <w:rsid w:val="00F60D3F"/>
    <w:rsid w:val="00F7658A"/>
    <w:rsid w:val="00F81C84"/>
    <w:rsid w:val="00F846D9"/>
    <w:rsid w:val="00F852FF"/>
    <w:rsid w:val="00F92FC0"/>
    <w:rsid w:val="00FA2544"/>
    <w:rsid w:val="00FA7877"/>
    <w:rsid w:val="00FB012C"/>
    <w:rsid w:val="00FC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EE13D"/>
  <w15:chartTrackingRefBased/>
  <w15:docId w15:val="{4AF05CE4-0114-4C44-A7A1-61732BB46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08AD"/>
  </w:style>
  <w:style w:type="paragraph" w:styleId="Nadpis1">
    <w:name w:val="heading 1"/>
    <w:basedOn w:val="Normln"/>
    <w:next w:val="Normln"/>
    <w:link w:val="Nadpis1Char"/>
    <w:uiPriority w:val="9"/>
    <w:qFormat/>
    <w:rsid w:val="00E208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20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208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208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208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208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208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208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208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08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208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208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208A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208A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208A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208A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208A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208A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208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20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08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208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20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208A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208A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208A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208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208A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208AD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uiPriority w:val="99"/>
    <w:semiHidden/>
    <w:unhideWhenUsed/>
    <w:rsid w:val="00AC15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C1536"/>
    <w:pPr>
      <w:spacing w:after="0" w:line="240" w:lineRule="auto"/>
    </w:pPr>
    <w:rPr>
      <w:rFonts w:ascii="Times New Roman" w:eastAsia="Times New Roman" w:hAnsi="Times New Roman" w:cs="Symbol"/>
      <w:kern w:val="0"/>
      <w:sz w:val="20"/>
      <w:szCs w:val="20"/>
      <w:lang w:eastAsia="cs-CZ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C1536"/>
    <w:rPr>
      <w:rFonts w:ascii="Times New Roman" w:eastAsia="Times New Roman" w:hAnsi="Times New Roman" w:cs="Symbol"/>
      <w:kern w:val="0"/>
      <w:sz w:val="2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801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1015"/>
  </w:style>
  <w:style w:type="paragraph" w:styleId="Zpat">
    <w:name w:val="footer"/>
    <w:basedOn w:val="Normln"/>
    <w:link w:val="ZpatChar"/>
    <w:unhideWhenUsed/>
    <w:rsid w:val="00801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801015"/>
  </w:style>
  <w:style w:type="paragraph" w:customStyle="1" w:styleId="Standardnte">
    <w:name w:val="Standardní te"/>
    <w:rsid w:val="00801015"/>
    <w:pPr>
      <w:suppressAutoHyphens/>
      <w:spacing w:after="0" w:line="240" w:lineRule="auto"/>
    </w:pPr>
    <w:rPr>
      <w:rFonts w:ascii="Times New Roman" w:eastAsia="Times New Roman" w:hAnsi="Times New Roman" w:cs="Symbol"/>
      <w:color w:val="000000"/>
      <w:kern w:val="0"/>
      <w:szCs w:val="22"/>
      <w:lang w:eastAsia="ar-SA"/>
      <w14:ligatures w14:val="none"/>
    </w:rPr>
  </w:style>
  <w:style w:type="paragraph" w:styleId="Revize">
    <w:name w:val="Revision"/>
    <w:hidden/>
    <w:uiPriority w:val="99"/>
    <w:semiHidden/>
    <w:rsid w:val="006D22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1852</Words>
  <Characters>10931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Baloghová Turzová Erika Mgr. (SPR/PRAV)</dc:creator>
  <cp:keywords/>
  <dc:description/>
  <cp:lastModifiedBy>Minksová Jana (SPR/VEZ)</cp:lastModifiedBy>
  <cp:revision>4</cp:revision>
  <dcterms:created xsi:type="dcterms:W3CDTF">2026-06-26T13:57:00Z</dcterms:created>
  <dcterms:modified xsi:type="dcterms:W3CDTF">2026-06-26T13:58:00Z</dcterms:modified>
</cp:coreProperties>
</file>