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4685" w14:textId="77777777" w:rsidR="00CC7E94" w:rsidRPr="0094625A" w:rsidRDefault="00CC7E94" w:rsidP="005F74A0">
      <w:pPr>
        <w:pStyle w:val="Nadpis3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073C4A2A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</w:t>
      </w:r>
      <w:r w:rsidR="00A420E3">
        <w:rPr>
          <w:rFonts w:ascii="Arial" w:hAnsi="Arial" w:cs="Arial"/>
        </w:rPr>
        <w:t>46</w:t>
      </w:r>
      <w:r w:rsidR="00B43697">
        <w:rPr>
          <w:rFonts w:ascii="Arial" w:hAnsi="Arial" w:cs="Arial"/>
        </w:rPr>
        <w:t xml:space="preserve"> odst. 2, zákona č. 89/2012 Sb. občanského zákoníku, v platném znění </w:t>
      </w:r>
    </w:p>
    <w:p w14:paraId="2EF5EBAD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2B5F0B17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8393084" w14:textId="640BE24F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45073CE0" w14:textId="77777777" w:rsidR="00730F72" w:rsidRDefault="00730F72" w:rsidP="00F5660C">
      <w:pPr>
        <w:pStyle w:val="Zkladntext"/>
        <w:spacing w:after="0"/>
        <w:ind w:left="567" w:right="567"/>
        <w:jc w:val="center"/>
        <w:rPr>
          <w:rFonts w:ascii="Arial" w:hAnsi="Arial" w:cs="Arial"/>
        </w:rPr>
      </w:pPr>
    </w:p>
    <w:p w14:paraId="41B74035" w14:textId="243AC4D5" w:rsidR="00730F72" w:rsidRDefault="00730F72" w:rsidP="00F5660C">
      <w:pPr>
        <w:pStyle w:val="Zkladntext"/>
        <w:spacing w:after="240"/>
        <w:ind w:left="567" w:right="567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052C46" w:rsidRPr="00052C46">
        <w:rPr>
          <w:rFonts w:ascii="Arial" w:hAnsi="Arial" w:cs="Arial"/>
        </w:rPr>
        <w:t>26/003/159</w:t>
      </w:r>
    </w:p>
    <w:p w14:paraId="2E26FB22" w14:textId="77777777" w:rsidR="00CC7E9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 xml:space="preserve">Vlastník sítě elektronických komunikací: </w:t>
      </w:r>
    </w:p>
    <w:p w14:paraId="287D24F0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proofErr w:type="gramStart"/>
      <w:r w:rsidRPr="00CC7E94">
        <w:rPr>
          <w:rFonts w:ascii="Arial" w:hAnsi="Arial" w:cs="Arial"/>
          <w:b/>
        </w:rPr>
        <w:t>ČD - Telematika</w:t>
      </w:r>
      <w:proofErr w:type="gramEnd"/>
      <w:r w:rsidRPr="00CC7E94">
        <w:rPr>
          <w:rFonts w:ascii="Arial" w:hAnsi="Arial" w:cs="Arial"/>
          <w:b/>
        </w:rPr>
        <w:t xml:space="preserve"> a.s.</w:t>
      </w:r>
    </w:p>
    <w:p w14:paraId="63FEE001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>Pernerova 2819/</w:t>
      </w:r>
      <w:proofErr w:type="gramStart"/>
      <w:r w:rsidRPr="00CC7E94">
        <w:rPr>
          <w:rFonts w:ascii="Arial" w:hAnsi="Arial" w:cs="Arial"/>
        </w:rPr>
        <w:t>2a</w:t>
      </w:r>
      <w:proofErr w:type="gramEnd"/>
      <w:r w:rsidRPr="00CC7E94">
        <w:rPr>
          <w:rFonts w:ascii="Arial" w:hAnsi="Arial" w:cs="Arial"/>
        </w:rPr>
        <w:t xml:space="preserve">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43E477E1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 xml:space="preserve">a 9, Pod Táborem </w:t>
      </w:r>
      <w:proofErr w:type="gramStart"/>
      <w:r w:rsidR="00B43697">
        <w:rPr>
          <w:rFonts w:ascii="Arial" w:hAnsi="Arial" w:cs="Arial"/>
        </w:rPr>
        <w:t>8a</w:t>
      </w:r>
      <w:proofErr w:type="gramEnd"/>
      <w:r w:rsidR="00B43697">
        <w:rPr>
          <w:rFonts w:ascii="Arial" w:hAnsi="Arial" w:cs="Arial"/>
        </w:rPr>
        <w:t>/369, PSČ 190</w:t>
      </w:r>
      <w:r>
        <w:rPr>
          <w:rFonts w:ascii="Arial" w:hAnsi="Arial" w:cs="Arial"/>
        </w:rPr>
        <w:t xml:space="preserve"> 00</w:t>
      </w:r>
    </w:p>
    <w:p w14:paraId="2ED7D3B2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8E12F27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61DABCB0" w14:textId="4164EF73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5B3560" w:rsidRPr="005B3560">
        <w:rPr>
          <w:rFonts w:ascii="Arial" w:hAnsi="Arial" w:cs="Arial"/>
          <w:color w:val="000000"/>
        </w:rPr>
        <w:t xml:space="preserve">43-7795830287/0100 </w:t>
      </w:r>
      <w:r w:rsidR="00E76C75" w:rsidRPr="005B3560">
        <w:rPr>
          <w:rFonts w:ascii="Arial" w:hAnsi="Arial" w:cs="Arial"/>
        </w:rPr>
        <w:t>účet</w:t>
      </w:r>
      <w:r w:rsidR="00E76C75">
        <w:rPr>
          <w:rFonts w:ascii="Arial" w:hAnsi="Arial" w:cs="Arial"/>
        </w:rPr>
        <w:t xml:space="preserve"> vedený u Komerční banky a.s.</w:t>
      </w:r>
    </w:p>
    <w:p w14:paraId="1F859DC2" w14:textId="624C15FD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F74A0" w:rsidRPr="005F74A0">
        <w:rPr>
          <w:rFonts w:ascii="Helv" w:hAnsi="Helv" w:cs="Helv"/>
          <w:color w:val="000000"/>
        </w:rPr>
        <w:t xml:space="preserve">Mgr. Łukaszem Sebastianem </w:t>
      </w:r>
      <w:proofErr w:type="spellStart"/>
      <w:r w:rsidR="005F74A0" w:rsidRPr="005F74A0">
        <w:rPr>
          <w:rFonts w:ascii="Helv" w:hAnsi="Helv" w:cs="Helv"/>
          <w:color w:val="000000"/>
        </w:rPr>
        <w:t>Kryńskim</w:t>
      </w:r>
      <w:proofErr w:type="spellEnd"/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6401CB94" w14:textId="53B348F0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</w:t>
      </w:r>
      <w:r w:rsidR="00DF541F">
        <w:rPr>
          <w:rFonts w:ascii="Arial" w:hAnsi="Arial" w:cs="Arial"/>
        </w:rPr>
        <w:t xml:space="preserve"> Vladimírem Jedličkou</w:t>
      </w:r>
      <w:r w:rsidR="00660439">
        <w:rPr>
          <w:rFonts w:ascii="Arial" w:hAnsi="Arial" w:cs="Arial"/>
        </w:rPr>
        <w:t>, členem představenstva</w:t>
      </w:r>
    </w:p>
    <w:p w14:paraId="33EBDE22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 xml:space="preserve">apsaná v obchodním rejstříku vedeném Městským soudem v Praze, </w:t>
      </w:r>
      <w:r w:rsidR="000C5DE3">
        <w:rPr>
          <w:rFonts w:ascii="Arial" w:hAnsi="Arial" w:cs="Arial"/>
        </w:rPr>
        <w:t xml:space="preserve">pod </w:t>
      </w:r>
      <w:proofErr w:type="spellStart"/>
      <w:r w:rsidR="000C5DE3">
        <w:rPr>
          <w:rFonts w:ascii="Arial" w:hAnsi="Arial" w:cs="Arial"/>
        </w:rPr>
        <w:t>sp</w:t>
      </w:r>
      <w:proofErr w:type="spellEnd"/>
      <w:r w:rsidR="000C5DE3">
        <w:rPr>
          <w:rFonts w:ascii="Arial" w:hAnsi="Arial" w:cs="Arial"/>
        </w:rPr>
        <w:t>. zn. B 8938</w:t>
      </w:r>
    </w:p>
    <w:p w14:paraId="7AB5915E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296CD3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E4C9460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AE4D9FA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288B2104" w14:textId="77777777" w:rsidR="00CC7E94" w:rsidRDefault="00CC7E94" w:rsidP="00CC7E94">
      <w:pPr>
        <w:jc w:val="both"/>
        <w:rPr>
          <w:rFonts w:ascii="Arial" w:hAnsi="Arial" w:cs="Arial"/>
        </w:rPr>
      </w:pPr>
    </w:p>
    <w:p w14:paraId="7C7E5E15" w14:textId="77777777" w:rsidR="00CA3344" w:rsidRPr="008C0185" w:rsidRDefault="00CA3344" w:rsidP="00CA3344">
      <w:pPr>
        <w:spacing w:after="120"/>
        <w:jc w:val="both"/>
        <w:rPr>
          <w:rFonts w:ascii="Arial" w:hAnsi="Arial" w:cs="Arial"/>
          <w:b/>
          <w:sz w:val="22"/>
        </w:rPr>
      </w:pPr>
      <w:r w:rsidRPr="008C0185">
        <w:rPr>
          <w:rFonts w:ascii="Arial" w:hAnsi="Arial" w:cs="Arial"/>
          <w:b/>
          <w:sz w:val="22"/>
        </w:rPr>
        <w:t>Stavebník žádající o překládku sítě elektronických komunikací:</w:t>
      </w:r>
    </w:p>
    <w:p w14:paraId="16EC3E59" w14:textId="6EFF2004" w:rsidR="00CC29E1" w:rsidRPr="00DA7F4D" w:rsidRDefault="002E1E6B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Hybernská Invest s.r.o.</w:t>
      </w:r>
    </w:p>
    <w:p w14:paraId="00209369" w14:textId="050695EF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2E1E6B">
        <w:rPr>
          <w:rFonts w:ascii="Arial" w:hAnsi="Arial" w:cs="Arial"/>
        </w:rPr>
        <w:t xml:space="preserve">Na Florenci </w:t>
      </w:r>
      <w:r w:rsidR="00FA3FED">
        <w:rPr>
          <w:rFonts w:ascii="Arial" w:hAnsi="Arial" w:cs="Arial"/>
        </w:rPr>
        <w:t>2139/2, Praha 110 00</w:t>
      </w:r>
    </w:p>
    <w:p w14:paraId="7CC3C3A9" w14:textId="7E3A4E74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2E1E6B">
        <w:rPr>
          <w:rFonts w:ascii="Arial" w:hAnsi="Arial" w:cs="Arial"/>
        </w:rPr>
        <w:t>17417180</w:t>
      </w:r>
    </w:p>
    <w:p w14:paraId="7D362427" w14:textId="7E40C02A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8F4589" w:rsidRPr="008F4589">
        <w:rPr>
          <w:rFonts w:ascii="Arial" w:hAnsi="Arial" w:cs="Arial"/>
        </w:rPr>
        <w:t>17417180</w:t>
      </w:r>
      <w:r w:rsidRPr="00DA7F4D">
        <w:rPr>
          <w:rFonts w:ascii="Arial" w:hAnsi="Arial" w:cs="Arial"/>
        </w:rPr>
        <w:t xml:space="preserve"> </w:t>
      </w:r>
    </w:p>
    <w:p w14:paraId="2115DAD7" w14:textId="19D35DFA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D507C3">
        <w:rPr>
          <w:rFonts w:ascii="Arial" w:hAnsi="Arial" w:cs="Arial"/>
        </w:rPr>
        <w:t>xx</w:t>
      </w:r>
      <w:proofErr w:type="spellEnd"/>
    </w:p>
    <w:p w14:paraId="5E792885" w14:textId="7B4711B7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8F4589">
        <w:rPr>
          <w:rFonts w:ascii="Arial" w:hAnsi="Arial" w:cs="Arial"/>
        </w:rPr>
        <w:t>Městským soudem v Praze</w:t>
      </w:r>
      <w:r w:rsidR="00716967">
        <w:rPr>
          <w:rFonts w:ascii="Arial" w:hAnsi="Arial" w:cs="Arial"/>
        </w:rPr>
        <w:t xml:space="preserve"> pod </w:t>
      </w:r>
      <w:proofErr w:type="spellStart"/>
      <w:r w:rsidR="00716967">
        <w:rPr>
          <w:rFonts w:ascii="Arial" w:hAnsi="Arial" w:cs="Arial"/>
        </w:rPr>
        <w:t>sp</w:t>
      </w:r>
      <w:proofErr w:type="spellEnd"/>
      <w:r w:rsidR="00716967">
        <w:rPr>
          <w:rFonts w:ascii="Arial" w:hAnsi="Arial" w:cs="Arial"/>
        </w:rPr>
        <w:t xml:space="preserve">. zn. </w:t>
      </w:r>
      <w:r w:rsidR="008F4589" w:rsidRPr="008F4589">
        <w:rPr>
          <w:rFonts w:ascii="Arial" w:hAnsi="Arial" w:cs="Arial"/>
        </w:rPr>
        <w:t>C 371391</w:t>
      </w:r>
    </w:p>
    <w:p w14:paraId="69145BEB" w14:textId="53A4B94B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r w:rsidR="00D507C3" w:rsidRPr="00D507C3">
        <w:rPr>
          <w:rFonts w:ascii="Arial" w:hAnsi="Arial" w:cs="Arial"/>
        </w:rPr>
        <w:t>Rudolfem Vackem a Davidem Musilem, jednateli</w:t>
      </w:r>
    </w:p>
    <w:p w14:paraId="4D172BE6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CFBF51E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38F73C3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7FCDEC4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19EE925A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70713479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41F7057C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3C9A45E1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0577AECB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5B79645B" w14:textId="6BA89AA7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Stavebník bude realizovat stavbu </w:t>
      </w:r>
      <w:r w:rsidR="00EB3EC9" w:rsidRPr="00EB3EC9">
        <w:rPr>
          <w:rFonts w:ascii="Arial" w:hAnsi="Arial" w:cs="Arial"/>
          <w:b/>
          <w:bCs/>
        </w:rPr>
        <w:t>„Masarykovo nádraží – vymístění ATÚ“</w:t>
      </w:r>
      <w:r>
        <w:rPr>
          <w:rFonts w:ascii="Arial" w:hAnsi="Arial" w:cs="Arial"/>
        </w:rPr>
        <w:t xml:space="preserve">, na </w:t>
      </w:r>
      <w:proofErr w:type="gramStart"/>
      <w:r>
        <w:rPr>
          <w:rFonts w:ascii="Arial" w:hAnsi="Arial" w:cs="Arial"/>
        </w:rPr>
        <w:t>základě</w:t>
      </w:r>
      <w:proofErr w:type="gramEnd"/>
      <w:r>
        <w:rPr>
          <w:rFonts w:ascii="Arial" w:hAnsi="Arial" w:cs="Arial"/>
        </w:rPr>
        <w:t xml:space="preserve"> níž dojde k přeložení SEK ČDT oproti původnímu stavu jejího uložení.</w:t>
      </w:r>
    </w:p>
    <w:p w14:paraId="5B0BE341" w14:textId="53D91D50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EB3EC9">
        <w:rPr>
          <w:rFonts w:ascii="Arial" w:hAnsi="Arial" w:cs="Arial"/>
        </w:rPr>
        <w:t>„Masarykovo nádraží – vymístění ATÚ, přesměrování kabelizace ČD-T“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21A198A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6E52B6AB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7636C1EB" w14:textId="57C462F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</w:t>
      </w:r>
      <w:r w:rsidR="006C0DD8">
        <w:rPr>
          <w:rFonts w:ascii="Arial" w:hAnsi="Arial" w:cs="Arial"/>
        </w:rPr>
        <w:t xml:space="preserve">, </w:t>
      </w:r>
      <w:r w:rsidR="006C0DD8" w:rsidRPr="006C0DD8">
        <w:rPr>
          <w:rFonts w:ascii="Arial" w:hAnsi="Arial" w:cs="Arial"/>
        </w:rPr>
        <w:t>vyjma případných nákladů vynaložených na modernizaci a zvýšení přenosové kapacity SEK ve smyslu § 104 odst. 1</w:t>
      </w:r>
      <w:r w:rsidR="006C0DD8">
        <w:rPr>
          <w:rFonts w:ascii="Arial" w:hAnsi="Arial" w:cs="Arial"/>
        </w:rPr>
        <w:t>8</w:t>
      </w:r>
      <w:r w:rsidR="006C0DD8" w:rsidRPr="006C0DD8">
        <w:rPr>
          <w:rFonts w:ascii="Arial" w:hAnsi="Arial" w:cs="Arial"/>
        </w:rPr>
        <w:t xml:space="preserve"> druhé věty </w:t>
      </w:r>
      <w:proofErr w:type="spellStart"/>
      <w:r w:rsidR="006C0DD8" w:rsidRPr="006C0DD8">
        <w:rPr>
          <w:rFonts w:ascii="Arial" w:hAnsi="Arial" w:cs="Arial"/>
        </w:rPr>
        <w:t>ZeK</w:t>
      </w:r>
      <w:proofErr w:type="spellEnd"/>
      <w:r w:rsidR="006C0DD8" w:rsidRPr="006C0DD8">
        <w:rPr>
          <w:rFonts w:ascii="Arial" w:hAnsi="Arial" w:cs="Arial"/>
        </w:rPr>
        <w:t xml:space="preserve"> a čl. III odst. 6 této Smlouvy</w:t>
      </w:r>
      <w:r w:rsidR="004E358B">
        <w:rPr>
          <w:rFonts w:ascii="Arial" w:hAnsi="Arial" w:cs="Arial"/>
        </w:rPr>
        <w:t>.</w:t>
      </w:r>
    </w:p>
    <w:p w14:paraId="2DBA41B1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5D76FDBD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8F11EB7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15343145" w14:textId="10EBA45D" w:rsidR="005221E0" w:rsidRPr="00CE553E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EB3EC9">
        <w:rPr>
          <w:rFonts w:ascii="Arial" w:hAnsi="Arial" w:cs="Arial"/>
          <w:sz w:val="20"/>
          <w:szCs w:val="20"/>
        </w:rPr>
        <w:t xml:space="preserve">společností </w:t>
      </w:r>
      <w:r w:rsidR="00EB3EC9" w:rsidRPr="00CE553E">
        <w:rPr>
          <w:rFonts w:ascii="Arial" w:hAnsi="Arial" w:cs="Arial"/>
          <w:sz w:val="20"/>
          <w:szCs w:val="20"/>
        </w:rPr>
        <w:t>IXPROJEKTA s.r.o.</w:t>
      </w:r>
      <w:r w:rsidR="00805941" w:rsidRPr="00CE553E">
        <w:rPr>
          <w:rFonts w:ascii="Arial" w:hAnsi="Arial" w:cs="Arial"/>
          <w:sz w:val="20"/>
          <w:szCs w:val="20"/>
        </w:rPr>
        <w:t>,</w:t>
      </w:r>
      <w:r w:rsidR="00CE553E">
        <w:rPr>
          <w:rFonts w:ascii="Arial" w:hAnsi="Arial" w:cs="Arial"/>
          <w:sz w:val="20"/>
          <w:szCs w:val="20"/>
        </w:rPr>
        <w:t xml:space="preserve"> </w:t>
      </w:r>
      <w:r w:rsidR="00CE553E" w:rsidRPr="00CE553E">
        <w:rPr>
          <w:rFonts w:ascii="Arial" w:hAnsi="Arial" w:cs="Arial"/>
          <w:sz w:val="20"/>
          <w:szCs w:val="20"/>
        </w:rPr>
        <w:t>He</w:t>
      </w:r>
      <w:r w:rsidR="00CE553E">
        <w:rPr>
          <w:rFonts w:ascii="Arial" w:hAnsi="Arial" w:cs="Arial"/>
          <w:sz w:val="20"/>
          <w:szCs w:val="20"/>
        </w:rPr>
        <w:t>r</w:t>
      </w:r>
      <w:r w:rsidR="00CE553E" w:rsidRPr="00CE553E">
        <w:rPr>
          <w:rFonts w:ascii="Arial" w:hAnsi="Arial" w:cs="Arial"/>
          <w:sz w:val="20"/>
          <w:szCs w:val="20"/>
        </w:rPr>
        <w:t>špická 813/5, 639 00 Brno-Štýřice, ve stupni RDS z 02/2026</w:t>
      </w:r>
    </w:p>
    <w:p w14:paraId="0E52CEEE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19D9300B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3C14D696" w14:textId="15E0625E" w:rsidR="004E358B" w:rsidRPr="004E358B" w:rsidRDefault="00183C42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 w:rsidRPr="00773187">
        <w:rPr>
          <w:rFonts w:ascii="Arial" w:hAnsi="Arial" w:cs="Arial"/>
          <w:sz w:val="20"/>
          <w:szCs w:val="20"/>
        </w:rPr>
        <w:t>zajištění pravomocného správního rozhodnutí Překládky</w:t>
      </w:r>
      <w:r>
        <w:rPr>
          <w:rFonts w:ascii="Arial" w:hAnsi="Arial" w:cs="Arial"/>
        </w:rPr>
        <w:t xml:space="preserve"> </w:t>
      </w:r>
      <w:r w:rsidRPr="00183C42">
        <w:rPr>
          <w:rFonts w:ascii="Arial" w:hAnsi="Arial" w:cs="Arial"/>
          <w:sz w:val="20"/>
          <w:szCs w:val="20"/>
        </w:rPr>
        <w:t xml:space="preserve">Stavebníkem, jako je </w:t>
      </w:r>
      <w:r>
        <w:rPr>
          <w:rFonts w:ascii="Arial" w:hAnsi="Arial" w:cs="Arial"/>
          <w:sz w:val="20"/>
          <w:szCs w:val="20"/>
        </w:rPr>
        <w:t xml:space="preserve">rozhodnutí o </w:t>
      </w:r>
      <w:r w:rsidRPr="00183C42">
        <w:rPr>
          <w:rFonts w:ascii="Arial" w:hAnsi="Arial" w:cs="Arial"/>
          <w:sz w:val="20"/>
          <w:szCs w:val="20"/>
        </w:rPr>
        <w:t>povolení záměru, územní rozhodnutí (dále „ÚR“) apod., ať již samostatně nebo v rámci celkové jeho stavby</w:t>
      </w:r>
      <w:r w:rsidR="00AA48C4">
        <w:rPr>
          <w:rFonts w:ascii="Arial" w:hAnsi="Arial" w:cs="Arial"/>
          <w:sz w:val="20"/>
          <w:szCs w:val="20"/>
        </w:rPr>
        <w:t xml:space="preserve"> (</w:t>
      </w:r>
      <w:r w:rsidR="00AA48C4" w:rsidRPr="00183C42">
        <w:rPr>
          <w:rFonts w:ascii="Arial" w:hAnsi="Arial" w:cs="Arial"/>
          <w:sz w:val="20"/>
          <w:szCs w:val="20"/>
        </w:rPr>
        <w:t>dále „</w:t>
      </w:r>
      <w:r w:rsidR="00AA48C4">
        <w:rPr>
          <w:rFonts w:ascii="Arial" w:hAnsi="Arial" w:cs="Arial"/>
          <w:sz w:val="20"/>
          <w:szCs w:val="20"/>
        </w:rPr>
        <w:t>správní rozhodnutí)</w:t>
      </w:r>
      <w:r w:rsidR="00AA48C4" w:rsidRPr="00183C42">
        <w:rPr>
          <w:rFonts w:ascii="Arial" w:hAnsi="Arial" w:cs="Arial"/>
          <w:sz w:val="20"/>
          <w:szCs w:val="20"/>
        </w:rPr>
        <w:t>“</w:t>
      </w:r>
    </w:p>
    <w:p w14:paraId="06790200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6B4E74BE" w14:textId="37863E8E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  <w:r w:rsidR="002B4230" w:rsidRPr="002B4230">
        <w:rPr>
          <w:rFonts w:ascii="Arial" w:hAnsi="Arial" w:cs="Arial"/>
          <w:sz w:val="20"/>
          <w:szCs w:val="20"/>
        </w:rPr>
        <w:t xml:space="preserve"> (dále „</w:t>
      </w:r>
      <w:proofErr w:type="spellStart"/>
      <w:r w:rsidR="002B4230" w:rsidRPr="002B4230">
        <w:rPr>
          <w:rFonts w:ascii="Arial" w:hAnsi="Arial" w:cs="Arial"/>
          <w:sz w:val="20"/>
          <w:szCs w:val="20"/>
        </w:rPr>
        <w:t>SoSB</w:t>
      </w:r>
      <w:proofErr w:type="spellEnd"/>
      <w:r w:rsidR="002B4230" w:rsidRPr="002B4230">
        <w:rPr>
          <w:rFonts w:ascii="Arial" w:hAnsi="Arial" w:cs="Arial"/>
          <w:sz w:val="20"/>
          <w:szCs w:val="20"/>
        </w:rPr>
        <w:t>“)</w:t>
      </w:r>
    </w:p>
    <w:p w14:paraId="3BE18673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55EFB322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67B7F285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16DFC9FC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2254911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214E7F83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 pověřit i jinou osobu. Při realizaci Překládky jinou osobou nese společnost ČDT odpovědnost, jako by Překládku realizovala sama.</w:t>
      </w:r>
    </w:p>
    <w:p w14:paraId="5B7E96DC" w14:textId="77777777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226E60B2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7F806048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7AFA9F44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52295B39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54D8BED9" w14:textId="653ED6FD" w:rsidR="00DF7F18" w:rsidRPr="00F22996" w:rsidRDefault="00DF7F18" w:rsidP="00191ABD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22996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F22996">
        <w:rPr>
          <w:rFonts w:ascii="Arial" w:hAnsi="Arial" w:cs="Arial"/>
          <w:sz w:val="20"/>
          <w:szCs w:val="20"/>
        </w:rPr>
        <w:t>,</w:t>
      </w:r>
    </w:p>
    <w:p w14:paraId="1A1E6CC4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1C3F5E31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460D401D" w14:textId="77777777" w:rsidR="00DF7F18" w:rsidRPr="00A74052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56168DD" w14:textId="544F0AE9" w:rsidR="000E4D9B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74052">
        <w:rPr>
          <w:rFonts w:ascii="Arial" w:hAnsi="Arial" w:cs="Arial"/>
          <w:sz w:val="20"/>
          <w:szCs w:val="20"/>
        </w:rPr>
        <w:t xml:space="preserve">poskytnut ÚR/Stavební povolení </w:t>
      </w:r>
      <w:r w:rsidR="00AA48C4">
        <w:rPr>
          <w:rFonts w:ascii="Arial" w:hAnsi="Arial" w:cs="Arial"/>
          <w:sz w:val="20"/>
          <w:szCs w:val="20"/>
        </w:rPr>
        <w:t xml:space="preserve">či obdobné správní rozhodnutí </w:t>
      </w:r>
      <w:r w:rsidRPr="00A74052">
        <w:rPr>
          <w:rFonts w:ascii="Arial" w:hAnsi="Arial" w:cs="Arial"/>
          <w:sz w:val="20"/>
          <w:szCs w:val="20"/>
        </w:rPr>
        <w:t xml:space="preserve">na stavbu v el. </w:t>
      </w:r>
      <w:r>
        <w:rPr>
          <w:rFonts w:ascii="Arial" w:hAnsi="Arial" w:cs="Arial"/>
          <w:sz w:val="20"/>
          <w:szCs w:val="20"/>
        </w:rPr>
        <w:t>p</w:t>
      </w:r>
      <w:r w:rsidRPr="00A74052">
        <w:rPr>
          <w:rFonts w:ascii="Arial" w:hAnsi="Arial" w:cs="Arial"/>
          <w:sz w:val="20"/>
          <w:szCs w:val="20"/>
        </w:rPr>
        <w:t>odobě</w:t>
      </w:r>
    </w:p>
    <w:p w14:paraId="05008EFA" w14:textId="1BF48113" w:rsidR="000E4D9B" w:rsidRDefault="000E4D9B" w:rsidP="000E4D9B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0E4D9B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vyjádření k projektové dokumentaci</w:t>
      </w:r>
      <w:r w:rsidRPr="000E4D9B">
        <w:rPr>
          <w:rFonts w:ascii="Arial" w:hAnsi="Arial" w:cs="Arial"/>
          <w:sz w:val="20"/>
          <w:szCs w:val="20"/>
        </w:rPr>
        <w:t xml:space="preserve"> jiných správců v el. podobě</w:t>
      </w:r>
    </w:p>
    <w:p w14:paraId="0E087A8A" w14:textId="77777777" w:rsidR="005F74A0" w:rsidRPr="005F74A0" w:rsidRDefault="005F74A0" w:rsidP="005F74A0">
      <w:pPr>
        <w:tabs>
          <w:tab w:val="left" w:pos="567"/>
        </w:tabs>
        <w:spacing w:before="120"/>
        <w:ind w:left="539"/>
        <w:jc w:val="both"/>
        <w:rPr>
          <w:rFonts w:ascii="Arial" w:hAnsi="Arial" w:cs="Arial"/>
        </w:rPr>
      </w:pPr>
    </w:p>
    <w:p w14:paraId="3CBA29DE" w14:textId="63FF435C" w:rsidR="00350D43" w:rsidRPr="002F4702" w:rsidRDefault="00350D43" w:rsidP="00350D43">
      <w:pPr>
        <w:tabs>
          <w:tab w:val="left" w:pos="567"/>
        </w:tabs>
        <w:spacing w:before="120"/>
        <w:ind w:left="539"/>
        <w:jc w:val="both"/>
        <w:rPr>
          <w:rFonts w:ascii="Arial" w:hAnsi="Arial" w:cs="Arial"/>
          <w:u w:val="single"/>
        </w:rPr>
      </w:pPr>
      <w:bookmarkStart w:id="0" w:name="_Hlk193803601"/>
      <w:r w:rsidRPr="002F4702">
        <w:rPr>
          <w:rFonts w:ascii="Arial" w:hAnsi="Arial" w:cs="Arial"/>
          <w:u w:val="single"/>
        </w:rPr>
        <w:lastRenderedPageBreak/>
        <w:t>po realizaci Překládky</w:t>
      </w:r>
    </w:p>
    <w:p w14:paraId="52C80A72" w14:textId="532821E2" w:rsidR="00350D43" w:rsidRPr="00350D43" w:rsidRDefault="00350D43" w:rsidP="00350D43">
      <w:pPr>
        <w:tabs>
          <w:tab w:val="left" w:pos="567"/>
        </w:tabs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B5962">
        <w:rPr>
          <w:rFonts w:ascii="Arial" w:hAnsi="Arial" w:cs="Arial"/>
        </w:rPr>
        <w:t>oznámit datum vydání kolaudačního rozhodnutí či poskytnout elektronické vyhotovení kolaudačního rozhodnutí v případě, bude-li probíhat kolaudační řízení</w:t>
      </w:r>
    </w:p>
    <w:bookmarkEnd w:id="0"/>
    <w:p w14:paraId="0179B224" w14:textId="2C0FCF54" w:rsidR="00DF7F18" w:rsidRPr="00D507C3" w:rsidRDefault="00DF7F18" w:rsidP="00D507C3">
      <w:pPr>
        <w:pStyle w:val="Odstavecseseznamem"/>
        <w:numPr>
          <w:ilvl w:val="0"/>
          <w:numId w:val="3"/>
        </w:numPr>
        <w:tabs>
          <w:tab w:val="clear" w:pos="1065"/>
        </w:tabs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</w:t>
      </w:r>
      <w:r w:rsidR="002B4230">
        <w:rPr>
          <w:rFonts w:ascii="Arial" w:eastAsia="Times New Roman" w:hAnsi="Arial" w:cs="Arial"/>
          <w:sz w:val="20"/>
          <w:szCs w:val="20"/>
          <w:lang w:eastAsia="cs-CZ"/>
        </w:rPr>
        <w:t>e správního rozhodnutí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č</w:t>
      </w:r>
      <w:r w:rsidR="00D507C3" w:rsidRPr="00D507C3">
        <w:rPr>
          <w:rFonts w:ascii="Arial" w:hAnsi="Arial" w:cs="Arial"/>
          <w:sz w:val="20"/>
          <w:szCs w:val="20"/>
        </w:rPr>
        <w:t>S</w:t>
      </w:r>
      <w:proofErr w:type="spellEnd"/>
      <w:r w:rsidR="00D507C3" w:rsidRPr="00D507C3">
        <w:rPr>
          <w:rFonts w:ascii="Arial" w:hAnsi="Arial" w:cs="Arial"/>
          <w:sz w:val="20"/>
          <w:szCs w:val="20"/>
        </w:rPr>
        <w:t xml:space="preserve"> UMCP1/968659/2025/VÝS-Ba-2/2086, Rozhodnutí Povolení stavby – „Stavební </w:t>
      </w:r>
      <w:proofErr w:type="spellStart"/>
      <w:proofErr w:type="gramStart"/>
      <w:r w:rsidR="00D507C3" w:rsidRPr="00D507C3">
        <w:rPr>
          <w:rFonts w:ascii="Arial" w:hAnsi="Arial" w:cs="Arial"/>
          <w:sz w:val="20"/>
          <w:szCs w:val="20"/>
        </w:rPr>
        <w:t>úpravy,</w:t>
      </w:r>
      <w:r w:rsidR="00D507C3" w:rsidRPr="00D507C3">
        <w:rPr>
          <w:rFonts w:ascii="Arial" w:eastAsia="Times New Roman" w:hAnsi="Arial" w:cs="Arial"/>
          <w:sz w:val="20"/>
          <w:szCs w:val="20"/>
          <w:lang w:eastAsia="cs-CZ"/>
        </w:rPr>
        <w:t>nástavba</w:t>
      </w:r>
      <w:proofErr w:type="spellEnd"/>
      <w:proofErr w:type="gramEnd"/>
      <w:r w:rsidR="00D507C3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 a přístavba budovy č.p. 2086, Hybernská 15“ Praha 1, Nové Město č.p. 2086, č.j. UMCP1106524/2026 ze dne 20. 2. </w:t>
      </w:r>
      <w:proofErr w:type="gramStart"/>
      <w:r w:rsidR="00D507C3" w:rsidRPr="00D507C3">
        <w:rPr>
          <w:rFonts w:ascii="Arial" w:eastAsia="Times New Roman" w:hAnsi="Arial" w:cs="Arial"/>
          <w:sz w:val="20"/>
          <w:szCs w:val="20"/>
          <w:lang w:eastAsia="cs-CZ"/>
        </w:rPr>
        <w:t>2026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>a</w:t>
      </w:r>
      <w:proofErr w:type="gramEnd"/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 to toliko práva k umístění, resp. přeložení veřejné komunikační sítě ČDT za podmínek stan</w:t>
      </w:r>
      <w:r w:rsidR="001D1523" w:rsidRPr="00D507C3">
        <w:rPr>
          <w:rFonts w:ascii="Arial" w:eastAsia="Times New Roman" w:hAnsi="Arial" w:cs="Arial"/>
          <w:sz w:val="20"/>
          <w:szCs w:val="20"/>
          <w:lang w:eastAsia="cs-CZ"/>
        </w:rPr>
        <w:t>ovených v</w:t>
      </w:r>
      <w:r w:rsidR="00DF36D4" w:rsidRPr="00D507C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D1523" w:rsidRPr="00D507C3">
        <w:rPr>
          <w:rFonts w:ascii="Arial" w:eastAsia="Times New Roman" w:hAnsi="Arial" w:cs="Arial"/>
          <w:sz w:val="20"/>
          <w:szCs w:val="20"/>
          <w:lang w:eastAsia="cs-CZ"/>
        </w:rPr>
        <w:t>tomto</w:t>
      </w:r>
      <w:r w:rsidR="00DF36D4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 správním</w:t>
      </w:r>
      <w:r w:rsidR="001D1523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 rozhodn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1D1523" w:rsidRPr="00D507C3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í, a dále související práva a povinnosti, která plynou </w:t>
      </w:r>
      <w:r w:rsidR="00D5756D" w:rsidRPr="00D507C3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> to</w:t>
      </w:r>
      <w:r w:rsidR="00D5756D" w:rsidRPr="00D507C3">
        <w:rPr>
          <w:rFonts w:ascii="Arial" w:eastAsia="Times New Roman" w:hAnsi="Arial" w:cs="Arial"/>
          <w:sz w:val="20"/>
          <w:szCs w:val="20"/>
          <w:lang w:eastAsia="cs-CZ"/>
        </w:rPr>
        <w:t>hoto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5756D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správního 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rozhodnutí, a dále související práva a povinnosti, která plynou ze stanovisek dotčených orgánů státní správy, správců inženýrských sítí a účastníků řízení, tak jak jsou v tomto </w:t>
      </w:r>
      <w:r w:rsidR="00D5756D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správním 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>rozhodnutí stanoveny. ČDT tato převá</w:t>
      </w:r>
      <w:r w:rsidR="00221FF7" w:rsidRPr="00D507C3">
        <w:rPr>
          <w:rFonts w:ascii="Arial" w:eastAsia="Times New Roman" w:hAnsi="Arial" w:cs="Arial"/>
          <w:sz w:val="20"/>
          <w:szCs w:val="20"/>
          <w:lang w:eastAsia="cs-CZ"/>
        </w:rPr>
        <w:t xml:space="preserve">děná práva ke dni </w:t>
      </w:r>
      <w:r w:rsidR="00A31AD4" w:rsidRPr="00D507C3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221FF7" w:rsidRPr="00D507C3">
        <w:rPr>
          <w:rFonts w:ascii="Arial" w:eastAsia="Times New Roman" w:hAnsi="Arial" w:cs="Arial"/>
          <w:sz w:val="20"/>
          <w:szCs w:val="20"/>
          <w:lang w:eastAsia="cs-CZ"/>
        </w:rPr>
        <w:t>zavření této S</w:t>
      </w:r>
      <w:r w:rsidR="001A26BA" w:rsidRPr="00D507C3">
        <w:rPr>
          <w:rFonts w:ascii="Arial" w:eastAsia="Times New Roman" w:hAnsi="Arial" w:cs="Arial"/>
          <w:sz w:val="20"/>
          <w:szCs w:val="20"/>
          <w:lang w:eastAsia="cs-CZ"/>
        </w:rPr>
        <w:t>mlouvy přijímá.</w:t>
      </w:r>
      <w:r w:rsidR="001A26BA" w:rsidRPr="00D507C3">
        <w:rPr>
          <w:rFonts w:ascii="Arial" w:hAnsi="Arial" w:cs="Arial"/>
        </w:rPr>
        <w:t xml:space="preserve"> </w:t>
      </w:r>
    </w:p>
    <w:p w14:paraId="34B3ADBA" w14:textId="326A9BB4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="00716967">
        <w:rPr>
          <w:rFonts w:ascii="Arial" w:hAnsi="Arial" w:cs="Arial"/>
          <w:sz w:val="20"/>
          <w:szCs w:val="20"/>
        </w:rPr>
        <w:t xml:space="preserve">. </w:t>
      </w:r>
    </w:p>
    <w:p w14:paraId="513D3346" w14:textId="77777777" w:rsidR="00DF36D4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6C1C7736" w14:textId="33E4F7AC" w:rsidR="001A26BA" w:rsidRPr="001A26BA" w:rsidRDefault="002B4230" w:rsidP="00DF36D4">
      <w:pPr>
        <w:pStyle w:val="Odstavecseseznamem"/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2B4230">
        <w:rPr>
          <w:rFonts w:ascii="Arial" w:hAnsi="Arial" w:cs="Arial"/>
          <w:sz w:val="20"/>
          <w:szCs w:val="20"/>
        </w:rPr>
        <w:t xml:space="preserve">Zřizování věcných břemen dle tohoto odstavce může probíhat i jiným způsobem, pokud </w:t>
      </w:r>
      <w:proofErr w:type="spellStart"/>
      <w:r w:rsidRPr="002B4230">
        <w:rPr>
          <w:rFonts w:ascii="Arial" w:hAnsi="Arial" w:cs="Arial"/>
          <w:sz w:val="20"/>
          <w:szCs w:val="20"/>
        </w:rPr>
        <w:t>ZeK</w:t>
      </w:r>
      <w:proofErr w:type="spellEnd"/>
      <w:r w:rsidRPr="002B4230">
        <w:rPr>
          <w:rFonts w:ascii="Arial" w:hAnsi="Arial" w:cs="Arial"/>
          <w:sz w:val="20"/>
          <w:szCs w:val="20"/>
        </w:rPr>
        <w:t xml:space="preserve"> v konkrétním případě stanoví jiný postup (např. možnost neuzavírat </w:t>
      </w:r>
      <w:proofErr w:type="spellStart"/>
      <w:r w:rsidRPr="002B4230">
        <w:rPr>
          <w:rFonts w:ascii="Arial" w:hAnsi="Arial" w:cs="Arial"/>
          <w:sz w:val="20"/>
          <w:szCs w:val="20"/>
        </w:rPr>
        <w:t>SoSB</w:t>
      </w:r>
      <w:proofErr w:type="spellEnd"/>
      <w:r w:rsidRPr="002B4230">
        <w:rPr>
          <w:rFonts w:ascii="Arial" w:hAnsi="Arial" w:cs="Arial"/>
          <w:sz w:val="20"/>
          <w:szCs w:val="20"/>
        </w:rPr>
        <w:t>). V takovém případě se neuplatní ty části této smlouvy, které ČDT jakožto osoba oprávněná z věcného břemene v konkrétním případě nebude požadovat.</w:t>
      </w:r>
    </w:p>
    <w:p w14:paraId="1B1632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3D931C44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4FB03412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35CA6870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3115589F" w14:textId="29C605A9" w:rsidR="001A26BA" w:rsidRPr="001A26BA" w:rsidRDefault="001A26BA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1A26BA">
        <w:rPr>
          <w:rFonts w:ascii="Arial" w:hAnsi="Arial" w:cs="Arial"/>
        </w:rPr>
        <w:t xml:space="preserve">Stavebník je na základě </w:t>
      </w:r>
      <w:proofErr w:type="spellStart"/>
      <w:r w:rsidRPr="001A26BA">
        <w:rPr>
          <w:rFonts w:ascii="Arial" w:hAnsi="Arial" w:cs="Arial"/>
        </w:rPr>
        <w:t>ZeK</w:t>
      </w:r>
      <w:proofErr w:type="spellEnd"/>
      <w:r w:rsidRPr="001A26BA">
        <w:rPr>
          <w:rFonts w:ascii="Arial" w:hAnsi="Arial" w:cs="Arial"/>
        </w:rPr>
        <w:t xml:space="preserve"> § 104 povinen nést náklady překládky dotčeného úseku SEK, přičemž takovými náklady jsou všechny nezbytné náklady vlastníka SEK, které mu v souvislosti s překládkou SEK vzniknou, a které by mu nevznikly, kdyby k překládce nedošlo.</w:t>
      </w:r>
    </w:p>
    <w:p w14:paraId="1AF58DA0" w14:textId="125CC96F" w:rsidR="00E7542F" w:rsidRDefault="00893A8C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3D7E7C7" w14:textId="77777777" w:rsidR="000E4D9B" w:rsidRPr="00A74052" w:rsidRDefault="000E4D9B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74052">
        <w:rPr>
          <w:rFonts w:ascii="Arial" w:hAnsi="Arial" w:cs="Arial"/>
        </w:rPr>
        <w:t xml:space="preserve">Výše upřesněných nákladů Překládky bude stanovena po vyhotovení Projektu, na jehož základě (dále jen „Náklady Přeložky stanovené na základě Projektu“) ČDT písemně oznámí </w:t>
      </w:r>
      <w:r w:rsidR="009F09A1">
        <w:rPr>
          <w:rFonts w:ascii="Arial" w:hAnsi="Arial" w:cs="Arial"/>
        </w:rPr>
        <w:t>Stavebníkovi</w:t>
      </w:r>
      <w:r w:rsidRPr="00A74052">
        <w:rPr>
          <w:rFonts w:ascii="Arial" w:hAnsi="Arial" w:cs="Arial"/>
        </w:rPr>
        <w:t xml:space="preserve"> výši nákladů Překládky stanovených na základě Projektu, pokud se tak již nestalo, viz předchozí odstavec této Smlouvy.</w:t>
      </w:r>
    </w:p>
    <w:p w14:paraId="5CE386B9" w14:textId="77777777" w:rsidR="00E7542F" w:rsidRDefault="00E7542F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v souvislosti s realizací Překládky ČDT vzniknou další nezbytné náklady na Překládku</w:t>
      </w:r>
      <w:r w:rsidR="0048489E">
        <w:rPr>
          <w:rFonts w:ascii="Arial" w:hAnsi="Arial" w:cs="Arial"/>
        </w:rPr>
        <w:t>, které nejsou vyčísleny v čl. V</w:t>
      </w:r>
      <w:r w:rsidR="00D0746C">
        <w:rPr>
          <w:rFonts w:ascii="Arial" w:hAnsi="Arial" w:cs="Arial"/>
        </w:rPr>
        <w:t>., odst. 2</w:t>
      </w:r>
      <w:r w:rsidR="00221FF7">
        <w:rPr>
          <w:rFonts w:ascii="Arial" w:hAnsi="Arial" w:cs="Arial"/>
        </w:rPr>
        <w:t>., této S</w:t>
      </w:r>
      <w:r>
        <w:rPr>
          <w:rFonts w:ascii="Arial" w:hAnsi="Arial" w:cs="Arial"/>
        </w:rPr>
        <w:t xml:space="preserve">mlouvy, Stavebník se zavazuje je ČDT uhradit za předpokladu, že nebudou zahrnuty v nákladech Překládky stanovených po vyhotovení Projektu ve smyslu čl. </w:t>
      </w:r>
      <w:r w:rsidR="0048489E">
        <w:rPr>
          <w:rFonts w:ascii="Arial" w:hAnsi="Arial" w:cs="Arial"/>
        </w:rPr>
        <w:t>V</w:t>
      </w:r>
      <w:r w:rsidR="00D0746C">
        <w:rPr>
          <w:rFonts w:ascii="Arial" w:hAnsi="Arial" w:cs="Arial"/>
        </w:rPr>
        <w:t xml:space="preserve">., odst. </w:t>
      </w:r>
      <w:r w:rsidR="00DE1F7B">
        <w:rPr>
          <w:rFonts w:ascii="Arial" w:hAnsi="Arial" w:cs="Arial"/>
        </w:rPr>
        <w:t>3</w:t>
      </w:r>
      <w:r w:rsidR="00221FF7">
        <w:rPr>
          <w:rFonts w:ascii="Arial" w:hAnsi="Arial" w:cs="Arial"/>
        </w:rPr>
        <w:t>. této S</w:t>
      </w:r>
      <w:r>
        <w:rPr>
          <w:rFonts w:ascii="Arial" w:hAnsi="Arial" w:cs="Arial"/>
        </w:rPr>
        <w:t>mlouvy.</w:t>
      </w:r>
    </w:p>
    <w:p w14:paraId="1FB44159" w14:textId="77777777" w:rsidR="00E7542F" w:rsidRDefault="00E7542F" w:rsidP="00E7542F">
      <w:pPr>
        <w:spacing w:before="120"/>
        <w:ind w:left="539"/>
        <w:jc w:val="both"/>
        <w:rPr>
          <w:rFonts w:ascii="Arial" w:hAnsi="Arial" w:cs="Arial"/>
        </w:rPr>
      </w:pPr>
      <w:r>
        <w:rPr>
          <w:rFonts w:ascii="Arial" w:hAnsi="Arial" w:cs="Arial"/>
        </w:rPr>
        <w:t>Může se jednat zejména o:</w:t>
      </w:r>
    </w:p>
    <w:p w14:paraId="613BBA83" w14:textId="77777777" w:rsidR="00E7542F" w:rsidRPr="00CE1E9A" w:rsidRDefault="00E7542F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omezení vlastnického práva</w:t>
      </w:r>
      <w:r w:rsidR="00CF4A0A">
        <w:rPr>
          <w:rFonts w:ascii="Arial" w:hAnsi="Arial" w:cs="Arial"/>
          <w:sz w:val="20"/>
          <w:szCs w:val="20"/>
        </w:rPr>
        <w:t xml:space="preserve"> zřízením slu</w:t>
      </w:r>
      <w:r w:rsidR="00221FF7">
        <w:rPr>
          <w:rFonts w:ascii="Arial" w:hAnsi="Arial" w:cs="Arial"/>
          <w:sz w:val="20"/>
          <w:szCs w:val="20"/>
        </w:rPr>
        <w:t>žebnosti vlastníkům nebo jinou s</w:t>
      </w:r>
      <w:r w:rsidR="00CF4A0A">
        <w:rPr>
          <w:rFonts w:ascii="Arial" w:hAnsi="Arial" w:cs="Arial"/>
          <w:sz w:val="20"/>
          <w:szCs w:val="20"/>
        </w:rPr>
        <w:t>mlouvou Překládkou dotčených nemovitostí dle uzavřený</w:t>
      </w:r>
      <w:r w:rsidR="00221FF7">
        <w:rPr>
          <w:rFonts w:ascii="Arial" w:hAnsi="Arial" w:cs="Arial"/>
          <w:sz w:val="20"/>
          <w:szCs w:val="20"/>
        </w:rPr>
        <w:t>ch smluv o služebnosti či jiné s</w:t>
      </w:r>
      <w:r w:rsidR="00CF4A0A">
        <w:rPr>
          <w:rFonts w:ascii="Arial" w:hAnsi="Arial" w:cs="Arial"/>
          <w:sz w:val="20"/>
          <w:szCs w:val="20"/>
        </w:rPr>
        <w:t>mlouvy;</w:t>
      </w:r>
    </w:p>
    <w:p w14:paraId="4B6F22DC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náklady související s přípravou zřízení služebnosti či jiné smlouvy, jako jsou zejména geometrické plány, správní poplatky, vyhotovení smluvních vztahů o zřízení služebnosti </w:t>
      </w:r>
      <w:r w:rsidR="00221FF7">
        <w:rPr>
          <w:rFonts w:ascii="Arial" w:hAnsi="Arial" w:cs="Arial"/>
          <w:sz w:val="20"/>
          <w:szCs w:val="20"/>
        </w:rPr>
        <w:t>či vztahů vyplývajících z jiné s</w:t>
      </w:r>
      <w:r>
        <w:rPr>
          <w:rFonts w:ascii="Arial" w:hAnsi="Arial" w:cs="Arial"/>
          <w:sz w:val="20"/>
          <w:szCs w:val="20"/>
        </w:rPr>
        <w:t>mlouvy;</w:t>
      </w:r>
    </w:p>
    <w:p w14:paraId="019921A6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náklady související se zrušením a následným výmazem služebnosti (váznoucí na nemovitostech dotčených původní, překládanou, trasou SEK) z katastru nemovitostí;</w:t>
      </w:r>
    </w:p>
    <w:p w14:paraId="6AAC9AF8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náhrady za omezené užívání lesního a půdního fondu včetně nákladů na vypracování jejich výpočtů;</w:t>
      </w:r>
    </w:p>
    <w:p w14:paraId="7AC208B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hydrogeologický, geologický, dendrologický a ostatní odborné posudky zpracované subjekty k tomu určenými potřebné pro realizaci Překládky;</w:t>
      </w:r>
    </w:p>
    <w:p w14:paraId="00D62E81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koordinační výkresy, povodňové plány a zaměření, vyžadované dotčenými subjekty;</w:t>
      </w:r>
    </w:p>
    <w:p w14:paraId="33C2B772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identifikaci parcel;</w:t>
      </w:r>
    </w:p>
    <w:p w14:paraId="50046D2D" w14:textId="77777777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správní poplatky podle zákona č. 634/</w:t>
      </w:r>
      <w:r w:rsidR="009A58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004 Sb., o správních poplatcích v platném znění, které vzniknou ČDT v důsledku získávání potřebných správních rozhodnutí – povolení, které jsou nezbytné k realizaci Překládky;</w:t>
      </w:r>
    </w:p>
    <w:p w14:paraId="54DD37BE" w14:textId="398591C6" w:rsidR="00CF4A0A" w:rsidRPr="00CE1E9A" w:rsidRDefault="00CF4A0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zvláštním užíváním veřejného prostranství, vyměřené v souvislosti s realizací předmětného díla podle zákona č. 565/1990 Sb., o místních poplatcích</w:t>
      </w:r>
      <w:r w:rsidR="005258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 platném znění;</w:t>
      </w:r>
    </w:p>
    <w:p w14:paraId="45B054D5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náklady, související se zvláštním užíváním komunikace ve smyslu § 25 zákona č. 13/1997 Sb., o pozemních komunikacích, v platném znění;</w:t>
      </w:r>
    </w:p>
    <w:p w14:paraId="18B33CEF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peněžité plnění plynoucí z nájemních smluv, jejichž uzavření je nutné pro realizaci Překládky;</w:t>
      </w:r>
    </w:p>
    <w:p w14:paraId="2F35503A" w14:textId="77777777" w:rsidR="00264BB2" w:rsidRPr="00E91D5E" w:rsidRDefault="00264BB2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91D5E">
        <w:rPr>
          <w:rFonts w:ascii="Arial" w:hAnsi="Arial" w:cs="Arial"/>
          <w:sz w:val="20"/>
          <w:szCs w:val="20"/>
        </w:rPr>
        <w:t xml:space="preserve">náklady související s majetkovými újmami, způsobenými na zemědělských plodinách v souvislosti s realizací Překládky; </w:t>
      </w:r>
    </w:p>
    <w:p w14:paraId="2B538BC7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ochranu komunikačních vedení a zařízení před přepětím a nadproudem, včetně odborného výpočtu a návrhu;</w:t>
      </w:r>
    </w:p>
    <w:p w14:paraId="3F260871" w14:textId="77777777" w:rsidR="00746EFA" w:rsidRPr="00CE1E9A" w:rsidRDefault="00746EFA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se záchranným archeologickým dohledem;</w:t>
      </w:r>
    </w:p>
    <w:p w14:paraId="311EA4E7" w14:textId="77777777" w:rsidR="00195E23" w:rsidRPr="00523DE3" w:rsidRDefault="00746EFA" w:rsidP="00831E72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zde nespecifikované náklady nezbytné pro realizaci Překládky, na nichž se ČDT a Stavebník dohodnou.</w:t>
      </w:r>
    </w:p>
    <w:p w14:paraId="7FA90130" w14:textId="52449AF2" w:rsidR="00FD1776" w:rsidRPr="00FD1776" w:rsidRDefault="00FD1776" w:rsidP="00FD1776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V případě, že míra inflace vyjádřená přírůstkem průměrného ročního indexu spotřebitelských cen dle údajů Českého statistického úřadu, publikovaných na jeho internetových stránkách, uvedená ke kalendářnímu měsíci odpovídajícímu měsíci, v němž byla smlouva podepsána, za posledních 12 měsíců vzroste (bude vyšší než 0), zvýší se neuhrazená část smluvní ceny dle smlouvy o výši tohoto indexu, a to v každém roce trvání smlouvy (dále jako „Indexace“). Základem pro zvyšování smluvní ceny je vždy cena platná na předcházejících 12 měsíců. Ke zvýšení dochází ode dne v příslušném měsíci, který se číselným označením shoduje s datem podpisu smlouvy.</w:t>
      </w:r>
      <w:r w:rsidR="007557DA">
        <w:rPr>
          <w:rFonts w:ascii="Arial" w:hAnsi="Arial" w:cs="Arial"/>
          <w:iCs/>
          <w:color w:val="000000"/>
        </w:rPr>
        <w:t xml:space="preserve"> Smluvní strany pro vyloučení případných pochybností </w:t>
      </w:r>
      <w:r w:rsidR="00714AA7">
        <w:rPr>
          <w:rFonts w:ascii="Arial" w:hAnsi="Arial" w:cs="Arial"/>
          <w:iCs/>
          <w:color w:val="000000"/>
        </w:rPr>
        <w:t>prohlašují</w:t>
      </w:r>
      <w:r w:rsidR="007557DA">
        <w:rPr>
          <w:rFonts w:ascii="Arial" w:hAnsi="Arial" w:cs="Arial"/>
          <w:iCs/>
          <w:color w:val="000000"/>
        </w:rPr>
        <w:t xml:space="preserve">, že </w:t>
      </w:r>
      <w:r w:rsidR="00714AA7">
        <w:rPr>
          <w:rFonts w:ascii="Arial" w:hAnsi="Arial" w:cs="Arial"/>
          <w:iCs/>
          <w:color w:val="000000"/>
        </w:rPr>
        <w:t xml:space="preserve">k první indexaci neuhrazené části smluvní ceny dle tohoto odstavce může dojít nejdříve po uplynutí 12 měsíců ode dne uzavření této smlouvy. Indexace nebude účinná, neoznámí-li ČDT písemně novou výši neuhrazené části smluvní ceny ani do dvou měsíců </w:t>
      </w:r>
      <w:r w:rsidR="00714AA7" w:rsidRPr="00FD1776">
        <w:rPr>
          <w:rFonts w:ascii="Arial" w:hAnsi="Arial" w:cs="Arial"/>
          <w:iCs/>
          <w:color w:val="000000"/>
        </w:rPr>
        <w:t>ode dne v příslušném měsíci, který se číselným označením shoduje s datem podpisu smlouvy</w:t>
      </w:r>
      <w:r w:rsidR="00714AA7">
        <w:rPr>
          <w:rFonts w:ascii="Arial" w:hAnsi="Arial" w:cs="Arial"/>
          <w:iCs/>
          <w:color w:val="000000"/>
        </w:rPr>
        <w:t>.</w:t>
      </w:r>
      <w:r w:rsidRPr="00FD1776">
        <w:rPr>
          <w:rFonts w:ascii="Arial" w:hAnsi="Arial" w:cs="Arial"/>
          <w:iCs/>
          <w:color w:val="000000"/>
        </w:rPr>
        <w:t xml:space="preserve"> Smluvní strany pro odstranění pochybností uvádí, že k úpravě ceny dle tohoto ustanovení smlouvy není třeba uzavírat dodatek ke smlouvě. Smluvní strany však mohou z důvodu právní jistoty o navýšení ceny sepsat zápis podepsaný oběma smluvními stranami (dále jen „Oznámení o indexaci“).</w:t>
      </w:r>
      <w:r>
        <w:rPr>
          <w:rFonts w:ascii="Arial" w:hAnsi="Arial" w:cs="Arial"/>
          <w:iCs/>
          <w:color w:val="000000"/>
        </w:rPr>
        <w:t xml:space="preserve"> </w:t>
      </w:r>
      <w:r w:rsidRPr="00FD1776">
        <w:rPr>
          <w:rFonts w:ascii="Arial" w:hAnsi="Arial" w:cs="Arial"/>
          <w:iCs/>
          <w:color w:val="000000"/>
        </w:rPr>
        <w:t xml:space="preserve">Nová zvýšená cena bude vypočítána následovně: </w:t>
      </w:r>
    </w:p>
    <w:p w14:paraId="119F9563" w14:textId="77777777" w:rsidR="00FD1776" w:rsidRPr="00FD1776" w:rsidRDefault="00FD1776" w:rsidP="00F1300C">
      <w:pPr>
        <w:tabs>
          <w:tab w:val="left" w:pos="851"/>
        </w:tabs>
        <w:spacing w:before="120"/>
        <w:ind w:left="851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 xml:space="preserve">nová cena = 1+(I/100) * současná cena, </w:t>
      </w:r>
    </w:p>
    <w:p w14:paraId="3232AFB0" w14:textId="77777777" w:rsidR="00FD1776" w:rsidRP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kdy I = míra inflace vyjádřená přírůstkem indexu spotřebitelských cen posledních 12 měsíců proti předchozím 12 měsícům. Pokud bude „I“ záporné, zůstává cena v původní výši.</w:t>
      </w:r>
    </w:p>
    <w:p w14:paraId="5D8AB9AB" w14:textId="77777777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t>VI.</w:t>
      </w:r>
    </w:p>
    <w:p w14:paraId="2E01C0F2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1453C601" w14:textId="2CFC5D6C" w:rsidR="00AB752A" w:rsidRPr="003E3FD9" w:rsidRDefault="00CD549E" w:rsidP="003E3FD9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Stavebník se zavazuje uhradit Vlastníkovi sítě elektronických komunikací zálohu na cenu Přeložky (díla) nejpozději 30 dnů před realizací Překládky ve výši </w:t>
      </w:r>
      <w:proofErr w:type="spellStart"/>
      <w:r w:rsidR="00893A8C">
        <w:rPr>
          <w:rFonts w:ascii="Arial" w:hAnsi="Arial" w:cs="Arial"/>
          <w:b/>
          <w:bCs/>
        </w:rPr>
        <w:t>xx</w:t>
      </w:r>
      <w:proofErr w:type="spellEnd"/>
      <w:r>
        <w:rPr>
          <w:rFonts w:ascii="Arial" w:hAnsi="Arial" w:cs="Arial"/>
          <w:b/>
          <w:bCs/>
        </w:rPr>
        <w:t xml:space="preserve"> sjednané ceny za Přeložku (dílo) dle čl.V.2, </w:t>
      </w:r>
      <w:proofErr w:type="spellStart"/>
      <w:r w:rsidR="00893A8C">
        <w:rPr>
          <w:rFonts w:ascii="Arial" w:hAnsi="Arial" w:cs="Arial"/>
          <w:b/>
          <w:bCs/>
        </w:rPr>
        <w:t>xx</w:t>
      </w:r>
      <w:proofErr w:type="spellEnd"/>
      <w:r w:rsidRPr="00893A8C">
        <w:rPr>
          <w:rFonts w:ascii="Arial" w:hAnsi="Arial" w:cs="Arial"/>
          <w:b/>
          <w:bCs/>
        </w:rPr>
        <w:t xml:space="preserve">. </w:t>
      </w:r>
      <w:r w:rsidRPr="003E3FD9">
        <w:rPr>
          <w:rFonts w:ascii="Arial" w:hAnsi="Arial" w:cs="Arial"/>
          <w:b/>
          <w:bCs/>
        </w:rPr>
        <w:t>Zároveň Stavebník zašle potvrzení o platbě vystavené bankou do datové schránky ČDT</w:t>
      </w:r>
      <w:r w:rsidR="00AB752A" w:rsidRPr="003E3FD9">
        <w:rPr>
          <w:rFonts w:ascii="Arial" w:hAnsi="Arial" w:cs="Arial"/>
        </w:rPr>
        <w:t>. Po dokončení realizace Překládky vystaví ČDT konečnou fakturu, jejíž součástí bude odsouhlasený</w:t>
      </w:r>
      <w:r w:rsidR="00F36615" w:rsidRPr="003E3FD9">
        <w:rPr>
          <w:rFonts w:ascii="Arial" w:hAnsi="Arial" w:cs="Arial"/>
        </w:rPr>
        <w:t xml:space="preserve"> soupis nákladů a ve kterém budou</w:t>
      </w:r>
      <w:r w:rsidR="00AB752A" w:rsidRPr="003E3FD9"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6CDFCFC7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61330711" w14:textId="777777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7DA30817" w14:textId="77777777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727A504A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5967237D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64C94EF2" w14:textId="3D40998D" w:rsidR="00A46B8E" w:rsidRDefault="00893A8C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9E68045" w14:textId="2A1C01EF" w:rsidR="00A46B8E" w:rsidRDefault="00D001AF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Úrok z prodlení</w:t>
      </w:r>
      <w:r w:rsidR="00A46B8E">
        <w:rPr>
          <w:rFonts w:ascii="Arial" w:hAnsi="Arial" w:cs="Arial"/>
          <w:sz w:val="20"/>
          <w:szCs w:val="20"/>
        </w:rPr>
        <w:t xml:space="preserve"> je splatn</w:t>
      </w:r>
      <w:r>
        <w:rPr>
          <w:rFonts w:ascii="Arial" w:hAnsi="Arial" w:cs="Arial"/>
          <w:sz w:val="20"/>
          <w:szCs w:val="20"/>
        </w:rPr>
        <w:t>ý</w:t>
      </w:r>
      <w:r w:rsidR="00A46B8E">
        <w:rPr>
          <w:rFonts w:ascii="Arial" w:hAnsi="Arial" w:cs="Arial"/>
          <w:sz w:val="20"/>
          <w:szCs w:val="20"/>
        </w:rPr>
        <w:t xml:space="preserve"> do 10 dnů poté, co bude písemná výzva jedné strany v tomto směru druhé straně doručena.</w:t>
      </w:r>
    </w:p>
    <w:p w14:paraId="3AD38F30" w14:textId="0486ABE0" w:rsidR="00A46B8E" w:rsidRDefault="0048489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Povinností zaplatit </w:t>
      </w:r>
      <w:r w:rsidR="00D001AF">
        <w:rPr>
          <w:rFonts w:ascii="Arial" w:hAnsi="Arial" w:cs="Arial"/>
          <w:sz w:val="20"/>
          <w:szCs w:val="20"/>
        </w:rPr>
        <w:t>úrok z prodlení</w:t>
      </w:r>
      <w:r w:rsidR="00A46B8E">
        <w:rPr>
          <w:rFonts w:ascii="Arial" w:hAnsi="Arial" w:cs="Arial"/>
          <w:sz w:val="20"/>
          <w:szCs w:val="20"/>
        </w:rPr>
        <w:t>, jak je specifikov</w:t>
      </w:r>
      <w:r w:rsidR="009E389D">
        <w:rPr>
          <w:rFonts w:ascii="Arial" w:hAnsi="Arial" w:cs="Arial"/>
          <w:sz w:val="20"/>
          <w:szCs w:val="20"/>
        </w:rPr>
        <w:t>á</w:t>
      </w:r>
      <w:r w:rsidR="00A46B8E">
        <w:rPr>
          <w:rFonts w:ascii="Arial" w:hAnsi="Arial" w:cs="Arial"/>
          <w:sz w:val="20"/>
          <w:szCs w:val="20"/>
        </w:rPr>
        <w:t>n</w:t>
      </w:r>
      <w:r w:rsidR="009E389D">
        <w:rPr>
          <w:rFonts w:ascii="Arial" w:hAnsi="Arial" w:cs="Arial"/>
          <w:sz w:val="20"/>
          <w:szCs w:val="20"/>
        </w:rPr>
        <w:t>a</w:t>
      </w:r>
      <w:r w:rsidR="00A46B8E">
        <w:rPr>
          <w:rFonts w:ascii="Arial" w:hAnsi="Arial" w:cs="Arial"/>
          <w:sz w:val="20"/>
          <w:szCs w:val="20"/>
        </w:rPr>
        <w:t xml:space="preserve"> v odstavcích 1., a 2., tohoto článku</w:t>
      </w:r>
      <w:r w:rsidR="009E389D">
        <w:rPr>
          <w:rFonts w:ascii="Arial" w:hAnsi="Arial" w:cs="Arial"/>
          <w:sz w:val="20"/>
          <w:szCs w:val="20"/>
        </w:rPr>
        <w:t xml:space="preserve"> VII</w:t>
      </w:r>
      <w:r w:rsidR="00635735">
        <w:rPr>
          <w:rFonts w:ascii="Arial" w:hAnsi="Arial" w:cs="Arial"/>
          <w:sz w:val="20"/>
          <w:szCs w:val="20"/>
        </w:rPr>
        <w:t>.</w:t>
      </w:r>
      <w:r w:rsidR="00A46B8E">
        <w:rPr>
          <w:rFonts w:ascii="Arial" w:hAnsi="Arial" w:cs="Arial"/>
          <w:sz w:val="20"/>
          <w:szCs w:val="20"/>
        </w:rPr>
        <w:t xml:space="preserve">, není dotčeno právo na náhradu škody, a to ani co do výše, v níž případně náhrada škody </w:t>
      </w:r>
      <w:r w:rsidR="00D001AF">
        <w:rPr>
          <w:rFonts w:ascii="Arial" w:hAnsi="Arial" w:cs="Arial"/>
          <w:sz w:val="20"/>
          <w:szCs w:val="20"/>
        </w:rPr>
        <w:t>úrok z prodlení</w:t>
      </w:r>
      <w:r w:rsidR="00A46B8E">
        <w:rPr>
          <w:rFonts w:ascii="Arial" w:hAnsi="Arial" w:cs="Arial"/>
          <w:sz w:val="20"/>
          <w:szCs w:val="20"/>
        </w:rPr>
        <w:t xml:space="preserve"> přesáhne. Povinnost zaplatit </w:t>
      </w:r>
      <w:r w:rsidR="00D001AF">
        <w:rPr>
          <w:rFonts w:ascii="Arial" w:hAnsi="Arial" w:cs="Arial"/>
          <w:sz w:val="20"/>
          <w:szCs w:val="20"/>
        </w:rPr>
        <w:t>úrok z prodlení</w:t>
      </w:r>
      <w:r w:rsidR="00A46B8E">
        <w:rPr>
          <w:rFonts w:ascii="Arial" w:hAnsi="Arial" w:cs="Arial"/>
          <w:sz w:val="20"/>
          <w:szCs w:val="20"/>
        </w:rPr>
        <w:t xml:space="preserve"> může vzniknout i opakovaně, její celková výše není omezena.</w:t>
      </w:r>
    </w:p>
    <w:p w14:paraId="61290026" w14:textId="3D7C71F0" w:rsidR="00A46B8E" w:rsidRDefault="00A46B8E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zaplatit </w:t>
      </w:r>
      <w:r w:rsidR="00D001AF">
        <w:rPr>
          <w:rFonts w:ascii="Arial" w:hAnsi="Arial" w:cs="Arial"/>
          <w:sz w:val="20"/>
          <w:szCs w:val="20"/>
        </w:rPr>
        <w:t>úrok z prodlení</w:t>
      </w:r>
      <w:r>
        <w:rPr>
          <w:rFonts w:ascii="Arial" w:hAnsi="Arial" w:cs="Arial"/>
          <w:sz w:val="20"/>
          <w:szCs w:val="20"/>
        </w:rPr>
        <w:t>, jak je specifikována v odstavcích 1., až 3., včetně, tohoto článku</w:t>
      </w:r>
      <w:r w:rsidR="009E389D">
        <w:rPr>
          <w:rFonts w:ascii="Arial" w:hAnsi="Arial" w:cs="Arial"/>
          <w:sz w:val="20"/>
          <w:szCs w:val="20"/>
        </w:rPr>
        <w:t xml:space="preserve"> VII.</w:t>
      </w:r>
      <w:r>
        <w:rPr>
          <w:rFonts w:ascii="Arial" w:hAnsi="Arial" w:cs="Arial"/>
          <w:sz w:val="20"/>
          <w:szCs w:val="20"/>
        </w:rPr>
        <w:t xml:space="preserve">, </w:t>
      </w:r>
      <w:r w:rsidR="00D0746C">
        <w:rPr>
          <w:rFonts w:ascii="Arial" w:hAnsi="Arial" w:cs="Arial"/>
          <w:sz w:val="20"/>
          <w:szCs w:val="20"/>
        </w:rPr>
        <w:t>trvá i po skončení trvání této S</w:t>
      </w:r>
      <w:r>
        <w:rPr>
          <w:rFonts w:ascii="Arial" w:hAnsi="Arial" w:cs="Arial"/>
          <w:sz w:val="20"/>
          <w:szCs w:val="20"/>
        </w:rPr>
        <w:t>mlouvy, jakož i poté, co dojde k odstoupení od ní některou ze stran či oběma stranami.</w:t>
      </w:r>
    </w:p>
    <w:p w14:paraId="7CF7983A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4197F4E3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7D9A8034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B353FA1" w14:textId="7838680E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r w:rsidR="00F22996">
        <w:rPr>
          <w:rFonts w:ascii="Arial" w:hAnsi="Arial" w:cs="Arial"/>
          <w:sz w:val="20"/>
          <w:szCs w:val="20"/>
        </w:rPr>
        <w:t>obchodní zástupce</w:t>
      </w:r>
    </w:p>
    <w:p w14:paraId="34D6DD54" w14:textId="7481C318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31F5B130" w14:textId="1124841A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399B57D4" w14:textId="66DA195D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17852E3E" w14:textId="5B214C12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r w:rsidR="00893A8C">
        <w:rPr>
          <w:rFonts w:ascii="Arial" w:hAnsi="Arial" w:cs="Arial"/>
          <w:sz w:val="20"/>
          <w:szCs w:val="20"/>
        </w:rPr>
        <w:t>x</w:t>
      </w:r>
    </w:p>
    <w:p w14:paraId="6B4BCC46" w14:textId="1E9BD265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65ECCB87" w14:textId="63954CB9" w:rsidR="007D41E3" w:rsidRDefault="007D41E3" w:rsidP="007D41E3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 (zástupce):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4848EA96" w14:textId="7D550247" w:rsidR="007D41E3" w:rsidRDefault="007D41E3" w:rsidP="007D41E3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1BE3010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ABAA08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4AA6E719" w14:textId="72332250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7FFC7D06" w14:textId="78CF7678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1455524F" w14:textId="7BA3372E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28434F62" w14:textId="3967C84B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893A8C">
        <w:rPr>
          <w:rFonts w:ascii="Arial" w:hAnsi="Arial" w:cs="Arial"/>
          <w:sz w:val="20"/>
          <w:szCs w:val="20"/>
        </w:rPr>
        <w:t>xx</w:t>
      </w:r>
      <w:proofErr w:type="spellEnd"/>
    </w:p>
    <w:p w14:paraId="39491C4C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44CF6434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6343FB80" w14:textId="77777777" w:rsidR="00695B14" w:rsidRDefault="00A35F4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Každá strana této S</w:t>
      </w:r>
      <w:r w:rsidR="00695B14">
        <w:rPr>
          <w:rFonts w:ascii="Arial" w:hAnsi="Arial" w:cs="Arial"/>
          <w:sz w:val="20"/>
          <w:szCs w:val="20"/>
        </w:rPr>
        <w:t>mlouvy může od ní na základě písemného prohlášení odstoupit, a to z důvodů jejího vážného porušování druhou stranou. Samostatně pak bude řešena otázka, z</w:t>
      </w:r>
      <w:r>
        <w:rPr>
          <w:rFonts w:ascii="Arial" w:hAnsi="Arial" w:cs="Arial"/>
          <w:sz w:val="20"/>
          <w:szCs w:val="20"/>
        </w:rPr>
        <w:t>da ČDT bude po odstoupení této S</w:t>
      </w:r>
      <w:r w:rsidR="00695B14">
        <w:rPr>
          <w:rFonts w:ascii="Arial" w:hAnsi="Arial" w:cs="Arial"/>
          <w:sz w:val="20"/>
          <w:szCs w:val="20"/>
        </w:rPr>
        <w:t xml:space="preserve">mlouvy souhlasit se zásahem do své SEK. </w:t>
      </w:r>
      <w:r w:rsidR="00A22169">
        <w:rPr>
          <w:rFonts w:ascii="Arial" w:hAnsi="Arial" w:cs="Arial"/>
          <w:sz w:val="20"/>
          <w:szCs w:val="20"/>
        </w:rPr>
        <w:t>K odstoupení dojde bez zbytečného odkladu poté, co</w:t>
      </w:r>
      <w:r w:rsidR="00EC51F1">
        <w:rPr>
          <w:rFonts w:ascii="Arial" w:hAnsi="Arial" w:cs="Arial"/>
          <w:sz w:val="20"/>
          <w:szCs w:val="20"/>
        </w:rPr>
        <w:t xml:space="preserve"> došlo</w:t>
      </w:r>
      <w:r w:rsidR="00A22169">
        <w:rPr>
          <w:rFonts w:ascii="Arial" w:hAnsi="Arial" w:cs="Arial"/>
          <w:sz w:val="20"/>
          <w:szCs w:val="20"/>
        </w:rPr>
        <w:t xml:space="preserve"> k podstatnému porušení smlouvy. Lhůtou bez zbytečného odkladu se </w:t>
      </w:r>
      <w:r w:rsidR="00EC51F1">
        <w:rPr>
          <w:rFonts w:ascii="Arial" w:hAnsi="Arial" w:cs="Arial"/>
          <w:sz w:val="20"/>
          <w:szCs w:val="20"/>
        </w:rPr>
        <w:t>rozumí</w:t>
      </w:r>
      <w:r w:rsidR="00A22169">
        <w:rPr>
          <w:rFonts w:ascii="Arial" w:hAnsi="Arial" w:cs="Arial"/>
          <w:sz w:val="20"/>
          <w:szCs w:val="20"/>
        </w:rPr>
        <w:t xml:space="preserve"> lhůta 60 dnů od okamžiku, kdy se smluvní strana dozvěděla o podstatném porušení smlouvy. Účinky odstoupení nastávají </w:t>
      </w:r>
      <w:r w:rsidR="00EC51F1">
        <w:rPr>
          <w:rFonts w:ascii="Arial" w:hAnsi="Arial" w:cs="Arial"/>
          <w:sz w:val="20"/>
          <w:szCs w:val="20"/>
        </w:rPr>
        <w:t xml:space="preserve">okamžikem </w:t>
      </w:r>
      <w:r w:rsidR="00A22169">
        <w:rPr>
          <w:rFonts w:ascii="Arial" w:hAnsi="Arial" w:cs="Arial"/>
          <w:sz w:val="20"/>
          <w:szCs w:val="20"/>
        </w:rPr>
        <w:t>doručení oznámení druhé straně</w:t>
      </w:r>
      <w:r w:rsidR="00EC51F1">
        <w:rPr>
          <w:rFonts w:ascii="Arial" w:hAnsi="Arial" w:cs="Arial"/>
          <w:sz w:val="20"/>
          <w:szCs w:val="20"/>
        </w:rPr>
        <w:t xml:space="preserve">. </w:t>
      </w:r>
    </w:p>
    <w:p w14:paraId="42144AD2" w14:textId="77777777" w:rsidR="00CF5C48" w:rsidRPr="00695B14" w:rsidRDefault="00CF5C4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takovémto případě musí dojít k vzájemnému finančnímu vyrovnání</w:t>
      </w:r>
      <w:r w:rsidR="00A35F42">
        <w:rPr>
          <w:rFonts w:ascii="Arial" w:hAnsi="Arial" w:cs="Arial"/>
          <w:sz w:val="20"/>
          <w:szCs w:val="20"/>
        </w:rPr>
        <w:t xml:space="preserve"> za činnosti, které podle této Smlouvy realizoval</w:t>
      </w:r>
      <w:r>
        <w:rPr>
          <w:rFonts w:ascii="Arial" w:hAnsi="Arial" w:cs="Arial"/>
          <w:sz w:val="20"/>
          <w:szCs w:val="20"/>
        </w:rPr>
        <w:t>o ČDT.</w:t>
      </w:r>
    </w:p>
    <w:p w14:paraId="1F8734A8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20FBC6C2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7604BD04" w14:textId="77777777" w:rsidR="00CF5C48" w:rsidRDefault="00CF5C4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Překládky musí být zahájena nejpozdě</w:t>
      </w:r>
      <w:r w:rsidR="00A35F42">
        <w:rPr>
          <w:rFonts w:ascii="Arial" w:hAnsi="Arial" w:cs="Arial"/>
          <w:sz w:val="20"/>
          <w:szCs w:val="20"/>
        </w:rPr>
        <w:t>ji do (2) dvou let od uzavření S</w:t>
      </w:r>
      <w:r>
        <w:rPr>
          <w:rFonts w:ascii="Arial" w:hAnsi="Arial" w:cs="Arial"/>
          <w:sz w:val="20"/>
          <w:szCs w:val="20"/>
        </w:rPr>
        <w:t>mlouvy. Marné uplynutí této lhůty</w:t>
      </w:r>
      <w:r w:rsidR="00A35F42">
        <w:rPr>
          <w:rFonts w:ascii="Arial" w:hAnsi="Arial" w:cs="Arial"/>
          <w:sz w:val="20"/>
          <w:szCs w:val="20"/>
        </w:rPr>
        <w:t xml:space="preserve"> je rozvazovací podmínkou této </w:t>
      </w:r>
      <w:r w:rsidR="0084155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ve smyslu ustanovení § 548., odst. 2., </w:t>
      </w:r>
      <w:proofErr w:type="spellStart"/>
      <w:r>
        <w:rPr>
          <w:rFonts w:ascii="Arial" w:hAnsi="Arial" w:cs="Arial"/>
          <w:sz w:val="20"/>
          <w:szCs w:val="20"/>
        </w:rPr>
        <w:t>ObčZ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ED439AA" w14:textId="285664FB" w:rsidR="00CF5C48" w:rsidRDefault="0084155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="00CF5C48">
        <w:rPr>
          <w:rFonts w:ascii="Arial" w:hAnsi="Arial" w:cs="Arial"/>
          <w:sz w:val="20"/>
          <w:szCs w:val="20"/>
        </w:rPr>
        <w:t>mlouva zanikne prvním dnem následujícím po uplynutí (2) dvou let od jejího uzavření</w:t>
      </w:r>
      <w:r w:rsidR="0080263C">
        <w:rPr>
          <w:rFonts w:ascii="Arial" w:hAnsi="Arial" w:cs="Arial"/>
          <w:sz w:val="20"/>
          <w:szCs w:val="20"/>
        </w:rPr>
        <w:t xml:space="preserve"> v případě</w:t>
      </w:r>
      <w:r w:rsidR="00CF5C48">
        <w:rPr>
          <w:rFonts w:ascii="Arial" w:hAnsi="Arial" w:cs="Arial"/>
          <w:sz w:val="20"/>
          <w:szCs w:val="20"/>
        </w:rPr>
        <w:t xml:space="preserve">, </w:t>
      </w:r>
      <w:r w:rsidR="0080263C">
        <w:rPr>
          <w:rFonts w:ascii="Arial" w:hAnsi="Arial" w:cs="Arial"/>
          <w:sz w:val="20"/>
          <w:szCs w:val="20"/>
        </w:rPr>
        <w:t>kdy</w:t>
      </w:r>
      <w:r w:rsidR="00CF5C48">
        <w:rPr>
          <w:rFonts w:ascii="Arial" w:hAnsi="Arial" w:cs="Arial"/>
          <w:sz w:val="20"/>
          <w:szCs w:val="20"/>
        </w:rPr>
        <w:t xml:space="preserve"> by realizace Překládky </w:t>
      </w:r>
      <w:r w:rsidR="0080263C">
        <w:rPr>
          <w:rFonts w:ascii="Arial" w:hAnsi="Arial" w:cs="Arial"/>
          <w:sz w:val="20"/>
          <w:szCs w:val="20"/>
        </w:rPr>
        <w:t>ne</w:t>
      </w:r>
      <w:r w:rsidR="00CF5C48">
        <w:rPr>
          <w:rFonts w:ascii="Arial" w:hAnsi="Arial" w:cs="Arial"/>
          <w:sz w:val="20"/>
          <w:szCs w:val="20"/>
        </w:rPr>
        <w:t>byla zahájena</w:t>
      </w:r>
      <w:r w:rsidR="00AD586C">
        <w:rPr>
          <w:rFonts w:ascii="Arial" w:hAnsi="Arial" w:cs="Arial"/>
          <w:sz w:val="20"/>
          <w:szCs w:val="20"/>
        </w:rPr>
        <w:t xml:space="preserve"> ani do uplynutí výše uvedené doby</w:t>
      </w:r>
      <w:r w:rsidR="00CF5C48">
        <w:rPr>
          <w:rFonts w:ascii="Arial" w:hAnsi="Arial" w:cs="Arial"/>
          <w:sz w:val="20"/>
          <w:szCs w:val="20"/>
        </w:rPr>
        <w:t xml:space="preserve">. Zánikem </w:t>
      </w:r>
      <w:r>
        <w:rPr>
          <w:rFonts w:ascii="Arial" w:hAnsi="Arial" w:cs="Arial"/>
          <w:sz w:val="20"/>
          <w:szCs w:val="20"/>
        </w:rPr>
        <w:t>S</w:t>
      </w:r>
      <w:r w:rsidR="00CF5C48">
        <w:rPr>
          <w:rFonts w:ascii="Arial" w:hAnsi="Arial" w:cs="Arial"/>
          <w:sz w:val="20"/>
          <w:szCs w:val="20"/>
        </w:rPr>
        <w:t xml:space="preserve">mlouvy touto rozvazovací podmínkou není dotčeno právo ČDT na zaplacení </w:t>
      </w:r>
      <w:r w:rsidR="00D001AF">
        <w:rPr>
          <w:rFonts w:ascii="Arial" w:hAnsi="Arial" w:cs="Arial"/>
          <w:sz w:val="20"/>
          <w:szCs w:val="20"/>
        </w:rPr>
        <w:t>úroku z prodlení</w:t>
      </w:r>
      <w:r w:rsidR="00CF5C48">
        <w:rPr>
          <w:rFonts w:ascii="Arial" w:hAnsi="Arial" w:cs="Arial"/>
          <w:sz w:val="20"/>
          <w:szCs w:val="20"/>
        </w:rPr>
        <w:t xml:space="preserve"> dle čl. </w:t>
      </w:r>
      <w:r w:rsidR="004B6558">
        <w:rPr>
          <w:rFonts w:ascii="Arial" w:hAnsi="Arial" w:cs="Arial"/>
          <w:sz w:val="20"/>
          <w:szCs w:val="20"/>
        </w:rPr>
        <w:t>VII</w:t>
      </w:r>
      <w:r w:rsidR="00CF5C48">
        <w:rPr>
          <w:rFonts w:ascii="Arial" w:hAnsi="Arial" w:cs="Arial"/>
          <w:sz w:val="20"/>
          <w:szCs w:val="20"/>
        </w:rPr>
        <w:t>., o</w:t>
      </w:r>
      <w:r>
        <w:rPr>
          <w:rFonts w:ascii="Arial" w:hAnsi="Arial" w:cs="Arial"/>
          <w:sz w:val="20"/>
          <w:szCs w:val="20"/>
        </w:rPr>
        <w:t>dstavec 1. až 4., včetně této S</w:t>
      </w:r>
      <w:r w:rsidR="00CF5C48">
        <w:rPr>
          <w:rFonts w:ascii="Arial" w:hAnsi="Arial" w:cs="Arial"/>
          <w:sz w:val="20"/>
          <w:szCs w:val="20"/>
        </w:rPr>
        <w:t xml:space="preserve">mlouvy, a tomu odpovídající povinnost Stavebníka </w:t>
      </w:r>
      <w:r w:rsidR="00D001AF">
        <w:rPr>
          <w:rFonts w:ascii="Arial" w:hAnsi="Arial" w:cs="Arial"/>
          <w:sz w:val="20"/>
          <w:szCs w:val="20"/>
        </w:rPr>
        <w:t>tento úrok z prodlení</w:t>
      </w:r>
      <w:r w:rsidR="00CF5C48">
        <w:rPr>
          <w:rFonts w:ascii="Arial" w:hAnsi="Arial" w:cs="Arial"/>
          <w:sz w:val="20"/>
          <w:szCs w:val="20"/>
        </w:rPr>
        <w:t xml:space="preserve"> zaplatit. Právo na náhradu škody zůstává zachováno.</w:t>
      </w:r>
    </w:p>
    <w:p w14:paraId="1EB5084D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220C27C6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357ADC8" w14:textId="65370CD2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1FE3AD75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</w:t>
      </w:r>
      <w:r w:rsidR="004D559B">
        <w:rPr>
          <w:rFonts w:ascii="Arial" w:hAnsi="Arial" w:cs="Arial"/>
          <w:sz w:val="20"/>
          <w:szCs w:val="20"/>
        </w:rPr>
        <w:t xml:space="preserve">V. odst. 2 a VII. odst. 1 </w:t>
      </w:r>
      <w:r w:rsidR="00221FF7">
        <w:rPr>
          <w:rFonts w:ascii="Arial" w:hAnsi="Arial" w:cs="Arial"/>
          <w:sz w:val="20"/>
          <w:szCs w:val="20"/>
        </w:rPr>
        <w:t>této S</w:t>
      </w:r>
      <w:r w:rsidR="000949CE">
        <w:rPr>
          <w:rFonts w:ascii="Arial" w:hAnsi="Arial" w:cs="Arial"/>
          <w:sz w:val="20"/>
          <w:szCs w:val="20"/>
        </w:rPr>
        <w:t xml:space="preserve">mlouvy včetně </w:t>
      </w:r>
      <w:r w:rsidR="004D559B">
        <w:rPr>
          <w:rFonts w:ascii="Arial" w:hAnsi="Arial" w:cs="Arial"/>
          <w:sz w:val="20"/>
          <w:szCs w:val="20"/>
        </w:rPr>
        <w:t xml:space="preserve">cenových údajů uvedených v Příloze č.1 </w:t>
      </w:r>
      <w:r w:rsidR="00110ACF">
        <w:rPr>
          <w:rFonts w:ascii="Arial" w:hAnsi="Arial" w:cs="Arial"/>
          <w:sz w:val="20"/>
          <w:szCs w:val="20"/>
        </w:rPr>
        <w:t>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7C822D7A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2917A891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0BAA9746" w14:textId="222D7DD6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2A7A0EAE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2791F02B" w14:textId="4641490B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 xml:space="preserve">Stavebník se zavazuje v případě porušení ujednání tohoto odstavce bez námitek uhradit ČDT veškeré škody tímto porušením vzniklé. </w:t>
      </w:r>
    </w:p>
    <w:p w14:paraId="24B77BFD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E1C4EA3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F017FC3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</w:t>
      </w:r>
      <w:r w:rsidR="004D559B">
        <w:rPr>
          <w:rFonts w:ascii="Arial" w:hAnsi="Arial" w:cs="Arial"/>
          <w:snapToGrid w:val="0"/>
        </w:rPr>
        <w:t>. Podléhá-li smlouva uveřejnění v registru smluv dle čl. XI., na</w:t>
      </w:r>
      <w:r w:rsidR="00694BF2">
        <w:rPr>
          <w:rFonts w:ascii="Arial" w:hAnsi="Arial" w:cs="Arial"/>
          <w:snapToGrid w:val="0"/>
        </w:rPr>
        <w:t>bývá</w:t>
      </w:r>
      <w:r w:rsidR="004D559B">
        <w:rPr>
          <w:rFonts w:ascii="Arial" w:hAnsi="Arial" w:cs="Arial"/>
          <w:snapToGrid w:val="0"/>
        </w:rPr>
        <w:t xml:space="preserve"> smlouva účinnosti dnem uveřejnění v registru smluv.</w:t>
      </w:r>
      <w:r w:rsidR="004B6558" w:rsidRPr="004B6558">
        <w:rPr>
          <w:rFonts w:ascii="Arial" w:hAnsi="Arial" w:cs="Arial"/>
          <w:snapToGrid w:val="0"/>
        </w:rPr>
        <w:t xml:space="preserve"> </w:t>
      </w:r>
    </w:p>
    <w:p w14:paraId="478F0653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54F2779E" w14:textId="77777777" w:rsidR="004B6558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74E3BD97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5FED37D9" w14:textId="77777777" w:rsidR="004B6558" w:rsidRDefault="004B6558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2A84728D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62B4239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3498449F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08D5F47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5A8D06A0" w14:textId="77777777" w:rsidR="00612ED7" w:rsidRPr="00797EDC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F440E2D" w14:textId="77777777" w:rsid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  <w:r w:rsidR="00BD46BE">
        <w:rPr>
          <w:rFonts w:ascii="Arial" w:hAnsi="Arial" w:cs="Arial"/>
          <w:snapToGrid w:val="0"/>
        </w:rPr>
        <w:t xml:space="preserve"> Stavebník na sebe přebírá nebezpečí změny okolností dle § 1765 odst. 2 </w:t>
      </w:r>
      <w:proofErr w:type="spellStart"/>
      <w:r w:rsidR="00BD46BE">
        <w:rPr>
          <w:rFonts w:ascii="Arial" w:hAnsi="Arial" w:cs="Arial"/>
          <w:snapToGrid w:val="0"/>
        </w:rPr>
        <w:t>ObčZ</w:t>
      </w:r>
      <w:proofErr w:type="spellEnd"/>
      <w:r w:rsidR="00BD46BE">
        <w:rPr>
          <w:rFonts w:ascii="Arial" w:hAnsi="Arial" w:cs="Arial"/>
          <w:snapToGrid w:val="0"/>
        </w:rPr>
        <w:t>.</w:t>
      </w:r>
    </w:p>
    <w:p w14:paraId="20E0BD53" w14:textId="77777777" w:rsidR="00612ED7" w:rsidRPr="00BB1E86" w:rsidRDefault="00612ED7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68CBDF0F" w14:textId="3446FB5B" w:rsidR="00612ED7" w:rsidRPr="00797EDC" w:rsidRDefault="00BB1E86" w:rsidP="00BF16C3">
      <w:pPr>
        <w:numPr>
          <w:ilvl w:val="0"/>
          <w:numId w:val="6"/>
        </w:num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 xml:space="preserve">mlouva </w:t>
      </w:r>
      <w:r w:rsidR="00E6338A">
        <w:rPr>
          <w:rFonts w:ascii="Arial" w:hAnsi="Arial" w:cs="Arial"/>
          <w:snapToGrid w:val="0"/>
        </w:rPr>
        <w:t>bude v</w:t>
      </w:r>
      <w:r w:rsidR="00A621EA">
        <w:rPr>
          <w:rFonts w:ascii="Arial" w:hAnsi="Arial" w:cs="Arial"/>
          <w:snapToGrid w:val="0"/>
        </w:rPr>
        <w:t>yhotovena v elektronické podobě a bude podepsána uznávanými elektronickými podpisy</w:t>
      </w:r>
      <w:r w:rsidR="00612ED7" w:rsidRPr="00797EDC">
        <w:rPr>
          <w:rFonts w:ascii="Arial" w:hAnsi="Arial" w:cs="Arial"/>
          <w:snapToGrid w:val="0"/>
        </w:rPr>
        <w:t>.</w:t>
      </w:r>
    </w:p>
    <w:p w14:paraId="70392E58" w14:textId="648B839D" w:rsidR="003D41BA" w:rsidRDefault="00BB1E86" w:rsidP="00B56942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E92DBB">
        <w:rPr>
          <w:rFonts w:ascii="Arial" w:hAnsi="Arial" w:cs="Arial"/>
          <w:snapToGrid w:val="0"/>
        </w:rPr>
        <w:t>,</w:t>
      </w:r>
      <w:r w:rsidR="00E92DBB" w:rsidRPr="00E92DBB">
        <w:t xml:space="preserve"> </w:t>
      </w:r>
      <w:r w:rsidR="00E92DBB" w:rsidRPr="00E92DBB">
        <w:rPr>
          <w:rFonts w:ascii="Arial" w:hAnsi="Arial" w:cs="Arial"/>
          <w:snapToGrid w:val="0"/>
        </w:rPr>
        <w:t xml:space="preserve">Příloha č. 2 Podmínky pro stavební činnosti v blízkosti komunikačních vedení ve vlastnictví ČD – Telematika </w:t>
      </w:r>
      <w:proofErr w:type="gramStart"/>
      <w:r w:rsidR="00E92DBB" w:rsidRPr="00E92DBB">
        <w:rPr>
          <w:rFonts w:ascii="Arial" w:hAnsi="Arial" w:cs="Arial"/>
          <w:snapToGrid w:val="0"/>
        </w:rPr>
        <w:t>a.s.</w:t>
      </w:r>
      <w:r w:rsidR="003D41BA" w:rsidRPr="00797EDC">
        <w:rPr>
          <w:rFonts w:ascii="Arial" w:hAnsi="Arial" w:cs="Arial"/>
          <w:snapToGrid w:val="0"/>
        </w:rPr>
        <w:t>.</w:t>
      </w:r>
      <w:proofErr w:type="gramEnd"/>
    </w:p>
    <w:p w14:paraId="5CB3D563" w14:textId="77777777" w:rsidR="00616357" w:rsidRPr="00840BA4" w:rsidRDefault="00B56942" w:rsidP="00840BA4">
      <w:pPr>
        <w:numPr>
          <w:ilvl w:val="0"/>
          <w:numId w:val="6"/>
        </w:numPr>
        <w:tabs>
          <w:tab w:val="num" w:pos="540"/>
        </w:tabs>
        <w:spacing w:before="120"/>
        <w:ind w:left="539" w:hanging="539"/>
        <w:jc w:val="both"/>
        <w:rPr>
          <w:rFonts w:ascii="Arial" w:hAnsi="Arial" w:cs="Arial"/>
          <w:snapToGrid w:val="0"/>
        </w:rPr>
      </w:pPr>
      <w:bookmarkStart w:id="1" w:name="_Hlk153209826"/>
      <w:r w:rsidRPr="00840BA4">
        <w:rPr>
          <w:rFonts w:ascii="Arial" w:hAnsi="Arial" w:cs="Arial"/>
          <w:snapToGrid w:val="0"/>
        </w:rPr>
        <w:t xml:space="preserve">Stavebník </w:t>
      </w:r>
      <w:r w:rsidR="00616357" w:rsidRPr="00840BA4">
        <w:rPr>
          <w:rFonts w:ascii="Arial" w:hAnsi="Arial" w:cs="Arial"/>
          <w:snapToGrid w:val="0"/>
        </w:rPr>
        <w:t>prohlašuje, že:</w:t>
      </w:r>
    </w:p>
    <w:p w14:paraId="7A0E14B2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i) 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má nastaven funkční systém kontroly obchodních partnerů ve vztahu k mezinárodním sankcím vyplývajícím zejména z předpisů a rozhodnutí orgánů Evropské unie, Organizace spojených národů, kteréhokoli z členských státu Evropské Unie, Spojených států amerických, Spojeného království Velké Británie a Severního Irska nebo Švýcarské konfederace (dále jen „</w:t>
      </w:r>
      <w:r w:rsidRPr="00453596">
        <w:rPr>
          <w:rFonts w:ascii="Arial" w:hAnsi="Arial" w:cs="Arial"/>
          <w:b/>
          <w:bCs/>
        </w:rPr>
        <w:t>sankce</w:t>
      </w:r>
      <w:r w:rsidRPr="00453596">
        <w:rPr>
          <w:rFonts w:ascii="Arial" w:hAnsi="Arial" w:cs="Arial"/>
          <w:bCs/>
        </w:rPr>
        <w:t>“), a není si vědom existence smluvních vztahů s osobou, na kterou se tyto sankce vztahují, zejména pak s osobu uvedenou na sankčních seznamech a v dokumentech vydávaných uvedenými orgány a institucemi, osobou, která je usídlena v zemi nebo založena podle práva země nebo území, které je cílem sankcí, nebo osobou, která je jinak předmětem sankcí („</w:t>
      </w:r>
      <w:r w:rsidRPr="00453596">
        <w:rPr>
          <w:rFonts w:ascii="Arial" w:hAnsi="Arial" w:cs="Arial"/>
          <w:b/>
          <w:bCs/>
        </w:rPr>
        <w:t>osoba podléhající sankcím</w:t>
      </w:r>
      <w:r w:rsidRPr="00453596">
        <w:rPr>
          <w:rFonts w:ascii="Arial" w:hAnsi="Arial" w:cs="Arial"/>
          <w:bCs/>
        </w:rPr>
        <w:t xml:space="preserve">“). </w:t>
      </w:r>
    </w:p>
    <w:p w14:paraId="093CF9C9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 xml:space="preserve">není osobou podléhající sankcím a žádná z osob podléhajících sankcím nefiguruje formálně ani fakticky ve vlastnické či řídící struktuře </w:t>
      </w:r>
      <w:r w:rsidR="00B56942">
        <w:rPr>
          <w:rFonts w:ascii="Arial" w:hAnsi="Arial" w:cs="Arial"/>
          <w:bCs/>
        </w:rPr>
        <w:t>Stavebníka</w:t>
      </w:r>
      <w:r w:rsidRPr="00453596">
        <w:rPr>
          <w:rFonts w:ascii="Arial" w:hAnsi="Arial" w:cs="Arial"/>
          <w:bCs/>
        </w:rPr>
        <w:t xml:space="preserve">, není jeho skutečným majitelem, nedává jakékoli pokyny </w:t>
      </w:r>
      <w:r w:rsidR="00B56942">
        <w:rPr>
          <w:rFonts w:ascii="Arial" w:hAnsi="Arial" w:cs="Arial"/>
          <w:bCs/>
        </w:rPr>
        <w:t>Stavebníkovi</w:t>
      </w:r>
      <w:r>
        <w:rPr>
          <w:rFonts w:ascii="Arial" w:hAnsi="Arial" w:cs="Arial"/>
          <w:bCs/>
        </w:rPr>
        <w:t>, ani ho</w:t>
      </w:r>
      <w:r w:rsidRPr="00453596">
        <w:rPr>
          <w:rFonts w:ascii="Arial" w:hAnsi="Arial" w:cs="Arial"/>
          <w:bCs/>
        </w:rPr>
        <w:t xml:space="preserve"> nezastupuje, neovlivňuje, neovládá, ani se jakoukoli jinou formou, ať už skrytou či zjevnou, nepodílí </w:t>
      </w:r>
      <w:r>
        <w:rPr>
          <w:rFonts w:ascii="Arial" w:hAnsi="Arial" w:cs="Arial"/>
          <w:bCs/>
        </w:rPr>
        <w:t xml:space="preserve">se </w:t>
      </w:r>
      <w:r w:rsidRPr="00453596">
        <w:rPr>
          <w:rFonts w:ascii="Arial" w:hAnsi="Arial" w:cs="Arial"/>
          <w:bCs/>
        </w:rPr>
        <w:t>na jeho fungování;</w:t>
      </w:r>
    </w:p>
    <w:p w14:paraId="03475716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si není vědom skutečnosti, že by měly být v souvislosti s touto smlouvou osobě podléhající sankcím přímo či nepřímo zpřístupněny finanční prostředky či hospodářské zdroje či že by z nich mohla mít osoba podléhající sankcím jakýkoli prospěch;</w:t>
      </w:r>
    </w:p>
    <w:p w14:paraId="62E489E8" w14:textId="77777777" w:rsidR="00616357" w:rsidRPr="00453596" w:rsidRDefault="00616357" w:rsidP="008C0185">
      <w:pPr>
        <w:tabs>
          <w:tab w:val="left" w:pos="851"/>
        </w:tabs>
        <w:spacing w:before="120"/>
        <w:ind w:left="851" w:hanging="283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>)</w:t>
      </w:r>
      <w:r w:rsidR="00840BA4">
        <w:rPr>
          <w:rFonts w:ascii="Arial" w:hAnsi="Arial" w:cs="Arial"/>
          <w:bCs/>
        </w:rPr>
        <w:tab/>
      </w:r>
      <w:r w:rsidRPr="00453596">
        <w:rPr>
          <w:rFonts w:ascii="Arial" w:hAnsi="Arial" w:cs="Arial"/>
          <w:bCs/>
        </w:rPr>
        <w:t>neobdržel oznámení ani si není jinak vědom, že by proti němu byl vznesen nárok, vedena žaloba, soudní spor, správní řízení nebo šetření ze strany v souvislosti se sankcemi,</w:t>
      </w:r>
    </w:p>
    <w:p w14:paraId="748B7BD9" w14:textId="77777777" w:rsidR="00616357" w:rsidRPr="00453596" w:rsidRDefault="00616357" w:rsidP="0093102D">
      <w:pPr>
        <w:tabs>
          <w:tab w:val="left" w:pos="568"/>
        </w:tabs>
        <w:spacing w:before="120"/>
        <w:ind w:left="567"/>
        <w:jc w:val="both"/>
        <w:rPr>
          <w:rFonts w:ascii="Arial" w:hAnsi="Arial" w:cs="Arial"/>
          <w:bCs/>
        </w:rPr>
      </w:pPr>
      <w:r w:rsidRPr="00453596">
        <w:rPr>
          <w:rFonts w:ascii="Arial" w:hAnsi="Arial" w:cs="Arial"/>
          <w:bCs/>
        </w:rPr>
        <w:t xml:space="preserve">a v případě, že kdykoli v budoucnu dojde k porušení některého ze shora uvedených prohlášení, je </w:t>
      </w:r>
      <w:r w:rsidR="00B56942">
        <w:rPr>
          <w:rFonts w:ascii="Arial" w:hAnsi="Arial" w:cs="Arial"/>
          <w:bCs/>
        </w:rPr>
        <w:t xml:space="preserve">Stavebník </w:t>
      </w:r>
      <w:r w:rsidRPr="00453596">
        <w:rPr>
          <w:rFonts w:ascii="Arial" w:hAnsi="Arial" w:cs="Arial"/>
          <w:bCs/>
        </w:rPr>
        <w:t xml:space="preserve">povinen oznámit tuto skutečnost bez zbytečného odkladu ČD – Telematika a.s. </w:t>
      </w:r>
    </w:p>
    <w:p w14:paraId="261B1A43" w14:textId="6898B5AC" w:rsidR="00616357" w:rsidRDefault="00616357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453596">
        <w:rPr>
          <w:rFonts w:ascii="Arial" w:hAnsi="Arial" w:cs="Arial"/>
          <w:bCs/>
        </w:rPr>
        <w:t>orušení shora uvedených prohlášení se považuje za porušení smlouvy podstatným způsobem a opravňuje druhou smluvní stranu od smlouvy odstoupit.</w:t>
      </w:r>
      <w:bookmarkEnd w:id="1"/>
    </w:p>
    <w:p w14:paraId="457E8597" w14:textId="59A1570D" w:rsidR="003E3FD9" w:rsidRDefault="003E3FD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1D958190" w14:textId="0B98441D" w:rsidR="003E3FD9" w:rsidRDefault="003E3FD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6B79B4FE" w14:textId="372177C6" w:rsidR="003E3FD9" w:rsidRDefault="003E3FD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19FCB861" w14:textId="0F3A25BA" w:rsidR="003E3FD9" w:rsidRDefault="003E3FD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44C604CC" w14:textId="77777777" w:rsidR="003E3FD9" w:rsidRDefault="003E3FD9" w:rsidP="0093102D">
      <w:pPr>
        <w:tabs>
          <w:tab w:val="left" w:pos="568"/>
        </w:tabs>
        <w:spacing w:before="120"/>
        <w:ind w:left="567" w:firstLine="1"/>
        <w:jc w:val="both"/>
        <w:rPr>
          <w:rFonts w:ascii="Arial" w:hAnsi="Arial" w:cs="Arial"/>
          <w:bCs/>
        </w:rPr>
      </w:pPr>
    </w:p>
    <w:p w14:paraId="78CB3B80" w14:textId="77777777" w:rsidR="00840BA4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p w14:paraId="27B6A26D" w14:textId="77777777" w:rsidR="00840BA4" w:rsidRPr="000D0C50" w:rsidRDefault="00840BA4" w:rsidP="000D0C50">
      <w:pPr>
        <w:tabs>
          <w:tab w:val="left" w:pos="705"/>
        </w:tabs>
        <w:spacing w:before="120"/>
        <w:ind w:left="284"/>
        <w:jc w:val="both"/>
        <w:rPr>
          <w:rFonts w:ascii="Arial" w:hAnsi="Arial" w:cs="Arial"/>
          <w:bCs/>
        </w:rPr>
      </w:pPr>
    </w:p>
    <w:tbl>
      <w:tblPr>
        <w:tblW w:w="9197" w:type="dxa"/>
        <w:jc w:val="center"/>
        <w:tblLook w:val="01E0" w:firstRow="1" w:lastRow="1" w:firstColumn="1" w:lastColumn="1" w:noHBand="0" w:noVBand="0"/>
      </w:tblPr>
      <w:tblGrid>
        <w:gridCol w:w="108"/>
        <w:gridCol w:w="3654"/>
        <w:gridCol w:w="534"/>
        <w:gridCol w:w="426"/>
        <w:gridCol w:w="4475"/>
      </w:tblGrid>
      <w:tr w:rsidR="00383BE8" w:rsidRPr="00AC5BAE" w14:paraId="00004A7E" w14:textId="77777777" w:rsidTr="00000484">
        <w:trPr>
          <w:gridBefore w:val="1"/>
          <w:wBefore w:w="108" w:type="dxa"/>
          <w:trHeight w:val="391"/>
          <w:jc w:val="center"/>
        </w:trPr>
        <w:tc>
          <w:tcPr>
            <w:tcW w:w="3654" w:type="dxa"/>
            <w:vAlign w:val="center"/>
          </w:tcPr>
          <w:p w14:paraId="2481EC11" w14:textId="3B8E60FC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D507C3">
              <w:rPr>
                <w:rFonts w:ascii="Arial" w:hAnsi="Arial" w:cs="Arial"/>
              </w:rPr>
              <w:t>25.06.2026</w:t>
            </w:r>
          </w:p>
        </w:tc>
        <w:tc>
          <w:tcPr>
            <w:tcW w:w="534" w:type="dxa"/>
            <w:vAlign w:val="center"/>
          </w:tcPr>
          <w:p w14:paraId="274A120F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FA380AB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1E8C1B4E" w14:textId="39A9A0E6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756F22">
              <w:rPr>
                <w:rFonts w:ascii="Arial" w:hAnsi="Arial" w:cs="Arial"/>
              </w:rPr>
              <w:t>Praze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D507C3">
              <w:rPr>
                <w:rFonts w:ascii="Arial" w:hAnsi="Arial" w:cs="Arial"/>
              </w:rPr>
              <w:t xml:space="preserve"> 16.06.2026</w:t>
            </w:r>
          </w:p>
        </w:tc>
      </w:tr>
      <w:tr w:rsidR="00383BE8" w:rsidRPr="00AC5BAE" w14:paraId="0C96C825" w14:textId="77777777" w:rsidTr="00000484">
        <w:trPr>
          <w:gridBefore w:val="1"/>
          <w:wBefore w:w="108" w:type="dxa"/>
          <w:jc w:val="center"/>
        </w:trPr>
        <w:tc>
          <w:tcPr>
            <w:tcW w:w="3654" w:type="dxa"/>
          </w:tcPr>
          <w:p w14:paraId="26367E5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139AB7A4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3183C786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278A3B52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7D1271E2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47A7D4AD" w14:textId="156CB30C" w:rsidR="00383BE8" w:rsidRPr="00043DCF" w:rsidRDefault="00756F22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Hybernská Invest s.r.o.</w:t>
            </w:r>
          </w:p>
        </w:tc>
      </w:tr>
      <w:tr w:rsidR="00383BE8" w:rsidRPr="00AC5BAE" w14:paraId="15914E99" w14:textId="77777777" w:rsidTr="00000484">
        <w:trPr>
          <w:gridBefore w:val="1"/>
          <w:wBefore w:w="108" w:type="dxa"/>
          <w:trHeight w:val="1619"/>
          <w:jc w:val="center"/>
        </w:trPr>
        <w:tc>
          <w:tcPr>
            <w:tcW w:w="3654" w:type="dxa"/>
          </w:tcPr>
          <w:p w14:paraId="0F88D802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FD390C8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42660A25" w14:textId="666DE37C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  <w:r w:rsidR="00EA156B">
              <w:rPr>
                <w:rFonts w:ascii="Arial" w:hAnsi="Arial" w:cs="Arial"/>
              </w:rPr>
              <w:t>_______</w:t>
            </w:r>
          </w:p>
          <w:p w14:paraId="5F9FFDD6" w14:textId="0A96C795" w:rsidR="005B1123" w:rsidRPr="005B1123" w:rsidRDefault="00EA156B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EA156B">
              <w:rPr>
                <w:rFonts w:ascii="Helv" w:hAnsi="Helv" w:cs="Helv"/>
                <w:color w:val="000000"/>
              </w:rPr>
              <w:t xml:space="preserve">Mgr. Łukasz Sebastian </w:t>
            </w:r>
            <w:proofErr w:type="spellStart"/>
            <w:r w:rsidRPr="00EA156B">
              <w:rPr>
                <w:rFonts w:ascii="Helv" w:hAnsi="Helv" w:cs="Helv"/>
                <w:color w:val="000000"/>
              </w:rPr>
              <w:t>Kryński</w:t>
            </w:r>
            <w:proofErr w:type="spellEnd"/>
          </w:p>
          <w:p w14:paraId="17D9F720" w14:textId="77777777" w:rsidR="00383BE8" w:rsidRPr="00AC5BAE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534" w:type="dxa"/>
          </w:tcPr>
          <w:p w14:paraId="1FEA4E2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7AC62674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1EBE37F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0276A487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C928AB0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3CDF4BE5" w14:textId="77963194" w:rsidR="00965679" w:rsidRPr="00D507C3" w:rsidRDefault="00D507C3" w:rsidP="00B023D7">
            <w:pPr>
              <w:jc w:val="center"/>
              <w:rPr>
                <w:rFonts w:ascii="Arial" w:hAnsi="Arial" w:cs="Arial"/>
              </w:rPr>
            </w:pPr>
            <w:r w:rsidRPr="00D507C3">
              <w:rPr>
                <w:rFonts w:ascii="Arial" w:hAnsi="Arial" w:cs="Arial"/>
              </w:rPr>
              <w:t xml:space="preserve">Ing. David Musil, </w:t>
            </w:r>
            <w:proofErr w:type="gramStart"/>
            <w:r w:rsidRPr="00D507C3">
              <w:rPr>
                <w:rFonts w:ascii="Arial" w:hAnsi="Arial" w:cs="Arial"/>
              </w:rPr>
              <w:t>Ph.D</w:t>
            </w:r>
            <w:proofErr w:type="gramEnd"/>
          </w:p>
          <w:p w14:paraId="5D6F6562" w14:textId="061DA03D" w:rsidR="006B5573" w:rsidRPr="00AC5BAE" w:rsidRDefault="00000484" w:rsidP="003D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  <w:tr w:rsidR="00000484" w:rsidRPr="00043DCF" w14:paraId="6EB6796E" w14:textId="77777777" w:rsidTr="00000484">
        <w:trPr>
          <w:jc w:val="center"/>
        </w:trPr>
        <w:tc>
          <w:tcPr>
            <w:tcW w:w="3762" w:type="dxa"/>
            <w:gridSpan w:val="2"/>
          </w:tcPr>
          <w:p w14:paraId="58F59102" w14:textId="77777777" w:rsidR="00000484" w:rsidRDefault="00000484" w:rsidP="00F47F9D">
            <w:pPr>
              <w:jc w:val="center"/>
              <w:rPr>
                <w:rFonts w:ascii="Arial" w:hAnsi="Arial" w:cs="Arial"/>
                <w:b/>
              </w:rPr>
            </w:pPr>
          </w:p>
          <w:p w14:paraId="5FC8E03A" w14:textId="77777777" w:rsidR="00000484" w:rsidRPr="00AC5BAE" w:rsidRDefault="00000484" w:rsidP="00F47F9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C5BAE">
              <w:rPr>
                <w:rFonts w:ascii="Arial" w:hAnsi="Arial" w:cs="Arial"/>
                <w:b/>
              </w:rPr>
              <w:t>ČD - Telematika</w:t>
            </w:r>
            <w:proofErr w:type="gramEnd"/>
            <w:r w:rsidRPr="00AC5BAE">
              <w:rPr>
                <w:rFonts w:ascii="Arial" w:hAnsi="Arial" w:cs="Arial"/>
                <w:b/>
              </w:rPr>
              <w:t xml:space="preserve"> a.s.</w:t>
            </w:r>
          </w:p>
        </w:tc>
        <w:tc>
          <w:tcPr>
            <w:tcW w:w="534" w:type="dxa"/>
          </w:tcPr>
          <w:p w14:paraId="384EFD7E" w14:textId="77777777" w:rsidR="00000484" w:rsidRPr="00AC5BAE" w:rsidRDefault="00000484" w:rsidP="00F47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495F9E3E" w14:textId="77777777" w:rsidR="00000484" w:rsidRPr="00AC5BAE" w:rsidRDefault="00000484" w:rsidP="00F47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744697B2" w14:textId="77777777" w:rsidR="00000484" w:rsidRDefault="00000484" w:rsidP="00F47F9D">
            <w:pPr>
              <w:jc w:val="center"/>
              <w:rPr>
                <w:rFonts w:ascii="Arial" w:hAnsi="Arial" w:cs="Arial"/>
              </w:rPr>
            </w:pPr>
          </w:p>
          <w:p w14:paraId="53368C70" w14:textId="63DAAC2F" w:rsidR="00000484" w:rsidRPr="00043DCF" w:rsidRDefault="00000484" w:rsidP="00F47F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Hybernská Invest s.r.o.</w:t>
            </w:r>
          </w:p>
        </w:tc>
      </w:tr>
      <w:tr w:rsidR="00000484" w:rsidRPr="00AC5BAE" w14:paraId="391331FC" w14:textId="77777777" w:rsidTr="00000484">
        <w:trPr>
          <w:trHeight w:val="1619"/>
          <w:jc w:val="center"/>
        </w:trPr>
        <w:tc>
          <w:tcPr>
            <w:tcW w:w="3762" w:type="dxa"/>
            <w:gridSpan w:val="2"/>
          </w:tcPr>
          <w:p w14:paraId="695D5B82" w14:textId="77777777" w:rsidR="00000484" w:rsidRDefault="00000484" w:rsidP="00F47F9D">
            <w:pPr>
              <w:jc w:val="center"/>
              <w:rPr>
                <w:rFonts w:ascii="Arial" w:hAnsi="Arial" w:cs="Arial"/>
              </w:rPr>
            </w:pPr>
          </w:p>
          <w:p w14:paraId="3D8C6F75" w14:textId="77777777" w:rsidR="00000484" w:rsidRDefault="00000484" w:rsidP="00F47F9D">
            <w:pPr>
              <w:jc w:val="center"/>
              <w:rPr>
                <w:rFonts w:ascii="Arial" w:hAnsi="Arial" w:cs="Arial"/>
              </w:rPr>
            </w:pPr>
          </w:p>
          <w:p w14:paraId="4F9C9E31" w14:textId="77777777" w:rsidR="00000484" w:rsidRPr="00AC5BAE" w:rsidRDefault="00000484" w:rsidP="00F47F9D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>_______</w:t>
            </w:r>
          </w:p>
          <w:p w14:paraId="376390F3" w14:textId="77777777" w:rsidR="00000484" w:rsidRDefault="00000484" w:rsidP="0000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Vladimír Jedlička </w:t>
            </w:r>
          </w:p>
          <w:p w14:paraId="736B16C0" w14:textId="5E1F2244" w:rsidR="00000484" w:rsidRPr="00AC5BAE" w:rsidRDefault="00000484" w:rsidP="00F47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</w:tc>
        <w:tc>
          <w:tcPr>
            <w:tcW w:w="534" w:type="dxa"/>
          </w:tcPr>
          <w:p w14:paraId="6E54B7A9" w14:textId="77777777" w:rsidR="00000484" w:rsidRPr="00AC5BAE" w:rsidRDefault="00000484" w:rsidP="00F47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4316CE99" w14:textId="77777777" w:rsidR="00000484" w:rsidRPr="00AC5BAE" w:rsidRDefault="00000484" w:rsidP="00F47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5D009554" w14:textId="77777777" w:rsidR="00000484" w:rsidRPr="00AC5BAE" w:rsidRDefault="00000484" w:rsidP="00F47F9D">
            <w:pPr>
              <w:jc w:val="center"/>
              <w:rPr>
                <w:rFonts w:ascii="Arial" w:hAnsi="Arial" w:cs="Arial"/>
              </w:rPr>
            </w:pPr>
          </w:p>
          <w:p w14:paraId="7A6D97DF" w14:textId="77777777" w:rsidR="00000484" w:rsidRDefault="00000484" w:rsidP="00F47F9D">
            <w:pPr>
              <w:jc w:val="center"/>
              <w:rPr>
                <w:rFonts w:ascii="Arial" w:hAnsi="Arial" w:cs="Arial"/>
              </w:rPr>
            </w:pPr>
          </w:p>
          <w:p w14:paraId="5968367A" w14:textId="77777777" w:rsidR="00000484" w:rsidRPr="00AC5BAE" w:rsidRDefault="00000484" w:rsidP="00F47F9D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DFED8E4" w14:textId="57F8F379" w:rsidR="00000484" w:rsidRPr="00D507C3" w:rsidRDefault="00D507C3" w:rsidP="00F47F9D">
            <w:pPr>
              <w:jc w:val="center"/>
              <w:rPr>
                <w:rFonts w:ascii="Arial" w:hAnsi="Arial" w:cs="Arial"/>
              </w:rPr>
            </w:pPr>
            <w:r w:rsidRPr="00D507C3">
              <w:rPr>
                <w:rFonts w:ascii="Arial" w:hAnsi="Arial" w:cs="Arial"/>
              </w:rPr>
              <w:t>Ing. Rudolf Vacek</w:t>
            </w:r>
          </w:p>
          <w:p w14:paraId="04D34BE5" w14:textId="1231C5F6" w:rsidR="00000484" w:rsidRPr="00AC5BAE" w:rsidRDefault="00000484" w:rsidP="00F47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57E8CC75" w14:textId="77777777" w:rsidR="005E2CBC" w:rsidRPr="00931A96" w:rsidRDefault="005E2CBC" w:rsidP="006C30D9">
      <w:pPr>
        <w:rPr>
          <w:rFonts w:ascii="Arial" w:hAnsi="Arial" w:cs="Arial"/>
          <w:sz w:val="22"/>
        </w:rPr>
      </w:pPr>
    </w:p>
    <w:sectPr w:rsidR="005E2CBC" w:rsidRPr="00931A96" w:rsidSect="00694510">
      <w:headerReference w:type="default" r:id="rId13"/>
      <w:footerReference w:type="default" r:id="rId14"/>
      <w:headerReference w:type="first" r:id="rId15"/>
      <w:pgSz w:w="11906" w:h="16838" w:code="9"/>
      <w:pgMar w:top="1843" w:right="991" w:bottom="993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F73B" w14:textId="77777777" w:rsidR="00CE1A08" w:rsidRDefault="00CE1A08">
      <w:r>
        <w:separator/>
      </w:r>
    </w:p>
  </w:endnote>
  <w:endnote w:type="continuationSeparator" w:id="0">
    <w:p w14:paraId="2B85C739" w14:textId="77777777" w:rsidR="00CE1A08" w:rsidRDefault="00CE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9742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106BB9">
      <w:rPr>
        <w:rStyle w:val="slostrnky"/>
        <w:rFonts w:ascii="Arial" w:hAnsi="Arial" w:cs="Arial"/>
        <w:noProof/>
        <w:color w:val="7F7F7F"/>
      </w:rPr>
      <w:t>4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106BB9">
      <w:rPr>
        <w:rStyle w:val="slostrnky"/>
        <w:rFonts w:ascii="Arial" w:hAnsi="Arial" w:cs="Arial"/>
        <w:noProof/>
        <w:color w:val="7F7F7F"/>
      </w:rPr>
      <w:t>8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8750" w14:textId="77777777" w:rsidR="00CE1A08" w:rsidRDefault="00CE1A08">
      <w:r>
        <w:separator/>
      </w:r>
    </w:p>
  </w:footnote>
  <w:footnote w:type="continuationSeparator" w:id="0">
    <w:p w14:paraId="43BC64A1" w14:textId="77777777" w:rsidR="00CE1A08" w:rsidRDefault="00CE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C4C6" w14:textId="3F3F794D" w:rsidR="00694510" w:rsidRDefault="00694510">
    <w:pPr>
      <w:pStyle w:val="Zhlav"/>
    </w:pPr>
    <w:r>
      <w:rPr>
        <w:rFonts w:ascii="Arial" w:hAnsi="Arial" w:cs="Arial"/>
        <w:bCs/>
        <w:noProof/>
      </w:rPr>
      <w:drawing>
        <wp:inline distT="0" distB="0" distL="0" distR="0" wp14:anchorId="011D4A6E" wp14:editId="5BBD0E10">
          <wp:extent cx="2124000" cy="540000"/>
          <wp:effectExtent l="0" t="0" r="0" b="0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0DF2" w14:textId="0D889BA2" w:rsidR="003B48A6" w:rsidRPr="001C3682" w:rsidRDefault="005F74A0" w:rsidP="005F74A0">
    <w:pPr>
      <w:pStyle w:val="Zhlav"/>
      <w:rPr>
        <w:rFonts w:ascii="Arial" w:hAnsi="Arial" w:cs="Arial"/>
      </w:rPr>
    </w:pPr>
    <w:r>
      <w:rPr>
        <w:rFonts w:ascii="Arial" w:hAnsi="Arial" w:cs="Arial"/>
        <w:bCs/>
        <w:noProof/>
      </w:rPr>
      <w:drawing>
        <wp:inline distT="0" distB="0" distL="0" distR="0" wp14:anchorId="4CC73CF7" wp14:editId="127AA288">
          <wp:extent cx="2124000" cy="540000"/>
          <wp:effectExtent l="0" t="0" r="0" b="0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21"/>
  </w:num>
  <w:num w:numId="9">
    <w:abstractNumId w:val="15"/>
  </w:num>
  <w:num w:numId="10">
    <w:abstractNumId w:val="8"/>
  </w:num>
  <w:num w:numId="11">
    <w:abstractNumId w:val="4"/>
  </w:num>
  <w:num w:numId="12">
    <w:abstractNumId w:val="19"/>
  </w:num>
  <w:num w:numId="13">
    <w:abstractNumId w:val="20"/>
  </w:num>
  <w:num w:numId="14">
    <w:abstractNumId w:val="14"/>
  </w:num>
  <w:num w:numId="15">
    <w:abstractNumId w:val="5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9"/>
  </w:num>
  <w:num w:numId="21">
    <w:abstractNumId w:val="12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0484"/>
    <w:rsid w:val="00002141"/>
    <w:rsid w:val="00003411"/>
    <w:rsid w:val="0001785E"/>
    <w:rsid w:val="00017D21"/>
    <w:rsid w:val="000208A1"/>
    <w:rsid w:val="00023FC0"/>
    <w:rsid w:val="00032B97"/>
    <w:rsid w:val="00043DCF"/>
    <w:rsid w:val="00052C46"/>
    <w:rsid w:val="00054035"/>
    <w:rsid w:val="00064416"/>
    <w:rsid w:val="0006515A"/>
    <w:rsid w:val="0006648A"/>
    <w:rsid w:val="00066502"/>
    <w:rsid w:val="000665A2"/>
    <w:rsid w:val="00070568"/>
    <w:rsid w:val="00071A85"/>
    <w:rsid w:val="00072306"/>
    <w:rsid w:val="00085625"/>
    <w:rsid w:val="000904AA"/>
    <w:rsid w:val="00092617"/>
    <w:rsid w:val="000949CE"/>
    <w:rsid w:val="000A5CAB"/>
    <w:rsid w:val="000A7123"/>
    <w:rsid w:val="000B1961"/>
    <w:rsid w:val="000B3AC7"/>
    <w:rsid w:val="000B3AD6"/>
    <w:rsid w:val="000B6318"/>
    <w:rsid w:val="000C5DE3"/>
    <w:rsid w:val="000C65D9"/>
    <w:rsid w:val="000C7DD2"/>
    <w:rsid w:val="000D0C50"/>
    <w:rsid w:val="000D145E"/>
    <w:rsid w:val="000E19FF"/>
    <w:rsid w:val="000E4D9B"/>
    <w:rsid w:val="000F0AE9"/>
    <w:rsid w:val="000F3919"/>
    <w:rsid w:val="001024D7"/>
    <w:rsid w:val="00103340"/>
    <w:rsid w:val="00106BB9"/>
    <w:rsid w:val="00107884"/>
    <w:rsid w:val="0011002F"/>
    <w:rsid w:val="00110ACF"/>
    <w:rsid w:val="00110AD8"/>
    <w:rsid w:val="00111DDD"/>
    <w:rsid w:val="00113A3B"/>
    <w:rsid w:val="00130CAC"/>
    <w:rsid w:val="00142B53"/>
    <w:rsid w:val="001672CE"/>
    <w:rsid w:val="001740F9"/>
    <w:rsid w:val="00181A1A"/>
    <w:rsid w:val="00183C42"/>
    <w:rsid w:val="00185377"/>
    <w:rsid w:val="001869E3"/>
    <w:rsid w:val="00186C03"/>
    <w:rsid w:val="00186C1C"/>
    <w:rsid w:val="00192691"/>
    <w:rsid w:val="00195E23"/>
    <w:rsid w:val="001A26BA"/>
    <w:rsid w:val="001B0B98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02E3C"/>
    <w:rsid w:val="002170EC"/>
    <w:rsid w:val="00221FF7"/>
    <w:rsid w:val="00222983"/>
    <w:rsid w:val="002320ED"/>
    <w:rsid w:val="00233305"/>
    <w:rsid w:val="002345B6"/>
    <w:rsid w:val="0025549C"/>
    <w:rsid w:val="00261AE6"/>
    <w:rsid w:val="00262172"/>
    <w:rsid w:val="00264BB2"/>
    <w:rsid w:val="00270D32"/>
    <w:rsid w:val="002716EB"/>
    <w:rsid w:val="002722F2"/>
    <w:rsid w:val="0028037B"/>
    <w:rsid w:val="00282288"/>
    <w:rsid w:val="0028798F"/>
    <w:rsid w:val="002A582C"/>
    <w:rsid w:val="002B4230"/>
    <w:rsid w:val="002B5375"/>
    <w:rsid w:val="002C00D6"/>
    <w:rsid w:val="002C20B6"/>
    <w:rsid w:val="002C4E3D"/>
    <w:rsid w:val="002C6C8F"/>
    <w:rsid w:val="002D21E9"/>
    <w:rsid w:val="002E0515"/>
    <w:rsid w:val="002E1E6B"/>
    <w:rsid w:val="002F1F0F"/>
    <w:rsid w:val="002F4702"/>
    <w:rsid w:val="002F7A3C"/>
    <w:rsid w:val="00300DB3"/>
    <w:rsid w:val="003130A9"/>
    <w:rsid w:val="00314EB0"/>
    <w:rsid w:val="003204E4"/>
    <w:rsid w:val="003235FE"/>
    <w:rsid w:val="003344E5"/>
    <w:rsid w:val="0033479A"/>
    <w:rsid w:val="00334F8E"/>
    <w:rsid w:val="00343953"/>
    <w:rsid w:val="00350D43"/>
    <w:rsid w:val="003544F5"/>
    <w:rsid w:val="0036416A"/>
    <w:rsid w:val="003650B7"/>
    <w:rsid w:val="003664FB"/>
    <w:rsid w:val="00367085"/>
    <w:rsid w:val="00370B57"/>
    <w:rsid w:val="00373DB8"/>
    <w:rsid w:val="00374343"/>
    <w:rsid w:val="0037466C"/>
    <w:rsid w:val="003817C7"/>
    <w:rsid w:val="00381912"/>
    <w:rsid w:val="00383BE8"/>
    <w:rsid w:val="00393EDF"/>
    <w:rsid w:val="003A27D1"/>
    <w:rsid w:val="003A6BFC"/>
    <w:rsid w:val="003B3471"/>
    <w:rsid w:val="003B48A6"/>
    <w:rsid w:val="003B7908"/>
    <w:rsid w:val="003C14A4"/>
    <w:rsid w:val="003C18F9"/>
    <w:rsid w:val="003C564F"/>
    <w:rsid w:val="003D2EEE"/>
    <w:rsid w:val="003D41BA"/>
    <w:rsid w:val="003D4DE6"/>
    <w:rsid w:val="003E0936"/>
    <w:rsid w:val="003E3844"/>
    <w:rsid w:val="003E3FD9"/>
    <w:rsid w:val="003F40B4"/>
    <w:rsid w:val="003F4941"/>
    <w:rsid w:val="003F6F95"/>
    <w:rsid w:val="004055D5"/>
    <w:rsid w:val="00405700"/>
    <w:rsid w:val="00406AC7"/>
    <w:rsid w:val="00407D83"/>
    <w:rsid w:val="004110F1"/>
    <w:rsid w:val="004255CB"/>
    <w:rsid w:val="00427ACD"/>
    <w:rsid w:val="004301A6"/>
    <w:rsid w:val="00437969"/>
    <w:rsid w:val="004401B8"/>
    <w:rsid w:val="00441C22"/>
    <w:rsid w:val="00442D8B"/>
    <w:rsid w:val="00452B50"/>
    <w:rsid w:val="00453927"/>
    <w:rsid w:val="00455612"/>
    <w:rsid w:val="00456833"/>
    <w:rsid w:val="00462C16"/>
    <w:rsid w:val="00466BB9"/>
    <w:rsid w:val="004701A5"/>
    <w:rsid w:val="0047480A"/>
    <w:rsid w:val="00482E42"/>
    <w:rsid w:val="00484268"/>
    <w:rsid w:val="0048489E"/>
    <w:rsid w:val="004931FD"/>
    <w:rsid w:val="004A4B8A"/>
    <w:rsid w:val="004A76DA"/>
    <w:rsid w:val="004B0376"/>
    <w:rsid w:val="004B5EA0"/>
    <w:rsid w:val="004B6558"/>
    <w:rsid w:val="004C0968"/>
    <w:rsid w:val="004C1CE1"/>
    <w:rsid w:val="004C2714"/>
    <w:rsid w:val="004D49D9"/>
    <w:rsid w:val="004D559B"/>
    <w:rsid w:val="004D7689"/>
    <w:rsid w:val="004E358B"/>
    <w:rsid w:val="004E4C3B"/>
    <w:rsid w:val="004E729F"/>
    <w:rsid w:val="00510C7D"/>
    <w:rsid w:val="00513E3B"/>
    <w:rsid w:val="0051420E"/>
    <w:rsid w:val="00514834"/>
    <w:rsid w:val="00520676"/>
    <w:rsid w:val="005219D4"/>
    <w:rsid w:val="005221E0"/>
    <w:rsid w:val="00523DE3"/>
    <w:rsid w:val="00525807"/>
    <w:rsid w:val="00534975"/>
    <w:rsid w:val="00536C6C"/>
    <w:rsid w:val="00552FD0"/>
    <w:rsid w:val="005602FA"/>
    <w:rsid w:val="0057385B"/>
    <w:rsid w:val="00575537"/>
    <w:rsid w:val="00576596"/>
    <w:rsid w:val="005774DC"/>
    <w:rsid w:val="00591ADB"/>
    <w:rsid w:val="00594364"/>
    <w:rsid w:val="005953A2"/>
    <w:rsid w:val="00595D9D"/>
    <w:rsid w:val="005A027E"/>
    <w:rsid w:val="005A1633"/>
    <w:rsid w:val="005A2200"/>
    <w:rsid w:val="005A3750"/>
    <w:rsid w:val="005A7316"/>
    <w:rsid w:val="005B1123"/>
    <w:rsid w:val="005B3560"/>
    <w:rsid w:val="005B39BB"/>
    <w:rsid w:val="005B5B37"/>
    <w:rsid w:val="005C372B"/>
    <w:rsid w:val="005C4BCD"/>
    <w:rsid w:val="005C6A38"/>
    <w:rsid w:val="005D6172"/>
    <w:rsid w:val="005D6A90"/>
    <w:rsid w:val="005D72F1"/>
    <w:rsid w:val="005D7928"/>
    <w:rsid w:val="005E05D5"/>
    <w:rsid w:val="005E24AF"/>
    <w:rsid w:val="005E2CBC"/>
    <w:rsid w:val="005E472E"/>
    <w:rsid w:val="005F0F55"/>
    <w:rsid w:val="005F1846"/>
    <w:rsid w:val="005F74A0"/>
    <w:rsid w:val="00602E2F"/>
    <w:rsid w:val="006053FF"/>
    <w:rsid w:val="006059C2"/>
    <w:rsid w:val="006078BD"/>
    <w:rsid w:val="00610E5B"/>
    <w:rsid w:val="00612ED7"/>
    <w:rsid w:val="00616357"/>
    <w:rsid w:val="006202A0"/>
    <w:rsid w:val="0062675D"/>
    <w:rsid w:val="00633318"/>
    <w:rsid w:val="00635735"/>
    <w:rsid w:val="00641597"/>
    <w:rsid w:val="00654685"/>
    <w:rsid w:val="00655F77"/>
    <w:rsid w:val="00660439"/>
    <w:rsid w:val="006605D3"/>
    <w:rsid w:val="00666D97"/>
    <w:rsid w:val="00670D40"/>
    <w:rsid w:val="00673165"/>
    <w:rsid w:val="00680E77"/>
    <w:rsid w:val="0068477E"/>
    <w:rsid w:val="00687C59"/>
    <w:rsid w:val="00694510"/>
    <w:rsid w:val="00694BF2"/>
    <w:rsid w:val="00695B14"/>
    <w:rsid w:val="006A379B"/>
    <w:rsid w:val="006B5573"/>
    <w:rsid w:val="006C0DD8"/>
    <w:rsid w:val="006C30D9"/>
    <w:rsid w:val="006D08FB"/>
    <w:rsid w:val="006D7640"/>
    <w:rsid w:val="006E78E8"/>
    <w:rsid w:val="006F3720"/>
    <w:rsid w:val="006F4B1C"/>
    <w:rsid w:val="00703895"/>
    <w:rsid w:val="007063F4"/>
    <w:rsid w:val="00706BF3"/>
    <w:rsid w:val="00707D07"/>
    <w:rsid w:val="007143DB"/>
    <w:rsid w:val="00714AA7"/>
    <w:rsid w:val="00716967"/>
    <w:rsid w:val="00725B46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57DA"/>
    <w:rsid w:val="00756F22"/>
    <w:rsid w:val="0075773A"/>
    <w:rsid w:val="00760373"/>
    <w:rsid w:val="007653EA"/>
    <w:rsid w:val="00773187"/>
    <w:rsid w:val="007769AE"/>
    <w:rsid w:val="007769FE"/>
    <w:rsid w:val="00782FFE"/>
    <w:rsid w:val="007854AA"/>
    <w:rsid w:val="00785F35"/>
    <w:rsid w:val="00794075"/>
    <w:rsid w:val="00795834"/>
    <w:rsid w:val="00797EDC"/>
    <w:rsid w:val="007B5742"/>
    <w:rsid w:val="007B68DC"/>
    <w:rsid w:val="007B6C7E"/>
    <w:rsid w:val="007C6E75"/>
    <w:rsid w:val="007D0AE5"/>
    <w:rsid w:val="007D1EE1"/>
    <w:rsid w:val="007D41E3"/>
    <w:rsid w:val="007D5FE3"/>
    <w:rsid w:val="007E23FF"/>
    <w:rsid w:val="007E3495"/>
    <w:rsid w:val="007E6518"/>
    <w:rsid w:val="007E7C0E"/>
    <w:rsid w:val="0080263C"/>
    <w:rsid w:val="00805941"/>
    <w:rsid w:val="00813333"/>
    <w:rsid w:val="00817F64"/>
    <w:rsid w:val="008236D8"/>
    <w:rsid w:val="008272B5"/>
    <w:rsid w:val="00831E72"/>
    <w:rsid w:val="00840BA4"/>
    <w:rsid w:val="00841556"/>
    <w:rsid w:val="00846040"/>
    <w:rsid w:val="008465F8"/>
    <w:rsid w:val="0085014B"/>
    <w:rsid w:val="00851769"/>
    <w:rsid w:val="00855C82"/>
    <w:rsid w:val="00864C42"/>
    <w:rsid w:val="008663B5"/>
    <w:rsid w:val="00872895"/>
    <w:rsid w:val="00885CF0"/>
    <w:rsid w:val="00890D6B"/>
    <w:rsid w:val="00893A8C"/>
    <w:rsid w:val="008A149B"/>
    <w:rsid w:val="008A1A86"/>
    <w:rsid w:val="008A3DB2"/>
    <w:rsid w:val="008B727C"/>
    <w:rsid w:val="008B745E"/>
    <w:rsid w:val="008C0185"/>
    <w:rsid w:val="008D265D"/>
    <w:rsid w:val="008D703F"/>
    <w:rsid w:val="008E6A49"/>
    <w:rsid w:val="008E6CC9"/>
    <w:rsid w:val="008F4589"/>
    <w:rsid w:val="008F5891"/>
    <w:rsid w:val="009060A4"/>
    <w:rsid w:val="0090628C"/>
    <w:rsid w:val="0090679C"/>
    <w:rsid w:val="00906A41"/>
    <w:rsid w:val="00914F82"/>
    <w:rsid w:val="0093102D"/>
    <w:rsid w:val="00931A96"/>
    <w:rsid w:val="00935B36"/>
    <w:rsid w:val="00937CF3"/>
    <w:rsid w:val="0094625A"/>
    <w:rsid w:val="009470AF"/>
    <w:rsid w:val="00964333"/>
    <w:rsid w:val="00964E15"/>
    <w:rsid w:val="00965679"/>
    <w:rsid w:val="009737F9"/>
    <w:rsid w:val="0097442F"/>
    <w:rsid w:val="009861B4"/>
    <w:rsid w:val="009872A0"/>
    <w:rsid w:val="009926EF"/>
    <w:rsid w:val="00994853"/>
    <w:rsid w:val="009A203D"/>
    <w:rsid w:val="009A4CEB"/>
    <w:rsid w:val="009A5820"/>
    <w:rsid w:val="009A58F3"/>
    <w:rsid w:val="009B3394"/>
    <w:rsid w:val="009B68B8"/>
    <w:rsid w:val="009B6A0B"/>
    <w:rsid w:val="009C5087"/>
    <w:rsid w:val="009D3085"/>
    <w:rsid w:val="009E0EB8"/>
    <w:rsid w:val="009E389D"/>
    <w:rsid w:val="009E707A"/>
    <w:rsid w:val="009F09A1"/>
    <w:rsid w:val="009F2F24"/>
    <w:rsid w:val="009F3F86"/>
    <w:rsid w:val="00A005F1"/>
    <w:rsid w:val="00A027DF"/>
    <w:rsid w:val="00A065E6"/>
    <w:rsid w:val="00A11843"/>
    <w:rsid w:val="00A1677E"/>
    <w:rsid w:val="00A200AC"/>
    <w:rsid w:val="00A21161"/>
    <w:rsid w:val="00A21AD6"/>
    <w:rsid w:val="00A22169"/>
    <w:rsid w:val="00A2378E"/>
    <w:rsid w:val="00A3087D"/>
    <w:rsid w:val="00A3153D"/>
    <w:rsid w:val="00A31AD4"/>
    <w:rsid w:val="00A33112"/>
    <w:rsid w:val="00A35F42"/>
    <w:rsid w:val="00A420E3"/>
    <w:rsid w:val="00A4688D"/>
    <w:rsid w:val="00A46B8E"/>
    <w:rsid w:val="00A55717"/>
    <w:rsid w:val="00A60CF6"/>
    <w:rsid w:val="00A621EA"/>
    <w:rsid w:val="00A62695"/>
    <w:rsid w:val="00A73757"/>
    <w:rsid w:val="00A74052"/>
    <w:rsid w:val="00A76E31"/>
    <w:rsid w:val="00A8265E"/>
    <w:rsid w:val="00A86039"/>
    <w:rsid w:val="00A86D3F"/>
    <w:rsid w:val="00A91163"/>
    <w:rsid w:val="00A972C8"/>
    <w:rsid w:val="00A979A4"/>
    <w:rsid w:val="00AA48C4"/>
    <w:rsid w:val="00AB4076"/>
    <w:rsid w:val="00AB5609"/>
    <w:rsid w:val="00AB5962"/>
    <w:rsid w:val="00AB706B"/>
    <w:rsid w:val="00AB752A"/>
    <w:rsid w:val="00AB7ADA"/>
    <w:rsid w:val="00AC5BAE"/>
    <w:rsid w:val="00AD03EE"/>
    <w:rsid w:val="00AD586C"/>
    <w:rsid w:val="00AE0F86"/>
    <w:rsid w:val="00B023D7"/>
    <w:rsid w:val="00B052AD"/>
    <w:rsid w:val="00B07AFA"/>
    <w:rsid w:val="00B1121A"/>
    <w:rsid w:val="00B22E37"/>
    <w:rsid w:val="00B26372"/>
    <w:rsid w:val="00B33305"/>
    <w:rsid w:val="00B40379"/>
    <w:rsid w:val="00B4304D"/>
    <w:rsid w:val="00B43697"/>
    <w:rsid w:val="00B43B10"/>
    <w:rsid w:val="00B5344C"/>
    <w:rsid w:val="00B56942"/>
    <w:rsid w:val="00B62CB9"/>
    <w:rsid w:val="00B64DDC"/>
    <w:rsid w:val="00B73203"/>
    <w:rsid w:val="00B749A0"/>
    <w:rsid w:val="00B77DC7"/>
    <w:rsid w:val="00BA1E59"/>
    <w:rsid w:val="00BA7B69"/>
    <w:rsid w:val="00BB1340"/>
    <w:rsid w:val="00BB1E86"/>
    <w:rsid w:val="00BB2979"/>
    <w:rsid w:val="00BB7791"/>
    <w:rsid w:val="00BC1234"/>
    <w:rsid w:val="00BC214F"/>
    <w:rsid w:val="00BC38C8"/>
    <w:rsid w:val="00BD237F"/>
    <w:rsid w:val="00BD372A"/>
    <w:rsid w:val="00BD3B9D"/>
    <w:rsid w:val="00BD46BE"/>
    <w:rsid w:val="00BE3126"/>
    <w:rsid w:val="00BF0B9C"/>
    <w:rsid w:val="00BF16C3"/>
    <w:rsid w:val="00BF2604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0580"/>
    <w:rsid w:val="00C517FC"/>
    <w:rsid w:val="00C53A93"/>
    <w:rsid w:val="00C575F2"/>
    <w:rsid w:val="00C65430"/>
    <w:rsid w:val="00C6750B"/>
    <w:rsid w:val="00C825AA"/>
    <w:rsid w:val="00C8408D"/>
    <w:rsid w:val="00C9076A"/>
    <w:rsid w:val="00C969A2"/>
    <w:rsid w:val="00CA3344"/>
    <w:rsid w:val="00CA5B2F"/>
    <w:rsid w:val="00CA69F0"/>
    <w:rsid w:val="00CA77EC"/>
    <w:rsid w:val="00CC29E1"/>
    <w:rsid w:val="00CC36FF"/>
    <w:rsid w:val="00CC565A"/>
    <w:rsid w:val="00CC7E94"/>
    <w:rsid w:val="00CD549E"/>
    <w:rsid w:val="00CE08E3"/>
    <w:rsid w:val="00CE1A08"/>
    <w:rsid w:val="00CE1E9A"/>
    <w:rsid w:val="00CE3147"/>
    <w:rsid w:val="00CE553E"/>
    <w:rsid w:val="00CE5EF9"/>
    <w:rsid w:val="00CF1A91"/>
    <w:rsid w:val="00CF39DD"/>
    <w:rsid w:val="00CF401B"/>
    <w:rsid w:val="00CF4A0A"/>
    <w:rsid w:val="00CF5C48"/>
    <w:rsid w:val="00CF7BC4"/>
    <w:rsid w:val="00D001AF"/>
    <w:rsid w:val="00D003C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07C3"/>
    <w:rsid w:val="00D5356B"/>
    <w:rsid w:val="00D5624C"/>
    <w:rsid w:val="00D5756D"/>
    <w:rsid w:val="00D60AB7"/>
    <w:rsid w:val="00D633B1"/>
    <w:rsid w:val="00D7339B"/>
    <w:rsid w:val="00D81ACC"/>
    <w:rsid w:val="00D822A1"/>
    <w:rsid w:val="00D90681"/>
    <w:rsid w:val="00D96A40"/>
    <w:rsid w:val="00DA2233"/>
    <w:rsid w:val="00DB4E76"/>
    <w:rsid w:val="00DC5960"/>
    <w:rsid w:val="00DD1946"/>
    <w:rsid w:val="00DE1F7B"/>
    <w:rsid w:val="00DE2FEE"/>
    <w:rsid w:val="00DE42F8"/>
    <w:rsid w:val="00DE675A"/>
    <w:rsid w:val="00DE7415"/>
    <w:rsid w:val="00DF36D4"/>
    <w:rsid w:val="00DF541F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338A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2DBB"/>
    <w:rsid w:val="00E969A7"/>
    <w:rsid w:val="00EA156B"/>
    <w:rsid w:val="00EB3EC9"/>
    <w:rsid w:val="00EB3F3A"/>
    <w:rsid w:val="00EC51F1"/>
    <w:rsid w:val="00EC531C"/>
    <w:rsid w:val="00EC70B6"/>
    <w:rsid w:val="00EC75C6"/>
    <w:rsid w:val="00ED1E3A"/>
    <w:rsid w:val="00ED53B4"/>
    <w:rsid w:val="00EF1438"/>
    <w:rsid w:val="00EF36DB"/>
    <w:rsid w:val="00EF56F2"/>
    <w:rsid w:val="00EF77D5"/>
    <w:rsid w:val="00F07A8B"/>
    <w:rsid w:val="00F115EF"/>
    <w:rsid w:val="00F1300C"/>
    <w:rsid w:val="00F20FAC"/>
    <w:rsid w:val="00F214B1"/>
    <w:rsid w:val="00F22996"/>
    <w:rsid w:val="00F31BD7"/>
    <w:rsid w:val="00F320E6"/>
    <w:rsid w:val="00F36615"/>
    <w:rsid w:val="00F42582"/>
    <w:rsid w:val="00F453D4"/>
    <w:rsid w:val="00F47104"/>
    <w:rsid w:val="00F5660C"/>
    <w:rsid w:val="00F614FC"/>
    <w:rsid w:val="00F61ADE"/>
    <w:rsid w:val="00F650EF"/>
    <w:rsid w:val="00F72598"/>
    <w:rsid w:val="00F74368"/>
    <w:rsid w:val="00F76F3A"/>
    <w:rsid w:val="00F8000E"/>
    <w:rsid w:val="00F80222"/>
    <w:rsid w:val="00F93A6E"/>
    <w:rsid w:val="00F94545"/>
    <w:rsid w:val="00F9575A"/>
    <w:rsid w:val="00FA3039"/>
    <w:rsid w:val="00FA3652"/>
    <w:rsid w:val="00FA3FED"/>
    <w:rsid w:val="00FA5E39"/>
    <w:rsid w:val="00FA7A99"/>
    <w:rsid w:val="00FB3308"/>
    <w:rsid w:val="00FC6193"/>
    <w:rsid w:val="00FD1776"/>
    <w:rsid w:val="00FE689F"/>
    <w:rsid w:val="00FE6914"/>
    <w:rsid w:val="00FF03AB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F69F79C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t.cz/soubory-ke-sta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ZZYZ6ETXZ7ZF-1833563063-5614035</_dlc_DocId>
    <_dlc_DocIdUrl xmlns="cc240bed-3c1d-40e6-b61a-03885149955e">
      <Url>https://crmshare.cdt.cz/_layouts/15/DocIdRedir.aspx?ID=ZZYZ6ETXZ7ZF-1833563063-5614035</Url>
      <Description>ZZYZ6ETXZ7ZF-1833563063-5614035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F9043-5683-40D5-820E-9237D759BAF4}">
  <ds:schemaRefs>
    <ds:schemaRef ds:uri="http://purl.org/dc/elements/1.1/"/>
    <ds:schemaRef ds:uri="http://schemas.microsoft.com/office/2006/documentManagement/types"/>
    <ds:schemaRef ds:uri="cc240bed-3c1d-40e6-b61a-03885149955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18465E-640A-4638-A188-67DFAEDD4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1DAAE-2636-4ED9-B6B5-E529E9935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3F0B0D-F55B-41DD-B3DD-53F32FE5D6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D96C58-7A6A-4902-8231-D5F4D2C4D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</Template>
  <TotalTime>7</TotalTime>
  <Pages>8</Pages>
  <Words>3291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22158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3</cp:revision>
  <cp:lastPrinted>2018-08-20T12:12:00Z</cp:lastPrinted>
  <dcterms:created xsi:type="dcterms:W3CDTF">2026-06-26T06:35:00Z</dcterms:created>
  <dcterms:modified xsi:type="dcterms:W3CDTF">2026-06-26T06:36:00Z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b16d7e16-a106-4e99-b66a-6938d07ab1b2</vt:lpwstr>
  </property>
  <property fmtid="{D5CDD505-2E9C-101B-9397-08002B2CF9AE}" pid="4" name="PraetorDocumentId">
    <vt:lpwstr>616ce09e-01c2-4238-9905-d568c421d089</vt:lpwstr>
  </property>
  <property fmtid="{D5CDD505-2E9C-101B-9397-08002B2CF9AE}" pid="5" name="PraetorDocumentBarCode">
    <vt:lpwstr>69709928</vt:lpwstr>
  </property>
  <property fmtid="{D5CDD505-2E9C-101B-9397-08002B2CF9AE}" pid="6" name="PraetorDocumentNumber">
    <vt:lpwstr>69709928</vt:lpwstr>
  </property>
</Properties>
</file>