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B8" w:rsidRDefault="001A4C87">
      <w:pPr>
        <w:pStyle w:val="Heading120"/>
        <w:keepNext/>
        <w:keepLines/>
        <w:shd w:val="clear" w:color="auto" w:fill="auto"/>
        <w:spacing w:after="5" w:line="320" w:lineRule="exact"/>
      </w:pPr>
      <w:bookmarkStart w:id="0" w:name="bookmark0"/>
      <w:r>
        <w:t>Dodatek č. 1</w:t>
      </w:r>
      <w:bookmarkEnd w:id="0"/>
    </w:p>
    <w:p w:rsidR="00FE37B8" w:rsidRDefault="001A4C87">
      <w:pPr>
        <w:pStyle w:val="Heading10"/>
        <w:keepNext/>
        <w:keepLines/>
        <w:shd w:val="clear" w:color="auto" w:fill="auto"/>
        <w:spacing w:before="0" w:after="674"/>
      </w:pPr>
      <w:bookmarkStart w:id="1" w:name="bookmark1"/>
      <w:r>
        <w:t>ke „SMLOUVĚ O POSKYTOVÁNÍ SLUŽEB</w:t>
      </w:r>
      <w:r>
        <w:br/>
        <w:t>ÚDRŽBY PRO SYSTEMY VYTÁPĚNÍ, VENTILACE A KLIMATIZACE“</w:t>
      </w:r>
      <w:bookmarkEnd w:id="1"/>
    </w:p>
    <w:p w:rsidR="00FE37B8" w:rsidRDefault="001A4C87">
      <w:pPr>
        <w:pStyle w:val="Bodytext30"/>
        <w:shd w:val="clear" w:color="auto" w:fill="auto"/>
        <w:spacing w:before="0" w:after="139" w:line="220" w:lineRule="exact"/>
      </w:pPr>
      <w:r>
        <w:t>Zákazník:</w:t>
      </w:r>
    </w:p>
    <w:p w:rsidR="00FE37B8" w:rsidRDefault="001A4C87">
      <w:pPr>
        <w:pStyle w:val="Bodytext30"/>
        <w:shd w:val="clear" w:color="auto" w:fill="auto"/>
        <w:spacing w:before="0" w:after="0" w:line="269" w:lineRule="exact"/>
      </w:pPr>
      <w:r>
        <w:t>Moravskoslezská nemocnice Třinec, příspěvková organizace</w:t>
      </w:r>
    </w:p>
    <w:p w:rsidR="00FE37B8" w:rsidRDefault="001A4C87">
      <w:pPr>
        <w:pStyle w:val="Bodytext40"/>
        <w:shd w:val="clear" w:color="auto" w:fill="auto"/>
        <w:ind w:right="940" w:firstLine="0"/>
      </w:pPr>
      <w:r>
        <w:t xml:space="preserve">se sídlem Kaštanová 268, Dolní </w:t>
      </w:r>
      <w:proofErr w:type="spellStart"/>
      <w:r>
        <w:t>Líštná</w:t>
      </w:r>
      <w:proofErr w:type="spellEnd"/>
      <w:r>
        <w:t>, 739 61 Třinec, Česká republika IČ:00534242</w:t>
      </w:r>
    </w:p>
    <w:p w:rsidR="00FE37B8" w:rsidRDefault="001A4C87">
      <w:pPr>
        <w:pStyle w:val="Bodytext40"/>
        <w:shd w:val="clear" w:color="auto" w:fill="auto"/>
        <w:ind w:firstLine="0"/>
      </w:pPr>
      <w:r>
        <w:t xml:space="preserve">zastoupena Bc. Jaroslav </w:t>
      </w:r>
      <w:proofErr w:type="spellStart"/>
      <w:r>
        <w:t>Brzyszkowski</w:t>
      </w:r>
      <w:proofErr w:type="spellEnd"/>
      <w:r>
        <w:t>, ředitel nemocnice</w:t>
      </w:r>
    </w:p>
    <w:p w:rsidR="00FE37B8" w:rsidRDefault="001A4C87">
      <w:pPr>
        <w:pStyle w:val="Bodytext40"/>
        <w:shd w:val="clear" w:color="auto" w:fill="auto"/>
        <w:spacing w:after="279"/>
        <w:ind w:firstLine="0"/>
      </w:pPr>
      <w:r>
        <w:t xml:space="preserve">zapsaná v obchodním rejstříku vedeném u Krajského soudu v Ostravě, oddílu </w:t>
      </w:r>
      <w:proofErr w:type="spellStart"/>
      <w:r>
        <w:t>Pr</w:t>
      </w:r>
      <w:proofErr w:type="spellEnd"/>
      <w:r>
        <w:t>, vložce 908 a</w:t>
      </w:r>
    </w:p>
    <w:p w:rsidR="00FE37B8" w:rsidRDefault="001A4C87">
      <w:pPr>
        <w:pStyle w:val="Bodytext30"/>
        <w:shd w:val="clear" w:color="auto" w:fill="auto"/>
        <w:spacing w:before="0" w:after="124" w:line="220" w:lineRule="exact"/>
      </w:pPr>
      <w:r>
        <w:t>Dodavatel:</w:t>
      </w:r>
    </w:p>
    <w:p w:rsidR="00FE37B8" w:rsidRDefault="001A4C87">
      <w:pPr>
        <w:pStyle w:val="Bodytext30"/>
        <w:shd w:val="clear" w:color="auto" w:fill="auto"/>
        <w:spacing w:before="0" w:after="0" w:line="288" w:lineRule="exact"/>
        <w:ind w:right="420"/>
      </w:pPr>
      <w:r>
        <w:t>DAIKIN AIRCONDITIONING CENTRAL EUROPE - CZECH REPUBLIC spol. s r.o.</w:t>
      </w:r>
      <w:r>
        <w:rPr>
          <w:rStyle w:val="Bodytext3NotBold"/>
        </w:rPr>
        <w:t>, Budějovická 778/3a, Michle, 1</w:t>
      </w:r>
      <w:r>
        <w:rPr>
          <w:rStyle w:val="Bodytext3NotBold"/>
        </w:rPr>
        <w:t>40 00 Praha 4 IČ 48039497,</w:t>
      </w:r>
    </w:p>
    <w:p w:rsidR="00FE37B8" w:rsidRDefault="001A4C87">
      <w:pPr>
        <w:pStyle w:val="Bodytext40"/>
        <w:shd w:val="clear" w:color="auto" w:fill="auto"/>
        <w:spacing w:after="294" w:line="288" w:lineRule="exact"/>
        <w:ind w:firstLine="0"/>
      </w:pPr>
      <w:r>
        <w:rPr>
          <w:rStyle w:val="Bodytext41"/>
        </w:rPr>
        <w:t xml:space="preserve">společnost zapsaná v obchodním rejstříku vedeném Městským soudem v Praze, oddíl C, vložka 15503 </w:t>
      </w:r>
      <w:r>
        <w:t xml:space="preserve">zastoupena: Petr Hejduk, jednatel Florin </w:t>
      </w:r>
      <w:proofErr w:type="spellStart"/>
      <w:r>
        <w:t>Ihora</w:t>
      </w:r>
      <w:proofErr w:type="spellEnd"/>
      <w:r>
        <w:t>, jednatel</w:t>
      </w:r>
    </w:p>
    <w:p w:rsidR="00FE37B8" w:rsidRDefault="001A4C87">
      <w:pPr>
        <w:pStyle w:val="Bodytext40"/>
        <w:shd w:val="clear" w:color="auto" w:fill="auto"/>
        <w:spacing w:after="132" w:line="220" w:lineRule="exact"/>
        <w:ind w:firstLine="0"/>
      </w:pPr>
      <w:r>
        <w:t>PREAMBULE:</w:t>
      </w:r>
    </w:p>
    <w:p w:rsidR="00FE37B8" w:rsidRDefault="001A4C87">
      <w:pPr>
        <w:pStyle w:val="Bodytext40"/>
        <w:numPr>
          <w:ilvl w:val="0"/>
          <w:numId w:val="1"/>
        </w:numPr>
        <w:shd w:val="clear" w:color="auto" w:fill="auto"/>
        <w:tabs>
          <w:tab w:val="left" w:pos="766"/>
        </w:tabs>
        <w:spacing w:line="307" w:lineRule="exact"/>
        <w:ind w:left="760"/>
      </w:pPr>
      <w:r>
        <w:t xml:space="preserve">Dodavatel a Zákazník uzavřeli „SMLOUVA O POSKYTOVÁNÍ SLUŽEB </w:t>
      </w:r>
      <w:r>
        <w:t xml:space="preserve">ÚDRŽBY PRO SYSTEMY VYTÁPĚNÍ, VENTILACE A KLIMATIZACE", s účinností k </w:t>
      </w:r>
      <w:proofErr w:type="gramStart"/>
      <w:r>
        <w:t>5.4.2018</w:t>
      </w:r>
      <w:proofErr w:type="gramEnd"/>
      <w:r>
        <w:t xml:space="preserve"> (dále jen „</w:t>
      </w:r>
      <w:r>
        <w:rPr>
          <w:rStyle w:val="Bodytext42"/>
        </w:rPr>
        <w:t>Smlouva</w:t>
      </w:r>
      <w:r>
        <w:t>").</w:t>
      </w:r>
    </w:p>
    <w:p w:rsidR="00FE37B8" w:rsidRDefault="001A4C87">
      <w:pPr>
        <w:pStyle w:val="Bodytext40"/>
        <w:numPr>
          <w:ilvl w:val="0"/>
          <w:numId w:val="1"/>
        </w:numPr>
        <w:shd w:val="clear" w:color="auto" w:fill="auto"/>
        <w:tabs>
          <w:tab w:val="left" w:pos="766"/>
        </w:tabs>
        <w:spacing w:line="307" w:lineRule="exact"/>
        <w:ind w:left="760"/>
      </w:pPr>
      <w:r>
        <w:t>Nyní chce Zákazník do smlouvy zahrnout další zařízení, která budou do smlouvy přidána tímto dodatkem.</w:t>
      </w:r>
    </w:p>
    <w:p w:rsidR="00FE37B8" w:rsidRDefault="001A4C87">
      <w:pPr>
        <w:pStyle w:val="Bodytext40"/>
        <w:numPr>
          <w:ilvl w:val="0"/>
          <w:numId w:val="1"/>
        </w:numPr>
        <w:shd w:val="clear" w:color="auto" w:fill="auto"/>
        <w:tabs>
          <w:tab w:val="left" w:pos="766"/>
        </w:tabs>
        <w:spacing w:after="669" w:line="307" w:lineRule="exact"/>
        <w:ind w:left="760"/>
      </w:pPr>
      <w:r>
        <w:t xml:space="preserve">S ohledem na výše uvedené </w:t>
      </w:r>
      <w:r>
        <w:rPr>
          <w:lang w:val="fr-FR" w:eastAsia="fr-FR" w:bidi="fr-FR"/>
        </w:rPr>
        <w:t xml:space="preserve">si </w:t>
      </w:r>
      <w:r>
        <w:t>smluvní strany přejí rozš</w:t>
      </w:r>
      <w:r>
        <w:t>ířit Smlouvu a potvrdit jí tímto dodatkem.</w:t>
      </w:r>
    </w:p>
    <w:p w:rsidR="00FE37B8" w:rsidRDefault="001A4C87">
      <w:pPr>
        <w:pStyle w:val="Bodytext30"/>
        <w:shd w:val="clear" w:color="auto" w:fill="auto"/>
        <w:spacing w:before="0" w:after="0" w:line="446" w:lineRule="exact"/>
      </w:pPr>
      <w:r>
        <w:t>Předmět dodatku:</w:t>
      </w:r>
    </w:p>
    <w:p w:rsidR="00FE37B8" w:rsidRDefault="001A4C87">
      <w:pPr>
        <w:pStyle w:val="Bodytext40"/>
        <w:shd w:val="clear" w:color="auto" w:fill="auto"/>
        <w:spacing w:line="446" w:lineRule="exact"/>
        <w:ind w:firstLine="0"/>
      </w:pPr>
      <w:r>
        <w:t>Ke dni účinnosti tohoto dodatku se ruší bod 2.1.1. smlouvy.</w:t>
      </w:r>
    </w:p>
    <w:p w:rsidR="00FE37B8" w:rsidRDefault="001A4C87">
      <w:pPr>
        <w:pStyle w:val="Bodytext40"/>
        <w:shd w:val="clear" w:color="auto" w:fill="auto"/>
        <w:spacing w:line="446" w:lineRule="exact"/>
        <w:ind w:firstLine="0"/>
        <w:sectPr w:rsidR="00FE37B8">
          <w:pgSz w:w="11900" w:h="16840"/>
          <w:pgMar w:top="2040" w:right="1382" w:bottom="2040" w:left="1392" w:header="0" w:footer="3" w:gutter="0"/>
          <w:cols w:space="720"/>
          <w:noEndnote/>
          <w:docGrid w:linePitch="360"/>
        </w:sectPr>
      </w:pPr>
      <w:r>
        <w:t>Ke dni účinnosti tohoto dodatku se příloha A, B a C nahrazuje následujícím novým textem:</w:t>
      </w:r>
    </w:p>
    <w:p w:rsidR="00FE37B8" w:rsidRDefault="001A4C87">
      <w:pPr>
        <w:pStyle w:val="Bodytext30"/>
        <w:shd w:val="clear" w:color="auto" w:fill="auto"/>
        <w:spacing w:before="0" w:after="0" w:line="446" w:lineRule="exact"/>
        <w:ind w:left="100"/>
        <w:jc w:val="center"/>
      </w:pPr>
      <w:r>
        <w:lastRenderedPageBreak/>
        <w:t>PŘÍLOHA A, B a C</w:t>
      </w:r>
    </w:p>
    <w:p w:rsidR="00FE37B8" w:rsidRDefault="001A4C87">
      <w:pPr>
        <w:pStyle w:val="Bodytext30"/>
        <w:shd w:val="clear" w:color="auto" w:fill="auto"/>
        <w:spacing w:before="0" w:after="0" w:line="446" w:lineRule="exact"/>
        <w:ind w:right="1300" w:firstLine="1200"/>
      </w:pPr>
      <w:r>
        <w:t xml:space="preserve">Ceník </w:t>
      </w:r>
      <w:r>
        <w:t>pravidelné údržby, Vymezení plánované údržby, reaktivního servisu I. SEKCE PLÁNOVANÁ ÚDRŽBA</w:t>
      </w:r>
    </w:p>
    <w:p w:rsidR="00FE37B8" w:rsidRDefault="001A4C87">
      <w:pPr>
        <w:pStyle w:val="Bodytext40"/>
        <w:shd w:val="clear" w:color="auto" w:fill="auto"/>
        <w:spacing w:line="446" w:lineRule="exact"/>
        <w:ind w:firstLine="0"/>
      </w:pPr>
      <w:r>
        <w:t xml:space="preserve">Smlouva zahrnuje dvě (2) návštěvy ročně na každém zařízení </w:t>
      </w:r>
      <w:proofErr w:type="spellStart"/>
      <w:r>
        <w:t>chiller</w:t>
      </w:r>
      <w:proofErr w:type="spellEnd"/>
      <w:r>
        <w:t xml:space="preserve"> (EWLD, EWAD).</w:t>
      </w:r>
    </w:p>
    <w:p w:rsidR="00FE37B8" w:rsidRDefault="001A4C87">
      <w:pPr>
        <w:pStyle w:val="Bodytext40"/>
        <w:shd w:val="clear" w:color="auto" w:fill="auto"/>
        <w:spacing w:line="446" w:lineRule="exact"/>
        <w:ind w:firstLine="0"/>
      </w:pPr>
      <w:r>
        <w:t>Smlouva zahrnuje dvě (2) návštěvy ročně na zařízení RXYQ16U7Y1B, 4313506</w:t>
      </w:r>
    </w:p>
    <w:p w:rsidR="00FE37B8" w:rsidRDefault="001A4C87">
      <w:pPr>
        <w:pStyle w:val="Bodytext40"/>
        <w:shd w:val="clear" w:color="auto" w:fill="auto"/>
        <w:spacing w:after="851" w:line="293" w:lineRule="exact"/>
        <w:ind w:firstLine="0"/>
      </w:pPr>
      <w:r>
        <w:t>Smlouva za</w:t>
      </w:r>
      <w:r>
        <w:t>hrnuje jednu (1) návštěvu ročně na zařízení RXYQ8T7Y1B8, 1600541 a RXYSQ12TMY1B, F016724</w:t>
      </w:r>
    </w:p>
    <w:p w:rsidR="00FE37B8" w:rsidRDefault="001A4C87">
      <w:pPr>
        <w:pStyle w:val="Heading20"/>
        <w:keepNext/>
        <w:keepLines/>
        <w:shd w:val="clear" w:color="auto" w:fill="auto"/>
        <w:spacing w:before="0"/>
        <w:ind w:left="100" w:firstLine="0"/>
      </w:pPr>
      <w:bookmarkStart w:id="2" w:name="bookmark2"/>
      <w:r>
        <w:t>PŘÍLOHA A</w:t>
      </w:r>
      <w:r>
        <w:br/>
        <w:t>Seznam Zařízení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8"/>
        <w:gridCol w:w="1570"/>
      </w:tblGrid>
      <w:tr w:rsidR="00FE37B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right="2820" w:firstLine="0"/>
              <w:jc w:val="right"/>
            </w:pPr>
            <w:r>
              <w:rPr>
                <w:rStyle w:val="Bodytext2Bold"/>
              </w:rPr>
              <w:t>Seznam zařízení, na která se vztahuje tato Smlouva: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Calibri"/>
              </w:rPr>
              <w:t>Počet ks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right="2820" w:firstLine="0"/>
              <w:jc w:val="right"/>
            </w:pPr>
            <w:r>
              <w:rPr>
                <w:rStyle w:val="Bodytext2Calibri"/>
              </w:rPr>
              <w:t>• EWLD 310J-SS (</w:t>
            </w:r>
            <w:proofErr w:type="spellStart"/>
            <w:r>
              <w:rPr>
                <w:rStyle w:val="Bodytext2Calibri"/>
              </w:rPr>
              <w:t>sn</w:t>
            </w:r>
            <w:proofErr w:type="spellEnd"/>
            <w:r>
              <w:rPr>
                <w:rStyle w:val="Bodytext2Calibri"/>
              </w:rPr>
              <w:t>: CH-16F01315-KKKKXX)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Calibri"/>
              </w:rPr>
              <w:t>1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right="2820" w:firstLine="0"/>
              <w:jc w:val="right"/>
            </w:pPr>
            <w:r>
              <w:rPr>
                <w:rStyle w:val="Bodytext2Calibri"/>
              </w:rPr>
              <w:t>• EWAD 300E-SL (</w:t>
            </w:r>
            <w:proofErr w:type="spellStart"/>
            <w:r>
              <w:rPr>
                <w:rStyle w:val="Bodytext2Calibri"/>
              </w:rPr>
              <w:t>sn</w:t>
            </w:r>
            <w:proofErr w:type="spellEnd"/>
            <w:r>
              <w:rPr>
                <w:rStyle w:val="Bodytext2Calibri"/>
              </w:rPr>
              <w:t xml:space="preserve">: </w:t>
            </w:r>
            <w:r>
              <w:rPr>
                <w:rStyle w:val="Bodytext2Calibri"/>
              </w:rPr>
              <w:t>CH-15C00310-KKKKXX)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Calibri"/>
              </w:rPr>
              <w:t>1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</w:pPr>
            <w:r>
              <w:rPr>
                <w:rStyle w:val="Bodytext2Calibri"/>
              </w:rPr>
              <w:t xml:space="preserve">• </w:t>
            </w:r>
            <w:proofErr w:type="spellStart"/>
            <w:r>
              <w:rPr>
                <w:rStyle w:val="Bodytext2Calibri"/>
              </w:rPr>
              <w:t>Cabero</w:t>
            </w:r>
            <w:proofErr w:type="spellEnd"/>
            <w:r>
              <w:rPr>
                <w:rStyle w:val="Bodytext2Calibri"/>
              </w:rPr>
              <w:t>, ACHSD097KB/2x5X-40 D (ZA) EC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Calibri"/>
              </w:rPr>
              <w:t>1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</w:pPr>
            <w:r>
              <w:rPr>
                <w:rStyle w:val="Bodytext2Calibri"/>
              </w:rPr>
              <w:t>• RXYQ16U7Y1B 4313506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Calibri"/>
              </w:rPr>
              <w:t>1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</w:pPr>
            <w:r>
              <w:rPr>
                <w:rStyle w:val="Bodytext2Calibri"/>
              </w:rPr>
              <w:t>• RXYQ8T7Y1B8, 1600541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Calibri"/>
              </w:rPr>
              <w:t>1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</w:pPr>
            <w:r>
              <w:rPr>
                <w:rStyle w:val="Bodytext2Calibri"/>
              </w:rPr>
              <w:t>• RXYSQ12TMY1B, F016724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89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Calibri"/>
              </w:rPr>
              <w:t>1</w:t>
            </w:r>
          </w:p>
        </w:tc>
      </w:tr>
    </w:tbl>
    <w:p w:rsidR="00FE37B8" w:rsidRDefault="00FE37B8">
      <w:pPr>
        <w:framePr w:w="8947" w:wrap="notBeside" w:vAnchor="text" w:hAnchor="text" w:xAlign="center" w:y="1"/>
        <w:rPr>
          <w:sz w:val="2"/>
          <w:szCs w:val="2"/>
        </w:rPr>
      </w:pPr>
    </w:p>
    <w:p w:rsidR="00FE37B8" w:rsidRDefault="00FE37B8">
      <w:pPr>
        <w:rPr>
          <w:sz w:val="2"/>
          <w:szCs w:val="2"/>
        </w:rPr>
      </w:pPr>
    </w:p>
    <w:p w:rsidR="00FE37B8" w:rsidRDefault="00FE37B8">
      <w:pPr>
        <w:rPr>
          <w:sz w:val="2"/>
          <w:szCs w:val="2"/>
        </w:rPr>
        <w:sectPr w:rsidR="00FE37B8">
          <w:pgSz w:w="11900" w:h="16840"/>
          <w:pgMar w:top="3157" w:right="1291" w:bottom="3157" w:left="1397" w:header="0" w:footer="3" w:gutter="0"/>
          <w:cols w:space="720"/>
          <w:noEndnote/>
          <w:docGrid w:linePitch="360"/>
        </w:sectPr>
      </w:pPr>
    </w:p>
    <w:p w:rsidR="00FE37B8" w:rsidRDefault="00FE37B8">
      <w:pPr>
        <w:spacing w:line="240" w:lineRule="exact"/>
        <w:rPr>
          <w:sz w:val="19"/>
          <w:szCs w:val="19"/>
        </w:rPr>
      </w:pPr>
    </w:p>
    <w:p w:rsidR="00FE37B8" w:rsidRDefault="00FE37B8">
      <w:pPr>
        <w:spacing w:before="1" w:after="1" w:line="240" w:lineRule="exact"/>
        <w:rPr>
          <w:sz w:val="19"/>
          <w:szCs w:val="19"/>
        </w:rPr>
      </w:pPr>
    </w:p>
    <w:p w:rsidR="00FE37B8" w:rsidRDefault="00FE37B8">
      <w:pPr>
        <w:rPr>
          <w:sz w:val="2"/>
          <w:szCs w:val="2"/>
        </w:rPr>
        <w:sectPr w:rsidR="00FE37B8">
          <w:pgSz w:w="11900" w:h="16840"/>
          <w:pgMar w:top="1556" w:right="0" w:bottom="2338" w:left="0" w:header="0" w:footer="3" w:gutter="0"/>
          <w:cols w:space="720"/>
          <w:noEndnote/>
          <w:docGrid w:linePitch="360"/>
        </w:sectPr>
      </w:pPr>
    </w:p>
    <w:p w:rsidR="00FE37B8" w:rsidRDefault="001A4C87">
      <w:pPr>
        <w:pStyle w:val="Bodytext50"/>
        <w:shd w:val="clear" w:color="auto" w:fill="auto"/>
        <w:spacing w:after="243" w:line="220" w:lineRule="exact"/>
        <w:ind w:left="240"/>
      </w:pPr>
      <w:r>
        <w:rPr>
          <w:rStyle w:val="Bodytext5SmallCaps"/>
          <w:b/>
          <w:bCs/>
        </w:rPr>
        <w:t>příloha b</w:t>
      </w:r>
    </w:p>
    <w:p w:rsidR="00FE37B8" w:rsidRDefault="001A4C87">
      <w:pPr>
        <w:pStyle w:val="Heading20"/>
        <w:keepNext/>
        <w:keepLines/>
        <w:shd w:val="clear" w:color="auto" w:fill="auto"/>
        <w:spacing w:before="0" w:after="603" w:line="220" w:lineRule="exact"/>
        <w:ind w:firstLine="0"/>
      </w:pPr>
      <w:bookmarkStart w:id="3" w:name="bookmark3"/>
      <w:r>
        <w:rPr>
          <w:rStyle w:val="Heading21"/>
          <w:b/>
          <w:bCs/>
        </w:rPr>
        <w:t>Ceník pravidelné údržby, Vymezení Plánované údržby,</w:t>
      </w:r>
      <w:r>
        <w:rPr>
          <w:rStyle w:val="Heading21"/>
          <w:b/>
          <w:bCs/>
        </w:rPr>
        <w:t xml:space="preserve"> Reaktivního servisu</w:t>
      </w:r>
      <w:bookmarkEnd w:id="3"/>
    </w:p>
    <w:p w:rsidR="00FE37B8" w:rsidRDefault="001A4C87">
      <w:pPr>
        <w:pStyle w:val="Bodytext60"/>
        <w:shd w:val="clear" w:color="auto" w:fill="auto"/>
        <w:spacing w:before="0" w:line="13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5pt;margin-top:-149.3pt;width:453.6pt;height:.05pt;z-index:-25165875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4"/>
                    <w:gridCol w:w="4738"/>
                    <w:gridCol w:w="691"/>
                    <w:gridCol w:w="864"/>
                    <w:gridCol w:w="965"/>
                  </w:tblGrid>
                  <w:tr w:rsidR="00FE37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Calibri6ptBold"/>
                          </w:rPr>
                          <w:t>Plánovaný pravidelný servis na zařízeních za jeden kalendářní rok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E37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Calibri6ptBold"/>
                          </w:rPr>
                          <w:t>Zařízení</w:t>
                        </w:r>
                      </w:p>
                    </w:tc>
                    <w:tc>
                      <w:tcPr>
                        <w:tcW w:w="4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Calibri6ptBold"/>
                          </w:rPr>
                          <w:t>Popis servisní / pracovní činnosti / náhradní díl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78" w:lineRule="exact"/>
                          <w:ind w:firstLine="0"/>
                          <w:jc w:val="center"/>
                        </w:pPr>
                        <w:r>
                          <w:rPr>
                            <w:rStyle w:val="Bodytext2Calibri6ptBold"/>
                          </w:rPr>
                          <w:t>Počet (za rok)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78" w:lineRule="exact"/>
                          <w:ind w:firstLine="0"/>
                          <w:jc w:val="center"/>
                        </w:pPr>
                        <w:r>
                          <w:rPr>
                            <w:rStyle w:val="Bodytext2Calibri6ptBold"/>
                          </w:rPr>
                          <w:t>Cena za prohlídku</w:t>
                        </w:r>
                      </w:p>
                    </w:tc>
                  </w:tr>
                  <w:tr w:rsidR="00FE37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73" w:lineRule="exact"/>
                          <w:ind w:firstLine="0"/>
                          <w:jc w:val="both"/>
                        </w:pPr>
                        <w:r>
                          <w:rPr>
                            <w:rStyle w:val="Bodytext2Calibri6ptBold"/>
                          </w:rPr>
                          <w:t xml:space="preserve">EWLD 310J-SS, EWAD 300E-SL, </w:t>
                        </w:r>
                        <w:proofErr w:type="spellStart"/>
                        <w:r>
                          <w:rPr>
                            <w:rStyle w:val="Bodytext2Calibri6ptBold"/>
                          </w:rPr>
                          <w:t>Cabero</w:t>
                        </w:r>
                        <w:proofErr w:type="spellEnd"/>
                      </w:p>
                    </w:tc>
                    <w:tc>
                      <w:tcPr>
                        <w:tcW w:w="4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10" w:lineRule="exact"/>
                          <w:ind w:firstLine="0"/>
                        </w:pPr>
                        <w:r>
                          <w:rPr>
                            <w:rStyle w:val="Bodytext255pt"/>
                          </w:rPr>
                          <w:t xml:space="preserve">Pravidelná jarní servisní </w:t>
                        </w:r>
                        <w:r>
                          <w:rPr>
                            <w:rStyle w:val="Bodytext255pt"/>
                          </w:rPr>
                          <w:t>prohlídka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right"/>
                        </w:pPr>
                        <w:r>
                          <w:rPr>
                            <w:rStyle w:val="Bodytext2Calibri6ptBold"/>
                          </w:rPr>
                          <w:t>1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right"/>
                        </w:pPr>
                        <w:r>
                          <w:rPr>
                            <w:rStyle w:val="Bodytext2Calibri6ptBold"/>
                          </w:rPr>
                          <w:t>35 234 Kč</w:t>
                        </w:r>
                      </w:p>
                    </w:tc>
                  </w:tr>
                  <w:tr w:rsidR="00FE37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78" w:lineRule="exact"/>
                          <w:ind w:firstLine="0"/>
                          <w:jc w:val="both"/>
                        </w:pPr>
                        <w:r>
                          <w:rPr>
                            <w:rStyle w:val="Bodytext2Calibri6ptBold"/>
                          </w:rPr>
                          <w:t xml:space="preserve">EWLD 310J-SS, EWAD 300E-SL, </w:t>
                        </w:r>
                        <w:proofErr w:type="spellStart"/>
                        <w:r>
                          <w:rPr>
                            <w:rStyle w:val="Bodytext2Calibri6ptBold"/>
                          </w:rPr>
                          <w:t>Cabero</w:t>
                        </w:r>
                        <w:proofErr w:type="spellEnd"/>
                      </w:p>
                    </w:tc>
                    <w:tc>
                      <w:tcPr>
                        <w:tcW w:w="4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10" w:lineRule="exact"/>
                          <w:ind w:firstLine="0"/>
                        </w:pPr>
                        <w:r>
                          <w:rPr>
                            <w:rStyle w:val="Bodytext255pt"/>
                          </w:rPr>
                          <w:t>Pravidelná podzimní servisní prohlídka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right"/>
                        </w:pPr>
                        <w:r>
                          <w:rPr>
                            <w:rStyle w:val="Bodytext2Calibri6ptBold"/>
                          </w:rPr>
                          <w:t>1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right"/>
                        </w:pPr>
                        <w:r>
                          <w:rPr>
                            <w:rStyle w:val="Bodytext2Calibri6ptBold"/>
                          </w:rPr>
                          <w:t>35 234 Kč</w:t>
                        </w:r>
                      </w:p>
                    </w:tc>
                  </w:tr>
                  <w:tr w:rsidR="00FE37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73" w:lineRule="exact"/>
                          <w:ind w:firstLine="0"/>
                          <w:jc w:val="both"/>
                        </w:pPr>
                        <w:r>
                          <w:rPr>
                            <w:rStyle w:val="Bodytext2Calibri6ptBold"/>
                          </w:rPr>
                          <w:t>RXYQ16U7Y1B,</w:t>
                        </w:r>
                      </w:p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73" w:lineRule="exact"/>
                          <w:ind w:firstLine="0"/>
                          <w:jc w:val="both"/>
                        </w:pPr>
                        <w:r>
                          <w:rPr>
                            <w:rStyle w:val="Bodytext2Calibri6ptBold"/>
                          </w:rPr>
                          <w:t>RXYSQ12TMY1B,</w:t>
                        </w:r>
                      </w:p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73" w:lineRule="exact"/>
                          <w:ind w:firstLine="0"/>
                          <w:jc w:val="both"/>
                        </w:pPr>
                        <w:r>
                          <w:rPr>
                            <w:rStyle w:val="Bodytext2Calibri6ptBold"/>
                          </w:rPr>
                          <w:t>RXYQ8T7Y1B8</w:t>
                        </w:r>
                      </w:p>
                    </w:tc>
                    <w:tc>
                      <w:tcPr>
                        <w:tcW w:w="4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10" w:lineRule="exact"/>
                          <w:ind w:firstLine="0"/>
                        </w:pPr>
                        <w:r>
                          <w:rPr>
                            <w:rStyle w:val="Bodytext255pt"/>
                          </w:rPr>
                          <w:t>Pravidelná jarní servisní prohlídka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right"/>
                        </w:pPr>
                        <w:r>
                          <w:rPr>
                            <w:rStyle w:val="Bodytext2Calibri6ptBold"/>
                          </w:rPr>
                          <w:t>1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right"/>
                        </w:pPr>
                        <w:r>
                          <w:rPr>
                            <w:rStyle w:val="Bodytext2Calibri6ptBold"/>
                          </w:rPr>
                          <w:t>17 953 Kč</w:t>
                        </w:r>
                      </w:p>
                    </w:tc>
                  </w:tr>
                  <w:tr w:rsidR="00FE37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both"/>
                        </w:pPr>
                        <w:r>
                          <w:rPr>
                            <w:rStyle w:val="Bodytext2Calibri6ptBold"/>
                          </w:rPr>
                          <w:t>RXYQ16U7Y1B</w:t>
                        </w:r>
                      </w:p>
                    </w:tc>
                    <w:tc>
                      <w:tcPr>
                        <w:tcW w:w="4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10" w:lineRule="exact"/>
                          <w:ind w:firstLine="0"/>
                        </w:pPr>
                        <w:r>
                          <w:rPr>
                            <w:rStyle w:val="Bodytext255pt"/>
                          </w:rPr>
                          <w:t>Pravidelná podzimní servisní prohlídka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right"/>
                        </w:pPr>
                        <w:r>
                          <w:rPr>
                            <w:rStyle w:val="Bodytext2Calibri6ptBold"/>
                          </w:rPr>
                          <w:t>1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right"/>
                        </w:pPr>
                        <w:r>
                          <w:rPr>
                            <w:rStyle w:val="Bodytext2Calibri6ptBold"/>
                          </w:rPr>
                          <w:t>8</w:t>
                        </w:r>
                        <w:r>
                          <w:rPr>
                            <w:rStyle w:val="Bodytext2Calibri6ptBold"/>
                          </w:rPr>
                          <w:t xml:space="preserve"> 929 Kč</w:t>
                        </w:r>
                      </w:p>
                    </w:tc>
                  </w:tr>
                  <w:tr w:rsidR="00FE37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73" w:lineRule="exact"/>
                          <w:ind w:firstLine="0"/>
                          <w:jc w:val="both"/>
                        </w:pPr>
                        <w:r>
                          <w:rPr>
                            <w:rStyle w:val="Bodytext2Calibri6ptBold"/>
                          </w:rPr>
                          <w:t>Cena celkem za jeden rok v Kč bez DPH:</w:t>
                        </w:r>
                      </w:p>
                    </w:tc>
                    <w:tc>
                      <w:tcPr>
                        <w:tcW w:w="4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E37B8" w:rsidRDefault="00FE37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E37B8" w:rsidRDefault="001A4C87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right"/>
                        </w:pPr>
                        <w:r>
                          <w:rPr>
                            <w:rStyle w:val="Bodytext2Calibri6ptBold"/>
                          </w:rPr>
                          <w:t>97 350 Kč</w:t>
                        </w:r>
                      </w:p>
                    </w:tc>
                  </w:tr>
                </w:tbl>
                <w:p w:rsidR="00FE37B8" w:rsidRDefault="00FE37B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Cena zahrnuje:</w:t>
      </w:r>
    </w:p>
    <w:p w:rsidR="00FE37B8" w:rsidRDefault="001A4C87">
      <w:pPr>
        <w:pStyle w:val="Bodytext70"/>
        <w:shd w:val="clear" w:color="auto" w:fill="auto"/>
        <w:spacing w:after="85" w:line="110" w:lineRule="exact"/>
        <w:ind w:left="140"/>
      </w:pPr>
      <w:r>
        <w:t>práci a dopravu (v rozsahu dle předpisu výrobce), dopravu na místo servisu a běžné čisticí prostředky.</w:t>
      </w:r>
    </w:p>
    <w:p w:rsidR="00FE37B8" w:rsidRDefault="001A4C87">
      <w:pPr>
        <w:pStyle w:val="Bodytext60"/>
        <w:shd w:val="clear" w:color="auto" w:fill="auto"/>
        <w:spacing w:before="0" w:after="43" w:line="130" w:lineRule="exact"/>
      </w:pPr>
      <w:r>
        <w:t>Cena nezahrnuje:</w:t>
      </w:r>
    </w:p>
    <w:p w:rsidR="00FE37B8" w:rsidRDefault="001A4C87">
      <w:pPr>
        <w:pStyle w:val="Bodytext70"/>
        <w:shd w:val="clear" w:color="auto" w:fill="auto"/>
        <w:spacing w:after="0" w:line="178" w:lineRule="exact"/>
        <w:ind w:left="140" w:right="3140"/>
        <w:jc w:val="left"/>
      </w:pPr>
      <w:r>
        <w:t xml:space="preserve">neuvedené spotřební díly, montážní materiál ani jiné </w:t>
      </w:r>
      <w:r>
        <w:t xml:space="preserve">výslovně neuvedené činnosti a práce event. dodávky. </w:t>
      </w:r>
      <w:proofErr w:type="gramStart"/>
      <w:r>
        <w:t>parkování</w:t>
      </w:r>
      <w:proofErr w:type="gramEnd"/>
      <w:r>
        <w:t xml:space="preserve"> (resp. placení parkovného) jednoho servisního vozidla.</w:t>
      </w:r>
    </w:p>
    <w:p w:rsidR="00FE37B8" w:rsidRDefault="001A4C87">
      <w:pPr>
        <w:pStyle w:val="Bodytext70"/>
        <w:shd w:val="clear" w:color="auto" w:fill="auto"/>
        <w:spacing w:after="0" w:line="178" w:lineRule="exact"/>
        <w:ind w:left="140"/>
      </w:pPr>
      <w:r>
        <w:t xml:space="preserve">zajištění přípojky vody pro vodní čištění strojem WAP, přivedení vody k zařízení a el. </w:t>
      </w:r>
      <w:proofErr w:type="gramStart"/>
      <w:r>
        <w:t>napájení</w:t>
      </w:r>
      <w:proofErr w:type="gramEnd"/>
      <w:r>
        <w:t xml:space="preserve"> čistícího stroje</w:t>
      </w:r>
    </w:p>
    <w:p w:rsidR="00FE37B8" w:rsidRDefault="001A4C87">
      <w:pPr>
        <w:pStyle w:val="Bodytext70"/>
        <w:shd w:val="clear" w:color="auto" w:fill="auto"/>
        <w:spacing w:after="0" w:line="178" w:lineRule="exact"/>
        <w:ind w:left="140"/>
      </w:pPr>
      <w:r>
        <w:t>zajištění montážní plošiny</w:t>
      </w:r>
      <w:r>
        <w:t xml:space="preserve"> pro provedení servisu zařízení instalovaných ve výšce vyšší než 1,5 m nebo na střeše, kde se předpokládají montážní lávky bezprostředně u servisovaných zařízení a z hlediska rizik BOZP proveditelné - toto garantuje objednatel.</w:t>
      </w:r>
    </w:p>
    <w:p w:rsidR="00FE37B8" w:rsidRDefault="001A4C87">
      <w:pPr>
        <w:pStyle w:val="Tablecaption0"/>
        <w:framePr w:w="9072" w:wrap="notBeside" w:vAnchor="text" w:hAnchor="text" w:xAlign="center" w:y="1"/>
        <w:shd w:val="clear" w:color="auto" w:fill="auto"/>
        <w:spacing w:line="130" w:lineRule="exact"/>
      </w:pPr>
      <w:r>
        <w:t>Servisní práce mimo plánovan</w:t>
      </w:r>
      <w:r>
        <w:t>ý pravidelný servis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3"/>
        <w:gridCol w:w="1829"/>
      </w:tblGrid>
      <w:tr w:rsidR="00FE37B8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</w:pPr>
            <w:r>
              <w:rPr>
                <w:rStyle w:val="Bodytext2Calibri6ptBold"/>
              </w:rPr>
              <w:t>Popis servisní / pracovní činnosti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</w:pPr>
            <w:r>
              <w:rPr>
                <w:rStyle w:val="Bodytext2Calibri6ptBold"/>
              </w:rPr>
              <w:t>Cena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Bodytext255pt"/>
              </w:rPr>
              <w:t>Servisní práce, provádění opravy - 1 technik, 1 hodina v běžnou pracovní dobu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Bodytext255pt"/>
              </w:rPr>
              <w:t>2 008 Kč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Bodytext255pt"/>
              </w:rPr>
              <w:t>Cestovní náklady - 1 technik - paušál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Bodytext255pt"/>
              </w:rPr>
              <w:t>2 905 Kč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Bodytext255pt"/>
              </w:rPr>
              <w:t>Založení Evidenční knihy zařízení - není-li na místě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Bodytext255pt"/>
              </w:rPr>
              <w:t>500 Kč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Bodytext255pt"/>
              </w:rPr>
              <w:t xml:space="preserve">Cena náhradních dílů a montážního materiálu </w:t>
            </w:r>
            <w:r>
              <w:rPr>
                <w:rStyle w:val="Bodytext255ptItalic"/>
              </w:rPr>
              <w:t>(účtováno v případě, že se na závadu či vadný díl nevztahuje záruka)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10" w:lineRule="exact"/>
              <w:ind w:left="160" w:firstLine="0"/>
            </w:pPr>
            <w:r>
              <w:rPr>
                <w:rStyle w:val="Bodytext255pt"/>
              </w:rPr>
              <w:t>dle ceníku ND a montážního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Bodytext255pt"/>
              </w:rPr>
              <w:t>Ceny uvedeny v Kč bez DPH</w:t>
            </w:r>
          </w:p>
        </w:tc>
      </w:tr>
    </w:tbl>
    <w:p w:rsidR="00FE37B8" w:rsidRDefault="00FE37B8">
      <w:pPr>
        <w:framePr w:w="9072" w:wrap="notBeside" w:vAnchor="text" w:hAnchor="text" w:xAlign="center" w:y="1"/>
        <w:rPr>
          <w:sz w:val="2"/>
          <w:szCs w:val="2"/>
        </w:rPr>
      </w:pPr>
    </w:p>
    <w:p w:rsidR="00FE37B8" w:rsidRDefault="00FE37B8">
      <w:pPr>
        <w:rPr>
          <w:sz w:val="2"/>
          <w:szCs w:val="2"/>
        </w:rPr>
      </w:pPr>
    </w:p>
    <w:p w:rsidR="00FE37B8" w:rsidRDefault="001A4C87">
      <w:pPr>
        <w:pStyle w:val="Tablecaption0"/>
        <w:framePr w:w="9072" w:wrap="notBeside" w:vAnchor="text" w:hAnchor="text" w:xAlign="center" w:y="1"/>
        <w:shd w:val="clear" w:color="auto" w:fill="auto"/>
        <w:spacing w:line="130" w:lineRule="exact"/>
      </w:pPr>
      <w:r>
        <w:t>Ceny marného výjezdu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3"/>
        <w:gridCol w:w="1829"/>
      </w:tblGrid>
      <w:tr w:rsidR="00FE37B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</w:pPr>
            <w:r>
              <w:rPr>
                <w:rStyle w:val="Bodytext2Calibri6ptBold"/>
              </w:rPr>
              <w:t>Popis servisní / pracovní činnosti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</w:pPr>
            <w:r>
              <w:rPr>
                <w:rStyle w:val="Bodytext2Calibri6ptBold"/>
              </w:rPr>
              <w:t>Cena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Bodytext255pt"/>
              </w:rPr>
              <w:t xml:space="preserve">Cena za jeden každý </w:t>
            </w:r>
            <w:r>
              <w:rPr>
                <w:rStyle w:val="Bodytext255pt"/>
              </w:rPr>
              <w:t>marný výjezd (jednorázový poplatek bez ohledu na čas a kilometry, jedná-li se o výjezd na pravidelný nebo zásahový servis a ten není možné provést z důvodů na straně objednatele, například není-li po dohodě zajištěn přístup k zařízení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Bodytext255pt"/>
              </w:rPr>
              <w:t>5 560 Kč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907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Bodytext255pt"/>
              </w:rPr>
              <w:t xml:space="preserve">Ceny </w:t>
            </w:r>
            <w:r>
              <w:rPr>
                <w:rStyle w:val="Bodytext255pt"/>
              </w:rPr>
              <w:t>uvedeny v Kč bez DPH</w:t>
            </w:r>
          </w:p>
        </w:tc>
      </w:tr>
    </w:tbl>
    <w:p w:rsidR="00FE37B8" w:rsidRDefault="00FE37B8">
      <w:pPr>
        <w:framePr w:w="9072" w:wrap="notBeside" w:vAnchor="text" w:hAnchor="text" w:xAlign="center" w:y="1"/>
        <w:rPr>
          <w:sz w:val="2"/>
          <w:szCs w:val="2"/>
        </w:rPr>
      </w:pPr>
    </w:p>
    <w:p w:rsidR="00FE37B8" w:rsidRDefault="00FE37B8">
      <w:pPr>
        <w:rPr>
          <w:sz w:val="2"/>
          <w:szCs w:val="2"/>
        </w:rPr>
      </w:pPr>
    </w:p>
    <w:p w:rsidR="00FE37B8" w:rsidRDefault="001A4C87">
      <w:pPr>
        <w:pStyle w:val="Bodytext80"/>
        <w:shd w:val="clear" w:color="auto" w:fill="auto"/>
        <w:spacing w:before="373" w:after="161"/>
        <w:ind w:right="260"/>
      </w:pPr>
      <w:r>
        <w:rPr>
          <w:rStyle w:val="Bodytext8NotItalic"/>
        </w:rPr>
        <w:t xml:space="preserve">* </w:t>
      </w:r>
      <w:r>
        <w:t xml:space="preserve">ostatní služby jako </w:t>
      </w:r>
      <w:r>
        <w:rPr>
          <w:rStyle w:val="Bodytext855ptSmallCaps"/>
          <w:i/>
          <w:iCs/>
        </w:rPr>
        <w:t xml:space="preserve">jsou </w:t>
      </w:r>
      <w:r>
        <w:t>výměny hydratačních vložek, olejové filtry, olej, chladící náplně a další spotřební díly a materiál, rozbor kvality vody, čištění atd. nejsou zahrnuty v Ceně Plánované údržby, a budou tak účtovány zvlášť v</w:t>
      </w:r>
      <w:r>
        <w:t xml:space="preserve"> režimu Reaktivního servisu. Výměna oleje a olejových filtrů probíhá v případě špatného výsledku analýzy oleje/testu kyselosti.</w:t>
      </w:r>
    </w:p>
    <w:p w:rsidR="00FE37B8" w:rsidRDefault="001A4C87">
      <w:pPr>
        <w:pStyle w:val="Bodytext80"/>
        <w:shd w:val="clear" w:color="auto" w:fill="auto"/>
        <w:spacing w:before="0" w:after="560" w:line="170" w:lineRule="exact"/>
      </w:pPr>
      <w:r>
        <w:rPr>
          <w:rStyle w:val="Bodytext8NotItalic"/>
        </w:rPr>
        <w:t xml:space="preserve">** </w:t>
      </w:r>
      <w:r>
        <w:t>Konkrétní termín provedení prohlídky v rámci daného období bude Stranami dohodnut alespoň patnáct (15) dní předem</w:t>
      </w:r>
    </w:p>
    <w:p w:rsidR="00FE37B8" w:rsidRDefault="001A4C87">
      <w:pPr>
        <w:pStyle w:val="Bodytext40"/>
        <w:shd w:val="clear" w:color="auto" w:fill="auto"/>
        <w:ind w:firstLine="0"/>
        <w:jc w:val="both"/>
        <w:sectPr w:rsidR="00FE37B8">
          <w:type w:val="continuous"/>
          <w:pgSz w:w="11900" w:h="16840"/>
          <w:pgMar w:top="1556" w:right="1387" w:bottom="2338" w:left="1397" w:header="0" w:footer="3" w:gutter="0"/>
          <w:cols w:space="720"/>
          <w:noEndnote/>
          <w:docGrid w:linePitch="360"/>
        </w:sectPr>
      </w:pPr>
      <w:r>
        <w:t>Dodavatel je oprávněn, nikoliv však povinen, automaticky upravovat po celou dobu účinnosti této Smlouvy Cenu Plánované údržby o částku, odpovídající kladnému procentu průměrné roční míry inflace, vyhlášené Českým statistickým úřade</w:t>
      </w:r>
      <w:r>
        <w:t>m za předchozí kalendářní rok, a to vždy nejdříve s účinností od prvního dne měsíce následujícího po měsíci, v němž bude takové vyhlášení oficiálně učiněno.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0"/>
        <w:gridCol w:w="850"/>
        <w:gridCol w:w="792"/>
      </w:tblGrid>
      <w:tr w:rsidR="00FE37B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Bodytext275ptBold"/>
              </w:rPr>
              <w:lastRenderedPageBreak/>
              <w:t>Rozpis servisních práci pro Pravidelnou údržbu dle Smlouvy: SERVISNÍ BALÍČEK STANDARD CARE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Italic"/>
              </w:rPr>
              <w:t>Popis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left="200" w:firstLine="0"/>
            </w:pPr>
            <w:r>
              <w:rPr>
                <w:rStyle w:val="Bodytext285ptItalic"/>
              </w:rPr>
              <w:t>JARO</w:t>
            </w:r>
            <w:r>
              <w:rPr>
                <w:rStyle w:val="Bodytext285pt"/>
              </w:rPr>
              <w:t>**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proofErr w:type="spellStart"/>
            <w:r>
              <w:rPr>
                <w:rStyle w:val="Bodytext285ptBoldItalic"/>
              </w:rPr>
              <w:t>PODUtjr</w:t>
            </w:r>
            <w:proofErr w:type="spellEnd"/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both"/>
            </w:pPr>
            <w:r>
              <w:rPr>
                <w:rStyle w:val="Bodytext275ptBold"/>
              </w:rPr>
              <w:t>Obecně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>Vizuální kontrola stavu všech částí a komponentů jednotky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</w:t>
            </w:r>
            <w:proofErr w:type="spellStart"/>
            <w:r>
              <w:rPr>
                <w:rStyle w:val="Bodytext285pt"/>
              </w:rPr>
              <w:t>necoškozenosti</w:t>
            </w:r>
            <w:proofErr w:type="spellEnd"/>
            <w:r>
              <w:rPr>
                <w:rStyle w:val="Bodytext285pt"/>
              </w:rPr>
              <w:t xml:space="preserve"> tepelné izolace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Očištěni a případně </w:t>
            </w:r>
            <w:proofErr w:type="spellStart"/>
            <w:r>
              <w:rPr>
                <w:rStyle w:val="Bodytext285pt"/>
              </w:rPr>
              <w:t>ořeíakování</w:t>
            </w:r>
            <w:proofErr w:type="spellEnd"/>
            <w:r>
              <w:rPr>
                <w:rStyle w:val="Bodytext285pt"/>
              </w:rPr>
              <w:t xml:space="preserve"> povrchu dílů zařízení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Zápis </w:t>
            </w:r>
            <w:proofErr w:type="spellStart"/>
            <w:r>
              <w:rPr>
                <w:rStyle w:val="Bodytext285pt"/>
              </w:rPr>
              <w:t>zuštěni</w:t>
            </w:r>
            <w:proofErr w:type="spellEnd"/>
            <w:r>
              <w:rPr>
                <w:rStyle w:val="Bodytext285pt"/>
              </w:rPr>
              <w:t>, hodnot a parametrů do záznamu o servisní prohlídce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0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both"/>
            </w:pPr>
            <w:r>
              <w:rPr>
                <w:rStyle w:val="Bodytext275ptBold"/>
              </w:rPr>
              <w:t>Řidiči jednotka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provozních parametrů ovladače a historie </w:t>
            </w:r>
            <w:proofErr w:type="spellStart"/>
            <w:r>
              <w:rPr>
                <w:rStyle w:val="Bodytext285pt"/>
              </w:rPr>
              <w:t>alarmovvch</w:t>
            </w:r>
            <w:proofErr w:type="spellEnd"/>
            <w:r>
              <w:rPr>
                <w:rStyle w:val="Bodytext285pt"/>
              </w:rPr>
              <w:t xml:space="preserve"> hlášeni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>Kontrola SW verze ovladače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>Aktualizace SW ovladače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0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nastaveni spínačů poruchových hlášení a </w:t>
            </w:r>
            <w:proofErr w:type="spellStart"/>
            <w:r>
              <w:rPr>
                <w:rStyle w:val="Bodytext285pt"/>
              </w:rPr>
              <w:t>oňoadně</w:t>
            </w:r>
            <w:proofErr w:type="spellEnd"/>
            <w:r>
              <w:rPr>
                <w:rStyle w:val="Bodytext285pt"/>
              </w:rPr>
              <w:t xml:space="preserve"> </w:t>
            </w:r>
            <w:proofErr w:type="spellStart"/>
            <w:r>
              <w:rPr>
                <w:rStyle w:val="Bodytext285pt"/>
              </w:rPr>
              <w:t>ořenastaveni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nastaveni </w:t>
            </w:r>
            <w:r>
              <w:rPr>
                <w:rStyle w:val="Bodytext285pt"/>
              </w:rPr>
              <w:t>parametrů a funkce ochrany před zamrznutím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both"/>
            </w:pPr>
            <w:r>
              <w:rPr>
                <w:rStyle w:val="Bodytext275ptBold"/>
              </w:rPr>
              <w:t>Elektrická část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Vizuální kontrola stavu komponent rozvaděče a řídicí </w:t>
            </w:r>
            <w:proofErr w:type="spellStart"/>
            <w:r>
              <w:rPr>
                <w:rStyle w:val="Bodytext285pt"/>
              </w:rPr>
              <w:t>iednotkv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a dotaženi elektrických </w:t>
            </w:r>
            <w:proofErr w:type="spellStart"/>
            <w:proofErr w:type="gramStart"/>
            <w:r>
              <w:rPr>
                <w:rStyle w:val="Bodytext285pt"/>
              </w:rPr>
              <w:t>soo;ů</w:t>
            </w:r>
            <w:proofErr w:type="spellEnd"/>
            <w:r>
              <w:rPr>
                <w:rStyle w:val="Bodytext285pt"/>
              </w:rPr>
              <w:t xml:space="preserve"> v rozvaděč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0"/>
              </w:rPr>
              <w:t xml:space="preserve">* </w:t>
            </w:r>
            <w:r>
              <w:rPr>
                <w:rStyle w:val="Bodytext285pt"/>
              </w:rPr>
              <w:t xml:space="preserve">Revize </w:t>
            </w:r>
            <w:r>
              <w:rPr>
                <w:rStyle w:val="Bodytext285pt1"/>
              </w:rPr>
              <w:t xml:space="preserve">/ </w:t>
            </w:r>
            <w:r>
              <w:rPr>
                <w:rStyle w:val="Bodytext285pt"/>
              </w:rPr>
              <w:t xml:space="preserve">výměna </w:t>
            </w:r>
            <w:proofErr w:type="spellStart"/>
            <w:r>
              <w:rPr>
                <w:rStyle w:val="Bodytext285pt"/>
              </w:rPr>
              <w:t>clvnotésných</w:t>
            </w:r>
            <w:proofErr w:type="spellEnd"/>
            <w:r>
              <w:rPr>
                <w:rStyle w:val="Bodytext285pt"/>
              </w:rPr>
              <w:t xml:space="preserve"> </w:t>
            </w:r>
            <w:proofErr w:type="spellStart"/>
            <w:r>
              <w:rPr>
                <w:rStyle w:val="Bodytext285pt"/>
              </w:rPr>
              <w:t>coiistných</w:t>
            </w:r>
            <w:proofErr w:type="spellEnd"/>
            <w:r>
              <w:rPr>
                <w:rStyle w:val="Bodytext285pt"/>
              </w:rPr>
              <w:t xml:space="preserve"> ventilů </w:t>
            </w:r>
            <w:proofErr w:type="spellStart"/>
            <w:r>
              <w:rPr>
                <w:rStyle w:val="Bodytext285pt"/>
              </w:rPr>
              <w:t>iedenkrát</w:t>
            </w:r>
            <w:proofErr w:type="spellEnd"/>
            <w:r>
              <w:rPr>
                <w:rStyle w:val="Bodytext285pt"/>
              </w:rPr>
              <w:t xml:space="preserve"> za 2 </w:t>
            </w:r>
            <w:proofErr w:type="spellStart"/>
            <w:r>
              <w:rPr>
                <w:rStyle w:val="Bodytext285pt"/>
              </w:rPr>
              <w:t>rokv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Bodytext2Candara5ptBold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Bodytext2Candara5ptBold"/>
              </w:rPr>
              <w:t>.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externího vedeni a komponent - čidla, </w:t>
            </w:r>
            <w:proofErr w:type="spellStart"/>
            <w:r>
              <w:rPr>
                <w:rStyle w:val="Bodytext285pt"/>
              </w:rPr>
              <w:t>flovrsensorr</w:t>
            </w:r>
            <w:proofErr w:type="spellEnd"/>
            <w:r>
              <w:rPr>
                <w:rStyle w:val="Bodytext285pt"/>
              </w:rPr>
              <w:t xml:space="preserve"> čerpadla.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parametrů elektrického </w:t>
            </w:r>
            <w:proofErr w:type="spellStart"/>
            <w:r>
              <w:rPr>
                <w:rStyle w:val="Bodytext285pt"/>
              </w:rPr>
              <w:t>naoáení</w:t>
            </w:r>
            <w:proofErr w:type="spellEnd"/>
            <w:r>
              <w:rPr>
                <w:rStyle w:val="Bodytext285pt"/>
              </w:rPr>
              <w:t xml:space="preserve"> - proud </w:t>
            </w:r>
            <w:proofErr w:type="spellStart"/>
            <w:proofErr w:type="gramStart"/>
            <w:r>
              <w:rPr>
                <w:rStyle w:val="Bodytext285pt"/>
              </w:rPr>
              <w:t>naoétí</w:t>
            </w:r>
            <w:proofErr w:type="spellEnd"/>
            <w:r>
              <w:rPr>
                <w:rStyle w:val="Bodytext285pt"/>
              </w:rPr>
              <w:t>...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>Vyčištěni elektrického rozvaděče od nečistot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both"/>
            </w:pPr>
            <w:proofErr w:type="spellStart"/>
            <w:r>
              <w:rPr>
                <w:rStyle w:val="Bodytext275ptBold"/>
              </w:rPr>
              <w:t>Výpamíková</w:t>
            </w:r>
            <w:proofErr w:type="spellEnd"/>
            <w:r>
              <w:rPr>
                <w:rStyle w:val="Bodytext275ptBold"/>
              </w:rPr>
              <w:t xml:space="preserve"> část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</w:t>
            </w:r>
            <w:proofErr w:type="spellStart"/>
            <w:r>
              <w:rPr>
                <w:rStyle w:val="Bodytext285pt"/>
              </w:rPr>
              <w:t>oňeoieni</w:t>
            </w:r>
            <w:proofErr w:type="spellEnd"/>
            <w:r>
              <w:rPr>
                <w:rStyle w:val="Bodytext285pt"/>
              </w:rPr>
              <w:t xml:space="preserve"> na vodní straně </w:t>
            </w:r>
            <w:proofErr w:type="spellStart"/>
            <w:r>
              <w:rPr>
                <w:rStyle w:val="Bodytext285pt"/>
              </w:rPr>
              <w:t>woarníku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elektrického ohřevu </w:t>
            </w:r>
            <w:proofErr w:type="spellStart"/>
            <w:r>
              <w:rPr>
                <w:rStyle w:val="Bodytext285pt"/>
              </w:rPr>
              <w:t>výpamiku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>Kontrola funkce průtokového spínače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0"/>
              </w:rPr>
              <w:t xml:space="preserve">* </w:t>
            </w:r>
            <w:r>
              <w:rPr>
                <w:rStyle w:val="Bodytext285pt"/>
              </w:rPr>
              <w:t>Rozbor kvalit/ vody v okruhu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Změření bodu tuhnuti nemrznoucí </w:t>
            </w:r>
            <w:proofErr w:type="spellStart"/>
            <w:r>
              <w:rPr>
                <w:rStyle w:val="Bodytext285pt"/>
              </w:rPr>
              <w:t>kaoalinv</w:t>
            </w:r>
            <w:proofErr w:type="spellEnd"/>
            <w:r>
              <w:rPr>
                <w:rStyle w:val="Bodytext285pt"/>
              </w:rPr>
              <w:t xml:space="preserve">. </w:t>
            </w:r>
            <w:proofErr w:type="spellStart"/>
            <w:r>
              <w:rPr>
                <w:rStyle w:val="Bodytext285pt"/>
              </w:rPr>
              <w:t>ie-li</w:t>
            </w:r>
            <w:proofErr w:type="spellEnd"/>
            <w:r>
              <w:rPr>
                <w:rStyle w:val="Bodytext285pt"/>
              </w:rPr>
              <w:t xml:space="preserve"> použita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both"/>
            </w:pPr>
            <w:r>
              <w:rPr>
                <w:rStyle w:val="Bodytext275ptBold0"/>
              </w:rPr>
              <w:t>Kompresor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Vizuální kontrola těsnosti bloku </w:t>
            </w:r>
            <w:proofErr w:type="spellStart"/>
            <w:r>
              <w:rPr>
                <w:rStyle w:val="Bodytext285pt"/>
              </w:rPr>
              <w:t>komoresoru</w:t>
            </w:r>
            <w:proofErr w:type="spellEnd"/>
            <w:r>
              <w:rPr>
                <w:rStyle w:val="Bodytext285pt"/>
              </w:rPr>
              <w:t xml:space="preserve"> pálených a </w:t>
            </w:r>
            <w:r>
              <w:rPr>
                <w:rStyle w:val="Bodytext285pt"/>
              </w:rPr>
              <w:t xml:space="preserve">šroubovaných </w:t>
            </w:r>
            <w:proofErr w:type="spellStart"/>
            <w:r>
              <w:rPr>
                <w:rStyle w:val="Bodytext285pt"/>
              </w:rPr>
              <w:t>sooiů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všech šroubových </w:t>
            </w:r>
            <w:proofErr w:type="spellStart"/>
            <w:r>
              <w:rPr>
                <w:rStyle w:val="Bodytext285pt"/>
              </w:rPr>
              <w:t>scoiů</w:t>
            </w:r>
            <w:proofErr w:type="spellEnd"/>
            <w:r>
              <w:rPr>
                <w:rStyle w:val="Bodytext285pt"/>
              </w:rPr>
              <w:t xml:space="preserve"> a ventilů, dotaženi pokud možno bez demontáže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a dotaženi elektrických </w:t>
            </w:r>
            <w:proofErr w:type="spellStart"/>
            <w:r>
              <w:rPr>
                <w:rStyle w:val="Bodytext285pt"/>
              </w:rPr>
              <w:t>sooiů</w:t>
            </w:r>
            <w:proofErr w:type="spellEnd"/>
            <w:r>
              <w:rPr>
                <w:rStyle w:val="Bodytext285pt"/>
              </w:rPr>
              <w:t xml:space="preserve"> na kompresorech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>Kontrola chodu vibraci a stavu kompresoru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>Kontrola elektrického ohřevu kompresoru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běhových časů </w:t>
            </w:r>
            <w:proofErr w:type="spellStart"/>
            <w:r>
              <w:rPr>
                <w:rStyle w:val="Bodytext285pt"/>
              </w:rPr>
              <w:t>komoresorů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proudových ochran a </w:t>
            </w:r>
            <w:proofErr w:type="spellStart"/>
            <w:r>
              <w:rPr>
                <w:rStyle w:val="Bodytext285pt"/>
              </w:rPr>
              <w:t>iištěni</w:t>
            </w:r>
            <w:proofErr w:type="spellEnd"/>
            <w:r>
              <w:rPr>
                <w:rStyle w:val="Bodytext285pt"/>
              </w:rPr>
              <w:t xml:space="preserve"> </w:t>
            </w:r>
            <w:proofErr w:type="spellStart"/>
            <w:r>
              <w:rPr>
                <w:rStyle w:val="Bodytext285pt"/>
              </w:rPr>
              <w:t>komoresoru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Měření odběru proudu v souvislost s výkonem </w:t>
            </w:r>
            <w:proofErr w:type="spellStart"/>
            <w:r>
              <w:rPr>
                <w:rStyle w:val="Bodytext285pt"/>
              </w:rPr>
              <w:t>komoresoru</w:t>
            </w:r>
            <w:proofErr w:type="spellEnd"/>
            <w:r>
              <w:rPr>
                <w:rStyle w:val="Bodytext285pt"/>
              </w:rPr>
              <w:t xml:space="preserve"> a tlaky v chladicím okruhu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Měření vinuti a </w:t>
            </w:r>
            <w:proofErr w:type="spellStart"/>
            <w:r>
              <w:rPr>
                <w:rStyle w:val="Bodytext285pt"/>
              </w:rPr>
              <w:t>onentační</w:t>
            </w:r>
            <w:proofErr w:type="spellEnd"/>
            <w:r>
              <w:rPr>
                <w:rStyle w:val="Bodytext285pt"/>
              </w:rPr>
              <w:t xml:space="preserve"> měřeni izolačního odporu na </w:t>
            </w:r>
            <w:proofErr w:type="spellStart"/>
            <w:r>
              <w:rPr>
                <w:rStyle w:val="Bodytext285pt"/>
              </w:rPr>
              <w:t>komoresoru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Kontrola </w:t>
            </w:r>
            <w:r>
              <w:rPr>
                <w:rStyle w:val="Bodytext285pt"/>
              </w:rPr>
              <w:t xml:space="preserve">úrovně </w:t>
            </w:r>
            <w:proofErr w:type="spellStart"/>
            <w:r>
              <w:rPr>
                <w:rStyle w:val="Bodytext285pt"/>
              </w:rPr>
              <w:t>oleiové</w:t>
            </w:r>
            <w:proofErr w:type="spellEnd"/>
            <w:r>
              <w:rPr>
                <w:rStyle w:val="Bodytext285pt"/>
              </w:rPr>
              <w:t xml:space="preserve"> náplně </w:t>
            </w:r>
            <w:proofErr w:type="spellStart"/>
            <w:r>
              <w:rPr>
                <w:rStyle w:val="Bodytext285pt"/>
              </w:rPr>
              <w:t>komoresoru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Test kyselosti </w:t>
            </w:r>
            <w:proofErr w:type="spellStart"/>
            <w:r>
              <w:rPr>
                <w:rStyle w:val="Bodytext285pt"/>
              </w:rPr>
              <w:t>olee</w:t>
            </w:r>
            <w:proofErr w:type="spellEnd"/>
            <w:r>
              <w:rPr>
                <w:rStyle w:val="Bodytext285pt"/>
              </w:rPr>
              <w:t xml:space="preserve"> kompresoru (3 ks)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6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tabs>
                <w:tab w:val="left" w:leader="underscore" w:pos="5390"/>
              </w:tabs>
              <w:spacing w:before="0" w:after="0" w:line="170" w:lineRule="exact"/>
              <w:ind w:firstLine="0"/>
              <w:jc w:val="both"/>
            </w:pPr>
            <w:r>
              <w:rPr>
                <w:rStyle w:val="Bodytext285pt"/>
              </w:rPr>
              <w:t xml:space="preserve">* Výměna </w:t>
            </w:r>
            <w:proofErr w:type="spellStart"/>
            <w:r>
              <w:rPr>
                <w:rStyle w:val="Bodytext285pt"/>
              </w:rPr>
              <w:t>oleie</w:t>
            </w:r>
            <w:proofErr w:type="spellEnd"/>
            <w:r>
              <w:rPr>
                <w:rStyle w:val="Bodytext285pt"/>
              </w:rPr>
              <w:t xml:space="preserve"> kompresoru</w:t>
            </w:r>
            <w:r>
              <w:rPr>
                <w:rStyle w:val="Bodytext285pt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Bodytext2Candara5ptBold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62" w:wrap="notBeside" w:vAnchor="text" w:hAnchor="text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Bodytext2Candara5ptBold"/>
              </w:rPr>
              <w:t>.</w:t>
            </w:r>
          </w:p>
        </w:tc>
      </w:tr>
    </w:tbl>
    <w:p w:rsidR="00FE37B8" w:rsidRDefault="00FE37B8">
      <w:pPr>
        <w:framePr w:w="7162" w:wrap="notBeside" w:vAnchor="text" w:hAnchor="text" w:y="1"/>
        <w:rPr>
          <w:sz w:val="2"/>
          <w:szCs w:val="2"/>
        </w:rPr>
      </w:pPr>
    </w:p>
    <w:p w:rsidR="00FE37B8" w:rsidRDefault="00FE37B8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0"/>
        <w:gridCol w:w="845"/>
        <w:gridCol w:w="797"/>
      </w:tblGrid>
      <w:tr w:rsidR="00FE37B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75ptBold"/>
              </w:rPr>
              <w:t>Chladivová část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 xml:space="preserve">Vizuální kontrola toku chladivá na </w:t>
            </w:r>
            <w:proofErr w:type="spellStart"/>
            <w:r>
              <w:rPr>
                <w:rStyle w:val="Bodytext285pt"/>
              </w:rPr>
              <w:t>crůhledítku</w:t>
            </w:r>
            <w:proofErr w:type="spellEnd"/>
            <w:r>
              <w:rPr>
                <w:rStyle w:val="Bodytext285pt"/>
              </w:rPr>
              <w:t xml:space="preserve">. </w:t>
            </w:r>
            <w:proofErr w:type="spellStart"/>
            <w:r>
              <w:rPr>
                <w:rStyle w:val="Bodytext285pt"/>
              </w:rPr>
              <w:t>ie-li</w:t>
            </w:r>
            <w:proofErr w:type="spellEnd"/>
            <w:r>
              <w:rPr>
                <w:rStyle w:val="Bodytext285pt"/>
              </w:rPr>
              <w:t xml:space="preserve"> osazeno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 xml:space="preserve">Kontrola a záznam tlaků a </w:t>
            </w:r>
            <w:proofErr w:type="spellStart"/>
            <w:r>
              <w:rPr>
                <w:rStyle w:val="Bodytext285pt"/>
              </w:rPr>
              <w:t>teolot</w:t>
            </w:r>
            <w:proofErr w:type="spellEnd"/>
            <w:r>
              <w:rPr>
                <w:rStyle w:val="Bodytext285pt"/>
              </w:rPr>
              <w:t xml:space="preserve"> chladivá oři provozu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>Kontrola funkce expanzního ventilu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 xml:space="preserve">Kontrola spínače </w:t>
            </w:r>
            <w:r>
              <w:rPr>
                <w:rStyle w:val="Bodytext285pt1"/>
              </w:rPr>
              <w:t xml:space="preserve">/ </w:t>
            </w:r>
            <w:r>
              <w:rPr>
                <w:rStyle w:val="Bodytext285pt"/>
              </w:rPr>
              <w:t xml:space="preserve">převodníku </w:t>
            </w:r>
            <w:proofErr w:type="spellStart"/>
            <w:r>
              <w:rPr>
                <w:rStyle w:val="Bodytext285pt"/>
              </w:rPr>
              <w:t>wsokého</w:t>
            </w:r>
            <w:proofErr w:type="spellEnd"/>
            <w:r>
              <w:rPr>
                <w:rStyle w:val="Bodytext285pt"/>
              </w:rPr>
              <w:t xml:space="preserve"> tlaku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 xml:space="preserve">Kontrola spínače </w:t>
            </w:r>
            <w:r>
              <w:rPr>
                <w:rStyle w:val="Bodytext285pt1"/>
              </w:rPr>
              <w:t xml:space="preserve">/ </w:t>
            </w:r>
            <w:r>
              <w:rPr>
                <w:rStyle w:val="Bodytext285pt"/>
              </w:rPr>
              <w:t>převodníku nízkého tlaku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 xml:space="preserve">Kontrola funkce </w:t>
            </w:r>
            <w:proofErr w:type="spellStart"/>
            <w:r>
              <w:rPr>
                <w:rStyle w:val="Bodytext285pt"/>
              </w:rPr>
              <w:t>sdenoidniho</w:t>
            </w:r>
            <w:proofErr w:type="spellEnd"/>
            <w:r>
              <w:rPr>
                <w:rStyle w:val="Bodytext285pt"/>
              </w:rPr>
              <w:t xml:space="preserve"> ventilu, </w:t>
            </w:r>
            <w:proofErr w:type="spellStart"/>
            <w:r>
              <w:rPr>
                <w:rStyle w:val="Bodytext285pt"/>
              </w:rPr>
              <w:t>ie-li</w:t>
            </w:r>
            <w:proofErr w:type="spellEnd"/>
            <w:r>
              <w:rPr>
                <w:rStyle w:val="Bodytext285pt"/>
              </w:rPr>
              <w:t xml:space="preserve"> instalován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 xml:space="preserve">Kontrola těsnost chladivového okruhu dle platné </w:t>
            </w:r>
            <w:proofErr w:type="spellStart"/>
            <w:r>
              <w:rPr>
                <w:rStyle w:val="Bodytext285pt"/>
              </w:rPr>
              <w:t>leoislatiw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 xml:space="preserve">Zápis do Evidenční knihy </w:t>
            </w:r>
            <w:proofErr w:type="spellStart"/>
            <w:r>
              <w:rPr>
                <w:rStyle w:val="Bodytext285pt"/>
              </w:rPr>
              <w:t>reaulovaných</w:t>
            </w:r>
            <w:proofErr w:type="spellEnd"/>
            <w:r>
              <w:rPr>
                <w:rStyle w:val="Bodytext285pt"/>
              </w:rPr>
              <w:t xml:space="preserve"> chladiv (50 - 5001 </w:t>
            </w:r>
            <w:proofErr w:type="spellStart"/>
            <w:r>
              <w:rPr>
                <w:rStyle w:val="Bodytext285pt"/>
              </w:rPr>
              <w:t>eq</w:t>
            </w:r>
            <w:proofErr w:type="spellEnd"/>
            <w:r>
              <w:rPr>
                <w:rStyle w:val="Bodytext285pt"/>
              </w:rPr>
              <w:t xml:space="preserve">. </w:t>
            </w:r>
            <w:proofErr w:type="spellStart"/>
            <w:r>
              <w:rPr>
                <w:rStyle w:val="Bodytext285pt"/>
              </w:rPr>
              <w:t>COj</w:t>
            </w:r>
            <w:proofErr w:type="spellEnd"/>
            <w:r>
              <w:rPr>
                <w:rStyle w:val="Bodytext285pt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75ptBold"/>
              </w:rPr>
              <w:t>Kondenzátorová část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 xml:space="preserve">Kontrola </w:t>
            </w:r>
            <w:proofErr w:type="spellStart"/>
            <w:r>
              <w:rPr>
                <w:rStyle w:val="Bodytext285pt"/>
              </w:rPr>
              <w:t>čistotv</w:t>
            </w:r>
            <w:proofErr w:type="spellEnd"/>
            <w:r>
              <w:rPr>
                <w:rStyle w:val="Bodytext285pt"/>
              </w:rPr>
              <w:t xml:space="preserve"> žeber výměníku </w:t>
            </w:r>
            <w:r>
              <w:rPr>
                <w:rStyle w:val="Bodytext285ptItalic0"/>
              </w:rPr>
              <w:t>1</w:t>
            </w:r>
            <w:r>
              <w:rPr>
                <w:rStyle w:val="Bodytext285pt1"/>
              </w:rPr>
              <w:t xml:space="preserve"> </w:t>
            </w:r>
            <w:r>
              <w:rPr>
                <w:rStyle w:val="Bodytext285pt"/>
              </w:rPr>
              <w:t>průchod vzduchu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 xml:space="preserve">Vizuální kontrola chodu a stavu </w:t>
            </w:r>
            <w:proofErr w:type="spellStart"/>
            <w:r>
              <w:rPr>
                <w:rStyle w:val="Bodytext285pt"/>
              </w:rPr>
              <w:t>ventlátorů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 xml:space="preserve">Kontrola volného otáčeni </w:t>
            </w:r>
            <w:proofErr w:type="spellStart"/>
            <w:r>
              <w:rPr>
                <w:rStyle w:val="Bodytext285pt"/>
              </w:rPr>
              <w:t>ventlátorů</w:t>
            </w:r>
            <w:proofErr w:type="spellEnd"/>
            <w:r>
              <w:rPr>
                <w:rStyle w:val="Bodytext285pt"/>
              </w:rPr>
              <w:t xml:space="preserve"> dotaženi šroubových </w:t>
            </w:r>
            <w:r>
              <w:rPr>
                <w:rStyle w:val="Bodytext285pt"/>
              </w:rPr>
              <w:t>spojů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Bodytext285pt"/>
              </w:rPr>
              <w:t xml:space="preserve">* Čištěni </w:t>
            </w:r>
            <w:proofErr w:type="spellStart"/>
            <w:r>
              <w:rPr>
                <w:rStyle w:val="Bodytext285pt"/>
              </w:rPr>
              <w:t>kondenzátorú</w:t>
            </w:r>
            <w:proofErr w:type="spellEnd"/>
            <w:r>
              <w:rPr>
                <w:rStyle w:val="Bodytext285pt"/>
              </w:rPr>
              <w:t xml:space="preserve"> - místně může být četnost dle provozních podmínek i </w:t>
            </w:r>
            <w:proofErr w:type="spellStart"/>
            <w:r>
              <w:rPr>
                <w:rStyle w:val="Bodytext285pt"/>
              </w:rPr>
              <w:t>častěiši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B8" w:rsidRDefault="001A4C87">
            <w:pPr>
              <w:pStyle w:val="Bodytext20"/>
              <w:framePr w:w="7152" w:wrap="notBeside" w:vAnchor="text" w:hAnchor="text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Bodytext285pt"/>
              </w:rPr>
              <w:t>X</w:t>
            </w:r>
          </w:p>
        </w:tc>
      </w:tr>
      <w:tr w:rsidR="00FE37B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B8" w:rsidRDefault="00FE37B8">
            <w:pPr>
              <w:framePr w:w="7152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FE37B8" w:rsidRDefault="00FE37B8">
      <w:pPr>
        <w:framePr w:w="7152" w:wrap="notBeside" w:vAnchor="text" w:hAnchor="text" w:y="1"/>
        <w:rPr>
          <w:sz w:val="2"/>
          <w:szCs w:val="2"/>
        </w:rPr>
      </w:pPr>
    </w:p>
    <w:p w:rsidR="00FE37B8" w:rsidRDefault="00FE37B8">
      <w:pPr>
        <w:rPr>
          <w:sz w:val="2"/>
          <w:szCs w:val="2"/>
        </w:rPr>
      </w:pPr>
    </w:p>
    <w:p w:rsidR="00FE37B8" w:rsidRDefault="00FE37B8">
      <w:pPr>
        <w:rPr>
          <w:sz w:val="2"/>
          <w:szCs w:val="2"/>
        </w:rPr>
        <w:sectPr w:rsidR="00FE37B8">
          <w:headerReference w:type="default" r:id="rId7"/>
          <w:pgSz w:w="11900" w:h="16840"/>
          <w:pgMar w:top="1556" w:right="1387" w:bottom="2338" w:left="1397" w:header="0" w:footer="3" w:gutter="0"/>
          <w:cols w:space="720"/>
          <w:noEndnote/>
          <w:docGrid w:linePitch="360"/>
        </w:sectPr>
      </w:pPr>
    </w:p>
    <w:p w:rsidR="00FE37B8" w:rsidRDefault="001A4C87">
      <w:pPr>
        <w:pStyle w:val="Bodytext90"/>
        <w:shd w:val="clear" w:color="auto" w:fill="auto"/>
        <w:spacing w:after="227" w:line="170" w:lineRule="exact"/>
        <w:ind w:left="460"/>
      </w:pPr>
      <w:r>
        <w:rPr>
          <w:rStyle w:val="Bodytext9Italic"/>
        </w:rPr>
        <w:lastRenderedPageBreak/>
        <w:t>Rozsah úkonů bude odpovídat konkrétnímu zařízení</w:t>
      </w:r>
      <w:r>
        <w:t xml:space="preserve"> RXYQ16U7Y1B, RXYQ8T7Y1B8, RXYSQ12TMY1B: Hlavní body</w:t>
      </w:r>
    </w:p>
    <w:p w:rsidR="00FE37B8" w:rsidRDefault="001A4C87">
      <w:pPr>
        <w:pStyle w:val="Bodytext100"/>
        <w:shd w:val="clear" w:color="auto" w:fill="auto"/>
        <w:spacing w:before="0" w:after="312" w:line="280" w:lineRule="exact"/>
        <w:ind w:left="460"/>
      </w:pPr>
      <w:r>
        <w:rPr>
          <w:rStyle w:val="Bodytext101"/>
          <w:b/>
          <w:bCs/>
        </w:rPr>
        <w:t>ROZSAH PROHLÍDKY KLIMATIZAČNÍCH SYSTÉMŮ DAIKIN</w:t>
      </w:r>
    </w:p>
    <w:p w:rsidR="00FE37B8" w:rsidRDefault="001A4C87">
      <w:pPr>
        <w:pStyle w:val="Bodytext110"/>
        <w:shd w:val="clear" w:color="auto" w:fill="000000"/>
        <w:spacing w:before="0" w:after="0" w:line="200" w:lineRule="exact"/>
        <w:ind w:left="460"/>
      </w:pPr>
      <w:r>
        <w:rPr>
          <w:rStyle w:val="Bodytext111"/>
          <w:b/>
          <w:bCs/>
        </w:rPr>
        <w:t>PROHLÍDKA VENKOVNÍCH JEDNOTEK</w:t>
      </w:r>
    </w:p>
    <w:p w:rsidR="00FE37B8" w:rsidRDefault="001A4C87">
      <w:pPr>
        <w:pStyle w:val="Bodytext120"/>
        <w:shd w:val="clear" w:color="auto" w:fill="auto"/>
        <w:spacing w:before="0"/>
        <w:ind w:right="1240" w:firstLine="0"/>
      </w:pPr>
      <w:r>
        <w:t xml:space="preserve">Diagnostika stavu, prohlídka jednotky Kontrola </w:t>
      </w:r>
      <w:r>
        <w:t>uložení kompresorů Kontrola zapojení silových přívodů a svorkovnic Kontrola zapojení konektorů řídících desek Kontrola připojení potrubí a uzavíracích ventilů Kontrola uložení a vibrací venkovní jednotky</w:t>
      </w:r>
    </w:p>
    <w:p w:rsidR="00FE37B8" w:rsidRDefault="001A4C87">
      <w:pPr>
        <w:pStyle w:val="Bodytext120"/>
        <w:shd w:val="clear" w:color="auto" w:fill="auto"/>
        <w:spacing w:before="0"/>
        <w:ind w:right="1240" w:firstLine="0"/>
      </w:pPr>
      <w:r>
        <w:t>Kontrola provozních parametrů pomocí diagnostiky, ko</w:t>
      </w:r>
      <w:r>
        <w:t xml:space="preserve">ntrola </w:t>
      </w:r>
      <w:proofErr w:type="spellStart"/>
      <w:r>
        <w:t>Service</w:t>
      </w:r>
      <w:proofErr w:type="spellEnd"/>
      <w:r>
        <w:t xml:space="preserve"> checker - za celý systém, během této diagnostiky bude manipulováno se nastavením teplot.</w:t>
      </w:r>
    </w:p>
    <w:p w:rsidR="00FE37B8" w:rsidRDefault="001A4C87">
      <w:pPr>
        <w:pStyle w:val="Bodytext110"/>
        <w:shd w:val="clear" w:color="auto" w:fill="000000"/>
        <w:spacing w:before="0" w:after="0" w:line="200" w:lineRule="exact"/>
        <w:ind w:left="460"/>
      </w:pPr>
      <w:r>
        <w:rPr>
          <w:rStyle w:val="Bodytext111"/>
          <w:b/>
          <w:bCs/>
        </w:rPr>
        <w:t>REVIZE TĚSNOSTI CHLADÍCÍHO OKRUHU ZAŘÍZENÍ CERTIFIKOVANÝM REVIZNÍM TECHNIKEM</w:t>
      </w:r>
    </w:p>
    <w:p w:rsidR="00FE37B8" w:rsidRDefault="001A4C87">
      <w:pPr>
        <w:pStyle w:val="Bodytext120"/>
        <w:shd w:val="clear" w:color="auto" w:fill="auto"/>
        <w:spacing w:before="0"/>
        <w:ind w:left="460"/>
      </w:pPr>
      <w:r>
        <w:t>Kontrola záznamů zařízení</w:t>
      </w:r>
    </w:p>
    <w:p w:rsidR="00FE37B8" w:rsidRDefault="001A4C87">
      <w:pPr>
        <w:pStyle w:val="Bodytext120"/>
        <w:shd w:val="clear" w:color="auto" w:fill="auto"/>
        <w:spacing w:before="0"/>
        <w:ind w:left="460"/>
      </w:pPr>
      <w:r>
        <w:t>Systematická kontrola chladícího okruhu - viditel</w:t>
      </w:r>
      <w:r>
        <w:t>né a dostupné trasy</w:t>
      </w:r>
    </w:p>
    <w:p w:rsidR="00FE37B8" w:rsidRDefault="001A4C87">
      <w:pPr>
        <w:pStyle w:val="Bodytext120"/>
        <w:shd w:val="clear" w:color="auto" w:fill="auto"/>
        <w:spacing w:before="0"/>
        <w:ind w:left="460"/>
      </w:pPr>
      <w:r>
        <w:t>Vylepení evidenčního štítku na zařízení</w:t>
      </w:r>
    </w:p>
    <w:p w:rsidR="00FE37B8" w:rsidRDefault="001A4C87">
      <w:pPr>
        <w:pStyle w:val="Bodytext120"/>
        <w:shd w:val="clear" w:color="auto" w:fill="auto"/>
        <w:spacing w:before="0" w:after="1471"/>
        <w:ind w:left="460"/>
      </w:pPr>
      <w:r>
        <w:t>Zpracování výsledků kontroly do evidenční knihy zařízení</w:t>
      </w:r>
    </w:p>
    <w:p w:rsidR="00FE37B8" w:rsidRDefault="001A4C87">
      <w:pPr>
        <w:pStyle w:val="Heading20"/>
        <w:keepNext/>
        <w:keepLines/>
        <w:shd w:val="clear" w:color="auto" w:fill="auto"/>
        <w:spacing w:before="0" w:after="178" w:line="220" w:lineRule="exact"/>
        <w:ind w:left="460" w:firstLine="0"/>
        <w:jc w:val="left"/>
      </w:pPr>
      <w:bookmarkStart w:id="4" w:name="bookmark4"/>
      <w:r>
        <w:t xml:space="preserve">II. </w:t>
      </w:r>
      <w:r>
        <w:rPr>
          <w:rStyle w:val="Heading21"/>
          <w:b/>
          <w:bCs/>
        </w:rPr>
        <w:t>SEKCE REAKTIVNÍ SERVIS</w:t>
      </w:r>
      <w:bookmarkEnd w:id="4"/>
    </w:p>
    <w:p w:rsidR="00FE37B8" w:rsidRDefault="001A4C87">
      <w:pPr>
        <w:pStyle w:val="Heading20"/>
        <w:keepNext/>
        <w:keepLines/>
        <w:shd w:val="clear" w:color="auto" w:fill="auto"/>
        <w:spacing w:before="0" w:after="151" w:line="220" w:lineRule="exact"/>
        <w:ind w:left="460"/>
        <w:jc w:val="left"/>
      </w:pPr>
      <w:bookmarkStart w:id="5" w:name="bookmark5"/>
      <w:r>
        <w:t>Reaktivní servis zahrnuje:</w:t>
      </w:r>
      <w:bookmarkEnd w:id="5"/>
    </w:p>
    <w:p w:rsidR="00FE37B8" w:rsidRDefault="001A4C87">
      <w:pPr>
        <w:pStyle w:val="Bodytext2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244"/>
        <w:ind w:left="460"/>
      </w:pPr>
      <w:r>
        <w:t>práce, dodávky a náklady spojené s Plánovanou údržbou, které nejsou uvedeny v této Př</w:t>
      </w:r>
      <w:r>
        <w:t xml:space="preserve">íloze B, sekci </w:t>
      </w:r>
      <w:r>
        <w:rPr>
          <w:rStyle w:val="Bodytext2Italic"/>
        </w:rPr>
        <w:t>„Plánovaná údržba",</w:t>
      </w:r>
    </w:p>
    <w:p w:rsidR="00FE37B8" w:rsidRDefault="001A4C87">
      <w:pPr>
        <w:pStyle w:val="Bodytext2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0" w:line="250" w:lineRule="exact"/>
        <w:ind w:left="460"/>
        <w:jc w:val="both"/>
      </w:pPr>
      <w:r>
        <w:t xml:space="preserve">práce, dodávky a náklady při odstraňování závad a/nebo poruch Zařízení, které nejsou přičitatelné Dodavateli, zejména pak, ale nikoliv pouze, odstraňování závad a/nebo poruch Zařízení, způsobených nevhodným a/nebo </w:t>
      </w:r>
      <w:r>
        <w:t>neodborným užíváním a/nebo zacházením se Zařízením, neodbornou manipulací se Zařízením, neautorizovanými servisními a/nebo jinými zásahy do Zařízení, porušením pokynů Dodavatele pro provoz a údržbu Zařízení (např. chybou obsluhy Zařízení, nedodržováním ser</w:t>
      </w:r>
      <w:r>
        <w:t>visních směrnic, nedodržováním provozních a/nebo technických podmínek stanovených pro Zařízení, nadměrným namáháním a/nebo nevhodnými provozními prostředky a/nebo nevhodnými výměnnými látkami neposkytnutými Dodavatelem, nedostatečnou běžnou údržbou Zařízen</w:t>
      </w:r>
      <w:r>
        <w:t>í neprováděnou Dodavatelem), vyšší mocí (např. blesk, povodeň), veškerými vnějšími vlivy obecně, běžným opotřebením opotřebitelných částí, včetně, zejména pak, nikoliv však výlučně filtrů, trysek hořáku, uhlíkových kartáčků motorů, spojek, elektrod, ochran</w:t>
      </w:r>
      <w:r>
        <w:t>ných anod, UV sond, roštů, oleje či jiného spotřebního Zařízení (je-li jimi Zařízení vybaveno), jakož i práce a dodávky jinak nekryté případnou zákonnou a/nebo smluvní odpovědností Dodavatele (je-li to případ Zařízení).</w:t>
      </w:r>
    </w:p>
    <w:p w:rsidR="00FE37B8" w:rsidRDefault="001A4C87">
      <w:pPr>
        <w:pStyle w:val="Bodytext2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0" w:line="250" w:lineRule="exact"/>
        <w:ind w:left="460"/>
        <w:jc w:val="both"/>
      </w:pPr>
      <w:r>
        <w:t>náhradu za promeškaný čas, nezaviněn</w:t>
      </w:r>
      <w:r>
        <w:t>ý Dodavatelem, včetně cestovného (marné výjezdy - jedná-li se o výjezd na Plánovanou údržbu nebo Reaktivní servis a ten není možné provést z důvodů na straně Zákazníka, například není-li po dohodě zajištěn přístup k Zařízení apod.).</w:t>
      </w:r>
    </w:p>
    <w:p w:rsidR="00FE37B8" w:rsidRDefault="001A4C87">
      <w:pPr>
        <w:pStyle w:val="Bodytext2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0" w:line="250" w:lineRule="exact"/>
        <w:ind w:left="460"/>
        <w:sectPr w:rsidR="00FE37B8">
          <w:headerReference w:type="default" r:id="rId8"/>
          <w:pgSz w:w="11900" w:h="16840"/>
          <w:pgMar w:top="1412" w:right="1454" w:bottom="1412" w:left="1392" w:header="0" w:footer="3" w:gutter="0"/>
          <w:cols w:space="720"/>
          <w:noEndnote/>
          <w:docGrid w:linePitch="360"/>
        </w:sectPr>
      </w:pPr>
      <w:r>
        <w:t>práce zapříčiněné nesplněním připravenosti ze strany Zákazníka, potažmo porušením jiných povinností Zákazníka, jak jsou tyto specifikovány v čl. 3.7 této Smlouvy.</w:t>
      </w:r>
    </w:p>
    <w:p w:rsidR="00FE37B8" w:rsidRDefault="001A4C87">
      <w:pPr>
        <w:pStyle w:val="Heading20"/>
        <w:keepNext/>
        <w:keepLines/>
        <w:shd w:val="clear" w:color="auto" w:fill="auto"/>
        <w:spacing w:before="0" w:line="250" w:lineRule="exact"/>
        <w:ind w:firstLine="0"/>
      </w:pPr>
      <w:bookmarkStart w:id="6" w:name="bookmark6"/>
      <w:r>
        <w:lastRenderedPageBreak/>
        <w:t>PŘÍLOHA C</w:t>
      </w:r>
      <w:bookmarkEnd w:id="6"/>
    </w:p>
    <w:p w:rsidR="00FE37B8" w:rsidRDefault="001A4C87">
      <w:pPr>
        <w:pStyle w:val="Bodytext50"/>
        <w:shd w:val="clear" w:color="auto" w:fill="auto"/>
        <w:spacing w:after="476" w:line="250" w:lineRule="exact"/>
      </w:pPr>
      <w:r>
        <w:t>Kontakty na servisní oddělení</w:t>
      </w:r>
      <w:r>
        <w:br/>
        <w:t>Pravidla pro poskytování Servisu a servisní hodiny</w:t>
      </w:r>
    </w:p>
    <w:p w:rsidR="00FE37B8" w:rsidRDefault="001A4C87">
      <w:pPr>
        <w:pStyle w:val="Bodytext20"/>
        <w:shd w:val="clear" w:color="auto" w:fill="auto"/>
        <w:spacing w:before="0" w:after="184"/>
        <w:ind w:firstLine="0"/>
        <w:jc w:val="both"/>
      </w:pPr>
      <w:r>
        <w:t>Z</w:t>
      </w:r>
      <w:r>
        <w:t xml:space="preserve">ákazník oznamuje Dodavateli své servisní požadavky na Servis výlučně v pracovních dnech v době od 8:00 hod do 16:30 hod, a to na telefonní číslo </w:t>
      </w:r>
      <w:r>
        <w:rPr>
          <w:rStyle w:val="Bodytext2Bold0"/>
        </w:rPr>
        <w:t xml:space="preserve">+ </w:t>
      </w:r>
      <w:proofErr w:type="spellStart"/>
      <w:r>
        <w:rPr>
          <w:rStyle w:val="Bodytext2Bold0"/>
        </w:rPr>
        <w:t>xxxxxxxxx</w:t>
      </w:r>
      <w:proofErr w:type="spellEnd"/>
      <w:r>
        <w:t>, přičemž všechny servisní požadavky budou vždy následně Zákazníkem okamžitě potvrzeny na e-ma</w:t>
      </w:r>
      <w:r>
        <w:t xml:space="preserve">il </w:t>
      </w:r>
      <w:proofErr w:type="spellStart"/>
      <w:r>
        <w:t>xxxxxxxxxxxxxxx</w:t>
      </w:r>
      <w:proofErr w:type="spellEnd"/>
    </w:p>
    <w:p w:rsidR="00FE37B8" w:rsidRDefault="001A4C87">
      <w:pPr>
        <w:pStyle w:val="Bodytext20"/>
        <w:shd w:val="clear" w:color="auto" w:fill="auto"/>
        <w:spacing w:before="0" w:after="176" w:line="250" w:lineRule="exact"/>
        <w:ind w:firstLine="0"/>
        <w:jc w:val="both"/>
      </w:pPr>
      <w:r>
        <w:t>Pracovními dny se pro účely této Smlouvy rozumí pondělí až pátek, s výjimkou státních svátků a ostatních svátků ve smyslu zákona č. 245/2000 Sb., o státních svátcích, o ostatních svátcích, o význ</w:t>
      </w:r>
      <w:r>
        <w:t>amných dnech a o dnech pracovního klidu, ve znění pozdějších předpisů, připadnou-li na pondělí až pátek.</w:t>
      </w:r>
    </w:p>
    <w:p w:rsidR="00FE37B8" w:rsidRDefault="001A4C87">
      <w:pPr>
        <w:pStyle w:val="Bodytext20"/>
        <w:shd w:val="clear" w:color="auto" w:fill="auto"/>
        <w:spacing w:before="0" w:after="508"/>
        <w:ind w:firstLine="0"/>
        <w:jc w:val="both"/>
      </w:pPr>
      <w:r>
        <w:t>Nedohodnou-li se Strany v konkrétním případě písemně a/nebo emailem jinak, bude Dodavatel Servis poskytovat pouze v pracovních dnech, a to v době od 8:</w:t>
      </w:r>
      <w:r>
        <w:t>00 hod do 16:30 hod.</w:t>
      </w:r>
    </w:p>
    <w:p w:rsidR="00FE37B8" w:rsidRDefault="001A4C87">
      <w:pPr>
        <w:pStyle w:val="Heading20"/>
        <w:keepNext/>
        <w:keepLines/>
        <w:shd w:val="clear" w:color="auto" w:fill="auto"/>
        <w:spacing w:before="0" w:after="214" w:line="220" w:lineRule="exact"/>
        <w:ind w:firstLine="0"/>
        <w:jc w:val="both"/>
      </w:pPr>
      <w:bookmarkStart w:id="7" w:name="bookmark7"/>
      <w:r>
        <w:t>Plánovaná údržba:</w:t>
      </w:r>
      <w:bookmarkEnd w:id="7"/>
    </w:p>
    <w:p w:rsidR="00FE37B8" w:rsidRDefault="001A4C87">
      <w:pPr>
        <w:pStyle w:val="Bodytext20"/>
        <w:shd w:val="clear" w:color="auto" w:fill="auto"/>
        <w:spacing w:before="0" w:after="204" w:line="250" w:lineRule="exact"/>
        <w:ind w:firstLine="0"/>
        <w:jc w:val="both"/>
      </w:pPr>
      <w:r>
        <w:t xml:space="preserve">Plánovanou údržbu provede Dodavatel v termínech a rozsahu uvedených v </w:t>
      </w:r>
      <w:r>
        <w:rPr>
          <w:rStyle w:val="Bodytext21"/>
        </w:rPr>
        <w:t>Příloze B,</w:t>
      </w:r>
      <w:r>
        <w:t xml:space="preserve"> sekci </w:t>
      </w:r>
      <w:r>
        <w:rPr>
          <w:rStyle w:val="Bodytext2Italic"/>
        </w:rPr>
        <w:t>“Plánovaná údržba"</w:t>
      </w:r>
      <w:r>
        <w:t xml:space="preserve"> (kde termíny z povahy věci připadají v úvahu).</w:t>
      </w:r>
    </w:p>
    <w:p w:rsidR="00FE37B8" w:rsidRDefault="001A4C87">
      <w:pPr>
        <w:pStyle w:val="Heading20"/>
        <w:keepNext/>
        <w:keepLines/>
        <w:shd w:val="clear" w:color="auto" w:fill="auto"/>
        <w:spacing w:before="0" w:after="214" w:line="220" w:lineRule="exact"/>
        <w:ind w:firstLine="0"/>
        <w:jc w:val="both"/>
      </w:pPr>
      <w:bookmarkStart w:id="8" w:name="bookmark8"/>
      <w:r>
        <w:t>Reaktivní servis:</w:t>
      </w:r>
      <w:bookmarkEnd w:id="8"/>
    </w:p>
    <w:p w:rsidR="00FE37B8" w:rsidRDefault="001A4C87">
      <w:pPr>
        <w:pStyle w:val="Bodytext20"/>
        <w:shd w:val="clear" w:color="auto" w:fill="auto"/>
        <w:spacing w:before="0" w:after="0" w:line="250" w:lineRule="exact"/>
        <w:ind w:firstLine="0"/>
        <w:jc w:val="both"/>
        <w:sectPr w:rsidR="00FE37B8">
          <w:pgSz w:w="11900" w:h="16840"/>
          <w:pgMar w:top="1589" w:right="1383" w:bottom="1589" w:left="1388" w:header="0" w:footer="3" w:gutter="0"/>
          <w:cols w:space="720"/>
          <w:noEndnote/>
          <w:docGrid w:linePitch="360"/>
        </w:sectPr>
      </w:pPr>
      <w:r>
        <w:t xml:space="preserve">Reaktivní Servis, </w:t>
      </w:r>
      <w:r>
        <w:t xml:space="preserve">zejména pak opravy Zařízení, provede Dodavatel v co nejkratším technicky možném čase, zejména s ohledem na dovoz originálních dílů přímo od výrobce, nejsou </w:t>
      </w:r>
      <w:proofErr w:type="spellStart"/>
      <w:r>
        <w:t>li</w:t>
      </w:r>
      <w:proofErr w:type="spellEnd"/>
      <w:r>
        <w:t xml:space="preserve"> na skladě Dodavatele k okamžitému použití.</w:t>
      </w:r>
    </w:p>
    <w:p w:rsidR="00FE37B8" w:rsidRDefault="001A4C87">
      <w:pPr>
        <w:pStyle w:val="Bodytext40"/>
        <w:shd w:val="clear" w:color="auto" w:fill="auto"/>
        <w:spacing w:after="111" w:line="220" w:lineRule="exact"/>
        <w:ind w:left="180" w:firstLine="0"/>
      </w:pPr>
      <w:r>
        <w:lastRenderedPageBreak/>
        <w:t>Veškerá ostatní ujednání Smlouvy zůstávají v platnosti</w:t>
      </w:r>
      <w:r>
        <w:t xml:space="preserve"> a nemění se.</w:t>
      </w:r>
    </w:p>
    <w:p w:rsidR="00FE37B8" w:rsidRDefault="001A4C87">
      <w:pPr>
        <w:pStyle w:val="Bodytext40"/>
        <w:shd w:val="clear" w:color="auto" w:fill="auto"/>
        <w:spacing w:after="1082" w:line="293" w:lineRule="exact"/>
        <w:ind w:left="180" w:right="660" w:firstLine="0"/>
      </w:pPr>
      <w:r>
        <w:t>Tento dodatek je uzavřen ve dvou vyhotoveních, kdy každá strana obdrží po jednom. Tento dodatek nabývá platnosti a účinnosti dnem podpisu oběma smluvními stranami.</w:t>
      </w:r>
    </w:p>
    <w:p w:rsidR="00FE37B8" w:rsidRDefault="00FE37B8">
      <w:pPr>
        <w:rPr>
          <w:sz w:val="2"/>
          <w:szCs w:val="2"/>
        </w:rPr>
      </w:pPr>
      <w:bookmarkStart w:id="9" w:name="_GoBack"/>
      <w:bookmarkEnd w:id="9"/>
    </w:p>
    <w:p w:rsidR="00FE37B8" w:rsidRDefault="00FE37B8">
      <w:pPr>
        <w:rPr>
          <w:sz w:val="2"/>
          <w:szCs w:val="2"/>
        </w:rPr>
      </w:pPr>
    </w:p>
    <w:sectPr w:rsidR="00FE37B8">
      <w:pgSz w:w="11900" w:h="16840"/>
      <w:pgMar w:top="2735" w:right="903" w:bottom="2735" w:left="12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4C87">
      <w:r>
        <w:separator/>
      </w:r>
    </w:p>
  </w:endnote>
  <w:endnote w:type="continuationSeparator" w:id="0">
    <w:p w:rsidR="00000000" w:rsidRDefault="001A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7B8" w:rsidRDefault="00FE37B8"/>
  </w:footnote>
  <w:footnote w:type="continuationSeparator" w:id="0">
    <w:p w:rsidR="00FE37B8" w:rsidRDefault="00FE37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7B8" w:rsidRDefault="001A4C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05pt;margin-top:72.5pt;width:284.15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37B8" w:rsidRDefault="001A4C8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Rozsah úkonů bude odpovídat konkrétnímu zařízení EWLD nebo EWAD, Hlavní body: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7B8" w:rsidRDefault="00FE37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242C3"/>
    <w:multiLevelType w:val="multilevel"/>
    <w:tmpl w:val="E3328C4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E37B8"/>
    <w:rsid w:val="001A4C87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F2F7305-C595-4198-B3F5-8A88632C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2">
    <w:name w:val="Heading #1 (2)_"/>
    <w:basedOn w:val="Standardnpsmoodstavce"/>
    <w:link w:val="Heading1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2">
    <w:name w:val="Body text (4)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Calibri">
    <w:name w:val="Body text (2) + Calibri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Calibri6ptBold">
    <w:name w:val="Body text (2) + Calibri;6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55pt">
    <w:name w:val="Body text (2) + 5;5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SmallCaps">
    <w:name w:val="Body text (5) + Small Caps"/>
    <w:basedOn w:val="Bodytext5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Calibri" w:eastAsia="Calibri" w:hAnsi="Calibri" w:cs="Calibri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Bodytext255ptItalic">
    <w:name w:val="Body text (2) + 5;5 pt;Italic"/>
    <w:basedOn w:val="Body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7"/>
      <w:szCs w:val="17"/>
      <w:u w:val="none"/>
    </w:rPr>
  </w:style>
  <w:style w:type="character" w:customStyle="1" w:styleId="Bodytext8NotItalic">
    <w:name w:val="Body text (8) + Not Italic"/>
    <w:basedOn w:val="Bodytext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55ptSmallCaps">
    <w:name w:val="Body text (8) + 5;5 pt;Small Caps"/>
    <w:basedOn w:val="Bodytext8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75ptBold">
    <w:name w:val="Body text (2) + 7;5 pt;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85ptItalic">
    <w:name w:val="Body text (2) + 8;5 pt;Italic"/>
    <w:basedOn w:val="Body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5pt">
    <w:name w:val="Body text (2) + 8;5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5ptBoldItalic">
    <w:name w:val="Body text (2) + 8;5 pt;Bold;Italic"/>
    <w:basedOn w:val="Body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5pt0">
    <w:name w:val="Body text (2) + 8;5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5pt1">
    <w:name w:val="Body text (2) + 8;5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Candara5ptBold">
    <w:name w:val="Body text (2) + Candara;5 pt;Bold"/>
    <w:basedOn w:val="Body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75ptBold0">
    <w:name w:val="Body text (2) + 7;5 pt;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5ptItalic0">
    <w:name w:val="Body text (2) + 8;5 pt;Italic"/>
    <w:basedOn w:val="Body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9Italic">
    <w:name w:val="Body text (9) + Italic"/>
    <w:basedOn w:val="Bodytext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1">
    <w:name w:val="Body text (10)"/>
    <w:basedOn w:val="Bodytext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1">
    <w:name w:val="Body text (11)"/>
    <w:basedOn w:val="Bodytext11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Italic">
    <w:name w:val="Body text (2) + Italic"/>
    <w:basedOn w:val="Body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1">
    <w:name w:val="Body text (2) + 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1">
    <w:name w:val="Body text (2)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CandaraBoldSpacing1pt">
    <w:name w:val="Body text (2) + Candara;Bold;Spacing 1 pt"/>
    <w:basedOn w:val="Body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CalibriItalic">
    <w:name w:val="Body text (2) + Calibri;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8ptBold">
    <w:name w:val="Body text (2) + 18 pt;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2Calibri20pt">
    <w:name w:val="Body text (2) + Calibri;20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2Candara10pt">
    <w:name w:val="Body text (2) + Candara;10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MicrosoftSansSerif55pt">
    <w:name w:val="Body text (2) + Microsoft Sans Serif;5;5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Calibri10pt">
    <w:name w:val="Body text (2) + Calibri;10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55ptSpacing1pt">
    <w:name w:val="Body text (2) + 5;5 pt;Spacing 1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Bodytext2Candara65pt">
    <w:name w:val="Body text (2) + Candara;6;5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Candara65ptItalicSpacing0ptScale200">
    <w:name w:val="Body text (2) + Candara;6;5 pt;Italic;Spacing 0 pt;Scale 200%"/>
    <w:basedOn w:val="Bodytext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0"/>
      <w:w w:val="200"/>
      <w:position w:val="0"/>
      <w:sz w:val="13"/>
      <w:szCs w:val="13"/>
      <w:u w:val="none"/>
      <w:lang w:val="cs-CZ" w:eastAsia="cs-CZ" w:bidi="cs-CZ"/>
    </w:rPr>
  </w:style>
  <w:style w:type="character" w:customStyle="1" w:styleId="Bodytext2Calibri13ptBold">
    <w:name w:val="Body text (2) + Calibri;13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40" w:after="420" w:line="538" w:lineRule="exact"/>
      <w:jc w:val="center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20" w:after="24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69" w:lineRule="exac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020" w:line="504" w:lineRule="exact"/>
      <w:ind w:hanging="460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after="240" w:line="254" w:lineRule="exact"/>
      <w:ind w:hanging="460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660" w:line="0" w:lineRule="atLeast"/>
      <w:jc w:val="both"/>
    </w:pPr>
    <w:rPr>
      <w:rFonts w:ascii="Calibri" w:eastAsia="Calibri" w:hAnsi="Calibri" w:cs="Calibri"/>
      <w:b/>
      <w:bCs/>
      <w:i/>
      <w:iCs/>
      <w:sz w:val="13"/>
      <w:szCs w:val="13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13"/>
      <w:szCs w:val="13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420" w:after="120" w:line="221" w:lineRule="exact"/>
      <w:jc w:val="both"/>
    </w:pPr>
    <w:rPr>
      <w:rFonts w:ascii="Arial Narrow" w:eastAsia="Arial Narrow" w:hAnsi="Arial Narrow" w:cs="Arial Narrow"/>
      <w:i/>
      <w:iCs/>
      <w:sz w:val="17"/>
      <w:szCs w:val="17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8"/>
      <w:szCs w:val="18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240" w:line="0" w:lineRule="atLeast"/>
      <w:ind w:hanging="460"/>
    </w:pPr>
    <w:rPr>
      <w:rFonts w:ascii="Arial Narrow" w:eastAsia="Arial Narrow" w:hAnsi="Arial Narrow" w:cs="Arial Narrow"/>
      <w:sz w:val="17"/>
      <w:szCs w:val="17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240" w:after="360" w:line="0" w:lineRule="atLeast"/>
      <w:ind w:hanging="46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360" w:after="60" w:line="0" w:lineRule="atLeast"/>
      <w:ind w:hanging="46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60" w:line="259" w:lineRule="exact"/>
      <w:ind w:hanging="46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1624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2026-06-26T06:13:00Z</dcterms:created>
  <dcterms:modified xsi:type="dcterms:W3CDTF">2026-06-26T06:15:00Z</dcterms:modified>
</cp:coreProperties>
</file>