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A514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4CC3B2F4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0AB50772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5DEB5ADB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>číslo</w:t>
      </w:r>
      <w:r w:rsidR="00B0616C">
        <w:rPr>
          <w:rFonts w:ascii="Arial" w:hAnsi="Arial" w:cs="Arial"/>
          <w:sz w:val="22"/>
          <w:szCs w:val="22"/>
        </w:rPr>
        <w:t xml:space="preserve"> 224</w:t>
      </w:r>
      <w:r w:rsidRPr="001567CA">
        <w:rPr>
          <w:rFonts w:ascii="Arial" w:hAnsi="Arial" w:cs="Arial"/>
          <w:sz w:val="22"/>
          <w:szCs w:val="22"/>
        </w:rPr>
        <w:t>/202</w:t>
      </w:r>
      <w:r w:rsidR="006B0145">
        <w:rPr>
          <w:rFonts w:ascii="Arial" w:hAnsi="Arial" w:cs="Arial"/>
          <w:sz w:val="22"/>
          <w:szCs w:val="22"/>
        </w:rPr>
        <w:t>6</w:t>
      </w:r>
    </w:p>
    <w:p w14:paraId="29097779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6B3936B8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0CF521E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3322C53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</w:t>
      </w:r>
      <w:r w:rsidR="006B0145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57F53D4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763BB1C3" w14:textId="77777777" w:rsidR="0052371F" w:rsidRPr="00431F50" w:rsidRDefault="00431F50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''''''''''''''''''''''''''' '''''''''''' ''''''''''''''''''''''''''' ''''''''''''''''''''''' '''''''''''''''''''''' ''''''''''''''' ''''''' '''' '''''''''''''''''''''''''''' ''''''''''''''''''' ''''''' ''''''''''''''''''' '''''''''''' '''''''''''' </w:t>
      </w:r>
    </w:p>
    <w:p w14:paraId="6B1F8D2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3477398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5CE6F5F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2375E8B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D6E210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04F5F43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AA7BB2C" w14:textId="77777777" w:rsidR="0032570F" w:rsidRPr="0032570F" w:rsidRDefault="00C31656" w:rsidP="0052371F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LOUTKY V NEMOCNICI</w:t>
      </w:r>
    </w:p>
    <w:p w14:paraId="3FC4803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 w:rsidR="00CC6734">
        <w:rPr>
          <w:rFonts w:ascii="Arial" w:hAnsi="Arial" w:cs="Arial"/>
          <w:sz w:val="22"/>
          <w:szCs w:val="22"/>
        </w:rPr>
        <w:t xml:space="preserve">Praha </w:t>
      </w:r>
      <w:r w:rsidR="0032570F">
        <w:rPr>
          <w:rFonts w:ascii="Arial" w:hAnsi="Arial" w:cs="Arial"/>
          <w:sz w:val="22"/>
          <w:szCs w:val="22"/>
        </w:rPr>
        <w:t>4</w:t>
      </w:r>
      <w:r w:rsidRPr="00C67995">
        <w:rPr>
          <w:rFonts w:ascii="Arial" w:hAnsi="Arial" w:cs="Arial"/>
          <w:sz w:val="22"/>
          <w:szCs w:val="22"/>
        </w:rPr>
        <w:t xml:space="preserve"> – </w:t>
      </w:r>
      <w:r w:rsidR="00C31656">
        <w:rPr>
          <w:rFonts w:ascii="Arial" w:hAnsi="Arial" w:cs="Arial"/>
          <w:sz w:val="22"/>
          <w:szCs w:val="22"/>
        </w:rPr>
        <w:t>Chodov</w:t>
      </w:r>
      <w:r w:rsidR="00AD27A7">
        <w:rPr>
          <w:rFonts w:ascii="Arial" w:hAnsi="Arial" w:cs="Arial"/>
          <w:sz w:val="22"/>
          <w:szCs w:val="22"/>
        </w:rPr>
        <w:t xml:space="preserve">, </w:t>
      </w:r>
      <w:r w:rsidR="00C31656">
        <w:rPr>
          <w:rFonts w:ascii="Arial" w:hAnsi="Arial" w:cs="Arial"/>
          <w:sz w:val="22"/>
          <w:szCs w:val="22"/>
        </w:rPr>
        <w:t>Klírova 1916/4</w:t>
      </w:r>
      <w:r w:rsidRPr="00C67995">
        <w:rPr>
          <w:rFonts w:ascii="Arial" w:hAnsi="Arial" w:cs="Arial"/>
          <w:sz w:val="22"/>
          <w:szCs w:val="22"/>
        </w:rPr>
        <w:t>,</w:t>
      </w:r>
      <w:r w:rsidR="00CC673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 w:rsidR="00CC6734">
        <w:rPr>
          <w:rFonts w:ascii="Arial" w:hAnsi="Arial" w:cs="Arial"/>
          <w:sz w:val="22"/>
          <w:szCs w:val="22"/>
        </w:rPr>
        <w:t>1</w:t>
      </w:r>
      <w:r w:rsidR="00AD27A7">
        <w:rPr>
          <w:rFonts w:ascii="Arial" w:hAnsi="Arial" w:cs="Arial"/>
          <w:sz w:val="22"/>
          <w:szCs w:val="22"/>
        </w:rPr>
        <w:t>4</w:t>
      </w:r>
      <w:r w:rsidR="00C31656">
        <w:rPr>
          <w:rFonts w:ascii="Arial" w:hAnsi="Arial" w:cs="Arial"/>
          <w:sz w:val="22"/>
          <w:szCs w:val="22"/>
        </w:rPr>
        <w:t>8 00</w:t>
      </w:r>
    </w:p>
    <w:p w14:paraId="7077BA22" w14:textId="77777777" w:rsidR="0052371F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 w:rsidR="00C31656">
        <w:rPr>
          <w:rFonts w:ascii="Arial" w:hAnsi="Arial" w:cs="Arial"/>
          <w:sz w:val="22"/>
          <w:szCs w:val="22"/>
        </w:rPr>
        <w:t>26997363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3C2CA9BB" w14:textId="77777777" w:rsidR="00995703" w:rsidRPr="00C67995" w:rsidRDefault="0099570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C31656">
        <w:rPr>
          <w:rFonts w:ascii="Arial" w:hAnsi="Arial" w:cs="Arial"/>
          <w:sz w:val="22"/>
          <w:szCs w:val="22"/>
        </w:rPr>
        <w:t>26997363</w:t>
      </w:r>
    </w:p>
    <w:p w14:paraId="18783CAF" w14:textId="77777777" w:rsidR="00CC6734" w:rsidRPr="00431F50" w:rsidRDefault="00431F50" w:rsidP="00CC6734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 ''''''''''''' ''''''''''''''''''''''' ''''''''''''''''''''''''''''''' '''''''''''''''''</w:t>
      </w:r>
    </w:p>
    <w:p w14:paraId="57BCBF91" w14:textId="77777777" w:rsidR="00CC6734" w:rsidRPr="00CC6734" w:rsidRDefault="0052371F" w:rsidP="00CC6734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bankovní spojení </w:t>
      </w:r>
      <w:r w:rsidR="003C414E">
        <w:rPr>
          <w:rFonts w:ascii="Arial" w:hAnsi="Arial" w:cs="Arial"/>
          <w:sz w:val="22"/>
          <w:szCs w:val="22"/>
        </w:rPr>
        <w:t>2148838001/5500</w:t>
      </w:r>
    </w:p>
    <w:p w14:paraId="7F0E0E24" w14:textId="77777777" w:rsidR="0052371F" w:rsidRPr="00C67995" w:rsidRDefault="002D5A8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</w:t>
      </w:r>
      <w:r w:rsidR="004B7B6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v</w:t>
      </w:r>
      <w:r w:rsidR="00E11BA1">
        <w:rPr>
          <w:rFonts w:ascii="Arial" w:hAnsi="Arial" w:cs="Arial"/>
          <w:sz w:val="22"/>
          <w:szCs w:val="22"/>
        </w:rPr>
        <w:t xml:space="preserve">e spolkovém </w:t>
      </w:r>
      <w:r>
        <w:rPr>
          <w:rFonts w:ascii="Arial" w:hAnsi="Arial" w:cs="Arial"/>
          <w:sz w:val="22"/>
          <w:szCs w:val="22"/>
        </w:rPr>
        <w:t xml:space="preserve">rejstříku vedeném Městským soudem v Praze, oddíl </w:t>
      </w:r>
      <w:r w:rsidR="00E11BA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, vložka </w:t>
      </w:r>
      <w:r w:rsidR="00E11BA1">
        <w:rPr>
          <w:rFonts w:ascii="Arial" w:hAnsi="Arial" w:cs="Arial"/>
          <w:sz w:val="22"/>
          <w:szCs w:val="22"/>
        </w:rPr>
        <w:t>1</w:t>
      </w:r>
      <w:r w:rsidR="00C31656">
        <w:rPr>
          <w:rFonts w:ascii="Arial" w:hAnsi="Arial" w:cs="Arial"/>
          <w:sz w:val="22"/>
          <w:szCs w:val="22"/>
        </w:rPr>
        <w:t>5687</w:t>
      </w:r>
      <w:r w:rsidR="0052371F" w:rsidRPr="00C67995">
        <w:rPr>
          <w:rFonts w:ascii="Arial" w:hAnsi="Arial" w:cs="Arial"/>
          <w:sz w:val="22"/>
          <w:szCs w:val="22"/>
        </w:rPr>
        <w:t xml:space="preserve"> </w:t>
      </w:r>
    </w:p>
    <w:p w14:paraId="59416D9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3E15427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50A4CE6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D8F8EE6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6769F7F3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675A22C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7F53604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6525E562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79DDC7B3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431F50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 '''''' '''''''''''''''' ''''''''''''' '''''''' ''''''''' ''''''''''''' ''''''''''''''''''''''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4C431BD5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58F935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30137B92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76784E27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005B1E44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42A4BFFD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456629F9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7B650E3E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6EE06A17" w14:textId="77777777" w:rsidR="00EA6CEA" w:rsidRPr="008276C2" w:rsidRDefault="00EA6CEA" w:rsidP="008276C2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276C2">
        <w:rPr>
          <w:rFonts w:ascii="Arial" w:hAnsi="Arial" w:cs="Arial"/>
          <w:sz w:val="22"/>
          <w:szCs w:val="22"/>
        </w:rPr>
        <w:t>Vzhledem k tomu, že dar je poskytován na účely vymezené v § 20 odst. 8 zákona č.</w:t>
      </w:r>
      <w:r w:rsidR="00440CC6">
        <w:rPr>
          <w:rFonts w:ascii="Arial" w:hAnsi="Arial" w:cs="Arial"/>
          <w:sz w:val="22"/>
          <w:szCs w:val="22"/>
        </w:rPr>
        <w:t> </w:t>
      </w:r>
      <w:r w:rsidRPr="008276C2">
        <w:rPr>
          <w:rFonts w:ascii="Arial" w:hAnsi="Arial" w:cs="Arial"/>
          <w:sz w:val="22"/>
          <w:szCs w:val="22"/>
        </w:rPr>
        <w:t>586/1992</w:t>
      </w:r>
      <w:r w:rsidR="00440CC6">
        <w:rPr>
          <w:rFonts w:ascii="Arial" w:hAnsi="Arial" w:cs="Arial"/>
          <w:sz w:val="22"/>
          <w:szCs w:val="22"/>
        </w:rPr>
        <w:t> </w:t>
      </w:r>
      <w:r w:rsidRPr="008276C2">
        <w:rPr>
          <w:rFonts w:ascii="Arial" w:hAnsi="Arial" w:cs="Arial"/>
          <w:sz w:val="22"/>
          <w:szCs w:val="22"/>
        </w:rPr>
        <w:t xml:space="preserve">Sb., o daních z příjmů, ve znění pozdějších předpisů (dále jen „ZDP“), zavazuje se obdarovaný poskytnout dárci potvrzení o přijetí daru splňující veškeré náležitosti podle ZDP. </w:t>
      </w:r>
    </w:p>
    <w:p w14:paraId="3252E114" w14:textId="77777777" w:rsidR="00EA6CEA" w:rsidRPr="008276C2" w:rsidRDefault="00EA6CEA" w:rsidP="008276C2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276C2">
        <w:rPr>
          <w:rFonts w:ascii="Arial" w:hAnsi="Arial" w:cs="Arial"/>
          <w:sz w:val="22"/>
          <w:szCs w:val="22"/>
        </w:rPr>
        <w:t>Potvrzení musí obsahovat zejména: identifikaci dárce a obdarovaného, hodnotu daru, účel, na který byl dar poskytnut, a datum jeho přijetí. Obdarovaný toto potvrzení zašle dárci na</w:t>
      </w:r>
      <w:r w:rsidR="00440CC6">
        <w:rPr>
          <w:rFonts w:ascii="Arial" w:hAnsi="Arial" w:cs="Arial"/>
          <w:sz w:val="22"/>
          <w:szCs w:val="22"/>
        </w:rPr>
        <w:t xml:space="preserve"> </w:t>
      </w:r>
      <w:r w:rsidR="00431F50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 ''''''''''''''''' '''''''''''''''''''''''''''''''''''''''''''''''''''''''''''</w:t>
      </w:r>
      <w:r w:rsidRPr="008276C2">
        <w:rPr>
          <w:rFonts w:ascii="Arial" w:hAnsi="Arial" w:cs="Arial"/>
          <w:sz w:val="22"/>
          <w:szCs w:val="22"/>
        </w:rPr>
        <w:t>, a to nejpozději do 15 dní od přijetí daru.</w:t>
      </w:r>
    </w:p>
    <w:p w14:paraId="30918552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59B47873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7B7DAF90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1FC514B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6B84515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463F34F5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01DF7E4A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75FC83D8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735AE0B1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006AD460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D6213E9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56A28B7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34CE2872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63F25A1B" w14:textId="77777777" w:rsidR="006B0145" w:rsidRPr="006B0145" w:rsidRDefault="006B0145" w:rsidP="006B014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63779C97" w14:textId="77777777" w:rsidR="006F343C" w:rsidRDefault="0052371F" w:rsidP="0052032C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0B4DE3">
        <w:rPr>
          <w:rFonts w:ascii="Arial" w:hAnsi="Arial" w:cs="Arial"/>
          <w:sz w:val="22"/>
          <w:szCs w:val="22"/>
        </w:rPr>
        <w:t xml:space="preserve">Smluvní strany této Smlouvy </w:t>
      </w:r>
      <w:r w:rsidR="000B4DE3" w:rsidRPr="005A03F5">
        <w:rPr>
          <w:rFonts w:ascii="Arial" w:hAnsi="Arial" w:cs="Arial"/>
          <w:sz w:val="22"/>
          <w:szCs w:val="22"/>
        </w:rPr>
        <w:t xml:space="preserve">po jejím přečtení prohlašují, </w:t>
      </w:r>
      <w:r w:rsidR="000B4DE3" w:rsidRPr="00C67995">
        <w:rPr>
          <w:rFonts w:ascii="Arial" w:hAnsi="Arial" w:cs="Arial"/>
          <w:sz w:val="22"/>
          <w:szCs w:val="22"/>
        </w:rPr>
        <w:t xml:space="preserve">že byla sepsána podle jejich pravé a svobodné vůle na základě pravdivých údajů, nikoliv v tísni či za nápadně nevýhodných podmínek. Na důkaz toho připojují své </w:t>
      </w:r>
      <w:r w:rsidR="000B4DE3">
        <w:rPr>
          <w:rFonts w:ascii="Arial" w:hAnsi="Arial" w:cs="Arial"/>
          <w:sz w:val="22"/>
          <w:szCs w:val="22"/>
        </w:rPr>
        <w:t>kvalifikované elektronické podpisy v souladu s nařízením EU č. 910/2014 o elektronické identifikaci a službách vytvářejících důvěru pro elektronické transakce na vnitřním trhu</w:t>
      </w:r>
      <w:r w:rsidR="006F343C">
        <w:rPr>
          <w:rFonts w:ascii="Arial" w:hAnsi="Arial" w:cs="Arial"/>
          <w:sz w:val="22"/>
          <w:szCs w:val="22"/>
        </w:rPr>
        <w:t xml:space="preserve"> (e-IDAS</w:t>
      </w:r>
      <w:r w:rsidR="00944006">
        <w:rPr>
          <w:rFonts w:ascii="Arial" w:hAnsi="Arial" w:cs="Arial"/>
          <w:sz w:val="22"/>
          <w:szCs w:val="22"/>
        </w:rPr>
        <w:t>).</w:t>
      </w:r>
    </w:p>
    <w:p w14:paraId="7EBF4470" w14:textId="77777777" w:rsidR="006B0145" w:rsidRPr="000B4DE3" w:rsidRDefault="006B0145" w:rsidP="006F343C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0B4DE3">
        <w:rPr>
          <w:rFonts w:ascii="Arial" w:hAnsi="Arial" w:cs="Arial"/>
          <w:sz w:val="22"/>
          <w:szCs w:val="22"/>
        </w:rPr>
        <w:t>Přílohy: Příloha č. 1 – Protikorupční klauzule.</w:t>
      </w:r>
    </w:p>
    <w:p w14:paraId="0AB178FF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557B8F4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00354D7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7E8EB6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D9B91DA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343752AF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496BE49B" w14:textId="77777777" w:rsidR="00EF1ED8" w:rsidRPr="00431F50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4B2DF0C4" w14:textId="77777777" w:rsidR="0052371F" w:rsidRPr="00431F50" w:rsidRDefault="00431F50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'''''''''''''''''''' '''''''''''''''''''''''''''''' '''''''''''''''''''</w:t>
      </w:r>
    </w:p>
    <w:p w14:paraId="3C7A5C9B" w14:textId="77777777" w:rsidR="0052371F" w:rsidRPr="00431F50" w:rsidRDefault="00431F50" w:rsidP="0052371F">
      <w:pPr>
        <w:ind w:left="-284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 '''''''''''''''''' ''''''' ''' '''''''''''''''''''''''''' '''''''''''''''                      ''''''''''''''''''''''''''''' '''''''''''''''''</w:t>
      </w:r>
    </w:p>
    <w:p w14:paraId="3D3F7223" w14:textId="77777777" w:rsidR="00C215B9" w:rsidRPr="00431F50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460A7BA9" w14:textId="77777777" w:rsidR="00AD27A7" w:rsidRDefault="00AD27A7" w:rsidP="0052371F">
      <w:pPr>
        <w:ind w:left="-284"/>
        <w:rPr>
          <w:rFonts w:ascii="Arial" w:hAnsi="Arial" w:cs="Arial"/>
          <w:sz w:val="22"/>
          <w:szCs w:val="22"/>
        </w:rPr>
      </w:pPr>
    </w:p>
    <w:p w14:paraId="1B36DF29" w14:textId="77777777" w:rsidR="003E5492" w:rsidRDefault="003E5492" w:rsidP="006B0145">
      <w:pPr>
        <w:jc w:val="center"/>
        <w:rPr>
          <w:rFonts w:ascii="Arial" w:hAnsi="Arial" w:cs="Arial"/>
          <w:b/>
          <w:sz w:val="22"/>
          <w:szCs w:val="22"/>
        </w:rPr>
      </w:pPr>
    </w:p>
    <w:p w14:paraId="231BD66D" w14:textId="77777777" w:rsidR="003E5492" w:rsidRDefault="003E5492" w:rsidP="006B0145">
      <w:pPr>
        <w:jc w:val="center"/>
        <w:rPr>
          <w:rFonts w:ascii="Arial" w:hAnsi="Arial" w:cs="Arial"/>
          <w:b/>
          <w:sz w:val="22"/>
          <w:szCs w:val="22"/>
        </w:rPr>
      </w:pPr>
    </w:p>
    <w:p w14:paraId="7DFDE5B7" w14:textId="77777777" w:rsidR="003E5492" w:rsidRDefault="003E5492" w:rsidP="006B0145">
      <w:pPr>
        <w:jc w:val="center"/>
        <w:rPr>
          <w:rFonts w:ascii="Arial" w:hAnsi="Arial" w:cs="Arial"/>
          <w:b/>
          <w:sz w:val="22"/>
          <w:szCs w:val="22"/>
        </w:rPr>
      </w:pPr>
    </w:p>
    <w:p w14:paraId="1062A0AF" w14:textId="77777777" w:rsidR="00650823" w:rsidRDefault="00650823" w:rsidP="006B0145">
      <w:pPr>
        <w:jc w:val="center"/>
        <w:rPr>
          <w:rFonts w:ascii="Arial" w:hAnsi="Arial" w:cs="Arial"/>
          <w:b/>
          <w:sz w:val="22"/>
          <w:szCs w:val="22"/>
        </w:rPr>
      </w:pPr>
    </w:p>
    <w:p w14:paraId="32BB0F26" w14:textId="77777777" w:rsidR="00650823" w:rsidRDefault="00650823" w:rsidP="006B0145">
      <w:pPr>
        <w:jc w:val="center"/>
        <w:rPr>
          <w:rFonts w:ascii="Arial" w:hAnsi="Arial" w:cs="Arial"/>
          <w:b/>
          <w:sz w:val="22"/>
          <w:szCs w:val="22"/>
        </w:rPr>
      </w:pPr>
    </w:p>
    <w:p w14:paraId="4D40F9C6" w14:textId="77777777" w:rsidR="006B0145" w:rsidRPr="00AB0885" w:rsidRDefault="006B0145" w:rsidP="006B01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AB0885">
        <w:rPr>
          <w:rFonts w:ascii="Arial" w:hAnsi="Arial" w:cs="Arial"/>
          <w:b/>
          <w:sz w:val="22"/>
          <w:szCs w:val="22"/>
        </w:rPr>
        <w:t>říloha č. 1</w:t>
      </w:r>
    </w:p>
    <w:p w14:paraId="50BAFA05" w14:textId="77777777" w:rsidR="006B0145" w:rsidRPr="00AB0885" w:rsidRDefault="006B0145" w:rsidP="006B014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30166A88" w14:textId="77777777" w:rsidR="006B0145" w:rsidRPr="00AB0885" w:rsidRDefault="006B0145" w:rsidP="006B014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6701BFA4" w14:textId="77777777" w:rsidR="006B0145" w:rsidRPr="00AB0885" w:rsidRDefault="006B0145" w:rsidP="006B014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se zavazuje při plnění této smlouvy postupovat vždy v souladu se zákonem, čestně a transparentně. </w:t>
      </w:r>
    </w:p>
    <w:p w14:paraId="4921E76B" w14:textId="77777777" w:rsidR="006B0145" w:rsidRPr="00AB088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se zavazuje, že nebude ani u svých obchodních partnerů tolerovat jakoukoliv formu korupce či uplácení. </w:t>
      </w:r>
      <w:bookmarkEnd w:id="0"/>
    </w:p>
    <w:p w14:paraId="34B7E2D7" w14:textId="77777777" w:rsidR="006B0145" w:rsidRPr="00AB088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povinen tuto skutečnost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0D862C53" w14:textId="77777777" w:rsidR="006B0145" w:rsidRPr="00AB088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Obdarovaný </w:t>
      </w:r>
      <w:r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6F5F13F0" w14:textId="77777777" w:rsidR="006B0145" w:rsidRPr="00AB088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důvodné podezření ohledně možného jednání, které je v rozporu s</w:t>
      </w:r>
      <w:r>
        <w:rPr>
          <w:rFonts w:ascii="Arial" w:hAnsi="Arial" w:cs="Arial"/>
          <w:sz w:val="22"/>
          <w:szCs w:val="22"/>
        </w:rPr>
        <w:t xml:space="preserve"> touto Protikorupční klauzulí </w:t>
      </w:r>
      <w:r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2D8CC956" w14:textId="77777777" w:rsidR="006B0145" w:rsidRPr="00AB088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>
        <w:rPr>
          <w:rFonts w:ascii="Arial" w:hAnsi="Arial" w:cs="Arial"/>
          <w:sz w:val="22"/>
          <w:szCs w:val="22"/>
        </w:rPr>
        <w:t>obdarovaného</w:t>
      </w:r>
      <w:r w:rsidRPr="00AB088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a KPP, kromě těch vazeb, na které </w:t>
      </w:r>
      <w:r>
        <w:rPr>
          <w:rFonts w:ascii="Arial" w:hAnsi="Arial" w:cs="Arial"/>
          <w:sz w:val="22"/>
          <w:szCs w:val="22"/>
        </w:rPr>
        <w:t>obdarovaný dárce</w:t>
      </w:r>
      <w:r w:rsidRPr="00AB0885">
        <w:rPr>
          <w:rFonts w:ascii="Arial" w:hAnsi="Arial" w:cs="Arial"/>
          <w:sz w:val="22"/>
          <w:szCs w:val="22"/>
        </w:rPr>
        <w:t xml:space="preserve"> výslovně písemně upozornil před uzavřením této smlouvy. </w:t>
      </w: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jakékoli další takové vazby, které vznikly po uzavření této smlouvy.</w:t>
      </w:r>
    </w:p>
    <w:p w14:paraId="0D14B87E" w14:textId="77777777" w:rsidR="006B0145" w:rsidRPr="00A11650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s účinky k okamžiku doručení odstoupení (i) v případě, poruší-li </w:t>
      </w: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jakoukoli svou povinnost podle článku </w:t>
      </w:r>
      <w:r>
        <w:rPr>
          <w:rFonts w:ascii="Arial" w:hAnsi="Arial" w:cs="Arial"/>
          <w:sz w:val="22"/>
          <w:szCs w:val="22"/>
        </w:rPr>
        <w:t>2)</w:t>
      </w:r>
      <w:r w:rsidRPr="00AB0885">
        <w:rPr>
          <w:rFonts w:ascii="Arial" w:hAnsi="Arial" w:cs="Arial"/>
          <w:sz w:val="22"/>
          <w:szCs w:val="22"/>
        </w:rPr>
        <w:t xml:space="preserve"> výše nebo (ii) nastane-li skutečnost podle článku </w:t>
      </w:r>
      <w:r>
        <w:rPr>
          <w:rFonts w:ascii="Arial" w:hAnsi="Arial" w:cs="Arial"/>
          <w:sz w:val="22"/>
          <w:szCs w:val="22"/>
        </w:rPr>
        <w:t>3)</w:t>
      </w:r>
      <w:r w:rsidRPr="00AB0885">
        <w:rPr>
          <w:rFonts w:ascii="Arial" w:hAnsi="Arial" w:cs="Arial"/>
          <w:sz w:val="22"/>
          <w:szCs w:val="22"/>
        </w:rPr>
        <w:t xml:space="preserve"> výše. Odstoupí-li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od této smlouvy, nemá </w:t>
      </w: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právo na jakékoli plnění související s odstoupením od smlouvy ze strany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>.</w:t>
      </w:r>
    </w:p>
    <w:p w14:paraId="6EF681DA" w14:textId="77777777" w:rsidR="006B0145" w:rsidRPr="00383E65" w:rsidRDefault="006B0145" w:rsidP="006B014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01E07E5D" w14:textId="77777777" w:rsidR="006B0145" w:rsidRPr="00A11650" w:rsidRDefault="006B0145" w:rsidP="006B0145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1C5C5422" w14:textId="77777777" w:rsidR="006B0145" w:rsidRPr="00AB0885" w:rsidRDefault="006B0145" w:rsidP="006B0145">
      <w:pPr>
        <w:rPr>
          <w:sz w:val="22"/>
          <w:szCs w:val="22"/>
        </w:rPr>
      </w:pPr>
    </w:p>
    <w:p w14:paraId="1D14657D" w14:textId="77777777" w:rsidR="006B0145" w:rsidRPr="00AB0885" w:rsidRDefault="006B0145" w:rsidP="006B014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32861B51" w14:textId="77777777" w:rsidR="006B0145" w:rsidRPr="00AB0885" w:rsidRDefault="006B0145" w:rsidP="006B0145">
      <w:pPr>
        <w:ind w:left="-284"/>
        <w:rPr>
          <w:rFonts w:ascii="Arial" w:hAnsi="Arial" w:cs="Arial"/>
          <w:sz w:val="24"/>
          <w:szCs w:val="24"/>
        </w:rPr>
      </w:pPr>
    </w:p>
    <w:p w14:paraId="5DD2C106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sectPr w:rsidR="00EF1ED8" w:rsidSect="006508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4D8E" w14:textId="77777777" w:rsidR="00460411" w:rsidRDefault="00460411" w:rsidP="00C67995">
      <w:r>
        <w:separator/>
      </w:r>
    </w:p>
  </w:endnote>
  <w:endnote w:type="continuationSeparator" w:id="0">
    <w:p w14:paraId="6FF60D50" w14:textId="77777777" w:rsidR="00460411" w:rsidRDefault="00460411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2882" w14:textId="77777777" w:rsidR="00431F50" w:rsidRDefault="00431F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598106"/>
      <w:docPartObj>
        <w:docPartGallery w:val="Page Numbers (Bottom of Page)"/>
        <w:docPartUnique/>
      </w:docPartObj>
    </w:sdtPr>
    <w:sdtContent>
      <w:p w14:paraId="2151562D" w14:textId="77777777" w:rsidR="00650823" w:rsidRDefault="006508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3CF98" w14:textId="77777777" w:rsidR="00650823" w:rsidRDefault="006508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7369" w14:textId="77777777" w:rsidR="00431F50" w:rsidRDefault="00431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44AD" w14:textId="77777777" w:rsidR="00460411" w:rsidRDefault="00460411" w:rsidP="00C67995">
      <w:r>
        <w:separator/>
      </w:r>
    </w:p>
  </w:footnote>
  <w:footnote w:type="continuationSeparator" w:id="0">
    <w:p w14:paraId="451F7A3E" w14:textId="77777777" w:rsidR="00460411" w:rsidRDefault="00460411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65B2" w14:textId="77777777" w:rsidR="00431F50" w:rsidRDefault="00431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81ED" w14:textId="77777777" w:rsidR="00431F50" w:rsidRDefault="00431F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C22F" w14:textId="77777777" w:rsidR="00431F50" w:rsidRDefault="00431F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711FA"/>
    <w:rsid w:val="000B4DE3"/>
    <w:rsid w:val="000D2E1A"/>
    <w:rsid w:val="000E2EE4"/>
    <w:rsid w:val="000F412B"/>
    <w:rsid w:val="00152AB7"/>
    <w:rsid w:val="001567CA"/>
    <w:rsid w:val="0019638E"/>
    <w:rsid w:val="00197F1D"/>
    <w:rsid w:val="001A2775"/>
    <w:rsid w:val="001E4679"/>
    <w:rsid w:val="001F00F8"/>
    <w:rsid w:val="002167B0"/>
    <w:rsid w:val="00247CC9"/>
    <w:rsid w:val="00255616"/>
    <w:rsid w:val="002B6F83"/>
    <w:rsid w:val="002D5A83"/>
    <w:rsid w:val="00302CD1"/>
    <w:rsid w:val="0031048A"/>
    <w:rsid w:val="003129FA"/>
    <w:rsid w:val="003225B4"/>
    <w:rsid w:val="0032570F"/>
    <w:rsid w:val="0035686A"/>
    <w:rsid w:val="003C414E"/>
    <w:rsid w:val="003E5492"/>
    <w:rsid w:val="00427FA9"/>
    <w:rsid w:val="00431F50"/>
    <w:rsid w:val="00440CC6"/>
    <w:rsid w:val="00460411"/>
    <w:rsid w:val="00484BA2"/>
    <w:rsid w:val="004A38DA"/>
    <w:rsid w:val="004B5DDB"/>
    <w:rsid w:val="004B7B68"/>
    <w:rsid w:val="004D6D8D"/>
    <w:rsid w:val="004D7244"/>
    <w:rsid w:val="004D773F"/>
    <w:rsid w:val="004E487D"/>
    <w:rsid w:val="0052371F"/>
    <w:rsid w:val="00560403"/>
    <w:rsid w:val="00590941"/>
    <w:rsid w:val="00592DAE"/>
    <w:rsid w:val="005B340B"/>
    <w:rsid w:val="005C49B0"/>
    <w:rsid w:val="005E56F3"/>
    <w:rsid w:val="00602E8D"/>
    <w:rsid w:val="00636165"/>
    <w:rsid w:val="00650823"/>
    <w:rsid w:val="006550F2"/>
    <w:rsid w:val="00677D15"/>
    <w:rsid w:val="0069259A"/>
    <w:rsid w:val="006A4A60"/>
    <w:rsid w:val="006A5BC4"/>
    <w:rsid w:val="006B0145"/>
    <w:rsid w:val="006C7456"/>
    <w:rsid w:val="006E438E"/>
    <w:rsid w:val="006F0F3E"/>
    <w:rsid w:val="006F343C"/>
    <w:rsid w:val="00740436"/>
    <w:rsid w:val="00795574"/>
    <w:rsid w:val="00795A49"/>
    <w:rsid w:val="007A7743"/>
    <w:rsid w:val="007B4A67"/>
    <w:rsid w:val="007C055E"/>
    <w:rsid w:val="007D37BB"/>
    <w:rsid w:val="0081551D"/>
    <w:rsid w:val="008276C2"/>
    <w:rsid w:val="00870CC1"/>
    <w:rsid w:val="00897C13"/>
    <w:rsid w:val="008A69DE"/>
    <w:rsid w:val="008D2143"/>
    <w:rsid w:val="00940E4F"/>
    <w:rsid w:val="00944006"/>
    <w:rsid w:val="009519DB"/>
    <w:rsid w:val="00955D09"/>
    <w:rsid w:val="00995703"/>
    <w:rsid w:val="009C1FBE"/>
    <w:rsid w:val="00A03570"/>
    <w:rsid w:val="00A15307"/>
    <w:rsid w:val="00A23CC4"/>
    <w:rsid w:val="00A3503E"/>
    <w:rsid w:val="00A877B7"/>
    <w:rsid w:val="00AD27A7"/>
    <w:rsid w:val="00AE21AF"/>
    <w:rsid w:val="00AF7FEE"/>
    <w:rsid w:val="00B0616C"/>
    <w:rsid w:val="00B26093"/>
    <w:rsid w:val="00B3337F"/>
    <w:rsid w:val="00B379AA"/>
    <w:rsid w:val="00B52A79"/>
    <w:rsid w:val="00B75250"/>
    <w:rsid w:val="00B8152C"/>
    <w:rsid w:val="00B97ACB"/>
    <w:rsid w:val="00BC0370"/>
    <w:rsid w:val="00BC3CC2"/>
    <w:rsid w:val="00BD2A71"/>
    <w:rsid w:val="00BF1A5E"/>
    <w:rsid w:val="00C215B9"/>
    <w:rsid w:val="00C31656"/>
    <w:rsid w:val="00C508A4"/>
    <w:rsid w:val="00C67995"/>
    <w:rsid w:val="00C740EE"/>
    <w:rsid w:val="00C9168C"/>
    <w:rsid w:val="00C92CA1"/>
    <w:rsid w:val="00CA17F4"/>
    <w:rsid w:val="00CA5CBC"/>
    <w:rsid w:val="00CC6734"/>
    <w:rsid w:val="00CE5540"/>
    <w:rsid w:val="00D51760"/>
    <w:rsid w:val="00DA43E3"/>
    <w:rsid w:val="00DC30FE"/>
    <w:rsid w:val="00E030FB"/>
    <w:rsid w:val="00E11BA1"/>
    <w:rsid w:val="00E1507B"/>
    <w:rsid w:val="00EA3B79"/>
    <w:rsid w:val="00EA6CEA"/>
    <w:rsid w:val="00EC6B4F"/>
    <w:rsid w:val="00EF1ED8"/>
    <w:rsid w:val="00F153CA"/>
    <w:rsid w:val="00F339BC"/>
    <w:rsid w:val="00F34248"/>
    <w:rsid w:val="00F51A43"/>
    <w:rsid w:val="00FA15B3"/>
    <w:rsid w:val="00FB6906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0CAB8"/>
  <w15:chartTrackingRefBased/>
  <w15:docId w15:val="{53C63035-1B69-4D83-B620-21E2321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B014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B01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6B014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6B014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6B014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6B014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508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A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3dd05b427a43d7b1cd3c8acae380e349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605b7ddb61ca62d872b34763abc35d4c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Procházková Dana</DisplayName>
        <AccountId>50</AccountId>
        <AccountType/>
      </UserInfo>
      <UserInfo>
        <DisplayName>Klementová Alice</DisplayName>
        <AccountId>32</AccountId>
        <AccountType/>
      </UserInfo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Erlichová Jana</DisplayName>
        <AccountId>64</AccountId>
        <AccountType/>
      </UserInfo>
      <UserInfo>
        <DisplayName>Hendrychová Radka</DisplayName>
        <AccountId>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D730F5-B4D4-4E0E-A25D-121F70723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BCA9A-0146-4F52-B677-21297108F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84520-2355-4424-B4C9-E1BF8B53F0AA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cp:lastPrinted>2025-02-17T10:13:00Z</cp:lastPrinted>
  <dcterms:created xsi:type="dcterms:W3CDTF">2026-06-25T11:56:00Z</dcterms:created>
  <dcterms:modified xsi:type="dcterms:W3CDTF">2026-06-25T11:57:00Z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4831d-b834-41b2-ba24-5c959452386e_Enabled">
    <vt:lpwstr>true</vt:lpwstr>
  </property>
  <property fmtid="{D5CDD505-2E9C-101B-9397-08002B2CF9AE}" pid="3" name="MSIP_Label_05b4831d-b834-41b2-ba24-5c959452386e_SetDate">
    <vt:lpwstr>2024-03-06T09:17:11Z</vt:lpwstr>
  </property>
  <property fmtid="{D5CDD505-2E9C-101B-9397-08002B2CF9AE}" pid="4" name="MSIP_Label_05b4831d-b834-41b2-ba24-5c959452386e_Method">
    <vt:lpwstr>Privileged</vt:lpwstr>
  </property>
  <property fmtid="{D5CDD505-2E9C-101B-9397-08002B2CF9AE}" pid="5" name="MSIP_Label_05b4831d-b834-41b2-ba24-5c959452386e_Name">
    <vt:lpwstr>Verejne informace</vt:lpwstr>
  </property>
  <property fmtid="{D5CDD505-2E9C-101B-9397-08002B2CF9AE}" pid="6" name="MSIP_Label_05b4831d-b834-41b2-ba24-5c959452386e_SiteId">
    <vt:lpwstr>5cdffe46-631e-482d-9990-1d2119b3418b</vt:lpwstr>
  </property>
  <property fmtid="{D5CDD505-2E9C-101B-9397-08002B2CF9AE}" pid="7" name="MSIP_Label_05b4831d-b834-41b2-ba24-5c959452386e_ActionId">
    <vt:lpwstr>d5283940-a33a-4eed-ad1d-8c6c7e1c6b2d</vt:lpwstr>
  </property>
  <property fmtid="{D5CDD505-2E9C-101B-9397-08002B2CF9AE}" pid="8" name="MSIP_Label_05b4831d-b834-41b2-ba24-5c959452386e_ContentBits">
    <vt:lpwstr>0</vt:lpwstr>
  </property>
  <property fmtid="{D5CDD505-2E9C-101B-9397-08002B2CF9AE}" pid="9" name="ContentTypeId">
    <vt:lpwstr>0x0101009E40301AF2150D4DAA235254C0BC58D2</vt:lpwstr>
  </property>
  <property fmtid="{D5CDD505-2E9C-101B-9397-08002B2CF9AE}" pid="10" name="MediaServiceImageTags">
    <vt:lpwstr/>
  </property>
</Properties>
</file>