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9EE34C" w14:textId="77777777" w:rsidR="00EC1C40" w:rsidRDefault="00EC1C40">
      <w:pPr>
        <w:spacing w:line="1" w:lineRule="exact"/>
      </w:pPr>
    </w:p>
    <w:p w14:paraId="5C82889D" w14:textId="77777777" w:rsidR="00EC1C40" w:rsidRDefault="00000000">
      <w:pPr>
        <w:pStyle w:val="Zkladntext20"/>
        <w:framePr w:w="10186" w:h="566" w:hRule="exact" w:wrap="none" w:vAnchor="page" w:hAnchor="page" w:x="1321" w:y="3975"/>
        <w:pBdr>
          <w:bottom w:val="single" w:sz="4" w:space="0" w:color="auto"/>
        </w:pBdr>
        <w:spacing w:after="0"/>
      </w:pPr>
      <w:r>
        <w:t>Plánovací smlouva</w:t>
      </w:r>
    </w:p>
    <w:p w14:paraId="16BFDD1C" w14:textId="77777777" w:rsidR="00EC1C40" w:rsidRDefault="00000000">
      <w:pPr>
        <w:pStyle w:val="Zkladntext1"/>
        <w:framePr w:w="10186" w:h="1997" w:hRule="exact" w:wrap="none" w:vAnchor="page" w:hAnchor="page" w:x="1321" w:y="4887"/>
        <w:jc w:val="center"/>
      </w:pPr>
      <w:r>
        <w:t>mezi:</w:t>
      </w:r>
    </w:p>
    <w:p w14:paraId="59922821" w14:textId="77777777" w:rsidR="00EC1C40" w:rsidRDefault="00000000">
      <w:pPr>
        <w:pStyle w:val="Zkladntext20"/>
        <w:framePr w:w="10186" w:h="1997" w:hRule="exact" w:wrap="none" w:vAnchor="page" w:hAnchor="page" w:x="1321" w:y="4887"/>
        <w:ind w:left="2100"/>
        <w:jc w:val="left"/>
      </w:pPr>
      <w:r>
        <w:t>Statutární město Pardubice</w:t>
      </w:r>
    </w:p>
    <w:p w14:paraId="571A533A" w14:textId="77777777" w:rsidR="00EC1C40" w:rsidRDefault="00000000">
      <w:pPr>
        <w:pStyle w:val="Zkladntext1"/>
        <w:framePr w:w="10186" w:h="1997" w:hRule="exact" w:wrap="none" w:vAnchor="page" w:hAnchor="page" w:x="1321" w:y="4887"/>
        <w:spacing w:after="160"/>
        <w:jc w:val="center"/>
      </w:pPr>
      <w:r>
        <w:t>a</w:t>
      </w:r>
    </w:p>
    <w:p w14:paraId="27F7BEB9" w14:textId="77777777" w:rsidR="00EC1C40" w:rsidRDefault="00000000">
      <w:pPr>
        <w:pStyle w:val="Zkladntext20"/>
        <w:framePr w:w="10186" w:h="1997" w:hRule="exact" w:wrap="none" w:vAnchor="page" w:hAnchor="page" w:x="1321" w:y="4887"/>
        <w:spacing w:after="0"/>
      </w:pPr>
      <w:r>
        <w:t>MHAP s.r.o.</w:t>
      </w:r>
    </w:p>
    <w:p w14:paraId="665C9333"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0887FD1F" w14:textId="77777777" w:rsidR="00EC1C40" w:rsidRDefault="00000000">
      <w:pPr>
        <w:spacing w:line="1" w:lineRule="exact"/>
      </w:pPr>
      <w:r>
        <w:rPr>
          <w:noProof/>
        </w:rPr>
        <w:lastRenderedPageBreak/>
        <mc:AlternateContent>
          <mc:Choice Requires="wps">
            <w:drawing>
              <wp:anchor distT="0" distB="0" distL="114300" distR="114300" simplePos="0" relativeHeight="251584000" behindDoc="1" locked="0" layoutInCell="1" allowOverlap="1" wp14:anchorId="78F844AD" wp14:editId="676FA1CC">
                <wp:simplePos x="0" y="0"/>
                <wp:positionH relativeFrom="page">
                  <wp:posOffset>879475</wp:posOffset>
                </wp:positionH>
                <wp:positionV relativeFrom="page">
                  <wp:posOffset>932180</wp:posOffset>
                </wp:positionV>
                <wp:extent cx="5702935" cy="0"/>
                <wp:effectExtent l="0" t="0" r="0" b="0"/>
                <wp:wrapNone/>
                <wp:docPr id="1" name="Shape 1"/>
                <wp:cNvGraphicFramePr/>
                <a:graphic xmlns:a="http://schemas.openxmlformats.org/drawingml/2006/main">
                  <a:graphicData uri="http://schemas.microsoft.com/office/word/2010/wordprocessingShape">
                    <wps:wsp>
                      <wps:cNvCnPr/>
                      <wps:spPr>
                        <a:xfrm>
                          <a:off x="0" y="0"/>
                          <a:ext cx="5702935" cy="0"/>
                        </a:xfrm>
                        <a:prstGeom prst="straightConnector1">
                          <a:avLst/>
                        </a:prstGeom>
                        <a:ln w="6350">
                          <a:solidFill/>
                        </a:ln>
                      </wps:spPr>
                      <wps:bodyPr/>
                    </wps:wsp>
                  </a:graphicData>
                </a:graphic>
              </wp:anchor>
            </w:drawing>
          </mc:Choice>
          <mc:Fallback>
            <w:pict>
              <v:shape o:spt="32" o:oned="true" path="m,l21600,21600e" style="position:absolute;margin-left:69.25pt;margin-top:73.400000000000006pt;width:449.05000000000001pt;height:0;z-index:-251658240;mso-position-horizontal-relative:page;mso-position-vertical-relative:page">
                <v:stroke weight="0.5pt"/>
              </v:shape>
            </w:pict>
          </mc:Fallback>
        </mc:AlternateContent>
      </w:r>
    </w:p>
    <w:p w14:paraId="64064FD2" w14:textId="77777777" w:rsidR="00EC1C40" w:rsidRDefault="00000000">
      <w:pPr>
        <w:pStyle w:val="Zhlavnebozpat0"/>
        <w:framePr w:wrap="none" w:vAnchor="page" w:hAnchor="page" w:x="5192" w:y="1186"/>
      </w:pPr>
      <w:r>
        <w:t>Plánovací smlouva</w:t>
      </w:r>
    </w:p>
    <w:p w14:paraId="61312904" w14:textId="77777777" w:rsidR="00EC1C40" w:rsidRDefault="00000000">
      <w:pPr>
        <w:pStyle w:val="Zkladntext1"/>
        <w:framePr w:w="10186" w:h="13512" w:hRule="exact" w:wrap="none" w:vAnchor="page" w:hAnchor="page" w:x="1213" w:y="1940"/>
        <w:spacing w:after="120"/>
      </w:pPr>
      <w:r>
        <w:rPr>
          <w:b/>
          <w:bCs/>
        </w:rPr>
        <w:t>Níže uvedené smluvní strany uzavírají podle § 130 a násl. zákona č. 283/2021 Sb., stavební zákon, ve znění pozdějších předpisů (dále jen „Stavební zákon“) tuto plánovací smlouvu (dále jen „Smlouva“):</w:t>
      </w:r>
    </w:p>
    <w:p w14:paraId="35FF76B7" w14:textId="77777777" w:rsidR="00EC1C40" w:rsidRDefault="00000000">
      <w:pPr>
        <w:pStyle w:val="Zkladntext1"/>
        <w:framePr w:w="10186" w:h="13512" w:hRule="exact" w:wrap="none" w:vAnchor="page" w:hAnchor="page" w:x="1213" w:y="1940"/>
        <w:numPr>
          <w:ilvl w:val="0"/>
          <w:numId w:val="1"/>
        </w:numPr>
        <w:tabs>
          <w:tab w:val="left" w:pos="556"/>
        </w:tabs>
        <w:spacing w:after="120"/>
        <w:ind w:left="640" w:hanging="640"/>
      </w:pPr>
      <w:r>
        <w:rPr>
          <w:b/>
          <w:bCs/>
        </w:rPr>
        <w:t>Statutární město Pardubice</w:t>
      </w:r>
      <w:r>
        <w:t xml:space="preserve">, IČ: 002 74 046, se sídlem Pernštýnské náměstí č.p. 1, 530 02 Pardubice, zastoupeno Bc. Janem </w:t>
      </w:r>
      <w:proofErr w:type="spellStart"/>
      <w:r>
        <w:t>Nadrchalem</w:t>
      </w:r>
      <w:proofErr w:type="spellEnd"/>
      <w:r>
        <w:t>, primátorem</w:t>
      </w:r>
    </w:p>
    <w:p w14:paraId="247A126A" w14:textId="77777777" w:rsidR="00EC1C40" w:rsidRDefault="00000000">
      <w:pPr>
        <w:pStyle w:val="Zkladntext1"/>
        <w:framePr w:w="10186" w:h="13512" w:hRule="exact" w:wrap="none" w:vAnchor="page" w:hAnchor="page" w:x="1213" w:y="1940"/>
        <w:spacing w:after="200"/>
        <w:ind w:firstLine="640"/>
      </w:pPr>
      <w:r>
        <w:t>(dále jen „</w:t>
      </w:r>
      <w:r>
        <w:rPr>
          <w:b/>
          <w:bCs/>
        </w:rPr>
        <w:t>SMP</w:t>
      </w:r>
      <w:r>
        <w:t>“)</w:t>
      </w:r>
    </w:p>
    <w:p w14:paraId="7A212E5E" w14:textId="77777777" w:rsidR="00EC1C40" w:rsidRDefault="00000000">
      <w:pPr>
        <w:pStyle w:val="Zkladntext1"/>
        <w:framePr w:w="10186" w:h="13512" w:hRule="exact" w:wrap="none" w:vAnchor="page" w:hAnchor="page" w:x="1213" w:y="1940"/>
        <w:spacing w:after="200"/>
        <w:ind w:firstLine="640"/>
      </w:pPr>
      <w:r>
        <w:t>a</w:t>
      </w:r>
    </w:p>
    <w:p w14:paraId="65FCBF63" w14:textId="77777777" w:rsidR="00EC1C40" w:rsidRDefault="00000000">
      <w:pPr>
        <w:pStyle w:val="Zkladntext1"/>
        <w:framePr w:w="10186" w:h="13512" w:hRule="exact" w:wrap="none" w:vAnchor="page" w:hAnchor="page" w:x="1213" w:y="1940"/>
        <w:numPr>
          <w:ilvl w:val="0"/>
          <w:numId w:val="1"/>
        </w:numPr>
        <w:tabs>
          <w:tab w:val="left" w:pos="556"/>
        </w:tabs>
        <w:spacing w:after="120"/>
        <w:ind w:left="640" w:hanging="640"/>
        <w:jc w:val="both"/>
      </w:pPr>
      <w:r>
        <w:rPr>
          <w:b/>
          <w:bCs/>
        </w:rPr>
        <w:t>MHAP s.r.o.</w:t>
      </w:r>
      <w:r>
        <w:t xml:space="preserve">, IČ: 175 44 661, se sídlem Olbrachtova 1980/5, Krč, 140 00 Praha 4, zapsaná v obchodním rejstříku vedeném Městským soudem v Praze pod </w:t>
      </w:r>
      <w:proofErr w:type="spellStart"/>
      <w:r>
        <w:t>sp</w:t>
      </w:r>
      <w:proofErr w:type="spellEnd"/>
      <w:r>
        <w:t>. zn. C 372943, zastoupená panem Petrem Dědkem, jednatelem</w:t>
      </w:r>
    </w:p>
    <w:p w14:paraId="2C4720E4" w14:textId="77777777" w:rsidR="00EC1C40" w:rsidRDefault="00000000">
      <w:pPr>
        <w:pStyle w:val="Zkladntext1"/>
        <w:framePr w:w="10186" w:h="13512" w:hRule="exact" w:wrap="none" w:vAnchor="page" w:hAnchor="page" w:x="1213" w:y="1940"/>
        <w:spacing w:after="120"/>
        <w:ind w:firstLine="640"/>
      </w:pPr>
      <w:r>
        <w:t>(dále jen „</w:t>
      </w:r>
      <w:r>
        <w:rPr>
          <w:b/>
          <w:bCs/>
        </w:rPr>
        <w:t>Investor</w:t>
      </w:r>
      <w:r>
        <w:t>“)</w:t>
      </w:r>
    </w:p>
    <w:p w14:paraId="3FC5A232" w14:textId="77777777" w:rsidR="00EC1C40" w:rsidRDefault="00000000">
      <w:pPr>
        <w:pStyle w:val="Zkladntext1"/>
        <w:framePr w:w="10186" w:h="13512" w:hRule="exact" w:wrap="none" w:vAnchor="page" w:hAnchor="page" w:x="1213" w:y="1940"/>
        <w:spacing w:after="120"/>
        <w:ind w:firstLine="640"/>
      </w:pPr>
      <w:r>
        <w:t>(SMP a Investor dále společně jako „</w:t>
      </w:r>
      <w:r>
        <w:rPr>
          <w:b/>
          <w:bCs/>
        </w:rPr>
        <w:t>Smluvní strany</w:t>
      </w:r>
      <w:r>
        <w:t>“ a jednotlivě „</w:t>
      </w:r>
      <w:r>
        <w:rPr>
          <w:b/>
          <w:bCs/>
        </w:rPr>
        <w:t>Smluvní strana</w:t>
      </w:r>
      <w:r>
        <w:t>“)</w:t>
      </w:r>
    </w:p>
    <w:p w14:paraId="1BEC2A10" w14:textId="77777777" w:rsidR="00EC1C40" w:rsidRDefault="00000000">
      <w:pPr>
        <w:pStyle w:val="Zkladntext1"/>
        <w:framePr w:w="10186" w:h="13512" w:hRule="exact" w:wrap="none" w:vAnchor="page" w:hAnchor="page" w:x="1213" w:y="1940"/>
        <w:spacing w:after="120"/>
      </w:pPr>
      <w:r>
        <w:rPr>
          <w:b/>
          <w:bCs/>
        </w:rPr>
        <w:t>VZHLEDEM K TOMU, ŽE:</w:t>
      </w:r>
    </w:p>
    <w:p w14:paraId="4E166FBE" w14:textId="77777777" w:rsidR="00EC1C40" w:rsidRDefault="00000000">
      <w:pPr>
        <w:pStyle w:val="Zkladntext1"/>
        <w:framePr w:w="10186" w:h="13512" w:hRule="exact" w:wrap="none" w:vAnchor="page" w:hAnchor="page" w:x="1213" w:y="1940"/>
        <w:numPr>
          <w:ilvl w:val="0"/>
          <w:numId w:val="2"/>
        </w:numPr>
        <w:tabs>
          <w:tab w:val="left" w:pos="556"/>
        </w:tabs>
        <w:spacing w:after="120"/>
        <w:ind w:left="640" w:hanging="640"/>
        <w:jc w:val="both"/>
      </w:pPr>
      <w:r>
        <w:t>Zasazovat se o všestranný rozvoj svého území a zvyšování jeho kvality a nabídky příležitostí pro život občanů je základní povinností Statutárního města Pardubice v jeho samostatné působnosti vyplývající z ústavně zaručeného práva na samosprávu podle čl. 8 a čl. 100 Ústavy České republiky a zákona č. 128/2000 Sb., o obcích (obecní zřízení), ve znění pozdějších předpisů. O tento rozvoj se může SMP zasazovat rovněž prostřednictvím spolupráce s investory, a to již ve fázi územního plánování, v souladu s právním řádem České republiky, se zájmy samosprávy a zájmy obyvatel a cíli a úkoly územního plánování;</w:t>
      </w:r>
    </w:p>
    <w:p w14:paraId="4DC9B440" w14:textId="77777777" w:rsidR="00EC1C40" w:rsidRDefault="00000000">
      <w:pPr>
        <w:pStyle w:val="Zkladntext1"/>
        <w:framePr w:w="10186" w:h="13512" w:hRule="exact" w:wrap="none" w:vAnchor="page" w:hAnchor="page" w:x="1213" w:y="1940"/>
        <w:numPr>
          <w:ilvl w:val="0"/>
          <w:numId w:val="2"/>
        </w:numPr>
        <w:tabs>
          <w:tab w:val="left" w:pos="556"/>
        </w:tabs>
        <w:spacing w:after="120"/>
        <w:ind w:left="640" w:hanging="640"/>
        <w:jc w:val="both"/>
      </w:pPr>
      <w:r>
        <w:t xml:space="preserve">Investor zamýšlí realizovat na území Statutárního města Pardubice Investiční záměr </w:t>
      </w:r>
      <w:r>
        <w:rPr>
          <w:i/>
          <w:iCs/>
        </w:rPr>
        <w:t>(jak je tento pojem definován v této Smlouvě)</w:t>
      </w:r>
      <w:r>
        <w:t>, tj. projekt výstavby multifunkční hokejové arény;</w:t>
      </w:r>
    </w:p>
    <w:p w14:paraId="4E14C820" w14:textId="77777777" w:rsidR="00EC1C40" w:rsidRDefault="00000000">
      <w:pPr>
        <w:pStyle w:val="Zkladntext1"/>
        <w:framePr w:w="10186" w:h="13512" w:hRule="exact" w:wrap="none" w:vAnchor="page" w:hAnchor="page" w:x="1213" w:y="1940"/>
        <w:numPr>
          <w:ilvl w:val="0"/>
          <w:numId w:val="2"/>
        </w:numPr>
        <w:tabs>
          <w:tab w:val="left" w:pos="556"/>
        </w:tabs>
        <w:spacing w:after="120"/>
        <w:ind w:left="640" w:hanging="640"/>
        <w:jc w:val="both"/>
      </w:pPr>
      <w:r>
        <w:t>Investiční záměr je svým rozsahem, významem a přínosy jedinečným projektem, který významným způsobem podpoří další rozvoj Statutárního města Pardubice, Pardubického kraje a celé České republiky, přičemž však zároveň vyvolá v dotčeném území nároky na veřejnou infrastrukturu, které je nezbytné uspokojit a na jejichž řešení se bude Investor podílet v rozsahu a za podmínek stanovených touto Smlouvou;</w:t>
      </w:r>
    </w:p>
    <w:p w14:paraId="0E4E5B67" w14:textId="77777777" w:rsidR="00EC1C40" w:rsidRDefault="00000000">
      <w:pPr>
        <w:pStyle w:val="Zkladntext1"/>
        <w:framePr w:w="10186" w:h="13512" w:hRule="exact" w:wrap="none" w:vAnchor="page" w:hAnchor="page" w:x="1213" w:y="1940"/>
        <w:numPr>
          <w:ilvl w:val="0"/>
          <w:numId w:val="2"/>
        </w:numPr>
        <w:tabs>
          <w:tab w:val="left" w:pos="556"/>
        </w:tabs>
        <w:spacing w:after="120"/>
        <w:ind w:left="640" w:hanging="640"/>
        <w:jc w:val="both"/>
      </w:pPr>
      <w:r>
        <w:t xml:space="preserve">Investiční záměr je projektován jako environmentálně udržitelný stavební záměr, který je v maximální míře šetrný k životnímu prostředí. Za tím účelem Investor zejména plánuje realizovat celou řadu Adaptačních opatření </w:t>
      </w:r>
      <w:r>
        <w:rPr>
          <w:i/>
          <w:iCs/>
        </w:rPr>
        <w:t>(jak je tento pojem definován v této Smlouvě)</w:t>
      </w:r>
      <w:r>
        <w:t>. V rámci těchto Adaptačních opatření bude Investiční záměr využívat obnovitelné zdroje energie, opatření využívající dešťovou vodu, opatření snižující spotřebu pitné vody a rozvíjet plochy veřejné zeleně atd., přičemž bude certifikován v systému LEED, tj. v systému mezinárodně uznávaných standardů v oblasti výstavby environmentálně šetrných a udržitelných budov;</w:t>
      </w:r>
    </w:p>
    <w:p w14:paraId="6F1547D8" w14:textId="77777777" w:rsidR="00EC1C40" w:rsidRDefault="00000000">
      <w:pPr>
        <w:pStyle w:val="Zkladntext1"/>
        <w:framePr w:w="10186" w:h="13512" w:hRule="exact" w:wrap="none" w:vAnchor="page" w:hAnchor="page" w:x="1213" w:y="1940"/>
        <w:numPr>
          <w:ilvl w:val="0"/>
          <w:numId w:val="2"/>
        </w:numPr>
        <w:tabs>
          <w:tab w:val="left" w:pos="556"/>
        </w:tabs>
        <w:spacing w:after="120"/>
        <w:ind w:left="640" w:hanging="640"/>
        <w:jc w:val="both"/>
      </w:pPr>
      <w:r>
        <w:t>Realizace Investičního záměru a uzavření a plnění této Smlouvy za sjednaných podmínek je ve veřejném zájmu, a to zejména s ohledem na rozsah a význam Investičního záměru jeho přínosy uvedené blíže pod písm. (C) a (D) preambule a dále v této Smlouvě (např. čl. 21.5 Smlouvy). Realizace Investičního záměru představuje s ohledem na výše uvedené jiný důležitý zájem Statutárního města Pardubice ve smyslu § 38 zákona č. 128/2000 Sb., o obcích (obecní zřízení), v platném znění;</w:t>
      </w:r>
    </w:p>
    <w:p w14:paraId="1E7229F9" w14:textId="77777777" w:rsidR="00EC1C40" w:rsidRDefault="00000000">
      <w:pPr>
        <w:pStyle w:val="Zkladntext1"/>
        <w:framePr w:w="10186" w:h="13512" w:hRule="exact" w:wrap="none" w:vAnchor="page" w:hAnchor="page" w:x="1213" w:y="1940"/>
        <w:numPr>
          <w:ilvl w:val="0"/>
          <w:numId w:val="2"/>
        </w:numPr>
        <w:tabs>
          <w:tab w:val="left" w:pos="556"/>
        </w:tabs>
        <w:spacing w:after="0"/>
        <w:ind w:left="640" w:hanging="640"/>
        <w:jc w:val="both"/>
      </w:pPr>
      <w:r>
        <w:t xml:space="preserve">Rozsah a způsob poskytnutí Investičního příspěvku dle této Smlouvy byl stanoven v rámci stanoveném Zásadami </w:t>
      </w:r>
      <w:r>
        <w:rPr>
          <w:i/>
          <w:iCs/>
        </w:rPr>
        <w:t>(jak je tento pojem definován v této Smlouvě)</w:t>
      </w:r>
      <w:r>
        <w:t xml:space="preserve"> a se zohledněním významných specifik Investičního záměru a jeho budoucích přínosů pro SMP; Zastupitelstvo SMP schválením této Smlouvy zároveň schvaluje způsob výpočtu Investičního příspěvku a jeho Referenční výše, který je ve Smlouvě uveden (zejm. čl. 4 této Smlouvy); V době uzavírání této</w:t>
      </w:r>
    </w:p>
    <w:p w14:paraId="1CC0FCB7" w14:textId="77777777" w:rsidR="00EC1C40" w:rsidRDefault="00000000">
      <w:pPr>
        <w:pStyle w:val="Zhlavnebozpat0"/>
        <w:framePr w:wrap="none" w:vAnchor="page" w:hAnchor="page" w:x="5605" w:y="16085"/>
        <w:rPr>
          <w:sz w:val="22"/>
          <w:szCs w:val="22"/>
        </w:rPr>
      </w:pPr>
      <w:r>
        <w:rPr>
          <w:color w:val="231E20"/>
          <w:sz w:val="22"/>
          <w:szCs w:val="22"/>
        </w:rPr>
        <w:t>2/63</w:t>
      </w:r>
    </w:p>
    <w:p w14:paraId="32ABC85B"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033216AA" w14:textId="77777777" w:rsidR="00EC1C40" w:rsidRDefault="00000000">
      <w:pPr>
        <w:spacing w:line="1" w:lineRule="exact"/>
      </w:pPr>
      <w:r>
        <w:rPr>
          <w:noProof/>
        </w:rPr>
        <w:lastRenderedPageBreak/>
        <mc:AlternateContent>
          <mc:Choice Requires="wps">
            <w:drawing>
              <wp:anchor distT="0" distB="0" distL="114300" distR="114300" simplePos="0" relativeHeight="251585024" behindDoc="1" locked="0" layoutInCell="1" allowOverlap="1" wp14:anchorId="409F002D" wp14:editId="2ED69BDC">
                <wp:simplePos x="0" y="0"/>
                <wp:positionH relativeFrom="page">
                  <wp:posOffset>879475</wp:posOffset>
                </wp:positionH>
                <wp:positionV relativeFrom="page">
                  <wp:posOffset>932180</wp:posOffset>
                </wp:positionV>
                <wp:extent cx="5702935" cy="0"/>
                <wp:effectExtent l="0" t="0" r="0" b="0"/>
                <wp:wrapNone/>
                <wp:docPr id="2" name="Shape 2"/>
                <wp:cNvGraphicFramePr/>
                <a:graphic xmlns:a="http://schemas.openxmlformats.org/drawingml/2006/main">
                  <a:graphicData uri="http://schemas.microsoft.com/office/word/2010/wordprocessingShape">
                    <wps:wsp>
                      <wps:cNvCnPr/>
                      <wps:spPr>
                        <a:xfrm>
                          <a:off x="0" y="0"/>
                          <a:ext cx="5702935" cy="0"/>
                        </a:xfrm>
                        <a:prstGeom prst="straightConnector1">
                          <a:avLst/>
                        </a:prstGeom>
                        <a:ln w="6350">
                          <a:solidFill/>
                        </a:ln>
                      </wps:spPr>
                      <wps:bodyPr/>
                    </wps:wsp>
                  </a:graphicData>
                </a:graphic>
              </wp:anchor>
            </w:drawing>
          </mc:Choice>
          <mc:Fallback>
            <w:pict>
              <v:shape o:spt="32" o:oned="true" path="m,l21600,21600e" style="position:absolute;margin-left:69.25pt;margin-top:73.400000000000006pt;width:449.05000000000001pt;height:0;z-index:-251658240;mso-position-horizontal-relative:page;mso-position-vertical-relative:page">
                <v:stroke weight="0.5pt"/>
              </v:shape>
            </w:pict>
          </mc:Fallback>
        </mc:AlternateContent>
      </w:r>
    </w:p>
    <w:p w14:paraId="339C35CD" w14:textId="77777777" w:rsidR="00EC1C40" w:rsidRDefault="00000000">
      <w:pPr>
        <w:pStyle w:val="Zhlavnebozpat0"/>
        <w:framePr w:wrap="none" w:vAnchor="page" w:hAnchor="page" w:x="5192" w:y="1186"/>
      </w:pPr>
      <w:r>
        <w:t>Plánovací smlouva</w:t>
      </w:r>
    </w:p>
    <w:p w14:paraId="0AC8BC3D" w14:textId="77777777" w:rsidR="00EC1C40" w:rsidRDefault="00000000">
      <w:pPr>
        <w:pStyle w:val="Zkladntext1"/>
        <w:framePr w:w="10186" w:h="13272" w:hRule="exact" w:wrap="none" w:vAnchor="page" w:hAnchor="page" w:x="1213" w:y="1940"/>
        <w:ind w:left="640"/>
        <w:jc w:val="both"/>
      </w:pPr>
      <w:r>
        <w:t xml:space="preserve">Smlouvy je k dispozici DPZ </w:t>
      </w:r>
      <w:r>
        <w:rPr>
          <w:i/>
          <w:iCs/>
        </w:rPr>
        <w:t>(jak je tento pojem definován v této Smlouvě)</w:t>
      </w:r>
      <w:r>
        <w:t>, tj. dokumentace pro povolení záměru, přičemž v době uzavírání této Smlouvy již byly zahájeny povolovací procesy;</w:t>
      </w:r>
    </w:p>
    <w:p w14:paraId="51EA3492" w14:textId="77777777" w:rsidR="00EC1C40" w:rsidRDefault="00000000">
      <w:pPr>
        <w:pStyle w:val="Zkladntext1"/>
        <w:framePr w:w="10186" w:h="13272" w:hRule="exact" w:wrap="none" w:vAnchor="page" w:hAnchor="page" w:x="1213" w:y="1940"/>
        <w:numPr>
          <w:ilvl w:val="0"/>
          <w:numId w:val="2"/>
        </w:numPr>
        <w:tabs>
          <w:tab w:val="left" w:pos="558"/>
        </w:tabs>
        <w:ind w:left="640" w:hanging="640"/>
        <w:jc w:val="both"/>
      </w:pPr>
      <w:r>
        <w:t>Smluvní strany si přejí na základě této Smlouvy sjednat základní principy a podmínky jejich vzájemné součinnosti při realizaci Investičního záměru v lokalitě „Nová Cihelna“;</w:t>
      </w:r>
    </w:p>
    <w:p w14:paraId="20EF98A9" w14:textId="77777777" w:rsidR="00EC1C40" w:rsidRDefault="00000000">
      <w:pPr>
        <w:pStyle w:val="Zkladntext1"/>
        <w:framePr w:w="10186" w:h="13272" w:hRule="exact" w:wrap="none" w:vAnchor="page" w:hAnchor="page" w:x="1213" w:y="1940"/>
        <w:jc w:val="both"/>
      </w:pPr>
      <w:r>
        <w:rPr>
          <w:b/>
          <w:bCs/>
        </w:rPr>
        <w:t>DOHODLY SE SMLUVNÍ STRANY NA NÁSLEDUJÍCÍM:</w:t>
      </w:r>
    </w:p>
    <w:p w14:paraId="22C05A25" w14:textId="77777777" w:rsidR="00EC1C40" w:rsidRDefault="00000000">
      <w:pPr>
        <w:pStyle w:val="Nadpis60"/>
        <w:framePr w:w="10186" w:h="13272" w:hRule="exact" w:wrap="none" w:vAnchor="page" w:hAnchor="page" w:x="1213" w:y="1940"/>
        <w:numPr>
          <w:ilvl w:val="0"/>
          <w:numId w:val="3"/>
        </w:numPr>
        <w:tabs>
          <w:tab w:val="left" w:pos="558"/>
        </w:tabs>
        <w:jc w:val="both"/>
      </w:pPr>
      <w:bookmarkStart w:id="0" w:name="bookmark0"/>
      <w:r>
        <w:t>Úvodní ustanovení</w:t>
      </w:r>
      <w:bookmarkEnd w:id="0"/>
    </w:p>
    <w:p w14:paraId="484F139C" w14:textId="77777777" w:rsidR="00EC1C40" w:rsidRDefault="00000000">
      <w:pPr>
        <w:pStyle w:val="Zkladntext1"/>
        <w:framePr w:w="10186" w:h="13272" w:hRule="exact" w:wrap="none" w:vAnchor="page" w:hAnchor="page" w:x="1213" w:y="1940"/>
        <w:numPr>
          <w:ilvl w:val="1"/>
          <w:numId w:val="3"/>
        </w:numPr>
        <w:tabs>
          <w:tab w:val="left" w:pos="558"/>
        </w:tabs>
        <w:jc w:val="both"/>
      </w:pPr>
      <w:r>
        <w:t>V této Smlouvě mají výrazy s počátečními velkými písmeny následující význam:</w:t>
      </w:r>
    </w:p>
    <w:p w14:paraId="1CB01D2B" w14:textId="77777777" w:rsidR="00EC1C40" w:rsidRDefault="00000000">
      <w:pPr>
        <w:pStyle w:val="Zkladntext1"/>
        <w:framePr w:w="10186" w:h="13272" w:hRule="exact" w:wrap="none" w:vAnchor="page" w:hAnchor="page" w:x="1213" w:y="1940"/>
        <w:numPr>
          <w:ilvl w:val="2"/>
          <w:numId w:val="3"/>
        </w:numPr>
        <w:tabs>
          <w:tab w:val="left" w:pos="1360"/>
        </w:tabs>
        <w:ind w:left="1360" w:hanging="720"/>
        <w:jc w:val="both"/>
      </w:pPr>
      <w:r>
        <w:t>„</w:t>
      </w:r>
      <w:r>
        <w:rPr>
          <w:b/>
          <w:bCs/>
        </w:rPr>
        <w:t>Aréna</w:t>
      </w:r>
      <w:r>
        <w:t xml:space="preserve">“ znamená multifunkční arénu určenou pro konání kulturních a sportovních akcí, která je jedním z Klíčových objektů Investičního záměru, a jejíž Základní parametry jsou definované v </w:t>
      </w:r>
      <w:r>
        <w:rPr>
          <w:u w:val="single"/>
        </w:rPr>
        <w:t>Příloze č. 1</w:t>
      </w:r>
      <w:r>
        <w:t xml:space="preserve"> této Smlouvy;</w:t>
      </w:r>
    </w:p>
    <w:p w14:paraId="2B5BB7C4" w14:textId="77777777" w:rsidR="00EC1C40" w:rsidRDefault="00000000">
      <w:pPr>
        <w:pStyle w:val="Zkladntext1"/>
        <w:framePr w:w="10186" w:h="13272" w:hRule="exact" w:wrap="none" w:vAnchor="page" w:hAnchor="page" w:x="1213" w:y="1940"/>
        <w:numPr>
          <w:ilvl w:val="2"/>
          <w:numId w:val="3"/>
        </w:numPr>
        <w:tabs>
          <w:tab w:val="left" w:pos="1360"/>
        </w:tabs>
        <w:ind w:left="1360" w:hanging="720"/>
        <w:jc w:val="both"/>
      </w:pPr>
      <w:r>
        <w:t>„</w:t>
      </w:r>
      <w:r>
        <w:rPr>
          <w:b/>
          <w:bCs/>
        </w:rPr>
        <w:t>Adaptační opatření</w:t>
      </w:r>
      <w:r>
        <w:t xml:space="preserve">“ znamená souhrn opatření, která bude realizovat Investor za účelem snížení energetické náročnosti Investičního záměru, rozvíjení ploch veřejné zeleně a ekologické udržitelnosti Investičního záměru, jak jsou specifikována v </w:t>
      </w:r>
      <w:r>
        <w:rPr>
          <w:u w:val="single"/>
        </w:rPr>
        <w:t xml:space="preserve">Příloze č. </w:t>
      </w:r>
      <w:r>
        <w:t>2 této Smlouvy;</w:t>
      </w:r>
    </w:p>
    <w:p w14:paraId="78A59611" w14:textId="77777777" w:rsidR="00EC1C40" w:rsidRDefault="00000000">
      <w:pPr>
        <w:pStyle w:val="Zkladntext1"/>
        <w:framePr w:w="10186" w:h="13272" w:hRule="exact" w:wrap="none" w:vAnchor="page" w:hAnchor="page" w:x="1213" w:y="1940"/>
        <w:numPr>
          <w:ilvl w:val="2"/>
          <w:numId w:val="3"/>
        </w:numPr>
        <w:tabs>
          <w:tab w:val="left" w:pos="1360"/>
        </w:tabs>
        <w:ind w:left="1360" w:hanging="720"/>
        <w:jc w:val="both"/>
      </w:pPr>
      <w:r>
        <w:t>„</w:t>
      </w:r>
      <w:r>
        <w:rPr>
          <w:b/>
          <w:bCs/>
        </w:rPr>
        <w:t>Skládka</w:t>
      </w:r>
      <w:r>
        <w:t xml:space="preserve">" znamená jakoukoli (resp. každou) historicky vzniklou skládku odpadů, která se nachází nebo může nacházet v/na Pozemcích, a která pro účely této Smlouvy zahrnuje zejména historickou a později rekultivovanou skládku komunálního odpadu ukládaného dle dostupných informací přibližně během šedesátých a sedmdesátých let dvacátého století, provozovanou Veřejnými službami města Pardubic/Technickými službami nebo jinou osobou v části Lokality Nová Cihelna, mimo jiné i na/v Pozemcích (jejich části), jak je ke dni uzavření této Smlouvy evidována v systému evidence kontaminovaných míst (SEKM3) vedeném Ministerstvem životního prostředí ČR (který je veřejně dostupný z: </w:t>
      </w:r>
      <w:hyperlink r:id="rId8" w:history="1">
        <w:r>
          <w:t>https://www.sekm.cz/portal/</w:t>
        </w:r>
      </w:hyperlink>
      <w:r>
        <w:t xml:space="preserve">), a to jako „Areál bývalé cihelny Pardubice", typ lokality: skládka TKO, priorita A2.1, k. </w:t>
      </w:r>
      <w:proofErr w:type="spellStart"/>
      <w:r>
        <w:t>ú.</w:t>
      </w:r>
      <w:proofErr w:type="spellEnd"/>
      <w:r>
        <w:t xml:space="preserve"> Pardubice, mimo jiné i na/v Pozemcích (jejich části), a dále jakoukoliv další skládku nacházející se v/na Pozemcích, bez ohledu na to, zda tato další skládka vznikla v souladu nebo rozporu s právními předpisy a kdo byl původcem na ní uložených odpadů a/nebo kdo byl jejím provozovatelem;</w:t>
      </w:r>
    </w:p>
    <w:p w14:paraId="037B0F67" w14:textId="77777777" w:rsidR="00EC1C40" w:rsidRDefault="00000000">
      <w:pPr>
        <w:pStyle w:val="Zkladntext1"/>
        <w:framePr w:w="10186" w:h="13272" w:hRule="exact" w:wrap="none" w:vAnchor="page" w:hAnchor="page" w:x="1213" w:y="1940"/>
        <w:numPr>
          <w:ilvl w:val="2"/>
          <w:numId w:val="3"/>
        </w:numPr>
        <w:tabs>
          <w:tab w:val="left" w:pos="1360"/>
        </w:tabs>
        <w:ind w:left="1360" w:hanging="720"/>
        <w:jc w:val="both"/>
      </w:pPr>
      <w:r>
        <w:t>„</w:t>
      </w:r>
      <w:r>
        <w:rPr>
          <w:b/>
          <w:bCs/>
        </w:rPr>
        <w:t>Dohoda o úpravě vztahů</w:t>
      </w:r>
      <w:r>
        <w:t xml:space="preserve">“ znamená dohodu mezi Investorem a SMP, v rámci níž řeší Smluvní strany otázky týkající se Skládky a Odstranění odpadů a znečištění, přičemž vzorové znění této Dohody o úpravě vztahů (bez příloh) tvoří </w:t>
      </w:r>
      <w:r>
        <w:rPr>
          <w:u w:val="single"/>
        </w:rPr>
        <w:t>Přílohu č. 3</w:t>
      </w:r>
      <w:r>
        <w:t xml:space="preserve"> této Smlouvy;</w:t>
      </w:r>
    </w:p>
    <w:p w14:paraId="230A9466" w14:textId="77777777" w:rsidR="00EC1C40" w:rsidRDefault="00000000">
      <w:pPr>
        <w:pStyle w:val="Zkladntext1"/>
        <w:framePr w:w="10186" w:h="13272" w:hRule="exact" w:wrap="none" w:vAnchor="page" w:hAnchor="page" w:x="1213" w:y="1940"/>
        <w:numPr>
          <w:ilvl w:val="2"/>
          <w:numId w:val="3"/>
        </w:numPr>
        <w:tabs>
          <w:tab w:val="left" w:pos="1360"/>
        </w:tabs>
        <w:spacing w:after="240"/>
        <w:ind w:left="1360" w:hanging="720"/>
        <w:jc w:val="both"/>
      </w:pPr>
      <w:r>
        <w:t>„</w:t>
      </w:r>
      <w:r>
        <w:rPr>
          <w:b/>
          <w:bCs/>
        </w:rPr>
        <w:t>Dokončení Investičního záměru</w:t>
      </w:r>
      <w:r>
        <w:t>“ znamená okamžik, kdy nabude právní moci kolaudačního rozhodnutí (nebo povolení zkušebního provozu či jiného umožnění užívání) pro Investiční záměr, včetně Klíčových objektů;</w:t>
      </w:r>
    </w:p>
    <w:p w14:paraId="67EBC673" w14:textId="77777777" w:rsidR="00EC1C40" w:rsidRDefault="00000000">
      <w:pPr>
        <w:pStyle w:val="Zkladntext1"/>
        <w:framePr w:w="10186" w:h="13272" w:hRule="exact" w:wrap="none" w:vAnchor="page" w:hAnchor="page" w:x="1213" w:y="1940"/>
        <w:numPr>
          <w:ilvl w:val="2"/>
          <w:numId w:val="3"/>
        </w:numPr>
        <w:tabs>
          <w:tab w:val="left" w:pos="1360"/>
        </w:tabs>
        <w:ind w:left="1360" w:hanging="720"/>
        <w:jc w:val="both"/>
      </w:pPr>
      <w:r>
        <w:t>„</w:t>
      </w:r>
      <w:r>
        <w:rPr>
          <w:b/>
          <w:bCs/>
        </w:rPr>
        <w:t>Dopravní dokumentace</w:t>
      </w:r>
      <w:r>
        <w:t>” znamená (i) Dopravně-inženýrské podklady, Multifunkční hokejová aréna Pardubice, zpracované společností PRAGOPROJEKT, a.s., září 2025, a (</w:t>
      </w:r>
      <w:proofErr w:type="spellStart"/>
      <w:r>
        <w:t>ii</w:t>
      </w:r>
      <w:proofErr w:type="spellEnd"/>
      <w:r>
        <w:t>) Kapacitní posouzení křižovatek, Multifunkční hokejová aréna Pardubice, zpracované společností PRAGOPROJEKT, a.s., říjen 2025, jakož i případné aktualizace této dokumentace zpracované dle čl. 10.3 této Smlouvy;</w:t>
      </w:r>
    </w:p>
    <w:p w14:paraId="5B2908DC" w14:textId="77777777" w:rsidR="00EC1C40" w:rsidRDefault="00000000">
      <w:pPr>
        <w:pStyle w:val="Zkladntext1"/>
        <w:framePr w:w="10186" w:h="13272" w:hRule="exact" w:wrap="none" w:vAnchor="page" w:hAnchor="page" w:x="1213" w:y="1940"/>
        <w:numPr>
          <w:ilvl w:val="2"/>
          <w:numId w:val="3"/>
        </w:numPr>
        <w:tabs>
          <w:tab w:val="left" w:pos="1360"/>
        </w:tabs>
        <w:spacing w:after="0"/>
        <w:ind w:left="1360" w:hanging="720"/>
        <w:jc w:val="both"/>
      </w:pPr>
      <w:r>
        <w:t>„</w:t>
      </w:r>
      <w:r>
        <w:rPr>
          <w:b/>
          <w:bCs/>
        </w:rPr>
        <w:t>DPZ</w:t>
      </w:r>
      <w:r>
        <w:t>“ znamená projektovou dokumentaci pro povolení Investičního záměru „Multifunkční hokejová aréna Pardubice“ vypracovanou společností PPP, spol. s r.o., IČ: 429 37 094, se sídlem Masarykovo náměstí 1544, 530 02 Pardubice, zapsané v obchodním rejstříku vedeném u Krajského soudu v Hradci Králové, oddíl C, vložka 1071, jako generálním projektantem, verze 10/2025;</w:t>
      </w:r>
    </w:p>
    <w:p w14:paraId="5045CD04" w14:textId="77777777" w:rsidR="00EC1C40" w:rsidRDefault="00000000">
      <w:pPr>
        <w:pStyle w:val="Zhlavnebozpat0"/>
        <w:framePr w:wrap="none" w:vAnchor="page" w:hAnchor="page" w:x="5600" w:y="16085"/>
        <w:rPr>
          <w:sz w:val="22"/>
          <w:szCs w:val="22"/>
        </w:rPr>
      </w:pPr>
      <w:r>
        <w:rPr>
          <w:color w:val="231E20"/>
          <w:sz w:val="22"/>
          <w:szCs w:val="22"/>
        </w:rPr>
        <w:t>3/63</w:t>
      </w:r>
    </w:p>
    <w:p w14:paraId="20D6FE47"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72E5ABE0" w14:textId="77777777" w:rsidR="00EC1C40" w:rsidRDefault="00000000">
      <w:pPr>
        <w:spacing w:line="1" w:lineRule="exact"/>
      </w:pPr>
      <w:r>
        <w:rPr>
          <w:noProof/>
        </w:rPr>
        <w:lastRenderedPageBreak/>
        <mc:AlternateContent>
          <mc:Choice Requires="wps">
            <w:drawing>
              <wp:anchor distT="0" distB="0" distL="114300" distR="114300" simplePos="0" relativeHeight="251586048" behindDoc="1" locked="0" layoutInCell="1" allowOverlap="1" wp14:anchorId="7A2614C5" wp14:editId="21F7BF35">
                <wp:simplePos x="0" y="0"/>
                <wp:positionH relativeFrom="page">
                  <wp:posOffset>879475</wp:posOffset>
                </wp:positionH>
                <wp:positionV relativeFrom="page">
                  <wp:posOffset>932180</wp:posOffset>
                </wp:positionV>
                <wp:extent cx="5702935" cy="0"/>
                <wp:effectExtent l="0" t="0" r="0" b="0"/>
                <wp:wrapNone/>
                <wp:docPr id="3" name="Shape 3"/>
                <wp:cNvGraphicFramePr/>
                <a:graphic xmlns:a="http://schemas.openxmlformats.org/drawingml/2006/main">
                  <a:graphicData uri="http://schemas.microsoft.com/office/word/2010/wordprocessingShape">
                    <wps:wsp>
                      <wps:cNvCnPr/>
                      <wps:spPr>
                        <a:xfrm>
                          <a:off x="0" y="0"/>
                          <a:ext cx="5702935" cy="0"/>
                        </a:xfrm>
                        <a:prstGeom prst="straightConnector1">
                          <a:avLst/>
                        </a:prstGeom>
                        <a:ln w="6350">
                          <a:solidFill/>
                        </a:ln>
                      </wps:spPr>
                      <wps:bodyPr/>
                    </wps:wsp>
                  </a:graphicData>
                </a:graphic>
              </wp:anchor>
            </w:drawing>
          </mc:Choice>
          <mc:Fallback>
            <w:pict>
              <v:shape o:spt="32" o:oned="true" path="m,l21600,21600e" style="position:absolute;margin-left:69.25pt;margin-top:73.400000000000006pt;width:449.05000000000001pt;height:0;z-index:-251658240;mso-position-horizontal-relative:page;mso-position-vertical-relative:page">
                <v:stroke weight="0.5pt"/>
              </v:shape>
            </w:pict>
          </mc:Fallback>
        </mc:AlternateContent>
      </w:r>
    </w:p>
    <w:p w14:paraId="6FFFB884" w14:textId="77777777" w:rsidR="00EC1C40" w:rsidRDefault="00000000">
      <w:pPr>
        <w:pStyle w:val="Zhlavnebozpat0"/>
        <w:framePr w:wrap="none" w:vAnchor="page" w:hAnchor="page" w:x="5192" w:y="1186"/>
      </w:pPr>
      <w:r>
        <w:t>Plánovací smlouva</w:t>
      </w:r>
    </w:p>
    <w:p w14:paraId="4056A1CE" w14:textId="77777777" w:rsidR="00EC1C40" w:rsidRDefault="00000000">
      <w:pPr>
        <w:pStyle w:val="Zkladntext1"/>
        <w:framePr w:w="10186" w:h="13445" w:hRule="exact" w:wrap="none" w:vAnchor="page" w:hAnchor="page" w:x="1213" w:y="1940"/>
        <w:numPr>
          <w:ilvl w:val="2"/>
          <w:numId w:val="3"/>
        </w:numPr>
        <w:tabs>
          <w:tab w:val="left" w:pos="1360"/>
        </w:tabs>
        <w:ind w:left="1380" w:hanging="740"/>
        <w:jc w:val="both"/>
      </w:pPr>
      <w:r>
        <w:t>„</w:t>
      </w:r>
      <w:r>
        <w:rPr>
          <w:b/>
          <w:bCs/>
        </w:rPr>
        <w:t>Hokejový klub</w:t>
      </w:r>
      <w:r>
        <w:t xml:space="preserve">“ znamená HOCKEY CLUB DYNAMO PARDUBICE a.s., IČ: 601 12 476, se sídlem: Sukova třída 1735, Zelené Předměstí, 530 02 Pardubice, zapsané v obchodním rejstříku vedeném Krajským soudem v Hradci Králové pod </w:t>
      </w:r>
      <w:proofErr w:type="spellStart"/>
      <w:r>
        <w:t>sp</w:t>
      </w:r>
      <w:proofErr w:type="spellEnd"/>
      <w:r>
        <w:t>. zn. B 1078 (dále jen „</w:t>
      </w:r>
      <w:r>
        <w:rPr>
          <w:b/>
          <w:bCs/>
        </w:rPr>
        <w:t>HOCKEY CLUB DYNAMO PARDUBICE a.s.</w:t>
      </w:r>
      <w:r>
        <w:t>“), nebo případně jiný hokejový klub provozovaný na území města Pardubice, a provozující profesionální A-tým účastnící se dlouhodobě nejvyšší hokejové soutěže v rámci České republiky, ale i kategorií mládeže, dorostu a věkově nižších kategorií, tj. pardubického hokeje celkově;</w:t>
      </w:r>
    </w:p>
    <w:p w14:paraId="568A2D6F" w14:textId="77777777" w:rsidR="00EC1C40" w:rsidRDefault="00000000">
      <w:pPr>
        <w:pStyle w:val="Zkladntext1"/>
        <w:framePr w:w="10186" w:h="13445" w:hRule="exact" w:wrap="none" w:vAnchor="page" w:hAnchor="page" w:x="1213" w:y="1940"/>
        <w:numPr>
          <w:ilvl w:val="2"/>
          <w:numId w:val="3"/>
        </w:numPr>
        <w:tabs>
          <w:tab w:val="left" w:pos="1360"/>
        </w:tabs>
        <w:ind w:left="1380" w:hanging="740"/>
        <w:jc w:val="both"/>
      </w:pPr>
      <w:r>
        <w:t>„</w:t>
      </w:r>
      <w:r>
        <w:rPr>
          <w:b/>
          <w:bCs/>
        </w:rPr>
        <w:t>HPP</w:t>
      </w:r>
      <w:r>
        <w:t>“ znamená veškerou hrubou podlažní plochu Investičního záměru vymezenou jako součet ploch vymezených vnějším obrysem konstrukcí jednotlivých podlaží budovy kromě otevřených a částečně otevřených částí (balkony, lodžie, průchody, střešní terasy apod.). V podlažích se šikmými stěnami či šikmým stropem se započítává vnější obrys konstrukcí v úrovni 1,2 m nad úrovní podlahy. Do výpočtu HPP se nezapočítávají plochy technických a pomocných prostor a objektů technické infrastruktury. Do výpočtu HPP se pro účely stanovení Investičního příspěvku naopak započítává plocha sklepů a dále plocha garáží, pokud je jejich užívání zpoplatněno (nebo pokud neslouží veřejnosti), a povrchového parkoviště, pokud je stání na něm zpoplatněno (nebo pokud neslouží veřejnosti), které je součástí Investičního záměru;</w:t>
      </w:r>
    </w:p>
    <w:p w14:paraId="0DFDCDC0" w14:textId="77777777" w:rsidR="00EC1C40" w:rsidRDefault="00000000">
      <w:pPr>
        <w:pStyle w:val="Zkladntext1"/>
        <w:framePr w:w="10186" w:h="13445" w:hRule="exact" w:wrap="none" w:vAnchor="page" w:hAnchor="page" w:x="1213" w:y="1940"/>
        <w:numPr>
          <w:ilvl w:val="2"/>
          <w:numId w:val="3"/>
        </w:numPr>
        <w:tabs>
          <w:tab w:val="left" w:pos="1360"/>
        </w:tabs>
        <w:ind w:left="1380" w:hanging="740"/>
        <w:jc w:val="both"/>
      </w:pPr>
      <w:r>
        <w:t>„</w:t>
      </w:r>
      <w:r>
        <w:rPr>
          <w:b/>
          <w:bCs/>
        </w:rPr>
        <w:t>Investiční příspěvek</w:t>
      </w:r>
      <w:r>
        <w:t>“ znamená plnění Investora za účelem pokrytí části nákladů na novou „Veřejnou infrastrukturu“ a „Veřejnou službu“ ve smyslu Zásad, a to v souladu s touto Smlouvou, Zásadami a rozhodnutím Zastupitelstva SMP o uzavření této Smlouvy; Investor na základě této Smlouvy poskytne Investiční příspěvek, není-li dále sjednáno jinak, ve formě Nepeněžního plnění dohodnutého v této Smlouvě, přičemž rozsah poskytnutého Nepeněžního plnění bude ověřen postupy sjednanými v této Smlouvě, na základě porovnání Referenční výše Investičního příspěvku a souhrnu Investorem vynaložených nákladů na Nepeněžní plnění, a to plně v souladu s pravidly sjednanými v této Smlouvě;</w:t>
      </w:r>
    </w:p>
    <w:p w14:paraId="5CCAEABB" w14:textId="77777777" w:rsidR="00EC1C40" w:rsidRDefault="00000000">
      <w:pPr>
        <w:pStyle w:val="Zkladntext1"/>
        <w:framePr w:w="10186" w:h="13445" w:hRule="exact" w:wrap="none" w:vAnchor="page" w:hAnchor="page" w:x="1213" w:y="1940"/>
        <w:numPr>
          <w:ilvl w:val="2"/>
          <w:numId w:val="3"/>
        </w:numPr>
        <w:tabs>
          <w:tab w:val="left" w:pos="1360"/>
        </w:tabs>
        <w:ind w:left="1380" w:hanging="740"/>
        <w:jc w:val="both"/>
      </w:pPr>
      <w:r>
        <w:t>„</w:t>
      </w:r>
      <w:r>
        <w:rPr>
          <w:b/>
          <w:bCs/>
        </w:rPr>
        <w:t>Investiční záměr</w:t>
      </w:r>
      <w:r>
        <w:t>“ znamená záměr Investora sestávající z (i) Arény, (</w:t>
      </w:r>
      <w:proofErr w:type="spellStart"/>
      <w:r>
        <w:t>ii</w:t>
      </w:r>
      <w:proofErr w:type="spellEnd"/>
      <w:r>
        <w:t>) Tréninkové haly, (</w:t>
      </w:r>
      <w:proofErr w:type="spellStart"/>
      <w:r>
        <w:t>iii</w:t>
      </w:r>
      <w:proofErr w:type="spellEnd"/>
      <w:r>
        <w:t>) hotelu, (</w:t>
      </w:r>
      <w:proofErr w:type="spellStart"/>
      <w:r>
        <w:t>iv</w:t>
      </w:r>
      <w:proofErr w:type="spellEnd"/>
      <w:r>
        <w:t>) Parkovacího domu, (v) showroomu, případně dalších objektů, to vše včetně příslušné Související infrastruktury Investičního záměru, které mají být realizovány mimo jiné na Pozemcích. Investiční záměr zahrnuje vedle vlastní multifunkční hokejové Arény, tréninkových ploch a sportovního zázemí určeného pro veřejnost i restaurační a občerstvovací kapacity, ubytovací kapacity, plochy pro služby, zařízení pro relaxaci a rehabilitaci, jakož i výstavbu Parkovacího domu a vnějších parkovacích ploch;</w:t>
      </w:r>
    </w:p>
    <w:p w14:paraId="6F9BF9AC" w14:textId="77777777" w:rsidR="00EC1C40" w:rsidRDefault="00000000">
      <w:pPr>
        <w:pStyle w:val="Zkladntext1"/>
        <w:framePr w:w="10186" w:h="13445" w:hRule="exact" w:wrap="none" w:vAnchor="page" w:hAnchor="page" w:x="1213" w:y="1940"/>
        <w:numPr>
          <w:ilvl w:val="2"/>
          <w:numId w:val="3"/>
        </w:numPr>
        <w:tabs>
          <w:tab w:val="left" w:pos="1360"/>
        </w:tabs>
        <w:ind w:left="1380" w:hanging="740"/>
        <w:jc w:val="both"/>
      </w:pPr>
      <w:r>
        <w:t>„</w:t>
      </w:r>
      <w:r>
        <w:rPr>
          <w:b/>
          <w:bCs/>
        </w:rPr>
        <w:t>Klíčové objekty</w:t>
      </w:r>
      <w:r>
        <w:t>“ znamenají vždy současně Arénu, Tréninkovou halu a Parkovací dům;</w:t>
      </w:r>
    </w:p>
    <w:p w14:paraId="4DC63159" w14:textId="77777777" w:rsidR="00EC1C40" w:rsidRDefault="00000000">
      <w:pPr>
        <w:pStyle w:val="Zkladntext1"/>
        <w:framePr w:w="10186" w:h="13445" w:hRule="exact" w:wrap="none" w:vAnchor="page" w:hAnchor="page" w:x="1213" w:y="1940"/>
        <w:numPr>
          <w:ilvl w:val="2"/>
          <w:numId w:val="3"/>
        </w:numPr>
        <w:tabs>
          <w:tab w:val="left" w:pos="1360"/>
        </w:tabs>
        <w:spacing w:after="240"/>
        <w:ind w:left="1380" w:hanging="740"/>
        <w:jc w:val="both"/>
      </w:pPr>
      <w:r>
        <w:t>„</w:t>
      </w:r>
      <w:r>
        <w:rPr>
          <w:b/>
          <w:bCs/>
        </w:rPr>
        <w:t>Konečné vypořádání</w:t>
      </w:r>
      <w:r>
        <w:t>“ znamená postup pro stanovení konečné Referenční výše Investičního příspěvku a konečného celkového objemu skutečných nákladů na poskytnuté Nepeněžní plnění a jejich porovnání dle čl. 4.12 a násl. této Smlouvy;</w:t>
      </w:r>
    </w:p>
    <w:p w14:paraId="475FF288" w14:textId="77777777" w:rsidR="00EC1C40" w:rsidRDefault="00000000">
      <w:pPr>
        <w:pStyle w:val="Zkladntext1"/>
        <w:framePr w:w="10186" w:h="13445" w:hRule="exact" w:wrap="none" w:vAnchor="page" w:hAnchor="page" w:x="1213" w:y="1940"/>
        <w:numPr>
          <w:ilvl w:val="2"/>
          <w:numId w:val="3"/>
        </w:numPr>
        <w:tabs>
          <w:tab w:val="left" w:pos="1360"/>
        </w:tabs>
        <w:ind w:left="1380" w:hanging="740"/>
        <w:jc w:val="both"/>
      </w:pPr>
      <w:r>
        <w:t>„</w:t>
      </w:r>
      <w:r>
        <w:rPr>
          <w:b/>
          <w:bCs/>
        </w:rPr>
        <w:t>Lokalita Hůrka</w:t>
      </w:r>
      <w:r>
        <w:t>“ znamená lokalitu „Hůrka“; Lokalita Hůrka je vymezena zejména rozsahem řešeného území v rámci „Územní studie Hůrka, Pardubice“ (jak je tato územní studie specifikována v 10.10 této Smlouvy);</w:t>
      </w:r>
    </w:p>
    <w:p w14:paraId="46E82505" w14:textId="77777777" w:rsidR="00EC1C40" w:rsidRDefault="00000000">
      <w:pPr>
        <w:pStyle w:val="Zkladntext1"/>
        <w:framePr w:w="10186" w:h="13445" w:hRule="exact" w:wrap="none" w:vAnchor="page" w:hAnchor="page" w:x="1213" w:y="1940"/>
        <w:numPr>
          <w:ilvl w:val="2"/>
          <w:numId w:val="3"/>
        </w:numPr>
        <w:tabs>
          <w:tab w:val="left" w:pos="1360"/>
        </w:tabs>
        <w:ind w:left="1380" w:hanging="740"/>
        <w:jc w:val="both"/>
      </w:pPr>
      <w:r>
        <w:t>„</w:t>
      </w:r>
      <w:r>
        <w:rPr>
          <w:b/>
          <w:bCs/>
        </w:rPr>
        <w:t>Lokalita Nová Cihelna</w:t>
      </w:r>
      <w:r>
        <w:t>“ znamená lokalitu „Nová Cihelna“, v jejíž severní části má být realizován Investiční záměr. Tato lokalitě je vymezena primárně rozsahem řešeného území v rámci Územní studie;</w:t>
      </w:r>
    </w:p>
    <w:p w14:paraId="52E113F2" w14:textId="77777777" w:rsidR="00EC1C40" w:rsidRDefault="00000000">
      <w:pPr>
        <w:pStyle w:val="Zkladntext1"/>
        <w:framePr w:w="10186" w:h="13445" w:hRule="exact" w:wrap="none" w:vAnchor="page" w:hAnchor="page" w:x="1213" w:y="1940"/>
        <w:numPr>
          <w:ilvl w:val="2"/>
          <w:numId w:val="3"/>
        </w:numPr>
        <w:tabs>
          <w:tab w:val="left" w:pos="1360"/>
        </w:tabs>
        <w:spacing w:after="0"/>
        <w:ind w:left="1380" w:hanging="740"/>
        <w:jc w:val="both"/>
      </w:pPr>
      <w:r>
        <w:t>„</w:t>
      </w:r>
      <w:r>
        <w:rPr>
          <w:b/>
          <w:bCs/>
        </w:rPr>
        <w:t>Marginální odchylka</w:t>
      </w:r>
      <w:r>
        <w:t>“ či v množném čísle „</w:t>
      </w:r>
      <w:r>
        <w:rPr>
          <w:b/>
          <w:bCs/>
        </w:rPr>
        <w:t>Marginální odchylky</w:t>
      </w:r>
      <w:r>
        <w:t>“ znamená přípustnou odchylku od Základních parametrů definovanou v čl. 3.4 a čl. 3.5 Smlouvy;</w:t>
      </w:r>
    </w:p>
    <w:p w14:paraId="1FC710AB" w14:textId="77777777" w:rsidR="00EC1C40" w:rsidRDefault="00000000">
      <w:pPr>
        <w:pStyle w:val="Zhlavnebozpat0"/>
        <w:framePr w:wrap="none" w:vAnchor="page" w:hAnchor="page" w:x="5595" w:y="16085"/>
        <w:rPr>
          <w:sz w:val="22"/>
          <w:szCs w:val="22"/>
        </w:rPr>
      </w:pPr>
      <w:r>
        <w:rPr>
          <w:color w:val="231E20"/>
          <w:sz w:val="22"/>
          <w:szCs w:val="22"/>
        </w:rPr>
        <w:t>4/63</w:t>
      </w:r>
    </w:p>
    <w:p w14:paraId="32D73D39"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06548A07" w14:textId="77777777" w:rsidR="00EC1C40" w:rsidRDefault="00000000">
      <w:pPr>
        <w:spacing w:line="1" w:lineRule="exact"/>
      </w:pPr>
      <w:r>
        <w:rPr>
          <w:noProof/>
        </w:rPr>
        <w:lastRenderedPageBreak/>
        <mc:AlternateContent>
          <mc:Choice Requires="wps">
            <w:drawing>
              <wp:anchor distT="0" distB="0" distL="114300" distR="114300" simplePos="0" relativeHeight="251587072" behindDoc="1" locked="0" layoutInCell="1" allowOverlap="1" wp14:anchorId="386F0EA0" wp14:editId="1790D6B6">
                <wp:simplePos x="0" y="0"/>
                <wp:positionH relativeFrom="page">
                  <wp:posOffset>879475</wp:posOffset>
                </wp:positionH>
                <wp:positionV relativeFrom="page">
                  <wp:posOffset>932180</wp:posOffset>
                </wp:positionV>
                <wp:extent cx="5702935" cy="0"/>
                <wp:effectExtent l="0" t="0" r="0" b="0"/>
                <wp:wrapNone/>
                <wp:docPr id="4" name="Shape 4"/>
                <wp:cNvGraphicFramePr/>
                <a:graphic xmlns:a="http://schemas.openxmlformats.org/drawingml/2006/main">
                  <a:graphicData uri="http://schemas.microsoft.com/office/word/2010/wordprocessingShape">
                    <wps:wsp>
                      <wps:cNvCnPr/>
                      <wps:spPr>
                        <a:xfrm>
                          <a:off x="0" y="0"/>
                          <a:ext cx="5702935" cy="0"/>
                        </a:xfrm>
                        <a:prstGeom prst="straightConnector1">
                          <a:avLst/>
                        </a:prstGeom>
                        <a:ln w="6350">
                          <a:solidFill/>
                        </a:ln>
                      </wps:spPr>
                      <wps:bodyPr/>
                    </wps:wsp>
                  </a:graphicData>
                </a:graphic>
              </wp:anchor>
            </w:drawing>
          </mc:Choice>
          <mc:Fallback>
            <w:pict>
              <v:shape o:spt="32" o:oned="true" path="m,l21600,21600e" style="position:absolute;margin-left:69.25pt;margin-top:73.400000000000006pt;width:449.05000000000001pt;height:0;z-index:-251658240;mso-position-horizontal-relative:page;mso-position-vertical-relative:page">
                <v:stroke weight="0.5pt"/>
              </v:shape>
            </w:pict>
          </mc:Fallback>
        </mc:AlternateContent>
      </w:r>
    </w:p>
    <w:p w14:paraId="743FEB9B" w14:textId="77777777" w:rsidR="00EC1C40" w:rsidRDefault="00000000">
      <w:pPr>
        <w:pStyle w:val="Zhlavnebozpat0"/>
        <w:framePr w:wrap="none" w:vAnchor="page" w:hAnchor="page" w:x="5192" w:y="1186"/>
      </w:pPr>
      <w:r>
        <w:t>Plánovací smlouva</w:t>
      </w:r>
    </w:p>
    <w:p w14:paraId="533E9AEF" w14:textId="77777777" w:rsidR="00EC1C40" w:rsidRDefault="00000000">
      <w:pPr>
        <w:pStyle w:val="Zkladntext1"/>
        <w:framePr w:w="10186" w:h="13445" w:hRule="exact" w:wrap="none" w:vAnchor="page" w:hAnchor="page" w:x="1213" w:y="1940"/>
        <w:numPr>
          <w:ilvl w:val="2"/>
          <w:numId w:val="3"/>
        </w:numPr>
        <w:tabs>
          <w:tab w:val="left" w:pos="1360"/>
        </w:tabs>
        <w:spacing w:after="240"/>
        <w:ind w:left="1360" w:hanging="720"/>
        <w:jc w:val="both"/>
      </w:pPr>
      <w:r>
        <w:t>„</w:t>
      </w:r>
      <w:r>
        <w:rPr>
          <w:b/>
          <w:bCs/>
        </w:rPr>
        <w:t>Memorandum o spolupráci</w:t>
      </w:r>
      <w:r>
        <w:t>“ znamená memorandum o spolupráci, které dne 20.12.2023 uzavřely Smluvní strany;</w:t>
      </w:r>
    </w:p>
    <w:p w14:paraId="23CAA5F5" w14:textId="77777777" w:rsidR="00EC1C40" w:rsidRDefault="00000000">
      <w:pPr>
        <w:pStyle w:val="Zkladntext1"/>
        <w:framePr w:w="10186" w:h="13445" w:hRule="exact" w:wrap="none" w:vAnchor="page" w:hAnchor="page" w:x="1213" w:y="1940"/>
        <w:numPr>
          <w:ilvl w:val="2"/>
          <w:numId w:val="3"/>
        </w:numPr>
        <w:tabs>
          <w:tab w:val="left" w:pos="1360"/>
        </w:tabs>
        <w:ind w:left="1360" w:hanging="720"/>
        <w:jc w:val="both"/>
      </w:pPr>
      <w:r>
        <w:t>„</w:t>
      </w:r>
      <w:r>
        <w:rPr>
          <w:b/>
          <w:bCs/>
        </w:rPr>
        <w:t>Monitorovací období</w:t>
      </w:r>
      <w:r>
        <w:t>” znamená období zkušebního provozu Arény v délce nejméně dvanáct (12) měsíců počínající ode dne Dokončení Investičního záměru, během kterého bude prováděn monitoring dopravní situace dle čl. 10.4 této Smlouvy;</w:t>
      </w:r>
    </w:p>
    <w:p w14:paraId="304D6765" w14:textId="77777777" w:rsidR="00EC1C40" w:rsidRDefault="00000000">
      <w:pPr>
        <w:pStyle w:val="Zkladntext1"/>
        <w:framePr w:w="10186" w:h="13445" w:hRule="exact" w:wrap="none" w:vAnchor="page" w:hAnchor="page" w:x="1213" w:y="1940"/>
        <w:numPr>
          <w:ilvl w:val="2"/>
          <w:numId w:val="3"/>
        </w:numPr>
        <w:tabs>
          <w:tab w:val="left" w:pos="1360"/>
        </w:tabs>
        <w:ind w:left="1360" w:hanging="720"/>
        <w:jc w:val="both"/>
      </w:pPr>
      <w:r>
        <w:t>„</w:t>
      </w:r>
      <w:r>
        <w:rPr>
          <w:b/>
          <w:bCs/>
        </w:rPr>
        <w:t>Nepeněžní plnění</w:t>
      </w:r>
      <w:r>
        <w:t>“ znamená plnění, které Investor poskytne SMP dle této Smlouvy a za podmínek v ní stanovených, a to formou realizace staveb, zařízení nebo jiných objektů, které mají veřejný účel a odpovídají charakteru Investičního záměru, a které jsou definovány v čl. 5.1 Smlouvy;</w:t>
      </w:r>
    </w:p>
    <w:p w14:paraId="24845ACB" w14:textId="77777777" w:rsidR="00EC1C40" w:rsidRDefault="00000000">
      <w:pPr>
        <w:pStyle w:val="Zkladntext1"/>
        <w:framePr w:w="10186" w:h="13445" w:hRule="exact" w:wrap="none" w:vAnchor="page" w:hAnchor="page" w:x="1213" w:y="1940"/>
        <w:numPr>
          <w:ilvl w:val="2"/>
          <w:numId w:val="3"/>
        </w:numPr>
        <w:tabs>
          <w:tab w:val="left" w:pos="1360"/>
        </w:tabs>
        <w:spacing w:after="240"/>
        <w:ind w:left="1360" w:hanging="720"/>
        <w:jc w:val="both"/>
      </w:pPr>
      <w:r>
        <w:t>„</w:t>
      </w:r>
      <w:r>
        <w:rPr>
          <w:b/>
          <w:bCs/>
        </w:rPr>
        <w:t>Občanský zákoník</w:t>
      </w:r>
      <w:r>
        <w:t>“ znamená zákon č. 89/2012 Sb., občanský zákoník, ve znění pozdějších předpisů;</w:t>
      </w:r>
    </w:p>
    <w:p w14:paraId="049BF411" w14:textId="77777777" w:rsidR="00EC1C40" w:rsidRDefault="00000000">
      <w:pPr>
        <w:pStyle w:val="Zkladntext1"/>
        <w:framePr w:w="10186" w:h="13445" w:hRule="exact" w:wrap="none" w:vAnchor="page" w:hAnchor="page" w:x="1213" w:y="1940"/>
        <w:numPr>
          <w:ilvl w:val="2"/>
          <w:numId w:val="3"/>
        </w:numPr>
        <w:tabs>
          <w:tab w:val="left" w:pos="1360"/>
        </w:tabs>
        <w:ind w:left="1360" w:hanging="720"/>
        <w:jc w:val="both"/>
      </w:pPr>
      <w:r>
        <w:t>„</w:t>
      </w:r>
      <w:r>
        <w:rPr>
          <w:b/>
          <w:bCs/>
        </w:rPr>
        <w:t>Odstranění odpadů a znečištění</w:t>
      </w:r>
      <w:r>
        <w:t>“ znamená proces, v rámci kterého dojde k odstranění odpadů a znečištění existujících v Lokalitě Nová Cihelna vzniklých v důsledku umístění Skládky, a to v rozsahu stanoveném Investorem. K Odstranění odpadů a znečištění je aktuálně ke dni uzavření této Smlouvy vydáno rozhodnutí o povolení stavby „</w:t>
      </w:r>
      <w:r>
        <w:rPr>
          <w:i/>
          <w:iCs/>
        </w:rPr>
        <w:t>Odstranění odpadů a znečištění z prostoru bývalé cihelny v Pardubicích pro výstavbu multifunkční haly</w:t>
      </w:r>
      <w:r>
        <w:t xml:space="preserve">“, č.j. </w:t>
      </w:r>
      <w:proofErr w:type="spellStart"/>
      <w:r>
        <w:t>Sp</w:t>
      </w:r>
      <w:proofErr w:type="spellEnd"/>
      <w:r>
        <w:t xml:space="preserve">. zn.: SÚ 65346/2025/Se, č.j.: </w:t>
      </w:r>
      <w:proofErr w:type="spellStart"/>
      <w:r>
        <w:t>MmP</w:t>
      </w:r>
      <w:proofErr w:type="spellEnd"/>
      <w:r>
        <w:t xml:space="preserve"> 96232/2025, vydané dne 22.7.2025, které nabylo právní moci 22.8.2025, ve znění aktuálně projednávané Změny Rozhodnutí o povolení Odstranění odpadů a znečištění, přičemž tím nejsou dotčeny možné další změny těchto rozhodnutí či jakékoli další související rozhodnutí či povolení, které jsou nezbytné pro Odstranění odpadů a znečištění, např. na úseku nakládání s vodami atd. Odstranění odpadů a znečištění je základním předpokladem pro realizaci Investičního záměru a obecně i jakékoli výstavby v Lokalitě Nová Cihelna. Součástí Odstranění odpadů a znečištění je i realizace mezideponie, která bude využita k vytřídění vytěžené zeminy (materiálu) a následnému odvozu odpadu (ve smyslu definice odpadu dle § 4 Zákona o odpadech) z mezideponie;</w:t>
      </w:r>
    </w:p>
    <w:p w14:paraId="6DEEED3D" w14:textId="77777777" w:rsidR="00EC1C40" w:rsidRDefault="00000000">
      <w:pPr>
        <w:pStyle w:val="Zkladntext1"/>
        <w:framePr w:w="10186" w:h="13445" w:hRule="exact" w:wrap="none" w:vAnchor="page" w:hAnchor="page" w:x="1213" w:y="1940"/>
        <w:numPr>
          <w:ilvl w:val="2"/>
          <w:numId w:val="3"/>
        </w:numPr>
        <w:tabs>
          <w:tab w:val="left" w:pos="1360"/>
        </w:tabs>
        <w:ind w:left="1360" w:hanging="720"/>
        <w:jc w:val="both"/>
      </w:pPr>
      <w:r>
        <w:t>„</w:t>
      </w:r>
      <w:r>
        <w:rPr>
          <w:b/>
          <w:bCs/>
        </w:rPr>
        <w:t>Parkovací dům</w:t>
      </w:r>
      <w:r>
        <w:t>“ je jedním z Klíčových objektů Investičního záměru, a jehož Základní parametry jsou definované v čl. 3 Smlouvy;</w:t>
      </w:r>
    </w:p>
    <w:p w14:paraId="02103ECA" w14:textId="77777777" w:rsidR="00EC1C40" w:rsidRDefault="00000000">
      <w:pPr>
        <w:pStyle w:val="Zkladntext1"/>
        <w:framePr w:w="10186" w:h="13445" w:hRule="exact" w:wrap="none" w:vAnchor="page" w:hAnchor="page" w:x="1213" w:y="1940"/>
        <w:numPr>
          <w:ilvl w:val="2"/>
          <w:numId w:val="3"/>
        </w:numPr>
        <w:tabs>
          <w:tab w:val="left" w:pos="1360"/>
        </w:tabs>
        <w:ind w:left="1360" w:hanging="720"/>
        <w:jc w:val="both"/>
      </w:pPr>
      <w:r>
        <w:t>„</w:t>
      </w:r>
      <w:r>
        <w:rPr>
          <w:b/>
          <w:bCs/>
        </w:rPr>
        <w:t>Povolení záměru</w:t>
      </w:r>
      <w:r>
        <w:t>“ znamená rozhodnutí (či jiný správní akt/akty), kterým se povoluje stavební realizace Investičního záměru, včetně jeho změn;</w:t>
      </w:r>
    </w:p>
    <w:p w14:paraId="44458826" w14:textId="77777777" w:rsidR="00EC1C40" w:rsidRDefault="00000000">
      <w:pPr>
        <w:pStyle w:val="Zkladntext1"/>
        <w:framePr w:w="10186" w:h="13445" w:hRule="exact" w:wrap="none" w:vAnchor="page" w:hAnchor="page" w:x="1213" w:y="1940"/>
        <w:numPr>
          <w:ilvl w:val="2"/>
          <w:numId w:val="3"/>
        </w:numPr>
        <w:tabs>
          <w:tab w:val="left" w:pos="1360"/>
        </w:tabs>
        <w:spacing w:after="0"/>
        <w:ind w:left="1360" w:hanging="720"/>
        <w:jc w:val="both"/>
      </w:pPr>
      <w:r>
        <w:t>„</w:t>
      </w:r>
      <w:r>
        <w:rPr>
          <w:b/>
          <w:bCs/>
        </w:rPr>
        <w:t>Pozemky</w:t>
      </w:r>
      <w:r>
        <w:t xml:space="preserve">“ znamenají pozemky, na nichž (popřípadě jejich částech) bude realizován Investiční záměr, respektive Nepeněžní plnění, a to (i) pozemky ve vlastnictví Investora, a to pozemky </w:t>
      </w:r>
      <w:proofErr w:type="spellStart"/>
      <w:r>
        <w:t>parc</w:t>
      </w:r>
      <w:proofErr w:type="spellEnd"/>
      <w:r>
        <w:t xml:space="preserve">. č. st. 5110, 1563/11, 1563/12, 1563/13, 1563/14, 1572/7, 1572/10, 1572/11, 1573/1, 1574/8, 1574/9, 1574/10, 1574/11, 1574/12, 1574/13, 1574/14, 1579/3, 1579/4, 1579/5, 1579/6, 1581/3, 1582/3, 1582/4, 1584/7,1584/12, 1584/13, 1601/8, 1601/15, 3503/4, 3505, 3680/6, 3684/1, 4278/3, 4280/1, 4359/1, 4359/2, 4359/3, 4359/4, 4360/1, 4360/2, 4360/3, 4360/4, 4360/5, 4360/6, 4360/7, 4360/8, 4381, 4383/1, 4383/2, 4383/3, 4383/4, 4384/1, 4384/2, všechny </w:t>
      </w:r>
      <w:proofErr w:type="spellStart"/>
      <w:r>
        <w:t>k.ú</w:t>
      </w:r>
      <w:proofErr w:type="spellEnd"/>
      <w:r>
        <w:t>. Pardubice, (</w:t>
      </w:r>
      <w:proofErr w:type="spellStart"/>
      <w:r>
        <w:t>ii</w:t>
      </w:r>
      <w:proofErr w:type="spellEnd"/>
      <w:r>
        <w:t>) pozemky, jejichž vlastnictví Investor nabyde na základě Směny 1 a Směny 2, a dále pozemky, které bude mít Investor v užívání od SMP na základě Výpůjčky či jiného právního titulu, popřípadě (</w:t>
      </w:r>
      <w:proofErr w:type="spellStart"/>
      <w:r>
        <w:t>iii</w:t>
      </w:r>
      <w:proofErr w:type="spellEnd"/>
      <w:r>
        <w:t xml:space="preserve">) další pozemky, a to vše v rozsahu graficky vyznačeném </w:t>
      </w:r>
      <w:r>
        <w:rPr>
          <w:i/>
          <w:iCs/>
        </w:rPr>
        <w:t>v</w:t>
      </w:r>
      <w:r>
        <w:t xml:space="preserve"> </w:t>
      </w:r>
      <w:r>
        <w:rPr>
          <w:u w:val="single"/>
        </w:rPr>
        <w:t>Příloze č. 4</w:t>
      </w:r>
      <w:r>
        <w:t xml:space="preserve"> této Smlouvy (Katastrální situace), tj. pro zahrnutí daného pozemku či dané části pozemku pod pojem „Pozemky“ je relevantní to, zda se daný pozemek či jeho část nachází v rámci v rozsahu řešeného území Investičního záměru dle </w:t>
      </w:r>
      <w:r>
        <w:rPr>
          <w:u w:val="single"/>
        </w:rPr>
        <w:t>Přílohy č. 4</w:t>
      </w:r>
      <w:r>
        <w:t xml:space="preserve"> této Smlouvy. Z Pozemků bude na některých z nich stavebně realizován Investiční záměr či Nepeněžní plnění, přičemž některé z Pozemků budou zapotřebí pro účely stavební</w:t>
      </w:r>
    </w:p>
    <w:p w14:paraId="3A84FF8F" w14:textId="77777777" w:rsidR="00EC1C40" w:rsidRDefault="00000000">
      <w:pPr>
        <w:pStyle w:val="Zhlavnebozpat0"/>
        <w:framePr w:wrap="none" w:vAnchor="page" w:hAnchor="page" w:x="5600" w:y="16085"/>
        <w:rPr>
          <w:sz w:val="22"/>
          <w:szCs w:val="22"/>
        </w:rPr>
      </w:pPr>
      <w:r>
        <w:rPr>
          <w:color w:val="231E20"/>
          <w:sz w:val="22"/>
          <w:szCs w:val="22"/>
        </w:rPr>
        <w:t>5/63</w:t>
      </w:r>
    </w:p>
    <w:p w14:paraId="1B4CF50E"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7261E756" w14:textId="77777777" w:rsidR="00EC1C40" w:rsidRDefault="00000000">
      <w:pPr>
        <w:spacing w:line="1" w:lineRule="exact"/>
      </w:pPr>
      <w:r>
        <w:rPr>
          <w:noProof/>
        </w:rPr>
        <w:lastRenderedPageBreak/>
        <mc:AlternateContent>
          <mc:Choice Requires="wps">
            <w:drawing>
              <wp:anchor distT="0" distB="0" distL="114300" distR="114300" simplePos="0" relativeHeight="251588096" behindDoc="1" locked="0" layoutInCell="1" allowOverlap="1" wp14:anchorId="2A89BBA4" wp14:editId="00F04CE9">
                <wp:simplePos x="0" y="0"/>
                <wp:positionH relativeFrom="page">
                  <wp:posOffset>879475</wp:posOffset>
                </wp:positionH>
                <wp:positionV relativeFrom="page">
                  <wp:posOffset>932180</wp:posOffset>
                </wp:positionV>
                <wp:extent cx="5702935" cy="0"/>
                <wp:effectExtent l="0" t="0" r="0" b="0"/>
                <wp:wrapNone/>
                <wp:docPr id="5" name="Shape 5"/>
                <wp:cNvGraphicFramePr/>
                <a:graphic xmlns:a="http://schemas.openxmlformats.org/drawingml/2006/main">
                  <a:graphicData uri="http://schemas.microsoft.com/office/word/2010/wordprocessingShape">
                    <wps:wsp>
                      <wps:cNvCnPr/>
                      <wps:spPr>
                        <a:xfrm>
                          <a:off x="0" y="0"/>
                          <a:ext cx="5702935" cy="0"/>
                        </a:xfrm>
                        <a:prstGeom prst="straightConnector1">
                          <a:avLst/>
                        </a:prstGeom>
                        <a:ln w="6350">
                          <a:solidFill/>
                        </a:ln>
                      </wps:spPr>
                      <wps:bodyPr/>
                    </wps:wsp>
                  </a:graphicData>
                </a:graphic>
              </wp:anchor>
            </w:drawing>
          </mc:Choice>
          <mc:Fallback>
            <w:pict>
              <v:shape o:spt="32" o:oned="true" path="m,l21600,21600e" style="position:absolute;margin-left:69.25pt;margin-top:73.400000000000006pt;width:449.05000000000001pt;height:0;z-index:-251658240;mso-position-horizontal-relative:page;mso-position-vertical-relative:page">
                <v:stroke weight="0.5pt"/>
              </v:shape>
            </w:pict>
          </mc:Fallback>
        </mc:AlternateContent>
      </w:r>
    </w:p>
    <w:p w14:paraId="30F4B27F" w14:textId="77777777" w:rsidR="00EC1C40" w:rsidRDefault="00000000">
      <w:pPr>
        <w:pStyle w:val="Zhlavnebozpat0"/>
        <w:framePr w:wrap="none" w:vAnchor="page" w:hAnchor="page" w:x="5192" w:y="1186"/>
      </w:pPr>
      <w:r>
        <w:t>Plánovací smlouva</w:t>
      </w:r>
    </w:p>
    <w:p w14:paraId="36708D7A" w14:textId="77777777" w:rsidR="00EC1C40" w:rsidRDefault="00000000">
      <w:pPr>
        <w:pStyle w:val="Zkladntext1"/>
        <w:framePr w:w="10186" w:h="13536" w:hRule="exact" w:wrap="none" w:vAnchor="page" w:hAnchor="page" w:x="1213" w:y="1940"/>
        <w:ind w:left="1360" w:firstLine="20"/>
        <w:jc w:val="both"/>
      </w:pPr>
      <w:r>
        <w:t>realizace (staveniště). Investiční záměr může být realizován i na jiných pozemcích v Lokalitě Nová Cihelna, než jsou Pozemky (například veřejná infrastruktura atd.);</w:t>
      </w:r>
    </w:p>
    <w:p w14:paraId="16F044E9" w14:textId="77777777" w:rsidR="00EC1C40" w:rsidRDefault="00000000">
      <w:pPr>
        <w:pStyle w:val="Zkladntext1"/>
        <w:framePr w:w="10186" w:h="13536" w:hRule="exact" w:wrap="none" w:vAnchor="page" w:hAnchor="page" w:x="1213" w:y="1940"/>
        <w:numPr>
          <w:ilvl w:val="2"/>
          <w:numId w:val="3"/>
        </w:numPr>
        <w:tabs>
          <w:tab w:val="left" w:pos="1360"/>
        </w:tabs>
        <w:ind w:left="1360" w:hanging="720"/>
        <w:jc w:val="both"/>
      </w:pPr>
      <w:r>
        <w:t>„</w:t>
      </w:r>
      <w:r>
        <w:rPr>
          <w:b/>
          <w:bCs/>
        </w:rPr>
        <w:t>Přeplatek</w:t>
      </w:r>
      <w:r>
        <w:t>“ má význam stanovený v čl. 4.19 Smlouvy;</w:t>
      </w:r>
    </w:p>
    <w:p w14:paraId="1A904BFB" w14:textId="77777777" w:rsidR="00EC1C40" w:rsidRDefault="00000000">
      <w:pPr>
        <w:pStyle w:val="Zkladntext1"/>
        <w:framePr w:w="10186" w:h="13536" w:hRule="exact" w:wrap="none" w:vAnchor="page" w:hAnchor="page" w:x="1213" w:y="1940"/>
        <w:numPr>
          <w:ilvl w:val="2"/>
          <w:numId w:val="3"/>
        </w:numPr>
        <w:tabs>
          <w:tab w:val="left" w:pos="1360"/>
        </w:tabs>
        <w:ind w:left="1360" w:hanging="720"/>
        <w:jc w:val="both"/>
      </w:pPr>
      <w:r>
        <w:t>„</w:t>
      </w:r>
      <w:r>
        <w:rPr>
          <w:b/>
          <w:bCs/>
        </w:rPr>
        <w:t>Referenční výše</w:t>
      </w:r>
      <w:r>
        <w:t>“ znamená referenční hodnotu Investičního příspěvku vyjádřenou v penězích a stanovenou v souladu se Zásadami, jejíž výše a výpočet jsou podrobněji upraveny v čl. 4 Smlouvy, a která je stanovena pro účely ověření rozsahu Investorem poskytnutého Nepeněžního plnění dle této Smlouvy;</w:t>
      </w:r>
    </w:p>
    <w:p w14:paraId="2CBF8B8A" w14:textId="77777777" w:rsidR="00EC1C40" w:rsidRDefault="00000000">
      <w:pPr>
        <w:pStyle w:val="Zkladntext1"/>
        <w:framePr w:w="10186" w:h="13536" w:hRule="exact" w:wrap="none" w:vAnchor="page" w:hAnchor="page" w:x="1213" w:y="1940"/>
        <w:numPr>
          <w:ilvl w:val="2"/>
          <w:numId w:val="3"/>
        </w:numPr>
        <w:tabs>
          <w:tab w:val="left" w:pos="1360"/>
        </w:tabs>
        <w:ind w:left="1360" w:hanging="720"/>
        <w:jc w:val="both"/>
      </w:pPr>
      <w:r>
        <w:t>„</w:t>
      </w:r>
      <w:r>
        <w:rPr>
          <w:b/>
          <w:bCs/>
        </w:rPr>
        <w:t>Směna 1</w:t>
      </w:r>
      <w:r>
        <w:t xml:space="preserve">“ znamená směnu pozemků realizovanou na základě Směnné smlouvy 1, kdy SMP převede na Investora pozemky </w:t>
      </w:r>
      <w:proofErr w:type="spellStart"/>
      <w:r>
        <w:t>parc</w:t>
      </w:r>
      <w:proofErr w:type="spellEnd"/>
      <w:r>
        <w:t xml:space="preserve">. č. 1584/8 a </w:t>
      </w:r>
      <w:proofErr w:type="spellStart"/>
      <w:r>
        <w:t>parc</w:t>
      </w:r>
      <w:proofErr w:type="spellEnd"/>
      <w:r>
        <w:t xml:space="preserve">. č. 1572/8, oba k. </w:t>
      </w:r>
      <w:proofErr w:type="spellStart"/>
      <w:r>
        <w:t>ú.</w:t>
      </w:r>
      <w:proofErr w:type="spellEnd"/>
      <w:r>
        <w:t xml:space="preserve"> Pardubice, a Investor převede na SMP pozemek </w:t>
      </w:r>
      <w:proofErr w:type="spellStart"/>
      <w:r>
        <w:t>parc</w:t>
      </w:r>
      <w:proofErr w:type="spellEnd"/>
      <w:r>
        <w:t xml:space="preserve">. č. 3684/1, k. </w:t>
      </w:r>
      <w:proofErr w:type="spellStart"/>
      <w:r>
        <w:t>ú.</w:t>
      </w:r>
      <w:proofErr w:type="spellEnd"/>
      <w:r>
        <w:t xml:space="preserve"> Pardubice;</w:t>
      </w:r>
    </w:p>
    <w:p w14:paraId="4B58FF2E" w14:textId="77777777" w:rsidR="00EC1C40" w:rsidRDefault="00000000">
      <w:pPr>
        <w:pStyle w:val="Zkladntext1"/>
        <w:framePr w:w="10186" w:h="13536" w:hRule="exact" w:wrap="none" w:vAnchor="page" w:hAnchor="page" w:x="1213" w:y="1940"/>
        <w:numPr>
          <w:ilvl w:val="2"/>
          <w:numId w:val="3"/>
        </w:numPr>
        <w:tabs>
          <w:tab w:val="left" w:pos="1360"/>
        </w:tabs>
        <w:ind w:left="1360" w:hanging="720"/>
        <w:jc w:val="both"/>
      </w:pPr>
      <w:r>
        <w:t>„</w:t>
      </w:r>
      <w:r>
        <w:rPr>
          <w:b/>
          <w:bCs/>
        </w:rPr>
        <w:t>Směna 2</w:t>
      </w:r>
      <w:r>
        <w:t xml:space="preserve">“ znamená směnu pozemků realizovanou na základě Smlouvy o smlouvě budoucí směnné, kdy SMP převede na Investora na základě realizační Směnné smlouvy 2 pozemky </w:t>
      </w:r>
      <w:proofErr w:type="spellStart"/>
      <w:r>
        <w:t>parc</w:t>
      </w:r>
      <w:proofErr w:type="spellEnd"/>
      <w:r>
        <w:t xml:space="preserve">. č. 1575 a </w:t>
      </w:r>
      <w:proofErr w:type="spellStart"/>
      <w:r>
        <w:t>parc</w:t>
      </w:r>
      <w:proofErr w:type="spellEnd"/>
      <w:r>
        <w:t xml:space="preserve">. č. 2678/1, </w:t>
      </w:r>
      <w:proofErr w:type="spellStart"/>
      <w:r>
        <w:t>k.ú</w:t>
      </w:r>
      <w:proofErr w:type="spellEnd"/>
      <w:r>
        <w:t xml:space="preserve">. Pardubice (respektive jejich části definované ve Směnné smlouvě 2) a Investor převede na SMP pozemky </w:t>
      </w:r>
      <w:proofErr w:type="spellStart"/>
      <w:r>
        <w:t>parc</w:t>
      </w:r>
      <w:proofErr w:type="spellEnd"/>
      <w:r>
        <w:t xml:space="preserve">. č. 1563/13, </w:t>
      </w:r>
      <w:proofErr w:type="spellStart"/>
      <w:r>
        <w:t>parc</w:t>
      </w:r>
      <w:proofErr w:type="spellEnd"/>
      <w:r>
        <w:t xml:space="preserve">. č. 1574/11, </w:t>
      </w:r>
      <w:proofErr w:type="spellStart"/>
      <w:r>
        <w:t>parc</w:t>
      </w:r>
      <w:proofErr w:type="spellEnd"/>
      <w:r>
        <w:t xml:space="preserve">. č. 1574/12, </w:t>
      </w:r>
      <w:proofErr w:type="spellStart"/>
      <w:r>
        <w:t>parc</w:t>
      </w:r>
      <w:proofErr w:type="spellEnd"/>
      <w:r>
        <w:t xml:space="preserve">. č. 1574/14, </w:t>
      </w:r>
      <w:proofErr w:type="spellStart"/>
      <w:r>
        <w:t>parc</w:t>
      </w:r>
      <w:proofErr w:type="spellEnd"/>
      <w:r>
        <w:t xml:space="preserve">. č. 1582/3, </w:t>
      </w:r>
      <w:proofErr w:type="spellStart"/>
      <w:r>
        <w:t>parc</w:t>
      </w:r>
      <w:proofErr w:type="spellEnd"/>
      <w:r>
        <w:t xml:space="preserve">. č. 1584/7 a </w:t>
      </w:r>
      <w:proofErr w:type="spellStart"/>
      <w:r>
        <w:t>parc</w:t>
      </w:r>
      <w:proofErr w:type="spellEnd"/>
      <w:r>
        <w:t xml:space="preserve">. č. 1601/15, </w:t>
      </w:r>
      <w:proofErr w:type="spellStart"/>
      <w:r>
        <w:t>k.ú</w:t>
      </w:r>
      <w:proofErr w:type="spellEnd"/>
      <w:r>
        <w:t>. Pardubice (respektive jejich části definované ve Směnné smlouvě 2), a to za podmínek definovaných ve Smlouvě o smlouvě budoucí směnné a Směnné smlouvě 2;</w:t>
      </w:r>
    </w:p>
    <w:p w14:paraId="30425D94" w14:textId="77777777" w:rsidR="00EC1C40" w:rsidRDefault="00000000">
      <w:pPr>
        <w:pStyle w:val="Zkladntext1"/>
        <w:framePr w:w="10186" w:h="13536" w:hRule="exact" w:wrap="none" w:vAnchor="page" w:hAnchor="page" w:x="1213" w:y="1940"/>
        <w:numPr>
          <w:ilvl w:val="2"/>
          <w:numId w:val="3"/>
        </w:numPr>
        <w:tabs>
          <w:tab w:val="left" w:pos="1360"/>
        </w:tabs>
        <w:ind w:left="1360" w:hanging="720"/>
        <w:jc w:val="both"/>
      </w:pPr>
      <w:r>
        <w:t>„</w:t>
      </w:r>
      <w:r>
        <w:rPr>
          <w:b/>
          <w:bCs/>
        </w:rPr>
        <w:t>Směnná smlouva 1</w:t>
      </w:r>
      <w:r>
        <w:t xml:space="preserve">“ znamená směnnou smlouvu uzavíranou mezi Smluvními stranami </w:t>
      </w:r>
      <w:r>
        <w:rPr>
          <w:i/>
          <w:iCs/>
        </w:rPr>
        <w:t>v</w:t>
      </w:r>
      <w:r>
        <w:t xml:space="preserve"> souladu s čl. 9.1 Smlouvy, přičemž její vzorové znění (bez příloh) tvoří </w:t>
      </w:r>
      <w:r>
        <w:rPr>
          <w:u w:val="single"/>
        </w:rPr>
        <w:t>Přílohu č. 5</w:t>
      </w:r>
      <w:r>
        <w:t xml:space="preserve"> této Smlouvy;</w:t>
      </w:r>
    </w:p>
    <w:p w14:paraId="7D0CD6BF" w14:textId="77777777" w:rsidR="00EC1C40" w:rsidRDefault="00000000">
      <w:pPr>
        <w:pStyle w:val="Zkladntext1"/>
        <w:framePr w:w="10186" w:h="13536" w:hRule="exact" w:wrap="none" w:vAnchor="page" w:hAnchor="page" w:x="1213" w:y="1940"/>
        <w:numPr>
          <w:ilvl w:val="2"/>
          <w:numId w:val="3"/>
        </w:numPr>
        <w:tabs>
          <w:tab w:val="left" w:pos="1360"/>
        </w:tabs>
        <w:ind w:left="1360" w:hanging="720"/>
        <w:jc w:val="both"/>
      </w:pPr>
      <w:r>
        <w:t>„</w:t>
      </w:r>
      <w:r>
        <w:rPr>
          <w:b/>
          <w:bCs/>
        </w:rPr>
        <w:t>Směnná smlouva 2</w:t>
      </w:r>
      <w:r>
        <w:t xml:space="preserve">“ znamená směnnou smlouvu uzavíranou mezi Smluvními stranami v souladu s příslušnými ustanoveními Smlouvy o smlouvě budoucí směnné. Vzorové znění Směnné smlouvy 2 tvoří </w:t>
      </w:r>
      <w:r>
        <w:rPr>
          <w:u w:val="single"/>
        </w:rPr>
        <w:t>Přílohu č. 5</w:t>
      </w:r>
      <w:r>
        <w:t xml:space="preserve"> této Smlouvy;</w:t>
      </w:r>
    </w:p>
    <w:p w14:paraId="70975160" w14:textId="77777777" w:rsidR="00EC1C40" w:rsidRDefault="00000000">
      <w:pPr>
        <w:pStyle w:val="Zkladntext1"/>
        <w:framePr w:w="10186" w:h="13536" w:hRule="exact" w:wrap="none" w:vAnchor="page" w:hAnchor="page" w:x="1213" w:y="1940"/>
        <w:numPr>
          <w:ilvl w:val="2"/>
          <w:numId w:val="3"/>
        </w:numPr>
        <w:tabs>
          <w:tab w:val="left" w:pos="1360"/>
        </w:tabs>
        <w:ind w:left="1360" w:hanging="720"/>
        <w:jc w:val="both"/>
      </w:pPr>
      <w:r>
        <w:t>„</w:t>
      </w:r>
      <w:r>
        <w:rPr>
          <w:b/>
          <w:bCs/>
        </w:rPr>
        <w:t>Smlouva o smlouvě budoucí směnné</w:t>
      </w:r>
      <w:r>
        <w:t xml:space="preserve">“ znamená Smlouvu o smlouvě budoucí směnné, na základě níž SMP a Investor uzavřou za podmínek sjednaných ve Smlouvě o smlouvě budoucí směnné realizační Směnnou smlouvu 2, na základě které realizují Směnu 2. Vzorové znění Smlouvy o smlouvě budoucí směnné (bez příloh) tvoří </w:t>
      </w:r>
      <w:r>
        <w:rPr>
          <w:u w:val="single"/>
        </w:rPr>
        <w:t>Přílohu č. 6</w:t>
      </w:r>
      <w:r>
        <w:t xml:space="preserve"> této Smlouvy;</w:t>
      </w:r>
    </w:p>
    <w:p w14:paraId="7819B09B" w14:textId="77777777" w:rsidR="00EC1C40" w:rsidRDefault="00000000">
      <w:pPr>
        <w:pStyle w:val="Zkladntext1"/>
        <w:framePr w:w="10186" w:h="13536" w:hRule="exact" w:wrap="none" w:vAnchor="page" w:hAnchor="page" w:x="1213" w:y="1940"/>
        <w:numPr>
          <w:ilvl w:val="2"/>
          <w:numId w:val="3"/>
        </w:numPr>
        <w:tabs>
          <w:tab w:val="left" w:pos="1360"/>
        </w:tabs>
        <w:ind w:left="1360" w:hanging="720"/>
        <w:jc w:val="both"/>
      </w:pPr>
      <w:r>
        <w:t>„</w:t>
      </w:r>
      <w:r>
        <w:rPr>
          <w:b/>
          <w:bCs/>
        </w:rPr>
        <w:t>Smlouva o výpůjčce</w:t>
      </w:r>
      <w:r>
        <w:t xml:space="preserve">“ znamená smlouvu o výpůjčce uzavíranou mezi Smluvními stranami v souladu s čl. 8 Smlouvy, na základě které SMP poskytne Investorovi právo bezplatně užívat Vypůjčené pozemky, včetně jejich dodatků. Vzorové znění Smlouvy o výpůjčce (bez příloh) tvoří </w:t>
      </w:r>
      <w:r>
        <w:rPr>
          <w:u w:val="single"/>
        </w:rPr>
        <w:t>Přílohu č. 7</w:t>
      </w:r>
      <w:r>
        <w:t xml:space="preserve"> této Smlouvy;</w:t>
      </w:r>
    </w:p>
    <w:p w14:paraId="0C991755" w14:textId="77777777" w:rsidR="00EC1C40" w:rsidRDefault="00000000">
      <w:pPr>
        <w:pStyle w:val="Zkladntext1"/>
        <w:framePr w:w="10186" w:h="13536" w:hRule="exact" w:wrap="none" w:vAnchor="page" w:hAnchor="page" w:x="1213" w:y="1940"/>
        <w:numPr>
          <w:ilvl w:val="2"/>
          <w:numId w:val="3"/>
        </w:numPr>
        <w:tabs>
          <w:tab w:val="left" w:pos="1360"/>
        </w:tabs>
        <w:ind w:left="1360" w:hanging="720"/>
        <w:jc w:val="both"/>
      </w:pPr>
      <w:r>
        <w:t>„</w:t>
      </w:r>
      <w:r>
        <w:rPr>
          <w:b/>
          <w:bCs/>
        </w:rPr>
        <w:t>Související infrastruktura</w:t>
      </w:r>
      <w:r>
        <w:t>“ znamená veškerou technickou a dopravní infrastrukturu, která bude realizována Investorem v souvislosti s realizací Investičního záměru, pokud se nejedná o Nepeněžní plnění. Související infrastruktura není součástí Investičního příspěvku;</w:t>
      </w:r>
    </w:p>
    <w:p w14:paraId="6820D671" w14:textId="77777777" w:rsidR="00EC1C40" w:rsidRDefault="00000000">
      <w:pPr>
        <w:pStyle w:val="Zkladntext1"/>
        <w:framePr w:w="10186" w:h="13536" w:hRule="exact" w:wrap="none" w:vAnchor="page" w:hAnchor="page" w:x="1213" w:y="1940"/>
        <w:numPr>
          <w:ilvl w:val="2"/>
          <w:numId w:val="3"/>
        </w:numPr>
        <w:tabs>
          <w:tab w:val="left" w:pos="1360"/>
        </w:tabs>
        <w:ind w:left="1360" w:hanging="720"/>
        <w:jc w:val="both"/>
      </w:pPr>
      <w:r>
        <w:t>„</w:t>
      </w:r>
      <w:r>
        <w:rPr>
          <w:b/>
          <w:bCs/>
        </w:rPr>
        <w:t>Správní řád</w:t>
      </w:r>
      <w:r>
        <w:t>“ znamená zákon č. 500/2004 Sb., správní řád, ve znění pozdějších předpisů;</w:t>
      </w:r>
    </w:p>
    <w:p w14:paraId="4ECFA097" w14:textId="77777777" w:rsidR="00EC1C40" w:rsidRDefault="00000000">
      <w:pPr>
        <w:pStyle w:val="Zkladntext1"/>
        <w:framePr w:w="10186" w:h="13536" w:hRule="exact" w:wrap="none" w:vAnchor="page" w:hAnchor="page" w:x="1213" w:y="1940"/>
        <w:numPr>
          <w:ilvl w:val="2"/>
          <w:numId w:val="3"/>
        </w:numPr>
        <w:tabs>
          <w:tab w:val="left" w:pos="1360"/>
        </w:tabs>
        <w:ind w:left="1360" w:hanging="720"/>
        <w:jc w:val="both"/>
      </w:pPr>
      <w:r>
        <w:t>„</w:t>
      </w:r>
      <w:r>
        <w:rPr>
          <w:b/>
          <w:bCs/>
        </w:rPr>
        <w:t>Stavební zákon</w:t>
      </w:r>
      <w:r>
        <w:t>“ znamená zákon č. 283/2021 Sb., stavební zákon, ve znění pozdějších předpisů;</w:t>
      </w:r>
    </w:p>
    <w:p w14:paraId="0E509E25" w14:textId="77777777" w:rsidR="00EC1C40" w:rsidRDefault="00000000">
      <w:pPr>
        <w:pStyle w:val="Zkladntext1"/>
        <w:framePr w:w="10186" w:h="13536" w:hRule="exact" w:wrap="none" w:vAnchor="page" w:hAnchor="page" w:x="1213" w:y="1940"/>
        <w:numPr>
          <w:ilvl w:val="2"/>
          <w:numId w:val="3"/>
        </w:numPr>
        <w:tabs>
          <w:tab w:val="left" w:pos="1360"/>
        </w:tabs>
        <w:spacing w:after="0"/>
        <w:ind w:left="1360" w:hanging="720"/>
        <w:jc w:val="both"/>
      </w:pPr>
      <w:r>
        <w:t>„</w:t>
      </w:r>
      <w:r>
        <w:rPr>
          <w:b/>
          <w:bCs/>
        </w:rPr>
        <w:t>Tréninková hala</w:t>
      </w:r>
      <w:r>
        <w:t xml:space="preserve">“ znamená tréninkovou halu vybudovanou jako prostor pro sportovní tréning, sportovní aktivity veřejnosti a pro konání menších kulturních akcí, která je jedním z Klíčových objektů Investičního záměru, a jejíž Základní parametry jsou definované v </w:t>
      </w:r>
      <w:r>
        <w:rPr>
          <w:u w:val="single"/>
        </w:rPr>
        <w:t>Příloze č. 1</w:t>
      </w:r>
      <w:r>
        <w:t xml:space="preserve"> této Smlouvy;</w:t>
      </w:r>
    </w:p>
    <w:p w14:paraId="45CFAA63" w14:textId="77777777" w:rsidR="00EC1C40" w:rsidRDefault="00000000">
      <w:pPr>
        <w:pStyle w:val="Zhlavnebozpat0"/>
        <w:framePr w:wrap="none" w:vAnchor="page" w:hAnchor="page" w:x="5600" w:y="16085"/>
        <w:rPr>
          <w:sz w:val="22"/>
          <w:szCs w:val="22"/>
        </w:rPr>
      </w:pPr>
      <w:r>
        <w:rPr>
          <w:color w:val="231E20"/>
          <w:sz w:val="22"/>
          <w:szCs w:val="22"/>
        </w:rPr>
        <w:t>6/63</w:t>
      </w:r>
    </w:p>
    <w:p w14:paraId="4AC8739A"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0707BA68" w14:textId="77777777" w:rsidR="00EC1C40" w:rsidRDefault="00000000">
      <w:pPr>
        <w:spacing w:line="1" w:lineRule="exact"/>
      </w:pPr>
      <w:r>
        <w:rPr>
          <w:noProof/>
        </w:rPr>
        <w:lastRenderedPageBreak/>
        <mc:AlternateContent>
          <mc:Choice Requires="wps">
            <w:drawing>
              <wp:anchor distT="0" distB="0" distL="114300" distR="114300" simplePos="0" relativeHeight="251589120" behindDoc="1" locked="0" layoutInCell="1" allowOverlap="1" wp14:anchorId="1DC34151" wp14:editId="66AD7C84">
                <wp:simplePos x="0" y="0"/>
                <wp:positionH relativeFrom="page">
                  <wp:posOffset>879475</wp:posOffset>
                </wp:positionH>
                <wp:positionV relativeFrom="page">
                  <wp:posOffset>932180</wp:posOffset>
                </wp:positionV>
                <wp:extent cx="5702935" cy="0"/>
                <wp:effectExtent l="0" t="0" r="0" b="0"/>
                <wp:wrapNone/>
                <wp:docPr id="6" name="Shape 6"/>
                <wp:cNvGraphicFramePr/>
                <a:graphic xmlns:a="http://schemas.openxmlformats.org/drawingml/2006/main">
                  <a:graphicData uri="http://schemas.microsoft.com/office/word/2010/wordprocessingShape">
                    <wps:wsp>
                      <wps:cNvCnPr/>
                      <wps:spPr>
                        <a:xfrm>
                          <a:off x="0" y="0"/>
                          <a:ext cx="5702935" cy="0"/>
                        </a:xfrm>
                        <a:prstGeom prst="straightConnector1">
                          <a:avLst/>
                        </a:prstGeom>
                        <a:ln w="6350">
                          <a:solidFill/>
                        </a:ln>
                      </wps:spPr>
                      <wps:bodyPr/>
                    </wps:wsp>
                  </a:graphicData>
                </a:graphic>
              </wp:anchor>
            </w:drawing>
          </mc:Choice>
          <mc:Fallback>
            <w:pict>
              <v:shape o:spt="32" o:oned="true" path="m,l21600,21600e" style="position:absolute;margin-left:69.25pt;margin-top:73.400000000000006pt;width:449.05000000000001pt;height:0;z-index:-251658240;mso-position-horizontal-relative:page;mso-position-vertical-relative:page">
                <v:stroke weight="0.5pt"/>
              </v:shape>
            </w:pict>
          </mc:Fallback>
        </mc:AlternateContent>
      </w:r>
    </w:p>
    <w:p w14:paraId="4E86EAFE" w14:textId="77777777" w:rsidR="00EC1C40" w:rsidRDefault="00000000">
      <w:pPr>
        <w:pStyle w:val="Zhlavnebozpat0"/>
        <w:framePr w:wrap="none" w:vAnchor="page" w:hAnchor="page" w:x="5192" w:y="1186"/>
      </w:pPr>
      <w:r>
        <w:t>Plánovací smlouva</w:t>
      </w:r>
    </w:p>
    <w:p w14:paraId="28F1E97E" w14:textId="77777777" w:rsidR="00EC1C40" w:rsidRDefault="00000000">
      <w:pPr>
        <w:pStyle w:val="Zkladntext1"/>
        <w:framePr w:w="10186" w:h="13354" w:hRule="exact" w:wrap="none" w:vAnchor="page" w:hAnchor="page" w:x="1213" w:y="1940"/>
        <w:numPr>
          <w:ilvl w:val="2"/>
          <w:numId w:val="3"/>
        </w:numPr>
        <w:tabs>
          <w:tab w:val="left" w:pos="1360"/>
        </w:tabs>
        <w:ind w:left="1360" w:hanging="720"/>
        <w:jc w:val="both"/>
      </w:pPr>
      <w:r>
        <w:t>„</w:t>
      </w:r>
      <w:r>
        <w:rPr>
          <w:b/>
          <w:bCs/>
        </w:rPr>
        <w:t>Územní studie</w:t>
      </w:r>
      <w:r>
        <w:t xml:space="preserve">“ znamená územní studie pro lokalitu „Nová Cihelna“ zpracovaná zpracovatelem Atelier architektury a urbanismu, s.r.o., Lipky 1283, 549 41 Červený Kostelec, schválená dne 15. 5. 2025, která umožní realizaci Investičního záměru v jeho uvažovaných parametrech, která byla registrována v Národním </w:t>
      </w:r>
      <w:proofErr w:type="spellStart"/>
      <w:r>
        <w:t>geoportálu</w:t>
      </w:r>
      <w:proofErr w:type="spellEnd"/>
      <w:r>
        <w:t xml:space="preserve"> územního plánování, a jejíž výkresy č. 5 </w:t>
      </w:r>
      <w:r>
        <w:rPr>
          <w:i/>
          <w:iCs/>
        </w:rPr>
        <w:t>(Řešení veřejných prostranství)</w:t>
      </w:r>
      <w:r>
        <w:t xml:space="preserve"> a č. 8 </w:t>
      </w:r>
      <w:r>
        <w:rPr>
          <w:i/>
          <w:iCs/>
        </w:rPr>
        <w:t xml:space="preserve">(Regulační výkres) </w:t>
      </w:r>
      <w:r>
        <w:t xml:space="preserve">tvoří </w:t>
      </w:r>
      <w:r>
        <w:rPr>
          <w:u w:val="single"/>
        </w:rPr>
        <w:t>Přílohu č. 8</w:t>
      </w:r>
      <w:r>
        <w:t xml:space="preserve"> této Smlouvy. Pro tuto Smlouvu je relevantní znění (podoba) Územní studie ke dni uzavření této Smlouvy, případné budoucí změny, doplnění či nahrazení Zásad se pro účely této Smlouvy nezohledňují, nedohodnou-li se Smluvní strany jinak;</w:t>
      </w:r>
    </w:p>
    <w:p w14:paraId="63974ABB" w14:textId="77777777" w:rsidR="00EC1C40" w:rsidRDefault="00000000">
      <w:pPr>
        <w:pStyle w:val="Zkladntext1"/>
        <w:framePr w:w="10186" w:h="13354" w:hRule="exact" w:wrap="none" w:vAnchor="page" w:hAnchor="page" w:x="1213" w:y="1940"/>
        <w:numPr>
          <w:ilvl w:val="2"/>
          <w:numId w:val="3"/>
        </w:numPr>
        <w:tabs>
          <w:tab w:val="left" w:pos="1360"/>
        </w:tabs>
        <w:ind w:left="1360" w:hanging="720"/>
        <w:jc w:val="both"/>
      </w:pPr>
      <w:r>
        <w:t>„</w:t>
      </w:r>
      <w:r>
        <w:rPr>
          <w:b/>
          <w:bCs/>
        </w:rPr>
        <w:t>Veřejná stavba</w:t>
      </w:r>
      <w:r>
        <w:t>“ znamená samostatnou stavbu sportu a občanského vybavení ve smyslu čl. I. odst. 6 Zásad;</w:t>
      </w:r>
    </w:p>
    <w:p w14:paraId="3E1ADE78" w14:textId="77777777" w:rsidR="00EC1C40" w:rsidRDefault="00000000">
      <w:pPr>
        <w:pStyle w:val="Zkladntext1"/>
        <w:framePr w:w="10186" w:h="13354" w:hRule="exact" w:wrap="none" w:vAnchor="page" w:hAnchor="page" w:x="1213" w:y="1940"/>
        <w:numPr>
          <w:ilvl w:val="2"/>
          <w:numId w:val="3"/>
        </w:numPr>
        <w:tabs>
          <w:tab w:val="left" w:pos="1360"/>
        </w:tabs>
        <w:ind w:left="1360" w:hanging="720"/>
        <w:jc w:val="both"/>
      </w:pPr>
      <w:r>
        <w:t>„</w:t>
      </w:r>
      <w:r>
        <w:rPr>
          <w:b/>
          <w:bCs/>
        </w:rPr>
        <w:t>Vypůjčené pozemky</w:t>
      </w:r>
      <w:r>
        <w:t xml:space="preserve">“ znamenají pozemky, které jsou předmětem Smlouvy o výpůjčce, a které SMP poskytne Investorovi k bezplatnému užívání v souladu se Smlouvou o výpůjčce, přičemž ke dni uzavření této Smlouvy se jedná o pozemky: (i) pozemky (v celé jejich výměře) </w:t>
      </w:r>
      <w:proofErr w:type="spellStart"/>
      <w:r>
        <w:t>parc</w:t>
      </w:r>
      <w:proofErr w:type="spellEnd"/>
      <w:r>
        <w:t xml:space="preserve">. č. 1575, 3618/4, 3619/1, 3684/6, 3684/7, 4300, 5207/12, 5207/13, 5207/14, 5207/15, vše v </w:t>
      </w:r>
      <w:proofErr w:type="spellStart"/>
      <w:r>
        <w:t>k.ú</w:t>
      </w:r>
      <w:proofErr w:type="spellEnd"/>
      <w:r>
        <w:t>. Pardubice, (</w:t>
      </w:r>
      <w:proofErr w:type="spellStart"/>
      <w:r>
        <w:t>ii</w:t>
      </w:r>
      <w:proofErr w:type="spellEnd"/>
      <w:r>
        <w:t xml:space="preserve">) části dále uvedených pozemků </w:t>
      </w:r>
      <w:proofErr w:type="spellStart"/>
      <w:r>
        <w:t>parc</w:t>
      </w:r>
      <w:proofErr w:type="spellEnd"/>
      <w:r>
        <w:t xml:space="preserve">. č. 2678/1, 3615/1, 3615/2, 3618/5, 4286/1, 4286/4, 4323/5, 5162/27, 5207/16, vše v </w:t>
      </w:r>
      <w:proofErr w:type="spellStart"/>
      <w:r>
        <w:t>k.ú</w:t>
      </w:r>
      <w:proofErr w:type="spellEnd"/>
      <w:r>
        <w:t>. Pardubice, jak jsou uvedeny ve Smlouvy o výpůjčce a (</w:t>
      </w:r>
      <w:proofErr w:type="spellStart"/>
      <w:r>
        <w:t>iii</w:t>
      </w:r>
      <w:proofErr w:type="spellEnd"/>
      <w:r>
        <w:t xml:space="preserve">) do budoucna (po nabytí vlastnického práva SMP k těmto pozemkům) rovněž o pozemky </w:t>
      </w:r>
      <w:proofErr w:type="spellStart"/>
      <w:r>
        <w:t>parc</w:t>
      </w:r>
      <w:proofErr w:type="spellEnd"/>
      <w:r>
        <w:t xml:space="preserve">. č. 3684/1 a Pozemek SPÚ </w:t>
      </w:r>
      <w:r>
        <w:rPr>
          <w:i/>
          <w:iCs/>
        </w:rPr>
        <w:t>(jak je tento pojem definován v čl. 8.4 Smlouvy)</w:t>
      </w:r>
      <w:r>
        <w:t xml:space="preserve">, oba </w:t>
      </w:r>
      <w:proofErr w:type="spellStart"/>
      <w:r>
        <w:t>k.ú</w:t>
      </w:r>
      <w:proofErr w:type="spellEnd"/>
      <w:r>
        <w:t>. Pardubice;</w:t>
      </w:r>
    </w:p>
    <w:p w14:paraId="27D58912" w14:textId="77777777" w:rsidR="00EC1C40" w:rsidRDefault="00000000">
      <w:pPr>
        <w:pStyle w:val="Zkladntext1"/>
        <w:framePr w:w="10186" w:h="13354" w:hRule="exact" w:wrap="none" w:vAnchor="page" w:hAnchor="page" w:x="1213" w:y="1940"/>
        <w:numPr>
          <w:ilvl w:val="2"/>
          <w:numId w:val="3"/>
        </w:numPr>
        <w:tabs>
          <w:tab w:val="left" w:pos="1360"/>
        </w:tabs>
        <w:ind w:left="1360" w:hanging="720"/>
        <w:jc w:val="both"/>
      </w:pPr>
      <w:r>
        <w:t>„</w:t>
      </w:r>
      <w:r>
        <w:rPr>
          <w:b/>
          <w:bCs/>
        </w:rPr>
        <w:t>Výpůjčka</w:t>
      </w:r>
      <w:r>
        <w:t>“ znamená právo bezplatného užívání Vypůjčených pozemků zřízené na základě Smlouvy o výpůjčce;</w:t>
      </w:r>
    </w:p>
    <w:p w14:paraId="45F84B75" w14:textId="77777777" w:rsidR="00EC1C40" w:rsidRDefault="00000000">
      <w:pPr>
        <w:pStyle w:val="Zkladntext1"/>
        <w:framePr w:w="10186" w:h="13354" w:hRule="exact" w:wrap="none" w:vAnchor="page" w:hAnchor="page" w:x="1213" w:y="1940"/>
        <w:numPr>
          <w:ilvl w:val="2"/>
          <w:numId w:val="3"/>
        </w:numPr>
        <w:tabs>
          <w:tab w:val="left" w:pos="1360"/>
        </w:tabs>
        <w:ind w:left="1360" w:hanging="720"/>
        <w:jc w:val="both"/>
      </w:pPr>
      <w:r>
        <w:t>„</w:t>
      </w:r>
      <w:r>
        <w:rPr>
          <w:b/>
          <w:bCs/>
        </w:rPr>
        <w:t>XXII. změna ÚP</w:t>
      </w:r>
      <w:r>
        <w:t>“ znamená XXII. změnu územního plánu SMP, která umožnila z hlediska územního plánu SMP realizaci Investičního záměru v jeho uvažovaných parametrech, přičemž příslušné opatření obecné povahy implementující XXII. změnu ÚP do územního plánu SMP bylo přijato Zastupitelstvem města Pardubice usnesením č. Z/883/2023, ze dne 18. 12. 2023;</w:t>
      </w:r>
    </w:p>
    <w:p w14:paraId="6173B220" w14:textId="77777777" w:rsidR="00EC1C40" w:rsidRDefault="00000000">
      <w:pPr>
        <w:pStyle w:val="Zkladntext1"/>
        <w:framePr w:w="10186" w:h="13354" w:hRule="exact" w:wrap="none" w:vAnchor="page" w:hAnchor="page" w:x="1213" w:y="1940"/>
        <w:numPr>
          <w:ilvl w:val="2"/>
          <w:numId w:val="3"/>
        </w:numPr>
        <w:tabs>
          <w:tab w:val="left" w:pos="1360"/>
        </w:tabs>
        <w:ind w:left="1360" w:hanging="720"/>
        <w:jc w:val="both"/>
      </w:pPr>
      <w:r>
        <w:t>„</w:t>
      </w:r>
      <w:r>
        <w:rPr>
          <w:b/>
          <w:bCs/>
        </w:rPr>
        <w:t>Zahájení realizace Investičního záměru</w:t>
      </w:r>
      <w:r>
        <w:t>“ znamená faktické započetí stavebních prací na realizaci Investičního záměru, včetně Klíčových objektů, přičemž za Zahájení realizace Investičního záměru se pro účely této Smlouvy považuje nejdříve nastalá z těchto skutečností: (i) zahájení základových konstrukcí Klíčových objektů, nebo (</w:t>
      </w:r>
      <w:proofErr w:type="spellStart"/>
      <w:r>
        <w:t>ii</w:t>
      </w:r>
      <w:proofErr w:type="spellEnd"/>
      <w:r>
        <w:t xml:space="preserve">) zahájení montáže nosných konstrukcí u montovaných staveb tvořících Klíčové objekty. Za zahájení realizace Investičního záměru se však nepovažuje příprava staveniště (oplocení, zařízení staveniště, přípojky pro stavbu), realizace staveništních komunikací a staveništních přípojek, průzkumné práce, geodetické práce, kácení dřevin, geodetické vytyčení, archeologický průzkum, realizace přeložek veřejné infrastruktury, realizace technické infrastruktury (zejména, nikoli výlučně, kanalizačního řadu, vodovodního řadu), skrývka ornice, realizace výkopových (zemních) prací týkajících se či souvisejících s Odstraněním odpadů a znečištění (včetně hloubení stavební jámy a statického zajištění stavební jámy, včetně instalace štětovnic a jejich kotvení) a/nebo samotná realizace Odstranění odpadů a znečištění, včetně souvisejících či navazujících činností (realizace průzkumných, </w:t>
      </w:r>
      <w:proofErr w:type="spellStart"/>
      <w:r>
        <w:t>širokoprofilových</w:t>
      </w:r>
      <w:proofErr w:type="spellEnd"/>
      <w:r>
        <w:t xml:space="preserve"> a jiných vrtů, sanační rozvody, dekontaminační stanice, hydraulická bariéra a další opatření), a dále realizace Nepeněžního plnění, a to zejména v podobě Sjezdů z obchvatu (jak je tento pojem definován v této Smlouvě) a Cyklostezky (jak je tento pojem definován v této Smlouvě);</w:t>
      </w:r>
    </w:p>
    <w:p w14:paraId="2E8561AC" w14:textId="77777777" w:rsidR="00EC1C40" w:rsidRDefault="00000000">
      <w:pPr>
        <w:pStyle w:val="Zkladntext1"/>
        <w:framePr w:w="10186" w:h="13354" w:hRule="exact" w:wrap="none" w:vAnchor="page" w:hAnchor="page" w:x="1213" w:y="1940"/>
        <w:numPr>
          <w:ilvl w:val="2"/>
          <w:numId w:val="3"/>
        </w:numPr>
        <w:tabs>
          <w:tab w:val="left" w:pos="1360"/>
        </w:tabs>
        <w:spacing w:after="0"/>
        <w:ind w:left="1360" w:hanging="720"/>
        <w:jc w:val="both"/>
      </w:pPr>
      <w:r>
        <w:t>„</w:t>
      </w:r>
      <w:r>
        <w:rPr>
          <w:b/>
          <w:bCs/>
        </w:rPr>
        <w:t>Zásady</w:t>
      </w:r>
      <w:r>
        <w:t>“ znamená Zásady statutárního města Pardubice pro spolupráci s investory, schválené Zastupitelstvem města Pardubice usnesením č. Z/2736/2022 ze dne 20.1.2022. Pokud tato Smlouva stanoví, že pro právní vztah založený touto Smlouvou</w:t>
      </w:r>
    </w:p>
    <w:p w14:paraId="4E00DA7A" w14:textId="77777777" w:rsidR="00EC1C40" w:rsidRDefault="00000000">
      <w:pPr>
        <w:pStyle w:val="Zhlavnebozpat0"/>
        <w:framePr w:wrap="none" w:vAnchor="page" w:hAnchor="page" w:x="5600" w:y="16085"/>
        <w:rPr>
          <w:sz w:val="22"/>
          <w:szCs w:val="22"/>
        </w:rPr>
      </w:pPr>
      <w:r>
        <w:rPr>
          <w:color w:val="231E20"/>
          <w:sz w:val="22"/>
          <w:szCs w:val="22"/>
        </w:rPr>
        <w:t>7/63</w:t>
      </w:r>
    </w:p>
    <w:p w14:paraId="11CA4FBE"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1961E233" w14:textId="77777777" w:rsidR="00EC1C40" w:rsidRDefault="00000000">
      <w:pPr>
        <w:spacing w:line="1" w:lineRule="exact"/>
      </w:pPr>
      <w:r>
        <w:rPr>
          <w:noProof/>
        </w:rPr>
        <w:lastRenderedPageBreak/>
        <mc:AlternateContent>
          <mc:Choice Requires="wps">
            <w:drawing>
              <wp:anchor distT="0" distB="0" distL="114300" distR="114300" simplePos="0" relativeHeight="251590144" behindDoc="1" locked="0" layoutInCell="1" allowOverlap="1" wp14:anchorId="288ED338" wp14:editId="0A49E5DC">
                <wp:simplePos x="0" y="0"/>
                <wp:positionH relativeFrom="page">
                  <wp:posOffset>879475</wp:posOffset>
                </wp:positionH>
                <wp:positionV relativeFrom="page">
                  <wp:posOffset>932180</wp:posOffset>
                </wp:positionV>
                <wp:extent cx="5702935" cy="0"/>
                <wp:effectExtent l="0" t="0" r="0" b="0"/>
                <wp:wrapNone/>
                <wp:docPr id="7" name="Shape 7"/>
                <wp:cNvGraphicFramePr/>
                <a:graphic xmlns:a="http://schemas.openxmlformats.org/drawingml/2006/main">
                  <a:graphicData uri="http://schemas.microsoft.com/office/word/2010/wordprocessingShape">
                    <wps:wsp>
                      <wps:cNvCnPr/>
                      <wps:spPr>
                        <a:xfrm>
                          <a:off x="0" y="0"/>
                          <a:ext cx="5702935" cy="0"/>
                        </a:xfrm>
                        <a:prstGeom prst="straightConnector1">
                          <a:avLst/>
                        </a:prstGeom>
                        <a:ln w="6350">
                          <a:solidFill/>
                        </a:ln>
                      </wps:spPr>
                      <wps:bodyPr/>
                    </wps:wsp>
                  </a:graphicData>
                </a:graphic>
              </wp:anchor>
            </w:drawing>
          </mc:Choice>
          <mc:Fallback>
            <w:pict>
              <v:shape o:spt="32" o:oned="true" path="m,l21600,21600e" style="position:absolute;margin-left:69.25pt;margin-top:73.400000000000006pt;width:449.05000000000001pt;height:0;z-index:-251658240;mso-position-horizontal-relative:page;mso-position-vertical-relative:page">
                <v:stroke weight="0.5pt"/>
              </v:shape>
            </w:pict>
          </mc:Fallback>
        </mc:AlternateContent>
      </w:r>
    </w:p>
    <w:p w14:paraId="5B2F7E84" w14:textId="77777777" w:rsidR="00EC1C40" w:rsidRDefault="00000000">
      <w:pPr>
        <w:pStyle w:val="Zhlavnebozpat0"/>
        <w:framePr w:wrap="none" w:vAnchor="page" w:hAnchor="page" w:x="5192" w:y="1186"/>
      </w:pPr>
      <w:r>
        <w:t>Plánovací smlouva</w:t>
      </w:r>
    </w:p>
    <w:p w14:paraId="48156C70" w14:textId="77777777" w:rsidR="00EC1C40" w:rsidRDefault="00000000">
      <w:pPr>
        <w:pStyle w:val="Zkladntext1"/>
        <w:framePr w:w="10186" w:h="13565" w:hRule="exact" w:wrap="none" w:vAnchor="page" w:hAnchor="page" w:x="1213" w:y="1940"/>
        <w:ind w:left="1360" w:firstLine="20"/>
        <w:jc w:val="both"/>
      </w:pPr>
      <w:r>
        <w:t xml:space="preserve">jsou v určitém ohledu relevantní Zásady, je určující znění Zásad existující ke dni uzavření této Smlouvy, které tvoří (bez příloh) </w:t>
      </w:r>
      <w:r>
        <w:rPr>
          <w:u w:val="single"/>
        </w:rPr>
        <w:t>Přílohu č. 9</w:t>
      </w:r>
      <w:r>
        <w:t xml:space="preserve"> této Smlouvy, případné budoucí změny, doplnění či nahrazení Zásad se pro účely této Smlouvy nezohledňují;</w:t>
      </w:r>
    </w:p>
    <w:p w14:paraId="78EDE066" w14:textId="77777777" w:rsidR="00EC1C40" w:rsidRDefault="00000000">
      <w:pPr>
        <w:pStyle w:val="Zkladntext1"/>
        <w:framePr w:w="10186" w:h="13565" w:hRule="exact" w:wrap="none" w:vAnchor="page" w:hAnchor="page" w:x="1213" w:y="1940"/>
        <w:numPr>
          <w:ilvl w:val="2"/>
          <w:numId w:val="3"/>
        </w:numPr>
        <w:tabs>
          <w:tab w:val="left" w:pos="1360"/>
        </w:tabs>
        <w:ind w:left="1360" w:hanging="720"/>
        <w:jc w:val="both"/>
      </w:pPr>
      <w:r>
        <w:t>„</w:t>
      </w:r>
      <w:r>
        <w:rPr>
          <w:b/>
          <w:bCs/>
        </w:rPr>
        <w:t>Zásady výstavby</w:t>
      </w:r>
      <w:r>
        <w:t xml:space="preserve">“ znamená Zásady výstavby veřejné infrastruktury určené pro následný převod do majetku města, schválené Zastupitelstvem města Pardubice usnesením č. Z/1260/2024 ze dne 27.5.2024, které stanoví technické a procesní podmínky pro výstavbu a převod veřejné infrastruktury po jejich dokončení do majetku SMP a upravují správu převáděné veřejné infrastruktury po dokončení jejich výstavby, pokud se Smluvní strany nebo Investor a příslušný správce/provozovatel technické infrastruktury nedohodnou jinak; Zásady výstavby tvoří </w:t>
      </w:r>
      <w:r>
        <w:rPr>
          <w:u w:val="single"/>
        </w:rPr>
        <w:t>Přílohu č. 10</w:t>
      </w:r>
      <w:r>
        <w:t xml:space="preserve"> této Smlouvy. Pro právní vztah založený touto Smlouvou je určující znění Zásad výstavby účinné ke dni uzavření Smlouvy; případné budoucí změny, doplnění či nahrazení Zásad výstavby po tomto datu se pro účely této Smlouvy nezohledňují;</w:t>
      </w:r>
    </w:p>
    <w:p w14:paraId="58C68F7B" w14:textId="77777777" w:rsidR="00EC1C40" w:rsidRDefault="00000000">
      <w:pPr>
        <w:pStyle w:val="Zkladntext1"/>
        <w:framePr w:w="10186" w:h="13565" w:hRule="exact" w:wrap="none" w:vAnchor="page" w:hAnchor="page" w:x="1213" w:y="1940"/>
        <w:numPr>
          <w:ilvl w:val="2"/>
          <w:numId w:val="3"/>
        </w:numPr>
        <w:tabs>
          <w:tab w:val="left" w:pos="1360"/>
        </w:tabs>
        <w:ind w:left="1360" w:hanging="720"/>
        <w:jc w:val="both"/>
      </w:pPr>
      <w:r>
        <w:t>„</w:t>
      </w:r>
      <w:r>
        <w:rPr>
          <w:b/>
          <w:bCs/>
        </w:rPr>
        <w:t>Základní parametry</w:t>
      </w:r>
      <w:r>
        <w:t>“ znamenají vlastnosti Investičního záměru sjednané v čl. 3 této Smlouvy, které Investor musí dle této Smlouvy dodržet a respektovat v každé fázi přípravy a stavební realizace Investičního záměru na Pozemcích;</w:t>
      </w:r>
    </w:p>
    <w:p w14:paraId="547B4736" w14:textId="77777777" w:rsidR="00EC1C40" w:rsidRDefault="00000000">
      <w:pPr>
        <w:pStyle w:val="Zkladntext1"/>
        <w:framePr w:w="10186" w:h="13565" w:hRule="exact" w:wrap="none" w:vAnchor="page" w:hAnchor="page" w:x="1213" w:y="1940"/>
        <w:numPr>
          <w:ilvl w:val="2"/>
          <w:numId w:val="3"/>
        </w:numPr>
        <w:tabs>
          <w:tab w:val="left" w:pos="1360"/>
        </w:tabs>
        <w:ind w:left="1360" w:hanging="720"/>
        <w:jc w:val="both"/>
      </w:pPr>
      <w:r>
        <w:t>„</w:t>
      </w:r>
      <w:r>
        <w:rPr>
          <w:b/>
          <w:bCs/>
        </w:rPr>
        <w:t>Zákon o odpadech</w:t>
      </w:r>
      <w:r>
        <w:t>“ znamená zákon č. 541/2020 Sb., o odpadech, ve znění pozdějších předpisů;</w:t>
      </w:r>
    </w:p>
    <w:p w14:paraId="1867C12E" w14:textId="77777777" w:rsidR="00EC1C40" w:rsidRDefault="00000000">
      <w:pPr>
        <w:pStyle w:val="Zkladntext1"/>
        <w:framePr w:w="10186" w:h="13565" w:hRule="exact" w:wrap="none" w:vAnchor="page" w:hAnchor="page" w:x="1213" w:y="1940"/>
        <w:numPr>
          <w:ilvl w:val="2"/>
          <w:numId w:val="3"/>
        </w:numPr>
        <w:tabs>
          <w:tab w:val="left" w:pos="1360"/>
        </w:tabs>
        <w:ind w:left="1360" w:hanging="720"/>
        <w:jc w:val="both"/>
      </w:pPr>
      <w:r>
        <w:t>„</w:t>
      </w:r>
      <w:r>
        <w:rPr>
          <w:b/>
          <w:bCs/>
        </w:rPr>
        <w:t>Závazné milníky</w:t>
      </w:r>
      <w:r>
        <w:t>“ znamená klíčové termíny pro přípravu a realizaci Investičního záměru stanovené v čl. 2.5 této Smlouvy;</w:t>
      </w:r>
    </w:p>
    <w:p w14:paraId="5F6ABE07" w14:textId="77777777" w:rsidR="00EC1C40" w:rsidRDefault="00000000">
      <w:pPr>
        <w:pStyle w:val="Zkladntext1"/>
        <w:framePr w:w="10186" w:h="13565" w:hRule="exact" w:wrap="none" w:vAnchor="page" w:hAnchor="page" w:x="1213" w:y="1940"/>
        <w:numPr>
          <w:ilvl w:val="2"/>
          <w:numId w:val="3"/>
        </w:numPr>
        <w:tabs>
          <w:tab w:val="left" w:pos="1360"/>
        </w:tabs>
        <w:ind w:left="1360" w:hanging="720"/>
        <w:jc w:val="both"/>
      </w:pPr>
      <w:r>
        <w:t>„</w:t>
      </w:r>
      <w:r>
        <w:rPr>
          <w:b/>
          <w:bCs/>
        </w:rPr>
        <w:t>Zpoplatněná HPP</w:t>
      </w:r>
      <w:r>
        <w:t xml:space="preserve">“ znamená taková HPP, která se zohledňuje při výpočtu Referenční výše Investičního příspěvku a současně nejsou ve smyslu této Smlouvy veřejnou stavbou ve smyslu čl. I odst. 6 Zásad, tj. jsou jí (i) v rámci budoucí Arény: (a) HPP veškerých prostor pro samostatný komerční provoz (nad rámec provozování akcí v Aréně), např. </w:t>
      </w:r>
      <w:proofErr w:type="spellStart"/>
      <w:r>
        <w:t>fanshop</w:t>
      </w:r>
      <w:proofErr w:type="spellEnd"/>
      <w:r>
        <w:t>, jiné komerční jednotky, sportbar, apod., (b) v rozsahu 33% HPP bazénu a wellness, (c) v rozsahu 70% HPP prostor pro Hokejový klub vč. jeho zázemí a kanceláří, (d) v rozsahu 10% HPP parkovacích ploch; a dále (</w:t>
      </w:r>
      <w:proofErr w:type="spellStart"/>
      <w:r>
        <w:t>ii</w:t>
      </w:r>
      <w:proofErr w:type="spellEnd"/>
      <w:r>
        <w:t xml:space="preserve">) HPP hotelu a HPP showroomu, naopak mezi Zpoplatněná HPP nepatří HPP Tréninkové haly a Parkovacího domu. Výši celkových HPP a aktuálně předpokládaných Zpoplatněných HPP a jejich rozdělení v rámci aktuálně uvažované podoby Investičního záměru blíže definuje </w:t>
      </w:r>
      <w:r>
        <w:rPr>
          <w:u w:val="single"/>
        </w:rPr>
        <w:t>Příloha č. 11</w:t>
      </w:r>
      <w:r>
        <w:t xml:space="preserve"> této Smlouvy; graficky je toto rozdělení zobrazeno v </w:t>
      </w:r>
      <w:r>
        <w:rPr>
          <w:u w:val="single"/>
        </w:rPr>
        <w:t>příloze č. 12</w:t>
      </w:r>
      <w:r>
        <w:t xml:space="preserve"> této Smlouvy.</w:t>
      </w:r>
    </w:p>
    <w:p w14:paraId="1D08F4DA" w14:textId="77777777" w:rsidR="00EC1C40" w:rsidRDefault="00000000">
      <w:pPr>
        <w:pStyle w:val="Zkladntext1"/>
        <w:framePr w:w="10186" w:h="13565" w:hRule="exact" w:wrap="none" w:vAnchor="page" w:hAnchor="page" w:x="1213" w:y="1940"/>
        <w:numPr>
          <w:ilvl w:val="2"/>
          <w:numId w:val="3"/>
        </w:numPr>
        <w:tabs>
          <w:tab w:val="left" w:pos="1360"/>
        </w:tabs>
        <w:ind w:left="1360" w:hanging="720"/>
        <w:jc w:val="both"/>
      </w:pPr>
      <w:r>
        <w:t>„</w:t>
      </w:r>
      <w:r>
        <w:rPr>
          <w:b/>
          <w:bCs/>
        </w:rPr>
        <w:t>Změna Rozhodnutí o povolení Odstranění odpadů a znečištění</w:t>
      </w:r>
      <w:r>
        <w:t xml:space="preserve">“ znamená změnu Rozhodnutí o povolení Odstranění odpadů a znečištění, jejímž předmětem je zefektivnění procesu Odstranění odpadů a znečištění v souladu s principy odpadového hospodářství (§ 3 odst. 2 Zákona o odpadech), a jejíž projektová dokumentace byla vyhotovena společností Vodní zdroje </w:t>
      </w:r>
      <w:proofErr w:type="spellStart"/>
      <w:r>
        <w:t>Ekomonitor</w:t>
      </w:r>
      <w:proofErr w:type="spellEnd"/>
      <w:r>
        <w:t xml:space="preserve"> spol. s r.o., </w:t>
      </w:r>
      <w:proofErr w:type="spellStart"/>
      <w:r>
        <w:t>Píšťovy</w:t>
      </w:r>
      <w:proofErr w:type="spellEnd"/>
      <w:r>
        <w:t xml:space="preserve"> 820, 537 01 Chrudim III. Změna Rozhodnutí o povolení Odstranění odpadů a Znečištění je době uzavření této Dohody projednávána s dotčenými orgány;</w:t>
      </w:r>
    </w:p>
    <w:p w14:paraId="7BA60EA8" w14:textId="77777777" w:rsidR="00EC1C40" w:rsidRDefault="00000000">
      <w:pPr>
        <w:pStyle w:val="Zkladntext1"/>
        <w:framePr w:w="10186" w:h="13565" w:hRule="exact" w:wrap="none" w:vAnchor="page" w:hAnchor="page" w:x="1213" w:y="1940"/>
        <w:ind w:firstLine="640"/>
        <w:jc w:val="both"/>
      </w:pPr>
      <w:r>
        <w:t>Další zkratky jsou definovány v rámci textu Smlouvy.</w:t>
      </w:r>
    </w:p>
    <w:p w14:paraId="2C8D3D77" w14:textId="77777777" w:rsidR="00EC1C40" w:rsidRDefault="00000000">
      <w:pPr>
        <w:pStyle w:val="Zkladntext1"/>
        <w:framePr w:w="10186" w:h="13565" w:hRule="exact" w:wrap="none" w:vAnchor="page" w:hAnchor="page" w:x="1213" w:y="1940"/>
        <w:numPr>
          <w:ilvl w:val="1"/>
          <w:numId w:val="3"/>
        </w:numPr>
        <w:tabs>
          <w:tab w:val="left" w:pos="552"/>
        </w:tabs>
        <w:ind w:left="640" w:hanging="640"/>
        <w:jc w:val="both"/>
      </w:pPr>
      <w:r>
        <w:t>Tato Smlouva je uzavírána jako plánovací smlouva ve smyslu § 130 a násl. Stavebního zákona v rámci daném Zásadami, s přihlédnutím ke změnám vyplývajícím z účinnosti Stavebního zákona a se zohledněním významných specifik a přínosů zamýšleného Investičního záměru.</w:t>
      </w:r>
    </w:p>
    <w:p w14:paraId="417BD094" w14:textId="77777777" w:rsidR="00EC1C40" w:rsidRDefault="00000000">
      <w:pPr>
        <w:pStyle w:val="Zkladntext1"/>
        <w:framePr w:w="10186" w:h="13565" w:hRule="exact" w:wrap="none" w:vAnchor="page" w:hAnchor="page" w:x="1213" w:y="1940"/>
        <w:numPr>
          <w:ilvl w:val="1"/>
          <w:numId w:val="3"/>
        </w:numPr>
        <w:tabs>
          <w:tab w:val="left" w:pos="552"/>
        </w:tabs>
        <w:jc w:val="both"/>
      </w:pPr>
      <w:r>
        <w:t>Preambule a přílohy tvoří nedílnou součást této Smlouvy.</w:t>
      </w:r>
    </w:p>
    <w:p w14:paraId="45FD8925" w14:textId="77777777" w:rsidR="00EC1C40" w:rsidRDefault="00000000">
      <w:pPr>
        <w:pStyle w:val="Zkladntext1"/>
        <w:framePr w:w="10186" w:h="13565" w:hRule="exact" w:wrap="none" w:vAnchor="page" w:hAnchor="page" w:x="1213" w:y="1940"/>
        <w:numPr>
          <w:ilvl w:val="1"/>
          <w:numId w:val="3"/>
        </w:numPr>
        <w:tabs>
          <w:tab w:val="left" w:pos="552"/>
        </w:tabs>
        <w:spacing w:after="0"/>
        <w:ind w:left="640" w:hanging="640"/>
        <w:jc w:val="both"/>
      </w:pPr>
      <w:r>
        <w:t>Odkazuje-li tato Smlouva na určitý právní předpis, nebo určité ustanovení v právním předpisu, zahrnuje takový odkaz i odkaz na právní předpis, popřípadě ustanovení právního předpisu, který jej kdykoli v budoucnu z hlediska jeho smyslu a účelu nahradí.</w:t>
      </w:r>
    </w:p>
    <w:p w14:paraId="2A831FF1" w14:textId="77777777" w:rsidR="00EC1C40" w:rsidRDefault="00000000">
      <w:pPr>
        <w:pStyle w:val="Zhlavnebozpat0"/>
        <w:framePr w:wrap="none" w:vAnchor="page" w:hAnchor="page" w:x="5600" w:y="16085"/>
        <w:rPr>
          <w:sz w:val="22"/>
          <w:szCs w:val="22"/>
        </w:rPr>
      </w:pPr>
      <w:r>
        <w:rPr>
          <w:color w:val="231E20"/>
          <w:sz w:val="22"/>
          <w:szCs w:val="22"/>
        </w:rPr>
        <w:t>8/63</w:t>
      </w:r>
    </w:p>
    <w:p w14:paraId="036D2FAE"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0ECAD27F" w14:textId="77777777" w:rsidR="00EC1C40" w:rsidRDefault="00000000">
      <w:pPr>
        <w:spacing w:line="1" w:lineRule="exact"/>
      </w:pPr>
      <w:r>
        <w:rPr>
          <w:noProof/>
        </w:rPr>
        <w:lastRenderedPageBreak/>
        <mc:AlternateContent>
          <mc:Choice Requires="wps">
            <w:drawing>
              <wp:anchor distT="0" distB="0" distL="114300" distR="114300" simplePos="0" relativeHeight="251591168" behindDoc="1" locked="0" layoutInCell="1" allowOverlap="1" wp14:anchorId="5003EC95" wp14:editId="4197EACB">
                <wp:simplePos x="0" y="0"/>
                <wp:positionH relativeFrom="page">
                  <wp:posOffset>879475</wp:posOffset>
                </wp:positionH>
                <wp:positionV relativeFrom="page">
                  <wp:posOffset>932180</wp:posOffset>
                </wp:positionV>
                <wp:extent cx="5702935" cy="0"/>
                <wp:effectExtent l="0" t="0" r="0" b="0"/>
                <wp:wrapNone/>
                <wp:docPr id="8" name="Shape 8"/>
                <wp:cNvGraphicFramePr/>
                <a:graphic xmlns:a="http://schemas.openxmlformats.org/drawingml/2006/main">
                  <a:graphicData uri="http://schemas.microsoft.com/office/word/2010/wordprocessingShape">
                    <wps:wsp>
                      <wps:cNvCnPr/>
                      <wps:spPr>
                        <a:xfrm>
                          <a:off x="0" y="0"/>
                          <a:ext cx="5702935" cy="0"/>
                        </a:xfrm>
                        <a:prstGeom prst="straightConnector1">
                          <a:avLst/>
                        </a:prstGeom>
                        <a:ln w="6350">
                          <a:solidFill/>
                        </a:ln>
                      </wps:spPr>
                      <wps:bodyPr/>
                    </wps:wsp>
                  </a:graphicData>
                </a:graphic>
              </wp:anchor>
            </w:drawing>
          </mc:Choice>
          <mc:Fallback>
            <w:pict>
              <v:shape o:spt="32" o:oned="true" path="m,l21600,21600e" style="position:absolute;margin-left:69.25pt;margin-top:73.400000000000006pt;width:449.05000000000001pt;height:0;z-index:-251658240;mso-position-horizontal-relative:page;mso-position-vertical-relative:page">
                <v:stroke weight="0.5pt"/>
              </v:shape>
            </w:pict>
          </mc:Fallback>
        </mc:AlternateContent>
      </w:r>
    </w:p>
    <w:p w14:paraId="15FA1307" w14:textId="77777777" w:rsidR="00EC1C40" w:rsidRDefault="00000000">
      <w:pPr>
        <w:pStyle w:val="Zhlavnebozpat0"/>
        <w:framePr w:wrap="none" w:vAnchor="page" w:hAnchor="page" w:x="5192" w:y="1186"/>
      </w:pPr>
      <w:r>
        <w:t>Plánovací smlouva</w:t>
      </w:r>
    </w:p>
    <w:p w14:paraId="35B8B28F" w14:textId="77777777" w:rsidR="00EC1C40" w:rsidRDefault="00000000">
      <w:pPr>
        <w:pStyle w:val="Zkladntext1"/>
        <w:framePr w:w="10186" w:h="13176" w:hRule="exact" w:wrap="none" w:vAnchor="page" w:hAnchor="page" w:x="1213" w:y="1940"/>
        <w:numPr>
          <w:ilvl w:val="1"/>
          <w:numId w:val="3"/>
        </w:numPr>
        <w:tabs>
          <w:tab w:val="left" w:pos="562"/>
        </w:tabs>
        <w:ind w:left="640" w:hanging="640"/>
        <w:jc w:val="both"/>
      </w:pPr>
      <w:r>
        <w:t>Smluvní strany prohlašují, že si v rámci probíhajících jednání o této Smlouvě v maximální možné míře vyjasnily obsah a význam výrazů a pojmů použitých v této Smlouvě, a že v případě jakýchkoli pochybností o přesném významu takového výrazu si Smluvní strany tento nejasný či nepřesný význam výrazu použitého v této Smlouvě nechaly náležitým způsobem vysvětlit.</w:t>
      </w:r>
    </w:p>
    <w:p w14:paraId="09A6E893" w14:textId="77777777" w:rsidR="00EC1C40" w:rsidRDefault="00000000">
      <w:pPr>
        <w:pStyle w:val="Zkladntext1"/>
        <w:framePr w:w="10186" w:h="13176" w:hRule="exact" w:wrap="none" w:vAnchor="page" w:hAnchor="page" w:x="1213" w:y="1940"/>
        <w:numPr>
          <w:ilvl w:val="1"/>
          <w:numId w:val="3"/>
        </w:numPr>
        <w:tabs>
          <w:tab w:val="left" w:pos="562"/>
        </w:tabs>
        <w:ind w:left="640" w:hanging="640"/>
        <w:jc w:val="both"/>
      </w:pPr>
      <w:r>
        <w:t>Smluvní strany jsou si vědomy, že veškeré povinnosti, k nimž se SMP zavazuje v rámci této Smlouvy, se týkají výhradně výkonu samostatné působnosti SMP. Žádné ustanovení této Smlouvy nesmí být vykládáno takovým způsobem, že zakládá SMP povinnost či jakkoli ovlivňuje činnost SMP v těch oblastech, ve kterých SMP vystupuje v rámci přenesené působnosti.</w:t>
      </w:r>
    </w:p>
    <w:p w14:paraId="633513F6" w14:textId="77777777" w:rsidR="00EC1C40" w:rsidRDefault="00000000">
      <w:pPr>
        <w:pStyle w:val="Zkladntext1"/>
        <w:framePr w:w="10186" w:h="13176" w:hRule="exact" w:wrap="none" w:vAnchor="page" w:hAnchor="page" w:x="1213" w:y="1940"/>
        <w:numPr>
          <w:ilvl w:val="1"/>
          <w:numId w:val="3"/>
        </w:numPr>
        <w:tabs>
          <w:tab w:val="left" w:pos="562"/>
        </w:tabs>
        <w:spacing w:after="220"/>
        <w:ind w:left="640" w:hanging="640"/>
        <w:jc w:val="both"/>
      </w:pPr>
      <w:r>
        <w:t>Uplatní-li se pro kteroukoli povinnost SMP dle této Smlouvy lhůta „bez zbytečného odkladu“ či obdobná lhůta, je délku této lhůty nutno vykládat s přihlédnutím k specifické povaze SMP jako veřejnoprávní korporace a zohledněním přiměřené doby potřebné s ohledem na obvyklé interní schvalovací a administrativní procesy SMP, pokud jsou ke splnění dané povinnosti potřeba. SMP nicméně vynaloží veškeré úsilí, které po něm lze spravedlivě požadovat, aby tyto interní schvalovací a administrativní procesy SMP, pokud jsou nezbytné, proběhly co nejrychleji a nebyla tak ohrožena efektivní realizace Investičního záměru.</w:t>
      </w:r>
    </w:p>
    <w:p w14:paraId="064BA5ED" w14:textId="77777777" w:rsidR="00EC1C40" w:rsidRDefault="00000000">
      <w:pPr>
        <w:pStyle w:val="Zkladntext1"/>
        <w:framePr w:w="10186" w:h="13176" w:hRule="exact" w:wrap="none" w:vAnchor="page" w:hAnchor="page" w:x="1213" w:y="1940"/>
        <w:numPr>
          <w:ilvl w:val="1"/>
          <w:numId w:val="3"/>
        </w:numPr>
        <w:tabs>
          <w:tab w:val="left" w:pos="562"/>
        </w:tabs>
        <w:ind w:left="640" w:hanging="640"/>
        <w:jc w:val="both"/>
      </w:pPr>
      <w:r>
        <w:t>Práva a povinnosti sjednaná v této Smlouvě (či jakýchkoli jiných smlouvách uzavřených mezi SMP a Investorem) mají přednost před ustanoveními Zásad a Zásad výstavby či jiných metodik/dokumentů/zásad vydaných SMP; pro odstranění pochybností se výslovně stanoví, že toto ustanovení se nevztahuje na obecně závazné vyhlášky a nařízení SMP, pokud se tyto vyhlášky nebo nařízení týkají výkonu veřejné moci. Pro odstranění jakýchkoli pochybností se sjednává, že ta ustanovení Zásad výstavby (a/nebo Zásad či jiných metodik/dokumentů/zásad), která jsou v rozporu s touto Smlouvou či jinými smlouvami uzavřenými mezi Investorem a SMP (respektive u kterých má tato Smlouva speciální úpravu), se na tuto Smlouvu nepoužijí.</w:t>
      </w:r>
    </w:p>
    <w:p w14:paraId="1F293B9C" w14:textId="77777777" w:rsidR="00EC1C40" w:rsidRDefault="00000000">
      <w:pPr>
        <w:pStyle w:val="Nadpis60"/>
        <w:framePr w:w="10186" w:h="13176" w:hRule="exact" w:wrap="none" w:vAnchor="page" w:hAnchor="page" w:x="1213" w:y="1940"/>
        <w:numPr>
          <w:ilvl w:val="0"/>
          <w:numId w:val="3"/>
        </w:numPr>
        <w:tabs>
          <w:tab w:val="left" w:pos="562"/>
        </w:tabs>
      </w:pPr>
      <w:bookmarkStart w:id="1" w:name="bookmark2"/>
      <w:r>
        <w:t>Investiční záměr</w:t>
      </w:r>
      <w:bookmarkEnd w:id="1"/>
    </w:p>
    <w:p w14:paraId="0BE0803B" w14:textId="77777777" w:rsidR="00EC1C40" w:rsidRDefault="00000000">
      <w:pPr>
        <w:pStyle w:val="Zkladntext1"/>
        <w:framePr w:w="10186" w:h="13176" w:hRule="exact" w:wrap="none" w:vAnchor="page" w:hAnchor="page" w:x="1213" w:y="1940"/>
        <w:numPr>
          <w:ilvl w:val="1"/>
          <w:numId w:val="3"/>
        </w:numPr>
        <w:tabs>
          <w:tab w:val="left" w:pos="562"/>
        </w:tabs>
        <w:ind w:left="640" w:hanging="640"/>
        <w:jc w:val="both"/>
      </w:pPr>
      <w:r>
        <w:t xml:space="preserve">Investor hodlá na území SMP v Lokalitě Nová Cihelna, zejména na Pozemcích či na některých z nich (popřípadě jejich částech), realizovat výstavbu Investičního záměru. Umístění Investičního záměru je graficky zakresleno v </w:t>
      </w:r>
      <w:r>
        <w:rPr>
          <w:u w:val="single"/>
        </w:rPr>
        <w:t>Příloze č. 13</w:t>
      </w:r>
      <w:r>
        <w:t xml:space="preserve"> této Smlouvy (Koordinační situační výkres).</w:t>
      </w:r>
    </w:p>
    <w:p w14:paraId="3EA3FF85" w14:textId="77777777" w:rsidR="00EC1C40" w:rsidRDefault="00000000">
      <w:pPr>
        <w:pStyle w:val="Zkladntext1"/>
        <w:framePr w:w="10186" w:h="13176" w:hRule="exact" w:wrap="none" w:vAnchor="page" w:hAnchor="page" w:x="1213" w:y="1940"/>
        <w:numPr>
          <w:ilvl w:val="1"/>
          <w:numId w:val="3"/>
        </w:numPr>
        <w:tabs>
          <w:tab w:val="left" w:pos="562"/>
        </w:tabs>
        <w:ind w:left="640" w:hanging="640"/>
        <w:jc w:val="both"/>
      </w:pPr>
      <w:r>
        <w:t xml:space="preserve">Aktuálně předpokládané parametry Investičního záměru jsou uvedeny v </w:t>
      </w:r>
      <w:r>
        <w:rPr>
          <w:u w:val="single"/>
        </w:rPr>
        <w:t>Příloze č. 1</w:t>
      </w:r>
      <w:r>
        <w:t xml:space="preserve"> této Smlouvy. Smluvní strany jsou si vědomy, že parametry (respektive podoba) Investičního záměru uvedené v rámci </w:t>
      </w:r>
      <w:r>
        <w:rPr>
          <w:u w:val="single"/>
        </w:rPr>
        <w:t>Přílohy č. 1</w:t>
      </w:r>
      <w:r>
        <w:t xml:space="preserve"> této Smlouvy, vychází z pracovní verze projektové dokumentace připravované pro účely Povolení záměru a mohou být dále upravovány, pokud budou dodrženy Základní parametry.</w:t>
      </w:r>
    </w:p>
    <w:p w14:paraId="348E71FA" w14:textId="77777777" w:rsidR="00EC1C40" w:rsidRDefault="00000000">
      <w:pPr>
        <w:pStyle w:val="Zkladntext1"/>
        <w:framePr w:w="10186" w:h="13176" w:hRule="exact" w:wrap="none" w:vAnchor="page" w:hAnchor="page" w:x="1213" w:y="1940"/>
        <w:numPr>
          <w:ilvl w:val="1"/>
          <w:numId w:val="3"/>
        </w:numPr>
        <w:tabs>
          <w:tab w:val="left" w:pos="562"/>
        </w:tabs>
        <w:ind w:left="640" w:hanging="640"/>
        <w:jc w:val="both"/>
      </w:pPr>
      <w:r>
        <w:t>Smluvní strany jsou si vědomy, že Investiční záměr podléhá dalšímu upřesňování a specifikaci, a to zejména, nikoli však výlučně, v návaznosti na další projektování Investičního záměru a průběh povolovacích procesů. Parametry Investičního záměru uvedené v této Smlouvě se tak mohou zejména v návaznosti na uvedené skutečnosti změnit, pokud tím nedojde k porušení Základních parametrů.</w:t>
      </w:r>
    </w:p>
    <w:p w14:paraId="57B7436F" w14:textId="77777777" w:rsidR="00EC1C40" w:rsidRDefault="00000000">
      <w:pPr>
        <w:pStyle w:val="Zkladntext1"/>
        <w:framePr w:w="10186" w:h="13176" w:hRule="exact" w:wrap="none" w:vAnchor="page" w:hAnchor="page" w:x="1213" w:y="1940"/>
        <w:numPr>
          <w:ilvl w:val="1"/>
          <w:numId w:val="3"/>
        </w:numPr>
        <w:tabs>
          <w:tab w:val="left" w:pos="562"/>
        </w:tabs>
        <w:spacing w:after="0"/>
        <w:ind w:left="640" w:hanging="640"/>
        <w:jc w:val="both"/>
      </w:pPr>
      <w:r>
        <w:t>Smluvní strany dále sjednávají, že v případě změny Investičního záměru, který by vedl ke změně Základních parametrů, je nutné projednání takovéto změny se SMP a jeho písemné odsouhlasení formou písemného dodatku k této Smlouvě, podepsaného všemi Smluvními stranami, jehož uzavření schválilo na straně SMP zastupitelstvo SMP, kterým promítnou takovouto změnu Investičního záměru a její vliv do práv a povinností z této Smlouvy. V této souvislosti Smluvní strany deklarují, že o případné potřebě změny Základních parametrů v budoucnu budou vždy jednat v dobré víře a s vzájemným respektem k legitimním zájmům Smluvních stran. SMP prohlašuje, že změnu Základní parametrů bez rozumného důvodu</w:t>
      </w:r>
    </w:p>
    <w:p w14:paraId="2CA2DB55" w14:textId="77777777" w:rsidR="00EC1C40" w:rsidRDefault="00000000">
      <w:pPr>
        <w:pStyle w:val="Zhlavnebozpat0"/>
        <w:framePr w:wrap="none" w:vAnchor="page" w:hAnchor="page" w:x="5600" w:y="16085"/>
        <w:rPr>
          <w:sz w:val="22"/>
          <w:szCs w:val="22"/>
        </w:rPr>
      </w:pPr>
      <w:r>
        <w:rPr>
          <w:color w:val="231E20"/>
          <w:sz w:val="22"/>
          <w:szCs w:val="22"/>
        </w:rPr>
        <w:t>9/63</w:t>
      </w:r>
    </w:p>
    <w:p w14:paraId="7EC515D4"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69E370EE" w14:textId="77777777" w:rsidR="00EC1C40" w:rsidRDefault="00000000">
      <w:pPr>
        <w:spacing w:line="1" w:lineRule="exact"/>
      </w:pPr>
      <w:r>
        <w:rPr>
          <w:noProof/>
        </w:rPr>
        <w:lastRenderedPageBreak/>
        <mc:AlternateContent>
          <mc:Choice Requires="wps">
            <w:drawing>
              <wp:anchor distT="0" distB="0" distL="114300" distR="114300" simplePos="0" relativeHeight="251592192" behindDoc="1" locked="0" layoutInCell="1" allowOverlap="1" wp14:anchorId="7C173F57" wp14:editId="22E5E564">
                <wp:simplePos x="0" y="0"/>
                <wp:positionH relativeFrom="page">
                  <wp:posOffset>879475</wp:posOffset>
                </wp:positionH>
                <wp:positionV relativeFrom="page">
                  <wp:posOffset>932180</wp:posOffset>
                </wp:positionV>
                <wp:extent cx="5702935" cy="0"/>
                <wp:effectExtent l="0" t="0" r="0" b="0"/>
                <wp:wrapNone/>
                <wp:docPr id="9" name="Shape 9"/>
                <wp:cNvGraphicFramePr/>
                <a:graphic xmlns:a="http://schemas.openxmlformats.org/drawingml/2006/main">
                  <a:graphicData uri="http://schemas.microsoft.com/office/word/2010/wordprocessingShape">
                    <wps:wsp>
                      <wps:cNvCnPr/>
                      <wps:spPr>
                        <a:xfrm>
                          <a:off x="0" y="0"/>
                          <a:ext cx="5702935" cy="0"/>
                        </a:xfrm>
                        <a:prstGeom prst="straightConnector1">
                          <a:avLst/>
                        </a:prstGeom>
                        <a:ln w="6350">
                          <a:solidFill/>
                        </a:ln>
                      </wps:spPr>
                      <wps:bodyPr/>
                    </wps:wsp>
                  </a:graphicData>
                </a:graphic>
              </wp:anchor>
            </w:drawing>
          </mc:Choice>
          <mc:Fallback>
            <w:pict>
              <v:shape o:spt="32" o:oned="true" path="m,l21600,21600e" style="position:absolute;margin-left:69.25pt;margin-top:73.400000000000006pt;width:449.05000000000001pt;height:0;z-index:-251658240;mso-position-horizontal-relative:page;mso-position-vertical-relative:page">
                <v:stroke weight="0.5pt"/>
              </v:shape>
            </w:pict>
          </mc:Fallback>
        </mc:AlternateContent>
      </w:r>
    </w:p>
    <w:p w14:paraId="557051AC" w14:textId="77777777" w:rsidR="00EC1C40" w:rsidRDefault="00000000">
      <w:pPr>
        <w:pStyle w:val="Zhlavnebozpat0"/>
        <w:framePr w:wrap="none" w:vAnchor="page" w:hAnchor="page" w:x="5192" w:y="1186"/>
      </w:pPr>
      <w:r>
        <w:t>Plánovací smlouva</w:t>
      </w:r>
    </w:p>
    <w:p w14:paraId="50FA0CF3" w14:textId="77777777" w:rsidR="00EC1C40" w:rsidRDefault="00000000">
      <w:pPr>
        <w:pStyle w:val="Zkladntext1"/>
        <w:framePr w:w="10186" w:h="13469" w:hRule="exact" w:wrap="none" w:vAnchor="page" w:hAnchor="page" w:x="1213" w:y="1940"/>
        <w:spacing w:after="120"/>
        <w:ind w:left="640"/>
        <w:jc w:val="both"/>
      </w:pPr>
      <w:r>
        <w:t>neodmítne a případný dodatek ke Smlouvě uzavře bez zbytečných odkladů po doručení příslušné žádosti Investora.</w:t>
      </w:r>
    </w:p>
    <w:p w14:paraId="23CF9B79" w14:textId="77777777" w:rsidR="00EC1C40" w:rsidRDefault="00000000">
      <w:pPr>
        <w:pStyle w:val="Zkladntext1"/>
        <w:framePr w:w="10186" w:h="13469" w:hRule="exact" w:wrap="none" w:vAnchor="page" w:hAnchor="page" w:x="1213" w:y="1940"/>
        <w:numPr>
          <w:ilvl w:val="1"/>
          <w:numId w:val="3"/>
        </w:numPr>
        <w:tabs>
          <w:tab w:val="left" w:pos="571"/>
        </w:tabs>
        <w:spacing w:after="220"/>
        <w:ind w:left="640" w:hanging="640"/>
        <w:jc w:val="both"/>
      </w:pPr>
      <w:r>
        <w:t>Investor se zavazuje při přípravě a realizaci Investičního záměru dodržet následující závazné milníky (dále jen „</w:t>
      </w:r>
      <w:r>
        <w:rPr>
          <w:b/>
          <w:bCs/>
        </w:rPr>
        <w:t>Závazné milníky</w:t>
      </w:r>
      <w:r>
        <w:t>“):</w:t>
      </w:r>
    </w:p>
    <w:p w14:paraId="6E8C3896" w14:textId="77777777" w:rsidR="00EC1C40" w:rsidRDefault="00000000">
      <w:pPr>
        <w:pStyle w:val="Zkladntext1"/>
        <w:framePr w:w="10186" w:h="13469" w:hRule="exact" w:wrap="none" w:vAnchor="page" w:hAnchor="page" w:x="1213" w:y="1940"/>
        <w:numPr>
          <w:ilvl w:val="2"/>
          <w:numId w:val="3"/>
        </w:numPr>
        <w:tabs>
          <w:tab w:val="left" w:pos="1384"/>
        </w:tabs>
        <w:spacing w:after="120"/>
        <w:ind w:left="1380" w:hanging="740"/>
        <w:jc w:val="both"/>
      </w:pPr>
      <w:r>
        <w:t>Milník 1 pro podání žádosti o Povolení Investičního záměru: nejpozději do 2 let od nabytí účinnosti této Smlouvy;</w:t>
      </w:r>
    </w:p>
    <w:p w14:paraId="1463C536" w14:textId="77777777" w:rsidR="00EC1C40" w:rsidRDefault="00000000">
      <w:pPr>
        <w:pStyle w:val="Zkladntext1"/>
        <w:framePr w:w="10186" w:h="13469" w:hRule="exact" w:wrap="none" w:vAnchor="page" w:hAnchor="page" w:x="1213" w:y="1940"/>
        <w:numPr>
          <w:ilvl w:val="2"/>
          <w:numId w:val="3"/>
        </w:numPr>
        <w:tabs>
          <w:tab w:val="left" w:pos="1384"/>
        </w:tabs>
        <w:spacing w:after="120"/>
        <w:ind w:left="1380" w:hanging="740"/>
        <w:jc w:val="both"/>
      </w:pPr>
      <w:r>
        <w:t>Milník 2 pro získání pravomocného Povolení Investičního záměru: nejpozději do 5 let od nabytí účinnosti této Smlouvy;</w:t>
      </w:r>
    </w:p>
    <w:p w14:paraId="52915FB0" w14:textId="77777777" w:rsidR="00EC1C40" w:rsidRDefault="00000000">
      <w:pPr>
        <w:pStyle w:val="Zkladntext1"/>
        <w:framePr w:w="10186" w:h="13469" w:hRule="exact" w:wrap="none" w:vAnchor="page" w:hAnchor="page" w:x="1213" w:y="1940"/>
        <w:numPr>
          <w:ilvl w:val="2"/>
          <w:numId w:val="3"/>
        </w:numPr>
        <w:tabs>
          <w:tab w:val="left" w:pos="1384"/>
        </w:tabs>
        <w:spacing w:after="120"/>
        <w:ind w:left="1380" w:hanging="740"/>
        <w:jc w:val="both"/>
      </w:pPr>
      <w:r>
        <w:t>Milník 3 pro Zahájení realizace Investičního záměru: nejpozději do 5 let od nabytí právní moci Povolení Investičního záměru; a</w:t>
      </w:r>
    </w:p>
    <w:p w14:paraId="2E10D02F" w14:textId="77777777" w:rsidR="00EC1C40" w:rsidRDefault="00000000">
      <w:pPr>
        <w:pStyle w:val="Zkladntext1"/>
        <w:framePr w:w="10186" w:h="13469" w:hRule="exact" w:wrap="none" w:vAnchor="page" w:hAnchor="page" w:x="1213" w:y="1940"/>
        <w:numPr>
          <w:ilvl w:val="2"/>
          <w:numId w:val="3"/>
        </w:numPr>
        <w:tabs>
          <w:tab w:val="left" w:pos="1384"/>
        </w:tabs>
        <w:spacing w:after="220"/>
        <w:ind w:left="1380" w:hanging="740"/>
        <w:jc w:val="both"/>
      </w:pPr>
      <w:r>
        <w:t>Milník 4 pro Dokončení realizace Investičního záměru: nejpozději do 5 let od Zahájení realizace Investičního záměru.</w:t>
      </w:r>
    </w:p>
    <w:p w14:paraId="560F6E78" w14:textId="77777777" w:rsidR="00EC1C40" w:rsidRDefault="00000000">
      <w:pPr>
        <w:pStyle w:val="Zkladntext1"/>
        <w:framePr w:w="10186" w:h="13469" w:hRule="exact" w:wrap="none" w:vAnchor="page" w:hAnchor="page" w:x="1213" w:y="1940"/>
        <w:spacing w:after="0" w:line="254" w:lineRule="auto"/>
        <w:ind w:left="640"/>
        <w:jc w:val="both"/>
      </w:pPr>
      <w:r>
        <w:t>Závazné milníky uvedené v čl. 2.5 se prodlužují vždy o dobu trvání objektivních překážek a trvání jejich důsledků, přičemž mezi tyto objektivní překážky patří zejména: (i) prodlení orgánů veřejné moci s vydáním rozhodnutí či jiných správních aktů (včetně závazných stanovisek atp.) nezbytných pro povolení a stavební realizaci a užívání Investičního záměru (včetně Povolení záměru), a to oproti právními předpisy stanoveným lhůtám, pokud toto prodlení není zaviněno Investorem (pro účely tohoto bodu se právními předpisy stanovené lhůtě rozumí taková lhůta, ve které má příslušný orgán vydat v souladu s právními předpisy rozhodnutí, stanovisko, závazné stanovisko, vyjádření atd., přičemž pokud právní předpisy umožňují správnímu orgánu prodloužení takové lhůty, je pro účely tohoto ustanovení relevantní takto prodloužená lhůta, maximálně však prodloužená o tři (3) měsíce), (</w:t>
      </w:r>
      <w:proofErr w:type="spellStart"/>
      <w:r>
        <w:t>ii</w:t>
      </w:r>
      <w:proofErr w:type="spellEnd"/>
      <w:r>
        <w:t>) doba, o kterou je vydání a nabytí právní moci (a právních účinků) příslušných rozhodnutí či jiných správních aktů (včetně závazných stanovisek atp.) nezbytných pro stavební realizaci a užívání Investičního záměru (včetně Povolení záměru) prodloužena v důsledku uplatnění opravného prostředku (řádného, mimořádného či dozorčího) ze strany účastníků řízení, ze strany třetích osob nebo ze strany orgánů veřejné moci (včetně podání odvolání, podnětu k provedení přezkumného řízení a přezkumného řízení zahájeného na jeho základě, přezkumného řízení zahájeného ex offo atd.), (</w:t>
      </w:r>
      <w:proofErr w:type="spellStart"/>
      <w:r>
        <w:t>iii</w:t>
      </w:r>
      <w:proofErr w:type="spellEnd"/>
      <w:r>
        <w:t xml:space="preserve">) absence poskytnutí příslušné součinnosti ze strany SMP a osob (subjektů) ovládaných SMP (čl. 25.5 Smlouvy), včetně Nadace </w:t>
      </w:r>
      <w:r>
        <w:rPr>
          <w:i/>
          <w:iCs/>
        </w:rPr>
        <w:t>(jak je tento pojem definován v této Smlouvě)</w:t>
      </w:r>
      <w:r>
        <w:t>, (</w:t>
      </w:r>
      <w:proofErr w:type="spellStart"/>
      <w:r>
        <w:t>iv</w:t>
      </w:r>
      <w:proofErr w:type="spellEnd"/>
      <w:r>
        <w:t>) doba trvání řízení zahájeného na základě žaloby či jiného obdobného procesního prostředku podané proti Povolení záměru či proti jiným rozhodnutím a/nebo správním aktům nezbytným pro stavební realizaci a užívání Investičního záměru či doba trvání přezkumného řízení o těchto rozhodnutích či správních aktech, (v) doba trvání řízení zahájeného na základě kasační stížnosti podané proti rozhodnutí soudu o podané žalobě proti Povolení záměru či proti jiným rozhodnutím a/nebo správním aktům nezbytným pro stavební realizaci a užívání Investičního záměru, popřípadě doba trvání řízení o ústavní stížnosti, (</w:t>
      </w:r>
      <w:proofErr w:type="spellStart"/>
      <w:r>
        <w:t>vi</w:t>
      </w:r>
      <w:proofErr w:type="spellEnd"/>
      <w:r>
        <w:t>) doba, po kterou probíhá Odstranění odpadů a znečištění (u tohoto bodu (</w:t>
      </w:r>
      <w:proofErr w:type="spellStart"/>
      <w:r>
        <w:t>vi</w:t>
      </w:r>
      <w:proofErr w:type="spellEnd"/>
      <w:r>
        <w:t>) však maximální doba prodloužení činí dva (2) roky a šest (6) měsíců), (</w:t>
      </w:r>
      <w:proofErr w:type="spellStart"/>
      <w:r>
        <w:t>vii</w:t>
      </w:r>
      <w:proofErr w:type="spellEnd"/>
      <w:r>
        <w:t>) doba, po kterou trvá překážka nastalá v souvislosti s financováním Investičního záměru nezaviněná Investorem (např. zrušení titulu pro poskytnutí financování nezaviněné Investorem, podstatné snížení objemu poskytovaných úvěrů na úvěrovém trhu např. v důsledku podstatného navýšení úrokových sazeb či následkem vnější události (např. hospodářská krize, popřípadě jiný vnější šok apod.)) (u tohoto bodu (</w:t>
      </w:r>
      <w:proofErr w:type="spellStart"/>
      <w:r>
        <w:t>vii</w:t>
      </w:r>
      <w:proofErr w:type="spellEnd"/>
      <w:r>
        <w:t>) však maximální doba prodloužení činí dva (2) roky a šest (6) měsíců), (</w:t>
      </w:r>
      <w:proofErr w:type="spellStart"/>
      <w:r>
        <w:t>viii</w:t>
      </w:r>
      <w:proofErr w:type="spellEnd"/>
      <w:r>
        <w:t xml:space="preserve">) neposkytnutí rozumně </w:t>
      </w:r>
      <w:proofErr w:type="spellStart"/>
      <w:r>
        <w:t>požadovatelné</w:t>
      </w:r>
      <w:proofErr w:type="spellEnd"/>
      <w:r>
        <w:t xml:space="preserve"> součinnosti ze strany investorů či jiných osob v Lokalitě Nová Cihelna potřebné</w:t>
      </w:r>
    </w:p>
    <w:p w14:paraId="290DD1CE" w14:textId="77777777" w:rsidR="00EC1C40" w:rsidRDefault="00000000">
      <w:pPr>
        <w:pStyle w:val="Zhlavnebozpat0"/>
        <w:framePr w:wrap="none" w:vAnchor="page" w:hAnchor="page" w:x="5552" w:y="16085"/>
        <w:rPr>
          <w:sz w:val="22"/>
          <w:szCs w:val="22"/>
        </w:rPr>
      </w:pPr>
      <w:r>
        <w:rPr>
          <w:color w:val="231E20"/>
          <w:sz w:val="22"/>
          <w:szCs w:val="22"/>
        </w:rPr>
        <w:t>10/63</w:t>
      </w:r>
    </w:p>
    <w:p w14:paraId="12368802"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510C62BB" w14:textId="77777777" w:rsidR="00EC1C40" w:rsidRDefault="00000000">
      <w:pPr>
        <w:spacing w:line="1" w:lineRule="exact"/>
      </w:pPr>
      <w:r>
        <w:rPr>
          <w:noProof/>
        </w:rPr>
        <w:lastRenderedPageBreak/>
        <mc:AlternateContent>
          <mc:Choice Requires="wps">
            <w:drawing>
              <wp:anchor distT="0" distB="0" distL="114300" distR="114300" simplePos="0" relativeHeight="251593216" behindDoc="1" locked="0" layoutInCell="1" allowOverlap="1" wp14:anchorId="689DFFAC" wp14:editId="10665B3B">
                <wp:simplePos x="0" y="0"/>
                <wp:positionH relativeFrom="page">
                  <wp:posOffset>879475</wp:posOffset>
                </wp:positionH>
                <wp:positionV relativeFrom="page">
                  <wp:posOffset>932180</wp:posOffset>
                </wp:positionV>
                <wp:extent cx="5702935" cy="0"/>
                <wp:effectExtent l="0" t="0" r="0" b="0"/>
                <wp:wrapNone/>
                <wp:docPr id="10" name="Shape 10"/>
                <wp:cNvGraphicFramePr/>
                <a:graphic xmlns:a="http://schemas.openxmlformats.org/drawingml/2006/main">
                  <a:graphicData uri="http://schemas.microsoft.com/office/word/2010/wordprocessingShape">
                    <wps:wsp>
                      <wps:cNvCnPr/>
                      <wps:spPr>
                        <a:xfrm>
                          <a:off x="0" y="0"/>
                          <a:ext cx="5702935" cy="0"/>
                        </a:xfrm>
                        <a:prstGeom prst="straightConnector1">
                          <a:avLst/>
                        </a:prstGeom>
                        <a:ln w="6350">
                          <a:solidFill/>
                        </a:ln>
                      </wps:spPr>
                      <wps:bodyPr/>
                    </wps:wsp>
                  </a:graphicData>
                </a:graphic>
              </wp:anchor>
            </w:drawing>
          </mc:Choice>
          <mc:Fallback>
            <w:pict>
              <v:shape o:spt="32" o:oned="true" path="m,l21600,21600e" style="position:absolute;margin-left:69.25pt;margin-top:73.400000000000006pt;width:449.05000000000001pt;height:0;z-index:-251658240;mso-position-horizontal-relative:page;mso-position-vertical-relative:page">
                <v:stroke weight="0.5pt"/>
              </v:shape>
            </w:pict>
          </mc:Fallback>
        </mc:AlternateContent>
      </w:r>
    </w:p>
    <w:p w14:paraId="63348E00" w14:textId="77777777" w:rsidR="00EC1C40" w:rsidRDefault="00000000">
      <w:pPr>
        <w:pStyle w:val="Zhlavnebozpat0"/>
        <w:framePr w:wrap="none" w:vAnchor="page" w:hAnchor="page" w:x="5192" w:y="1186"/>
      </w:pPr>
      <w:r>
        <w:t>Plánovací smlouva</w:t>
      </w:r>
    </w:p>
    <w:p w14:paraId="72388FAE" w14:textId="77777777" w:rsidR="00EC1C40" w:rsidRDefault="00000000">
      <w:pPr>
        <w:pStyle w:val="Zkladntext1"/>
        <w:framePr w:w="10186" w:h="13411" w:hRule="exact" w:wrap="none" w:vAnchor="page" w:hAnchor="page" w:x="1213" w:y="1940"/>
        <w:spacing w:line="254" w:lineRule="auto"/>
        <w:ind w:left="640"/>
        <w:jc w:val="both"/>
      </w:pPr>
      <w:r>
        <w:t>pro realizaci Investičního záměru (např. převod vlastnického práva k pozemkům potřebným pro výstavbu Související infrastruktury, Nepeněžního plnění, poskytnutí součinnosti pro zřízení veřejné infrastruktury, poskytnutí součinnosti s Odstranění odpadů a znečištění, atp. ), (</w:t>
      </w:r>
      <w:proofErr w:type="spellStart"/>
      <w:r>
        <w:t>ix</w:t>
      </w:r>
      <w:proofErr w:type="spellEnd"/>
      <w:r>
        <w:t xml:space="preserve">) nenabytí vlastnického práva SMP k Pozemku SPÚ </w:t>
      </w:r>
      <w:r>
        <w:rPr>
          <w:i/>
          <w:iCs/>
        </w:rPr>
        <w:t>(jak je tento pojem definován v čl. 8.4 této Smlouvy)</w:t>
      </w:r>
      <w:r>
        <w:t>, respektive nabytí vlastnického práva k tomuto Pozemku SPÚ, později, než je předpokládáno v této Smlouvě (čl. 8.4 Smlouvy), a/nebo jeho neposkytnutí do Výpůjčky nejpozději do tří (3) měsíců od nabytí vlastnického práva k Pozemku SPÚ ze strany SMP, (x) doba, po kterou trvá překážka vyšší moci a její následky, pokud brání či podstatně ztěžují realizaci příslušného Milníku či Investičního záměru jako celku (např. stav investiční nejistoty dle čl. 24.2 Smlouvy), (</w:t>
      </w:r>
      <w:proofErr w:type="spellStart"/>
      <w:r>
        <w:t>xi</w:t>
      </w:r>
      <w:proofErr w:type="spellEnd"/>
      <w:r>
        <w:t>) doba, po kterou nelze rozhodovat (povolovat záměry) v území v rámci Lokality Nová Cihelna (např. rozhodovat v území z důvodu absence územně plánovací dokumentace, územních studií či jiných nástrojů územního plánování, včetně absence přeregistrace Územní studie) a/nebo v důsledku porušení závazků SMP dle čl. 11 této Smlouvy (u Milníku 3 a Milníku 4 je tato překážka relevantní tehdy, pokud brání vydání změny Povolení záměru nebo jiných relevantních rozhodnutí, které se týkají realizace Investičního záměru), (</w:t>
      </w:r>
      <w:proofErr w:type="spellStart"/>
      <w:r>
        <w:t>xii</w:t>
      </w:r>
      <w:proofErr w:type="spellEnd"/>
      <w:r>
        <w:t>) doba, o kterou nastane Změna ÚP Hůrka později, než je uvedeno v čl. 10.10.5.1 této Smlouvy a/nebo doba, o kterou nastane Změna ÚS Hůrka později, než je uvedeno v čl. 10.10.5.2 Smlouvy a/nebo (</w:t>
      </w:r>
      <w:proofErr w:type="spellStart"/>
      <w:r>
        <w:t>xiii</w:t>
      </w:r>
      <w:proofErr w:type="spellEnd"/>
      <w:r>
        <w:t xml:space="preserve">) doba, o kterou nabyde Investor vlastnické právo k Pozemkům SMP pro převod a/nebo Pozemkům Nadace pro převod a/nebo právo užívat Pozemky SMP pro výpůjčku a/nebo Pozemky Nadace pro výpůjčku </w:t>
      </w:r>
      <w:r>
        <w:rPr>
          <w:i/>
          <w:iCs/>
        </w:rPr>
        <w:t>(jak jsou tyto pojmy pod bodem (</w:t>
      </w:r>
      <w:proofErr w:type="spellStart"/>
      <w:r>
        <w:rPr>
          <w:i/>
          <w:iCs/>
        </w:rPr>
        <w:t>xiii</w:t>
      </w:r>
      <w:proofErr w:type="spellEnd"/>
      <w:r>
        <w:rPr>
          <w:i/>
          <w:iCs/>
        </w:rPr>
        <w:t>) definovány v čl. 10.10.4 Smlouvy)</w:t>
      </w:r>
      <w:r>
        <w:t>, později, než je uvedeno v čl. 10.10.4 této Smlouvy. Maximální délka prodloužení Závazných milníků dle tohoto čl. 2.5 (jak jednotlivých Milníků, tak i jejich celkového trvání v jejich souhrnu) je sedm (7) let a šest (6) měsíců. Kdekoli se v této Smlouvě hovoří o Závazném milníku, má se tím na mysli Závazný milník prodloužený v souladu s tímto ustanovením. Pro účely překážky dle bodu (</w:t>
      </w:r>
      <w:proofErr w:type="spellStart"/>
      <w:r>
        <w:t>iv</w:t>
      </w:r>
      <w:proofErr w:type="spellEnd"/>
      <w:r>
        <w:t>) a (v) výše platí, že pokud příslušný orgán veřejné moci v rámci takového řízení zruší Povolení záměru či jiné rozhodnutí a/nebo správní akt nezbytný pro stavební realizaci a užívání Investičního záměru, trvá takováto překážka i po dobu následného nového řízení vedeného u orgánu veřejné moci o příslušné žádosti.</w:t>
      </w:r>
    </w:p>
    <w:p w14:paraId="7EED05CF" w14:textId="77777777" w:rsidR="00EC1C40" w:rsidRDefault="00000000">
      <w:pPr>
        <w:pStyle w:val="Zkladntext1"/>
        <w:framePr w:w="10186" w:h="13411" w:hRule="exact" w:wrap="none" w:vAnchor="page" w:hAnchor="page" w:x="1213" w:y="1940"/>
        <w:numPr>
          <w:ilvl w:val="1"/>
          <w:numId w:val="3"/>
        </w:numPr>
        <w:tabs>
          <w:tab w:val="left" w:pos="571"/>
        </w:tabs>
        <w:spacing w:after="220"/>
        <w:ind w:left="640" w:hanging="640"/>
        <w:jc w:val="both"/>
      </w:pPr>
      <w:r>
        <w:t>Investor je povinen SMP informovat o posunu Závazných milníků a jejich důvodech, a to tři měsíce předtím, než má uplynout Závazný milník dle čl. 2.5 této Smlouvy a uvede konkrétní skutečnosti čl. 2.5 této Smlouvy, kterých se dovolává; nesplnění této povinnosti však nemá žádný vliv na posun Závazných milníků. Investor je povinen SMP předložit podklady nezbytné k prokázání nastání překážky dle bodu (</w:t>
      </w:r>
      <w:proofErr w:type="spellStart"/>
      <w:r>
        <w:t>vii</w:t>
      </w:r>
      <w:proofErr w:type="spellEnd"/>
      <w:r>
        <w:t>) čl. 2.5 této Smlouvy.</w:t>
      </w:r>
    </w:p>
    <w:p w14:paraId="6604E34A" w14:textId="77777777" w:rsidR="00EC1C40" w:rsidRDefault="00000000">
      <w:pPr>
        <w:pStyle w:val="Zkladntext1"/>
        <w:framePr w:w="10186" w:h="13411" w:hRule="exact" w:wrap="none" w:vAnchor="page" w:hAnchor="page" w:x="1213" w:y="1940"/>
        <w:numPr>
          <w:ilvl w:val="1"/>
          <w:numId w:val="3"/>
        </w:numPr>
        <w:tabs>
          <w:tab w:val="left" w:pos="571"/>
        </w:tabs>
        <w:ind w:left="640" w:hanging="640"/>
        <w:jc w:val="both"/>
      </w:pPr>
      <w:r>
        <w:t>Investor je oprávněn kdykoli od realizace Investičního záměru či jeho části upustit a Investiční záměr či jeho část nerealizovat (neboť na základě této Smlouvy, ani jiných smluv není povinen Investiční záměr realizovat); v takovém případě budou Smluvní strany postupovat v souladu s čl. 15 této Smlouvy.</w:t>
      </w:r>
    </w:p>
    <w:p w14:paraId="649068EB" w14:textId="77777777" w:rsidR="00EC1C40" w:rsidRDefault="00000000">
      <w:pPr>
        <w:pStyle w:val="Nadpis60"/>
        <w:framePr w:w="10186" w:h="13411" w:hRule="exact" w:wrap="none" w:vAnchor="page" w:hAnchor="page" w:x="1213" w:y="1940"/>
        <w:numPr>
          <w:ilvl w:val="0"/>
          <w:numId w:val="3"/>
        </w:numPr>
        <w:tabs>
          <w:tab w:val="left" w:pos="571"/>
        </w:tabs>
        <w:spacing w:line="254" w:lineRule="auto"/>
      </w:pPr>
      <w:bookmarkStart w:id="2" w:name="bookmark4"/>
      <w:r>
        <w:t>Základní parametry a Povolené odchylky</w:t>
      </w:r>
      <w:bookmarkEnd w:id="2"/>
    </w:p>
    <w:p w14:paraId="1315F3D0" w14:textId="77777777" w:rsidR="00EC1C40" w:rsidRDefault="00000000">
      <w:pPr>
        <w:pStyle w:val="Zkladntext1"/>
        <w:framePr w:w="10186" w:h="13411" w:hRule="exact" w:wrap="none" w:vAnchor="page" w:hAnchor="page" w:x="1213" w:y="1940"/>
        <w:spacing w:line="254" w:lineRule="auto"/>
        <w:ind w:firstLine="640"/>
      </w:pPr>
      <w:r>
        <w:rPr>
          <w:u w:val="single"/>
        </w:rPr>
        <w:t>Základní parametry</w:t>
      </w:r>
    </w:p>
    <w:p w14:paraId="4C373061" w14:textId="77777777" w:rsidR="00EC1C40" w:rsidRDefault="00000000">
      <w:pPr>
        <w:pStyle w:val="Zkladntext1"/>
        <w:framePr w:w="10186" w:h="13411" w:hRule="exact" w:wrap="none" w:vAnchor="page" w:hAnchor="page" w:x="1213" w:y="1940"/>
        <w:numPr>
          <w:ilvl w:val="1"/>
          <w:numId w:val="3"/>
        </w:numPr>
        <w:tabs>
          <w:tab w:val="left" w:pos="571"/>
        </w:tabs>
        <w:spacing w:after="0"/>
        <w:ind w:left="640" w:hanging="640"/>
        <w:jc w:val="both"/>
      </w:pPr>
      <w:r>
        <w:t xml:space="preserve">Investor se zavazuje ve smyslu § 131 odst. 3 Stavebního zákona při přípravě a realizaci Investičního záměru na Pozemcích dodržet sjednané Základní parametry uvedené v </w:t>
      </w:r>
      <w:r>
        <w:rPr>
          <w:u w:val="single"/>
        </w:rPr>
        <w:t xml:space="preserve">Příloze č. 1 </w:t>
      </w:r>
      <w:r>
        <w:t xml:space="preserve">této Smlouvy. SMP se zavazuje respektovat sjednané Základní parametry Investičního záměru uvedené v </w:t>
      </w:r>
      <w:r>
        <w:rPr>
          <w:u w:val="single"/>
        </w:rPr>
        <w:t>Příloze č. 1</w:t>
      </w:r>
      <w:r>
        <w:t xml:space="preserve"> této Smlouvy. Smluvenými Základními parametry pro účely této Smlouvy jsou ty Základní parametry, které jsou takto výslovně označeny v </w:t>
      </w:r>
      <w:r>
        <w:rPr>
          <w:u w:val="single"/>
        </w:rPr>
        <w:t>Příloze č. 1</w:t>
      </w:r>
      <w:r>
        <w:t xml:space="preserve"> této Smlouvy. Smluvní strany berou na vědomí, že SMP před uzavřením této Smlouvy posoudilo soulad</w:t>
      </w:r>
    </w:p>
    <w:p w14:paraId="7C47CD74" w14:textId="77777777" w:rsidR="00EC1C40" w:rsidRDefault="00000000">
      <w:pPr>
        <w:pStyle w:val="Zhlavnebozpat0"/>
        <w:framePr w:wrap="none" w:vAnchor="page" w:hAnchor="page" w:x="5552" w:y="16085"/>
        <w:rPr>
          <w:sz w:val="22"/>
          <w:szCs w:val="22"/>
        </w:rPr>
      </w:pPr>
      <w:r>
        <w:rPr>
          <w:color w:val="231E20"/>
          <w:sz w:val="22"/>
          <w:szCs w:val="22"/>
        </w:rPr>
        <w:t>11/63</w:t>
      </w:r>
    </w:p>
    <w:p w14:paraId="69A1E1A2"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025A05DB" w14:textId="77777777" w:rsidR="00EC1C40" w:rsidRDefault="00000000">
      <w:pPr>
        <w:spacing w:line="1" w:lineRule="exact"/>
      </w:pPr>
      <w:r>
        <w:rPr>
          <w:noProof/>
        </w:rPr>
        <w:lastRenderedPageBreak/>
        <mc:AlternateContent>
          <mc:Choice Requires="wps">
            <w:drawing>
              <wp:anchor distT="0" distB="0" distL="114300" distR="114300" simplePos="0" relativeHeight="251594240" behindDoc="1" locked="0" layoutInCell="1" allowOverlap="1" wp14:anchorId="41C68F92" wp14:editId="797EA329">
                <wp:simplePos x="0" y="0"/>
                <wp:positionH relativeFrom="page">
                  <wp:posOffset>879475</wp:posOffset>
                </wp:positionH>
                <wp:positionV relativeFrom="page">
                  <wp:posOffset>932180</wp:posOffset>
                </wp:positionV>
                <wp:extent cx="5702935" cy="0"/>
                <wp:effectExtent l="0" t="0" r="0" b="0"/>
                <wp:wrapNone/>
                <wp:docPr id="11" name="Shape 11"/>
                <wp:cNvGraphicFramePr/>
                <a:graphic xmlns:a="http://schemas.openxmlformats.org/drawingml/2006/main">
                  <a:graphicData uri="http://schemas.microsoft.com/office/word/2010/wordprocessingShape">
                    <wps:wsp>
                      <wps:cNvCnPr/>
                      <wps:spPr>
                        <a:xfrm>
                          <a:off x="0" y="0"/>
                          <a:ext cx="5702935" cy="0"/>
                        </a:xfrm>
                        <a:prstGeom prst="straightConnector1">
                          <a:avLst/>
                        </a:prstGeom>
                        <a:ln w="6350">
                          <a:solidFill/>
                        </a:ln>
                      </wps:spPr>
                      <wps:bodyPr/>
                    </wps:wsp>
                  </a:graphicData>
                </a:graphic>
              </wp:anchor>
            </w:drawing>
          </mc:Choice>
          <mc:Fallback>
            <w:pict>
              <v:shape o:spt="32" o:oned="true" path="m,l21600,21600e" style="position:absolute;margin-left:69.25pt;margin-top:73.400000000000006pt;width:449.05000000000001pt;height:0;z-index:-251658240;mso-position-horizontal-relative:page;mso-position-vertical-relative:page">
                <v:stroke weight="0.5pt"/>
              </v:shape>
            </w:pict>
          </mc:Fallback>
        </mc:AlternateContent>
      </w:r>
    </w:p>
    <w:p w14:paraId="529F5BA7" w14:textId="77777777" w:rsidR="00EC1C40" w:rsidRDefault="00000000">
      <w:pPr>
        <w:pStyle w:val="Zhlavnebozpat0"/>
        <w:framePr w:wrap="none" w:vAnchor="page" w:hAnchor="page" w:x="5192" w:y="1186"/>
      </w:pPr>
      <w:r>
        <w:t>Plánovací smlouva</w:t>
      </w:r>
    </w:p>
    <w:p w14:paraId="468BFF3F" w14:textId="77777777" w:rsidR="00EC1C40" w:rsidRDefault="00000000">
      <w:pPr>
        <w:pStyle w:val="Zkladntext1"/>
        <w:framePr w:w="10186" w:h="13507" w:hRule="exact" w:wrap="none" w:vAnchor="page" w:hAnchor="page" w:x="1213" w:y="1940"/>
        <w:ind w:left="640"/>
        <w:jc w:val="both"/>
      </w:pPr>
      <w:r>
        <w:t xml:space="preserve">Investičního záměru a jeho Základních parametrů s Územní studií s tím výsledkem, že Investiční záměr a jeho Základní parametry jsou v souladu s Územní studií, což SMP podpisem této Smlouvy potvrzuje; soulad Investičního záměru s Územní studií je zachycen v </w:t>
      </w:r>
      <w:r>
        <w:rPr>
          <w:u w:val="single"/>
        </w:rPr>
        <w:t>Příloze č. 14</w:t>
      </w:r>
      <w:r>
        <w:t xml:space="preserve"> této Smlouvy (</w:t>
      </w:r>
      <w:r>
        <w:rPr>
          <w:i/>
          <w:iCs/>
        </w:rPr>
        <w:t>Soulad záměru MHAP s Územním plánem města Pardubice a Územní studií „Nová Cihelna 2024”</w:t>
      </w:r>
      <w:r>
        <w:t>), a to jak její textové, tak i grafické části.</w:t>
      </w:r>
    </w:p>
    <w:p w14:paraId="03CBDBBF" w14:textId="77777777" w:rsidR="00EC1C40" w:rsidRDefault="00000000">
      <w:pPr>
        <w:pStyle w:val="Zkladntext1"/>
        <w:framePr w:w="10186" w:h="13507" w:hRule="exact" w:wrap="none" w:vAnchor="page" w:hAnchor="page" w:x="1213" w:y="1940"/>
        <w:ind w:firstLine="640"/>
      </w:pPr>
      <w:r>
        <w:rPr>
          <w:u w:val="single"/>
        </w:rPr>
        <w:t>Povolené odchylky</w:t>
      </w:r>
    </w:p>
    <w:p w14:paraId="3EB9E948" w14:textId="77777777" w:rsidR="00EC1C40" w:rsidRDefault="00000000">
      <w:pPr>
        <w:pStyle w:val="Zkladntext1"/>
        <w:framePr w:w="10186" w:h="13507" w:hRule="exact" w:wrap="none" w:vAnchor="page" w:hAnchor="page" w:x="1213" w:y="1940"/>
        <w:numPr>
          <w:ilvl w:val="1"/>
          <w:numId w:val="3"/>
        </w:numPr>
        <w:tabs>
          <w:tab w:val="left" w:pos="567"/>
        </w:tabs>
        <w:ind w:left="640" w:hanging="640"/>
        <w:jc w:val="both"/>
      </w:pPr>
      <w:r>
        <w:t>Smluvní strany se dohodly, že za porušení Základních parametrů se nepovažují (i) odchylky povolené přímo v této Smlouvě (viz např. Marginální odchylky), (</w:t>
      </w:r>
      <w:proofErr w:type="spellStart"/>
      <w:r>
        <w:t>ii</w:t>
      </w:r>
      <w:proofErr w:type="spellEnd"/>
      <w:r>
        <w:t xml:space="preserve">) odchylky uvedené v </w:t>
      </w:r>
      <w:r>
        <w:rPr>
          <w:u w:val="single"/>
        </w:rPr>
        <w:t>Příloze č. 1</w:t>
      </w:r>
      <w:r>
        <w:t xml:space="preserve"> této Smlouvy a odchylky odsouhlasené ze strany SMP. Pokud se v této Smlouvě kdekoli stanoví, že určité odchylky od Základních parametrů nejsou porušením Základních parametrů, jsou tyto odchylky pro účely této Smlouvy přípustné (např. pro účely čl. 7 Smlouvy atd.).</w:t>
      </w:r>
    </w:p>
    <w:p w14:paraId="7D374026" w14:textId="77777777" w:rsidR="00EC1C40" w:rsidRDefault="00000000">
      <w:pPr>
        <w:pStyle w:val="Zkladntext1"/>
        <w:framePr w:w="10186" w:h="13507" w:hRule="exact" w:wrap="none" w:vAnchor="page" w:hAnchor="page" w:x="1213" w:y="1940"/>
        <w:numPr>
          <w:ilvl w:val="1"/>
          <w:numId w:val="3"/>
        </w:numPr>
        <w:tabs>
          <w:tab w:val="left" w:pos="567"/>
        </w:tabs>
        <w:ind w:left="640" w:hanging="640"/>
        <w:jc w:val="both"/>
      </w:pPr>
      <w:r>
        <w:t>Za porušení Základních parametrů se nepovažuje situace, kdy dojde ke schválení změny Základních parametrů ze strany SMP postupem dle čl. 2.4 této Smlouvy.</w:t>
      </w:r>
    </w:p>
    <w:p w14:paraId="4BA4FF92" w14:textId="77777777" w:rsidR="00EC1C40" w:rsidRDefault="00000000">
      <w:pPr>
        <w:pStyle w:val="Zkladntext1"/>
        <w:framePr w:w="10186" w:h="13507" w:hRule="exact" w:wrap="none" w:vAnchor="page" w:hAnchor="page" w:x="1213" w:y="1940"/>
        <w:ind w:firstLine="640"/>
      </w:pPr>
      <w:r>
        <w:rPr>
          <w:u w:val="single"/>
        </w:rPr>
        <w:t>Marginální odchylky</w:t>
      </w:r>
    </w:p>
    <w:p w14:paraId="13ED50FE" w14:textId="77777777" w:rsidR="00EC1C40" w:rsidRDefault="00000000">
      <w:pPr>
        <w:pStyle w:val="Zkladntext1"/>
        <w:framePr w:w="10186" w:h="13507" w:hRule="exact" w:wrap="none" w:vAnchor="page" w:hAnchor="page" w:x="1213" w:y="1940"/>
        <w:numPr>
          <w:ilvl w:val="1"/>
          <w:numId w:val="3"/>
        </w:numPr>
        <w:tabs>
          <w:tab w:val="left" w:pos="567"/>
        </w:tabs>
        <w:ind w:left="640" w:hanging="640"/>
        <w:jc w:val="both"/>
      </w:pPr>
      <w:r>
        <w:t>Za porušení Základních parametrů se nepovažují takové nepodstatné odchylky od vlastností Investičního záměru, které vyplývají z měřítka regulačního výkresu a/nebo tloušťky použitých čar, není-li porušení Základních parametrů a účelu a smyslu Smlouvy zjevné z jiných okolností.</w:t>
      </w:r>
    </w:p>
    <w:p w14:paraId="1248E8A8" w14:textId="77777777" w:rsidR="00EC1C40" w:rsidRDefault="00000000">
      <w:pPr>
        <w:pStyle w:val="Zkladntext1"/>
        <w:framePr w:w="10186" w:h="13507" w:hRule="exact" w:wrap="none" w:vAnchor="page" w:hAnchor="page" w:x="1213" w:y="1940"/>
        <w:numPr>
          <w:ilvl w:val="1"/>
          <w:numId w:val="3"/>
        </w:numPr>
        <w:tabs>
          <w:tab w:val="left" w:pos="567"/>
        </w:tabs>
        <w:ind w:left="640" w:hanging="640"/>
        <w:jc w:val="both"/>
      </w:pPr>
      <w:r>
        <w:t>Za porušení Základních parametrů se nepovažuje případ, kdy je Investiční záměr v rozporu se Základními parametry v nepodstatném ohledu či v nepodstatném rozsahu z důvodu, že bylo nutné respektovat požadavky uvedené v rozhodnutí a/nebo jiném aktu orgánu veřejné moci (včetně závazných stanovisek atp.) nebo které byly požadovány ze strany orgánů veřejné moci v průběhu projednávání Investičního záměru v rámci povolovacích procesů a postupů, nebo které vyplynuly z řízení či jiného postupu vedeného dle Stavebního zákona nebo jiného právního předpisu, od kterých se Investor nemůže jednostranně odchýlit; toto ustanovení se uplatní obdobně na stanoviska či požadavky vlastníků veřejné infrastruktury.</w:t>
      </w:r>
    </w:p>
    <w:p w14:paraId="12123A58" w14:textId="77777777" w:rsidR="00EC1C40" w:rsidRDefault="00000000">
      <w:pPr>
        <w:pStyle w:val="Zkladntext1"/>
        <w:framePr w:w="10186" w:h="13507" w:hRule="exact" w:wrap="none" w:vAnchor="page" w:hAnchor="page" w:x="1213" w:y="1940"/>
        <w:ind w:firstLine="640"/>
      </w:pPr>
      <w:r>
        <w:rPr>
          <w:u w:val="single"/>
        </w:rPr>
        <w:t>Změna Základních parametrů</w:t>
      </w:r>
    </w:p>
    <w:p w14:paraId="6054F61E" w14:textId="77777777" w:rsidR="00EC1C40" w:rsidRDefault="00000000">
      <w:pPr>
        <w:pStyle w:val="Zkladntext1"/>
        <w:framePr w:w="10186" w:h="13507" w:hRule="exact" w:wrap="none" w:vAnchor="page" w:hAnchor="page" w:x="1213" w:y="1940"/>
        <w:numPr>
          <w:ilvl w:val="1"/>
          <w:numId w:val="3"/>
        </w:numPr>
        <w:tabs>
          <w:tab w:val="left" w:pos="567"/>
        </w:tabs>
        <w:ind w:left="640" w:hanging="640"/>
      </w:pPr>
      <w:r>
        <w:t>Změnu Základních parametrů lze provést pouze postupem a za podmínek uvedených v čl. 2.4 této Smlouvy.</w:t>
      </w:r>
    </w:p>
    <w:p w14:paraId="3672C6EC" w14:textId="77777777" w:rsidR="00EC1C40" w:rsidRDefault="00000000">
      <w:pPr>
        <w:pStyle w:val="Zkladntext1"/>
        <w:framePr w:w="10186" w:h="13507" w:hRule="exact" w:wrap="none" w:vAnchor="page" w:hAnchor="page" w:x="1213" w:y="1940"/>
        <w:ind w:firstLine="640"/>
      </w:pPr>
      <w:r>
        <w:rPr>
          <w:u w:val="single"/>
        </w:rPr>
        <w:t>Územní studie a její význam z hlediska Investičního záměru</w:t>
      </w:r>
    </w:p>
    <w:p w14:paraId="6C462665" w14:textId="77777777" w:rsidR="00EC1C40" w:rsidRDefault="00000000">
      <w:pPr>
        <w:pStyle w:val="Zkladntext1"/>
        <w:framePr w:w="10186" w:h="13507" w:hRule="exact" w:wrap="none" w:vAnchor="page" w:hAnchor="page" w:x="1213" w:y="1940"/>
        <w:numPr>
          <w:ilvl w:val="1"/>
          <w:numId w:val="3"/>
        </w:numPr>
        <w:tabs>
          <w:tab w:val="left" w:pos="567"/>
        </w:tabs>
        <w:ind w:left="640" w:hanging="640"/>
        <w:jc w:val="both"/>
      </w:pPr>
      <w:r>
        <w:t xml:space="preserve">Pro odstranění jakýchkoli pochybností se výslovně sjednává, že pouze ty části Územní studie, které jsou uvedeny v </w:t>
      </w:r>
      <w:r>
        <w:rPr>
          <w:u w:val="single"/>
        </w:rPr>
        <w:t>Příloze č. 1</w:t>
      </w:r>
      <w:r>
        <w:t xml:space="preserve"> této Smlouvy jako závazné parametry, patří mezi smluvené Základní parametry. Ostatní části Územní studie mezi Základní parametry zahrnuty nejsou (aniž by tím byla dotčena role Územní studie v rámci povolovacích procesů, kde Územní studie tvoří jeden z podkladů pro rozhodování v území).</w:t>
      </w:r>
    </w:p>
    <w:p w14:paraId="5A3BE8A6" w14:textId="77777777" w:rsidR="00EC1C40" w:rsidRDefault="00000000">
      <w:pPr>
        <w:pStyle w:val="Nadpis60"/>
        <w:framePr w:w="10186" w:h="13507" w:hRule="exact" w:wrap="none" w:vAnchor="page" w:hAnchor="page" w:x="1213" w:y="1940"/>
        <w:numPr>
          <w:ilvl w:val="0"/>
          <w:numId w:val="3"/>
        </w:numPr>
        <w:tabs>
          <w:tab w:val="left" w:pos="566"/>
          <w:tab w:val="left" w:pos="567"/>
        </w:tabs>
      </w:pPr>
      <w:bookmarkStart w:id="3" w:name="bookmark6"/>
      <w:r>
        <w:t>Investiční příspěvek, související závazky a Konečné vypořádání</w:t>
      </w:r>
      <w:bookmarkEnd w:id="3"/>
    </w:p>
    <w:p w14:paraId="4759212A" w14:textId="77777777" w:rsidR="00EC1C40" w:rsidRDefault="00000000">
      <w:pPr>
        <w:pStyle w:val="Zkladntext1"/>
        <w:framePr w:w="10186" w:h="13507" w:hRule="exact" w:wrap="none" w:vAnchor="page" w:hAnchor="page" w:x="1213" w:y="1940"/>
        <w:ind w:firstLine="640"/>
      </w:pPr>
      <w:r>
        <w:rPr>
          <w:u w:val="single"/>
        </w:rPr>
        <w:t>Investiční příspěvek</w:t>
      </w:r>
    </w:p>
    <w:p w14:paraId="415A2193" w14:textId="77777777" w:rsidR="00EC1C40" w:rsidRDefault="00000000">
      <w:pPr>
        <w:pStyle w:val="Zkladntext1"/>
        <w:framePr w:w="10186" w:h="13507" w:hRule="exact" w:wrap="none" w:vAnchor="page" w:hAnchor="page" w:x="1213" w:y="1940"/>
        <w:numPr>
          <w:ilvl w:val="1"/>
          <w:numId w:val="3"/>
        </w:numPr>
        <w:tabs>
          <w:tab w:val="left" w:pos="567"/>
        </w:tabs>
        <w:ind w:left="640" w:hanging="640"/>
        <w:jc w:val="both"/>
      </w:pPr>
      <w:r>
        <w:t xml:space="preserve">Smluvní strany při stanovení Investičního příspěvku vycházejí ze specifik Investičního záměru a jeho významných přínosů pro SMP a jeho obyvatele, jak jsou tyto popsány v této Smlouvě (zejm. Preambuli a dále v </w:t>
      </w:r>
      <w:r>
        <w:rPr>
          <w:u w:val="single"/>
        </w:rPr>
        <w:t>Příloze č. 15</w:t>
      </w:r>
      <w:r>
        <w:t>) této Smlouvy a tato specifika zohledňují následovně.</w:t>
      </w:r>
    </w:p>
    <w:p w14:paraId="39C6CBA9" w14:textId="77777777" w:rsidR="00EC1C40" w:rsidRDefault="00000000">
      <w:pPr>
        <w:pStyle w:val="Zkladntext1"/>
        <w:framePr w:w="10186" w:h="13507" w:hRule="exact" w:wrap="none" w:vAnchor="page" w:hAnchor="page" w:x="1213" w:y="1940"/>
        <w:numPr>
          <w:ilvl w:val="1"/>
          <w:numId w:val="3"/>
        </w:numPr>
        <w:tabs>
          <w:tab w:val="left" w:pos="567"/>
        </w:tabs>
        <w:spacing w:after="0"/>
        <w:ind w:left="640" w:hanging="640"/>
        <w:jc w:val="both"/>
      </w:pPr>
      <w:r>
        <w:t xml:space="preserve">Smluvní strany prohlašují, že Investiční záměr odpovídá svým převažujícím charakterem Investičnímu záměru ve smyslu v čl. I odst. 6 Zásad, tj. jedná se o Veřejnou stavbu; rozsah, v jakém je Investiční záměr Veřejnou stavbou ve smyslu Zásad, je podrobněji zdůvodněn v </w:t>
      </w:r>
      <w:r>
        <w:rPr>
          <w:u w:val="single"/>
        </w:rPr>
        <w:t>Příloze č. 15</w:t>
      </w:r>
      <w:r>
        <w:t xml:space="preserve"> této Smlouvy. Na tomto základě přistoupily Smluvní strany k definování Zpoplatněných HPP (vč. kritérií pro jejich určení); v rámci </w:t>
      </w:r>
      <w:r>
        <w:rPr>
          <w:u w:val="single"/>
        </w:rPr>
        <w:t>Přílohy č. 11</w:t>
      </w:r>
      <w:r>
        <w:t xml:space="preserve"> je uveden celkový počet</w:t>
      </w:r>
    </w:p>
    <w:p w14:paraId="1A7FE245" w14:textId="77777777" w:rsidR="00EC1C40" w:rsidRDefault="00000000">
      <w:pPr>
        <w:pStyle w:val="Zhlavnebozpat0"/>
        <w:framePr w:wrap="none" w:vAnchor="page" w:hAnchor="page" w:x="5552" w:y="16085"/>
        <w:rPr>
          <w:sz w:val="22"/>
          <w:szCs w:val="22"/>
        </w:rPr>
      </w:pPr>
      <w:r>
        <w:rPr>
          <w:color w:val="231E20"/>
          <w:sz w:val="22"/>
          <w:szCs w:val="22"/>
        </w:rPr>
        <w:t>12/63</w:t>
      </w:r>
    </w:p>
    <w:p w14:paraId="37183CAC"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37DC5087" w14:textId="77777777" w:rsidR="00EC1C40" w:rsidRDefault="00000000">
      <w:pPr>
        <w:spacing w:line="1" w:lineRule="exact"/>
      </w:pPr>
      <w:r>
        <w:rPr>
          <w:noProof/>
        </w:rPr>
        <w:lastRenderedPageBreak/>
        <mc:AlternateContent>
          <mc:Choice Requires="wps">
            <w:drawing>
              <wp:anchor distT="0" distB="0" distL="114300" distR="114300" simplePos="0" relativeHeight="251595264" behindDoc="1" locked="0" layoutInCell="1" allowOverlap="1" wp14:anchorId="0A4654E8" wp14:editId="4734093E">
                <wp:simplePos x="0" y="0"/>
                <wp:positionH relativeFrom="page">
                  <wp:posOffset>879475</wp:posOffset>
                </wp:positionH>
                <wp:positionV relativeFrom="page">
                  <wp:posOffset>932180</wp:posOffset>
                </wp:positionV>
                <wp:extent cx="5702935" cy="0"/>
                <wp:effectExtent l="0" t="0" r="0" b="0"/>
                <wp:wrapNone/>
                <wp:docPr id="12" name="Shape 12"/>
                <wp:cNvGraphicFramePr/>
                <a:graphic xmlns:a="http://schemas.openxmlformats.org/drawingml/2006/main">
                  <a:graphicData uri="http://schemas.microsoft.com/office/word/2010/wordprocessingShape">
                    <wps:wsp>
                      <wps:cNvCnPr/>
                      <wps:spPr>
                        <a:xfrm>
                          <a:off x="0" y="0"/>
                          <a:ext cx="5702935" cy="0"/>
                        </a:xfrm>
                        <a:prstGeom prst="straightConnector1">
                          <a:avLst/>
                        </a:prstGeom>
                        <a:ln w="6350">
                          <a:solidFill/>
                        </a:ln>
                      </wps:spPr>
                      <wps:bodyPr/>
                    </wps:wsp>
                  </a:graphicData>
                </a:graphic>
              </wp:anchor>
            </w:drawing>
          </mc:Choice>
          <mc:Fallback>
            <w:pict>
              <v:shape o:spt="32" o:oned="true" path="m,l21600,21600e" style="position:absolute;margin-left:69.25pt;margin-top:73.400000000000006pt;width:449.05000000000001pt;height:0;z-index:-251658240;mso-position-horizontal-relative:page;mso-position-vertical-relative:page">
                <v:stroke weight="0.5pt"/>
              </v:shape>
            </w:pict>
          </mc:Fallback>
        </mc:AlternateContent>
      </w:r>
    </w:p>
    <w:p w14:paraId="1A0A0DCF" w14:textId="77777777" w:rsidR="00EC1C40" w:rsidRDefault="00000000">
      <w:pPr>
        <w:pStyle w:val="Zhlavnebozpat0"/>
        <w:framePr w:wrap="none" w:vAnchor="page" w:hAnchor="page" w:x="5192" w:y="1186"/>
      </w:pPr>
      <w:r>
        <w:t>Plánovací smlouva</w:t>
      </w:r>
    </w:p>
    <w:p w14:paraId="0EC06B9C" w14:textId="77777777" w:rsidR="00EC1C40" w:rsidRDefault="00000000">
      <w:pPr>
        <w:pStyle w:val="Zkladntext1"/>
        <w:framePr w:w="10186" w:h="13594" w:hRule="exact" w:wrap="none" w:vAnchor="page" w:hAnchor="page" w:x="1213" w:y="1940"/>
        <w:spacing w:after="120"/>
        <w:ind w:left="640"/>
        <w:jc w:val="both"/>
      </w:pPr>
      <w:r>
        <w:t xml:space="preserve">HPP a dále počet aktuálně předpokládaných Zpoplatněných HPP, tj. takových HPP, z nichž se počítá Investiční příspěvek s tím, že rozdíl mezi celkovou výší HPP a Zpoplatněnými HPP odpovídá veřejné stavbě ve smyslu Zásad. Graficky jsou plochy, které odpovídají veřejné stavbě ve smyslu Zásad (nebo naopak veřejnou stavbou nejsou), v aktuálně uvažované podobě Investičního záměru, vyznačeny v </w:t>
      </w:r>
      <w:r>
        <w:rPr>
          <w:u w:val="single"/>
        </w:rPr>
        <w:t>Příloze č. 12</w:t>
      </w:r>
      <w:r>
        <w:t xml:space="preserve"> této Smlouvy. Dojde-li po uzavření této Smlouvy ke změně Investičního záměru v rámci jeho přípravy či realizace, zohlední se skutečný rozsah Zpoplatněných HPP, a to podle kritérií stanovených v čl. 1.1.48 této Smlouvy a postupem sjednaným níže v rámci Konečného vypořádání.</w:t>
      </w:r>
    </w:p>
    <w:p w14:paraId="06ECF600" w14:textId="77777777" w:rsidR="00EC1C40" w:rsidRDefault="00000000">
      <w:pPr>
        <w:pStyle w:val="Zkladntext1"/>
        <w:framePr w:w="10186" w:h="13594" w:hRule="exact" w:wrap="none" w:vAnchor="page" w:hAnchor="page" w:x="1213" w:y="1940"/>
        <w:numPr>
          <w:ilvl w:val="1"/>
          <w:numId w:val="3"/>
        </w:numPr>
        <w:tabs>
          <w:tab w:val="left" w:pos="571"/>
        </w:tabs>
        <w:spacing w:after="120"/>
        <w:ind w:left="640" w:hanging="640"/>
        <w:jc w:val="both"/>
      </w:pPr>
      <w:r>
        <w:t>V rozsahu, v jakém dle této Smlouvy je Investiční záměr Veřejnou stavbou ve smyslu čl. I odst. 6 Zásad, zastupitelstvo SMP schválením této Smlouvy rozhoduje o snížení základní výše investičního příspěvku dle Zásad o 100 %, což se projevuje zejména vynětím části HPP z definice Zpoplatněných HPP, od nichž se odvíjí Referenční výše Investičního příspěvku sjednaná v této Smlouvě.</w:t>
      </w:r>
    </w:p>
    <w:p w14:paraId="4BA60590" w14:textId="77777777" w:rsidR="00EC1C40" w:rsidRDefault="00000000">
      <w:pPr>
        <w:pStyle w:val="Zkladntext1"/>
        <w:framePr w:w="10186" w:h="13594" w:hRule="exact" w:wrap="none" w:vAnchor="page" w:hAnchor="page" w:x="1213" w:y="1940"/>
        <w:numPr>
          <w:ilvl w:val="1"/>
          <w:numId w:val="3"/>
        </w:numPr>
        <w:tabs>
          <w:tab w:val="left" w:pos="571"/>
        </w:tabs>
        <w:spacing w:after="240"/>
        <w:ind w:left="640" w:hanging="640"/>
        <w:jc w:val="both"/>
      </w:pPr>
      <w:r>
        <w:t>Referenční výše Investičního příspěvku bude stanovena jako součin Zpoplatněných HPP a sjednané sazby. Výše této sjednané sazby činí v souladu se Zásadami 800,- Kč s tím, že od takto stanovené základní sazby Investičního příspěvku bude odečtena cena 200,- Kč za každý 1 m</w:t>
      </w:r>
      <w:r>
        <w:rPr>
          <w:vertAlign w:val="superscript"/>
        </w:rPr>
        <w:t xml:space="preserve">2 </w:t>
      </w:r>
      <w:r>
        <w:t>Zpoplatněných HPP za Adaptační opatření, tj. výsledná výše sazby ke dni uzavření smlouvy činí 600,- Kč za každý 1 m</w:t>
      </w:r>
      <w:r>
        <w:rPr>
          <w:vertAlign w:val="superscript"/>
        </w:rPr>
        <w:t>2</w:t>
      </w:r>
      <w:r>
        <w:t xml:space="preserve"> Zpoplatněných HPP („</w:t>
      </w:r>
      <w:r>
        <w:rPr>
          <w:b/>
          <w:bCs/>
        </w:rPr>
        <w:t>Sazba</w:t>
      </w:r>
      <w:r>
        <w:t>“). SMP se s ohledem na mimořádný rozsah, význam a přínosy Investičního záměru pro SMP, Pardubický kraj a Českou republiku, jak jsou tyto popsány v této Smlouvě, zejména s ohledem na (i) jedinečnost projektu Investičního záměru jako multifunkční hokejové arény mezinárodního významu, (</w:t>
      </w:r>
      <w:proofErr w:type="spellStart"/>
      <w:r>
        <w:t>ii</w:t>
      </w:r>
      <w:proofErr w:type="spellEnd"/>
      <w:r>
        <w:t>) významné přínosy pro sportovní a kulturní vyžití obyvatel, (</w:t>
      </w:r>
      <w:proofErr w:type="spellStart"/>
      <w:r>
        <w:t>iii</w:t>
      </w:r>
      <w:proofErr w:type="spellEnd"/>
      <w:r>
        <w:t>) tvorbu nových pracovních míst, (</w:t>
      </w:r>
      <w:proofErr w:type="spellStart"/>
      <w:r>
        <w:t>iv</w:t>
      </w:r>
      <w:proofErr w:type="spellEnd"/>
      <w:r>
        <w:t>) rozvoj turistického ruchu a celkové zvýšení atraktivity města, (v) environmentálně udržitelný charakter projektu s certifikací LEED GOLD a (</w:t>
      </w:r>
      <w:proofErr w:type="spellStart"/>
      <w:r>
        <w:t>vi</w:t>
      </w:r>
      <w:proofErr w:type="spellEnd"/>
      <w:r>
        <w:t xml:space="preserve">) rozsáhlé investice Investora do Nepeněžního plnění a Související infrastruktury ve prospěch města, odchyluje od valorizace stanovené v čl. III. odst. 3 Zásad, a proto Sazba nebude dále nijak navyšována (o inflaci či z jakéhokoli jiného důvodu). S ohledem na aktuálně předpokládaná Zpoplatněná HPP (tj. celkem 29 858 Zpoplatněných HPP) aktuálně předpokládaná Referenční výše Investičního příspěvku činí </w:t>
      </w:r>
      <w:r>
        <w:rPr>
          <w:b/>
          <w:bCs/>
        </w:rPr>
        <w:t>17 914 800 Kč (slovy: sedmnáct milionů devět set čtrnáct tisíc osm set korun českých)</w:t>
      </w:r>
      <w:r>
        <w:t>. Referenční výše Investičního příspěvku uvedená v tomto článku je předběžná a bude upravena dle skutečnosti v rámci Konečného vypořádání.</w:t>
      </w:r>
    </w:p>
    <w:p w14:paraId="3B303B8E" w14:textId="77777777" w:rsidR="00EC1C40" w:rsidRDefault="00000000">
      <w:pPr>
        <w:pStyle w:val="Zkladntext1"/>
        <w:framePr w:w="10186" w:h="13594" w:hRule="exact" w:wrap="none" w:vAnchor="page" w:hAnchor="page" w:x="1213" w:y="1940"/>
        <w:numPr>
          <w:ilvl w:val="1"/>
          <w:numId w:val="3"/>
        </w:numPr>
        <w:tabs>
          <w:tab w:val="left" w:pos="571"/>
        </w:tabs>
        <w:spacing w:after="120"/>
        <w:ind w:left="640" w:hanging="640"/>
        <w:jc w:val="both"/>
      </w:pPr>
      <w:r>
        <w:t>Referenční výše Investičního příspěvku se může změnit změnou Zpoplatněných HPP v souladu s pravidly sjednanými v této Smlouvě (a to v návaznosti na případnou změnu parametrů Investičního záměru). Takové změny budou zohledněny v Konečném vypořádání při postupu dle čl. 4.12 a násl. této Smlouvy. Jakékoli zvýšení Investičního příspěvku z jiných důvodů nebo jiným způsobem je nepřípustné.</w:t>
      </w:r>
    </w:p>
    <w:p w14:paraId="4469930C" w14:textId="77777777" w:rsidR="00EC1C40" w:rsidRDefault="00000000">
      <w:pPr>
        <w:pStyle w:val="Zkladntext1"/>
        <w:framePr w:w="10186" w:h="13594" w:hRule="exact" w:wrap="none" w:vAnchor="page" w:hAnchor="page" w:x="1213" w:y="1940"/>
        <w:numPr>
          <w:ilvl w:val="1"/>
          <w:numId w:val="3"/>
        </w:numPr>
        <w:tabs>
          <w:tab w:val="left" w:pos="571"/>
        </w:tabs>
        <w:spacing w:after="120"/>
        <w:ind w:left="640" w:hanging="640"/>
        <w:jc w:val="both"/>
      </w:pPr>
      <w:r>
        <w:t>Investor poskytne Investiční příspěvek buď prostřednictvím Nepeněžního plnění, které je definováno v čl. 5 této Smlouvy a za tam uvedených podmínek, nebo (nebude-li v odpovídající hodnotě realizováno Nepeněžní plnění) formou peněžního plnění do Programu veřejné infrastruktury. Rozsah poskytnutého Nepeněžního plnění bude ověřen v rámci Konečného vypořádání.</w:t>
      </w:r>
    </w:p>
    <w:p w14:paraId="213B12BF" w14:textId="77777777" w:rsidR="00EC1C40" w:rsidRDefault="00000000">
      <w:pPr>
        <w:pStyle w:val="Zkladntext1"/>
        <w:framePr w:w="10186" w:h="13594" w:hRule="exact" w:wrap="none" w:vAnchor="page" w:hAnchor="page" w:x="1213" w:y="1940"/>
        <w:spacing w:after="240"/>
        <w:ind w:firstLine="640"/>
        <w:jc w:val="both"/>
      </w:pPr>
      <w:r>
        <w:rPr>
          <w:u w:val="single"/>
        </w:rPr>
        <w:t>Adaptační opatření</w:t>
      </w:r>
    </w:p>
    <w:p w14:paraId="724AE5A0" w14:textId="77777777" w:rsidR="00EC1C40" w:rsidRDefault="00000000">
      <w:pPr>
        <w:pStyle w:val="Zkladntext1"/>
        <w:framePr w:w="10186" w:h="13594" w:hRule="exact" w:wrap="none" w:vAnchor="page" w:hAnchor="page" w:x="1213" w:y="1940"/>
        <w:numPr>
          <w:ilvl w:val="1"/>
          <w:numId w:val="3"/>
        </w:numPr>
        <w:tabs>
          <w:tab w:val="left" w:pos="571"/>
        </w:tabs>
        <w:spacing w:after="0"/>
        <w:ind w:left="640" w:hanging="640"/>
        <w:jc w:val="both"/>
      </w:pPr>
      <w:r>
        <w:t xml:space="preserve">Investor se zavazuje, že bude v rámci Investičního záměru realizovat alespoň Adaptační opatření, která jsou uvedena v </w:t>
      </w:r>
      <w:r>
        <w:rPr>
          <w:u w:val="single"/>
        </w:rPr>
        <w:t>Příloze č. 2</w:t>
      </w:r>
      <w:r>
        <w:t xml:space="preserve"> této Smlouvy. Za splnění Adaptačních opatření dle této Smlouvy se považuje realizace všech konkrétních Adaptačních opatření uvedených v </w:t>
      </w:r>
      <w:r>
        <w:rPr>
          <w:u w:val="single"/>
        </w:rPr>
        <w:t>Příloze č. 2</w:t>
      </w:r>
      <w:r>
        <w:t xml:space="preserve"> této Smlouvy a získání Certifikace LEED dle čl. 4.9 Smlouvy. Investor je oprávněn jednotlivá opatření uvedená v </w:t>
      </w:r>
      <w:r>
        <w:rPr>
          <w:u w:val="single"/>
        </w:rPr>
        <w:t>Příloze č. 2</w:t>
      </w:r>
      <w:r>
        <w:t xml:space="preserve"> této Smlouvy modifikovat či nahradit jinými, a to za předpokladu, že</w:t>
      </w:r>
    </w:p>
    <w:p w14:paraId="3E582CD4" w14:textId="77777777" w:rsidR="00EC1C40" w:rsidRDefault="00000000">
      <w:pPr>
        <w:pStyle w:val="Zhlavnebozpat0"/>
        <w:framePr w:wrap="none" w:vAnchor="page" w:hAnchor="page" w:x="5552" w:y="16085"/>
        <w:rPr>
          <w:sz w:val="22"/>
          <w:szCs w:val="22"/>
        </w:rPr>
      </w:pPr>
      <w:r>
        <w:rPr>
          <w:color w:val="231E20"/>
          <w:sz w:val="22"/>
          <w:szCs w:val="22"/>
        </w:rPr>
        <w:t>13/63</w:t>
      </w:r>
    </w:p>
    <w:p w14:paraId="57BC84AD"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763ABB82" w14:textId="77777777" w:rsidR="00EC1C40" w:rsidRDefault="00000000">
      <w:pPr>
        <w:spacing w:line="1" w:lineRule="exact"/>
      </w:pPr>
      <w:r>
        <w:rPr>
          <w:noProof/>
        </w:rPr>
        <w:lastRenderedPageBreak/>
        <mc:AlternateContent>
          <mc:Choice Requires="wps">
            <w:drawing>
              <wp:anchor distT="0" distB="0" distL="114300" distR="114300" simplePos="0" relativeHeight="251596288" behindDoc="1" locked="0" layoutInCell="1" allowOverlap="1" wp14:anchorId="32537BDF" wp14:editId="47C3E683">
                <wp:simplePos x="0" y="0"/>
                <wp:positionH relativeFrom="page">
                  <wp:posOffset>879475</wp:posOffset>
                </wp:positionH>
                <wp:positionV relativeFrom="page">
                  <wp:posOffset>932180</wp:posOffset>
                </wp:positionV>
                <wp:extent cx="5702935" cy="0"/>
                <wp:effectExtent l="0" t="0" r="0" b="0"/>
                <wp:wrapNone/>
                <wp:docPr id="13" name="Shape 13"/>
                <wp:cNvGraphicFramePr/>
                <a:graphic xmlns:a="http://schemas.openxmlformats.org/drawingml/2006/main">
                  <a:graphicData uri="http://schemas.microsoft.com/office/word/2010/wordprocessingShape">
                    <wps:wsp>
                      <wps:cNvCnPr/>
                      <wps:spPr>
                        <a:xfrm>
                          <a:off x="0" y="0"/>
                          <a:ext cx="5702935" cy="0"/>
                        </a:xfrm>
                        <a:prstGeom prst="straightConnector1">
                          <a:avLst/>
                        </a:prstGeom>
                        <a:ln w="6350">
                          <a:solidFill/>
                        </a:ln>
                      </wps:spPr>
                      <wps:bodyPr/>
                    </wps:wsp>
                  </a:graphicData>
                </a:graphic>
              </wp:anchor>
            </w:drawing>
          </mc:Choice>
          <mc:Fallback>
            <w:pict>
              <v:shape o:spt="32" o:oned="true" path="m,l21600,21600e" style="position:absolute;margin-left:69.25pt;margin-top:73.400000000000006pt;width:449.05000000000001pt;height:0;z-index:-251658240;mso-position-horizontal-relative:page;mso-position-vertical-relative:page">
                <v:stroke weight="0.5pt"/>
              </v:shape>
            </w:pict>
          </mc:Fallback>
        </mc:AlternateContent>
      </w:r>
    </w:p>
    <w:p w14:paraId="46386230" w14:textId="77777777" w:rsidR="00EC1C40" w:rsidRDefault="00000000">
      <w:pPr>
        <w:pStyle w:val="Zhlavnebozpat0"/>
        <w:framePr w:wrap="none" w:vAnchor="page" w:hAnchor="page" w:x="5192" w:y="1186"/>
      </w:pPr>
      <w:r>
        <w:t>Plánovací smlouva</w:t>
      </w:r>
    </w:p>
    <w:p w14:paraId="7C1B9DEE" w14:textId="77777777" w:rsidR="00EC1C40" w:rsidRDefault="00000000">
      <w:pPr>
        <w:pStyle w:val="Zkladntext1"/>
        <w:framePr w:w="10186" w:h="13354" w:hRule="exact" w:wrap="none" w:vAnchor="page" w:hAnchor="page" w:x="1213" w:y="1940"/>
        <w:ind w:left="640"/>
        <w:jc w:val="both"/>
      </w:pPr>
      <w:r>
        <w:t>v souhrnu dosáhne obdobných či lepších výsledků, včetně Certifikace LEED; v takovém případě se pro účely této Smlouvy rozumí Adaptačními opatřeními takováto modifikovaná či nahrazená Adaptační opatření. Investor poskytne SMP potřebné informace k ověření takovýchto modifikací či nahrazení Adaptačních opatření.</w:t>
      </w:r>
    </w:p>
    <w:p w14:paraId="4A86B323" w14:textId="77777777" w:rsidR="00EC1C40" w:rsidRDefault="00000000">
      <w:pPr>
        <w:pStyle w:val="Zkladntext1"/>
        <w:framePr w:w="10186" w:h="13354" w:hRule="exact" w:wrap="none" w:vAnchor="page" w:hAnchor="page" w:x="1213" w:y="1940"/>
        <w:numPr>
          <w:ilvl w:val="1"/>
          <w:numId w:val="3"/>
        </w:numPr>
        <w:tabs>
          <w:tab w:val="left" w:pos="571"/>
        </w:tabs>
        <w:spacing w:after="240"/>
        <w:ind w:left="640" w:hanging="640"/>
        <w:jc w:val="both"/>
      </w:pPr>
      <w:r>
        <w:t xml:space="preserve">SMP je oprávněno ověřit realizaci Investorem provedených Adaptačních opatření (vyjma Certifikace LEED) uvedených v </w:t>
      </w:r>
      <w:r>
        <w:rPr>
          <w:u w:val="single"/>
        </w:rPr>
        <w:t>Příloze č. 2</w:t>
      </w:r>
      <w:r>
        <w:t xml:space="preserve"> této Smlouvy, a to ve lhůtě od začátku prvního (1.) měsíce a nejpozději do konce třetího (3.) měsíce následujícího po měsíci, v němž nastane Dokončení Investičního záměru, a to (i) na základě dokumentace skutečného provedení, (</w:t>
      </w:r>
      <w:proofErr w:type="spellStart"/>
      <w:r>
        <w:t>ii</w:t>
      </w:r>
      <w:proofErr w:type="spellEnd"/>
      <w:r>
        <w:t>) příslušných certifikátů a obdobných dokumentů, a (</w:t>
      </w:r>
      <w:proofErr w:type="spellStart"/>
      <w:r>
        <w:t>iii</w:t>
      </w:r>
      <w:proofErr w:type="spellEnd"/>
      <w:r>
        <w:t>) prostřednictvím fyzické kontroly, přičemž kontrola může trvat maximálně po dobu tří dnů a účastnit se jí může nejvýše 5 oprávněných osob určených SMP, nedomluví-li se Smluvní strany jinak. Investor je povinen umožnit fyzickou kontrolu v termínu dohodnutém se SMP, mimo dobu konání akcí v Investičním záměru. Ověření ze strany SMP musí být Investorovi oznámeno alespoň 45 dnů před plánovaným termínem ověření. Ověření dle tohoto ustanovení musí respektovat oprávněné zájmy Investora, provozovatele Investičního záměru, nájemců či jiných uživatelů Investičního záměru, zejména bezpečnost či jiné citlivé informace, přičemž musí plně respektovat soukromí nájemců či jiných uživatelů Investičního záměru; tyto povinnosti nesmí ve svém souhrnu vyloučit možnost SMP ke kontrole Adaptačních opatření. Ustanovení čl. 7.14 této Smlouvy se uplatní i pro kontrolu dle tohoto čl. 4.8 Smlouvy (pokud není v tomto článku čl. 4.8 Smlouvy stanoveno jinak).</w:t>
      </w:r>
    </w:p>
    <w:p w14:paraId="2C933356" w14:textId="77777777" w:rsidR="00EC1C40" w:rsidRDefault="00000000">
      <w:pPr>
        <w:pStyle w:val="Zkladntext1"/>
        <w:framePr w:w="10186" w:h="13354" w:hRule="exact" w:wrap="none" w:vAnchor="page" w:hAnchor="page" w:x="1213" w:y="1940"/>
        <w:numPr>
          <w:ilvl w:val="1"/>
          <w:numId w:val="3"/>
        </w:numPr>
        <w:tabs>
          <w:tab w:val="left" w:pos="571"/>
        </w:tabs>
        <w:ind w:left="640" w:hanging="640"/>
        <w:jc w:val="both"/>
      </w:pPr>
      <w:r>
        <w:t xml:space="preserve">Investor se zároveň zavazuje, že pro Investiční záměr získá certifikaci LEED BD+C: New </w:t>
      </w:r>
      <w:proofErr w:type="spellStart"/>
      <w:r>
        <w:t>Construction</w:t>
      </w:r>
      <w:proofErr w:type="spellEnd"/>
      <w:r>
        <w:t xml:space="preserve"> and Major </w:t>
      </w:r>
      <w:proofErr w:type="spellStart"/>
      <w:r>
        <w:t>Renovation</w:t>
      </w:r>
      <w:proofErr w:type="spellEnd"/>
      <w:r>
        <w:t xml:space="preserve"> verze „v4" ve schématu „New </w:t>
      </w:r>
      <w:proofErr w:type="spellStart"/>
      <w:r>
        <w:t>Construction</w:t>
      </w:r>
      <w:proofErr w:type="spellEnd"/>
      <w:r>
        <w:t xml:space="preserve">“ na úrovni GOLD od certifikačního institutu Green Business </w:t>
      </w:r>
      <w:proofErr w:type="spellStart"/>
      <w:r>
        <w:t>Certification</w:t>
      </w:r>
      <w:proofErr w:type="spellEnd"/>
      <w:r>
        <w:t xml:space="preserve"> Inc. (dále jen „</w:t>
      </w:r>
      <w:r>
        <w:rPr>
          <w:b/>
          <w:bCs/>
        </w:rPr>
        <w:t>GBCI</w:t>
      </w:r>
      <w:r>
        <w:t>“ a „</w:t>
      </w:r>
      <w:r>
        <w:rPr>
          <w:b/>
          <w:bCs/>
        </w:rPr>
        <w:t>Certifikace LEED</w:t>
      </w:r>
      <w:r>
        <w:t>“), a to v rozsahu specifikovaném v Příloze č. 2 této Smlouvy (tj. v rozsahu budovy Arény, Tréninkové haly, Hotelu a venkovního území LEED). Investor se zavazuje splnit svoji povinnost předložit SMP certifikát prokazující udělení Certifikace LEED nejpozději do dvaceti čtyř (24) měsíců od právní moci rozhodnutí o kolaudaci Investičního záměru. Nesplnění této povinnosti se považuje za porušení povinností Investora, které je utvrzeno smluvní pokutou. Kdekoli s v této Smlouvě (a/nebo jejích přílohách) hovoří o Certifikaci LEED (udělené) pro Investiční záměr (bez ohledu na přesnou formulaci), má se tím na mysli Certifikace LEED (udělená) pro Investiční záměr v rozsahu specifikovaném v Příloze č. 2 této Smlouvy (tj. v rozsahu budovy Arény, Tréninkové haly, Hotelu a venkovního území LEED).</w:t>
      </w:r>
    </w:p>
    <w:p w14:paraId="26253A1E" w14:textId="77777777" w:rsidR="00EC1C40" w:rsidRDefault="00000000">
      <w:pPr>
        <w:pStyle w:val="Zkladntext1"/>
        <w:framePr w:w="10186" w:h="13354" w:hRule="exact" w:wrap="none" w:vAnchor="page" w:hAnchor="page" w:x="1213" w:y="1940"/>
        <w:numPr>
          <w:ilvl w:val="1"/>
          <w:numId w:val="3"/>
        </w:numPr>
        <w:tabs>
          <w:tab w:val="left" w:pos="571"/>
        </w:tabs>
        <w:ind w:left="640" w:hanging="640"/>
        <w:jc w:val="both"/>
      </w:pPr>
      <w:r>
        <w:t>Investor se zavazuje udržovat Investiční záměr v souladu s parametry a standardy, na základě kterých byla udělena Certifikace LEED, po dobu minimálně 5 let od získání certifikátu. Na vyžádání SMP je Investor povinen doložit, že Investiční záměr po tuto dobu nadále splňuje podmínky Certifikace LEED, a to formou písemného prohlášení s předložením příslušného certifikátu, vždy do 60 dnů od doručení výzvy. Investor bere na vědomí, že certifikační institut GBCI po udělení certifikace neověřuje plnění certifikačních kritérií, a že odpovědnost za udržování parametrů certifikace nese výhradně Investor. Nesplnění této povinnosti se považuje za porušení povinností Investora, které je utvrzeno smluvní pokutou.</w:t>
      </w:r>
    </w:p>
    <w:p w14:paraId="7D335C7F" w14:textId="77777777" w:rsidR="00EC1C40" w:rsidRDefault="00000000">
      <w:pPr>
        <w:pStyle w:val="Zkladntext1"/>
        <w:framePr w:w="10186" w:h="13354" w:hRule="exact" w:wrap="none" w:vAnchor="page" w:hAnchor="page" w:x="1213" w:y="1940"/>
        <w:numPr>
          <w:ilvl w:val="1"/>
          <w:numId w:val="3"/>
        </w:numPr>
        <w:tabs>
          <w:tab w:val="left" w:pos="571"/>
        </w:tabs>
        <w:ind w:left="640" w:hanging="640"/>
        <w:jc w:val="both"/>
      </w:pPr>
      <w:r>
        <w:t>Žádné jiné plnění za realizaci Investičního záměru (a/nebo Nepeněžního plnění či Související infrastruktury), než je Investiční příspěvek, nebude SMP po Investorovi požadovat, vyjma případných poplatků za zábory veřejných prostranství dle příslušného právního předpisu v souvislosti s realizací Investičního záměru, Nepeněžního plnění a Související infrastruktury. Toto ustanovení se nevztahuje na běžné provozní poplatky a platby vyplývající z obecně závazných vyhlášek města (jako jsou např. poplatky za odpady a další obdobné poplatky), které jsou splatné za obvyklých podmínek stanovených právními předpisy.</w:t>
      </w:r>
    </w:p>
    <w:p w14:paraId="36707EE8" w14:textId="77777777" w:rsidR="00EC1C40" w:rsidRDefault="00000000">
      <w:pPr>
        <w:pStyle w:val="Zkladntext1"/>
        <w:framePr w:w="10186" w:h="13354" w:hRule="exact" w:wrap="none" w:vAnchor="page" w:hAnchor="page" w:x="1213" w:y="1940"/>
        <w:spacing w:after="0"/>
        <w:ind w:firstLine="640"/>
      </w:pPr>
      <w:r>
        <w:rPr>
          <w:u w:val="single"/>
        </w:rPr>
        <w:t>Konečné vypořádání</w:t>
      </w:r>
    </w:p>
    <w:p w14:paraId="14C14D0C" w14:textId="77777777" w:rsidR="00EC1C40" w:rsidRDefault="00000000">
      <w:pPr>
        <w:pStyle w:val="Zhlavnebozpat0"/>
        <w:framePr w:wrap="none" w:vAnchor="page" w:hAnchor="page" w:x="5552" w:y="16085"/>
        <w:rPr>
          <w:sz w:val="22"/>
          <w:szCs w:val="22"/>
        </w:rPr>
      </w:pPr>
      <w:r>
        <w:rPr>
          <w:color w:val="231E20"/>
          <w:sz w:val="22"/>
          <w:szCs w:val="22"/>
        </w:rPr>
        <w:t>14/63</w:t>
      </w:r>
    </w:p>
    <w:p w14:paraId="56B572C4"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0A00A5E5" w14:textId="77777777" w:rsidR="00EC1C40" w:rsidRDefault="00000000">
      <w:pPr>
        <w:spacing w:line="1" w:lineRule="exact"/>
      </w:pPr>
      <w:r>
        <w:rPr>
          <w:noProof/>
        </w:rPr>
        <w:lastRenderedPageBreak/>
        <mc:AlternateContent>
          <mc:Choice Requires="wps">
            <w:drawing>
              <wp:anchor distT="0" distB="0" distL="114300" distR="114300" simplePos="0" relativeHeight="251597312" behindDoc="1" locked="0" layoutInCell="1" allowOverlap="1" wp14:anchorId="416F1AE3" wp14:editId="5E675480">
                <wp:simplePos x="0" y="0"/>
                <wp:positionH relativeFrom="page">
                  <wp:posOffset>879475</wp:posOffset>
                </wp:positionH>
                <wp:positionV relativeFrom="page">
                  <wp:posOffset>932180</wp:posOffset>
                </wp:positionV>
                <wp:extent cx="5702935" cy="0"/>
                <wp:effectExtent l="0" t="0" r="0" b="0"/>
                <wp:wrapNone/>
                <wp:docPr id="14" name="Shape 14"/>
                <wp:cNvGraphicFramePr/>
                <a:graphic xmlns:a="http://schemas.openxmlformats.org/drawingml/2006/main">
                  <a:graphicData uri="http://schemas.microsoft.com/office/word/2010/wordprocessingShape">
                    <wps:wsp>
                      <wps:cNvCnPr/>
                      <wps:spPr>
                        <a:xfrm>
                          <a:off x="0" y="0"/>
                          <a:ext cx="5702935" cy="0"/>
                        </a:xfrm>
                        <a:prstGeom prst="straightConnector1">
                          <a:avLst/>
                        </a:prstGeom>
                        <a:ln w="6350">
                          <a:solidFill/>
                        </a:ln>
                      </wps:spPr>
                      <wps:bodyPr/>
                    </wps:wsp>
                  </a:graphicData>
                </a:graphic>
              </wp:anchor>
            </w:drawing>
          </mc:Choice>
          <mc:Fallback>
            <w:pict>
              <v:shape o:spt="32" o:oned="true" path="m,l21600,21600e" style="position:absolute;margin-left:69.25pt;margin-top:73.400000000000006pt;width:449.05000000000001pt;height:0;z-index:-251658240;mso-position-horizontal-relative:page;mso-position-vertical-relative:page">
                <v:stroke weight="0.5pt"/>
              </v:shape>
            </w:pict>
          </mc:Fallback>
        </mc:AlternateContent>
      </w:r>
    </w:p>
    <w:p w14:paraId="55E8E9C1" w14:textId="77777777" w:rsidR="00EC1C40" w:rsidRDefault="00000000">
      <w:pPr>
        <w:pStyle w:val="Zhlavnebozpat0"/>
        <w:framePr w:wrap="none" w:vAnchor="page" w:hAnchor="page" w:x="5192" w:y="1186"/>
      </w:pPr>
      <w:r>
        <w:t>Plánovací smlouva</w:t>
      </w:r>
    </w:p>
    <w:p w14:paraId="635C675B" w14:textId="77777777" w:rsidR="00EC1C40" w:rsidRDefault="00000000">
      <w:pPr>
        <w:pStyle w:val="Zkladntext1"/>
        <w:framePr w:w="10186" w:h="13267" w:hRule="exact" w:wrap="none" w:vAnchor="page" w:hAnchor="page" w:x="1213" w:y="1940"/>
        <w:numPr>
          <w:ilvl w:val="1"/>
          <w:numId w:val="3"/>
        </w:numPr>
        <w:tabs>
          <w:tab w:val="left" w:pos="571"/>
        </w:tabs>
        <w:spacing w:after="220"/>
        <w:ind w:left="640" w:hanging="640"/>
        <w:jc w:val="both"/>
      </w:pPr>
      <w:r>
        <w:t>Konečné vypořádání mezi Smluvními stranami z hlediska výše Investičního příspěvku proběhne po uplynutí jednoho roku ode dne právní moci rozhodnutí o kolaudaci Investičního záměru, a to podle dále uvedených pravidel. Smluvní strany pro tyto účely sjednávají, že rozhodným dnem bude den, na který připadá roční výročí počítané ode dne právní moci rozhodnutí o kolaudaci („</w:t>
      </w:r>
      <w:r>
        <w:rPr>
          <w:b/>
          <w:bCs/>
        </w:rPr>
        <w:t>Rozhodný den</w:t>
      </w:r>
      <w:r>
        <w:t>“).</w:t>
      </w:r>
    </w:p>
    <w:p w14:paraId="6AF5EA85" w14:textId="77777777" w:rsidR="00EC1C40" w:rsidRDefault="00000000">
      <w:pPr>
        <w:pStyle w:val="Zkladntext1"/>
        <w:framePr w:w="10186" w:h="13267" w:hRule="exact" w:wrap="none" w:vAnchor="page" w:hAnchor="page" w:x="1213" w:y="1940"/>
        <w:numPr>
          <w:ilvl w:val="1"/>
          <w:numId w:val="3"/>
        </w:numPr>
        <w:tabs>
          <w:tab w:val="left" w:pos="571"/>
        </w:tabs>
        <w:spacing w:after="220"/>
        <w:ind w:left="640" w:hanging="640"/>
        <w:jc w:val="both"/>
      </w:pPr>
      <w:r>
        <w:t>K Rozhodnému dni bude stanovena konečná Referenční výše Investičního příspěvku, a to následovně:</w:t>
      </w:r>
    </w:p>
    <w:p w14:paraId="7732CFB2" w14:textId="77777777" w:rsidR="00EC1C40" w:rsidRDefault="00000000">
      <w:pPr>
        <w:pStyle w:val="Zkladntext1"/>
        <w:framePr w:w="10186" w:h="13267" w:hRule="exact" w:wrap="none" w:vAnchor="page" w:hAnchor="page" w:x="1213" w:y="1940"/>
        <w:numPr>
          <w:ilvl w:val="2"/>
          <w:numId w:val="3"/>
        </w:numPr>
        <w:tabs>
          <w:tab w:val="left" w:pos="1389"/>
        </w:tabs>
        <w:spacing w:after="220"/>
        <w:ind w:left="1360" w:hanging="720"/>
        <w:jc w:val="both"/>
      </w:pPr>
      <w:r>
        <w:t>K Rozhodnému dni bude stanoven konečný počet Zpoplatněných HPP, a to na základě dokumentace skutečného provedení stavby. Investor předloží SMP nejpozději k Rozhodnému dni podrobný výpočet Zpoplatněných HPP Investičního záměru, včetně dokumentace skutečného provedení Investičního záměru v rozsahu vyžadovaném SMP. K případné žádosti SMP Investor doloží jakékoli podklady, které bude SMP rozumně požadovat, a zodpoví případné dotazy a poskytne jakoukoli další součinnost;</w:t>
      </w:r>
    </w:p>
    <w:p w14:paraId="7356E8B5" w14:textId="77777777" w:rsidR="00EC1C40" w:rsidRDefault="00000000">
      <w:pPr>
        <w:pStyle w:val="Zkladntext1"/>
        <w:framePr w:w="10186" w:h="13267" w:hRule="exact" w:wrap="none" w:vAnchor="page" w:hAnchor="page" w:x="1213" w:y="1940"/>
        <w:numPr>
          <w:ilvl w:val="2"/>
          <w:numId w:val="3"/>
        </w:numPr>
        <w:tabs>
          <w:tab w:val="left" w:pos="1389"/>
        </w:tabs>
        <w:spacing w:after="220"/>
        <w:ind w:left="1360" w:hanging="720"/>
        <w:jc w:val="both"/>
      </w:pPr>
      <w:r>
        <w:t>Konečná výše Referenční hodnoty Investičního příspěvku bude odpovídat součinu Sazby a počtu celých skutečných Zpoplatněných HPP Investičního záměru; a</w:t>
      </w:r>
    </w:p>
    <w:p w14:paraId="682A4A22" w14:textId="77777777" w:rsidR="00EC1C40" w:rsidRDefault="00000000">
      <w:pPr>
        <w:pStyle w:val="Zkladntext1"/>
        <w:framePr w:w="10186" w:h="13267" w:hRule="exact" w:wrap="none" w:vAnchor="page" w:hAnchor="page" w:x="1213" w:y="1940"/>
        <w:numPr>
          <w:ilvl w:val="2"/>
          <w:numId w:val="3"/>
        </w:numPr>
        <w:tabs>
          <w:tab w:val="left" w:pos="1389"/>
        </w:tabs>
        <w:spacing w:after="220"/>
        <w:ind w:left="1360" w:hanging="720"/>
        <w:jc w:val="both"/>
      </w:pPr>
      <w:r>
        <w:t xml:space="preserve">Pokud Investor nezrealizuje konkrétní Adaptační opatření uvedená v </w:t>
      </w:r>
      <w:r>
        <w:rPr>
          <w:u w:val="single"/>
        </w:rPr>
        <w:t>Příloze č. 2</w:t>
      </w:r>
      <w:r>
        <w:t xml:space="preserve"> této Smlouvy (vyjma Certifikace LEED, která má sjednána výše samostatná pravidla) dle čl. 4.7 této Smlouvy, přičemž tak neučiní ani v dodatečné lhůtě šesti (6) měsíců od doručení výzvy SMP k nápravě, navýší se Sazba v souladu s dále dohodnutými pravidly, a to až o částku 200 Kč za každý 1 m</w:t>
      </w:r>
      <w:r>
        <w:rPr>
          <w:vertAlign w:val="superscript"/>
        </w:rPr>
        <w:t>2</w:t>
      </w:r>
      <w:r>
        <w:t xml:space="preserve"> Zpoplatněných HPP. Pro účely tohoto ustanovení se za nerealizaci Adaptačních opatření považuje i situace, kdy Investor (i) neumožní ověření dle čl. 4.8 bez objektivního důvodu, a to ani v dodatečné lhůtě tří (3) měsíců od doručení výzvy SMP k nápravě Investorovi, nebo (</w:t>
      </w:r>
      <w:proofErr w:type="spellStart"/>
      <w:r>
        <w:t>ii</w:t>
      </w:r>
      <w:proofErr w:type="spellEnd"/>
      <w:r>
        <w:t>) nepředloží dokumentaci skutečného provedení ve lhůtě 30 dnů od výzvy SMP, a to ani v dodatečné lhůtě třiceti (30) dnů od doručení výzvy SMP k nápravě Investorovi; nebo (</w:t>
      </w:r>
      <w:proofErr w:type="spellStart"/>
      <w:r>
        <w:t>iii</w:t>
      </w:r>
      <w:proofErr w:type="spellEnd"/>
      <w:r>
        <w:t xml:space="preserve">) z předložené dokumentace nebo fyzické kontroly vyplývá, že Adaptační opatření nebyla realizována v souladu s touto Smlouvou, aniž by v těchto případech byla zjednána náprava ve lhůtě uvedené v první větě tohoto ustanovení; pokud se však porušení povinností Investora dle tohoto ustanovení týká jen části Adaptačních opatření, bude navýšení Investičního příspěvku zohledňovat pouze rozsah tohoto porušení </w:t>
      </w:r>
      <w:r>
        <w:rPr>
          <w:i/>
          <w:iCs/>
        </w:rPr>
        <w:t>(příklad: pokud je celkem realizováno 75% Adaptačních opatření, bude navýšení Investičního příspěvku odpovídat pouze 25% z částky 200,- Kč. tj. Investiční příspěvek bude navýšen pouze o 50,- Kč)</w:t>
      </w:r>
      <w:r>
        <w:t>. Pro odstranění pochybností se výslovně uvádí, že za Adaptační opatření se pro účely této Smlouvy považují i taková Adaptační opatření, která byla modifikována či nahrazena, a to v souladu s čl. 4.7 Smlouvy. Pouze marginální porušení povinností Investora týkající se Adaptačních opatření se nezohledňují a nevedou k navýšení Investičního příspěvku. V případě navýšení Investičního příspěvku (redukcí slevy) dle tohoto čl. 4.13.3 Smlouvy se navýšení Investičního příspěvku promítne do snížení Přeplatku o hodnotu tohoto navýšení.</w:t>
      </w:r>
    </w:p>
    <w:p w14:paraId="396AE739" w14:textId="77777777" w:rsidR="00EC1C40" w:rsidRDefault="00000000">
      <w:pPr>
        <w:pStyle w:val="Zkladntext1"/>
        <w:framePr w:w="10186" w:h="13267" w:hRule="exact" w:wrap="none" w:vAnchor="page" w:hAnchor="page" w:x="1213" w:y="1940"/>
        <w:numPr>
          <w:ilvl w:val="1"/>
          <w:numId w:val="3"/>
        </w:numPr>
        <w:tabs>
          <w:tab w:val="left" w:pos="571"/>
        </w:tabs>
        <w:spacing w:after="220"/>
        <w:ind w:left="640" w:hanging="640"/>
        <w:jc w:val="both"/>
      </w:pPr>
      <w:r>
        <w:t>K Rozhodnému dni bude stanoven celkový objem konečných nákladů na pořízení Nepeněžního plnění poskytnutého SMP, a to dle dále uvedených pravidel:</w:t>
      </w:r>
    </w:p>
    <w:p w14:paraId="55354C9F" w14:textId="77777777" w:rsidR="00EC1C40" w:rsidRDefault="00000000">
      <w:pPr>
        <w:pStyle w:val="Zkladntext1"/>
        <w:framePr w:w="10186" w:h="13267" w:hRule="exact" w:wrap="none" w:vAnchor="page" w:hAnchor="page" w:x="1213" w:y="1940"/>
        <w:numPr>
          <w:ilvl w:val="2"/>
          <w:numId w:val="3"/>
        </w:numPr>
        <w:tabs>
          <w:tab w:val="left" w:pos="1389"/>
        </w:tabs>
        <w:spacing w:after="0"/>
        <w:ind w:left="1360" w:hanging="720"/>
        <w:jc w:val="both"/>
      </w:pPr>
      <w:r>
        <w:t>Do výpočtu se zahrnou Investorem skutečně vynaložené náklady na poskytnuté Nepeněžní plnění. Nesplní-li Investor své povinnosti dle čl. 4.14.3 nebo dohodnou-li se tak Smluvní strany, může SMP pro účely tohoto čl. 4.14.1 vycházet z předpokládaných</w:t>
      </w:r>
    </w:p>
    <w:p w14:paraId="78C96492" w14:textId="77777777" w:rsidR="00EC1C40" w:rsidRDefault="00000000">
      <w:pPr>
        <w:pStyle w:val="Zhlavnebozpat0"/>
        <w:framePr w:wrap="none" w:vAnchor="page" w:hAnchor="page" w:x="5552" w:y="16085"/>
        <w:rPr>
          <w:sz w:val="22"/>
          <w:szCs w:val="22"/>
        </w:rPr>
      </w:pPr>
      <w:r>
        <w:rPr>
          <w:color w:val="231E20"/>
          <w:sz w:val="22"/>
          <w:szCs w:val="22"/>
        </w:rPr>
        <w:t>15/63</w:t>
      </w:r>
    </w:p>
    <w:p w14:paraId="61243C0F"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4620F194" w14:textId="77777777" w:rsidR="00EC1C40" w:rsidRDefault="00000000">
      <w:pPr>
        <w:spacing w:line="1" w:lineRule="exact"/>
      </w:pPr>
      <w:r>
        <w:rPr>
          <w:noProof/>
        </w:rPr>
        <w:lastRenderedPageBreak/>
        <mc:AlternateContent>
          <mc:Choice Requires="wps">
            <w:drawing>
              <wp:anchor distT="0" distB="0" distL="114300" distR="114300" simplePos="0" relativeHeight="251598336" behindDoc="1" locked="0" layoutInCell="1" allowOverlap="1" wp14:anchorId="3D218AC4" wp14:editId="4AD559FE">
                <wp:simplePos x="0" y="0"/>
                <wp:positionH relativeFrom="page">
                  <wp:posOffset>879475</wp:posOffset>
                </wp:positionH>
                <wp:positionV relativeFrom="page">
                  <wp:posOffset>932180</wp:posOffset>
                </wp:positionV>
                <wp:extent cx="5702935" cy="0"/>
                <wp:effectExtent l="0" t="0" r="0" b="0"/>
                <wp:wrapNone/>
                <wp:docPr id="15" name="Shape 15"/>
                <wp:cNvGraphicFramePr/>
                <a:graphic xmlns:a="http://schemas.openxmlformats.org/drawingml/2006/main">
                  <a:graphicData uri="http://schemas.microsoft.com/office/word/2010/wordprocessingShape">
                    <wps:wsp>
                      <wps:cNvCnPr/>
                      <wps:spPr>
                        <a:xfrm>
                          <a:off x="0" y="0"/>
                          <a:ext cx="5702935" cy="0"/>
                        </a:xfrm>
                        <a:prstGeom prst="straightConnector1">
                          <a:avLst/>
                        </a:prstGeom>
                        <a:ln w="6350">
                          <a:solidFill/>
                        </a:ln>
                      </wps:spPr>
                      <wps:bodyPr/>
                    </wps:wsp>
                  </a:graphicData>
                </a:graphic>
              </wp:anchor>
            </w:drawing>
          </mc:Choice>
          <mc:Fallback>
            <w:pict>
              <v:shape o:spt="32" o:oned="true" path="m,l21600,21600e" style="position:absolute;margin-left:69.25pt;margin-top:73.400000000000006pt;width:449.05000000000001pt;height:0;z-index:-251658240;mso-position-horizontal-relative:page;mso-position-vertical-relative:page">
                <v:stroke weight="0.5pt"/>
              </v:shape>
            </w:pict>
          </mc:Fallback>
        </mc:AlternateContent>
      </w:r>
    </w:p>
    <w:p w14:paraId="78E08458" w14:textId="77777777" w:rsidR="00EC1C40" w:rsidRDefault="00000000">
      <w:pPr>
        <w:pStyle w:val="Zhlavnebozpat0"/>
        <w:framePr w:wrap="none" w:vAnchor="page" w:hAnchor="page" w:x="5192" w:y="1186"/>
      </w:pPr>
      <w:r>
        <w:t>Plánovací smlouva</w:t>
      </w:r>
    </w:p>
    <w:p w14:paraId="58420C0B" w14:textId="77777777" w:rsidR="00EC1C40" w:rsidRDefault="00000000">
      <w:pPr>
        <w:pStyle w:val="Zkladntext1"/>
        <w:framePr w:w="10186" w:h="13565" w:hRule="exact" w:wrap="none" w:vAnchor="page" w:hAnchor="page" w:x="1213" w:y="1940"/>
        <w:spacing w:after="220"/>
        <w:ind w:left="1360"/>
        <w:jc w:val="both"/>
      </w:pPr>
      <w:r>
        <w:t xml:space="preserve">nákladů na realizaci Nepeněžního plnění, které jsou uvedeny v </w:t>
      </w:r>
      <w:r>
        <w:rPr>
          <w:u w:val="single"/>
        </w:rPr>
        <w:t>Příloze č. 16</w:t>
      </w:r>
      <w:r>
        <w:t xml:space="preserve"> této Smlouvy;</w:t>
      </w:r>
    </w:p>
    <w:p w14:paraId="78D4E75F" w14:textId="77777777" w:rsidR="00EC1C40" w:rsidRDefault="00000000">
      <w:pPr>
        <w:pStyle w:val="Zkladntext1"/>
        <w:framePr w:w="10186" w:h="13565" w:hRule="exact" w:wrap="none" w:vAnchor="page" w:hAnchor="page" w:x="1213" w:y="1940"/>
        <w:numPr>
          <w:ilvl w:val="2"/>
          <w:numId w:val="3"/>
        </w:numPr>
        <w:tabs>
          <w:tab w:val="left" w:pos="1389"/>
        </w:tabs>
        <w:spacing w:after="220"/>
        <w:ind w:left="1380" w:hanging="740"/>
        <w:jc w:val="both"/>
      </w:pPr>
      <w:r>
        <w:t>Do výpočtu budou zahrnuty pouze ty ucelené části Nepeněžního plnění, uvedené v čl. 5.1. této Smlouvy, které Investor do Rozhodného dne řádně dokončí, předá a převede do vlastnictví SMP (ledaže předání a převod vlastnictví není u dané části Nepeněžního plnění dle čl. 5.5 Smlouvy vyžadován nebo pokud dané Nepeněžní plnění realizuje jiný subjekt); pokud však Investor dané Nepeněžní plnění řádně dokončí, a SMP v rozporu se svými povinnostmi jej odmítne převzít či přijmout do svého vlastnictví, považuje se i takové Nepeněžní plnění pro účely tohoto článku za předané a převedené; a</w:t>
      </w:r>
    </w:p>
    <w:p w14:paraId="1ABD1E80" w14:textId="77777777" w:rsidR="00EC1C40" w:rsidRDefault="00000000">
      <w:pPr>
        <w:pStyle w:val="Zkladntext1"/>
        <w:framePr w:w="10186" w:h="13565" w:hRule="exact" w:wrap="none" w:vAnchor="page" w:hAnchor="page" w:x="1213" w:y="1940"/>
        <w:numPr>
          <w:ilvl w:val="2"/>
          <w:numId w:val="3"/>
        </w:numPr>
        <w:tabs>
          <w:tab w:val="left" w:pos="1389"/>
        </w:tabs>
        <w:spacing w:after="220"/>
        <w:ind w:left="1380" w:hanging="740"/>
        <w:jc w:val="both"/>
      </w:pPr>
      <w:r>
        <w:t>Investor společně s výzvou SMP k převzetí daného Nepeněžního plnění předloží vždy SMP vyčíslení skutečných nákladů na provedení daného Nepeněžního plnění a všechny podklady, které přiměřeně tento výpočet doloží. Investor dále k případné žádosti SMP předloží další podklady a vysvětlení, které může SMP k ověření skutečných nákladů na realizaci Nepeněžního plnění rozumně vyžadovat.</w:t>
      </w:r>
    </w:p>
    <w:p w14:paraId="6447D90F" w14:textId="77777777" w:rsidR="00EC1C40" w:rsidRDefault="00000000">
      <w:pPr>
        <w:pStyle w:val="Zkladntext1"/>
        <w:framePr w:w="10186" w:h="13565" w:hRule="exact" w:wrap="none" w:vAnchor="page" w:hAnchor="page" w:x="1213" w:y="1940"/>
        <w:numPr>
          <w:ilvl w:val="1"/>
          <w:numId w:val="3"/>
        </w:numPr>
        <w:tabs>
          <w:tab w:val="left" w:pos="571"/>
        </w:tabs>
        <w:spacing w:after="220"/>
        <w:ind w:left="640" w:hanging="640"/>
        <w:jc w:val="both"/>
      </w:pPr>
      <w:r>
        <w:t>Do devadesáti (90) dnů od Rozhodného dne provede SMP porovnání konečné Referenční výše Investičního příspěvku vypočtené dle čl. 4.13 a celkového souhrnu Investorem skutečně vynaložených nákladů na Nepeněžní plnění vypočtené dle čl. 4.14 této Smlouvy. Takto provedený výpočet zašle Investorovi k připomínkám, které tento předloží SMP písemně do čtyřiceti pěti (45) dnů. Po vypořádání případných připomínek zašle SMP Investorovi konečné vypořádání a případně výzvu k úhradě doplatku dle čl. 4.16 této Smlouvy.</w:t>
      </w:r>
    </w:p>
    <w:p w14:paraId="335EF602" w14:textId="77777777" w:rsidR="00EC1C40" w:rsidRDefault="00000000">
      <w:pPr>
        <w:pStyle w:val="Zkladntext1"/>
        <w:framePr w:w="10186" w:h="13565" w:hRule="exact" w:wrap="none" w:vAnchor="page" w:hAnchor="page" w:x="1213" w:y="1940"/>
        <w:numPr>
          <w:ilvl w:val="1"/>
          <w:numId w:val="3"/>
        </w:numPr>
        <w:tabs>
          <w:tab w:val="left" w:pos="571"/>
        </w:tabs>
        <w:spacing w:after="220"/>
        <w:ind w:left="640" w:hanging="640"/>
        <w:jc w:val="both"/>
      </w:pPr>
      <w:r>
        <w:t>Bude-li konečná Referenční výše Investičního příspěvku vypočtená dle čl. 4.13 této Smlouvy vyšší než celkový objem Investorem skutečně vynaložených nákladů na Nepeněžní plnění vypočtený dle čl. 4.14 této Smlouvy, uhradí Investor SMP rozdíl, a to do šedesáti (60) dnů od písemné výzvy SMP k úhradě zaslané Investorovi postupem dle čl. 4.15 této Smlouvy. Přesahuje-li celkový objem skutečně vynaložených nákladů na Nepeněžní plnění čl. 4.14 této Smlouvy konečnou Referenční výši Investičního příspěvku dle čl. 4.13 této Smlouvy, budou Smluvní strany postupovat dle čl. 4.19 této Smlouvy.</w:t>
      </w:r>
    </w:p>
    <w:p w14:paraId="5D10713C" w14:textId="77777777" w:rsidR="00EC1C40" w:rsidRDefault="00000000">
      <w:pPr>
        <w:pStyle w:val="Zkladntext1"/>
        <w:framePr w:w="10186" w:h="13565" w:hRule="exact" w:wrap="none" w:vAnchor="page" w:hAnchor="page" w:x="1213" w:y="1940"/>
        <w:numPr>
          <w:ilvl w:val="1"/>
          <w:numId w:val="3"/>
        </w:numPr>
        <w:tabs>
          <w:tab w:val="left" w:pos="571"/>
        </w:tabs>
        <w:spacing w:after="0"/>
        <w:ind w:left="640" w:hanging="640"/>
        <w:jc w:val="both"/>
      </w:pPr>
      <w:r>
        <w:t xml:space="preserve">Pokud Investor vybuduje ve funkční souvislosti s Investičním záměrem po Rozhodném dni na Pozemcích, které jsou v jeho vlastnictví, nad rámec Investičního záměru další objekty, a to v období deseti (10) let ode dne Dokončení Investičního záměru, může SMP provést výpočet dodatečné referenční výše dodatečného Investičního příspěvku ve vztahu k takovým objektům obdobně dle čl. 4.13 Smlouvy, pokud se Smluvní strany nedohodnou jinak (např. v případě uzavření příslušné plánovací smlouvy atp.). Investor k tomu poskytne součinnost. Pokud by celkový objem Investorem skutečně vynaložených nákladů na Nepeněžní plnění vypočtený dle čl. 4.14 nebyl rovný nebo vyšší než konečná Referenční výše Investičního příspěvku navýšena o vypočtenou dodatečnou referenční výši Investičního příspěvku dle věty první tohoto odstavce (tedy pokud by toto navýšení Investičního příspěvku nemohlo být započítáno na Přeplatek), může SMP požadovat dorovnání takového rozdílu v penězích a Investor takový rozdíl uhradí do devadesáti (90) dnů od písemné výzvy SMP, nedohodnou-li se Smluvní strany jinak. Pro odstranění pochybností se výslovně sjednává, že tento čl. 4.17 Smlouvy se použije pouze na takové objekty, které zahrnují zpoplatněné HPP ve smyslu Zásad. Pro odstranění pochybností se za Pozemky považují výhradně ty části Pozemků ve vlastnictví Investora, které jsou graficky vyznačeny v </w:t>
      </w:r>
      <w:r>
        <w:rPr>
          <w:u w:val="single"/>
        </w:rPr>
        <w:t>Příloze č. 4</w:t>
      </w:r>
      <w:r>
        <w:t xml:space="preserve"> této Smlouvy. Obdobně platí, že pokud Investor dokončí, předá či převede do vlastnictví SMP určité části Nepeněžního plnění až po Rozhodném dni, bude takto převedené Nepeněžní plnění zohledněno v rámci vypořádání, a to za obdobného použití pravidel sjednaných v této Smlouvě pro Konečné vypořádání; za tímto účelem je Investor oprávněn</w:t>
      </w:r>
    </w:p>
    <w:p w14:paraId="5AD4E1B6" w14:textId="77777777" w:rsidR="00EC1C40" w:rsidRDefault="00000000">
      <w:pPr>
        <w:pStyle w:val="Zhlavnebozpat0"/>
        <w:framePr w:wrap="none" w:vAnchor="page" w:hAnchor="page" w:x="5552" w:y="16085"/>
        <w:rPr>
          <w:sz w:val="22"/>
          <w:szCs w:val="22"/>
        </w:rPr>
      </w:pPr>
      <w:r>
        <w:rPr>
          <w:color w:val="231E20"/>
          <w:sz w:val="22"/>
          <w:szCs w:val="22"/>
        </w:rPr>
        <w:t>16/63</w:t>
      </w:r>
    </w:p>
    <w:p w14:paraId="33E3F7EE"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4BAB461E" w14:textId="77777777" w:rsidR="00EC1C40" w:rsidRDefault="00000000">
      <w:pPr>
        <w:spacing w:line="1" w:lineRule="exact"/>
      </w:pPr>
      <w:r>
        <w:rPr>
          <w:noProof/>
        </w:rPr>
        <w:lastRenderedPageBreak/>
        <mc:AlternateContent>
          <mc:Choice Requires="wps">
            <w:drawing>
              <wp:anchor distT="0" distB="0" distL="114300" distR="114300" simplePos="0" relativeHeight="251599360" behindDoc="1" locked="0" layoutInCell="1" allowOverlap="1" wp14:anchorId="75EA487A" wp14:editId="37EB5D0B">
                <wp:simplePos x="0" y="0"/>
                <wp:positionH relativeFrom="page">
                  <wp:posOffset>879475</wp:posOffset>
                </wp:positionH>
                <wp:positionV relativeFrom="page">
                  <wp:posOffset>932180</wp:posOffset>
                </wp:positionV>
                <wp:extent cx="5702935" cy="0"/>
                <wp:effectExtent l="0" t="0" r="0" b="0"/>
                <wp:wrapNone/>
                <wp:docPr id="16" name="Shape 16"/>
                <wp:cNvGraphicFramePr/>
                <a:graphic xmlns:a="http://schemas.openxmlformats.org/drawingml/2006/main">
                  <a:graphicData uri="http://schemas.microsoft.com/office/word/2010/wordprocessingShape">
                    <wps:wsp>
                      <wps:cNvCnPr/>
                      <wps:spPr>
                        <a:xfrm>
                          <a:off x="0" y="0"/>
                          <a:ext cx="5702935" cy="0"/>
                        </a:xfrm>
                        <a:prstGeom prst="straightConnector1">
                          <a:avLst/>
                        </a:prstGeom>
                        <a:ln w="6350">
                          <a:solidFill/>
                        </a:ln>
                      </wps:spPr>
                      <wps:bodyPr/>
                    </wps:wsp>
                  </a:graphicData>
                </a:graphic>
              </wp:anchor>
            </w:drawing>
          </mc:Choice>
          <mc:Fallback>
            <w:pict>
              <v:shape o:spt="32" o:oned="true" path="m,l21600,21600e" style="position:absolute;margin-left:69.25pt;margin-top:73.400000000000006pt;width:449.05000000000001pt;height:0;z-index:-251658240;mso-position-horizontal-relative:page;mso-position-vertical-relative:page">
                <v:stroke weight="0.5pt"/>
              </v:shape>
            </w:pict>
          </mc:Fallback>
        </mc:AlternateContent>
      </w:r>
    </w:p>
    <w:p w14:paraId="04ADD2E1" w14:textId="77777777" w:rsidR="00EC1C40" w:rsidRDefault="00000000">
      <w:pPr>
        <w:pStyle w:val="Zhlavnebozpat0"/>
        <w:framePr w:wrap="none" w:vAnchor="page" w:hAnchor="page" w:x="5192" w:y="1186"/>
      </w:pPr>
      <w:r>
        <w:t>Plánovací smlouva</w:t>
      </w:r>
    </w:p>
    <w:p w14:paraId="1B7FBD62" w14:textId="77777777" w:rsidR="00EC1C40" w:rsidRDefault="00000000">
      <w:pPr>
        <w:pStyle w:val="Zkladntext1"/>
        <w:framePr w:w="10186" w:h="13272" w:hRule="exact" w:wrap="none" w:vAnchor="page" w:hAnchor="page" w:x="1213" w:y="1940"/>
        <w:ind w:left="640"/>
        <w:jc w:val="both"/>
      </w:pPr>
      <w:r>
        <w:t>vyzvat SMP k tomuto vypořádání, které nastane do devadesáti (90) dnů od doručení písemné výzvy Investora SMP.</w:t>
      </w:r>
    </w:p>
    <w:p w14:paraId="0E91228F" w14:textId="77777777" w:rsidR="00EC1C40" w:rsidRDefault="00000000">
      <w:pPr>
        <w:pStyle w:val="Zkladntext1"/>
        <w:framePr w:w="10186" w:h="13272" w:hRule="exact" w:wrap="none" w:vAnchor="page" w:hAnchor="page" w:x="1213" w:y="1940"/>
        <w:numPr>
          <w:ilvl w:val="1"/>
          <w:numId w:val="3"/>
        </w:numPr>
        <w:tabs>
          <w:tab w:val="left" w:pos="567"/>
        </w:tabs>
        <w:spacing w:after="240"/>
        <w:ind w:left="640" w:hanging="640"/>
        <w:jc w:val="both"/>
      </w:pPr>
      <w:r>
        <w:t>Smluvní strany konstatují, že předpokládané náklady na realizaci Nepeněžního plnění, které má Investor poskytnout dle této Smlouvy, přesahují předpokládanou Referenční výši Investičního příspěvku dle tohoto čl. 4 této Smlouvy. Pro vyloučení pochybností se uvádí, že SMP Investorovi nebude poskytovat finanční ani jinou kompenzaci za náklady Nepeněžního plnění převyšující konečnou Referenční výši Investičního příspěvku po Konečném vypořádání; tím není dotčen čl. 4.19 Smlouvy. Investor prohlašuje, že si je vědom skutečnosti, že náklady na realizaci Nepeněžního plnění mohou převyšovat konečnou Referenční výši Investičního příspěvku, a Investorovi z tohoto titulu nevzniknou žádné jiné nároky vůči SMP, než sjednané v čl. 4.19 Smlouvy.</w:t>
      </w:r>
    </w:p>
    <w:p w14:paraId="70E78623" w14:textId="77777777" w:rsidR="00EC1C40" w:rsidRDefault="00000000">
      <w:pPr>
        <w:pStyle w:val="Zkladntext1"/>
        <w:framePr w:w="10186" w:h="13272" w:hRule="exact" w:wrap="none" w:vAnchor="page" w:hAnchor="page" w:x="1213" w:y="1940"/>
        <w:numPr>
          <w:ilvl w:val="1"/>
          <w:numId w:val="3"/>
        </w:numPr>
        <w:tabs>
          <w:tab w:val="left" w:pos="567"/>
        </w:tabs>
        <w:spacing w:after="240"/>
        <w:ind w:left="640" w:hanging="640"/>
        <w:jc w:val="both"/>
      </w:pPr>
      <w:r>
        <w:t>V rozsahu, v jakém celkový objem Investorem skutečně vynaložených nákladů na Nepeněžní plnění stanovený dle této Smlouvy bude vyšší než konečná Referenční výše Investičního příspěvku vypočtená dle čl. 4.13 (dále jen „</w:t>
      </w:r>
      <w:r>
        <w:rPr>
          <w:b/>
          <w:bCs/>
        </w:rPr>
        <w:t>Přeplatek</w:t>
      </w:r>
      <w:r>
        <w:t>“), je Investor oprávněn tento Přeplatek využít na další investice (záměry, projekty), které Investor v Lokalitě Nová Cihelna a/nebo v Lokalitě Hůrka realizuje, a to v termínu do 31.12.2045 (dále jen „</w:t>
      </w:r>
      <w:r>
        <w:rPr>
          <w:b/>
          <w:bCs/>
        </w:rPr>
        <w:t>Další projekty</w:t>
      </w:r>
      <w:r>
        <w:t>“), a to i opakovaně (až do vyčerpání Přeplatku), přičemž využitím Přeplatku se rozumí jeho započtení proti investičnímu příspěvku (či jinému obdobnému příspěvku, platbě či plnění, které bude SMP požadovat po Investorovi či jiné osobě vymezené dle tohoto ustanovení) v souvislosti s realizací jakýchkoli Dalších projektů v Lokalitě Nová Cihelna a/nebo v Lokalitě Hůrka (tj. tento investiční příspěvek za realizaci takovéhoto Dalšího projektu bude o Přeplatek snížen). Toto ustanovení se použije stejně i pro případ, že Další projekty bude realizovat jiná osoba, která má stejného skutečného majitele (konečného vlastníka) a/nebo stejnou ovládající osobu jako Investor, a to pokud tak Investor určí. Pro účely tohoto ustanovení se skutečným majitelem rozumí fyzická osoba, která skutečně ovládá Investora ve smyslu § 4 odst. 1 zákona č. 37/2021 Sb., o evidenci skutečných majitelů, ve znění pozdějších předpisů. Hodnota investičních příspěvků (či jiných obdobných příspěvků, plateb či plnění, které bude SMP požadovat) těchto Dalších projektů bude stanovena v souladu se Zásadami spolupráce s investory platnými a účinnými v době realizace příslušných Dalších projektů.</w:t>
      </w:r>
    </w:p>
    <w:p w14:paraId="7D11E3C6" w14:textId="77777777" w:rsidR="00EC1C40" w:rsidRDefault="00000000">
      <w:pPr>
        <w:pStyle w:val="Zkladntext1"/>
        <w:framePr w:w="10186" w:h="13272" w:hRule="exact" w:wrap="none" w:vAnchor="page" w:hAnchor="page" w:x="1213" w:y="1940"/>
        <w:numPr>
          <w:ilvl w:val="1"/>
          <w:numId w:val="3"/>
        </w:numPr>
        <w:tabs>
          <w:tab w:val="left" w:pos="567"/>
        </w:tabs>
        <w:ind w:left="640" w:hanging="640"/>
        <w:jc w:val="both"/>
      </w:pPr>
      <w:r>
        <w:t>Smluvní strany deklarují připravenost jednat v souladu se Zásadami o uzavření dalších plánovacích smluv pro Další projekty za účelem využití Přeplatku.</w:t>
      </w:r>
    </w:p>
    <w:p w14:paraId="325C14E6" w14:textId="77777777" w:rsidR="00EC1C40" w:rsidRDefault="00000000">
      <w:pPr>
        <w:pStyle w:val="Nadpis60"/>
        <w:framePr w:w="10186" w:h="13272" w:hRule="exact" w:wrap="none" w:vAnchor="page" w:hAnchor="page" w:x="1213" w:y="1940"/>
        <w:numPr>
          <w:ilvl w:val="0"/>
          <w:numId w:val="3"/>
        </w:numPr>
        <w:tabs>
          <w:tab w:val="left" w:pos="563"/>
          <w:tab w:val="left" w:pos="566"/>
        </w:tabs>
      </w:pPr>
      <w:bookmarkStart w:id="4" w:name="bookmark8"/>
      <w:r>
        <w:t>Nepeněžní plnění</w:t>
      </w:r>
      <w:bookmarkEnd w:id="4"/>
    </w:p>
    <w:p w14:paraId="119A79AC" w14:textId="77777777" w:rsidR="00EC1C40" w:rsidRDefault="00000000">
      <w:pPr>
        <w:pStyle w:val="Zkladntext1"/>
        <w:framePr w:w="10186" w:h="13272" w:hRule="exact" w:wrap="none" w:vAnchor="page" w:hAnchor="page" w:x="1213" w:y="1940"/>
        <w:numPr>
          <w:ilvl w:val="1"/>
          <w:numId w:val="3"/>
        </w:numPr>
        <w:tabs>
          <w:tab w:val="left" w:pos="563"/>
          <w:tab w:val="left" w:pos="576"/>
        </w:tabs>
      </w:pPr>
      <w:r>
        <w:t>Nepeněžní plnění bude mít následující podobu:</w:t>
      </w:r>
    </w:p>
    <w:p w14:paraId="6E3A8536" w14:textId="77777777" w:rsidR="00EC1C40" w:rsidRDefault="00000000">
      <w:pPr>
        <w:pStyle w:val="Zkladntext1"/>
        <w:framePr w:w="10186" w:h="13272" w:hRule="exact" w:wrap="none" w:vAnchor="page" w:hAnchor="page" w:x="1213" w:y="1940"/>
        <w:numPr>
          <w:ilvl w:val="2"/>
          <w:numId w:val="3"/>
        </w:numPr>
        <w:tabs>
          <w:tab w:val="left" w:pos="1370"/>
        </w:tabs>
        <w:ind w:left="1360" w:hanging="720"/>
        <w:jc w:val="both"/>
      </w:pPr>
      <w:r>
        <w:t xml:space="preserve">veřejné osvětlení a světelně signalizační zařízení (včetně datového </w:t>
      </w:r>
      <w:proofErr w:type="spellStart"/>
      <w:r>
        <w:t>propoje</w:t>
      </w:r>
      <w:proofErr w:type="spellEnd"/>
      <w:r>
        <w:t>) umístěné v souvislosti se sjezdy z obchvatu (dále jen „</w:t>
      </w:r>
      <w:r>
        <w:rPr>
          <w:b/>
          <w:bCs/>
        </w:rPr>
        <w:t>Části infrastruktury sjezdů</w:t>
      </w:r>
      <w:r>
        <w:t>“); pro vyloučení jakýchkoli pochybností se výslovně uvádí, že předmětem převodu na SMP nejsou samotné sjezdy z obchvatu;</w:t>
      </w:r>
    </w:p>
    <w:p w14:paraId="56155EA1" w14:textId="77777777" w:rsidR="00EC1C40" w:rsidRDefault="00000000">
      <w:pPr>
        <w:pStyle w:val="Zkladntext1"/>
        <w:framePr w:w="10186" w:h="13272" w:hRule="exact" w:wrap="none" w:vAnchor="page" w:hAnchor="page" w:x="1213" w:y="1940"/>
        <w:numPr>
          <w:ilvl w:val="2"/>
          <w:numId w:val="3"/>
        </w:numPr>
        <w:tabs>
          <w:tab w:val="left" w:pos="1370"/>
        </w:tabs>
        <w:ind w:left="1360" w:hanging="720"/>
        <w:jc w:val="both"/>
      </w:pPr>
      <w:r>
        <w:t>připojovací komunikace, včetně součástí a příslušenství připojovacích komunikací a dále včetně související infrastruktury („</w:t>
      </w:r>
      <w:r>
        <w:rPr>
          <w:b/>
          <w:bCs/>
        </w:rPr>
        <w:t>Připojovací komunikace</w:t>
      </w:r>
      <w:r>
        <w:t>“);</w:t>
      </w:r>
    </w:p>
    <w:p w14:paraId="0CDC23A1" w14:textId="77777777" w:rsidR="00EC1C40" w:rsidRDefault="00000000">
      <w:pPr>
        <w:pStyle w:val="Zkladntext1"/>
        <w:framePr w:w="10186" w:h="13272" w:hRule="exact" w:wrap="none" w:vAnchor="page" w:hAnchor="page" w:x="1213" w:y="1940"/>
        <w:numPr>
          <w:ilvl w:val="2"/>
          <w:numId w:val="3"/>
        </w:numPr>
        <w:tabs>
          <w:tab w:val="left" w:pos="1370"/>
        </w:tabs>
        <w:ind w:left="1360" w:hanging="720"/>
        <w:jc w:val="both"/>
      </w:pPr>
      <w:r>
        <w:t xml:space="preserve">cyklostezka „I/36 Pardubice, Trnová - </w:t>
      </w:r>
      <w:proofErr w:type="spellStart"/>
      <w:r>
        <w:t>Fáblovka</w:t>
      </w:r>
      <w:proofErr w:type="spellEnd"/>
      <w:r>
        <w:t xml:space="preserve"> - Dubina“ v rozsahu od ul. Hradecká po novou křižovatku Cihelna, tj. výhradně v rozsahu graficky zakresleném v </w:t>
      </w:r>
      <w:r>
        <w:rPr>
          <w:u w:val="single"/>
        </w:rPr>
        <w:t xml:space="preserve">Příloze č. 17 </w:t>
      </w:r>
      <w:r>
        <w:t>této Smlouvy („</w:t>
      </w:r>
      <w:r>
        <w:rPr>
          <w:b/>
          <w:bCs/>
        </w:rPr>
        <w:t>Cyklostezka</w:t>
      </w:r>
      <w:r>
        <w:t>“);</w:t>
      </w:r>
    </w:p>
    <w:p w14:paraId="744F827F" w14:textId="77777777" w:rsidR="00EC1C40" w:rsidRDefault="00000000">
      <w:pPr>
        <w:pStyle w:val="Zkladntext1"/>
        <w:framePr w:w="10186" w:h="13272" w:hRule="exact" w:wrap="none" w:vAnchor="page" w:hAnchor="page" w:x="1213" w:y="1940"/>
        <w:numPr>
          <w:ilvl w:val="2"/>
          <w:numId w:val="3"/>
        </w:numPr>
        <w:tabs>
          <w:tab w:val="left" w:pos="1370"/>
        </w:tabs>
        <w:ind w:firstLine="640"/>
      </w:pPr>
      <w:r>
        <w:t>točna autobusu a zastávka městské hromadné dopravy („</w:t>
      </w:r>
      <w:r>
        <w:rPr>
          <w:b/>
          <w:bCs/>
        </w:rPr>
        <w:t>Točna a Zastávka</w:t>
      </w:r>
      <w:r>
        <w:t>“);</w:t>
      </w:r>
    </w:p>
    <w:p w14:paraId="294E2605" w14:textId="77777777" w:rsidR="00EC1C40" w:rsidRDefault="00000000">
      <w:pPr>
        <w:pStyle w:val="Zkladntext1"/>
        <w:framePr w:w="10186" w:h="13272" w:hRule="exact" w:wrap="none" w:vAnchor="page" w:hAnchor="page" w:x="1213" w:y="1940"/>
        <w:numPr>
          <w:ilvl w:val="2"/>
          <w:numId w:val="3"/>
        </w:numPr>
        <w:tabs>
          <w:tab w:val="left" w:pos="1370"/>
        </w:tabs>
        <w:spacing w:after="0"/>
        <w:ind w:firstLine="640"/>
      </w:pPr>
      <w:r>
        <w:t xml:space="preserve">veřejný </w:t>
      </w:r>
      <w:proofErr w:type="spellStart"/>
      <w:r>
        <w:t>cykloparking</w:t>
      </w:r>
      <w:proofErr w:type="spellEnd"/>
      <w:r>
        <w:t xml:space="preserve"> venkovní („</w:t>
      </w:r>
      <w:proofErr w:type="spellStart"/>
      <w:r>
        <w:rPr>
          <w:b/>
          <w:bCs/>
        </w:rPr>
        <w:t>Cykloparking</w:t>
      </w:r>
      <w:proofErr w:type="spellEnd"/>
      <w:r>
        <w:t>“);</w:t>
      </w:r>
    </w:p>
    <w:p w14:paraId="3615463D" w14:textId="77777777" w:rsidR="00EC1C40" w:rsidRDefault="00000000">
      <w:pPr>
        <w:pStyle w:val="Zhlavnebozpat0"/>
        <w:framePr w:wrap="none" w:vAnchor="page" w:hAnchor="page" w:x="5552" w:y="16085"/>
        <w:rPr>
          <w:sz w:val="22"/>
          <w:szCs w:val="22"/>
        </w:rPr>
      </w:pPr>
      <w:r>
        <w:rPr>
          <w:color w:val="231E20"/>
          <w:sz w:val="22"/>
          <w:szCs w:val="22"/>
        </w:rPr>
        <w:t>17/63</w:t>
      </w:r>
    </w:p>
    <w:p w14:paraId="69346361"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19D57C8C" w14:textId="77777777" w:rsidR="00EC1C40" w:rsidRDefault="00000000">
      <w:pPr>
        <w:spacing w:line="1" w:lineRule="exact"/>
      </w:pPr>
      <w:r>
        <w:rPr>
          <w:noProof/>
        </w:rPr>
        <w:lastRenderedPageBreak/>
        <mc:AlternateContent>
          <mc:Choice Requires="wps">
            <w:drawing>
              <wp:anchor distT="0" distB="0" distL="114300" distR="114300" simplePos="0" relativeHeight="251600384" behindDoc="1" locked="0" layoutInCell="1" allowOverlap="1" wp14:anchorId="5B5D380D" wp14:editId="223C2863">
                <wp:simplePos x="0" y="0"/>
                <wp:positionH relativeFrom="page">
                  <wp:posOffset>879475</wp:posOffset>
                </wp:positionH>
                <wp:positionV relativeFrom="page">
                  <wp:posOffset>932180</wp:posOffset>
                </wp:positionV>
                <wp:extent cx="5702935" cy="0"/>
                <wp:effectExtent l="0" t="0" r="0" b="0"/>
                <wp:wrapNone/>
                <wp:docPr id="17" name="Shape 17"/>
                <wp:cNvGraphicFramePr/>
                <a:graphic xmlns:a="http://schemas.openxmlformats.org/drawingml/2006/main">
                  <a:graphicData uri="http://schemas.microsoft.com/office/word/2010/wordprocessingShape">
                    <wps:wsp>
                      <wps:cNvCnPr/>
                      <wps:spPr>
                        <a:xfrm>
                          <a:off x="0" y="0"/>
                          <a:ext cx="5702935" cy="0"/>
                        </a:xfrm>
                        <a:prstGeom prst="straightConnector1">
                          <a:avLst/>
                        </a:prstGeom>
                        <a:ln w="6350">
                          <a:solidFill/>
                        </a:ln>
                      </wps:spPr>
                      <wps:bodyPr/>
                    </wps:wsp>
                  </a:graphicData>
                </a:graphic>
              </wp:anchor>
            </w:drawing>
          </mc:Choice>
          <mc:Fallback>
            <w:pict>
              <v:shape o:spt="32" o:oned="true" path="m,l21600,21600e" style="position:absolute;margin-left:69.25pt;margin-top:73.400000000000006pt;width:449.05000000000001pt;height:0;z-index:-251658240;mso-position-horizontal-relative:page;mso-position-vertical-relative:page">
                <v:stroke weight="0.5pt"/>
              </v:shape>
            </w:pict>
          </mc:Fallback>
        </mc:AlternateContent>
      </w:r>
    </w:p>
    <w:p w14:paraId="2E17C773" w14:textId="77777777" w:rsidR="00EC1C40" w:rsidRDefault="00000000">
      <w:pPr>
        <w:pStyle w:val="Zhlavnebozpat0"/>
        <w:framePr w:wrap="none" w:vAnchor="page" w:hAnchor="page" w:x="5192" w:y="1186"/>
      </w:pPr>
      <w:r>
        <w:t>Plánovací smlouva</w:t>
      </w:r>
    </w:p>
    <w:p w14:paraId="614B5048" w14:textId="77777777" w:rsidR="00EC1C40" w:rsidRDefault="00000000">
      <w:pPr>
        <w:pStyle w:val="Zkladntext1"/>
        <w:framePr w:w="10186" w:h="13565" w:hRule="exact" w:wrap="none" w:vAnchor="page" w:hAnchor="page" w:x="1213" w:y="1940"/>
        <w:ind w:firstLine="640"/>
        <w:jc w:val="both"/>
      </w:pPr>
      <w:r>
        <w:t>(dále jen „</w:t>
      </w:r>
      <w:r>
        <w:rPr>
          <w:b/>
          <w:bCs/>
        </w:rPr>
        <w:t>Nepeněžní plnění</w:t>
      </w:r>
      <w:r>
        <w:t>“).</w:t>
      </w:r>
    </w:p>
    <w:p w14:paraId="2153BB44" w14:textId="77777777" w:rsidR="00EC1C40" w:rsidRDefault="00000000">
      <w:pPr>
        <w:pStyle w:val="Zkladntext1"/>
        <w:framePr w:w="10186" w:h="13565" w:hRule="exact" w:wrap="none" w:vAnchor="page" w:hAnchor="page" w:x="1213" w:y="1940"/>
        <w:numPr>
          <w:ilvl w:val="1"/>
          <w:numId w:val="3"/>
        </w:numPr>
        <w:tabs>
          <w:tab w:val="left" w:pos="576"/>
        </w:tabs>
        <w:ind w:left="640" w:hanging="640"/>
        <w:jc w:val="both"/>
      </w:pPr>
      <w:r>
        <w:t xml:space="preserve">Předpokládané umístění jednotlivých částí Nepeněžního plnění je vyznačeno v </w:t>
      </w:r>
      <w:r>
        <w:rPr>
          <w:u w:val="single"/>
        </w:rPr>
        <w:t>Příloze č. 17</w:t>
      </w:r>
      <w:r>
        <w:t xml:space="preserve"> této Smlouvy. Není-li v konkrétním případě sjednáno jinak, bude veškeré Nepeněžní plnění Investora podle této Smlouvy nad rámec konkrétních požadavků na jeho podobu či jakost dle této Smlouvy vždy také (i) v souladu s právními předpisy a vydaným Povolením záměru, (</w:t>
      </w:r>
      <w:proofErr w:type="spellStart"/>
      <w:r>
        <w:t>ii</w:t>
      </w:r>
      <w:proofErr w:type="spellEnd"/>
      <w:r>
        <w:t>) v souladu s příslušnými normami ČSN a technickými předpisy platnými pro daný typ infrastruktury, a to v rozsahu technických podmínek pro výstavbu stanovených v čl. II Zásad výstavby a dále s technickou normou ČSN 73 6110, (</w:t>
      </w:r>
      <w:proofErr w:type="spellStart"/>
      <w:r>
        <w:t>iii</w:t>
      </w:r>
      <w:proofErr w:type="spellEnd"/>
      <w:r>
        <w:t>) v souladu se Zásadami výstavby, (</w:t>
      </w:r>
      <w:proofErr w:type="spellStart"/>
      <w:r>
        <w:t>iv</w:t>
      </w:r>
      <w:proofErr w:type="spellEnd"/>
      <w:r>
        <w:t>) vhodné pro sjednaný, jinak obvyklý, účel, a (v) bez faktických nebo právních vad omezujících jeho užívání.</w:t>
      </w:r>
    </w:p>
    <w:p w14:paraId="2443E2C4" w14:textId="77777777" w:rsidR="00EC1C40" w:rsidRDefault="00000000">
      <w:pPr>
        <w:pStyle w:val="Zkladntext1"/>
        <w:framePr w:w="10186" w:h="13565" w:hRule="exact" w:wrap="none" w:vAnchor="page" w:hAnchor="page" w:x="1213" w:y="1940"/>
        <w:numPr>
          <w:ilvl w:val="1"/>
          <w:numId w:val="3"/>
        </w:numPr>
        <w:tabs>
          <w:tab w:val="left" w:pos="576"/>
        </w:tabs>
        <w:ind w:left="640" w:hanging="640"/>
        <w:jc w:val="both"/>
      </w:pPr>
      <w:r>
        <w:t>V případě, že se Investor rozhodne realizovat Nepeněžní plnění na vlastní náklady zajistí (pokud tak nečiní SMP či jiný subjekt):</w:t>
      </w:r>
    </w:p>
    <w:p w14:paraId="5B5F427B" w14:textId="77777777" w:rsidR="00EC1C40" w:rsidRDefault="00000000">
      <w:pPr>
        <w:pStyle w:val="Zkladntext1"/>
        <w:framePr w:w="10186" w:h="13565" w:hRule="exact" w:wrap="none" w:vAnchor="page" w:hAnchor="page" w:x="1213" w:y="1940"/>
        <w:numPr>
          <w:ilvl w:val="2"/>
          <w:numId w:val="3"/>
        </w:numPr>
        <w:tabs>
          <w:tab w:val="left" w:pos="1376"/>
        </w:tabs>
        <w:ind w:left="1360" w:hanging="720"/>
        <w:jc w:val="both"/>
      </w:pPr>
      <w:r>
        <w:t>vypracování příslušné dokumentace potřebné pro povolení jejich realizace;</w:t>
      </w:r>
    </w:p>
    <w:p w14:paraId="70865B3F" w14:textId="77777777" w:rsidR="00EC1C40" w:rsidRDefault="00000000">
      <w:pPr>
        <w:pStyle w:val="Zkladntext1"/>
        <w:framePr w:w="10186" w:h="13565" w:hRule="exact" w:wrap="none" w:vAnchor="page" w:hAnchor="page" w:x="1213" w:y="1940"/>
        <w:numPr>
          <w:ilvl w:val="2"/>
          <w:numId w:val="3"/>
        </w:numPr>
        <w:tabs>
          <w:tab w:val="left" w:pos="1376"/>
        </w:tabs>
        <w:ind w:left="1360" w:hanging="720"/>
        <w:jc w:val="both"/>
      </w:pPr>
      <w:r>
        <w:t>jeho geodetické zaměření a vyhotovení příslušné dokumentace související s jeho zápisem do katastru nemovitostí (pokud je zapotřebí);</w:t>
      </w:r>
    </w:p>
    <w:p w14:paraId="6D6775AC" w14:textId="77777777" w:rsidR="00EC1C40" w:rsidRDefault="00000000">
      <w:pPr>
        <w:pStyle w:val="Zkladntext1"/>
        <w:framePr w:w="10186" w:h="13565" w:hRule="exact" w:wrap="none" w:vAnchor="page" w:hAnchor="page" w:x="1213" w:y="1940"/>
        <w:numPr>
          <w:ilvl w:val="2"/>
          <w:numId w:val="3"/>
        </w:numPr>
        <w:tabs>
          <w:tab w:val="left" w:pos="1376"/>
        </w:tabs>
        <w:ind w:left="1360" w:hanging="720"/>
        <w:jc w:val="both"/>
      </w:pPr>
      <w:r>
        <w:t>obstarání veškerých potřebných rozhodnutí, povolení, stanovisek a souhlasů potřebných pro jejich realizaci v souladu s právními předpisy a příslušnými zavazujícími technickými normami; a</w:t>
      </w:r>
    </w:p>
    <w:p w14:paraId="351A3601" w14:textId="77777777" w:rsidR="00EC1C40" w:rsidRDefault="00000000">
      <w:pPr>
        <w:pStyle w:val="Zkladntext1"/>
        <w:framePr w:w="10186" w:h="13565" w:hRule="exact" w:wrap="none" w:vAnchor="page" w:hAnchor="page" w:x="1213" w:y="1940"/>
        <w:numPr>
          <w:ilvl w:val="2"/>
          <w:numId w:val="3"/>
        </w:numPr>
        <w:tabs>
          <w:tab w:val="left" w:pos="1376"/>
        </w:tabs>
        <w:ind w:left="1360" w:hanging="720"/>
        <w:jc w:val="both"/>
      </w:pPr>
      <w:r>
        <w:t>potřebná povolení jejich užívání v souladu s příslušnými právními předpisy (např. kolaudační rozhodnutí atp.).</w:t>
      </w:r>
    </w:p>
    <w:p w14:paraId="49969B34" w14:textId="77777777" w:rsidR="00EC1C40" w:rsidRDefault="00000000">
      <w:pPr>
        <w:pStyle w:val="Zkladntext1"/>
        <w:framePr w:w="10186" w:h="13565" w:hRule="exact" w:wrap="none" w:vAnchor="page" w:hAnchor="page" w:x="1213" w:y="1940"/>
        <w:numPr>
          <w:ilvl w:val="1"/>
          <w:numId w:val="3"/>
        </w:numPr>
        <w:tabs>
          <w:tab w:val="left" w:pos="576"/>
        </w:tabs>
        <w:ind w:left="640" w:hanging="640"/>
        <w:jc w:val="both"/>
      </w:pPr>
      <w:r>
        <w:t>V případě, že Investor za podmínek stanovených v této Smlouvě realizuje Nepeněžní plnění, převede na SMP vlastnické právo k Nepeněžnímu plnění, a to za následujících předpokladů:</w:t>
      </w:r>
    </w:p>
    <w:p w14:paraId="31CD07BD" w14:textId="77777777" w:rsidR="00EC1C40" w:rsidRDefault="00000000">
      <w:pPr>
        <w:pStyle w:val="Zkladntext1"/>
        <w:framePr w:w="10186" w:h="13565" w:hRule="exact" w:wrap="none" w:vAnchor="page" w:hAnchor="page" w:x="1213" w:y="1940"/>
        <w:numPr>
          <w:ilvl w:val="2"/>
          <w:numId w:val="3"/>
        </w:numPr>
        <w:tabs>
          <w:tab w:val="left" w:pos="1376"/>
        </w:tabs>
        <w:ind w:left="1360" w:hanging="720"/>
        <w:jc w:val="both"/>
      </w:pPr>
      <w:r>
        <w:t>nedohodnou-li se Smluvní strany jinak, Nepeněžní plnění bude převáděno po jednotlivých logických celcích (např. uvedených v čl. 5.1. této Smlouvy), a to vždy po dokončení příslušné části Nepeněžního plnění a povolení jeho užívání (např. na základě rozhodnutí o kolaudaci, rozhodnutí o povolení zkušebního provozu či rozhodnutí o povolení předčasného užívání dané části Nepeněžního plnění);</w:t>
      </w:r>
    </w:p>
    <w:p w14:paraId="21AE9C14" w14:textId="77777777" w:rsidR="00EC1C40" w:rsidRDefault="00000000">
      <w:pPr>
        <w:pStyle w:val="Zkladntext1"/>
        <w:framePr w:w="10186" w:h="13565" w:hRule="exact" w:wrap="none" w:vAnchor="page" w:hAnchor="page" w:x="1213" w:y="1940"/>
        <w:numPr>
          <w:ilvl w:val="2"/>
          <w:numId w:val="3"/>
        </w:numPr>
        <w:tabs>
          <w:tab w:val="left" w:pos="1376"/>
        </w:tabs>
        <w:ind w:left="1360" w:hanging="720"/>
        <w:jc w:val="both"/>
      </w:pPr>
      <w:r>
        <w:t>vlastnické právo k Nepeněžnímu plnění bude převáděno na základě jednotlivých samostatných kupních smluv, které uzavřou Smluvní strany vždy do šesti (6) měsíců od doručení výzvy Investora k jejich uzavření SMP (čl. 5.4.5 Smlouvy) za splnění dále uvedených podmínek. Smluvní strany berou na vědomí, že tyto kupní smlouvy, nedohodnou-li se Smluvní strany jinak, budou, pokud se týkají Nepeněžního plnění, jehož užívání bylo povoleno na základě rozhodnutí o zkušebním provozu nebo rozhodnutí o předčasném užívání (nikoli tedy kolaudačním rozhodnutím) (dále jen „</w:t>
      </w:r>
      <w:r>
        <w:rPr>
          <w:b/>
          <w:bCs/>
        </w:rPr>
        <w:t>Nepeněžní plnění ve zkušebním provozu</w:t>
      </w:r>
      <w:r>
        <w:t>“), schvalovány zastupitelstvem SMP. SMP není povinno uzavřít kupní smlouvu, ani převzít příslušné Nepeněžní plnění ve zkušebním provozu do správy, dříve, než je kupní smlouva na Nepeněžní plnění ve zkušebním provozu schválena ze strany zastupitelstva SMP. V případě, že Investor zašle SMP výzvu k uzavření kupní smlouvy k Nepeněžnímu plnění ve zkušebním provozu, není SMP povinno uzavřít takovou kupní smlouvu ani převzít dané Nepeněžní plnění do doby schválení takového právního jednání zastupitelstvem SMP. SMP v rámci předložení schválení kupních smluv zastupitelstvu upozorní na možnost odchýlit se od požadavku na převzetí infrastruktury před kolaudací, a to s hledem na komplexní úpravu obsaženou v této Smlouvě;</w:t>
      </w:r>
    </w:p>
    <w:p w14:paraId="42A66A81" w14:textId="77777777" w:rsidR="00EC1C40" w:rsidRDefault="00000000">
      <w:pPr>
        <w:pStyle w:val="Zkladntext1"/>
        <w:framePr w:w="10186" w:h="13565" w:hRule="exact" w:wrap="none" w:vAnchor="page" w:hAnchor="page" w:x="1213" w:y="1940"/>
        <w:numPr>
          <w:ilvl w:val="2"/>
          <w:numId w:val="3"/>
        </w:numPr>
        <w:tabs>
          <w:tab w:val="left" w:pos="1376"/>
        </w:tabs>
        <w:spacing w:after="0"/>
        <w:ind w:left="1360" w:hanging="720"/>
        <w:jc w:val="both"/>
      </w:pPr>
      <w:r>
        <w:t>SMP není povinno převzít Nepeněžní plnění do svého vlastnictví (a uzavřít příslušnou kupní smlouvu), pokud nebudou splněny požadavky této Smlouvy na příslušné Nepeněžní plnění a Zásad výstavby, zejména pokud bude Nepeněžní plnění vykazovat</w:t>
      </w:r>
    </w:p>
    <w:p w14:paraId="0550BC65" w14:textId="77777777" w:rsidR="00EC1C40" w:rsidRDefault="00000000">
      <w:pPr>
        <w:pStyle w:val="Zhlavnebozpat0"/>
        <w:framePr w:wrap="none" w:vAnchor="page" w:hAnchor="page" w:x="5552" w:y="16085"/>
        <w:rPr>
          <w:sz w:val="22"/>
          <w:szCs w:val="22"/>
        </w:rPr>
      </w:pPr>
      <w:r>
        <w:rPr>
          <w:color w:val="231E20"/>
          <w:sz w:val="22"/>
          <w:szCs w:val="22"/>
        </w:rPr>
        <w:t>18/63</w:t>
      </w:r>
    </w:p>
    <w:p w14:paraId="055826E4"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21D8B526" w14:textId="77777777" w:rsidR="00EC1C40" w:rsidRDefault="00000000">
      <w:pPr>
        <w:spacing w:line="1" w:lineRule="exact"/>
      </w:pPr>
      <w:r>
        <w:rPr>
          <w:noProof/>
        </w:rPr>
        <w:lastRenderedPageBreak/>
        <mc:AlternateContent>
          <mc:Choice Requires="wps">
            <w:drawing>
              <wp:anchor distT="0" distB="0" distL="114300" distR="114300" simplePos="0" relativeHeight="251601408" behindDoc="1" locked="0" layoutInCell="1" allowOverlap="1" wp14:anchorId="78E61363" wp14:editId="2D82AA5D">
                <wp:simplePos x="0" y="0"/>
                <wp:positionH relativeFrom="page">
                  <wp:posOffset>879475</wp:posOffset>
                </wp:positionH>
                <wp:positionV relativeFrom="page">
                  <wp:posOffset>932180</wp:posOffset>
                </wp:positionV>
                <wp:extent cx="5702935" cy="0"/>
                <wp:effectExtent l="0" t="0" r="0" b="0"/>
                <wp:wrapNone/>
                <wp:docPr id="18" name="Shape 18"/>
                <wp:cNvGraphicFramePr/>
                <a:graphic xmlns:a="http://schemas.openxmlformats.org/drawingml/2006/main">
                  <a:graphicData uri="http://schemas.microsoft.com/office/word/2010/wordprocessingShape">
                    <wps:wsp>
                      <wps:cNvCnPr/>
                      <wps:spPr>
                        <a:xfrm>
                          <a:off x="0" y="0"/>
                          <a:ext cx="5702935" cy="0"/>
                        </a:xfrm>
                        <a:prstGeom prst="straightConnector1">
                          <a:avLst/>
                        </a:prstGeom>
                        <a:ln w="6350">
                          <a:solidFill/>
                        </a:ln>
                      </wps:spPr>
                      <wps:bodyPr/>
                    </wps:wsp>
                  </a:graphicData>
                </a:graphic>
              </wp:anchor>
            </w:drawing>
          </mc:Choice>
          <mc:Fallback>
            <w:pict>
              <v:shape o:spt="32" o:oned="true" path="m,l21600,21600e" style="position:absolute;margin-left:69.25pt;margin-top:73.400000000000006pt;width:449.05000000000001pt;height:0;z-index:-251658240;mso-position-horizontal-relative:page;mso-position-vertical-relative:page">
                <v:stroke weight="0.5pt"/>
              </v:shape>
            </w:pict>
          </mc:Fallback>
        </mc:AlternateContent>
      </w:r>
    </w:p>
    <w:p w14:paraId="11AA2EC0" w14:textId="77777777" w:rsidR="00EC1C40" w:rsidRDefault="00000000">
      <w:pPr>
        <w:pStyle w:val="Zhlavnebozpat0"/>
        <w:framePr w:wrap="none" w:vAnchor="page" w:hAnchor="page" w:x="5192" w:y="1186"/>
      </w:pPr>
      <w:r>
        <w:t>Plánovací smlouva</w:t>
      </w:r>
    </w:p>
    <w:p w14:paraId="48D03B37" w14:textId="77777777" w:rsidR="00EC1C40" w:rsidRDefault="00000000">
      <w:pPr>
        <w:pStyle w:val="Zkladntext1"/>
        <w:framePr w:w="10186" w:h="13474" w:hRule="exact" w:wrap="none" w:vAnchor="page" w:hAnchor="page" w:x="1213" w:y="1940"/>
        <w:ind w:left="1360" w:firstLine="20"/>
        <w:jc w:val="both"/>
      </w:pPr>
      <w:r>
        <w:t>vady či nedodělky omezující jeho řádné užívání nebo nebude doložena dokumentace dle čl. 5.4.10 této Smlouvy, včetně pravomocného kolaudačního rozhodnutí (nebo povolení zkušebního provozu či jiného umožnění užívání) a dokladů o odstranění případných vad a nedodělků. V případě, kdy bude Nepeněžní plnění ve zkušebním provozu převáděno na základě rozhodnutí o povolení zkušebního provozu (či předčasného užívání), není dotčena povinnost Investora zajistit, jakmile to bude možné, vydání kolaudačního rozhodnutí pro danou část Nepeněžního plnění, k čemuž SMP poskytne potřebnou součinnost;</w:t>
      </w:r>
    </w:p>
    <w:p w14:paraId="777C810C" w14:textId="77777777" w:rsidR="00EC1C40" w:rsidRDefault="00000000">
      <w:pPr>
        <w:pStyle w:val="Zkladntext1"/>
        <w:framePr w:w="10186" w:h="13474" w:hRule="exact" w:wrap="none" w:vAnchor="page" w:hAnchor="page" w:x="1213" w:y="1940"/>
        <w:numPr>
          <w:ilvl w:val="2"/>
          <w:numId w:val="3"/>
        </w:numPr>
        <w:tabs>
          <w:tab w:val="left" w:pos="1384"/>
        </w:tabs>
        <w:ind w:left="1360" w:hanging="720"/>
        <w:jc w:val="both"/>
      </w:pPr>
      <w:r>
        <w:t>podkladem pro uzavření kupní smlouvy bude protokol dle čl. III odst. 6 Zásad výstavby, potvrzující, že Nepeněžní plnění bylo vybudováno v souladu se Zásadami výstavby a touto Smlouvou. SMP nebude vystavení tohoto protokolu bez závažného důvodu odpírat či časově oddalovat a vydá jej do jednoho (1) měsíce od doručení výzvy Investora k uzavření kupní smlouvy k dané části Nepeněžního plnění;</w:t>
      </w:r>
    </w:p>
    <w:p w14:paraId="7E6FA1EA" w14:textId="77777777" w:rsidR="00EC1C40" w:rsidRDefault="00000000">
      <w:pPr>
        <w:pStyle w:val="Zkladntext1"/>
        <w:framePr w:w="10186" w:h="13474" w:hRule="exact" w:wrap="none" w:vAnchor="page" w:hAnchor="page" w:x="1213" w:y="1940"/>
        <w:numPr>
          <w:ilvl w:val="2"/>
          <w:numId w:val="3"/>
        </w:numPr>
        <w:tabs>
          <w:tab w:val="left" w:pos="1384"/>
        </w:tabs>
        <w:ind w:left="1360" w:hanging="720"/>
        <w:jc w:val="both"/>
      </w:pPr>
      <w:r>
        <w:t>Investor zašle příslušnou výzvu k uzavření kupní smlouvy k danému Nepeněžnímu plnění, a to poté, co bude dané Nepeněžní plnění stavebně dokončeno (a to případně ještě před povolením jeho užívání), nejpozději však do dvanácti (12) měsíců od kolaudace Investičního záměru, nedohodnou-li se Smluvní strany jinak;</w:t>
      </w:r>
    </w:p>
    <w:p w14:paraId="1BA39841" w14:textId="77777777" w:rsidR="00EC1C40" w:rsidRDefault="00000000">
      <w:pPr>
        <w:pStyle w:val="Zkladntext1"/>
        <w:framePr w:w="10186" w:h="13474" w:hRule="exact" w:wrap="none" w:vAnchor="page" w:hAnchor="page" w:x="1213" w:y="1940"/>
        <w:numPr>
          <w:ilvl w:val="2"/>
          <w:numId w:val="3"/>
        </w:numPr>
        <w:tabs>
          <w:tab w:val="left" w:pos="1384"/>
        </w:tabs>
        <w:ind w:left="1360" w:hanging="720"/>
        <w:jc w:val="both"/>
      </w:pPr>
      <w:r>
        <w:t>kupní cena bude stanovena vždy ve výši 1.000,- Kč + DPH ve výši stanovené právními předpisy, a to u každé jednotlivé kupní smlouvy, na základě níž je převáděno příslušné Nepeněžní plnění;</w:t>
      </w:r>
    </w:p>
    <w:p w14:paraId="6E14AE08" w14:textId="77777777" w:rsidR="00EC1C40" w:rsidRDefault="00000000">
      <w:pPr>
        <w:pStyle w:val="Zkladntext1"/>
        <w:framePr w:w="10186" w:h="13474" w:hRule="exact" w:wrap="none" w:vAnchor="page" w:hAnchor="page" w:x="1213" w:y="1940"/>
        <w:numPr>
          <w:ilvl w:val="2"/>
          <w:numId w:val="3"/>
        </w:numPr>
        <w:tabs>
          <w:tab w:val="left" w:pos="1384"/>
        </w:tabs>
        <w:ind w:left="1360" w:hanging="720"/>
        <w:jc w:val="both"/>
      </w:pPr>
      <w:r>
        <w:t>SMP se zaváže na základě kupních smluv převzít Nepeněžní plnění do svého vlastnictví a správy;</w:t>
      </w:r>
    </w:p>
    <w:p w14:paraId="2A65607E" w14:textId="77777777" w:rsidR="00EC1C40" w:rsidRDefault="00000000">
      <w:pPr>
        <w:pStyle w:val="Zkladntext1"/>
        <w:framePr w:w="10186" w:h="13474" w:hRule="exact" w:wrap="none" w:vAnchor="page" w:hAnchor="page" w:x="1213" w:y="1940"/>
        <w:numPr>
          <w:ilvl w:val="2"/>
          <w:numId w:val="3"/>
        </w:numPr>
        <w:tabs>
          <w:tab w:val="left" w:pos="1384"/>
        </w:tabs>
        <w:ind w:left="1360" w:hanging="720"/>
        <w:jc w:val="both"/>
      </w:pPr>
      <w:r>
        <w:t>Nepeněžní plnění (jeho příslušná část) bude převedeno do vlastnictví SMP vždy včetně pozemků (jejich částí), na nichž je Nepeněžní plnění umístěno, a to na základě geodetického zaměření, které určí přesné vymezení převáděných pozemků, pokud dále není v této Smlouvě stanoveno jinak. Pozemky (jejich části), na kterých je Nepeněžní plnění umístěno, nebudou převáděny do vlastnictví SMP, pokud (i) příslušnou část pozemků již SMP vlastní a Investor Nepeněžní plnění na ní buduje na základě Výpůjčky či jiného titulu poskytnutého pro tyto účely SMP, nebo (</w:t>
      </w:r>
      <w:proofErr w:type="spellStart"/>
      <w:r>
        <w:t>ii</w:t>
      </w:r>
      <w:proofErr w:type="spellEnd"/>
      <w:r>
        <w:t>) dané pozemky vlastní třetí osoby; v takovém případě zajistí Investor k takovýmto pozemkům ve vlastnictví třetích osob (jejich částem, na nichž je Nepeněžní plnění umístěno) zřízení příslušné služebnosti umožňující umístění, provoz, údržbu a úpravy daného Nepeněžního plnění, nebo (</w:t>
      </w:r>
      <w:proofErr w:type="spellStart"/>
      <w:r>
        <w:t>iii</w:t>
      </w:r>
      <w:proofErr w:type="spellEnd"/>
      <w:r>
        <w:t>) se jedná o pozemky (jejich části), které budou předmětem Směny 2 (jelikož pozemky, respektive jejich části, které budou předmětem Směny 2, nabyde SMP v souladu se Smlouvou o smlouvě budoucí na základě Směnné smlouvy 2), nebo (</w:t>
      </w:r>
      <w:proofErr w:type="spellStart"/>
      <w:r>
        <w:t>iv</w:t>
      </w:r>
      <w:proofErr w:type="spellEnd"/>
      <w:r>
        <w:t xml:space="preserve">) se jedná o pozemky pod veřejným </w:t>
      </w:r>
      <w:proofErr w:type="spellStart"/>
      <w:r>
        <w:t>Cykloparkingem</w:t>
      </w:r>
      <w:proofErr w:type="spellEnd"/>
      <w:r>
        <w:t>. Pozemky, které budou spolu s Nepeněžním plněním převedeny na SMP, mohou být zatíženy právním zatížením ve formě služebností (např. služebnosti inženýrské sítě zřízené ve prospěch Investora jako vlastníka technické infrastruktury nebo zřízené ve prospěch jiných vlastníků/provozovatelů veřejné infrastruktury atp.), přičemž takovéto zatížení nebude představovat vadné plnění, pokud nebude jakkoli omezovat užívání Nepeněžního plnění pro jeho obvyklý nebo sjednaný účel;</w:t>
      </w:r>
    </w:p>
    <w:p w14:paraId="0E3397B8" w14:textId="77777777" w:rsidR="00EC1C40" w:rsidRDefault="00000000">
      <w:pPr>
        <w:pStyle w:val="Zkladntext1"/>
        <w:framePr w:w="10186" w:h="13474" w:hRule="exact" w:wrap="none" w:vAnchor="page" w:hAnchor="page" w:x="1213" w:y="1940"/>
        <w:numPr>
          <w:ilvl w:val="2"/>
          <w:numId w:val="3"/>
        </w:numPr>
        <w:tabs>
          <w:tab w:val="left" w:pos="1384"/>
        </w:tabs>
        <w:ind w:left="1360" w:hanging="720"/>
        <w:jc w:val="both"/>
      </w:pPr>
      <w:r>
        <w:t>kupní smlouvy budou respektovat ustanovení této Smlouvy a budou uzavírány za standardních podmínek u obdobného typu smluv; a</w:t>
      </w:r>
    </w:p>
    <w:p w14:paraId="6C502E6E" w14:textId="77777777" w:rsidR="00EC1C40" w:rsidRDefault="00000000">
      <w:pPr>
        <w:pStyle w:val="Zkladntext1"/>
        <w:framePr w:w="10186" w:h="13474" w:hRule="exact" w:wrap="none" w:vAnchor="page" w:hAnchor="page" w:x="1213" w:y="1940"/>
        <w:numPr>
          <w:ilvl w:val="2"/>
          <w:numId w:val="3"/>
        </w:numPr>
        <w:tabs>
          <w:tab w:val="left" w:pos="1384"/>
        </w:tabs>
        <w:spacing w:after="0"/>
        <w:ind w:left="1360" w:hanging="720"/>
        <w:jc w:val="both"/>
      </w:pPr>
      <w:r>
        <w:t>spolu s příslušnou částí Nepeněžního plnění je Investor povinen předat SMP také dokumentaci skutečného provedení převáděného či poskytovaného Nepeněžního plnění, vyčíslení a podklady pro vyčíslení skutečných nákladů na realizaci daného</w:t>
      </w:r>
    </w:p>
    <w:p w14:paraId="5B1221D4" w14:textId="77777777" w:rsidR="00EC1C40" w:rsidRDefault="00000000">
      <w:pPr>
        <w:pStyle w:val="Zhlavnebozpat0"/>
        <w:framePr w:wrap="none" w:vAnchor="page" w:hAnchor="page" w:x="5552" w:y="16085"/>
        <w:rPr>
          <w:sz w:val="22"/>
          <w:szCs w:val="22"/>
        </w:rPr>
      </w:pPr>
      <w:r>
        <w:rPr>
          <w:color w:val="231E20"/>
          <w:sz w:val="22"/>
          <w:szCs w:val="22"/>
        </w:rPr>
        <w:t>19/63</w:t>
      </w:r>
    </w:p>
    <w:p w14:paraId="61A8A332"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1D89A58F" w14:textId="77777777" w:rsidR="00EC1C40" w:rsidRDefault="00000000">
      <w:pPr>
        <w:spacing w:line="1" w:lineRule="exact"/>
      </w:pPr>
      <w:r>
        <w:rPr>
          <w:noProof/>
        </w:rPr>
        <w:lastRenderedPageBreak/>
        <mc:AlternateContent>
          <mc:Choice Requires="wps">
            <w:drawing>
              <wp:anchor distT="0" distB="0" distL="114300" distR="114300" simplePos="0" relativeHeight="251602432" behindDoc="1" locked="0" layoutInCell="1" allowOverlap="1" wp14:anchorId="08CE6CC2" wp14:editId="722F0014">
                <wp:simplePos x="0" y="0"/>
                <wp:positionH relativeFrom="page">
                  <wp:posOffset>879475</wp:posOffset>
                </wp:positionH>
                <wp:positionV relativeFrom="page">
                  <wp:posOffset>932180</wp:posOffset>
                </wp:positionV>
                <wp:extent cx="5702935" cy="0"/>
                <wp:effectExtent l="0" t="0" r="0" b="0"/>
                <wp:wrapNone/>
                <wp:docPr id="19" name="Shape 19"/>
                <wp:cNvGraphicFramePr/>
                <a:graphic xmlns:a="http://schemas.openxmlformats.org/drawingml/2006/main">
                  <a:graphicData uri="http://schemas.microsoft.com/office/word/2010/wordprocessingShape">
                    <wps:wsp>
                      <wps:cNvCnPr/>
                      <wps:spPr>
                        <a:xfrm>
                          <a:off x="0" y="0"/>
                          <a:ext cx="5702935" cy="0"/>
                        </a:xfrm>
                        <a:prstGeom prst="straightConnector1">
                          <a:avLst/>
                        </a:prstGeom>
                        <a:ln w="6350">
                          <a:solidFill/>
                        </a:ln>
                      </wps:spPr>
                      <wps:bodyPr/>
                    </wps:wsp>
                  </a:graphicData>
                </a:graphic>
              </wp:anchor>
            </w:drawing>
          </mc:Choice>
          <mc:Fallback>
            <w:pict>
              <v:shape o:spt="32" o:oned="true" path="m,l21600,21600e" style="position:absolute;margin-left:69.25pt;margin-top:73.400000000000006pt;width:449.05000000000001pt;height:0;z-index:-251658240;mso-position-horizontal-relative:page;mso-position-vertical-relative:page">
                <v:stroke weight="0.5pt"/>
              </v:shape>
            </w:pict>
          </mc:Fallback>
        </mc:AlternateContent>
      </w:r>
    </w:p>
    <w:p w14:paraId="44A1241C" w14:textId="77777777" w:rsidR="00EC1C40" w:rsidRDefault="00000000">
      <w:pPr>
        <w:pStyle w:val="Zhlavnebozpat0"/>
        <w:framePr w:wrap="none" w:vAnchor="page" w:hAnchor="page" w:x="5192" w:y="1186"/>
      </w:pPr>
      <w:r>
        <w:t>Plánovací smlouva</w:t>
      </w:r>
    </w:p>
    <w:p w14:paraId="74F312BF" w14:textId="77777777" w:rsidR="00EC1C40" w:rsidRDefault="00000000">
      <w:pPr>
        <w:pStyle w:val="Zkladntext1"/>
        <w:framePr w:w="10186" w:h="13536" w:hRule="exact" w:wrap="none" w:vAnchor="page" w:hAnchor="page" w:x="1213" w:y="1940"/>
        <w:ind w:left="1360"/>
        <w:jc w:val="both"/>
      </w:pPr>
      <w:r>
        <w:t>Nepeněžního plnění (zejm. příslušné účetní doklady a rozpočty), geometrický plán, záruční listy, technické listy, prohlášení o shodě a další související dokumentaci převáděného Nepeněžního plnění;</w:t>
      </w:r>
    </w:p>
    <w:p w14:paraId="2C231BA7" w14:textId="77777777" w:rsidR="00EC1C40" w:rsidRDefault="00000000">
      <w:pPr>
        <w:pStyle w:val="Zkladntext1"/>
        <w:framePr w:w="10186" w:h="13536" w:hRule="exact" w:wrap="none" w:vAnchor="page" w:hAnchor="page" w:x="1213" w:y="1940"/>
        <w:ind w:left="640"/>
        <w:jc w:val="both"/>
      </w:pPr>
      <w:r>
        <w:t>není-li v této Smlouvě (např. čl. 5.5 sjednáno jinak). Smluvní strany se mohou dohodnout i na jiném postupu realizace či převodu Nepeněžního plnění.</w:t>
      </w:r>
    </w:p>
    <w:p w14:paraId="59E8AFA8" w14:textId="77777777" w:rsidR="00EC1C40" w:rsidRDefault="00000000">
      <w:pPr>
        <w:pStyle w:val="Zkladntext1"/>
        <w:framePr w:w="10186" w:h="13536" w:hRule="exact" w:wrap="none" w:vAnchor="page" w:hAnchor="page" w:x="1213" w:y="1940"/>
        <w:ind w:left="640"/>
        <w:jc w:val="both"/>
      </w:pPr>
      <w:r>
        <w:t>Pokud SMP převezme do svého vlastnictví a správy Nepeněžní plnění ve zkušebním provozu, tj. před kolaudací daného Nepeněžního plnění, je Investor povinen provést pasport stavu daného Nepeněžního plnění (za účelem dokumentace jeho stavu ke dni předání SMP). Investor je dále povinen odstranit na své náklady případná poškození na převedeném Nepeněžním plnění ve zkušebním provozu ve vlastnictví SMP, pokud vzniknou do kolaudace daného Nepeněžního plnění a pokud nebude zjištěna konkrétní třetí osoba odpovědná za poškození.</w:t>
      </w:r>
    </w:p>
    <w:p w14:paraId="4EA79FA4" w14:textId="77777777" w:rsidR="00EC1C40" w:rsidRDefault="00000000">
      <w:pPr>
        <w:pStyle w:val="Zkladntext1"/>
        <w:framePr w:w="10186" w:h="13536" w:hRule="exact" w:wrap="none" w:vAnchor="page" w:hAnchor="page" w:x="1213" w:y="1940"/>
        <w:numPr>
          <w:ilvl w:val="1"/>
          <w:numId w:val="3"/>
        </w:numPr>
        <w:tabs>
          <w:tab w:val="left" w:pos="576"/>
        </w:tabs>
        <w:spacing w:after="220"/>
        <w:ind w:left="640" w:hanging="640"/>
        <w:jc w:val="both"/>
      </w:pPr>
      <w:r>
        <w:t>Smluvní strany sjednávají s ohledem na specifickou povahu některých částí Nepeněžních plnění následující pravidla:</w:t>
      </w:r>
    </w:p>
    <w:p w14:paraId="0FA427BB" w14:textId="77777777" w:rsidR="00EC1C40" w:rsidRDefault="00000000">
      <w:pPr>
        <w:pStyle w:val="Zkladntext1"/>
        <w:framePr w:w="10186" w:h="13536" w:hRule="exact" w:wrap="none" w:vAnchor="page" w:hAnchor="page" w:x="1213" w:y="1940"/>
        <w:numPr>
          <w:ilvl w:val="2"/>
          <w:numId w:val="3"/>
        </w:numPr>
        <w:tabs>
          <w:tab w:val="left" w:pos="1376"/>
        </w:tabs>
        <w:spacing w:after="220"/>
        <w:ind w:left="1380" w:hanging="740"/>
        <w:jc w:val="both"/>
      </w:pPr>
      <w:proofErr w:type="spellStart"/>
      <w:r>
        <w:t>Cykloparking</w:t>
      </w:r>
      <w:proofErr w:type="spellEnd"/>
      <w:r>
        <w:t xml:space="preserve"> zůstane ve vlastnictví i správě Investora a nebude předmětem převodu na SMP;</w:t>
      </w:r>
    </w:p>
    <w:p w14:paraId="2794D98C" w14:textId="77777777" w:rsidR="00EC1C40" w:rsidRDefault="00000000">
      <w:pPr>
        <w:pStyle w:val="Zkladntext1"/>
        <w:framePr w:w="10186" w:h="13536" w:hRule="exact" w:wrap="none" w:vAnchor="page" w:hAnchor="page" w:x="1213" w:y="1940"/>
        <w:numPr>
          <w:ilvl w:val="2"/>
          <w:numId w:val="3"/>
        </w:numPr>
        <w:tabs>
          <w:tab w:val="left" w:pos="1376"/>
        </w:tabs>
        <w:spacing w:after="220"/>
        <w:ind w:left="1380" w:hanging="740"/>
        <w:jc w:val="both"/>
      </w:pPr>
      <w:r>
        <w:t xml:space="preserve">Investor se zavazuje zajistit, že venkovní </w:t>
      </w:r>
      <w:proofErr w:type="spellStart"/>
      <w:r>
        <w:t>Cykloparking</w:t>
      </w:r>
      <w:proofErr w:type="spellEnd"/>
      <w:r>
        <w:t xml:space="preserve"> bude veřejně přístupný a bude umožněno jeho bezplatné užívání veřejností po dobu minimálně patnácti (15) let od Dokončení Investičního záměru a </w:t>
      </w:r>
      <w:proofErr w:type="spellStart"/>
      <w:r>
        <w:t>Cykloparkingu</w:t>
      </w:r>
      <w:proofErr w:type="spellEnd"/>
      <w:r>
        <w:t xml:space="preserve"> (podle toho, která skutečnost nastane později), přičemž Investor bude zajišťovat jeho řádnou správu a údržbu po toto období. Smluvní strany jsou si vědomy a sjednávají, že v případě významných akcí konaných v Investičním záměru (např. mistrovství světa, velké koncerty atd.), může být nezbytné z objektivních důvodů (např. bezpečnostní důvody, kapacitní důvody atd.) </w:t>
      </w:r>
      <w:proofErr w:type="spellStart"/>
      <w:r>
        <w:t>Cykloparking</w:t>
      </w:r>
      <w:proofErr w:type="spellEnd"/>
      <w:r>
        <w:t xml:space="preserve"> uzavřít po nezbytnou dobu pro veřejnost (popřípadě jeho provoz omezit), přičemž toto dočasné uzavření (omezení provozu) nepředstavuje porušení povinnosti Investora dle tohoto ustanovení za předpokladu, že takové omezení veřejného užívání </w:t>
      </w:r>
      <w:proofErr w:type="spellStart"/>
      <w:r>
        <w:t>Cykloparkingu</w:t>
      </w:r>
      <w:proofErr w:type="spellEnd"/>
      <w:r>
        <w:t xml:space="preserve"> nepřesáhne 60 dní v kalendářním roce;</w:t>
      </w:r>
    </w:p>
    <w:p w14:paraId="146A9492" w14:textId="77777777" w:rsidR="00EC1C40" w:rsidRDefault="00000000">
      <w:pPr>
        <w:pStyle w:val="Zkladntext1"/>
        <w:framePr w:w="10186" w:h="13536" w:hRule="exact" w:wrap="none" w:vAnchor="page" w:hAnchor="page" w:x="1213" w:y="1940"/>
        <w:numPr>
          <w:ilvl w:val="2"/>
          <w:numId w:val="3"/>
        </w:numPr>
        <w:tabs>
          <w:tab w:val="left" w:pos="1376"/>
        </w:tabs>
        <w:ind w:left="1380" w:hanging="740"/>
        <w:jc w:val="both"/>
      </w:pPr>
      <w:r>
        <w:t xml:space="preserve">Krytý </w:t>
      </w:r>
      <w:proofErr w:type="spellStart"/>
      <w:r>
        <w:t>Cykloparking</w:t>
      </w:r>
      <w:proofErr w:type="spellEnd"/>
      <w:r>
        <w:t xml:space="preserve"> (který bude součástí Parkovacího domu), bude provozován Investorem (či provozovatelem Investičního záměru či jiným obdobným subjektem) jako komerční služba veřejnosti; a</w:t>
      </w:r>
    </w:p>
    <w:p w14:paraId="57D26E2B" w14:textId="77777777" w:rsidR="00EC1C40" w:rsidRDefault="00000000">
      <w:pPr>
        <w:pStyle w:val="Zkladntext1"/>
        <w:framePr w:w="10186" w:h="13536" w:hRule="exact" w:wrap="none" w:vAnchor="page" w:hAnchor="page" w:x="1213" w:y="1940"/>
        <w:numPr>
          <w:ilvl w:val="2"/>
          <w:numId w:val="3"/>
        </w:numPr>
        <w:tabs>
          <w:tab w:val="left" w:pos="1376"/>
        </w:tabs>
        <w:ind w:left="1380" w:hanging="740"/>
        <w:jc w:val="both"/>
      </w:pPr>
      <w:r>
        <w:t>Sjezdy z obchvatu (s ohledem na jeho realizaci ze strany Ředitelství silnic a dálnic s. p., IČ: 659 93 390, se sídlem Na Pankráci 546/56, 140 00 Praha 4 (dále jen „</w:t>
      </w:r>
      <w:r>
        <w:rPr>
          <w:b/>
          <w:bCs/>
        </w:rPr>
        <w:t>ŘSD</w:t>
      </w:r>
      <w:r>
        <w:t>“)) nebude realizovat Investor, přičemž budou od jejich vybudování ve vlastnictví ŘSD. Sjezdy z obchvatu tak nebudou převáděny a předávány SMP, přičemž SMP nebude předkládána taktéž žádná dokumentace, ani ve vztahu ke Sjezdům z obchvatu nebudou plněny žádné jiné povinnosti Investora stran předání či převodu Nepeněžního plnění (s ohledem na jeho realizaci ze strany ŘSD). SMP si zajistí převod Částí infrastruktury sjezdů po vlastní ose na základě samostatného právního jednání s ŘSD, včetně případných záruk atd.</w:t>
      </w:r>
    </w:p>
    <w:p w14:paraId="3ED94C40" w14:textId="77777777" w:rsidR="00EC1C40" w:rsidRDefault="00000000">
      <w:pPr>
        <w:pStyle w:val="Zkladntext1"/>
        <w:framePr w:w="10186" w:h="13536" w:hRule="exact" w:wrap="none" w:vAnchor="page" w:hAnchor="page" w:x="1213" w:y="1940"/>
        <w:numPr>
          <w:ilvl w:val="1"/>
          <w:numId w:val="3"/>
        </w:numPr>
        <w:tabs>
          <w:tab w:val="left" w:pos="576"/>
        </w:tabs>
        <w:ind w:left="640" w:hanging="640"/>
        <w:jc w:val="both"/>
      </w:pPr>
      <w:r>
        <w:t>V případě, že se Investor rozhodne realizovat Nepeněžní plnění, platí následující předpoklady pro realizaci Nepeněžního plnění, nedohodnou-li se Smluvní strany jinak:</w:t>
      </w:r>
    </w:p>
    <w:p w14:paraId="314F0AEB" w14:textId="77777777" w:rsidR="00EC1C40" w:rsidRDefault="00000000">
      <w:pPr>
        <w:pStyle w:val="Zkladntext1"/>
        <w:framePr w:w="10186" w:h="13536" w:hRule="exact" w:wrap="none" w:vAnchor="page" w:hAnchor="page" w:x="1213" w:y="1940"/>
        <w:numPr>
          <w:ilvl w:val="2"/>
          <w:numId w:val="3"/>
        </w:numPr>
        <w:tabs>
          <w:tab w:val="left" w:pos="1376"/>
        </w:tabs>
        <w:spacing w:after="0"/>
        <w:ind w:left="1380" w:hanging="740"/>
        <w:jc w:val="both"/>
      </w:pPr>
      <w:r>
        <w:t>Investor bude realizovat Nepeněžní plnění v souladu se Zásadami výstavby, zejména je povinen dodržet technické podmínky pro výstavbu stanovené v čl. II Zásad výstavby; Smluvní strany berou nicméně na vědomí, že tato Smlouva obsahuje autonomní úpravu převodu Nepeněžního plnění z Investora na SMP (s ohledem na specifika Investičního záměru), proto se ujednání obsažená v Zásadách výstavby (či jiných dokumentech</w:t>
      </w:r>
    </w:p>
    <w:p w14:paraId="4062A0C7" w14:textId="77777777" w:rsidR="00EC1C40" w:rsidRDefault="00000000">
      <w:pPr>
        <w:pStyle w:val="Zhlavnebozpat0"/>
        <w:framePr w:wrap="none" w:vAnchor="page" w:hAnchor="page" w:x="5547" w:y="16085"/>
        <w:rPr>
          <w:sz w:val="22"/>
          <w:szCs w:val="22"/>
        </w:rPr>
      </w:pPr>
      <w:r>
        <w:rPr>
          <w:color w:val="231E20"/>
          <w:sz w:val="22"/>
          <w:szCs w:val="22"/>
        </w:rPr>
        <w:t>20/63</w:t>
      </w:r>
    </w:p>
    <w:p w14:paraId="22BED01B"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0D425F2C" w14:textId="77777777" w:rsidR="00EC1C40" w:rsidRDefault="00000000">
      <w:pPr>
        <w:spacing w:line="1" w:lineRule="exact"/>
      </w:pPr>
      <w:r>
        <w:rPr>
          <w:noProof/>
        </w:rPr>
        <w:lastRenderedPageBreak/>
        <mc:AlternateContent>
          <mc:Choice Requires="wps">
            <w:drawing>
              <wp:anchor distT="0" distB="0" distL="114300" distR="114300" simplePos="0" relativeHeight="251603456" behindDoc="1" locked="0" layoutInCell="1" allowOverlap="1" wp14:anchorId="1022E28D" wp14:editId="2559E243">
                <wp:simplePos x="0" y="0"/>
                <wp:positionH relativeFrom="page">
                  <wp:posOffset>879475</wp:posOffset>
                </wp:positionH>
                <wp:positionV relativeFrom="page">
                  <wp:posOffset>932180</wp:posOffset>
                </wp:positionV>
                <wp:extent cx="5702935" cy="0"/>
                <wp:effectExtent l="0" t="0" r="0" b="0"/>
                <wp:wrapNone/>
                <wp:docPr id="20" name="Shape 20"/>
                <wp:cNvGraphicFramePr/>
                <a:graphic xmlns:a="http://schemas.openxmlformats.org/drawingml/2006/main">
                  <a:graphicData uri="http://schemas.microsoft.com/office/word/2010/wordprocessingShape">
                    <wps:wsp>
                      <wps:cNvCnPr/>
                      <wps:spPr>
                        <a:xfrm>
                          <a:off x="0" y="0"/>
                          <a:ext cx="5702935" cy="0"/>
                        </a:xfrm>
                        <a:prstGeom prst="straightConnector1">
                          <a:avLst/>
                        </a:prstGeom>
                        <a:ln w="6350">
                          <a:solidFill/>
                        </a:ln>
                      </wps:spPr>
                      <wps:bodyPr/>
                    </wps:wsp>
                  </a:graphicData>
                </a:graphic>
              </wp:anchor>
            </w:drawing>
          </mc:Choice>
          <mc:Fallback>
            <w:pict>
              <v:shape o:spt="32" o:oned="true" path="m,l21600,21600e" style="position:absolute;margin-left:69.25pt;margin-top:73.400000000000006pt;width:449.05000000000001pt;height:0;z-index:-251658240;mso-position-horizontal-relative:page;mso-position-vertical-relative:page">
                <v:stroke weight="0.5pt"/>
              </v:shape>
            </w:pict>
          </mc:Fallback>
        </mc:AlternateContent>
      </w:r>
    </w:p>
    <w:p w14:paraId="4649D9C6" w14:textId="77777777" w:rsidR="00EC1C40" w:rsidRDefault="00000000">
      <w:pPr>
        <w:pStyle w:val="Zhlavnebozpat0"/>
        <w:framePr w:wrap="none" w:vAnchor="page" w:hAnchor="page" w:x="5192" w:y="1186"/>
      </w:pPr>
      <w:r>
        <w:t>Plánovací smlouva</w:t>
      </w:r>
    </w:p>
    <w:p w14:paraId="1A346303" w14:textId="77777777" w:rsidR="00EC1C40" w:rsidRDefault="00000000">
      <w:pPr>
        <w:pStyle w:val="Zkladntext1"/>
        <w:framePr w:w="10186" w:h="13205" w:hRule="exact" w:wrap="none" w:vAnchor="page" w:hAnchor="page" w:x="1213" w:y="1940"/>
        <w:ind w:left="1380"/>
        <w:jc w:val="both"/>
      </w:pPr>
      <w:r>
        <w:t>vydaných SMP) uplatní pouze v tom rozsahu, v jakém nejsou v rozporu s touto Smlouvou (respektive v rozsahu, v jakém se mohou subsidiárně k této Smlouvě uplatnit). Pro odstranění jakýchkoli pochybností si Smluvní strany s ohledem na výše uvedené potvrzují, že se nepoužijí následující ustanovení Zásad výstavby: (i) ustanovení čl. III. odst. 8, (</w:t>
      </w:r>
      <w:proofErr w:type="spellStart"/>
      <w:r>
        <w:t>ii</w:t>
      </w:r>
      <w:proofErr w:type="spellEnd"/>
      <w:r>
        <w:t>) ustanovení čl. IV. týkající se záruční doby, (</w:t>
      </w:r>
      <w:proofErr w:type="spellStart"/>
      <w:r>
        <w:t>iii</w:t>
      </w:r>
      <w:proofErr w:type="spellEnd"/>
      <w:r>
        <w:t>) ustanovení čl. IV. týkající se předání kolaudačního souhlasu či rozhodnutí jako podkladu pro převzetí Nepeněžního plnění (namísto toho bude předáno příslušné rozhodnutí o povolení užívání), (</w:t>
      </w:r>
      <w:proofErr w:type="spellStart"/>
      <w:r>
        <w:t>iv</w:t>
      </w:r>
      <w:proofErr w:type="spellEnd"/>
      <w:r>
        <w:t>) úprava týkající se předávání vodních děl (s ohledem na čl. 6.4 Smlouvy);</w:t>
      </w:r>
    </w:p>
    <w:p w14:paraId="66C73B03" w14:textId="77777777" w:rsidR="00EC1C40" w:rsidRDefault="00000000">
      <w:pPr>
        <w:pStyle w:val="Zkladntext1"/>
        <w:framePr w:w="10186" w:h="13205" w:hRule="exact" w:wrap="none" w:vAnchor="page" w:hAnchor="page" w:x="1213" w:y="1940"/>
        <w:numPr>
          <w:ilvl w:val="2"/>
          <w:numId w:val="3"/>
        </w:numPr>
        <w:tabs>
          <w:tab w:val="left" w:pos="1384"/>
        </w:tabs>
        <w:ind w:left="1380" w:hanging="740"/>
        <w:jc w:val="both"/>
      </w:pPr>
      <w:r>
        <w:t>Investor předloží DPZ každé části Nepeněžního plnění SMP k předběžnému projednání nejpozději čtyřicet pět (45) dnů před podáním žádosti o Povolení záměru. Pro každou část Nepeněžního plnění Investor vymezí pozemky, na kterých se bude nacházet a dále pozemky (jejich části), které bude Investor převádět do vlastnictví SMP. Smluvní strany si potvrzují, že DPZ ohledně Nepeněžního plnění (a obdobně Související infrastruktury) byla SMP předložena před uzavřením této Smlouvy, ze strany SMP zkontrolována a SMP s ní takto souhlasí;</w:t>
      </w:r>
    </w:p>
    <w:p w14:paraId="042FC287" w14:textId="77777777" w:rsidR="00EC1C40" w:rsidRDefault="00000000">
      <w:pPr>
        <w:pStyle w:val="Zkladntext1"/>
        <w:framePr w:w="10186" w:h="13205" w:hRule="exact" w:wrap="none" w:vAnchor="page" w:hAnchor="page" w:x="1213" w:y="1940"/>
        <w:numPr>
          <w:ilvl w:val="2"/>
          <w:numId w:val="3"/>
        </w:numPr>
        <w:tabs>
          <w:tab w:val="left" w:pos="1384"/>
        </w:tabs>
        <w:ind w:left="1380" w:hanging="740"/>
        <w:jc w:val="both"/>
      </w:pPr>
      <w:r>
        <w:t>Investor projedná parametry DPZ pro každou část Nepeněžního plnění prostřednictvím Koordinátora, který zajistí projednání s příslušnými subjekty podle čl. II Zásad výstavby. Žádost o projednání zašle Investor Koordinátorovi s odkazem na tento čl. 5.6 Smlouvy. Koordinátor zajistí distribuci žádosti všem relevantním odborům a subjektům, včetně například Odboru dopravy, Odboru životního prostředí, dopravce zajišťujícího městskou hromadnou dopravu, Služeb města Pardubic a.s., Odboru majetku a investic a dalších podle charakteru Nepeněžního plnění;</w:t>
      </w:r>
    </w:p>
    <w:p w14:paraId="37465FC1" w14:textId="77777777" w:rsidR="00EC1C40" w:rsidRDefault="00000000">
      <w:pPr>
        <w:pStyle w:val="Zkladntext1"/>
        <w:framePr w:w="10186" w:h="13205" w:hRule="exact" w:wrap="none" w:vAnchor="page" w:hAnchor="page" w:x="1213" w:y="1940"/>
        <w:numPr>
          <w:ilvl w:val="2"/>
          <w:numId w:val="3"/>
        </w:numPr>
        <w:tabs>
          <w:tab w:val="left" w:pos="1384"/>
        </w:tabs>
        <w:ind w:left="1380" w:hanging="740"/>
        <w:jc w:val="both"/>
      </w:pPr>
      <w:r>
        <w:t>SMP prostřednictvím Koordinátora vydá v souladu s požadavky čl. II Zásad výstavby stanovisko k předloženému návrhu Nepeněžního plnění do čtyřiceti pěti (45) dnů od doručení DPZ. Stanovisko bude obsahovat buď souhlas s navrhovaným řešením, nebo relevantní připomínky. Smluvní strany si s ohledem na čl. 5.6.2 Smlouvy potvrzují, že SMP s předloženou DPZ souhlasí;</w:t>
      </w:r>
    </w:p>
    <w:p w14:paraId="21D4371F" w14:textId="77777777" w:rsidR="00EC1C40" w:rsidRDefault="00000000">
      <w:pPr>
        <w:pStyle w:val="Zkladntext1"/>
        <w:framePr w:w="10186" w:h="13205" w:hRule="exact" w:wrap="none" w:vAnchor="page" w:hAnchor="page" w:x="1213" w:y="1940"/>
        <w:numPr>
          <w:ilvl w:val="2"/>
          <w:numId w:val="3"/>
        </w:numPr>
        <w:tabs>
          <w:tab w:val="left" w:pos="1384"/>
        </w:tabs>
        <w:ind w:left="1380" w:hanging="740"/>
        <w:jc w:val="both"/>
      </w:pPr>
      <w:r>
        <w:t>Investor vypořádá případné relevantní připomínky (tj. upozornění SMP na nesoulad Nepeněžního plnění s požadavky této Smlouvy) a zapracuje do projektové dokumentace;</w:t>
      </w:r>
    </w:p>
    <w:p w14:paraId="65536917" w14:textId="77777777" w:rsidR="00EC1C40" w:rsidRDefault="00000000">
      <w:pPr>
        <w:pStyle w:val="Zkladntext1"/>
        <w:framePr w:w="10186" w:h="13205" w:hRule="exact" w:wrap="none" w:vAnchor="page" w:hAnchor="page" w:x="1213" w:y="1940"/>
        <w:numPr>
          <w:ilvl w:val="2"/>
          <w:numId w:val="3"/>
        </w:numPr>
        <w:tabs>
          <w:tab w:val="left" w:pos="1384"/>
        </w:tabs>
        <w:ind w:left="1380" w:hanging="740"/>
        <w:jc w:val="both"/>
      </w:pPr>
      <w:r>
        <w:t>Obdobně dle čl. 5.6.1 až 5.6.5 bude postupováno v případě změn oproti odsouhlasené či připomínkované DPZ k Nepeněžnímu plnění, a rovněž v případě změn v dalších stupních projektové dokumentace či při provádění stavby, ledaže se jedná o pouze nepodstatné změny (tj. změny, které nemají dopad na funkci Nepeněžního plnění, a mají stejné nebo obdobné vlastnosti, včetně zpřesňování jeho finálního umístění);</w:t>
      </w:r>
    </w:p>
    <w:p w14:paraId="4BF38679" w14:textId="77777777" w:rsidR="00EC1C40" w:rsidRDefault="00000000">
      <w:pPr>
        <w:pStyle w:val="Zkladntext1"/>
        <w:framePr w:w="10186" w:h="13205" w:hRule="exact" w:wrap="none" w:vAnchor="page" w:hAnchor="page" w:x="1213" w:y="1940"/>
        <w:numPr>
          <w:ilvl w:val="2"/>
          <w:numId w:val="3"/>
        </w:numPr>
        <w:tabs>
          <w:tab w:val="left" w:pos="1384"/>
        </w:tabs>
        <w:ind w:left="1380" w:hanging="740"/>
        <w:jc w:val="both"/>
      </w:pPr>
      <w:r>
        <w:t>SMP vystaví po dokončení příslušné části Nepeněžního plnění v souladu s čl. III odst. 6 Zásad výstavby na základě výzvy Investora protokol potvrzující, že Nepeněžní plnění bylo vybudováno v souladu se Zásadami výstavby, ke dni uzavření Smlouvy stanovenými požadavky SMP a touto Smlouvou. Protokol bude podepsán také Koordinátorem. V případě částí Nepeněžního plnění zahrnujících veřejné osvětlení je podmínkou pro vydání protokolu dle předchozí věty rovněž splnění požadavků dle čl. II odst. 2 písm. c) Zásad výstavby. Tento protokol je předpokladem pro převod Nepeněžního plnění podle čl. 5.4 této Smlouvy; a</w:t>
      </w:r>
    </w:p>
    <w:p w14:paraId="587AB81B" w14:textId="77777777" w:rsidR="00EC1C40" w:rsidRDefault="00000000">
      <w:pPr>
        <w:pStyle w:val="Zkladntext1"/>
        <w:framePr w:w="10186" w:h="13205" w:hRule="exact" w:wrap="none" w:vAnchor="page" w:hAnchor="page" w:x="1213" w:y="1940"/>
        <w:numPr>
          <w:ilvl w:val="2"/>
          <w:numId w:val="3"/>
        </w:numPr>
        <w:tabs>
          <w:tab w:val="left" w:pos="1384"/>
        </w:tabs>
        <w:spacing w:after="0"/>
        <w:ind w:left="1380" w:hanging="740"/>
        <w:jc w:val="both"/>
      </w:pPr>
      <w:r>
        <w:t>SMP se zavazuje za předpokladu splnění všech předpokladů dle čl. 5.4. Smlouvy převzít příslušné části Nepeněžního plnění a zahájit jejich provozování nejpozději do uplynutí lhůty pro uzavření příslušné kupní smlouvy (čl. 5.4.2).</w:t>
      </w:r>
    </w:p>
    <w:p w14:paraId="76F5D014" w14:textId="77777777" w:rsidR="00EC1C40" w:rsidRDefault="00000000">
      <w:pPr>
        <w:pStyle w:val="Zhlavnebozpat0"/>
        <w:framePr w:wrap="none" w:vAnchor="page" w:hAnchor="page" w:x="5547" w:y="16085"/>
        <w:rPr>
          <w:sz w:val="22"/>
          <w:szCs w:val="22"/>
        </w:rPr>
      </w:pPr>
      <w:r>
        <w:rPr>
          <w:color w:val="231E20"/>
          <w:sz w:val="22"/>
          <w:szCs w:val="22"/>
        </w:rPr>
        <w:t>21/63</w:t>
      </w:r>
    </w:p>
    <w:p w14:paraId="4F3C7B29"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5E4DC350" w14:textId="77777777" w:rsidR="00EC1C40" w:rsidRDefault="00000000">
      <w:pPr>
        <w:spacing w:line="1" w:lineRule="exact"/>
      </w:pPr>
      <w:r>
        <w:rPr>
          <w:noProof/>
        </w:rPr>
        <w:lastRenderedPageBreak/>
        <mc:AlternateContent>
          <mc:Choice Requires="wps">
            <w:drawing>
              <wp:anchor distT="0" distB="0" distL="114300" distR="114300" simplePos="0" relativeHeight="251604480" behindDoc="1" locked="0" layoutInCell="1" allowOverlap="1" wp14:anchorId="0449F02C" wp14:editId="238F7492">
                <wp:simplePos x="0" y="0"/>
                <wp:positionH relativeFrom="page">
                  <wp:posOffset>879475</wp:posOffset>
                </wp:positionH>
                <wp:positionV relativeFrom="page">
                  <wp:posOffset>932180</wp:posOffset>
                </wp:positionV>
                <wp:extent cx="5702935" cy="0"/>
                <wp:effectExtent l="0" t="0" r="0" b="0"/>
                <wp:wrapNone/>
                <wp:docPr id="21" name="Shape 21"/>
                <wp:cNvGraphicFramePr/>
                <a:graphic xmlns:a="http://schemas.openxmlformats.org/drawingml/2006/main">
                  <a:graphicData uri="http://schemas.microsoft.com/office/word/2010/wordprocessingShape">
                    <wps:wsp>
                      <wps:cNvCnPr/>
                      <wps:spPr>
                        <a:xfrm>
                          <a:off x="0" y="0"/>
                          <a:ext cx="5702935" cy="0"/>
                        </a:xfrm>
                        <a:prstGeom prst="straightConnector1">
                          <a:avLst/>
                        </a:prstGeom>
                        <a:ln w="6350">
                          <a:solidFill/>
                        </a:ln>
                      </wps:spPr>
                      <wps:bodyPr/>
                    </wps:wsp>
                  </a:graphicData>
                </a:graphic>
              </wp:anchor>
            </w:drawing>
          </mc:Choice>
          <mc:Fallback>
            <w:pict>
              <v:shape o:spt="32" o:oned="true" path="m,l21600,21600e" style="position:absolute;margin-left:69.25pt;margin-top:73.400000000000006pt;width:449.05000000000001pt;height:0;z-index:-251658240;mso-position-horizontal-relative:page;mso-position-vertical-relative:page">
                <v:stroke weight="0.5pt"/>
              </v:shape>
            </w:pict>
          </mc:Fallback>
        </mc:AlternateContent>
      </w:r>
    </w:p>
    <w:p w14:paraId="684AB1B9" w14:textId="77777777" w:rsidR="00EC1C40" w:rsidRDefault="00000000">
      <w:pPr>
        <w:pStyle w:val="Zhlavnebozpat0"/>
        <w:framePr w:wrap="none" w:vAnchor="page" w:hAnchor="page" w:x="5192" w:y="1186"/>
      </w:pPr>
      <w:r>
        <w:t>Plánovací smlouva</w:t>
      </w:r>
    </w:p>
    <w:p w14:paraId="1490E1FF" w14:textId="77777777" w:rsidR="00EC1C40" w:rsidRDefault="00000000">
      <w:pPr>
        <w:pStyle w:val="Zkladntext1"/>
        <w:framePr w:w="10186" w:h="13003" w:hRule="exact" w:wrap="none" w:vAnchor="page" w:hAnchor="page" w:x="1213" w:y="1940"/>
        <w:numPr>
          <w:ilvl w:val="1"/>
          <w:numId w:val="3"/>
        </w:numPr>
        <w:tabs>
          <w:tab w:val="left" w:pos="575"/>
        </w:tabs>
        <w:ind w:left="640" w:hanging="640"/>
        <w:jc w:val="both"/>
      </w:pPr>
      <w:r>
        <w:t>V případě realizace a převodu Nepeněžního plnění poskytne Investor SMP záruky, a to s délkou trvání minimálně třicet šest (36) měsíců ode dne převzetí příslušné části Nepeněžního plnění ze strany SMP; v případě, kdy SMP oprávněně odmítne Nepeněžní plnění převzít z důvodu jeho rozporu s touto Smlouvou nebo z důvodu vad či nedodělků ve smyslu čl. 5.4.3 této Smlouvy, běží záruční doba od okamžiku skutečného převzetí Nepeněžního plnění SMP po odstranění těchto nedostatků. V případě, kdy SMP odmítne v rozporu se svými povinnostmi dle této Smlouvy Nepeněžní plnění převzít, ačkoli bylo řádně dokončeno v souladu s touto Smlouvou, běží záruční doba od okamžiku, kdy mělo být Nepeněžní plnění řádně převzato. Toto ustanovení se neuplatní pro Nepeněžní plnění uvedené v čl. 5.5 této Smlouvy (tj. na toto Nepeněžní plnění Investor záruky neposkytuje). Investor bude až do převzetí Nepeněžního plnění ze strany SMP aktivně uplatňovat práva ze záruky vůči zhotoviteli.</w:t>
      </w:r>
    </w:p>
    <w:p w14:paraId="153ABAAC" w14:textId="77777777" w:rsidR="00EC1C40" w:rsidRDefault="00000000">
      <w:pPr>
        <w:pStyle w:val="Zkladntext1"/>
        <w:framePr w:w="10186" w:h="13003" w:hRule="exact" w:wrap="none" w:vAnchor="page" w:hAnchor="page" w:x="1213" w:y="1940"/>
        <w:numPr>
          <w:ilvl w:val="1"/>
          <w:numId w:val="3"/>
        </w:numPr>
        <w:tabs>
          <w:tab w:val="left" w:pos="575"/>
        </w:tabs>
        <w:ind w:left="640" w:hanging="640"/>
        <w:jc w:val="both"/>
      </w:pPr>
      <w:r>
        <w:t>SMP není oprávněno uplatnit u Investora jako práva z vadného plnění odstoupení od kupní smlouvy.</w:t>
      </w:r>
    </w:p>
    <w:p w14:paraId="09181375" w14:textId="77777777" w:rsidR="00EC1C40" w:rsidRDefault="00000000">
      <w:pPr>
        <w:pStyle w:val="Zkladntext1"/>
        <w:framePr w:w="10186" w:h="13003" w:hRule="exact" w:wrap="none" w:vAnchor="page" w:hAnchor="page" w:x="1213" w:y="1940"/>
        <w:numPr>
          <w:ilvl w:val="1"/>
          <w:numId w:val="3"/>
        </w:numPr>
        <w:tabs>
          <w:tab w:val="left" w:pos="575"/>
        </w:tabs>
        <w:ind w:left="640" w:hanging="640"/>
        <w:jc w:val="both"/>
      </w:pPr>
      <w:r>
        <w:t>Správu a údržbu vybudovaného Nepeněžního plnění do doby jeho převzetí do majetku SMP zajišťuje v plném rozsahu Investor.</w:t>
      </w:r>
    </w:p>
    <w:p w14:paraId="7BAF211A" w14:textId="77777777" w:rsidR="00EC1C40" w:rsidRDefault="00000000">
      <w:pPr>
        <w:pStyle w:val="Zkladntext1"/>
        <w:framePr w:w="10186" w:h="13003" w:hRule="exact" w:wrap="none" w:vAnchor="page" w:hAnchor="page" w:x="1213" w:y="1940"/>
        <w:numPr>
          <w:ilvl w:val="1"/>
          <w:numId w:val="3"/>
        </w:numPr>
        <w:tabs>
          <w:tab w:val="left" w:pos="575"/>
        </w:tabs>
        <w:ind w:left="640" w:hanging="640"/>
        <w:jc w:val="both"/>
      </w:pPr>
      <w:r>
        <w:t xml:space="preserve">SMP se zavazuje za podmínek sjednaných v této Smlouvě uzavřít jednotlivé kupní smlouvy na převod Nepeněžního plnění, převzít příslušné části Nepeněžního plnění a Nepeněžní plnění řádně provozovat a spravovat v souladu s jeho účelem, popřípadě toto provozování a správu zajistit prostřednictvím příslušných provozovatelů veřejné infrastruktury (vyjma </w:t>
      </w:r>
      <w:proofErr w:type="spellStart"/>
      <w:r>
        <w:t>Cykloparkingu</w:t>
      </w:r>
      <w:proofErr w:type="spellEnd"/>
      <w:r>
        <w:t>). SMP se zavazuje učinit příslušné kroky nezbytné k tomu, aby Nepeněžní plnění, které má povahu dopravní infrastruktury (komunikací), bylo bez zbytečného odkladu po nabytí vlastnictví ze strany SMP zařazeno do sítě místních komunikací (tedy do režimu obecného užívání).</w:t>
      </w:r>
    </w:p>
    <w:p w14:paraId="0895EC18" w14:textId="77777777" w:rsidR="00EC1C40" w:rsidRDefault="00000000">
      <w:pPr>
        <w:pStyle w:val="Nadpis60"/>
        <w:framePr w:w="10186" w:h="13003" w:hRule="exact" w:wrap="none" w:vAnchor="page" w:hAnchor="page" w:x="1213" w:y="1940"/>
        <w:numPr>
          <w:ilvl w:val="0"/>
          <w:numId w:val="3"/>
        </w:numPr>
        <w:tabs>
          <w:tab w:val="left" w:pos="575"/>
        </w:tabs>
      </w:pPr>
      <w:bookmarkStart w:id="5" w:name="bookmark10"/>
      <w:r>
        <w:t>Související infrastruktura</w:t>
      </w:r>
      <w:bookmarkEnd w:id="5"/>
    </w:p>
    <w:p w14:paraId="7A8EFBC1" w14:textId="77777777" w:rsidR="00EC1C40" w:rsidRDefault="00000000">
      <w:pPr>
        <w:pStyle w:val="Zkladntext1"/>
        <w:framePr w:w="10186" w:h="13003" w:hRule="exact" w:wrap="none" w:vAnchor="page" w:hAnchor="page" w:x="1213" w:y="1940"/>
        <w:numPr>
          <w:ilvl w:val="1"/>
          <w:numId w:val="3"/>
        </w:numPr>
        <w:tabs>
          <w:tab w:val="left" w:pos="575"/>
        </w:tabs>
        <w:ind w:left="640" w:hanging="640"/>
        <w:jc w:val="both"/>
      </w:pPr>
      <w:r>
        <w:t xml:space="preserve">Investor vybuduje v souvislosti s realizací Investičního záměru rovněž i Související infrastrukturu. Aktuálně předpokládaný rozsah Související infrastruktury je (spolu s Nepeněžním plněním) uveden v </w:t>
      </w:r>
      <w:r>
        <w:rPr>
          <w:u w:val="single"/>
        </w:rPr>
        <w:t>Příloze č. 18</w:t>
      </w:r>
      <w:r>
        <w:t xml:space="preserve"> (v rozsahu, v jakém má být převáděn na SMP) a dále graficky vyznačen v </w:t>
      </w:r>
      <w:r>
        <w:rPr>
          <w:u w:val="single"/>
        </w:rPr>
        <w:t>Příloze č. 19</w:t>
      </w:r>
      <w:r>
        <w:t xml:space="preserve"> této Smlouvy (jednotlivých výkresech této přílohy); tím není dotčena ta Související infrastruktura, která není v tuto chvíli známa či která není v rámci této přílohy vyznačena.</w:t>
      </w:r>
    </w:p>
    <w:p w14:paraId="5A5D0D4D" w14:textId="77777777" w:rsidR="00EC1C40" w:rsidRDefault="00000000">
      <w:pPr>
        <w:pStyle w:val="Zkladntext1"/>
        <w:framePr w:w="10186" w:h="13003" w:hRule="exact" w:wrap="none" w:vAnchor="page" w:hAnchor="page" w:x="1213" w:y="1940"/>
        <w:numPr>
          <w:ilvl w:val="1"/>
          <w:numId w:val="3"/>
        </w:numPr>
        <w:tabs>
          <w:tab w:val="left" w:pos="575"/>
        </w:tabs>
        <w:spacing w:after="220"/>
        <w:ind w:left="640" w:hanging="640"/>
        <w:jc w:val="both"/>
      </w:pPr>
      <w:r>
        <w:t>Investor má zájem na tom, aby SMP převzalo Související infrastrukturu do svého majetku a zajišťovalo v budoucnu její správu a údržbu a SMP se zavazuje Související infrastrukturu za dále stanovených podmínek převzít do svého vlastnictví. Na převzetí Související infrastruktury do majetku SMP se použije úprava převodu Nepeněžního plnění obdobně (zejména čl. 5.4 a čl. 5.6 Smlouvy), s následujícími upřesněními:</w:t>
      </w:r>
    </w:p>
    <w:p w14:paraId="3ED43C48" w14:textId="77777777" w:rsidR="00EC1C40" w:rsidRDefault="00000000">
      <w:pPr>
        <w:pStyle w:val="Zkladntext1"/>
        <w:framePr w:w="10186" w:h="13003" w:hRule="exact" w:wrap="none" w:vAnchor="page" w:hAnchor="page" w:x="1213" w:y="1940"/>
        <w:numPr>
          <w:ilvl w:val="2"/>
          <w:numId w:val="3"/>
        </w:numPr>
        <w:tabs>
          <w:tab w:val="left" w:pos="1384"/>
        </w:tabs>
        <w:spacing w:after="220"/>
        <w:ind w:left="1380" w:hanging="740"/>
        <w:jc w:val="both"/>
      </w:pPr>
      <w:r>
        <w:t>Investor předloží SMP dokumentaci obdobně dle čl. 5.6 Smlouvy;</w:t>
      </w:r>
    </w:p>
    <w:p w14:paraId="6F1972EA" w14:textId="77777777" w:rsidR="00EC1C40" w:rsidRDefault="00000000">
      <w:pPr>
        <w:pStyle w:val="Zkladntext1"/>
        <w:framePr w:w="10186" w:h="13003" w:hRule="exact" w:wrap="none" w:vAnchor="page" w:hAnchor="page" w:x="1213" w:y="1940"/>
        <w:numPr>
          <w:ilvl w:val="2"/>
          <w:numId w:val="3"/>
        </w:numPr>
        <w:tabs>
          <w:tab w:val="left" w:pos="1384"/>
        </w:tabs>
        <w:spacing w:after="220"/>
        <w:ind w:left="1380" w:hanging="740"/>
        <w:jc w:val="both"/>
      </w:pPr>
      <w:r>
        <w:t>Investor musí realizovat Související infrastrukturu v souladu s touto Smlouvou, zejména v souladu se Zásadami výstavby (v rozsahu, v jakém se dle této Smlouvy Zásady výstavby uplatní, viz např. čl. 5.6.1 této Smlouvy);</w:t>
      </w:r>
    </w:p>
    <w:p w14:paraId="3E5A7644" w14:textId="77777777" w:rsidR="00EC1C40" w:rsidRDefault="00000000">
      <w:pPr>
        <w:pStyle w:val="Zkladntext1"/>
        <w:framePr w:w="10186" w:h="13003" w:hRule="exact" w:wrap="none" w:vAnchor="page" w:hAnchor="page" w:x="1213" w:y="1940"/>
        <w:numPr>
          <w:ilvl w:val="2"/>
          <w:numId w:val="3"/>
        </w:numPr>
        <w:tabs>
          <w:tab w:val="left" w:pos="1384"/>
        </w:tabs>
        <w:spacing w:after="0"/>
        <w:ind w:left="1380" w:hanging="740"/>
        <w:jc w:val="both"/>
      </w:pPr>
      <w:r>
        <w:t>SMP může odmítnout převzetí jakékoli části Související infrastruktury do vlastnictví pokud: (i) daná Související infrastruktura vykazuje vady či nedodělky omezující její řádné užívání, nebo pokud (</w:t>
      </w:r>
      <w:proofErr w:type="spellStart"/>
      <w:r>
        <w:t>ii</w:t>
      </w:r>
      <w:proofErr w:type="spellEnd"/>
      <w:r>
        <w:t>) Související infrastruktura nesplňuje požadavky této Smlouvy, zejména Zásad výstavby (v rozsahu, v jakém se dle této Smlouvy Zásady výstavby uplatní, viz např. čl. 5.6.1 této Smlouvy); a/nebo (</w:t>
      </w:r>
      <w:proofErr w:type="spellStart"/>
      <w:r>
        <w:t>iii</w:t>
      </w:r>
      <w:proofErr w:type="spellEnd"/>
      <w:r>
        <w:t>) není doložena kompletní dokumentace dle čl. IV. Zásad výstavby (s modifikací dle čl. 5.6.1 této Smlouvy);</w:t>
      </w:r>
    </w:p>
    <w:p w14:paraId="2F77E0E7" w14:textId="77777777" w:rsidR="00EC1C40" w:rsidRDefault="00000000">
      <w:pPr>
        <w:pStyle w:val="Zhlavnebozpat0"/>
        <w:framePr w:wrap="none" w:vAnchor="page" w:hAnchor="page" w:x="5547" w:y="16085"/>
        <w:rPr>
          <w:sz w:val="22"/>
          <w:szCs w:val="22"/>
        </w:rPr>
      </w:pPr>
      <w:r>
        <w:rPr>
          <w:color w:val="231E20"/>
          <w:sz w:val="22"/>
          <w:szCs w:val="22"/>
        </w:rPr>
        <w:t>22/63</w:t>
      </w:r>
    </w:p>
    <w:p w14:paraId="24FBBB5C"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684F9029" w14:textId="77777777" w:rsidR="00EC1C40" w:rsidRDefault="00000000">
      <w:pPr>
        <w:spacing w:line="1" w:lineRule="exact"/>
      </w:pPr>
      <w:r>
        <w:rPr>
          <w:noProof/>
        </w:rPr>
        <w:lastRenderedPageBreak/>
        <mc:AlternateContent>
          <mc:Choice Requires="wps">
            <w:drawing>
              <wp:anchor distT="0" distB="0" distL="114300" distR="114300" simplePos="0" relativeHeight="251605504" behindDoc="1" locked="0" layoutInCell="1" allowOverlap="1" wp14:anchorId="5177BB70" wp14:editId="795E8C94">
                <wp:simplePos x="0" y="0"/>
                <wp:positionH relativeFrom="page">
                  <wp:posOffset>879475</wp:posOffset>
                </wp:positionH>
                <wp:positionV relativeFrom="page">
                  <wp:posOffset>932180</wp:posOffset>
                </wp:positionV>
                <wp:extent cx="5702935" cy="0"/>
                <wp:effectExtent l="0" t="0" r="0" b="0"/>
                <wp:wrapNone/>
                <wp:docPr id="22" name="Shape 22"/>
                <wp:cNvGraphicFramePr/>
                <a:graphic xmlns:a="http://schemas.openxmlformats.org/drawingml/2006/main">
                  <a:graphicData uri="http://schemas.microsoft.com/office/word/2010/wordprocessingShape">
                    <wps:wsp>
                      <wps:cNvCnPr/>
                      <wps:spPr>
                        <a:xfrm>
                          <a:off x="0" y="0"/>
                          <a:ext cx="5702935" cy="0"/>
                        </a:xfrm>
                        <a:prstGeom prst="straightConnector1">
                          <a:avLst/>
                        </a:prstGeom>
                        <a:ln w="6350">
                          <a:solidFill/>
                        </a:ln>
                      </wps:spPr>
                      <wps:bodyPr/>
                    </wps:wsp>
                  </a:graphicData>
                </a:graphic>
              </wp:anchor>
            </w:drawing>
          </mc:Choice>
          <mc:Fallback>
            <w:pict>
              <v:shape o:spt="32" o:oned="true" path="m,l21600,21600e" style="position:absolute;margin-left:69.25pt;margin-top:73.400000000000006pt;width:449.05000000000001pt;height:0;z-index:-251658240;mso-position-horizontal-relative:page;mso-position-vertical-relative:page">
                <v:stroke weight="0.5pt"/>
              </v:shape>
            </w:pict>
          </mc:Fallback>
        </mc:AlternateContent>
      </w:r>
    </w:p>
    <w:p w14:paraId="4F5A69A2" w14:textId="77777777" w:rsidR="00EC1C40" w:rsidRDefault="00000000">
      <w:pPr>
        <w:pStyle w:val="Zhlavnebozpat0"/>
        <w:framePr w:wrap="none" w:vAnchor="page" w:hAnchor="page" w:x="5192" w:y="1186"/>
      </w:pPr>
      <w:r>
        <w:t>Plánovací smlouva</w:t>
      </w:r>
    </w:p>
    <w:p w14:paraId="5A93458A" w14:textId="77777777" w:rsidR="00EC1C40" w:rsidRDefault="00000000">
      <w:pPr>
        <w:pStyle w:val="Zkladntext1"/>
        <w:framePr w:w="10186" w:h="13416" w:hRule="exact" w:wrap="none" w:vAnchor="page" w:hAnchor="page" w:x="1213" w:y="1940"/>
        <w:numPr>
          <w:ilvl w:val="2"/>
          <w:numId w:val="3"/>
        </w:numPr>
        <w:tabs>
          <w:tab w:val="left" w:pos="1384"/>
        </w:tabs>
        <w:spacing w:after="240"/>
        <w:ind w:left="1380" w:hanging="740"/>
        <w:jc w:val="both"/>
      </w:pPr>
      <w:r>
        <w:t xml:space="preserve">Výčet Související infrastruktury v rozsahu, v jakém bude převáděn na SMP, je uveden </w:t>
      </w:r>
      <w:r>
        <w:rPr>
          <w:i/>
          <w:iCs/>
        </w:rPr>
        <w:t>v</w:t>
      </w:r>
      <w:r>
        <w:t xml:space="preserve"> </w:t>
      </w:r>
      <w:r>
        <w:rPr>
          <w:u w:val="single"/>
        </w:rPr>
        <w:t>Příloze č. 18</w:t>
      </w:r>
      <w:r>
        <w:t xml:space="preserve"> a graficky vyznačen v </w:t>
      </w:r>
      <w:r>
        <w:rPr>
          <w:u w:val="single"/>
        </w:rPr>
        <w:t>Příloze č. 19</w:t>
      </w:r>
      <w:r>
        <w:t>. Pro odstranění pochybností se výslovně sjednává, že pokud by Investor požadoval převést na SMP i další Související infrastrukturu, která není vyznačena v těchto přílohách, má SMP právo vyhodnotit, zda takováto Související infrastruktura je veřejnou infrastrukturou a zda je tedy povinno ji (za splnění dalších podmínek dle Smlouvy) převzít či nikoli;</w:t>
      </w:r>
    </w:p>
    <w:p w14:paraId="5EDFA93B" w14:textId="77777777" w:rsidR="00EC1C40" w:rsidRDefault="00000000">
      <w:pPr>
        <w:pStyle w:val="Zkladntext1"/>
        <w:framePr w:w="10186" w:h="13416" w:hRule="exact" w:wrap="none" w:vAnchor="page" w:hAnchor="page" w:x="1213" w:y="1940"/>
        <w:numPr>
          <w:ilvl w:val="2"/>
          <w:numId w:val="3"/>
        </w:numPr>
        <w:tabs>
          <w:tab w:val="left" w:pos="1384"/>
        </w:tabs>
        <w:spacing w:after="240"/>
        <w:ind w:left="1380" w:hanging="740"/>
        <w:jc w:val="both"/>
      </w:pPr>
      <w:r>
        <w:t>Související infrastrukturu v rozsahu, ve kterém bude převáděna na SMP, převede Investor na SMP po jednotlivých logických celcích (ucelených částech) a v souladu se Zásadami výstavby (v rozsahu, v jakém se dle této Smlouvy Zásady výstavby uplatní, viz např. čl. 5.6.1 této Smlouvy), a to za stejných podmínek, za jakých je převáděno Nepeněžní plnění; ustanovení čl. 5.4 a 5.6 a čl. 5.7 až čl. 5.10 Smlouvy se použijí na Související infrastrukturu obdobně;</w:t>
      </w:r>
    </w:p>
    <w:p w14:paraId="456C1E11" w14:textId="77777777" w:rsidR="00EC1C40" w:rsidRDefault="00000000">
      <w:pPr>
        <w:pStyle w:val="Zkladntext1"/>
        <w:framePr w:w="10186" w:h="13416" w:hRule="exact" w:wrap="none" w:vAnchor="page" w:hAnchor="page" w:x="1213" w:y="1940"/>
        <w:numPr>
          <w:ilvl w:val="2"/>
          <w:numId w:val="3"/>
        </w:numPr>
        <w:tabs>
          <w:tab w:val="left" w:pos="1384"/>
        </w:tabs>
        <w:spacing w:after="240"/>
        <w:ind w:left="1380" w:hanging="740"/>
        <w:jc w:val="both"/>
      </w:pPr>
      <w:r>
        <w:t>Související infrastruktura (její příslušná část) bude v souladu se Zásadami výstavby převedena do vlastnictví SMP vždy včetně pozemků (jejich částí), na nichž je Související infrastruktura umístěna, s výjimkou: (i) pozemků, které již vlastní SMP a Investor Související infrastrukturu na nich buduje na základě Výpůjčky či jiného titulu poskytnutého pro tyto účely SMP, nebo (</w:t>
      </w:r>
      <w:proofErr w:type="spellStart"/>
      <w:r>
        <w:t>ii</w:t>
      </w:r>
      <w:proofErr w:type="spellEnd"/>
      <w:r>
        <w:t>) pozemků ve vlastnictví třetích osob, nebo (</w:t>
      </w:r>
      <w:proofErr w:type="spellStart"/>
      <w:r>
        <w:t>iii</w:t>
      </w:r>
      <w:proofErr w:type="spellEnd"/>
      <w:r>
        <w:t>) pozemků (jejich částí), které jsou a mají zůstat součástí areálu Investičního záměru, tj. ve vlastnictví Investora (týká se např. vodovodního/kanalizačního řadu včetně kanalizační jímky a přečerpávací stanice); v případech dle bodu (</w:t>
      </w:r>
      <w:proofErr w:type="spellStart"/>
      <w:r>
        <w:t>ii</w:t>
      </w:r>
      <w:proofErr w:type="spellEnd"/>
      <w:r>
        <w:t>) a (</w:t>
      </w:r>
      <w:proofErr w:type="spellStart"/>
      <w:r>
        <w:t>iii</w:t>
      </w:r>
      <w:proofErr w:type="spellEnd"/>
      <w:r>
        <w:t xml:space="preserve">) zřídí Investor ve prospěch SMP (nebo příslušného správce/provozovatele infrastruktury) služebnost „in </w:t>
      </w:r>
      <w:proofErr w:type="spellStart"/>
      <w:r>
        <w:t>rem</w:t>
      </w:r>
      <w:proofErr w:type="spellEnd"/>
      <w:r>
        <w:t>” umožňující umístění, provoz, údržbu a úpravy dané Související infrastruktury na dobu neurčitou;</w:t>
      </w:r>
    </w:p>
    <w:p w14:paraId="5FCA3FA6" w14:textId="77777777" w:rsidR="00EC1C40" w:rsidRDefault="00000000">
      <w:pPr>
        <w:pStyle w:val="Zkladntext1"/>
        <w:framePr w:w="10186" w:h="13416" w:hRule="exact" w:wrap="none" w:vAnchor="page" w:hAnchor="page" w:x="1213" w:y="1940"/>
        <w:numPr>
          <w:ilvl w:val="2"/>
          <w:numId w:val="3"/>
        </w:numPr>
        <w:tabs>
          <w:tab w:val="left" w:pos="1384"/>
        </w:tabs>
        <w:spacing w:after="240"/>
        <w:ind w:left="1380" w:hanging="740"/>
        <w:jc w:val="both"/>
      </w:pPr>
      <w:r>
        <w:t xml:space="preserve">Předmětem převodu nebudou ty části Související infrastruktury, které se dotýkají primárně provozu areálu Investičního záměru, a jejichž rozsah stanoví Investor; aktuálně předpokládaný rozsah je uveden v </w:t>
      </w:r>
      <w:r>
        <w:rPr>
          <w:u w:val="single"/>
        </w:rPr>
        <w:t>Příloze č. 18</w:t>
      </w:r>
      <w:r>
        <w:t xml:space="preserve"> této Smlouvy a graficky vyznačen v </w:t>
      </w:r>
      <w:r>
        <w:rPr>
          <w:u w:val="single"/>
        </w:rPr>
        <w:t>Příloze č. 19</w:t>
      </w:r>
      <w:r>
        <w:t xml:space="preserve"> této Smlouvy. Tyto části Související infrastruktury zůstanou ve vlastnictví a správě Investora. SMP nebude přebírat pozemky (jejich části), na kterých se nachází Související infrastruktura dle předchozí věty, avšak budou-li na těchto pozemcích umístěny i části Související infrastruktury určené k převodu na SMP, zřídí Investor služebnost „in </w:t>
      </w:r>
      <w:proofErr w:type="spellStart"/>
      <w:r>
        <w:t>rem</w:t>
      </w:r>
      <w:proofErr w:type="spellEnd"/>
      <w:r>
        <w:t>” postupem dle čl. 6.2.6 výše;</w:t>
      </w:r>
    </w:p>
    <w:p w14:paraId="6CF8BC76" w14:textId="77777777" w:rsidR="00EC1C40" w:rsidRDefault="00000000">
      <w:pPr>
        <w:pStyle w:val="Zkladntext1"/>
        <w:framePr w:w="10186" w:h="13416" w:hRule="exact" w:wrap="none" w:vAnchor="page" w:hAnchor="page" w:x="1213" w:y="1940"/>
        <w:numPr>
          <w:ilvl w:val="2"/>
          <w:numId w:val="3"/>
        </w:numPr>
        <w:tabs>
          <w:tab w:val="left" w:pos="1384"/>
        </w:tabs>
        <w:spacing w:after="240"/>
        <w:ind w:left="1380" w:hanging="740"/>
        <w:jc w:val="both"/>
      </w:pPr>
      <w:r>
        <w:t>Pro vyloučení jakýchkoli pochybností Smluvní strany konstatují, že vybudování Související infrastruktury není Nepeněžním plněním dle čl. 5 této Smlouvy a nelze ji tedy započíst proti Investičnímu příspěvku (a to včetně hodnoty pozemků Investorem předávaných SMP spolu se Související infrastrukturou). Investor se zavazuje vybudovat Související infrastrukturu svým jménem, na své náklady a na svoji odpovědnost. Investor nebude po SMP požadovat úhradu těchto nákladů; a</w:t>
      </w:r>
    </w:p>
    <w:p w14:paraId="1D62F00F" w14:textId="77777777" w:rsidR="00EC1C40" w:rsidRDefault="00000000">
      <w:pPr>
        <w:pStyle w:val="Zkladntext1"/>
        <w:framePr w:w="10186" w:h="13416" w:hRule="exact" w:wrap="none" w:vAnchor="page" w:hAnchor="page" w:x="1213" w:y="1940"/>
        <w:numPr>
          <w:ilvl w:val="2"/>
          <w:numId w:val="3"/>
        </w:numPr>
        <w:tabs>
          <w:tab w:val="left" w:pos="1384"/>
        </w:tabs>
        <w:spacing w:after="120"/>
        <w:ind w:left="1380" w:hanging="740"/>
        <w:jc w:val="both"/>
      </w:pPr>
      <w:r>
        <w:t>Investor poskytne SMP záruky s délkou trvání minimálně třicet šest (36) měsíců, a to za podmínek uvedených v čl. 5.7 této Smlouvy.</w:t>
      </w:r>
    </w:p>
    <w:p w14:paraId="77A02638" w14:textId="77777777" w:rsidR="00EC1C40" w:rsidRDefault="00000000">
      <w:pPr>
        <w:pStyle w:val="Zkladntext1"/>
        <w:framePr w:w="10186" w:h="13416" w:hRule="exact" w:wrap="none" w:vAnchor="page" w:hAnchor="page" w:x="1213" w:y="1940"/>
        <w:numPr>
          <w:ilvl w:val="1"/>
          <w:numId w:val="3"/>
        </w:numPr>
        <w:tabs>
          <w:tab w:val="left" w:pos="576"/>
        </w:tabs>
        <w:spacing w:after="0"/>
        <w:ind w:left="640" w:hanging="640"/>
        <w:jc w:val="both"/>
      </w:pPr>
      <w:r>
        <w:t xml:space="preserve">Smluvní strany jsou si vědomy, že rozsah a podoba Související infrastruktury se bude dále upřesňovat a měnit zejména v závislosti na pokračujícím projektování Investičního záměru a navazujících povolovacích procesech, přičemž její finální rozsah stanoví Investor (tj. rozsah Související infrastruktury graficky vyznačený v této </w:t>
      </w:r>
      <w:r>
        <w:rPr>
          <w:u w:val="single"/>
        </w:rPr>
        <w:t>Příloze č. 19</w:t>
      </w:r>
      <w:r>
        <w:t xml:space="preserve"> této Smlouvy nemusí být s ohledem na aktuální stupeň přípravy projektu úplný a bude dále upřesňován či doplňován), přičemž Investor bude postupovat v souladu s postupem sjednaným v čl. 6.2. Pro odstranění</w:t>
      </w:r>
    </w:p>
    <w:p w14:paraId="55E72A14" w14:textId="77777777" w:rsidR="00EC1C40" w:rsidRDefault="00000000">
      <w:pPr>
        <w:pStyle w:val="Zhlavnebozpat0"/>
        <w:framePr w:wrap="none" w:vAnchor="page" w:hAnchor="page" w:x="5547" w:y="16085"/>
        <w:rPr>
          <w:sz w:val="22"/>
          <w:szCs w:val="22"/>
        </w:rPr>
      </w:pPr>
      <w:r>
        <w:rPr>
          <w:color w:val="231E20"/>
          <w:sz w:val="22"/>
          <w:szCs w:val="22"/>
        </w:rPr>
        <w:t>23/63</w:t>
      </w:r>
    </w:p>
    <w:p w14:paraId="2046254C"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3E119AE4" w14:textId="77777777" w:rsidR="00EC1C40" w:rsidRDefault="00000000">
      <w:pPr>
        <w:spacing w:line="1" w:lineRule="exact"/>
      </w:pPr>
      <w:r>
        <w:rPr>
          <w:noProof/>
        </w:rPr>
        <w:lastRenderedPageBreak/>
        <mc:AlternateContent>
          <mc:Choice Requires="wps">
            <w:drawing>
              <wp:anchor distT="0" distB="0" distL="114300" distR="114300" simplePos="0" relativeHeight="251606528" behindDoc="1" locked="0" layoutInCell="1" allowOverlap="1" wp14:anchorId="3B440240" wp14:editId="3B172E16">
                <wp:simplePos x="0" y="0"/>
                <wp:positionH relativeFrom="page">
                  <wp:posOffset>879475</wp:posOffset>
                </wp:positionH>
                <wp:positionV relativeFrom="page">
                  <wp:posOffset>932180</wp:posOffset>
                </wp:positionV>
                <wp:extent cx="5702935" cy="0"/>
                <wp:effectExtent l="0" t="0" r="0" b="0"/>
                <wp:wrapNone/>
                <wp:docPr id="23" name="Shape 23"/>
                <wp:cNvGraphicFramePr/>
                <a:graphic xmlns:a="http://schemas.openxmlformats.org/drawingml/2006/main">
                  <a:graphicData uri="http://schemas.microsoft.com/office/word/2010/wordprocessingShape">
                    <wps:wsp>
                      <wps:cNvCnPr/>
                      <wps:spPr>
                        <a:xfrm>
                          <a:off x="0" y="0"/>
                          <a:ext cx="5702935" cy="0"/>
                        </a:xfrm>
                        <a:prstGeom prst="straightConnector1">
                          <a:avLst/>
                        </a:prstGeom>
                        <a:ln w="6350">
                          <a:solidFill/>
                        </a:ln>
                      </wps:spPr>
                      <wps:bodyPr/>
                    </wps:wsp>
                  </a:graphicData>
                </a:graphic>
              </wp:anchor>
            </w:drawing>
          </mc:Choice>
          <mc:Fallback>
            <w:pict>
              <v:shape o:spt="32" o:oned="true" path="m,l21600,21600e" style="position:absolute;margin-left:69.25pt;margin-top:73.400000000000006pt;width:449.05000000000001pt;height:0;z-index:-251658240;mso-position-horizontal-relative:page;mso-position-vertical-relative:page">
                <v:stroke weight="0.5pt"/>
              </v:shape>
            </w:pict>
          </mc:Fallback>
        </mc:AlternateContent>
      </w:r>
    </w:p>
    <w:p w14:paraId="44700534" w14:textId="77777777" w:rsidR="00EC1C40" w:rsidRDefault="00000000">
      <w:pPr>
        <w:pStyle w:val="Zhlavnebozpat0"/>
        <w:framePr w:wrap="none" w:vAnchor="page" w:hAnchor="page" w:x="5192" w:y="1186"/>
      </w:pPr>
      <w:r>
        <w:t>Plánovací smlouva</w:t>
      </w:r>
    </w:p>
    <w:p w14:paraId="188476B5" w14:textId="77777777" w:rsidR="00EC1C40" w:rsidRDefault="00000000">
      <w:pPr>
        <w:pStyle w:val="Zkladntext1"/>
        <w:framePr w:w="10186" w:h="13416" w:hRule="exact" w:wrap="none" w:vAnchor="page" w:hAnchor="page" w:x="1213" w:y="1940"/>
        <w:spacing w:after="240"/>
        <w:ind w:left="640"/>
        <w:jc w:val="both"/>
      </w:pPr>
      <w:r>
        <w:t>jakýchkoli pochybností se výslovně uvádí, že Související infrastruktura, která bude převedena na SMP, je dopravní nebo technickou infrastrukturou dle čl. I odst. 4 Zásad.</w:t>
      </w:r>
    </w:p>
    <w:p w14:paraId="2CCAB6ED" w14:textId="77777777" w:rsidR="00EC1C40" w:rsidRDefault="00000000">
      <w:pPr>
        <w:pStyle w:val="Zkladntext1"/>
        <w:framePr w:w="10186" w:h="13416" w:hRule="exact" w:wrap="none" w:vAnchor="page" w:hAnchor="page" w:x="1213" w:y="1940"/>
        <w:numPr>
          <w:ilvl w:val="1"/>
          <w:numId w:val="3"/>
        </w:numPr>
        <w:tabs>
          <w:tab w:val="left" w:pos="564"/>
        </w:tabs>
        <w:ind w:left="640" w:hanging="640"/>
        <w:jc w:val="both"/>
      </w:pPr>
      <w:r>
        <w:t>Smluvní strany berou na vědomí, že s ohledem na uzavření smlouvy o spolupráci mezi SMP, Investorem a Vodovody a kanalizace Pardubice, a. s., IČ: 60108631, se sídlem Teplého 2014, Zelené Předměstí, 530 02 Pardubice, která podrobným způsobem upravuje realizaci a převzetí vodárenské infrastruktury (kanalizace, vodovody), se ustanovení této Smlouvy na realizaci a převzetí vodárenské infrastruktury použijí pouze tehdy, pokud smlouva o spolupráci nebude mít speciální úpravu.</w:t>
      </w:r>
    </w:p>
    <w:p w14:paraId="77D86C46" w14:textId="77777777" w:rsidR="00EC1C40" w:rsidRDefault="00000000">
      <w:pPr>
        <w:pStyle w:val="Nadpis60"/>
        <w:framePr w:w="10186" w:h="13416" w:hRule="exact" w:wrap="none" w:vAnchor="page" w:hAnchor="page" w:x="1213" w:y="1940"/>
        <w:numPr>
          <w:ilvl w:val="0"/>
          <w:numId w:val="3"/>
        </w:numPr>
        <w:tabs>
          <w:tab w:val="left" w:pos="564"/>
        </w:tabs>
      </w:pPr>
      <w:bookmarkStart w:id="6" w:name="bookmark12"/>
      <w:r>
        <w:t>Součinnost Smluvních stran sjednaná na základě této Smlouvy</w:t>
      </w:r>
      <w:bookmarkEnd w:id="6"/>
    </w:p>
    <w:p w14:paraId="44BEB2E3" w14:textId="77777777" w:rsidR="00EC1C40" w:rsidRDefault="00000000">
      <w:pPr>
        <w:pStyle w:val="Zkladntext1"/>
        <w:framePr w:w="10186" w:h="13416" w:hRule="exact" w:wrap="none" w:vAnchor="page" w:hAnchor="page" w:x="1213" w:y="1940"/>
        <w:numPr>
          <w:ilvl w:val="1"/>
          <w:numId w:val="3"/>
        </w:numPr>
        <w:tabs>
          <w:tab w:val="left" w:pos="564"/>
        </w:tabs>
        <w:ind w:left="640" w:hanging="640"/>
        <w:jc w:val="both"/>
      </w:pPr>
      <w:r>
        <w:t>SMP již před uzavřením této Smlouvy poskytlo Investorovi součinnost v rámci přípravy Investičního záměru, jak je shrnuto dále. SMP se touto Smlouvou zavazuje ve smyslu § 130 Stavebního zákona poskytnout Investorovi součinnost v rámci své samostatné působnosti pro realizaci Investičního záměru a přebírá tomu odpovídající závazky dle § 131 odst. 1 Stavebního zákona, to vše v dále uvedeném rozsahu a za podmínek sjednaných níže v této Smlouvě.</w:t>
      </w:r>
    </w:p>
    <w:p w14:paraId="62E1993C" w14:textId="77777777" w:rsidR="00EC1C40" w:rsidRDefault="00000000">
      <w:pPr>
        <w:pStyle w:val="Zkladntext1"/>
        <w:framePr w:w="10186" w:h="13416" w:hRule="exact" w:wrap="none" w:vAnchor="page" w:hAnchor="page" w:x="1213" w:y="1940"/>
        <w:ind w:firstLine="640"/>
      </w:pPr>
      <w:r>
        <w:rPr>
          <w:u w:val="single"/>
        </w:rPr>
        <w:t>Dříve poskytnutá součinnost</w:t>
      </w:r>
    </w:p>
    <w:p w14:paraId="03C08CC9" w14:textId="77777777" w:rsidR="00EC1C40" w:rsidRDefault="00000000">
      <w:pPr>
        <w:pStyle w:val="Zkladntext1"/>
        <w:framePr w:w="10186" w:h="13416" w:hRule="exact" w:wrap="none" w:vAnchor="page" w:hAnchor="page" w:x="1213" w:y="1940"/>
        <w:numPr>
          <w:ilvl w:val="1"/>
          <w:numId w:val="3"/>
        </w:numPr>
        <w:tabs>
          <w:tab w:val="left" w:pos="564"/>
        </w:tabs>
        <w:ind w:left="640" w:hanging="640"/>
        <w:jc w:val="both"/>
      </w:pPr>
      <w:r>
        <w:t>SMP již před uzavřením této Smlouvy činilo kroky, které byly nezbytné pro přípravu realizace Investičního záměru. SMP zejména přijalo XXII. Změnu ÚP a následně byla vypracovaná a registrovaná i Územní studie, vše za součinnosti a po projednání s Investorem. SMP také před uzavřením této Smlouvy projednalo s Investorem Smlouvu o výpůjčce, Směnnou smlouvu 1 a Smlouvu o smlouvě budoucí směnné.</w:t>
      </w:r>
    </w:p>
    <w:p w14:paraId="0CE5A369" w14:textId="77777777" w:rsidR="00EC1C40" w:rsidRDefault="00000000">
      <w:pPr>
        <w:pStyle w:val="Zkladntext1"/>
        <w:framePr w:w="10186" w:h="13416" w:hRule="exact" w:wrap="none" w:vAnchor="page" w:hAnchor="page" w:x="1213" w:y="1940"/>
        <w:spacing w:after="240"/>
        <w:ind w:firstLine="640"/>
      </w:pPr>
      <w:r>
        <w:rPr>
          <w:u w:val="single"/>
        </w:rPr>
        <w:t>Součinnost</w:t>
      </w:r>
    </w:p>
    <w:p w14:paraId="60BAA2F2" w14:textId="77777777" w:rsidR="00EC1C40" w:rsidRDefault="00000000">
      <w:pPr>
        <w:pStyle w:val="Zkladntext1"/>
        <w:framePr w:w="10186" w:h="13416" w:hRule="exact" w:wrap="none" w:vAnchor="page" w:hAnchor="page" w:x="1213" w:y="1940"/>
        <w:numPr>
          <w:ilvl w:val="1"/>
          <w:numId w:val="3"/>
        </w:numPr>
        <w:tabs>
          <w:tab w:val="left" w:pos="564"/>
        </w:tabs>
        <w:ind w:left="640" w:hanging="640"/>
        <w:jc w:val="both"/>
      </w:pPr>
      <w:r>
        <w:t>SMP poskytne Investorovi součinnost nezbytnou pro realizaci Investičního záměru, a to v rozsahu: (i) součinnost v rozsahu dle čl. 7.4 a násl. této Smlouvy, a dále (</w:t>
      </w:r>
      <w:proofErr w:type="spellStart"/>
      <w:r>
        <w:t>ii</w:t>
      </w:r>
      <w:proofErr w:type="spellEnd"/>
      <w:r>
        <w:t>) závazek neuplatňovat ve správních nebo soudních řízeních týkajících se povolení Investičního záměru návrhy, vyjádření, námitky a opravné prostředky dle čl. 7.8 a násl. této Smlouvy a (</w:t>
      </w:r>
      <w:proofErr w:type="spellStart"/>
      <w:r>
        <w:t>iii</w:t>
      </w:r>
      <w:proofErr w:type="spellEnd"/>
      <w:r>
        <w:t>) další součinnost sjednanou na základě této Smlouvy; tím není dotčena součinnost, kterou Smluvní strany dohodnou v rámci dalších smluv či dohod. Pro vyloučení jakýchkoli pochybností Smluvní strany konstatují, že SMP není v rámci nezbytné součinnosti oprávněno zasahovat do výkonu státní správy.</w:t>
      </w:r>
    </w:p>
    <w:p w14:paraId="730A19C5" w14:textId="77777777" w:rsidR="00EC1C40" w:rsidRDefault="00000000">
      <w:pPr>
        <w:pStyle w:val="Zkladntext1"/>
        <w:framePr w:w="10186" w:h="13416" w:hRule="exact" w:wrap="none" w:vAnchor="page" w:hAnchor="page" w:x="1213" w:y="1940"/>
        <w:numPr>
          <w:ilvl w:val="1"/>
          <w:numId w:val="3"/>
        </w:numPr>
        <w:tabs>
          <w:tab w:val="left" w:pos="564"/>
        </w:tabs>
        <w:ind w:left="640" w:hanging="640"/>
        <w:jc w:val="both"/>
      </w:pPr>
      <w:r>
        <w:t>SMP poskytne Investorovi součinnost k získání potřebných veřejnoprávních či jiných povolení, souhlasů, rozhodnutí, stanovisek či závazných stanovisek a/nebo jiných správních aktů a poskytne Investorovi nezbytnou součinnost ve správních řízeních a postupech týkajících se umístění a realizace Investičního záměru (zejména v řízeních a postupech dle Stavebního zákona, sektorových právních předpisů a v řízeních/postupech souvisejících, včetně případného řízení o posuzování vlivů na životní prostředí). Pokud tato součinnost vyžaduje aktivní jednání SMP (např. dle čl. 7.5 a 7.7. Smlouvy), bude tato součinnost poskytnuta vždy na základě předchozí výzvy Investora k poskytnutí konkrétní součinnosti ze strany SMP, a to ve lhůtě bez zbytečného odkladu. Pro odstranění pochybností se sjednává, že součinnost SMP dle tohoto čl. 7 Smlouvy zahrnuje i zajištění součinnosti ze strany příslušných osob (subjektů, korporací) v souladu s ustanovením čl. 25.5 Smlouvy (včetně Nadace, jak je tento pojem definován dále v této Smlouvě).</w:t>
      </w:r>
    </w:p>
    <w:p w14:paraId="658B7E12" w14:textId="77777777" w:rsidR="00EC1C40" w:rsidRDefault="00000000">
      <w:pPr>
        <w:pStyle w:val="Zkladntext1"/>
        <w:framePr w:w="10186" w:h="13416" w:hRule="exact" w:wrap="none" w:vAnchor="page" w:hAnchor="page" w:x="1213" w:y="1940"/>
        <w:numPr>
          <w:ilvl w:val="1"/>
          <w:numId w:val="3"/>
        </w:numPr>
        <w:tabs>
          <w:tab w:val="left" w:pos="564"/>
        </w:tabs>
        <w:spacing w:after="0"/>
        <w:ind w:left="640" w:hanging="640"/>
        <w:jc w:val="both"/>
      </w:pPr>
      <w:r>
        <w:t>SMP již přímo na základě této Smlouvy poskytuje Investorovi souhlas s realizací Investičního záměru; tento souhlas s realizací Investičního záměru zahrnuje i souhlas dle § 187 Stavebního zákona s realizací Investičního záměru, včetně Související infrastruktury a Nepeněžního plnění na Pozemcích ve vlastnictví SMP, které SMP poskytne Investorovi k užívání na základě Výpůjčky</w:t>
      </w:r>
    </w:p>
    <w:p w14:paraId="33705AC5" w14:textId="77777777" w:rsidR="00EC1C40" w:rsidRDefault="00000000">
      <w:pPr>
        <w:pStyle w:val="Zhlavnebozpat0"/>
        <w:framePr w:wrap="none" w:vAnchor="page" w:hAnchor="page" w:x="5547" w:y="16085"/>
        <w:rPr>
          <w:sz w:val="22"/>
          <w:szCs w:val="22"/>
        </w:rPr>
      </w:pPr>
      <w:r>
        <w:rPr>
          <w:color w:val="231E20"/>
          <w:sz w:val="22"/>
          <w:szCs w:val="22"/>
        </w:rPr>
        <w:t>24/63</w:t>
      </w:r>
    </w:p>
    <w:p w14:paraId="7857166C"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40042BCA" w14:textId="77777777" w:rsidR="00EC1C40" w:rsidRDefault="00000000">
      <w:pPr>
        <w:spacing w:line="1" w:lineRule="exact"/>
      </w:pPr>
      <w:r>
        <w:rPr>
          <w:noProof/>
        </w:rPr>
        <w:lastRenderedPageBreak/>
        <mc:AlternateContent>
          <mc:Choice Requires="wps">
            <w:drawing>
              <wp:anchor distT="0" distB="0" distL="114300" distR="114300" simplePos="0" relativeHeight="251607552" behindDoc="1" locked="0" layoutInCell="1" allowOverlap="1" wp14:anchorId="034FDDDC" wp14:editId="29FEE890">
                <wp:simplePos x="0" y="0"/>
                <wp:positionH relativeFrom="page">
                  <wp:posOffset>879475</wp:posOffset>
                </wp:positionH>
                <wp:positionV relativeFrom="page">
                  <wp:posOffset>932180</wp:posOffset>
                </wp:positionV>
                <wp:extent cx="5702935" cy="0"/>
                <wp:effectExtent l="0" t="0" r="0" b="0"/>
                <wp:wrapNone/>
                <wp:docPr id="24" name="Shape 24"/>
                <wp:cNvGraphicFramePr/>
                <a:graphic xmlns:a="http://schemas.openxmlformats.org/drawingml/2006/main">
                  <a:graphicData uri="http://schemas.microsoft.com/office/word/2010/wordprocessingShape">
                    <wps:wsp>
                      <wps:cNvCnPr/>
                      <wps:spPr>
                        <a:xfrm>
                          <a:off x="0" y="0"/>
                          <a:ext cx="5702935" cy="0"/>
                        </a:xfrm>
                        <a:prstGeom prst="straightConnector1">
                          <a:avLst/>
                        </a:prstGeom>
                        <a:ln w="6350">
                          <a:solidFill/>
                        </a:ln>
                      </wps:spPr>
                      <wps:bodyPr/>
                    </wps:wsp>
                  </a:graphicData>
                </a:graphic>
              </wp:anchor>
            </w:drawing>
          </mc:Choice>
          <mc:Fallback>
            <w:pict>
              <v:shape o:spt="32" o:oned="true" path="m,l21600,21600e" style="position:absolute;margin-left:69.25pt;margin-top:73.400000000000006pt;width:449.05000000000001pt;height:0;z-index:-251658240;mso-position-horizontal-relative:page;mso-position-vertical-relative:page">
                <v:stroke weight="0.5pt"/>
              </v:shape>
            </w:pict>
          </mc:Fallback>
        </mc:AlternateContent>
      </w:r>
    </w:p>
    <w:p w14:paraId="7B10B647" w14:textId="77777777" w:rsidR="00EC1C40" w:rsidRDefault="00000000">
      <w:pPr>
        <w:pStyle w:val="Zhlavnebozpat0"/>
        <w:framePr w:wrap="none" w:vAnchor="page" w:hAnchor="page" w:x="5192" w:y="1186"/>
      </w:pPr>
      <w:r>
        <w:t>Plánovací smlouva</w:t>
      </w:r>
    </w:p>
    <w:p w14:paraId="4B2DB016" w14:textId="77777777" w:rsidR="00EC1C40" w:rsidRDefault="00000000">
      <w:pPr>
        <w:pStyle w:val="Zkladntext1"/>
        <w:framePr w:w="10186" w:h="13003" w:hRule="exact" w:wrap="none" w:vAnchor="page" w:hAnchor="page" w:x="1213" w:y="1940"/>
        <w:ind w:left="640"/>
        <w:jc w:val="both"/>
      </w:pPr>
      <w:r>
        <w:t>či jiných smluv (včetně smluv o smlouvách budoucích týkajících se zřízení služebností pro umístění infrastruktury), včetně pozemků, které SMP nabyde do svého vlastnictví na základě Směnné smlouvy 1 či Směnné smlouvy 2, a to pro účely správních řízení a postupů; tento souhlas SMP vyznačí v souladu s § 187 Stavebního zákona na příslušném situačním výkresu dokumentace (situačním výkresu DPZ) a předá jej Investorovi do pěti (5) dnů od uzavření této Smlouvy. K výzvě Investora je SMP povinno tento souhlas udělit opětovně, a to ve formě požadované Investorem (např. pro účely správních řízení), a to do jednoho (1) měsíce od doručení příslušné žádosti Investora.</w:t>
      </w:r>
    </w:p>
    <w:p w14:paraId="32C92438" w14:textId="77777777" w:rsidR="00EC1C40" w:rsidRDefault="00000000">
      <w:pPr>
        <w:pStyle w:val="Zkladntext1"/>
        <w:framePr w:w="10186" w:h="13003" w:hRule="exact" w:wrap="none" w:vAnchor="page" w:hAnchor="page" w:x="1213" w:y="1940"/>
        <w:numPr>
          <w:ilvl w:val="1"/>
          <w:numId w:val="3"/>
        </w:numPr>
        <w:tabs>
          <w:tab w:val="left" w:pos="562"/>
        </w:tabs>
        <w:ind w:left="640" w:hanging="640"/>
        <w:jc w:val="both"/>
      </w:pPr>
      <w:r>
        <w:t>SMP dále poskytne Investorovi v souvislosti s realizací Investičního záměru nezbytnou součinnost v podobě zřízení příslušných služebností pro umístění a provoz dopravní a technické infrastruktury (včetně Související infrastruktury) na pozemcích ve vlastnictví SMP (na dobu neurčitou), včetně uzavření příslušných smluv o smlouvách budoucích, a dále pro zajištění přístupu, stavebního záboru a napojení Investičního záměru na síť stávající dopravní a technické infrastruktury, to vše za předpokladu, že to umožňují technické a kapacitní podmínky a podmínky v místě. Součinnost dle tohoto článku 7.6 Smlouvy se poskytne za obvyklých podmínek.</w:t>
      </w:r>
    </w:p>
    <w:p w14:paraId="697F4538" w14:textId="77777777" w:rsidR="00EC1C40" w:rsidRDefault="00000000">
      <w:pPr>
        <w:pStyle w:val="Zkladntext1"/>
        <w:framePr w:w="10186" w:h="13003" w:hRule="exact" w:wrap="none" w:vAnchor="page" w:hAnchor="page" w:x="1213" w:y="1940"/>
        <w:numPr>
          <w:ilvl w:val="1"/>
          <w:numId w:val="3"/>
        </w:numPr>
        <w:tabs>
          <w:tab w:val="left" w:pos="562"/>
        </w:tabs>
        <w:spacing w:after="240"/>
        <w:ind w:left="640" w:hanging="640"/>
        <w:jc w:val="both"/>
      </w:pPr>
      <w:r>
        <w:t xml:space="preserve">SMP poskytne rozumně </w:t>
      </w:r>
      <w:proofErr w:type="spellStart"/>
      <w:r>
        <w:t>požadovatelnou</w:t>
      </w:r>
      <w:proofErr w:type="spellEnd"/>
      <w:r>
        <w:t xml:space="preserve"> součinnost při jednání s vlastníky (provozovateli, správci) infrastruktury v dané lokalitě.</w:t>
      </w:r>
    </w:p>
    <w:p w14:paraId="528F5D1E" w14:textId="77777777" w:rsidR="00EC1C40" w:rsidRDefault="00000000">
      <w:pPr>
        <w:pStyle w:val="Zkladntext1"/>
        <w:framePr w:w="10186" w:h="13003" w:hRule="exact" w:wrap="none" w:vAnchor="page" w:hAnchor="page" w:x="1213" w:y="1940"/>
        <w:numPr>
          <w:ilvl w:val="1"/>
          <w:numId w:val="3"/>
        </w:numPr>
        <w:tabs>
          <w:tab w:val="left" w:pos="562"/>
        </w:tabs>
        <w:spacing w:after="240"/>
        <w:ind w:left="640" w:hanging="640"/>
        <w:jc w:val="both"/>
      </w:pPr>
      <w:r>
        <w:t>SMP se dále zavazuje podle § 131 odst. 1 písm. d) Stavebního zákona, že po dobu trvání této Smlouvy nebude ve správních nebo soudních řízeních týkajících se povolení Investičního záměru (vč. Nepeněžního plnění a Související infrastruktury nezbytné pro Investiční záměr, včetně řízení o Povolení záměru) uplatňovat návrhy, vyjádření, námitky, opravné prostředky (řádné či mimořádné) či jiné procesní prostředky, včetně žalob, podnětů k provedení přezkumného řízení a kasačních stížností, ani nebude žádat o změnu či zrušení jakýchkoli správních aktů (včetně Povolení záměru) týkajících se Investičního záměru (včetně Nepeněžního plnění).</w:t>
      </w:r>
    </w:p>
    <w:p w14:paraId="60F437B1" w14:textId="77777777" w:rsidR="00EC1C40" w:rsidRDefault="00000000">
      <w:pPr>
        <w:pStyle w:val="Zkladntext1"/>
        <w:framePr w:w="10186" w:h="13003" w:hRule="exact" w:wrap="none" w:vAnchor="page" w:hAnchor="page" w:x="1213" w:y="1940"/>
        <w:numPr>
          <w:ilvl w:val="1"/>
          <w:numId w:val="3"/>
        </w:numPr>
        <w:tabs>
          <w:tab w:val="left" w:pos="562"/>
        </w:tabs>
        <w:spacing w:after="240"/>
        <w:ind w:left="640" w:hanging="640"/>
        <w:jc w:val="both"/>
      </w:pPr>
      <w:r>
        <w:t>Smluvní strany se dohodly, že SMP je oprávněno v jednotlivých řízeních uplatňovat návrhy, vyjádření, námitky, opravné prostředky (řádné či mimořádné) či jiné procesní prostředky, včetně žalob, podnětů k provedení přezkumného řízení a kasačních stížností výhradně v případě že:</w:t>
      </w:r>
    </w:p>
    <w:p w14:paraId="14095B71" w14:textId="77777777" w:rsidR="00EC1C40" w:rsidRDefault="00000000">
      <w:pPr>
        <w:pStyle w:val="Zkladntext1"/>
        <w:framePr w:w="10186" w:h="13003" w:hRule="exact" w:wrap="none" w:vAnchor="page" w:hAnchor="page" w:x="1213" w:y="1940"/>
        <w:numPr>
          <w:ilvl w:val="2"/>
          <w:numId w:val="3"/>
        </w:numPr>
        <w:tabs>
          <w:tab w:val="left" w:pos="1384"/>
        </w:tabs>
        <w:spacing w:after="240"/>
        <w:ind w:left="1380" w:hanging="740"/>
        <w:jc w:val="both"/>
      </w:pPr>
      <w:r>
        <w:t>projednávaný Investiční záměr bude v předmětných řízeních v rozporu se Základními parametry (aniž by SMP udělilo souhlas se změnou Základních parametrů dle čl. 2.4 Smlouvy či se jednalo o jinou přípustnou odchylku); nebo</w:t>
      </w:r>
    </w:p>
    <w:p w14:paraId="4605C53C" w14:textId="77777777" w:rsidR="00EC1C40" w:rsidRDefault="00000000">
      <w:pPr>
        <w:pStyle w:val="Zkladntext1"/>
        <w:framePr w:w="10186" w:h="13003" w:hRule="exact" w:wrap="none" w:vAnchor="page" w:hAnchor="page" w:x="1213" w:y="1940"/>
        <w:numPr>
          <w:ilvl w:val="2"/>
          <w:numId w:val="3"/>
        </w:numPr>
        <w:tabs>
          <w:tab w:val="left" w:pos="1384"/>
        </w:tabs>
        <w:spacing w:after="240"/>
        <w:ind w:left="1380" w:hanging="740"/>
        <w:jc w:val="both"/>
      </w:pPr>
      <w:r>
        <w:t>je SMP oprávněno odmítnout plnění svých povinností dle čl. 7.12 této Smlouvy, a to výhradně po dobu, po kterou toto právo SMP trvá.</w:t>
      </w:r>
    </w:p>
    <w:p w14:paraId="666C57B3" w14:textId="77777777" w:rsidR="00EC1C40" w:rsidRDefault="00000000">
      <w:pPr>
        <w:pStyle w:val="Zkladntext1"/>
        <w:framePr w:w="10186" w:h="13003" w:hRule="exact" w:wrap="none" w:vAnchor="page" w:hAnchor="page" w:x="1213" w:y="1940"/>
        <w:spacing w:after="0"/>
        <w:ind w:left="640"/>
        <w:jc w:val="both"/>
      </w:pPr>
      <w:r>
        <w:t>V případech uvedených v čl. 7.9.1 a čl. 7.9.2 bude SMP vždy postupovat v dobré víře a musí o důvodech svého postupu vždy bezodkladně informovat Investora. SMP je dále povinno Investora o zamýšleném postupu dle čl. 7.9.1 a čl. 7.9.2 ještě před učiněním takovýchto kroků informovat a, je-li to časově možné, vstoupit s ním ještě před učiněním takového kroku v dobré víře do jednání, jehož předmětem bude efektivní řešení takovéto situace ve snaze předejít negativním následkům z takového postupu vzniklých, případně tyto minimalizovat. Tato povinnost SMP (tj. povinnost vstoupit v dobré víře do jednání s Investorem za účelem efektivního řešení takovéto situace) platí i po uplatnění práv SMP dle čl. 7.9.1 a čl. 7.9.2. (a to i pro dobu po jejich uplatnění). V případě dle čl. 7.9.1 je SMP oprávněno uplatňovat procesní práva dle tohoto ustanovení výhradně v rozsahu rozporu Investičního záměru se Základními parametry.</w:t>
      </w:r>
    </w:p>
    <w:p w14:paraId="656D641D" w14:textId="77777777" w:rsidR="00EC1C40" w:rsidRDefault="00000000">
      <w:pPr>
        <w:pStyle w:val="Zhlavnebozpat0"/>
        <w:framePr w:wrap="none" w:vAnchor="page" w:hAnchor="page" w:x="5547" w:y="16085"/>
        <w:rPr>
          <w:sz w:val="22"/>
          <w:szCs w:val="22"/>
        </w:rPr>
      </w:pPr>
      <w:r>
        <w:rPr>
          <w:color w:val="231E20"/>
          <w:sz w:val="22"/>
          <w:szCs w:val="22"/>
        </w:rPr>
        <w:t>25/63</w:t>
      </w:r>
    </w:p>
    <w:p w14:paraId="30A69091"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0104D0F6" w14:textId="77777777" w:rsidR="00EC1C40" w:rsidRDefault="00000000">
      <w:pPr>
        <w:spacing w:line="1" w:lineRule="exact"/>
      </w:pPr>
      <w:r>
        <w:rPr>
          <w:noProof/>
        </w:rPr>
        <w:lastRenderedPageBreak/>
        <mc:AlternateContent>
          <mc:Choice Requires="wps">
            <w:drawing>
              <wp:anchor distT="0" distB="0" distL="114300" distR="114300" simplePos="0" relativeHeight="251608576" behindDoc="1" locked="0" layoutInCell="1" allowOverlap="1" wp14:anchorId="332C932A" wp14:editId="50167B3D">
                <wp:simplePos x="0" y="0"/>
                <wp:positionH relativeFrom="page">
                  <wp:posOffset>879475</wp:posOffset>
                </wp:positionH>
                <wp:positionV relativeFrom="page">
                  <wp:posOffset>932180</wp:posOffset>
                </wp:positionV>
                <wp:extent cx="5702935" cy="0"/>
                <wp:effectExtent l="0" t="0" r="0" b="0"/>
                <wp:wrapNone/>
                <wp:docPr id="25" name="Shape 25"/>
                <wp:cNvGraphicFramePr/>
                <a:graphic xmlns:a="http://schemas.openxmlformats.org/drawingml/2006/main">
                  <a:graphicData uri="http://schemas.microsoft.com/office/word/2010/wordprocessingShape">
                    <wps:wsp>
                      <wps:cNvCnPr/>
                      <wps:spPr>
                        <a:xfrm>
                          <a:off x="0" y="0"/>
                          <a:ext cx="5702935" cy="0"/>
                        </a:xfrm>
                        <a:prstGeom prst="straightConnector1">
                          <a:avLst/>
                        </a:prstGeom>
                        <a:ln w="6350">
                          <a:solidFill/>
                        </a:ln>
                      </wps:spPr>
                      <wps:bodyPr/>
                    </wps:wsp>
                  </a:graphicData>
                </a:graphic>
              </wp:anchor>
            </w:drawing>
          </mc:Choice>
          <mc:Fallback>
            <w:pict>
              <v:shape o:spt="32" o:oned="true" path="m,l21600,21600e" style="position:absolute;margin-left:69.25pt;margin-top:73.400000000000006pt;width:449.05000000000001pt;height:0;z-index:-251658240;mso-position-horizontal-relative:page;mso-position-vertical-relative:page">
                <v:stroke weight="0.5pt"/>
              </v:shape>
            </w:pict>
          </mc:Fallback>
        </mc:AlternateContent>
      </w:r>
    </w:p>
    <w:p w14:paraId="30D12F61" w14:textId="77777777" w:rsidR="00EC1C40" w:rsidRDefault="00000000">
      <w:pPr>
        <w:pStyle w:val="Zhlavnebozpat0"/>
        <w:framePr w:wrap="none" w:vAnchor="page" w:hAnchor="page" w:x="5192" w:y="1186"/>
      </w:pPr>
      <w:r>
        <w:t>Plánovací smlouva</w:t>
      </w:r>
    </w:p>
    <w:p w14:paraId="6413770D" w14:textId="77777777" w:rsidR="00EC1C40" w:rsidRDefault="00000000">
      <w:pPr>
        <w:pStyle w:val="Zkladntext1"/>
        <w:framePr w:w="10186" w:h="13594" w:hRule="exact" w:wrap="none" w:vAnchor="page" w:hAnchor="page" w:x="1213" w:y="1940"/>
        <w:numPr>
          <w:ilvl w:val="1"/>
          <w:numId w:val="3"/>
        </w:numPr>
        <w:tabs>
          <w:tab w:val="left" w:pos="562"/>
        </w:tabs>
        <w:spacing w:after="120"/>
        <w:ind w:left="640" w:hanging="640"/>
        <w:jc w:val="both"/>
      </w:pPr>
      <w:r>
        <w:t>Veškerá součinnost SMP dle této Smlouvy (včetně tohoto čl. 7) a z toho vyplývající povinnosti SMP se vztahují ve stejném rozsahu i na Nepeněžní plnění.</w:t>
      </w:r>
    </w:p>
    <w:p w14:paraId="59CB18C2" w14:textId="77777777" w:rsidR="00EC1C40" w:rsidRDefault="00000000">
      <w:pPr>
        <w:pStyle w:val="Zkladntext1"/>
        <w:framePr w:w="10186" w:h="13594" w:hRule="exact" w:wrap="none" w:vAnchor="page" w:hAnchor="page" w:x="1213" w:y="1940"/>
        <w:spacing w:after="120"/>
        <w:ind w:firstLine="640"/>
      </w:pPr>
      <w:r>
        <w:rPr>
          <w:u w:val="single"/>
        </w:rPr>
        <w:t>Omezení závazků SMP</w:t>
      </w:r>
    </w:p>
    <w:p w14:paraId="5F81A357" w14:textId="77777777" w:rsidR="00EC1C40" w:rsidRDefault="00000000">
      <w:pPr>
        <w:pStyle w:val="Zkladntext1"/>
        <w:framePr w:w="10186" w:h="13594" w:hRule="exact" w:wrap="none" w:vAnchor="page" w:hAnchor="page" w:x="1213" w:y="1940"/>
        <w:numPr>
          <w:ilvl w:val="1"/>
          <w:numId w:val="3"/>
        </w:numPr>
        <w:tabs>
          <w:tab w:val="left" w:pos="562"/>
        </w:tabs>
        <w:spacing w:after="240"/>
        <w:ind w:left="640" w:hanging="640"/>
        <w:jc w:val="both"/>
      </w:pPr>
      <w:r>
        <w:t>Investor bere na vědomí, že některá majetkoprávní jednání SMP uvedená v čl. 8 a čl. 9 této Smlouvy (Výpůjčka, Směna 1, Směna 2) podléhají zvláštním podmínkám a omezením stanoveným v právních předpisech, včetně uveřejnění a schválení takového jednání ze strany Zastupitelstva SMP. S ohledem na princip volného mandátu jednotlivých zastupitelů a povahu rozhodování Zastupitelstva nemůže SMP garantovat Investorovi jakékoli budoucí schválení majetkoprávního jednání; tím však není popřena odpovědnost SMP za plnění smluv (včetně smluv o smlouvách budoucích), a to v rozsahu stanoveném právními předpisy.</w:t>
      </w:r>
    </w:p>
    <w:p w14:paraId="0B642AC8" w14:textId="77777777" w:rsidR="00EC1C40" w:rsidRDefault="00000000">
      <w:pPr>
        <w:pStyle w:val="Zkladntext1"/>
        <w:framePr w:w="10186" w:h="13594" w:hRule="exact" w:wrap="none" w:vAnchor="page" w:hAnchor="page" w:x="1213" w:y="1940"/>
        <w:numPr>
          <w:ilvl w:val="1"/>
          <w:numId w:val="3"/>
        </w:numPr>
        <w:tabs>
          <w:tab w:val="left" w:pos="562"/>
        </w:tabs>
        <w:spacing w:after="240"/>
        <w:ind w:left="640" w:hanging="640"/>
        <w:jc w:val="both"/>
      </w:pPr>
      <w:r>
        <w:t>SMP si vyhrazuje možnost odmítnout plnění svých závazků vůči Investorovi uvedených v tomto čl. 7, výhradně v případech a v rozsahu, ve kterém: (i) by bylo poskytnutí aktivní součinnosti v rozporu s právními předpisy (výhradně jejich kogentními normami), a to výhradně v rozsahu tohoto rozporu; nebo ve kterém (</w:t>
      </w:r>
      <w:proofErr w:type="spellStart"/>
      <w:r>
        <w:t>ii</w:t>
      </w:r>
      <w:proofErr w:type="spellEnd"/>
      <w:r>
        <w:t>) Investor porušuje tuto Smlouvu podstatným způsobem, za což se považuje výhradně situace, kdy Investor při přípravě nebo realizaci Investičního záměru nedodrží a. Závazné milníky (prodloužené případně v souladu s touto Smlouvou) či b. Základní parametry, a to pokud Investor nenapraví porušení Smlouvy dle bodu (i) a (</w:t>
      </w:r>
      <w:proofErr w:type="spellStart"/>
      <w:r>
        <w:t>ii</w:t>
      </w:r>
      <w:proofErr w:type="spellEnd"/>
      <w:r>
        <w:t>) výše ani v dodatečné lhůtě pěti (5) měsíců od doručení výzvy k nápravě Investorovi. SMP musí o úmyslu využít odepření součinnosti a důvodech pro odepření součinnosti Investora bezodkladně písemně informovat s tím, že čl. 7.9 se uplatní obdobně. Možnost SMP odmítnout součinnost dle tohoto ustanovení trvá dle bodu (</w:t>
      </w:r>
      <w:proofErr w:type="spellStart"/>
      <w:r>
        <w:t>ii</w:t>
      </w:r>
      <w:proofErr w:type="spellEnd"/>
      <w:r>
        <w:t>) výhradně jen do doby zjednání nápravy; zjednáním nápravy v případě porušení Základních parametrů se rozumí např. (i) úprava Investičního záměru do takové podoby, která je v souladu s touto Smlouvou nebo udělení dodatečného souhlasu SMP, a zjednáním nápravy v případě nedodržení Závazných milníků se rozumí např. a) ukončení prodlení s plněním daného Závazného milníku (tj. splnění daného Závazného milníku, byť později, než je ve Smlouvě předpokládáno) nebo b) udělení dodatečného souhlasu SMP s plněním Závazného milníku (např. i uzavřením dodatku k této Smlouvě, kterým se posune termín daného Závazného milníku). Pro odstranění jakýchkoli pochybností se výslovně sjednává, že právo SMP dočasně odmítnout plnění povinností dle tohoto čl. 7 Smlouvy se v žádném ohledu netýká jiných článků této Smlouvy, respektive jiných smluv či dohod uzavřených mezi Investorem a SMP (např. Smlouvy o výpůjčce, Směnné smlouvy 1 a Smlouvy o smlouvě budoucí směnné a/nebo Směnné smlouvy 2, smluv o smlouvách budoucích na zřízení služebností, smluv o spolupráci atd.).</w:t>
      </w:r>
    </w:p>
    <w:p w14:paraId="1CC9FCE5" w14:textId="77777777" w:rsidR="00EC1C40" w:rsidRDefault="00000000">
      <w:pPr>
        <w:pStyle w:val="Zkladntext1"/>
        <w:framePr w:w="10186" w:h="13594" w:hRule="exact" w:wrap="none" w:vAnchor="page" w:hAnchor="page" w:x="1213" w:y="1940"/>
        <w:numPr>
          <w:ilvl w:val="1"/>
          <w:numId w:val="3"/>
        </w:numPr>
        <w:tabs>
          <w:tab w:val="left" w:pos="562"/>
        </w:tabs>
        <w:spacing w:after="240"/>
        <w:ind w:left="640" w:hanging="640"/>
        <w:jc w:val="both"/>
      </w:pPr>
      <w:r>
        <w:t>Investor se zavazuje poskytnout SMP součinnost spočívající v (i) předložení kompletních a aktuálních podkladů nezbytných pro poskytnutí součinnosti dle tohoto článku a vyhodnocení, zda Investor plní řádně povinnosti dle této Smlouvy, (</w:t>
      </w:r>
      <w:proofErr w:type="spellStart"/>
      <w:r>
        <w:t>ii</w:t>
      </w:r>
      <w:proofErr w:type="spellEnd"/>
      <w:r>
        <w:t>) průběžném informování SMP o postupu přípravy a realizace Investičního záměru, zejména o podstatných změnách oproti předloženým podkladů, a (</w:t>
      </w:r>
      <w:proofErr w:type="spellStart"/>
      <w:r>
        <w:t>iii</w:t>
      </w:r>
      <w:proofErr w:type="spellEnd"/>
      <w:r>
        <w:t>) umožnění kontroly realizace Investičního záměru, Nepeněžního plnění a Související infrastruktury oprávněným zástupcům SMP. SMP poskytne Investorovi součinnost potřebnou pro plnění tohoto ustanovení.</w:t>
      </w:r>
    </w:p>
    <w:p w14:paraId="0BF7A68D" w14:textId="77777777" w:rsidR="00EC1C40" w:rsidRDefault="00000000">
      <w:pPr>
        <w:pStyle w:val="Zkladntext1"/>
        <w:framePr w:w="10186" w:h="13594" w:hRule="exact" w:wrap="none" w:vAnchor="page" w:hAnchor="page" w:x="1213" w:y="1940"/>
        <w:numPr>
          <w:ilvl w:val="1"/>
          <w:numId w:val="3"/>
        </w:numPr>
        <w:tabs>
          <w:tab w:val="left" w:pos="562"/>
        </w:tabs>
        <w:spacing w:after="0"/>
        <w:ind w:left="640" w:hanging="640"/>
        <w:jc w:val="both"/>
      </w:pPr>
      <w:r>
        <w:t>Smluvní strany sjednávají, že: (i) rozsah kontroly dle čl. 7.13 je dán výhradně potřebou SMP zkontrolovat splnění Základních parametrů, Související infrastruktury a Nepeněžního plnění a v souvislosti s realizací Nepeněžního plnění i splnění povinností Investora dle čl. 2.10. Dohody o úpravě vztahů, přičemž SMP dále zajistí, aby (</w:t>
      </w:r>
      <w:proofErr w:type="spellStart"/>
      <w:r>
        <w:t>ii</w:t>
      </w:r>
      <w:proofErr w:type="spellEnd"/>
      <w:r>
        <w:t>) před zahájením kontroly SMP doručilo Investorovi výzvu, a to nejméně patnáct (15) dnů před plánovaným termínem kontroly, s tím, že pokud takový termín Investorovi nevyhovuje, navrhne bez zbytečného odkladu SMP jiný termín, který bude v časovém období do 15 dnů ode dne termínu navrhovaného ze strany SMP, v</w:t>
      </w:r>
    </w:p>
    <w:p w14:paraId="36BD1C08" w14:textId="77777777" w:rsidR="00EC1C40" w:rsidRDefault="00000000">
      <w:pPr>
        <w:pStyle w:val="Zhlavnebozpat0"/>
        <w:framePr w:wrap="none" w:vAnchor="page" w:hAnchor="page" w:x="5547" w:y="16085"/>
        <w:rPr>
          <w:sz w:val="22"/>
          <w:szCs w:val="22"/>
        </w:rPr>
      </w:pPr>
      <w:r>
        <w:rPr>
          <w:color w:val="231E20"/>
          <w:sz w:val="22"/>
          <w:szCs w:val="22"/>
        </w:rPr>
        <w:t>26/63</w:t>
      </w:r>
    </w:p>
    <w:p w14:paraId="0FE92A36"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7F052225" w14:textId="77777777" w:rsidR="00EC1C40" w:rsidRDefault="00000000">
      <w:pPr>
        <w:spacing w:line="1" w:lineRule="exact"/>
      </w:pPr>
      <w:r>
        <w:rPr>
          <w:noProof/>
        </w:rPr>
        <w:lastRenderedPageBreak/>
        <mc:AlternateContent>
          <mc:Choice Requires="wps">
            <w:drawing>
              <wp:anchor distT="0" distB="0" distL="114300" distR="114300" simplePos="0" relativeHeight="251609600" behindDoc="1" locked="0" layoutInCell="1" allowOverlap="1" wp14:anchorId="0982A9DB" wp14:editId="74BAF01A">
                <wp:simplePos x="0" y="0"/>
                <wp:positionH relativeFrom="page">
                  <wp:posOffset>879475</wp:posOffset>
                </wp:positionH>
                <wp:positionV relativeFrom="page">
                  <wp:posOffset>932180</wp:posOffset>
                </wp:positionV>
                <wp:extent cx="5702935" cy="0"/>
                <wp:effectExtent l="0" t="0" r="0" b="0"/>
                <wp:wrapNone/>
                <wp:docPr id="26" name="Shape 26"/>
                <wp:cNvGraphicFramePr/>
                <a:graphic xmlns:a="http://schemas.openxmlformats.org/drawingml/2006/main">
                  <a:graphicData uri="http://schemas.microsoft.com/office/word/2010/wordprocessingShape">
                    <wps:wsp>
                      <wps:cNvCnPr/>
                      <wps:spPr>
                        <a:xfrm>
                          <a:off x="0" y="0"/>
                          <a:ext cx="5702935" cy="0"/>
                        </a:xfrm>
                        <a:prstGeom prst="straightConnector1">
                          <a:avLst/>
                        </a:prstGeom>
                        <a:ln w="6350">
                          <a:solidFill/>
                        </a:ln>
                      </wps:spPr>
                      <wps:bodyPr/>
                    </wps:wsp>
                  </a:graphicData>
                </a:graphic>
              </wp:anchor>
            </w:drawing>
          </mc:Choice>
          <mc:Fallback>
            <w:pict>
              <v:shape o:spt="32" o:oned="true" path="m,l21600,21600e" style="position:absolute;margin-left:69.25pt;margin-top:73.400000000000006pt;width:449.05000000000001pt;height:0;z-index:-251658240;mso-position-horizontal-relative:page;mso-position-vertical-relative:page">
                <v:stroke weight="0.5pt"/>
              </v:shape>
            </w:pict>
          </mc:Fallback>
        </mc:AlternateContent>
      </w:r>
    </w:p>
    <w:p w14:paraId="02FBDF0E" w14:textId="77777777" w:rsidR="00EC1C40" w:rsidRDefault="00000000">
      <w:pPr>
        <w:pStyle w:val="Zhlavnebozpat0"/>
        <w:framePr w:wrap="none" w:vAnchor="page" w:hAnchor="page" w:x="5192" w:y="1186"/>
      </w:pPr>
      <w:r>
        <w:t>Plánovací smlouva</w:t>
      </w:r>
    </w:p>
    <w:p w14:paraId="13A8C812" w14:textId="77777777" w:rsidR="00EC1C40" w:rsidRDefault="00000000">
      <w:pPr>
        <w:pStyle w:val="Zkladntext1"/>
        <w:framePr w:w="10186" w:h="13536" w:hRule="exact" w:wrap="none" w:vAnchor="page" w:hAnchor="page" w:x="1213" w:y="1940"/>
        <w:spacing w:after="240"/>
        <w:ind w:left="640"/>
        <w:jc w:val="both"/>
      </w:pPr>
      <w:r>
        <w:t>pracovní den v období 9h až 16h , konečný termín kontroly musí Investor finálně potvrdit, (</w:t>
      </w:r>
      <w:proofErr w:type="spellStart"/>
      <w:r>
        <w:t>iii</w:t>
      </w:r>
      <w:proofErr w:type="spellEnd"/>
      <w:r>
        <w:t>) osoby účastnící se kontroly musí dodržovat podmínky stanovené Investorem či generálním zhotovitelem stavby (tedy všechny podmínky stanovené pro pohyb a působení na staveništi), a za tím účelem podepsat před vpuštěním na staveniště příslušné formuláře týkající se pohybu a působení na staveništi, (</w:t>
      </w:r>
      <w:proofErr w:type="spellStart"/>
      <w:r>
        <w:t>iv</w:t>
      </w:r>
      <w:proofErr w:type="spellEnd"/>
      <w:r>
        <w:t xml:space="preserve">) osoby účastnící se kontroly musí dodržovat zákaz pořizování Záznamů </w:t>
      </w:r>
      <w:r>
        <w:rPr>
          <w:i/>
          <w:iCs/>
        </w:rPr>
        <w:t>(jak je tento pojem definován dále)</w:t>
      </w:r>
      <w:r>
        <w:t xml:space="preserve"> a dále zákaz publikace jakýchkoli Záznamů, ledaže se jedná o pořizování Záznamů výhradně za účelem kontroly a dokumentace dodržování podmínek dle tohoto článku, pouze v nezbytně nutném rozsahu, bez možnosti takto pořízené Záznamy publikovat, a výhradně po předchozím podepsání dohody o mlčenlivosti ve znění, které je </w:t>
      </w:r>
      <w:r>
        <w:rPr>
          <w:u w:val="single"/>
        </w:rPr>
        <w:t>Přílohou č. 20</w:t>
      </w:r>
      <w:r>
        <w:t xml:space="preserve"> této Smlouvy (dále jen „</w:t>
      </w:r>
      <w:r>
        <w:rPr>
          <w:b/>
          <w:bCs/>
        </w:rPr>
        <w:t>Dohoda o mlčenlivosti</w:t>
      </w:r>
      <w:r>
        <w:t xml:space="preserve">“). SMP zajistí, aby osoby, jejichž prostřednictvím SMP vykonává práva dle tohoto ustanovení, před vstupem na staveniště podepsaly Dohody o mlčenlivosti ve znění, které je </w:t>
      </w:r>
      <w:r>
        <w:rPr>
          <w:u w:val="single"/>
        </w:rPr>
        <w:t>Přílohou č. 20</w:t>
      </w:r>
      <w:r>
        <w:t xml:space="preserve"> této Smlouvy.</w:t>
      </w:r>
    </w:p>
    <w:p w14:paraId="4D1025EB" w14:textId="77777777" w:rsidR="00EC1C40" w:rsidRDefault="00000000">
      <w:pPr>
        <w:pStyle w:val="Zkladntext1"/>
        <w:framePr w:w="10186" w:h="13536" w:hRule="exact" w:wrap="none" w:vAnchor="page" w:hAnchor="page" w:x="1213" w:y="1940"/>
        <w:spacing w:after="240"/>
        <w:ind w:left="640"/>
        <w:jc w:val="both"/>
      </w:pPr>
      <w:r>
        <w:t xml:space="preserve">Smluvní strany sjednávají následující pravidla pro nakládání s jakýmikoli záznamy, kterými se rozumí zejména fotografie, videozáznamy, audionahrávky, </w:t>
      </w:r>
      <w:proofErr w:type="spellStart"/>
      <w:r>
        <w:t>livestreamy</w:t>
      </w:r>
      <w:proofErr w:type="spellEnd"/>
      <w:r>
        <w:t>, kopie dokumentů, výpisky, náčrty či jakékoli jiné zachycení skutečností týkající se staveniště, Investičního záměru a/nebo jakékoli stavební činnosti či osob vyskytujících se na staveništi, včetně záznamů pořízených mobilním telefonem nebo jiným zařízením, a to včetně autonomních systémů (např. drony nebo obdobnými zařízeními), pokud byly pořízeny při kontrole nebo se týkají předmětu kontroly či Investičního záměru (dále jen „</w:t>
      </w:r>
      <w:r>
        <w:rPr>
          <w:b/>
          <w:bCs/>
        </w:rPr>
        <w:t>Záznamy</w:t>
      </w:r>
      <w:r>
        <w:t>“):</w:t>
      </w:r>
    </w:p>
    <w:p w14:paraId="7F8B8EDF" w14:textId="77777777" w:rsidR="00EC1C40" w:rsidRDefault="00000000">
      <w:pPr>
        <w:pStyle w:val="Zkladntext1"/>
        <w:framePr w:w="10186" w:h="13536" w:hRule="exact" w:wrap="none" w:vAnchor="page" w:hAnchor="page" w:x="1213" w:y="1940"/>
        <w:numPr>
          <w:ilvl w:val="2"/>
          <w:numId w:val="3"/>
        </w:numPr>
        <w:tabs>
          <w:tab w:val="left" w:pos="1490"/>
        </w:tabs>
        <w:spacing w:after="240"/>
        <w:ind w:left="1480" w:hanging="840"/>
        <w:jc w:val="both"/>
      </w:pPr>
      <w:r>
        <w:t>Záznamy mohou pořizovat kontrolující osoby výhradně na záznamové zařízení (fotoaparát, mobilní telefon atd.) zajištěné a poskytnuté pro tento účel Investorem. Pouze tehdy, pokud by Investor nezajistil záznamové zařízení dle tohoto ustanovení, jsou kontrolující osoby oprávněny použít i své vlastní záznamové zařízení;</w:t>
      </w:r>
    </w:p>
    <w:p w14:paraId="27F4ED6F" w14:textId="77777777" w:rsidR="00EC1C40" w:rsidRDefault="00000000">
      <w:pPr>
        <w:pStyle w:val="Zkladntext1"/>
        <w:framePr w:w="10186" w:h="13536" w:hRule="exact" w:wrap="none" w:vAnchor="page" w:hAnchor="page" w:x="1213" w:y="1940"/>
        <w:numPr>
          <w:ilvl w:val="2"/>
          <w:numId w:val="3"/>
        </w:numPr>
        <w:tabs>
          <w:tab w:val="left" w:pos="1490"/>
        </w:tabs>
        <w:spacing w:after="240"/>
        <w:ind w:left="1480" w:hanging="840"/>
        <w:jc w:val="both"/>
      </w:pPr>
      <w:r>
        <w:t>Záznamy pořízené kontrolujícími osobami v souladu s touto Smlouvou a Dohodou o mlčenlivosti Investor uloží na předem specifikované úložiště, jehož zřízení zajistí SMP (dále jen „</w:t>
      </w:r>
      <w:r>
        <w:rPr>
          <w:b/>
          <w:bCs/>
        </w:rPr>
        <w:t>Uložiště</w:t>
      </w:r>
      <w:r>
        <w:t>“). SMP zpřístupní Uložiště Investorovi a umožní mu nahrávat Záznamy pořízené v souladu s touto Smlouvou a Dohodou o mlčenlivosti na Uložiště;</w:t>
      </w:r>
    </w:p>
    <w:p w14:paraId="7A458EDE" w14:textId="77777777" w:rsidR="00EC1C40" w:rsidRDefault="00000000">
      <w:pPr>
        <w:pStyle w:val="Zkladntext1"/>
        <w:framePr w:w="10186" w:h="13536" w:hRule="exact" w:wrap="none" w:vAnchor="page" w:hAnchor="page" w:x="1213" w:y="1940"/>
        <w:numPr>
          <w:ilvl w:val="2"/>
          <w:numId w:val="3"/>
        </w:numPr>
        <w:tabs>
          <w:tab w:val="left" w:pos="1490"/>
        </w:tabs>
        <w:spacing w:after="240"/>
        <w:ind w:left="1480" w:hanging="840"/>
        <w:jc w:val="both"/>
      </w:pPr>
      <w:r>
        <w:t>SMP zajistí, že v rámci SMP budou Záznamy uložené na Uložišti zpřístupněny výhradně (i) členům rady SMP, kteří byli ze strany SMP seznámeni s podmínkami tohoto čl. 7.14 Smlouvy a kteří budou dodržovat povinnost mlčenlivosti při nakládání se Záznamy (tj. tyto Záznamy dále nijak nezpřístupní třetím osobám, ani je nepublikují) a další povinnosti dle tohoto čl. 7.14 Smlouvy, a (</w:t>
      </w:r>
      <w:proofErr w:type="spellStart"/>
      <w:r>
        <w:t>ii</w:t>
      </w:r>
      <w:proofErr w:type="spellEnd"/>
      <w:r>
        <w:t>) odborným poradcům SMP, kteří jsou vázáni povinností mlčenlivosti ve stejném či větším rozsahu něž kontrolující osoby dle Dohody o mlčenlivosti;</w:t>
      </w:r>
    </w:p>
    <w:p w14:paraId="5986C8CB" w14:textId="77777777" w:rsidR="00EC1C40" w:rsidRDefault="00000000">
      <w:pPr>
        <w:pStyle w:val="Zkladntext1"/>
        <w:framePr w:w="10186" w:h="13536" w:hRule="exact" w:wrap="none" w:vAnchor="page" w:hAnchor="page" w:x="1213" w:y="1940"/>
        <w:numPr>
          <w:ilvl w:val="2"/>
          <w:numId w:val="3"/>
        </w:numPr>
        <w:tabs>
          <w:tab w:val="left" w:pos="1490"/>
        </w:tabs>
        <w:spacing w:after="240"/>
        <w:ind w:left="1480" w:hanging="840"/>
        <w:jc w:val="both"/>
      </w:pPr>
      <w:r>
        <w:t>Záznamy budou použity výhradně pro účely kontroly dodržení Základních parametrů Investičních záměru, realizace Adaptačních opatření a/nebo realizace Nepeněžního plnění a Související infrastruktury a v souvislosti s realizací Nepeněžního plnění též kontroly splnění povinností Investora dle čl. 2.10. Dohody o úpravě vztahů. Prokázání splnění podmínek dle čl. 7.14 Smlouvy Investorovi je podmínkou pro nahrání Záznamů na Uložiště; a</w:t>
      </w:r>
    </w:p>
    <w:p w14:paraId="22D1EE30" w14:textId="77777777" w:rsidR="00EC1C40" w:rsidRDefault="00000000">
      <w:pPr>
        <w:pStyle w:val="Zkladntext1"/>
        <w:framePr w:w="10186" w:h="13536" w:hRule="exact" w:wrap="none" w:vAnchor="page" w:hAnchor="page" w:x="1213" w:y="1940"/>
        <w:numPr>
          <w:ilvl w:val="2"/>
          <w:numId w:val="3"/>
        </w:numPr>
        <w:tabs>
          <w:tab w:val="left" w:pos="1490"/>
        </w:tabs>
        <w:spacing w:after="0"/>
        <w:ind w:left="1480" w:hanging="840"/>
        <w:jc w:val="both"/>
      </w:pPr>
      <w:r>
        <w:t>SMP se zavazuje zajistit, že žádné Záznamy nebudou publikovány ani jinak zpřístupněny třetím osobám či jakkoli jinak zveřejněny (přímo či nepřímo), ledaže se jedná o zpřístupnění Záznamů osobám dle čl. 7.14.3 Smlouvy a v souladu s tam uvedenými podmínkami nebo k tomu dá Investor předchozí písemný souhlas. Záznamy nesmí být (ani v rámci SMP) nikdy publikovány ve smyslu čl. 7.14.6 Smlouvy; a</w:t>
      </w:r>
    </w:p>
    <w:p w14:paraId="6AAB6421" w14:textId="77777777" w:rsidR="00EC1C40" w:rsidRDefault="00000000">
      <w:pPr>
        <w:pStyle w:val="Zhlavnebozpat0"/>
        <w:framePr w:wrap="none" w:vAnchor="page" w:hAnchor="page" w:x="5547" w:y="16085"/>
        <w:rPr>
          <w:sz w:val="22"/>
          <w:szCs w:val="22"/>
        </w:rPr>
      </w:pPr>
      <w:r>
        <w:rPr>
          <w:color w:val="231E20"/>
          <w:sz w:val="22"/>
          <w:szCs w:val="22"/>
        </w:rPr>
        <w:t>27/63</w:t>
      </w:r>
    </w:p>
    <w:p w14:paraId="4C2D24C6"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7AE89126" w14:textId="77777777" w:rsidR="00EC1C40" w:rsidRDefault="00000000">
      <w:pPr>
        <w:spacing w:line="1" w:lineRule="exact"/>
      </w:pPr>
      <w:r>
        <w:rPr>
          <w:noProof/>
        </w:rPr>
        <w:lastRenderedPageBreak/>
        <mc:AlternateContent>
          <mc:Choice Requires="wps">
            <w:drawing>
              <wp:anchor distT="0" distB="0" distL="114300" distR="114300" simplePos="0" relativeHeight="251610624" behindDoc="1" locked="0" layoutInCell="1" allowOverlap="1" wp14:anchorId="429A0277" wp14:editId="295D7429">
                <wp:simplePos x="0" y="0"/>
                <wp:positionH relativeFrom="page">
                  <wp:posOffset>879475</wp:posOffset>
                </wp:positionH>
                <wp:positionV relativeFrom="page">
                  <wp:posOffset>932180</wp:posOffset>
                </wp:positionV>
                <wp:extent cx="5702935" cy="0"/>
                <wp:effectExtent l="0" t="0" r="0" b="0"/>
                <wp:wrapNone/>
                <wp:docPr id="27" name="Shape 27"/>
                <wp:cNvGraphicFramePr/>
                <a:graphic xmlns:a="http://schemas.openxmlformats.org/drawingml/2006/main">
                  <a:graphicData uri="http://schemas.microsoft.com/office/word/2010/wordprocessingShape">
                    <wps:wsp>
                      <wps:cNvCnPr/>
                      <wps:spPr>
                        <a:xfrm>
                          <a:off x="0" y="0"/>
                          <a:ext cx="5702935" cy="0"/>
                        </a:xfrm>
                        <a:prstGeom prst="straightConnector1">
                          <a:avLst/>
                        </a:prstGeom>
                        <a:ln w="6350">
                          <a:solidFill/>
                        </a:ln>
                      </wps:spPr>
                      <wps:bodyPr/>
                    </wps:wsp>
                  </a:graphicData>
                </a:graphic>
              </wp:anchor>
            </w:drawing>
          </mc:Choice>
          <mc:Fallback>
            <w:pict>
              <v:shape o:spt="32" o:oned="true" path="m,l21600,21600e" style="position:absolute;margin-left:69.25pt;margin-top:73.400000000000006pt;width:449.05000000000001pt;height:0;z-index:-251658240;mso-position-horizontal-relative:page;mso-position-vertical-relative:page">
                <v:stroke weight="0.5pt"/>
              </v:shape>
            </w:pict>
          </mc:Fallback>
        </mc:AlternateContent>
      </w:r>
    </w:p>
    <w:p w14:paraId="47155B1C" w14:textId="77777777" w:rsidR="00EC1C40" w:rsidRDefault="00000000">
      <w:pPr>
        <w:pStyle w:val="Zhlavnebozpat0"/>
        <w:framePr w:wrap="none" w:vAnchor="page" w:hAnchor="page" w:x="5192" w:y="1186"/>
      </w:pPr>
      <w:r>
        <w:t>Plánovací smlouva</w:t>
      </w:r>
    </w:p>
    <w:p w14:paraId="19552833" w14:textId="77777777" w:rsidR="00EC1C40" w:rsidRDefault="00000000">
      <w:pPr>
        <w:pStyle w:val="Zkladntext1"/>
        <w:framePr w:w="10186" w:h="13123" w:hRule="exact" w:wrap="none" w:vAnchor="page" w:hAnchor="page" w:x="1213" w:y="1940"/>
        <w:numPr>
          <w:ilvl w:val="2"/>
          <w:numId w:val="3"/>
        </w:numPr>
        <w:tabs>
          <w:tab w:val="left" w:pos="1490"/>
        </w:tabs>
        <w:spacing w:after="220"/>
        <w:ind w:left="1480" w:hanging="840"/>
        <w:jc w:val="both"/>
      </w:pPr>
      <w:r>
        <w:t>Za publikaci se považuje pro účely tohoto ustanovení zejména, nikoli však výlučně, sdílení, odeslání, nahrání na cloudové či jiné uložiště, sdílení přes sociální sítě, messenger, e-mail, interní portály třetích osob, veřejné i neveřejné skupiny či jakékoli jiné zpřístupnění Záznamů neoprávněným osobám či veřejnosti.</w:t>
      </w:r>
    </w:p>
    <w:p w14:paraId="72F3FCFF" w14:textId="77777777" w:rsidR="00EC1C40" w:rsidRDefault="00000000">
      <w:pPr>
        <w:pStyle w:val="Zkladntext1"/>
        <w:framePr w:w="10186" w:h="13123" w:hRule="exact" w:wrap="none" w:vAnchor="page" w:hAnchor="page" w:x="1213" w:y="1940"/>
        <w:spacing w:after="220"/>
        <w:ind w:left="640"/>
        <w:jc w:val="both"/>
      </w:pPr>
      <w:r>
        <w:t>SMP je odpovědné za dodržování povinností dle tohoto čl. 7.14 Smlouvy a zajistí jejich dodržování, a to i ze strany osob účastnících se kontroly dle tohoto ustanovení či osob, kterým jsou zpřístupněny Záznamy.</w:t>
      </w:r>
    </w:p>
    <w:p w14:paraId="153DC5FD" w14:textId="77777777" w:rsidR="00EC1C40" w:rsidRDefault="00000000">
      <w:pPr>
        <w:pStyle w:val="Zkladntext1"/>
        <w:framePr w:w="10186" w:h="13123" w:hRule="exact" w:wrap="none" w:vAnchor="page" w:hAnchor="page" w:x="1213" w:y="1940"/>
        <w:spacing w:after="220"/>
        <w:ind w:left="640"/>
        <w:jc w:val="both"/>
      </w:pPr>
      <w:r>
        <w:t>Investor prohlašuje, že veškeré Záznamy považuje za obchodní tajemství (s ohledem na strategickou hodnotu a legitimní zájem na ochraně bezpečnosti v průběhu výstavby Investičního záměru).</w:t>
      </w:r>
    </w:p>
    <w:p w14:paraId="7DE13E6B" w14:textId="77777777" w:rsidR="00EC1C40" w:rsidRDefault="00000000">
      <w:pPr>
        <w:pStyle w:val="Zkladntext1"/>
        <w:framePr w:w="10186" w:h="13123" w:hRule="exact" w:wrap="none" w:vAnchor="page" w:hAnchor="page" w:x="1213" w:y="1940"/>
        <w:spacing w:after="220"/>
        <w:ind w:left="640"/>
        <w:jc w:val="both"/>
      </w:pPr>
      <w:r>
        <w:t>V případě, kdy orgán veřejné moci v souladu s právními předpisy uloží SMP povinnost poskytnout Záznamy, je SMP oprávněno v takovém případě v nezbytném rozsahu tyto Záznamy orgánu veřejné moci poskytnout.</w:t>
      </w:r>
    </w:p>
    <w:p w14:paraId="452481F6" w14:textId="77777777" w:rsidR="00EC1C40" w:rsidRDefault="00000000">
      <w:pPr>
        <w:pStyle w:val="Zkladntext1"/>
        <w:framePr w:w="10186" w:h="13123" w:hRule="exact" w:wrap="none" w:vAnchor="page" w:hAnchor="page" w:x="1213" w:y="1940"/>
        <w:numPr>
          <w:ilvl w:val="1"/>
          <w:numId w:val="3"/>
        </w:numPr>
        <w:tabs>
          <w:tab w:val="left" w:pos="562"/>
        </w:tabs>
        <w:spacing w:after="220"/>
        <w:ind w:left="640" w:hanging="640"/>
        <w:jc w:val="both"/>
      </w:pPr>
      <w:r>
        <w:t xml:space="preserve">SMP neplynou z realizace Investičního záměru ani z této Smlouvy žádné finanční závazky s výjimkou těch, které na sebe SMP převzala na základě této Smlouvy (tj. včetně povinností SMP vyplývajících z plnění této Smlouvy, důsledků případného porušení této Smlouvy a/nebo závazků k uzavření realizačních smluv) a případně výslovně v budoucnu (tj. po uzavření této Smlouvy) převezme na základě samostatných právních jednání schválených příslušnými orgány SMP; tímto ustanovením nejsou nijak dotčeny závazky SMP vyplývající ze Směnné smlouvy 1, Smlouvy o smlouvě budoucí směnné, Směnné smlouvy 2 a Dohody o úpravě vztahů, Smlouvy o výpůjčce, Smlouvy o výpůjčce SMP Hůrka, </w:t>
      </w:r>
      <w:proofErr w:type="spellStart"/>
      <w:r>
        <w:t>SoSB</w:t>
      </w:r>
      <w:proofErr w:type="spellEnd"/>
      <w:r>
        <w:t xml:space="preserve"> SMP Hůrka (a realizační kupní smlouvy uzavřené a jejím základě), Smlouvy o výpůjčce Nadace Hůrka a </w:t>
      </w:r>
      <w:proofErr w:type="spellStart"/>
      <w:r>
        <w:t>SoSB</w:t>
      </w:r>
      <w:proofErr w:type="spellEnd"/>
      <w:r>
        <w:t xml:space="preserve"> Nadace Hůrka (a realizační kupní smlouvy uzavřené a jejím základě), a dále závazky z dalších smluv uvedených v této Smlouvě (včetně povinností SMP vyplývajících z plnění těchto smluv, důsledků případného porušení těchto smluv a/nebo závazků k uzavření realizačních smluv na základě smluv o smlouvách budoucích).</w:t>
      </w:r>
    </w:p>
    <w:p w14:paraId="249A9435" w14:textId="77777777" w:rsidR="00EC1C40" w:rsidRDefault="00000000">
      <w:pPr>
        <w:pStyle w:val="Zkladntext1"/>
        <w:framePr w:w="10186" w:h="13123" w:hRule="exact" w:wrap="none" w:vAnchor="page" w:hAnchor="page" w:x="1213" w:y="1940"/>
        <w:numPr>
          <w:ilvl w:val="1"/>
          <w:numId w:val="3"/>
        </w:numPr>
        <w:tabs>
          <w:tab w:val="left" w:pos="562"/>
        </w:tabs>
        <w:spacing w:after="120"/>
        <w:ind w:left="640" w:hanging="640"/>
        <w:jc w:val="both"/>
      </w:pPr>
      <w:r>
        <w:t>Na základě dohody Smluvních stran se celková výše veškeré škody či jiné újmy nebo obohacení, které může Investor po SMP požadovat výhradně podle této Smlouvy nebo v souvislosti s jejím plněním, ve svém souhrnu omezuje na celkovou částku 25.000.000,- Kč (slovy: dvacet pět milionů korun českých); Investor se tímto vzdává práva na náhradu veškeré škody či jiné újmy vzniklé v důsledku porušení této Smlouvy nad tuto částku.</w:t>
      </w:r>
    </w:p>
    <w:p w14:paraId="593486ED" w14:textId="77777777" w:rsidR="00EC1C40" w:rsidRDefault="00000000">
      <w:pPr>
        <w:pStyle w:val="Zkladntext1"/>
        <w:framePr w:w="10186" w:h="13123" w:hRule="exact" w:wrap="none" w:vAnchor="page" w:hAnchor="page" w:x="1213" w:y="1940"/>
        <w:spacing w:after="220"/>
        <w:ind w:firstLine="640"/>
        <w:jc w:val="both"/>
      </w:pPr>
      <w:r>
        <w:rPr>
          <w:u w:val="single"/>
        </w:rPr>
        <w:t>Omezení závazků Investora</w:t>
      </w:r>
    </w:p>
    <w:p w14:paraId="4F290B7D" w14:textId="77777777" w:rsidR="00EC1C40" w:rsidRDefault="00000000">
      <w:pPr>
        <w:pStyle w:val="Zkladntext1"/>
        <w:framePr w:w="10186" w:h="13123" w:hRule="exact" w:wrap="none" w:vAnchor="page" w:hAnchor="page" w:x="1213" w:y="1940"/>
        <w:numPr>
          <w:ilvl w:val="1"/>
          <w:numId w:val="3"/>
        </w:numPr>
        <w:tabs>
          <w:tab w:val="left" w:pos="562"/>
        </w:tabs>
        <w:spacing w:after="0"/>
        <w:ind w:left="640" w:hanging="640"/>
        <w:jc w:val="both"/>
      </w:pPr>
      <w:r>
        <w:t>Investor si vyhrazuje možnost dočasně odmítnout plnění svých závazků vůči SMP uvedených v čl. 3 a čl. 4 této Smlouvy, výhradně v případech a v rozsahu, ve kterém: (i) by bylo poskytnutí součinnosti v rozporu s právními předpisy (jejich kogentními normami); nebo (</w:t>
      </w:r>
      <w:proofErr w:type="spellStart"/>
      <w:r>
        <w:t>ii</w:t>
      </w:r>
      <w:proofErr w:type="spellEnd"/>
      <w:r>
        <w:t>) v případě porušení závazků SMP převzatých na základě tohoto čl. 7 nebo (</w:t>
      </w:r>
      <w:proofErr w:type="spellStart"/>
      <w:r>
        <w:t>iii</w:t>
      </w:r>
      <w:proofErr w:type="spellEnd"/>
      <w:r>
        <w:t>) v případě porušení závazku nezměnit územní plán dle čl. 11 této Smlouvy; nebo (</w:t>
      </w:r>
      <w:proofErr w:type="spellStart"/>
      <w:r>
        <w:t>iv</w:t>
      </w:r>
      <w:proofErr w:type="spellEnd"/>
      <w:r>
        <w:t xml:space="preserve">) v případě neoprávněného zániku Směny, Výpůjčky či zániku jiných právních titulů poskytnutých ze strany SMP a potřebných pro realizaci Investičního záměru a/nebo Nepeněžního plnění (včetně Smlouvy o výpůjčce SMP Hůrka, </w:t>
      </w:r>
      <w:proofErr w:type="spellStart"/>
      <w:r>
        <w:t>SoSB</w:t>
      </w:r>
      <w:proofErr w:type="spellEnd"/>
      <w:r>
        <w:t xml:space="preserve"> SMP Hůrka a realizační kupní smlouvy uzavřené na jejím základě, Smlouvy o výpůjčce Nadace Hůrka a </w:t>
      </w:r>
      <w:proofErr w:type="spellStart"/>
      <w:r>
        <w:t>SoSB</w:t>
      </w:r>
      <w:proofErr w:type="spellEnd"/>
      <w:r>
        <w:t xml:space="preserve"> Nadace Hůrka, a realizační kupní smlouvy uzavřené na jejím základě), pokud se tak stalo z důvodů na straně SMP a pokud nedošlo k nápravě takového stavu ani do dvou (2) měsíců od doručení výzvy k nápravě SMP. O dobu trvání těchto překážek uvedených v tomto čl. 7.17 se taktéž prodlužují Závazné milníky.</w:t>
      </w:r>
    </w:p>
    <w:p w14:paraId="74AA88A2" w14:textId="77777777" w:rsidR="00EC1C40" w:rsidRDefault="00000000">
      <w:pPr>
        <w:pStyle w:val="Zhlavnebozpat0"/>
        <w:framePr w:wrap="none" w:vAnchor="page" w:hAnchor="page" w:x="5547" w:y="16085"/>
        <w:rPr>
          <w:sz w:val="22"/>
          <w:szCs w:val="22"/>
        </w:rPr>
      </w:pPr>
      <w:r>
        <w:rPr>
          <w:color w:val="231E20"/>
          <w:sz w:val="22"/>
          <w:szCs w:val="22"/>
        </w:rPr>
        <w:t>28/63</w:t>
      </w:r>
    </w:p>
    <w:p w14:paraId="4D48A0F8"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76541625" w14:textId="77777777" w:rsidR="00EC1C40" w:rsidRDefault="00000000">
      <w:pPr>
        <w:spacing w:line="1" w:lineRule="exact"/>
      </w:pPr>
      <w:r>
        <w:rPr>
          <w:noProof/>
        </w:rPr>
        <w:lastRenderedPageBreak/>
        <mc:AlternateContent>
          <mc:Choice Requires="wps">
            <w:drawing>
              <wp:anchor distT="0" distB="0" distL="114300" distR="114300" simplePos="0" relativeHeight="251611648" behindDoc="1" locked="0" layoutInCell="1" allowOverlap="1" wp14:anchorId="013E1613" wp14:editId="45E18DD3">
                <wp:simplePos x="0" y="0"/>
                <wp:positionH relativeFrom="page">
                  <wp:posOffset>879475</wp:posOffset>
                </wp:positionH>
                <wp:positionV relativeFrom="page">
                  <wp:posOffset>932180</wp:posOffset>
                </wp:positionV>
                <wp:extent cx="5702935" cy="0"/>
                <wp:effectExtent l="0" t="0" r="0" b="0"/>
                <wp:wrapNone/>
                <wp:docPr id="28" name="Shape 28"/>
                <wp:cNvGraphicFramePr/>
                <a:graphic xmlns:a="http://schemas.openxmlformats.org/drawingml/2006/main">
                  <a:graphicData uri="http://schemas.microsoft.com/office/word/2010/wordprocessingShape">
                    <wps:wsp>
                      <wps:cNvCnPr/>
                      <wps:spPr>
                        <a:xfrm>
                          <a:off x="0" y="0"/>
                          <a:ext cx="5702935" cy="0"/>
                        </a:xfrm>
                        <a:prstGeom prst="straightConnector1">
                          <a:avLst/>
                        </a:prstGeom>
                        <a:ln w="6350">
                          <a:solidFill/>
                        </a:ln>
                      </wps:spPr>
                      <wps:bodyPr/>
                    </wps:wsp>
                  </a:graphicData>
                </a:graphic>
              </wp:anchor>
            </w:drawing>
          </mc:Choice>
          <mc:Fallback>
            <w:pict>
              <v:shape o:spt="32" o:oned="true" path="m,l21600,21600e" style="position:absolute;margin-left:69.25pt;margin-top:73.400000000000006pt;width:449.05000000000001pt;height:0;z-index:-251658240;mso-position-horizontal-relative:page;mso-position-vertical-relative:page">
                <v:stroke weight="0.5pt"/>
              </v:shape>
            </w:pict>
          </mc:Fallback>
        </mc:AlternateContent>
      </w:r>
    </w:p>
    <w:p w14:paraId="12E2714C" w14:textId="77777777" w:rsidR="00EC1C40" w:rsidRDefault="00000000">
      <w:pPr>
        <w:pStyle w:val="Zhlavnebozpat0"/>
        <w:framePr w:wrap="none" w:vAnchor="page" w:hAnchor="page" w:x="5192" w:y="1186"/>
      </w:pPr>
      <w:r>
        <w:t>Plánovací smlouva</w:t>
      </w:r>
    </w:p>
    <w:p w14:paraId="14211ACC" w14:textId="77777777" w:rsidR="00EC1C40" w:rsidRDefault="00000000">
      <w:pPr>
        <w:pStyle w:val="Zkladntext1"/>
        <w:framePr w:w="10186" w:h="13445" w:hRule="exact" w:wrap="none" w:vAnchor="page" w:hAnchor="page" w:x="1213" w:y="1940"/>
        <w:numPr>
          <w:ilvl w:val="1"/>
          <w:numId w:val="3"/>
        </w:numPr>
        <w:tabs>
          <w:tab w:val="left" w:pos="563"/>
        </w:tabs>
        <w:ind w:left="640" w:hanging="640"/>
        <w:jc w:val="both"/>
      </w:pPr>
      <w:r>
        <w:t>Pro odstranění jakýchkoli pochybností se výslovně sjednává, že součinnost SMP dle této Smlouvy (včetně tohoto čl. 7 Smlouvy, tedy včetně povolovacích procesů) se vztahuje i na případné změny Investičního záměru; tím není nijak dotčen čl. 7.9 této Smlouvy (práva SMP v případě změny Investičního záměru, která je v rozporu se Základními parametry), ani povinnost Investora respektovat Základní parametry.</w:t>
      </w:r>
    </w:p>
    <w:p w14:paraId="550DC1B3" w14:textId="77777777" w:rsidR="00EC1C40" w:rsidRDefault="00000000">
      <w:pPr>
        <w:pStyle w:val="Nadpis60"/>
        <w:framePr w:w="10186" w:h="13445" w:hRule="exact" w:wrap="none" w:vAnchor="page" w:hAnchor="page" w:x="1213" w:y="1940"/>
        <w:numPr>
          <w:ilvl w:val="0"/>
          <w:numId w:val="3"/>
        </w:numPr>
        <w:tabs>
          <w:tab w:val="left" w:pos="563"/>
        </w:tabs>
      </w:pPr>
      <w:bookmarkStart w:id="7" w:name="bookmark14"/>
      <w:r>
        <w:t>Výpůjčka</w:t>
      </w:r>
      <w:bookmarkEnd w:id="7"/>
    </w:p>
    <w:p w14:paraId="0BCCD5B5" w14:textId="77777777" w:rsidR="00EC1C40" w:rsidRDefault="00000000">
      <w:pPr>
        <w:pStyle w:val="Zkladntext1"/>
        <w:framePr w:w="10186" w:h="13445" w:hRule="exact" w:wrap="none" w:vAnchor="page" w:hAnchor="page" w:x="1213" w:y="1940"/>
        <w:numPr>
          <w:ilvl w:val="1"/>
          <w:numId w:val="3"/>
        </w:numPr>
        <w:tabs>
          <w:tab w:val="left" w:pos="563"/>
        </w:tabs>
        <w:ind w:left="640" w:hanging="640"/>
        <w:jc w:val="both"/>
      </w:pPr>
      <w:r>
        <w:t xml:space="preserve">V souvislosti s realizací Investičního záměru se Smluvní strany dohodly, že bude mezi SMP a Investorem uzavřena samostatná Smlouva o výpůjčce, jejímž předmětem bude užívání Vypůjčených pozemků ze strany Investora, přičemž rozsah užívání těchto Vypůjčených pozemků je graficky vyznačen na snímku katastrální mapy, která tvoří </w:t>
      </w:r>
      <w:r>
        <w:rPr>
          <w:u w:val="single"/>
        </w:rPr>
        <w:t>Přílohu č. 21</w:t>
      </w:r>
      <w:r>
        <w:t xml:space="preserve"> této Smlouvy.</w:t>
      </w:r>
    </w:p>
    <w:p w14:paraId="4C2F46E3" w14:textId="77777777" w:rsidR="00EC1C40" w:rsidRDefault="00000000">
      <w:pPr>
        <w:pStyle w:val="Zkladntext1"/>
        <w:framePr w:w="10186" w:h="13445" w:hRule="exact" w:wrap="none" w:vAnchor="page" w:hAnchor="page" w:x="1213" w:y="1940"/>
        <w:numPr>
          <w:ilvl w:val="1"/>
          <w:numId w:val="3"/>
        </w:numPr>
        <w:tabs>
          <w:tab w:val="left" w:pos="563"/>
        </w:tabs>
        <w:ind w:left="640" w:hanging="640"/>
        <w:jc w:val="both"/>
      </w:pPr>
      <w:r>
        <w:t>Smluvní strany se zavazují poskytnout si veškerou potřebnou součinnost k uzavření Smlouvy o výpůjčce, včetně případného vyjmutí dotčených pozemků z existujících smluvních vztahů (např. nájemních smluv), a k zajištění všech potřebných schválení a povolení.</w:t>
      </w:r>
    </w:p>
    <w:p w14:paraId="4CBF4CE7" w14:textId="77777777" w:rsidR="00EC1C40" w:rsidRDefault="00000000">
      <w:pPr>
        <w:pStyle w:val="Zkladntext1"/>
        <w:framePr w:w="10186" w:h="13445" w:hRule="exact" w:wrap="none" w:vAnchor="page" w:hAnchor="page" w:x="1213" w:y="1940"/>
        <w:numPr>
          <w:ilvl w:val="1"/>
          <w:numId w:val="3"/>
        </w:numPr>
        <w:tabs>
          <w:tab w:val="left" w:pos="563"/>
        </w:tabs>
        <w:ind w:left="640" w:hanging="640"/>
        <w:jc w:val="both"/>
      </w:pPr>
      <w:r>
        <w:t xml:space="preserve">Smluvní strany jsou si vědomy a tímto prohlašují, že v souvislosti s převodem vlastnického práva k pozemku </w:t>
      </w:r>
      <w:proofErr w:type="spellStart"/>
      <w:r>
        <w:t>parc</w:t>
      </w:r>
      <w:proofErr w:type="spellEnd"/>
      <w:r>
        <w:t xml:space="preserve">. č. 3684/1, k. </w:t>
      </w:r>
      <w:proofErr w:type="spellStart"/>
      <w:r>
        <w:t>ú.</w:t>
      </w:r>
      <w:proofErr w:type="spellEnd"/>
      <w:r>
        <w:t xml:space="preserve"> Pardubice, z Investora na SMP na základě Směnné smlouvy 1 uzavřené mezi SMP a Investorem dle čl. 9, dojde k rozšíření Předmětu výpůjčky o tento pozemek, a to na základě příslušného dodatku ke Smlouvě o výpůjčce. Dodatek ke Smlouvě o výpůjčce bude uzavřen za podmínky předchozího schválení příslušnými orgány SMP, a to tak, aby užívání tohoto pozemku dle Směnné smlouvy 1 a navazující Výpůjčky na sebe plynule bez přerušení navazovalo. Smluvní strany si za tímto účelem poskytnou veškerou potřebnou součinnost.</w:t>
      </w:r>
    </w:p>
    <w:p w14:paraId="61F61CF9" w14:textId="77777777" w:rsidR="00EC1C40" w:rsidRDefault="00000000">
      <w:pPr>
        <w:pStyle w:val="Zkladntext1"/>
        <w:framePr w:w="10186" w:h="13445" w:hRule="exact" w:wrap="none" w:vAnchor="page" w:hAnchor="page" w:x="1213" w:y="1940"/>
        <w:numPr>
          <w:ilvl w:val="1"/>
          <w:numId w:val="3"/>
        </w:numPr>
        <w:tabs>
          <w:tab w:val="left" w:pos="563"/>
        </w:tabs>
        <w:ind w:left="640" w:hanging="640"/>
        <w:jc w:val="both"/>
      </w:pPr>
      <w:r>
        <w:t xml:space="preserve">SMP vynaloží veškeré rozumně </w:t>
      </w:r>
      <w:proofErr w:type="spellStart"/>
      <w:r>
        <w:t>požadovatelné</w:t>
      </w:r>
      <w:proofErr w:type="spellEnd"/>
      <w:r>
        <w:t xml:space="preserve"> úsilí k tomu, aby nabylo vlastnické právo k části pozemku </w:t>
      </w:r>
      <w:proofErr w:type="spellStart"/>
      <w:r>
        <w:t>parc</w:t>
      </w:r>
      <w:proofErr w:type="spellEnd"/>
      <w:r>
        <w:t xml:space="preserve">. č. 1584/9, </w:t>
      </w:r>
      <w:proofErr w:type="spellStart"/>
      <w:r>
        <w:t>k.ú</w:t>
      </w:r>
      <w:proofErr w:type="spellEnd"/>
      <w:r>
        <w:t xml:space="preserve">. Pardubice, který je oddělen na základě geometrického plánu pro rozdělení pozemku č. 11023-1121/2025, zhotoveného GON Hradec Králové, a.s., Zemědělská 897/5, 500 03 Hradec Králové, potvrzeného katastrálním úřadem pro Pardubický kraj, Katastrální pracoviště Pardubice pod PGP 1976/2025-606, nově označené jako pozemek </w:t>
      </w:r>
      <w:proofErr w:type="spellStart"/>
      <w:r>
        <w:t>parc</w:t>
      </w:r>
      <w:proofErr w:type="spellEnd"/>
      <w:r>
        <w:t xml:space="preserve">. č. 1584/14, </w:t>
      </w:r>
      <w:proofErr w:type="spellStart"/>
      <w:r>
        <w:t>k.ú</w:t>
      </w:r>
      <w:proofErr w:type="spellEnd"/>
      <w:r>
        <w:t>. Pardubice, o výměře 487 m2 (dále jen „</w:t>
      </w:r>
      <w:r>
        <w:rPr>
          <w:b/>
          <w:bCs/>
        </w:rPr>
        <w:t>Pozemek SPÚ</w:t>
      </w:r>
      <w:r>
        <w:t>“), a který je ke dni uzavření této Smlouvy ve vlastnictví České republiky s právem hospodaření ve prospěch Státního pozemkového úřadu, Husinecká 1024/11a, Žižkov, 13000 Praha 3, a to ideálně do tří (3) měsíců od uzavření této Smlouvy. Po nabytí vlastnického práva k tomuto Pozemku SPÚ ze strany SMP dojde k rozšíření Předmětu výpůjčky o tento Pozemek SPÚ, a to na základě příslušného dodatku ke Smlouvě o výpůjčce, který Smluvní strany uzavřou bez zbytečného odkladu, nejdéle do jednoho měsíce od nabytí vlastnického práva k Pozemku SPÚ ze strany SMP. Smluvní strany jsou si vědomy významu tohoto Pozemku SPÚ pro umožnění výstavby Investičního záměru a obecně jakékoli výstavby v Lokalitě Nová Cihelna (jelikož na něm bude umístěna Připojovací komunikace). Smluvní strany jsou si vědomy toho, že předpokladem nabytí tohoto Pozemku SPÚ ze strany SMP je předchozí uzavření smlouvy mezi SMP a Státním pozemkovým úřadem. Nabytí Pozemku SPÚ do vlastnictví SMP bylo schváleno usnesením zastupitelstva SMP.</w:t>
      </w:r>
    </w:p>
    <w:p w14:paraId="39C25B3E" w14:textId="77777777" w:rsidR="00EC1C40" w:rsidRDefault="00000000">
      <w:pPr>
        <w:pStyle w:val="Zkladntext1"/>
        <w:framePr w:w="10186" w:h="13445" w:hRule="exact" w:wrap="none" w:vAnchor="page" w:hAnchor="page" w:x="1213" w:y="1940"/>
        <w:numPr>
          <w:ilvl w:val="1"/>
          <w:numId w:val="3"/>
        </w:numPr>
        <w:tabs>
          <w:tab w:val="left" w:pos="563"/>
        </w:tabs>
        <w:ind w:left="640" w:hanging="640"/>
        <w:jc w:val="both"/>
      </w:pPr>
      <w:r>
        <w:t>Smluvní strany prohlašují, že uzavřením této Smlouvy nevzniká Investorovi právo užívat Předmět výpůjčky; toto právo vznikne až na základě samostatné Smlouvy o výpůjčce.</w:t>
      </w:r>
    </w:p>
    <w:p w14:paraId="70332ABE" w14:textId="77777777" w:rsidR="00EC1C40" w:rsidRDefault="00000000">
      <w:pPr>
        <w:pStyle w:val="Nadpis60"/>
        <w:framePr w:w="10186" w:h="13445" w:hRule="exact" w:wrap="none" w:vAnchor="page" w:hAnchor="page" w:x="1213" w:y="1940"/>
        <w:numPr>
          <w:ilvl w:val="0"/>
          <w:numId w:val="3"/>
        </w:numPr>
        <w:tabs>
          <w:tab w:val="left" w:pos="563"/>
        </w:tabs>
        <w:spacing w:after="240"/>
      </w:pPr>
      <w:bookmarkStart w:id="8" w:name="bookmark16"/>
      <w:r>
        <w:t>Směna pozemků</w:t>
      </w:r>
      <w:bookmarkEnd w:id="8"/>
    </w:p>
    <w:p w14:paraId="75FBB754" w14:textId="77777777" w:rsidR="00EC1C40" w:rsidRDefault="00000000">
      <w:pPr>
        <w:pStyle w:val="Zkladntext1"/>
        <w:framePr w:w="10186" w:h="13445" w:hRule="exact" w:wrap="none" w:vAnchor="page" w:hAnchor="page" w:x="1213" w:y="1940"/>
        <w:numPr>
          <w:ilvl w:val="1"/>
          <w:numId w:val="3"/>
        </w:numPr>
        <w:tabs>
          <w:tab w:val="left" w:pos="563"/>
        </w:tabs>
        <w:spacing w:after="0"/>
        <w:ind w:left="640" w:hanging="640"/>
        <w:jc w:val="both"/>
      </w:pPr>
      <w:r>
        <w:t xml:space="preserve">Smluvní strany se zavazují spolu uzavřít Směnnou smlouvu 1, na základě které dojde ke směně pozemků, kdy SMP převede vlastnické právo k pozemku </w:t>
      </w:r>
      <w:proofErr w:type="spellStart"/>
      <w:r>
        <w:t>parc</w:t>
      </w:r>
      <w:proofErr w:type="spellEnd"/>
      <w:r>
        <w:t xml:space="preserve">. č. 1584/8 a pozemku </w:t>
      </w:r>
      <w:proofErr w:type="spellStart"/>
      <w:r>
        <w:t>parc</w:t>
      </w:r>
      <w:proofErr w:type="spellEnd"/>
      <w:r>
        <w:t xml:space="preserve">. č. 1572/8, oba k. </w:t>
      </w:r>
      <w:proofErr w:type="spellStart"/>
      <w:r>
        <w:t>ú.</w:t>
      </w:r>
      <w:proofErr w:type="spellEnd"/>
      <w:r>
        <w:t xml:space="preserve"> Pardubice na Investora a současně Investor převede vlastnické právo k pozemku 3684/1, </w:t>
      </w:r>
      <w:proofErr w:type="spellStart"/>
      <w:r>
        <w:t>k.ú</w:t>
      </w:r>
      <w:proofErr w:type="spellEnd"/>
      <w:r>
        <w:t xml:space="preserve">. Pardubice, na SMP. Účelem Směny 1 je umožnit Investorovi získat vlastnické právo k pozemkům nezbytným pro umístění části Investičního záměru. Znění Směnné smlouvy 1 tvoří </w:t>
      </w:r>
      <w:r>
        <w:rPr>
          <w:u w:val="single"/>
        </w:rPr>
        <w:t>Přílohu č. 5</w:t>
      </w:r>
      <w:r>
        <w:t xml:space="preserve"> této Smlouvy. Pozemky, které vstupují do Směny 1, byly oceněny na</w:t>
      </w:r>
    </w:p>
    <w:p w14:paraId="54B4F88B" w14:textId="77777777" w:rsidR="00EC1C40" w:rsidRDefault="00000000">
      <w:pPr>
        <w:pStyle w:val="Zhlavnebozpat0"/>
        <w:framePr w:wrap="none" w:vAnchor="page" w:hAnchor="page" w:x="5547" w:y="16085"/>
        <w:rPr>
          <w:sz w:val="22"/>
          <w:szCs w:val="22"/>
        </w:rPr>
      </w:pPr>
      <w:r>
        <w:rPr>
          <w:color w:val="231E20"/>
          <w:sz w:val="22"/>
          <w:szCs w:val="22"/>
        </w:rPr>
        <w:t>29/63</w:t>
      </w:r>
    </w:p>
    <w:p w14:paraId="3DAFBD0B"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19F432F4" w14:textId="77777777" w:rsidR="00EC1C40" w:rsidRDefault="00000000">
      <w:pPr>
        <w:spacing w:line="1" w:lineRule="exact"/>
      </w:pPr>
      <w:r>
        <w:rPr>
          <w:noProof/>
        </w:rPr>
        <w:lastRenderedPageBreak/>
        <mc:AlternateContent>
          <mc:Choice Requires="wps">
            <w:drawing>
              <wp:anchor distT="0" distB="0" distL="114300" distR="114300" simplePos="0" relativeHeight="251612672" behindDoc="1" locked="0" layoutInCell="1" allowOverlap="1" wp14:anchorId="790AB6F6" wp14:editId="2B19E278">
                <wp:simplePos x="0" y="0"/>
                <wp:positionH relativeFrom="page">
                  <wp:posOffset>879475</wp:posOffset>
                </wp:positionH>
                <wp:positionV relativeFrom="page">
                  <wp:posOffset>932180</wp:posOffset>
                </wp:positionV>
                <wp:extent cx="5702935" cy="0"/>
                <wp:effectExtent l="0" t="0" r="0" b="0"/>
                <wp:wrapNone/>
                <wp:docPr id="29" name="Shape 29"/>
                <wp:cNvGraphicFramePr/>
                <a:graphic xmlns:a="http://schemas.openxmlformats.org/drawingml/2006/main">
                  <a:graphicData uri="http://schemas.microsoft.com/office/word/2010/wordprocessingShape">
                    <wps:wsp>
                      <wps:cNvCnPr/>
                      <wps:spPr>
                        <a:xfrm>
                          <a:off x="0" y="0"/>
                          <a:ext cx="5702935" cy="0"/>
                        </a:xfrm>
                        <a:prstGeom prst="straightConnector1">
                          <a:avLst/>
                        </a:prstGeom>
                        <a:ln w="6350">
                          <a:solidFill/>
                        </a:ln>
                      </wps:spPr>
                      <wps:bodyPr/>
                    </wps:wsp>
                  </a:graphicData>
                </a:graphic>
              </wp:anchor>
            </w:drawing>
          </mc:Choice>
          <mc:Fallback>
            <w:pict>
              <v:shape o:spt="32" o:oned="true" path="m,l21600,21600e" style="position:absolute;margin-left:69.25pt;margin-top:73.400000000000006pt;width:449.05000000000001pt;height:0;z-index:-251658240;mso-position-horizontal-relative:page;mso-position-vertical-relative:page">
                <v:stroke weight="0.5pt"/>
              </v:shape>
            </w:pict>
          </mc:Fallback>
        </mc:AlternateContent>
      </w:r>
    </w:p>
    <w:p w14:paraId="485379F4" w14:textId="77777777" w:rsidR="00EC1C40" w:rsidRDefault="00000000">
      <w:pPr>
        <w:pStyle w:val="Zhlavnebozpat0"/>
        <w:framePr w:wrap="none" w:vAnchor="page" w:hAnchor="page" w:x="5192" w:y="1186"/>
      </w:pPr>
      <w:r>
        <w:t>Plánovací smlouva</w:t>
      </w:r>
    </w:p>
    <w:p w14:paraId="457A7223" w14:textId="77777777" w:rsidR="00EC1C40" w:rsidRDefault="00000000">
      <w:pPr>
        <w:pStyle w:val="Zkladntext1"/>
        <w:framePr w:w="10186" w:h="13474" w:hRule="exact" w:wrap="none" w:vAnchor="page" w:hAnchor="page" w:x="1213" w:y="1940"/>
        <w:ind w:left="640"/>
        <w:jc w:val="both"/>
      </w:pPr>
      <w:r>
        <w:t>základě znaleckého posudku 010150/2025, zpracovaného Ing. Michalem Koláčkem, se sídlem Salavcova 175, 533 51 Pardubice, ze dne 3.2.2025. Investor uhradí SMP rozdíl mezi finálními cenami pozemků vstupujících do Směny 1 ve výši 298.144,- Kč (dále jen „</w:t>
      </w:r>
      <w:r>
        <w:rPr>
          <w:b/>
          <w:bCs/>
        </w:rPr>
        <w:t>Doplatek</w:t>
      </w:r>
      <w:r>
        <w:t>“). Smluvní strany sjednávají, že Doplatek bude SMP uhrazen v termínu sjednaném ve Směnné smlouvě 1.</w:t>
      </w:r>
    </w:p>
    <w:p w14:paraId="05798328" w14:textId="77777777" w:rsidR="00EC1C40" w:rsidRDefault="00000000">
      <w:pPr>
        <w:pStyle w:val="Zkladntext1"/>
        <w:framePr w:w="10186" w:h="13474" w:hRule="exact" w:wrap="none" w:vAnchor="page" w:hAnchor="page" w:x="1213" w:y="1940"/>
        <w:numPr>
          <w:ilvl w:val="1"/>
          <w:numId w:val="3"/>
        </w:numPr>
        <w:tabs>
          <w:tab w:val="left" w:pos="557"/>
        </w:tabs>
        <w:ind w:left="640" w:hanging="640"/>
        <w:jc w:val="both"/>
      </w:pPr>
      <w:r>
        <w:t>Smluvní strany se zavazují spolu uzavřít Smlouvu o smlouvě budoucí směnné, na základě které se zaváží spolu za podmínek stanovených ve Smlouvě o smlouvě budoucí směnné uzavřít realizační Směnnou smlouvu 2, na jejímž základě formou směny převedou vlastnická práva k pozemkům (jejich částem), které jsou uvedeny ve Smlouvě o smlouvě budoucí směnné (na základě které tedy realizují Směnu 2).</w:t>
      </w:r>
    </w:p>
    <w:p w14:paraId="21A9523A" w14:textId="77777777" w:rsidR="00EC1C40" w:rsidRDefault="00000000">
      <w:pPr>
        <w:pStyle w:val="Nadpis60"/>
        <w:framePr w:w="10186" w:h="13474" w:hRule="exact" w:wrap="none" w:vAnchor="page" w:hAnchor="page" w:x="1213" w:y="1940"/>
        <w:numPr>
          <w:ilvl w:val="0"/>
          <w:numId w:val="3"/>
        </w:numPr>
        <w:tabs>
          <w:tab w:val="left" w:pos="557"/>
        </w:tabs>
      </w:pPr>
      <w:bookmarkStart w:id="9" w:name="bookmark18"/>
      <w:r>
        <w:t>Další ujednání</w:t>
      </w:r>
      <w:bookmarkEnd w:id="9"/>
    </w:p>
    <w:p w14:paraId="77C4337D" w14:textId="77777777" w:rsidR="00EC1C40" w:rsidRDefault="00000000">
      <w:pPr>
        <w:pStyle w:val="Zkladntext1"/>
        <w:framePr w:w="10186" w:h="13474" w:hRule="exact" w:wrap="none" w:vAnchor="page" w:hAnchor="page" w:x="1213" w:y="1940"/>
        <w:numPr>
          <w:ilvl w:val="1"/>
          <w:numId w:val="3"/>
        </w:numPr>
        <w:tabs>
          <w:tab w:val="left" w:pos="557"/>
        </w:tabs>
        <w:spacing w:after="240"/>
        <w:ind w:left="640" w:hanging="640"/>
        <w:jc w:val="both"/>
      </w:pPr>
      <w:r>
        <w:t xml:space="preserve">SMP zachová nejméně po dobu 15 let od uzavření této Smlouvy své vlastnické právo k pozemkům a dalším nemovitým věcem, které v Lokalitě Nová Cihelna vlastní (tj. zdrží se převodu vlastnického práva k pozemkům a dalším nemovitým věcem, které vlastní v Lokalitě Nová Cihelna), a to primárně Vypůjčené pozemky (v celém jejich rozsahu) a dále pozemky, které se mají stát předmětem Výpůjčky (např. pozemky </w:t>
      </w:r>
      <w:proofErr w:type="spellStart"/>
      <w:r>
        <w:t>parc</w:t>
      </w:r>
      <w:proofErr w:type="spellEnd"/>
      <w:r>
        <w:t xml:space="preserve">. č. 3684/1 a </w:t>
      </w:r>
      <w:proofErr w:type="spellStart"/>
      <w:r>
        <w:t>parc</w:t>
      </w:r>
      <w:proofErr w:type="spellEnd"/>
      <w:r>
        <w:t xml:space="preserve">. č. 1584/9, oba </w:t>
      </w:r>
      <w:proofErr w:type="spellStart"/>
      <w:r>
        <w:t>k.ú</w:t>
      </w:r>
      <w:proofErr w:type="spellEnd"/>
      <w:r>
        <w:t>. Pardubice) a dále pozemky, které jsou předmětem Směny 2. Dojde-li v souladu s touto Smlouvou k prodloužení doby jejího trvání (čl. 17.1 této Smlouvy), prodlouží se o dobu tohoto prodlouženého trvání Smlouvy i trvání závazku SMP dle tohoto ustanovení.</w:t>
      </w:r>
    </w:p>
    <w:p w14:paraId="3CF839FF" w14:textId="77777777" w:rsidR="00EC1C40" w:rsidRDefault="00000000">
      <w:pPr>
        <w:pStyle w:val="Zkladntext1"/>
        <w:framePr w:w="10186" w:h="13474" w:hRule="exact" w:wrap="none" w:vAnchor="page" w:hAnchor="page" w:x="1213" w:y="1940"/>
        <w:numPr>
          <w:ilvl w:val="1"/>
          <w:numId w:val="3"/>
        </w:numPr>
        <w:tabs>
          <w:tab w:val="left" w:pos="557"/>
        </w:tabs>
        <w:spacing w:after="240"/>
        <w:ind w:left="640" w:hanging="640"/>
        <w:jc w:val="both"/>
      </w:pPr>
      <w:r>
        <w:t>SMP se na základě této Smlouvy zavazuje zajistit základní dopravní obslužnost Investičního záměru a nové plánované čtvrti Lokalita Nová Cihelna z hlediska městské hromadné dopravy. Základní dopravní obslužnost dle předchozí věty zahrnuje běžný provoz linky MHD v pracovních i víkendových dnech (celoročně), avšak nezahrnuje navýšené dopravní kapacity městské hromadné dopravy ve dnech konání kulturních či sportovních akcí v rámci Investičního záměru; zvýšenou dopravní obslužností Investičního záměru není dotčena základní dopravní obslužnost zajišťovaná SMP; tuto dopravní obslužnost (v rozsahu navýšené dopravní obslužnosti Investičního záměru) musí zajistit Investor nebo provozovatel Investičního záměru. Pro odstranění pochybností se výslovně uvádí, že pod běžný provoz linek MHD spadá rovněž běžný provoz Investičního záměru (mimo kulturní či sportovní akce v rámci Arény). Investor je povinen nejpozději do tří (3) měsíců před zahájením zkušebního provozu Investičního záměru prokázat SMP uzavření smluvních vztahů s dopravci zajišťujícími navýšenou dopravní kapacitu při konání akcí v Investičním záměru (např. informováním o uzavření smluv, mezi něž se počítá i uzavření rámcových smluv atd.). Investor se zavazuje poskytovat SMP součinnost při rozvoji městské hromadné dopravy v souvislosti s Investičním záměrem, která zahrnuje zohlednění požadavků Dopravního podniku města Pardubic a.s. v souvislosti s budoucí výstavbou trolejbusové trati v oblasti Točny a Zastávky (investice do této trolejbusové trati je nicméně investicí SMP a Investor se na ní finančně/investičně nijak nepodílí).</w:t>
      </w:r>
    </w:p>
    <w:p w14:paraId="19D5C195" w14:textId="77777777" w:rsidR="00EC1C40" w:rsidRDefault="00000000">
      <w:pPr>
        <w:pStyle w:val="Zkladntext1"/>
        <w:framePr w:w="10186" w:h="13474" w:hRule="exact" w:wrap="none" w:vAnchor="page" w:hAnchor="page" w:x="1213" w:y="1940"/>
        <w:numPr>
          <w:ilvl w:val="1"/>
          <w:numId w:val="3"/>
        </w:numPr>
        <w:tabs>
          <w:tab w:val="left" w:pos="557"/>
        </w:tabs>
        <w:spacing w:after="0"/>
        <w:ind w:left="640" w:hanging="640"/>
        <w:jc w:val="both"/>
      </w:pPr>
      <w:r>
        <w:t>Investor předložil SMP v roce 2025 Dopravní dokumentaci. V případě podstatné změny parametrů Investičního záměru je Investor povinen zajistit aktualizaci Dopravní dokumentace a předložit ji SMP k vyjádření nejpozději třicet (30) dnů před podáním žádosti o změnu Povolení záměru; SMP se vyjádří do třiceti (30) dnů od doručení a Investor zohlední relevantní připomínky SMP, které jsou v souladu s právními předpisy a technickými normami. Investor zajistí, že kapacita parkování realizovaná v rámci Investičního záměru bude odpovídat rozsahu a charakteru Investičního záměru a bude v souladu s Dopravní dokumentací a příslušnými právními předpisy. Parkovací kapacita Investičního záměru je uvedena v Základních parametrech v rámci Přílohy č. 1 této Smlouvy. Investor dále zajistí, že při přípravě a realizaci Investičního záměru budou splněny podmínky stanovené odborem služby dopravní policie a dopravním inspektorátem Krajského ředitelství policie Pardubického kraje, pokud budou tyto podmínky</w:t>
      </w:r>
    </w:p>
    <w:p w14:paraId="387031B8" w14:textId="77777777" w:rsidR="00EC1C40" w:rsidRDefault="00000000">
      <w:pPr>
        <w:pStyle w:val="Zhlavnebozpat0"/>
        <w:framePr w:wrap="none" w:vAnchor="page" w:hAnchor="page" w:x="5543" w:y="16085"/>
        <w:rPr>
          <w:sz w:val="22"/>
          <w:szCs w:val="22"/>
        </w:rPr>
      </w:pPr>
      <w:r>
        <w:rPr>
          <w:color w:val="231E20"/>
          <w:sz w:val="22"/>
          <w:szCs w:val="22"/>
        </w:rPr>
        <w:t>30/63</w:t>
      </w:r>
    </w:p>
    <w:p w14:paraId="43302959"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29AF1C71" w14:textId="77777777" w:rsidR="00EC1C40" w:rsidRDefault="00000000">
      <w:pPr>
        <w:spacing w:line="1" w:lineRule="exact"/>
      </w:pPr>
      <w:r>
        <w:rPr>
          <w:noProof/>
        </w:rPr>
        <w:lastRenderedPageBreak/>
        <mc:AlternateContent>
          <mc:Choice Requires="wps">
            <w:drawing>
              <wp:anchor distT="0" distB="0" distL="114300" distR="114300" simplePos="0" relativeHeight="251613696" behindDoc="1" locked="0" layoutInCell="1" allowOverlap="1" wp14:anchorId="1B11ED0A" wp14:editId="19BF4B23">
                <wp:simplePos x="0" y="0"/>
                <wp:positionH relativeFrom="page">
                  <wp:posOffset>879475</wp:posOffset>
                </wp:positionH>
                <wp:positionV relativeFrom="page">
                  <wp:posOffset>932180</wp:posOffset>
                </wp:positionV>
                <wp:extent cx="5702935" cy="0"/>
                <wp:effectExtent l="0" t="0" r="0" b="0"/>
                <wp:wrapNone/>
                <wp:docPr id="30" name="Shape 30"/>
                <wp:cNvGraphicFramePr/>
                <a:graphic xmlns:a="http://schemas.openxmlformats.org/drawingml/2006/main">
                  <a:graphicData uri="http://schemas.microsoft.com/office/word/2010/wordprocessingShape">
                    <wps:wsp>
                      <wps:cNvCnPr/>
                      <wps:spPr>
                        <a:xfrm>
                          <a:off x="0" y="0"/>
                          <a:ext cx="5702935" cy="0"/>
                        </a:xfrm>
                        <a:prstGeom prst="straightConnector1">
                          <a:avLst/>
                        </a:prstGeom>
                        <a:ln w="6350">
                          <a:solidFill/>
                        </a:ln>
                      </wps:spPr>
                      <wps:bodyPr/>
                    </wps:wsp>
                  </a:graphicData>
                </a:graphic>
              </wp:anchor>
            </w:drawing>
          </mc:Choice>
          <mc:Fallback>
            <w:pict>
              <v:shape o:spt="32" o:oned="true" path="m,l21600,21600e" style="position:absolute;margin-left:69.25pt;margin-top:73.400000000000006pt;width:449.05000000000001pt;height:0;z-index:-251658240;mso-position-horizontal-relative:page;mso-position-vertical-relative:page">
                <v:stroke weight="0.5pt"/>
              </v:shape>
            </w:pict>
          </mc:Fallback>
        </mc:AlternateContent>
      </w:r>
    </w:p>
    <w:p w14:paraId="3DE2DE1D" w14:textId="77777777" w:rsidR="00EC1C40" w:rsidRDefault="00000000">
      <w:pPr>
        <w:pStyle w:val="Zhlavnebozpat0"/>
        <w:framePr w:wrap="none" w:vAnchor="page" w:hAnchor="page" w:x="5192" w:y="1186"/>
      </w:pPr>
      <w:r>
        <w:t>Plánovací smlouva</w:t>
      </w:r>
    </w:p>
    <w:p w14:paraId="436FC7D1" w14:textId="77777777" w:rsidR="00EC1C40" w:rsidRDefault="00000000">
      <w:pPr>
        <w:pStyle w:val="Zkladntext1"/>
        <w:framePr w:w="10186" w:h="13483" w:hRule="exact" w:wrap="none" w:vAnchor="page" w:hAnchor="page" w:x="1213" w:y="1940"/>
        <w:spacing w:after="220"/>
        <w:ind w:left="640"/>
        <w:jc w:val="both"/>
      </w:pPr>
      <w:r>
        <w:t>stanoveny v rámci závazných stanovisek vydaných pro účely Povolení záměru a posléze převzaty do podmínek v rámci Povolení záměru.</w:t>
      </w:r>
    </w:p>
    <w:p w14:paraId="32516921" w14:textId="77777777" w:rsidR="00EC1C40" w:rsidRDefault="00000000">
      <w:pPr>
        <w:pStyle w:val="Zkladntext1"/>
        <w:framePr w:w="10186" w:h="13483" w:hRule="exact" w:wrap="none" w:vAnchor="page" w:hAnchor="page" w:x="1213" w:y="1940"/>
        <w:numPr>
          <w:ilvl w:val="1"/>
          <w:numId w:val="3"/>
        </w:numPr>
        <w:tabs>
          <w:tab w:val="left" w:pos="553"/>
        </w:tabs>
        <w:spacing w:after="220"/>
        <w:ind w:left="640" w:hanging="640"/>
        <w:jc w:val="both"/>
      </w:pPr>
      <w:r>
        <w:t>Smluvní strany sjednávají, že dopravní obslužnost Investičního záměru a dopady jeho provozu na dopravní systém dotčené části města Pardubic budou ověřeny v Monitorovacím období, čímž se rozumí zejména:</w:t>
      </w:r>
    </w:p>
    <w:p w14:paraId="783AE669" w14:textId="77777777" w:rsidR="00EC1C40" w:rsidRDefault="00000000">
      <w:pPr>
        <w:pStyle w:val="Zkladntext1"/>
        <w:framePr w:w="10186" w:h="13483" w:hRule="exact" w:wrap="none" w:vAnchor="page" w:hAnchor="page" w:x="1213" w:y="1940"/>
        <w:numPr>
          <w:ilvl w:val="2"/>
          <w:numId w:val="3"/>
        </w:numPr>
        <w:tabs>
          <w:tab w:val="left" w:pos="1365"/>
        </w:tabs>
        <w:spacing w:after="220"/>
        <w:ind w:left="1380" w:hanging="740"/>
        <w:jc w:val="both"/>
      </w:pPr>
      <w:r>
        <w:t>dopady na širší komunikační síť, a to zejména s ohledem na vyústění silnice I/36 (severovýchodní obchvat), kdy bude nutné prověřit přinejmenším křižovatku silnice III/32224 (ulice Poděbradská) a silnice II/324 (ulice Hradecká), okružní křižovatku silnice III/32224 (ulice Poděbradská) a silnice I/36 (SV obchvat) a okružní křižovatku ulic Na Drážce a Husova a silnice I/36 (SV obchvat),</w:t>
      </w:r>
    </w:p>
    <w:p w14:paraId="06A638AB" w14:textId="77777777" w:rsidR="00EC1C40" w:rsidRDefault="00000000">
      <w:pPr>
        <w:pStyle w:val="Zkladntext1"/>
        <w:framePr w:w="10186" w:h="13483" w:hRule="exact" w:wrap="none" w:vAnchor="page" w:hAnchor="page" w:x="1213" w:y="1940"/>
        <w:numPr>
          <w:ilvl w:val="2"/>
          <w:numId w:val="3"/>
        </w:numPr>
        <w:tabs>
          <w:tab w:val="left" w:pos="1365"/>
        </w:tabs>
        <w:spacing w:after="220"/>
        <w:ind w:left="1380" w:hanging="740"/>
        <w:jc w:val="both"/>
      </w:pPr>
      <w:r>
        <w:t>dopady na lokální dopravní síť (tedy okolí Investičního záměru a jeho napojení na budoucí páteřní místní komunikaci Lokality Nová Cihelna a napojení na I/36 potažmo II/324 skrz prodloužení ulice Stromová),</w:t>
      </w:r>
    </w:p>
    <w:p w14:paraId="31D8A89A" w14:textId="77777777" w:rsidR="00EC1C40" w:rsidRDefault="00000000">
      <w:pPr>
        <w:pStyle w:val="Zkladntext1"/>
        <w:framePr w:w="10186" w:h="13483" w:hRule="exact" w:wrap="none" w:vAnchor="page" w:hAnchor="page" w:x="1213" w:y="1940"/>
        <w:numPr>
          <w:ilvl w:val="2"/>
          <w:numId w:val="3"/>
        </w:numPr>
        <w:tabs>
          <w:tab w:val="left" w:pos="1365"/>
        </w:tabs>
        <w:spacing w:after="220"/>
        <w:ind w:firstLine="640"/>
        <w:jc w:val="both"/>
      </w:pPr>
      <w:r>
        <w:t>kapacita veřejné hromadné dopravy,</w:t>
      </w:r>
    </w:p>
    <w:p w14:paraId="5FC8E36D" w14:textId="77777777" w:rsidR="00EC1C40" w:rsidRDefault="00000000">
      <w:pPr>
        <w:pStyle w:val="Zkladntext1"/>
        <w:framePr w:w="10186" w:h="13483" w:hRule="exact" w:wrap="none" w:vAnchor="page" w:hAnchor="page" w:x="1213" w:y="1940"/>
        <w:numPr>
          <w:ilvl w:val="2"/>
          <w:numId w:val="3"/>
        </w:numPr>
        <w:tabs>
          <w:tab w:val="left" w:pos="1365"/>
        </w:tabs>
        <w:spacing w:after="220"/>
        <w:ind w:firstLine="640"/>
        <w:jc w:val="both"/>
      </w:pPr>
      <w:r>
        <w:t>kapacita dopravy v klidu.</w:t>
      </w:r>
    </w:p>
    <w:p w14:paraId="38C9B161" w14:textId="77777777" w:rsidR="00EC1C40" w:rsidRDefault="00000000">
      <w:pPr>
        <w:pStyle w:val="Zkladntext1"/>
        <w:framePr w:w="10186" w:h="13483" w:hRule="exact" w:wrap="none" w:vAnchor="page" w:hAnchor="page" w:x="1213" w:y="1940"/>
        <w:spacing w:after="220"/>
        <w:ind w:left="640"/>
        <w:jc w:val="both"/>
      </w:pPr>
      <w:r>
        <w:t xml:space="preserve">Za tím účelem Smluvní strany ustanoví expertní pracovní skupinu, do níž každá ze Smluvních stran nominuje jednoho svého zástupce. Dále do expertní skupiny každá ze Smluvních stran nominuje po dvou </w:t>
      </w:r>
      <w:proofErr w:type="spellStart"/>
      <w:r>
        <w:t>nominantech</w:t>
      </w:r>
      <w:proofErr w:type="spellEnd"/>
      <w:r>
        <w:t xml:space="preserve"> z řad zástupců ŘSD, dopravní policie a/nebo případně dalších osob z oblasti dopravy, nedohodnou-li se Smluvní strany jinak. Účelem této expertní pracovní skupiny bude příprava metodiky pro vyhodnocení dopravy v rámci Monitorovacího období a stanovení konkrétních cílů, metod a postupu tohoto vyhodnocení. Monitorovací období bude trvat do té doby, než budou získána relevantní data o dopadech provozu Investičního záměru na dopravní systém dotčené části města Pardubic, včetně dopadů souvisejících s pořádáním akcí s různou návštěvností, v počtu 12.000 až 25.000 osob, nejméně však do kolaudace Investičního záměru. Ustanovení této expertní pracovní skupiny by mělo proběhnout ideálně do jednoho (1) roku od právní moci Povolení záměru. Náklady na činnost této expertní pracovní skupiny nese každý z účastníků ze svého. Přímé náklady související s prováděním prvků monitoringu, tedy náklady na dopravní a sociologické průzkumy (včetně sčítání, výpočtů atd.), nese Investor.</w:t>
      </w:r>
    </w:p>
    <w:p w14:paraId="2CA6957B" w14:textId="77777777" w:rsidR="00EC1C40" w:rsidRDefault="00000000">
      <w:pPr>
        <w:pStyle w:val="Zkladntext1"/>
        <w:framePr w:w="10186" w:h="13483" w:hRule="exact" w:wrap="none" w:vAnchor="page" w:hAnchor="page" w:x="1213" w:y="1940"/>
        <w:spacing w:after="220"/>
        <w:ind w:left="640"/>
        <w:jc w:val="both"/>
      </w:pPr>
      <w:r>
        <w:t>Expertní pracovní skupina je při výkonu své činnosti a při navrhování případných Dopravních opatření dle čl. 10.5 této Smlouvy povinna vzít náležitě do úvahy veškeré relevantní podklady a zohlednit i platné strategické dokumenty SMP v oblasti dopravy a mobility, zejména Plán udržitelné městské mobility Statutárního města Pardubic a další koncepční dokumenty SMP účinné v době činnosti skupiny. Navrhovaná Dopravní opatření musí být přiměřená skutečným dopadům provozu Investičního záměru na dopravní systém zjištěným v rámci Monitorovacího období, musí odpovídat požadavkům na Dopravní opatření dle této Smlouvy a musí náležitě zohlednit výše uvedené strategické dokumenty.</w:t>
      </w:r>
    </w:p>
    <w:p w14:paraId="0DC14EDA" w14:textId="77777777" w:rsidR="00EC1C40" w:rsidRDefault="00000000">
      <w:pPr>
        <w:pStyle w:val="Zkladntext1"/>
        <w:framePr w:w="10186" w:h="13483" w:hRule="exact" w:wrap="none" w:vAnchor="page" w:hAnchor="page" w:x="1213" w:y="1940"/>
        <w:numPr>
          <w:ilvl w:val="1"/>
          <w:numId w:val="3"/>
        </w:numPr>
        <w:tabs>
          <w:tab w:val="left" w:pos="553"/>
        </w:tabs>
        <w:spacing w:after="0"/>
        <w:ind w:left="640" w:hanging="640"/>
        <w:jc w:val="both"/>
      </w:pPr>
      <w:r>
        <w:t>V rámci Monitorovacího období a dále po jeho skončení proběhne vyhodnocení dopravní situace na příslušných komunikacích a k vyhodnocení vlivu Investičního záměru na dopravní provoz na těchto vybraných komunikacích, a to v souladu s určenou metodikou stanovenou expertní pracovní skupinou. Za přípravu návrhu Dopravních opatření a jejich předložení Smluvním stranám odpovídá expertní pracovní skupina; svá doporučení je povinna řádně odůvodnit a doložit daty získanými v průběhu Monitorovacího období. V rámci vyhodnocení Monitorovacího období budou rovněž diskutována případná opatření, která musí být jednotlivými subjekty</w:t>
      </w:r>
    </w:p>
    <w:p w14:paraId="4BFAB964" w14:textId="77777777" w:rsidR="00EC1C40" w:rsidRDefault="00000000">
      <w:pPr>
        <w:pStyle w:val="Zhlavnebozpat0"/>
        <w:framePr w:wrap="none" w:vAnchor="page" w:hAnchor="page" w:x="5543" w:y="16085"/>
        <w:rPr>
          <w:sz w:val="22"/>
          <w:szCs w:val="22"/>
        </w:rPr>
      </w:pPr>
      <w:r>
        <w:rPr>
          <w:color w:val="231E20"/>
          <w:sz w:val="22"/>
          <w:szCs w:val="22"/>
        </w:rPr>
        <w:t>31/63</w:t>
      </w:r>
    </w:p>
    <w:p w14:paraId="6CA71402"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60B77308" w14:textId="77777777" w:rsidR="00EC1C40" w:rsidRDefault="00000000">
      <w:pPr>
        <w:spacing w:line="1" w:lineRule="exact"/>
      </w:pPr>
      <w:r>
        <w:rPr>
          <w:noProof/>
        </w:rPr>
        <w:lastRenderedPageBreak/>
        <mc:AlternateContent>
          <mc:Choice Requires="wps">
            <w:drawing>
              <wp:anchor distT="0" distB="0" distL="114300" distR="114300" simplePos="0" relativeHeight="251614720" behindDoc="1" locked="0" layoutInCell="1" allowOverlap="1" wp14:anchorId="5AB24186" wp14:editId="03889A49">
                <wp:simplePos x="0" y="0"/>
                <wp:positionH relativeFrom="page">
                  <wp:posOffset>879475</wp:posOffset>
                </wp:positionH>
                <wp:positionV relativeFrom="page">
                  <wp:posOffset>932180</wp:posOffset>
                </wp:positionV>
                <wp:extent cx="5702935" cy="0"/>
                <wp:effectExtent l="0" t="0" r="0" b="0"/>
                <wp:wrapNone/>
                <wp:docPr id="31" name="Shape 31"/>
                <wp:cNvGraphicFramePr/>
                <a:graphic xmlns:a="http://schemas.openxmlformats.org/drawingml/2006/main">
                  <a:graphicData uri="http://schemas.microsoft.com/office/word/2010/wordprocessingShape">
                    <wps:wsp>
                      <wps:cNvCnPr/>
                      <wps:spPr>
                        <a:xfrm>
                          <a:off x="0" y="0"/>
                          <a:ext cx="5702935" cy="0"/>
                        </a:xfrm>
                        <a:prstGeom prst="straightConnector1">
                          <a:avLst/>
                        </a:prstGeom>
                        <a:ln w="6350">
                          <a:solidFill/>
                        </a:ln>
                      </wps:spPr>
                      <wps:bodyPr/>
                    </wps:wsp>
                  </a:graphicData>
                </a:graphic>
              </wp:anchor>
            </w:drawing>
          </mc:Choice>
          <mc:Fallback>
            <w:pict>
              <v:shape o:spt="32" o:oned="true" path="m,l21600,21600e" style="position:absolute;margin-left:69.25pt;margin-top:73.400000000000006pt;width:449.05000000000001pt;height:0;z-index:-251658240;mso-position-horizontal-relative:page;mso-position-vertical-relative:page">
                <v:stroke weight="0.5pt"/>
              </v:shape>
            </w:pict>
          </mc:Fallback>
        </mc:AlternateContent>
      </w:r>
    </w:p>
    <w:p w14:paraId="78C4DFBB" w14:textId="77777777" w:rsidR="00EC1C40" w:rsidRDefault="00000000">
      <w:pPr>
        <w:pStyle w:val="Zhlavnebozpat0"/>
        <w:framePr w:wrap="none" w:vAnchor="page" w:hAnchor="page" w:x="5192" w:y="1186"/>
      </w:pPr>
      <w:r>
        <w:t>Plánovací smlouva</w:t>
      </w:r>
    </w:p>
    <w:p w14:paraId="33C8035E" w14:textId="77777777" w:rsidR="00EC1C40" w:rsidRDefault="00000000">
      <w:pPr>
        <w:pStyle w:val="Zkladntext1"/>
        <w:framePr w:w="10186" w:h="13056" w:hRule="exact" w:wrap="none" w:vAnchor="page" w:hAnchor="page" w:x="1213" w:y="1940"/>
        <w:spacing w:after="220"/>
        <w:ind w:left="640"/>
        <w:jc w:val="both"/>
      </w:pPr>
      <w:r>
        <w:t>realizována za účelem zefektivnění dopravního provozu v Pardubicích, pokud se týkají realizace Investičního záměru.</w:t>
      </w:r>
    </w:p>
    <w:p w14:paraId="1B35FF7F" w14:textId="77777777" w:rsidR="00EC1C40" w:rsidRDefault="00000000">
      <w:pPr>
        <w:pStyle w:val="Zkladntext1"/>
        <w:framePr w:w="10186" w:h="13056" w:hRule="exact" w:wrap="none" w:vAnchor="page" w:hAnchor="page" w:x="1213" w:y="1940"/>
        <w:spacing w:after="220"/>
        <w:ind w:left="640"/>
        <w:jc w:val="both"/>
      </w:pPr>
      <w:r>
        <w:t>V případě, že v průběhu Monitorovacího období bude zjištěn na základě objektivních měření realizovaných v souladu s právními předpisy a příslušnou metodikou nevyhovující stav dopravy v dotčené části Pardubic (ve smyslu rozporu tohoto nevyhovujícího stavu dopravy s požadavky právních přepisů), přičemž tento stav bude prokazatelně vyvolán provozem Investičního záměru, a pokud z těchto důvodů uvedených výše vyvstane potřeba realizace dopravních opatření (tato dopravní opatření splňující podmínky uvedené výše v tomto ustanovení dále jen „</w:t>
      </w:r>
      <w:r>
        <w:rPr>
          <w:b/>
          <w:bCs/>
        </w:rPr>
        <w:t>Dopravní opatření</w:t>
      </w:r>
      <w:r>
        <w:t>“), budou Smluvní strany postupovat následovně:</w:t>
      </w:r>
    </w:p>
    <w:p w14:paraId="01977685" w14:textId="77777777" w:rsidR="00EC1C40" w:rsidRDefault="00000000">
      <w:pPr>
        <w:pStyle w:val="Zkladntext1"/>
        <w:framePr w:w="10186" w:h="13056" w:hRule="exact" w:wrap="none" w:vAnchor="page" w:hAnchor="page" w:x="1213" w:y="1940"/>
        <w:numPr>
          <w:ilvl w:val="2"/>
          <w:numId w:val="3"/>
        </w:numPr>
        <w:tabs>
          <w:tab w:val="left" w:pos="1374"/>
        </w:tabs>
        <w:spacing w:after="220"/>
        <w:ind w:left="1360" w:hanging="720"/>
        <w:jc w:val="both"/>
      </w:pPr>
      <w:r>
        <w:t>Přednostně budou realizována ta Dopravní opatření, která mají nestavební povahu (např. úprava signálního plánu křižovatky atd.). Tato nestavební Dopravní opatření bude realizovat ta Smluvní strana (respektive subjekt), která vlastní komunikaci, na které má být dané nestavební Dopravní opatření realizováno, nedohodnou-li se Smluvní strany jinak; náklady na realizaci těchto nestavebních Dopravních opatření nese Investor v případě, kdy se jedná o nestavební Dopravní opatření splňující definiční znaky uvedené v tomto čl. 10.5 Smlouvy, a to (i) v rozsahu, který je nezbytně nutný k odstranění nevyhovujícího stavu dopravy v dotčené části Pardubic, (</w:t>
      </w:r>
      <w:proofErr w:type="spellStart"/>
      <w:r>
        <w:t>ii</w:t>
      </w:r>
      <w:proofErr w:type="spellEnd"/>
      <w:r>
        <w:t>) v rozsahu, jaký je přímo vyvolán v nikoli jen marginálním rozsahu provozem Investičního záměru, a (</w:t>
      </w:r>
      <w:proofErr w:type="spellStart"/>
      <w:r>
        <w:t>iii</w:t>
      </w:r>
      <w:proofErr w:type="spellEnd"/>
      <w:r>
        <w:t>) pokud nelze odstranění tohoto nevyhovujícího stavu dosáhnout jiným způsobem. Tato nestavební Dopravní opatření budou následně náležitě vyhodnocena, a to ve lhůtě potřebné k řádnému vyhodnocení jejich účinnosti;</w:t>
      </w:r>
    </w:p>
    <w:p w14:paraId="2AAA7574" w14:textId="77777777" w:rsidR="00EC1C40" w:rsidRDefault="00000000">
      <w:pPr>
        <w:pStyle w:val="Zkladntext1"/>
        <w:framePr w:w="10186" w:h="13056" w:hRule="exact" w:wrap="none" w:vAnchor="page" w:hAnchor="page" w:x="1213" w:y="1940"/>
        <w:numPr>
          <w:ilvl w:val="2"/>
          <w:numId w:val="3"/>
        </w:numPr>
        <w:tabs>
          <w:tab w:val="left" w:pos="1374"/>
        </w:tabs>
        <w:spacing w:after="220"/>
        <w:ind w:left="1360" w:hanging="720"/>
        <w:jc w:val="both"/>
      </w:pPr>
      <w:r>
        <w:t>Pokud nebude dosaženo nápravy nevyhovujícího stavu (ve smyslu uvedení tohoto nevyhovujícího stavu dopravy do souladu s požadavky právních přepisů) ani za pomoci nestavebních Dopravních opatření dle čl. 10.5.1 Smlouvy, zavazuje se Investor za dále stanovených podmínek zajistit na své náklady realizaci stavebních Dopravních opatření, a to (i) v rozsahu, který je nezbytně nutný k odstranění tohoto nevyhovujícího stavu dopravy v dotčené části Pardubic, (</w:t>
      </w:r>
      <w:proofErr w:type="spellStart"/>
      <w:r>
        <w:t>ii</w:t>
      </w:r>
      <w:proofErr w:type="spellEnd"/>
      <w:r>
        <w:t>) v rozsahu, jaký je přímo vyvolán v nikoli jen marginálním rozsahu provozem Investičního záměru, a (</w:t>
      </w:r>
      <w:proofErr w:type="spellStart"/>
      <w:r>
        <w:t>iii</w:t>
      </w:r>
      <w:proofErr w:type="spellEnd"/>
      <w:r>
        <w:t>) pokud nelze odstranění tohoto nevyhovujícího stavu dosáhnout jiným způsobem (např. výše uvedeným nestavebním Dopravním opatřením);</w:t>
      </w:r>
    </w:p>
    <w:p w14:paraId="6868B244" w14:textId="77777777" w:rsidR="00EC1C40" w:rsidRDefault="00000000">
      <w:pPr>
        <w:pStyle w:val="Zkladntext1"/>
        <w:framePr w:w="10186" w:h="13056" w:hRule="exact" w:wrap="none" w:vAnchor="page" w:hAnchor="page" w:x="1213" w:y="1940"/>
        <w:numPr>
          <w:ilvl w:val="2"/>
          <w:numId w:val="3"/>
        </w:numPr>
        <w:tabs>
          <w:tab w:val="left" w:pos="1374"/>
        </w:tabs>
        <w:spacing w:after="0"/>
        <w:ind w:left="1360" w:hanging="720"/>
        <w:jc w:val="both"/>
      </w:pPr>
      <w:r>
        <w:t>Za účelem realizace stavebních Dopravních opatření dle čl. 10.5.2 Smlouvy Smluvní strany uzavřou do tří (3) měsíců od vyhodnocení nestavebních Dopravních opatření dle čl. 10.5.1 Smlouvy příslušnou dohodu, ve které dohodnou (i) stavební Dopravní opatření, která mají být realizována, (</w:t>
      </w:r>
      <w:proofErr w:type="spellStart"/>
      <w:r>
        <w:t>ii</w:t>
      </w:r>
      <w:proofErr w:type="spellEnd"/>
      <w:r>
        <w:t>) povinnosti Investora (včetně projektové přípravy, inženýringu, majetkoprávní přípravy, pokud bude nutná, a stavební realizace), (</w:t>
      </w:r>
      <w:proofErr w:type="spellStart"/>
      <w:r>
        <w:t>iii</w:t>
      </w:r>
      <w:proofErr w:type="spellEnd"/>
      <w:r>
        <w:t>) povinnosti SMP (zejména poskytnutí nezbytné součinnosti pro realizaci Dopravních opatření), (</w:t>
      </w:r>
      <w:proofErr w:type="spellStart"/>
      <w:r>
        <w:t>iv</w:t>
      </w:r>
      <w:proofErr w:type="spellEnd"/>
      <w:r>
        <w:t>) termíny pro realizaci těchto stavebních Dopravních opatření a (v) další nezbytné otázky. Termíny pro realizaci stavebních Dopravních opatření budou stanoveny s ohledem na čas, který je nezbytný k přípravě projektové dokumentace, majetkoprávní přípravě (pokud bude nutná), vydání příslušných povolení a stavební realizaci těchto stavebních Dopravních opatření. Pokud by bylo zapotřebí za účelem realizace Dopravních opatření změnit územní plán SMP (Nový ÚP), územní studii či jiné územně plánovací podklady, bude dohoda obsahovat i závazky tohoto druhu, přičemž se čas nezbytný pro tyto změny v plném rozsahu zohlední i v rámci termínů k realizaci Dopravních opatření;</w:t>
      </w:r>
    </w:p>
    <w:p w14:paraId="138BB8DB" w14:textId="77777777" w:rsidR="00EC1C40" w:rsidRDefault="00000000">
      <w:pPr>
        <w:pStyle w:val="Zhlavnebozpat0"/>
        <w:framePr w:wrap="none" w:vAnchor="page" w:hAnchor="page" w:x="5543" w:y="16085"/>
        <w:rPr>
          <w:sz w:val="22"/>
          <w:szCs w:val="22"/>
        </w:rPr>
      </w:pPr>
      <w:r>
        <w:rPr>
          <w:color w:val="231E20"/>
          <w:sz w:val="22"/>
          <w:szCs w:val="22"/>
        </w:rPr>
        <w:t>32/63</w:t>
      </w:r>
    </w:p>
    <w:p w14:paraId="723F52C4"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025725AA" w14:textId="77777777" w:rsidR="00EC1C40" w:rsidRDefault="00000000">
      <w:pPr>
        <w:spacing w:line="1" w:lineRule="exact"/>
      </w:pPr>
      <w:r>
        <w:rPr>
          <w:noProof/>
        </w:rPr>
        <w:lastRenderedPageBreak/>
        <mc:AlternateContent>
          <mc:Choice Requires="wps">
            <w:drawing>
              <wp:anchor distT="0" distB="0" distL="114300" distR="114300" simplePos="0" relativeHeight="251615744" behindDoc="1" locked="0" layoutInCell="1" allowOverlap="1" wp14:anchorId="2A938583" wp14:editId="7875C5C2">
                <wp:simplePos x="0" y="0"/>
                <wp:positionH relativeFrom="page">
                  <wp:posOffset>879475</wp:posOffset>
                </wp:positionH>
                <wp:positionV relativeFrom="page">
                  <wp:posOffset>932180</wp:posOffset>
                </wp:positionV>
                <wp:extent cx="5702935" cy="0"/>
                <wp:effectExtent l="0" t="0" r="0" b="0"/>
                <wp:wrapNone/>
                <wp:docPr id="32" name="Shape 32"/>
                <wp:cNvGraphicFramePr/>
                <a:graphic xmlns:a="http://schemas.openxmlformats.org/drawingml/2006/main">
                  <a:graphicData uri="http://schemas.microsoft.com/office/word/2010/wordprocessingShape">
                    <wps:wsp>
                      <wps:cNvCnPr/>
                      <wps:spPr>
                        <a:xfrm>
                          <a:off x="0" y="0"/>
                          <a:ext cx="5702935" cy="0"/>
                        </a:xfrm>
                        <a:prstGeom prst="straightConnector1">
                          <a:avLst/>
                        </a:prstGeom>
                        <a:ln w="6350">
                          <a:solidFill/>
                        </a:ln>
                      </wps:spPr>
                      <wps:bodyPr/>
                    </wps:wsp>
                  </a:graphicData>
                </a:graphic>
              </wp:anchor>
            </w:drawing>
          </mc:Choice>
          <mc:Fallback>
            <w:pict>
              <v:shape o:spt="32" o:oned="true" path="m,l21600,21600e" style="position:absolute;margin-left:69.25pt;margin-top:73.400000000000006pt;width:449.05000000000001pt;height:0;z-index:-251658240;mso-position-horizontal-relative:page;mso-position-vertical-relative:page">
                <v:stroke weight="0.5pt"/>
              </v:shape>
            </w:pict>
          </mc:Fallback>
        </mc:AlternateContent>
      </w:r>
    </w:p>
    <w:p w14:paraId="644C92FE" w14:textId="77777777" w:rsidR="00EC1C40" w:rsidRDefault="00000000">
      <w:pPr>
        <w:pStyle w:val="Zhlavnebozpat0"/>
        <w:framePr w:wrap="none" w:vAnchor="page" w:hAnchor="page" w:x="5192" w:y="1186"/>
      </w:pPr>
      <w:r>
        <w:t>Plánovací smlouva</w:t>
      </w:r>
    </w:p>
    <w:p w14:paraId="68B008DE" w14:textId="77777777" w:rsidR="00EC1C40" w:rsidRDefault="00000000">
      <w:pPr>
        <w:pStyle w:val="Zkladntext1"/>
        <w:framePr w:w="10186" w:h="13426" w:hRule="exact" w:wrap="none" w:vAnchor="page" w:hAnchor="page" w:x="1213" w:y="1940"/>
        <w:numPr>
          <w:ilvl w:val="2"/>
          <w:numId w:val="3"/>
        </w:numPr>
        <w:tabs>
          <w:tab w:val="left" w:pos="1374"/>
        </w:tabs>
        <w:spacing w:after="220"/>
        <w:ind w:left="1380" w:hanging="740"/>
        <w:jc w:val="both"/>
      </w:pPr>
      <w:r>
        <w:t>Smluvní strany jsou si vědomy, že některá z Dopravních opatření (ať stavební či nestavební povahy) může být nezbytné realizovat i na komunikacích ve vlastnictví třetích osob (např. ŘSD). V takovém případě je povinností Investora uzavřít příslušnou dohodu o realizaci stavebních Dopravních opatření s ŘSD, a to ve lhůtě šesti (6) měsíců od vyhodnocení nestavebních Dopravních opatření dle čl. 10.5.1 Smlouvy;</w:t>
      </w:r>
    </w:p>
    <w:p w14:paraId="44512163" w14:textId="77777777" w:rsidR="00EC1C40" w:rsidRDefault="00000000">
      <w:pPr>
        <w:pStyle w:val="Zkladntext1"/>
        <w:framePr w:w="10186" w:h="13426" w:hRule="exact" w:wrap="none" w:vAnchor="page" w:hAnchor="page" w:x="1213" w:y="1940"/>
        <w:numPr>
          <w:ilvl w:val="2"/>
          <w:numId w:val="3"/>
        </w:numPr>
        <w:tabs>
          <w:tab w:val="left" w:pos="1374"/>
        </w:tabs>
        <w:spacing w:after="220"/>
        <w:ind w:left="1380" w:hanging="740"/>
        <w:jc w:val="both"/>
      </w:pPr>
      <w:r>
        <w:t>V případě nedohody Smluvních stran nad podmínkami dohody dle čl. 10.5.3 této Smlouvy, a to ani v dodatečné lhůtě šesti (6) měsíců, je oprávněno příslušná Dopravní opatření uvedená v čl. 10.5.2 Smlouvy realizovat SMP, a to na náklady Investora, který SMP uhradí účelně vynaložené náklady na realizaci takovýchto Dopravních opatření;</w:t>
      </w:r>
    </w:p>
    <w:p w14:paraId="777AACA7" w14:textId="77777777" w:rsidR="00EC1C40" w:rsidRDefault="00000000">
      <w:pPr>
        <w:pStyle w:val="Zkladntext1"/>
        <w:framePr w:w="10186" w:h="13426" w:hRule="exact" w:wrap="none" w:vAnchor="page" w:hAnchor="page" w:x="1213" w:y="1940"/>
        <w:numPr>
          <w:ilvl w:val="2"/>
          <w:numId w:val="3"/>
        </w:numPr>
        <w:tabs>
          <w:tab w:val="left" w:pos="1374"/>
        </w:tabs>
        <w:spacing w:after="220"/>
        <w:ind w:left="1380" w:hanging="740"/>
        <w:jc w:val="both"/>
      </w:pPr>
      <w:r>
        <w:t>Smluvní strany učiní příslušné kroky potřebné pro splnění povinností dle tohoto ustanovení a poskytnou si pro realizaci Dopravních opatření veškerou potřebnou součinnost; a</w:t>
      </w:r>
    </w:p>
    <w:p w14:paraId="383E6CC4" w14:textId="77777777" w:rsidR="00EC1C40" w:rsidRDefault="00000000">
      <w:pPr>
        <w:pStyle w:val="Zkladntext1"/>
        <w:framePr w:w="10186" w:h="13426" w:hRule="exact" w:wrap="none" w:vAnchor="page" w:hAnchor="page" w:x="1213" w:y="1940"/>
        <w:numPr>
          <w:ilvl w:val="2"/>
          <w:numId w:val="3"/>
        </w:numPr>
        <w:tabs>
          <w:tab w:val="left" w:pos="1374"/>
        </w:tabs>
        <w:spacing w:after="220"/>
        <w:ind w:left="1380" w:hanging="740"/>
        <w:jc w:val="both"/>
      </w:pPr>
      <w:r>
        <w:t>V rámci realizovaných Dopravních opatření vezmou Smluvní strany v potaz doporučení expertní pracovní skupiny (aniž by tím byly dotčeny výše uvedené podmínky pro realizaci Dopravních opatření).</w:t>
      </w:r>
    </w:p>
    <w:p w14:paraId="4DDF7CD6" w14:textId="77777777" w:rsidR="00EC1C40" w:rsidRDefault="00000000">
      <w:pPr>
        <w:pStyle w:val="Zkladntext1"/>
        <w:framePr w:w="10186" w:h="13426" w:hRule="exact" w:wrap="none" w:vAnchor="page" w:hAnchor="page" w:x="1213" w:y="1940"/>
        <w:numPr>
          <w:ilvl w:val="1"/>
          <w:numId w:val="3"/>
        </w:numPr>
        <w:tabs>
          <w:tab w:val="left" w:pos="553"/>
        </w:tabs>
        <w:spacing w:after="220"/>
        <w:ind w:left="640" w:hanging="640"/>
        <w:jc w:val="both"/>
      </w:pPr>
      <w:r>
        <w:t>SMP je vlastníkem místní komunikace č I. třídy č. 97 (ID_MK 97) zařazené do sítě místních komunikací, vedené ulicí Palackého třída. SMP umožní Investorovi realizaci kompenzačních opatření, která mají být realizována na této pozemní komunikaci, a to v podobě výměny povrchu (dále jen „</w:t>
      </w:r>
      <w:r>
        <w:rPr>
          <w:b/>
          <w:bCs/>
        </w:rPr>
        <w:t>Opatření</w:t>
      </w:r>
      <w:r>
        <w:t xml:space="preserve">“). Návrh těchto Opatření včetně jejich plošného rozsahu vychází z hlukové studie (akustického posouzení) vypracované společností EKOLA </w:t>
      </w:r>
      <w:proofErr w:type="spellStart"/>
      <w:r>
        <w:t>group</w:t>
      </w:r>
      <w:proofErr w:type="spellEnd"/>
      <w:r>
        <w:t xml:space="preserve">, spol. s r.o., IČO: 639 81 378, se sídlem Mistrovská 558/4, Malešice, 108 00 Praha 10, </w:t>
      </w:r>
      <w:proofErr w:type="spellStart"/>
      <w:r>
        <w:t>zak</w:t>
      </w:r>
      <w:proofErr w:type="spellEnd"/>
      <w:r>
        <w:t>. č. 25.0722-01, označené datem listopad 2025 (dále jen „</w:t>
      </w:r>
      <w:r>
        <w:rPr>
          <w:b/>
          <w:bCs/>
        </w:rPr>
        <w:t>Hluková studie</w:t>
      </w:r>
      <w:r>
        <w:t>“).</w:t>
      </w:r>
    </w:p>
    <w:p w14:paraId="11C4EB39" w14:textId="77777777" w:rsidR="00EC1C40" w:rsidRDefault="00000000">
      <w:pPr>
        <w:pStyle w:val="Zkladntext1"/>
        <w:framePr w:w="10186" w:h="13426" w:hRule="exact" w:wrap="none" w:vAnchor="page" w:hAnchor="page" w:x="1213" w:y="1940"/>
        <w:spacing w:after="220"/>
        <w:ind w:left="640"/>
        <w:jc w:val="both"/>
      </w:pPr>
      <w:r>
        <w:t>Smluvní strany berou na vědomí a souhlasí s tím, že finální podoba Opatření bude určena ze strany Investora, a to v návaznosti na požadavky orgánů veřejné moci, konkrétní situaci v době realizace Investičního záměru a dále v návaznosti na měření hluku provedeného v souladu s požadavky příslušných orgánů veřejné moci před uvedením Investičního záměru do provozu. Pokud to bude zapotřebí, umožní SMP provedení příslušných kompenzačních Opatření i na jiných komunikacích ve vlastnictví SMP.</w:t>
      </w:r>
    </w:p>
    <w:p w14:paraId="4A809624" w14:textId="77777777" w:rsidR="00EC1C40" w:rsidRDefault="00000000">
      <w:pPr>
        <w:pStyle w:val="Zkladntext1"/>
        <w:framePr w:w="10186" w:h="13426" w:hRule="exact" w:wrap="none" w:vAnchor="page" w:hAnchor="page" w:x="1213" w:y="1940"/>
        <w:spacing w:after="220"/>
        <w:ind w:left="640"/>
        <w:jc w:val="both"/>
      </w:pPr>
      <w:r>
        <w:t>Náklady na realizaci Opatření nese Investor. Investor je povinen v souvislosti s realizací Opatření zajistit projektovou dokumentaci, veškerá potřebná povolení a samotnou stavební realizaci. SMP poskytne Investorovi veškerou potřebnou součinnost nezbytnou pro realizaci Opatření.</w:t>
      </w:r>
    </w:p>
    <w:p w14:paraId="420CB1E7" w14:textId="77777777" w:rsidR="00EC1C40" w:rsidRDefault="00000000">
      <w:pPr>
        <w:pStyle w:val="Zkladntext1"/>
        <w:framePr w:w="10186" w:h="13426" w:hRule="exact" w:wrap="none" w:vAnchor="page" w:hAnchor="page" w:x="1213" w:y="1940"/>
        <w:spacing w:after="220"/>
        <w:ind w:left="640"/>
        <w:jc w:val="both"/>
      </w:pPr>
      <w:r>
        <w:t>Realizovaná Opatření budou ze strany Investora realizována před uvedením Investičního záměru do provozu (tedy před Dokončením Investičního záměru).</w:t>
      </w:r>
    </w:p>
    <w:p w14:paraId="7C11C80D" w14:textId="77777777" w:rsidR="00EC1C40" w:rsidRDefault="00000000">
      <w:pPr>
        <w:pStyle w:val="Zkladntext1"/>
        <w:framePr w:w="10186" w:h="13426" w:hRule="exact" w:wrap="none" w:vAnchor="page" w:hAnchor="page" w:x="1213" w:y="1940"/>
        <w:numPr>
          <w:ilvl w:val="1"/>
          <w:numId w:val="3"/>
        </w:numPr>
        <w:tabs>
          <w:tab w:val="left" w:pos="553"/>
        </w:tabs>
        <w:spacing w:after="220"/>
        <w:ind w:left="640" w:hanging="640"/>
        <w:jc w:val="both"/>
      </w:pPr>
      <w:r>
        <w:t>Investor deklaruje svoji připravenost spolupracovat s dalšími investory v Lokalitě Nová Cihelna, včetně případného uzavření smlouvy o spolupráci významných investorů v lokalitě, v rámci které budou řešeny otázky týkající se realizace infrastruktury v této lokalitě, včetně spravedlivého sdílení nákladů na její realizaci.</w:t>
      </w:r>
    </w:p>
    <w:p w14:paraId="51349275" w14:textId="77777777" w:rsidR="00EC1C40" w:rsidRDefault="00000000">
      <w:pPr>
        <w:pStyle w:val="Zkladntext1"/>
        <w:framePr w:w="10186" w:h="13426" w:hRule="exact" w:wrap="none" w:vAnchor="page" w:hAnchor="page" w:x="1213" w:y="1940"/>
        <w:numPr>
          <w:ilvl w:val="1"/>
          <w:numId w:val="3"/>
        </w:numPr>
        <w:tabs>
          <w:tab w:val="left" w:pos="553"/>
        </w:tabs>
        <w:spacing w:after="220"/>
        <w:ind w:left="640" w:hanging="640"/>
        <w:jc w:val="both"/>
      </w:pPr>
      <w:r>
        <w:t>Investor se zavazuje postupovat při realizaci Investičního záměru tak, aby součástí Investičního záměru byla vždy i Aréna.</w:t>
      </w:r>
    </w:p>
    <w:p w14:paraId="68E37688" w14:textId="77777777" w:rsidR="00EC1C40" w:rsidRDefault="00000000">
      <w:pPr>
        <w:pStyle w:val="Zkladntext1"/>
        <w:framePr w:w="10186" w:h="13426" w:hRule="exact" w:wrap="none" w:vAnchor="page" w:hAnchor="page" w:x="1213" w:y="1940"/>
        <w:numPr>
          <w:ilvl w:val="1"/>
          <w:numId w:val="3"/>
        </w:numPr>
        <w:tabs>
          <w:tab w:val="left" w:pos="553"/>
        </w:tabs>
        <w:spacing w:after="0"/>
        <w:ind w:left="640" w:hanging="640"/>
        <w:jc w:val="both"/>
      </w:pPr>
      <w:r>
        <w:t>Pro odstranění jakýchkoli pochybností a v zájmu právní jistoty SMP tímto potvrzuje, že neuplatnilo předkupní právo, které bylo zřízeno dle § 101 zákona č. 183/2006 Sb., o územním</w:t>
      </w:r>
    </w:p>
    <w:p w14:paraId="79472C0D" w14:textId="77777777" w:rsidR="00EC1C40" w:rsidRDefault="00000000">
      <w:pPr>
        <w:pStyle w:val="Zhlavnebozpat0"/>
        <w:framePr w:wrap="none" w:vAnchor="page" w:hAnchor="page" w:x="5543" w:y="16085"/>
        <w:rPr>
          <w:sz w:val="22"/>
          <w:szCs w:val="22"/>
        </w:rPr>
      </w:pPr>
      <w:r>
        <w:rPr>
          <w:color w:val="231E20"/>
          <w:sz w:val="22"/>
          <w:szCs w:val="22"/>
        </w:rPr>
        <w:t>33/63</w:t>
      </w:r>
    </w:p>
    <w:p w14:paraId="3A71D719"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3C55B4F8" w14:textId="77777777" w:rsidR="00EC1C40" w:rsidRDefault="00000000">
      <w:pPr>
        <w:spacing w:line="1" w:lineRule="exact"/>
      </w:pPr>
      <w:r>
        <w:rPr>
          <w:noProof/>
        </w:rPr>
        <w:lastRenderedPageBreak/>
        <mc:AlternateContent>
          <mc:Choice Requires="wps">
            <w:drawing>
              <wp:anchor distT="0" distB="0" distL="114300" distR="114300" simplePos="0" relativeHeight="251616768" behindDoc="1" locked="0" layoutInCell="1" allowOverlap="1" wp14:anchorId="59309524" wp14:editId="37D6750C">
                <wp:simplePos x="0" y="0"/>
                <wp:positionH relativeFrom="page">
                  <wp:posOffset>879475</wp:posOffset>
                </wp:positionH>
                <wp:positionV relativeFrom="page">
                  <wp:posOffset>932180</wp:posOffset>
                </wp:positionV>
                <wp:extent cx="5702935" cy="0"/>
                <wp:effectExtent l="0" t="0" r="0" b="0"/>
                <wp:wrapNone/>
                <wp:docPr id="33" name="Shape 33"/>
                <wp:cNvGraphicFramePr/>
                <a:graphic xmlns:a="http://schemas.openxmlformats.org/drawingml/2006/main">
                  <a:graphicData uri="http://schemas.microsoft.com/office/word/2010/wordprocessingShape">
                    <wps:wsp>
                      <wps:cNvCnPr/>
                      <wps:spPr>
                        <a:xfrm>
                          <a:off x="0" y="0"/>
                          <a:ext cx="5702935" cy="0"/>
                        </a:xfrm>
                        <a:prstGeom prst="straightConnector1">
                          <a:avLst/>
                        </a:prstGeom>
                        <a:ln w="6350">
                          <a:solidFill/>
                        </a:ln>
                      </wps:spPr>
                      <wps:bodyPr/>
                    </wps:wsp>
                  </a:graphicData>
                </a:graphic>
              </wp:anchor>
            </w:drawing>
          </mc:Choice>
          <mc:Fallback>
            <w:pict>
              <v:shape o:spt="32" o:oned="true" path="m,l21600,21600e" style="position:absolute;margin-left:69.25pt;margin-top:73.400000000000006pt;width:449.05000000000001pt;height:0;z-index:-251658240;mso-position-horizontal-relative:page;mso-position-vertical-relative:page">
                <v:stroke weight="0.5pt"/>
              </v:shape>
            </w:pict>
          </mc:Fallback>
        </mc:AlternateContent>
      </w:r>
    </w:p>
    <w:p w14:paraId="3F0C7499" w14:textId="77777777" w:rsidR="00EC1C40" w:rsidRDefault="00000000">
      <w:pPr>
        <w:pStyle w:val="Zhlavnebozpat0"/>
        <w:framePr w:wrap="none" w:vAnchor="page" w:hAnchor="page" w:x="5192" w:y="1186"/>
      </w:pPr>
      <w:r>
        <w:t>Plánovací smlouva</w:t>
      </w:r>
    </w:p>
    <w:p w14:paraId="5BE1D7A3" w14:textId="77777777" w:rsidR="00EC1C40" w:rsidRDefault="00000000">
      <w:pPr>
        <w:pStyle w:val="Zkladntext1"/>
        <w:framePr w:w="10186" w:h="13565" w:hRule="exact" w:wrap="none" w:vAnchor="page" w:hAnchor="page" w:x="1213" w:y="1940"/>
        <w:spacing w:after="120"/>
        <w:ind w:left="640"/>
        <w:jc w:val="both"/>
      </w:pPr>
      <w:r>
        <w:t xml:space="preserve">plánování a stavebním řádu (stavební zákon), ve znění pozdějších předpisů, v rámci příslušných opatření obecné povahy, kterými bylo toto předkupní právo implementováno do územního plánu SMP, a to k pozemkům </w:t>
      </w:r>
      <w:proofErr w:type="spellStart"/>
      <w:r>
        <w:t>parc</w:t>
      </w:r>
      <w:proofErr w:type="spellEnd"/>
      <w:r>
        <w:t xml:space="preserve">. č. 1582/3, </w:t>
      </w:r>
      <w:proofErr w:type="spellStart"/>
      <w:r>
        <w:t>parc</w:t>
      </w:r>
      <w:proofErr w:type="spellEnd"/>
      <w:r>
        <w:t xml:space="preserve">. č. 1574/14, </w:t>
      </w:r>
      <w:proofErr w:type="spellStart"/>
      <w:r>
        <w:t>parc</w:t>
      </w:r>
      <w:proofErr w:type="spellEnd"/>
      <w:r>
        <w:t xml:space="preserve">. č. 1601/15, </w:t>
      </w:r>
      <w:proofErr w:type="spellStart"/>
      <w:r>
        <w:t>parc</w:t>
      </w:r>
      <w:proofErr w:type="spellEnd"/>
      <w:r>
        <w:t xml:space="preserve">. č. 1574/12, </w:t>
      </w:r>
      <w:proofErr w:type="spellStart"/>
      <w:r>
        <w:t>parc</w:t>
      </w:r>
      <w:proofErr w:type="spellEnd"/>
      <w:r>
        <w:t xml:space="preserve">. č. 1574/13, </w:t>
      </w:r>
      <w:proofErr w:type="spellStart"/>
      <w:r>
        <w:t>parc</w:t>
      </w:r>
      <w:proofErr w:type="spellEnd"/>
      <w:r>
        <w:t xml:space="preserve">. č. 1574/8, </w:t>
      </w:r>
      <w:proofErr w:type="spellStart"/>
      <w:r>
        <w:t>parc</w:t>
      </w:r>
      <w:proofErr w:type="spellEnd"/>
      <w:r>
        <w:t xml:space="preserve">. č. 1574/11, </w:t>
      </w:r>
      <w:proofErr w:type="spellStart"/>
      <w:r>
        <w:t>parc</w:t>
      </w:r>
      <w:proofErr w:type="spellEnd"/>
      <w:r>
        <w:t xml:space="preserve">. č. 1563/13, </w:t>
      </w:r>
      <w:proofErr w:type="spellStart"/>
      <w:r>
        <w:t>parc</w:t>
      </w:r>
      <w:proofErr w:type="spellEnd"/>
      <w:r>
        <w:t xml:space="preserve">. č. 1601/8, všechny v </w:t>
      </w:r>
      <w:proofErr w:type="spellStart"/>
      <w:r>
        <w:t>k.ú</w:t>
      </w:r>
      <w:proofErr w:type="spellEnd"/>
      <w:r>
        <w:t>. Pardubice . SMP dále potvrzuje, že toto předkupní právo k těmto pozemkům zřízené dle § 101 zákona č. 183/2006 Sb., o územním plánování a stavebním řádu (stavební zákon), ve znění pozdějších předpisů, zaniklo. S ohledem na toto potvrzení SMP si Smluvní strany v zájmu právní jistoty potvrzují a sjednávají, že SMP nebude žádným způsobem jakkoli zpochybňovat převod vlastnického práva k těmto pozemkům a vlastnické právo MHAP k těmto pozemkům s ohledem na uvedené předkupní právo.</w:t>
      </w:r>
    </w:p>
    <w:p w14:paraId="021A820D" w14:textId="77777777" w:rsidR="00EC1C40" w:rsidRDefault="00000000">
      <w:pPr>
        <w:pStyle w:val="Zkladntext1"/>
        <w:framePr w:w="10186" w:h="13565" w:hRule="exact" w:wrap="none" w:vAnchor="page" w:hAnchor="page" w:x="1213" w:y="1940"/>
        <w:numPr>
          <w:ilvl w:val="1"/>
          <w:numId w:val="3"/>
        </w:numPr>
        <w:tabs>
          <w:tab w:val="left" w:pos="663"/>
        </w:tabs>
        <w:spacing w:after="120"/>
        <w:jc w:val="both"/>
      </w:pPr>
      <w:r>
        <w:t>Smluvní strany sjednávají následující práva a povinnosti ve vztahu k Lokalitě Hůrka:</w:t>
      </w:r>
    </w:p>
    <w:p w14:paraId="4DFBED89" w14:textId="77777777" w:rsidR="00EC1C40" w:rsidRDefault="00000000">
      <w:pPr>
        <w:pStyle w:val="Zkladntext1"/>
        <w:framePr w:w="10186" w:h="13565" w:hRule="exact" w:wrap="none" w:vAnchor="page" w:hAnchor="page" w:x="1213" w:y="1940"/>
        <w:numPr>
          <w:ilvl w:val="2"/>
          <w:numId w:val="3"/>
        </w:numPr>
        <w:tabs>
          <w:tab w:val="left" w:pos="1619"/>
        </w:tabs>
        <w:spacing w:after="120"/>
        <w:ind w:left="1620" w:hanging="980"/>
        <w:jc w:val="both"/>
      </w:pPr>
      <w:r>
        <w:t>Smluvní strany deklarují svoji ochotu a připravenost nadále spolupracovat v rámci dalšího rozvoje Lokality Hůrka;</w:t>
      </w:r>
    </w:p>
    <w:p w14:paraId="54D47F2E" w14:textId="77777777" w:rsidR="00EC1C40" w:rsidRDefault="00000000">
      <w:pPr>
        <w:pStyle w:val="Zkladntext1"/>
        <w:framePr w:w="10186" w:h="13565" w:hRule="exact" w:wrap="none" w:vAnchor="page" w:hAnchor="page" w:x="1213" w:y="1940"/>
        <w:numPr>
          <w:ilvl w:val="2"/>
          <w:numId w:val="3"/>
        </w:numPr>
        <w:tabs>
          <w:tab w:val="left" w:pos="1619"/>
        </w:tabs>
        <w:spacing w:after="120"/>
        <w:ind w:left="1620" w:hanging="980"/>
        <w:jc w:val="both"/>
      </w:pPr>
      <w:r>
        <w:t>tato spolupráce Smluvních stran zahrnuje (i) záměr Investora podílet se na komplexním rozvoji Lokality Hůrka, (</w:t>
      </w:r>
      <w:proofErr w:type="spellStart"/>
      <w:r>
        <w:t>ii</w:t>
      </w:r>
      <w:proofErr w:type="spellEnd"/>
      <w:r>
        <w:t>) záměr Investora realizovat řešení dopravní infrastruktury včetně parkovacího domu o kapacitě cca 1.500 parkovacích míst (dále jen „</w:t>
      </w:r>
      <w:r>
        <w:rPr>
          <w:b/>
          <w:bCs/>
        </w:rPr>
        <w:t>Parkovací dům Hůrka</w:t>
      </w:r>
      <w:r>
        <w:t>“) a dopravního terminálu (dále jen „</w:t>
      </w:r>
      <w:r>
        <w:rPr>
          <w:b/>
          <w:bCs/>
        </w:rPr>
        <w:t>Dopravní terminál</w:t>
      </w:r>
      <w:r>
        <w:t>“; Parkovací dům Hůrka a Dopravní terminál dále společně jako „</w:t>
      </w:r>
      <w:r>
        <w:rPr>
          <w:b/>
          <w:bCs/>
        </w:rPr>
        <w:t>Dopravní záměr</w:t>
      </w:r>
      <w:r>
        <w:t>“) v Lokalitě Hůrka, jak jsou blíže specifikovány v Příloze č. 23 (grafický zákres) a v Příloze č. 28 (popis Dopravního záměru), včetně příslušné technické a dopravní infrastruktury, a to na pozemcích specifikovaných dále v této Smlouvě, (</w:t>
      </w:r>
      <w:proofErr w:type="spellStart"/>
      <w:r>
        <w:t>iii</w:t>
      </w:r>
      <w:proofErr w:type="spellEnd"/>
      <w:r>
        <w:t xml:space="preserve">) záměr Investora za tím účelem nabýt vlastnické právo, jakož i další práva k vybraným pozemkům, které v Lokalitě Hůrka vlastní SMP a Nadace pro rozvoj města Pardubic, IČ: 464 95 801, se sídlem Pernštýnské náměstí 1, Pardubice-Staré Město, 530 02 Pardubice, zapsaná v nadačním rejstříku vedeném u Krajského soudu v Hradci Králové pod </w:t>
      </w:r>
      <w:proofErr w:type="spellStart"/>
      <w:r>
        <w:t>sp</w:t>
      </w:r>
      <w:proofErr w:type="spellEnd"/>
      <w:r>
        <w:t>. zn. N 87 (dál jen „</w:t>
      </w:r>
      <w:r>
        <w:rPr>
          <w:b/>
          <w:bCs/>
        </w:rPr>
        <w:t>Nadace</w:t>
      </w:r>
      <w:r>
        <w:t>“), a to za podmínek dohodnutých s SMP;</w:t>
      </w:r>
    </w:p>
    <w:p w14:paraId="771FF374" w14:textId="77777777" w:rsidR="00EC1C40" w:rsidRDefault="00000000">
      <w:pPr>
        <w:pStyle w:val="Zkladntext1"/>
        <w:framePr w:w="10186" w:h="13565" w:hRule="exact" w:wrap="none" w:vAnchor="page" w:hAnchor="page" w:x="1213" w:y="1940"/>
        <w:numPr>
          <w:ilvl w:val="2"/>
          <w:numId w:val="3"/>
        </w:numPr>
        <w:tabs>
          <w:tab w:val="left" w:pos="1619"/>
        </w:tabs>
        <w:spacing w:after="240"/>
        <w:ind w:left="1620" w:hanging="980"/>
        <w:jc w:val="both"/>
      </w:pPr>
      <w:r>
        <w:t>Smluvní strany jsou si vědomy, že k Lokalitě Hůrka byla navržena územní studie s názvem „ÚZEMNÍ STUDIE HŮRKA, PARDUBICE“, čas vyhotovení duben 2025, zadavatel: Nadace pro rozvoj města Pardubic, Pernštýnské náměstí č.p.1, Pardubice- Staré Město, 530 21 Pardubice, zpracovatel: ATELIÉR KLOSE s.r.o. Husova 214, Bílé Předměstí (Pardubice I), 530 03 Pardubice, jejíž registrace se předpokládá v květnu 2026 (dále jen „</w:t>
      </w:r>
      <w:r>
        <w:rPr>
          <w:b/>
          <w:bCs/>
        </w:rPr>
        <w:t>ÚS Hůrka</w:t>
      </w:r>
      <w:r>
        <w:t>“);</w:t>
      </w:r>
    </w:p>
    <w:p w14:paraId="1FCBB0FD" w14:textId="77777777" w:rsidR="00EC1C40" w:rsidRDefault="00000000">
      <w:pPr>
        <w:pStyle w:val="Zkladntext1"/>
        <w:framePr w:w="10186" w:h="13565" w:hRule="exact" w:wrap="none" w:vAnchor="page" w:hAnchor="page" w:x="1213" w:y="1940"/>
        <w:numPr>
          <w:ilvl w:val="2"/>
          <w:numId w:val="3"/>
        </w:numPr>
        <w:tabs>
          <w:tab w:val="left" w:pos="1619"/>
        </w:tabs>
        <w:spacing w:after="240"/>
        <w:ind w:left="1620" w:hanging="980"/>
        <w:jc w:val="both"/>
      </w:pPr>
      <w:r>
        <w:t>Za účelem realizace Parkovacího domu Hůrka a Dopravního terminálu učiní Smluvní strany následující kroky a jednání a přebírají na sebe následující závazky:</w:t>
      </w:r>
    </w:p>
    <w:p w14:paraId="64519986" w14:textId="77777777" w:rsidR="00EC1C40" w:rsidRDefault="00000000">
      <w:pPr>
        <w:pStyle w:val="Zkladntext1"/>
        <w:framePr w:w="10186" w:h="13565" w:hRule="exact" w:wrap="none" w:vAnchor="page" w:hAnchor="page" w:x="1213" w:y="1940"/>
        <w:numPr>
          <w:ilvl w:val="3"/>
          <w:numId w:val="3"/>
        </w:numPr>
        <w:tabs>
          <w:tab w:val="left" w:pos="2758"/>
        </w:tabs>
        <w:spacing w:after="240"/>
        <w:ind w:left="2760" w:hanging="1120"/>
        <w:jc w:val="both"/>
      </w:pPr>
      <w:r>
        <w:t xml:space="preserve">SMP, jako půjčitel, a Investor, jako vypůjčitel, spolu uzavřou smlouvu o výpůjčce, jejíž vzorové znění tvoří </w:t>
      </w:r>
      <w:r>
        <w:rPr>
          <w:u w:val="single"/>
        </w:rPr>
        <w:t>Přílohu č. 22</w:t>
      </w:r>
      <w:r>
        <w:t xml:space="preserve"> této Smlouvy (dále jen „</w:t>
      </w:r>
      <w:r>
        <w:rPr>
          <w:b/>
          <w:bCs/>
        </w:rPr>
        <w:t>Smlouva o výpůjčce SMP Hůrka</w:t>
      </w:r>
      <w:r>
        <w:t xml:space="preserve">“), na základě které vznikne Investorovi právo užívat pozemky </w:t>
      </w:r>
      <w:proofErr w:type="spellStart"/>
      <w:r>
        <w:t>parc</w:t>
      </w:r>
      <w:proofErr w:type="spellEnd"/>
      <w:r>
        <w:t xml:space="preserve">. č. 988/10, 988/11, 988/12, 988/16, 2720/29, 4066/11, 5001, 5002 a 5003, všechny </w:t>
      </w:r>
      <w:proofErr w:type="spellStart"/>
      <w:r>
        <w:t>k.ú</w:t>
      </w:r>
      <w:proofErr w:type="spellEnd"/>
      <w:r>
        <w:t xml:space="preserve">. Pardubice, v rozsahu vyznačeném v grafickém zákresu, který tvoří </w:t>
      </w:r>
      <w:r>
        <w:rPr>
          <w:u w:val="single"/>
        </w:rPr>
        <w:t>Přílohu č. 23</w:t>
      </w:r>
      <w:r>
        <w:t xml:space="preserve"> této Smlouvy (dále jen „</w:t>
      </w:r>
      <w:r>
        <w:rPr>
          <w:b/>
          <w:bCs/>
        </w:rPr>
        <w:t>Pozemky SMP pro výpůjčku Hůrka</w:t>
      </w:r>
      <w:r>
        <w:t>“);</w:t>
      </w:r>
    </w:p>
    <w:p w14:paraId="297B8BB0" w14:textId="77777777" w:rsidR="00EC1C40" w:rsidRDefault="00000000">
      <w:pPr>
        <w:pStyle w:val="Zkladntext1"/>
        <w:framePr w:w="10186" w:h="13565" w:hRule="exact" w:wrap="none" w:vAnchor="page" w:hAnchor="page" w:x="1213" w:y="1940"/>
        <w:numPr>
          <w:ilvl w:val="3"/>
          <w:numId w:val="3"/>
        </w:numPr>
        <w:tabs>
          <w:tab w:val="left" w:pos="2758"/>
        </w:tabs>
        <w:spacing w:after="0"/>
        <w:ind w:left="2760" w:hanging="1120"/>
        <w:jc w:val="both"/>
      </w:pPr>
      <w:r>
        <w:t>SMP zajistí, aby Nadace, jako půjčitel, a Investor, jako vypůjčitel, spolu uzavřeli smlouvu o výpůjčce, jejíž znění bude Smluvními stranami odsouhlaseno před uzavřením této Smlouvy (dále jen „</w:t>
      </w:r>
      <w:r>
        <w:rPr>
          <w:b/>
          <w:bCs/>
        </w:rPr>
        <w:t>Smlouva o výpůjčce Nadace Hůrka</w:t>
      </w:r>
      <w:r>
        <w:t xml:space="preserve">“), na základě které vznikne Investorovi právo užívat pozemek </w:t>
      </w:r>
      <w:proofErr w:type="spellStart"/>
      <w:r>
        <w:t>parc</w:t>
      </w:r>
      <w:proofErr w:type="spellEnd"/>
      <w:r>
        <w:t xml:space="preserve">. č. 988/22, </w:t>
      </w:r>
      <w:proofErr w:type="spellStart"/>
      <w:r>
        <w:t>k.ú</w:t>
      </w:r>
      <w:proofErr w:type="spellEnd"/>
      <w:r>
        <w:t>. Pardubice, v rozsahu vyznačeném v</w:t>
      </w:r>
    </w:p>
    <w:p w14:paraId="03AAA8E5" w14:textId="77777777" w:rsidR="00EC1C40" w:rsidRDefault="00000000">
      <w:pPr>
        <w:pStyle w:val="Zhlavnebozpat0"/>
        <w:framePr w:wrap="none" w:vAnchor="page" w:hAnchor="page" w:x="5543" w:y="16085"/>
        <w:rPr>
          <w:sz w:val="22"/>
          <w:szCs w:val="22"/>
        </w:rPr>
      </w:pPr>
      <w:r>
        <w:rPr>
          <w:color w:val="231E20"/>
          <w:sz w:val="22"/>
          <w:szCs w:val="22"/>
        </w:rPr>
        <w:t>34/63</w:t>
      </w:r>
    </w:p>
    <w:p w14:paraId="451E1762"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2E73DB4D" w14:textId="77777777" w:rsidR="00EC1C40" w:rsidRDefault="00000000">
      <w:pPr>
        <w:spacing w:line="1" w:lineRule="exact"/>
      </w:pPr>
      <w:r>
        <w:rPr>
          <w:noProof/>
        </w:rPr>
        <w:lastRenderedPageBreak/>
        <mc:AlternateContent>
          <mc:Choice Requires="wps">
            <w:drawing>
              <wp:anchor distT="0" distB="0" distL="114300" distR="114300" simplePos="0" relativeHeight="251617792" behindDoc="1" locked="0" layoutInCell="1" allowOverlap="1" wp14:anchorId="39552793" wp14:editId="12DC008E">
                <wp:simplePos x="0" y="0"/>
                <wp:positionH relativeFrom="page">
                  <wp:posOffset>879475</wp:posOffset>
                </wp:positionH>
                <wp:positionV relativeFrom="page">
                  <wp:posOffset>932180</wp:posOffset>
                </wp:positionV>
                <wp:extent cx="5702935" cy="0"/>
                <wp:effectExtent l="0" t="0" r="0" b="0"/>
                <wp:wrapNone/>
                <wp:docPr id="34" name="Shape 34"/>
                <wp:cNvGraphicFramePr/>
                <a:graphic xmlns:a="http://schemas.openxmlformats.org/drawingml/2006/main">
                  <a:graphicData uri="http://schemas.microsoft.com/office/word/2010/wordprocessingShape">
                    <wps:wsp>
                      <wps:cNvCnPr/>
                      <wps:spPr>
                        <a:xfrm>
                          <a:off x="0" y="0"/>
                          <a:ext cx="5702935" cy="0"/>
                        </a:xfrm>
                        <a:prstGeom prst="straightConnector1">
                          <a:avLst/>
                        </a:prstGeom>
                        <a:ln w="6350">
                          <a:solidFill/>
                        </a:ln>
                      </wps:spPr>
                      <wps:bodyPr/>
                    </wps:wsp>
                  </a:graphicData>
                </a:graphic>
              </wp:anchor>
            </w:drawing>
          </mc:Choice>
          <mc:Fallback>
            <w:pict>
              <v:shape o:spt="32" o:oned="true" path="m,l21600,21600e" style="position:absolute;margin-left:69.25pt;margin-top:73.400000000000006pt;width:449.05000000000001pt;height:0;z-index:-251658240;mso-position-horizontal-relative:page;mso-position-vertical-relative:page">
                <v:stroke weight="0.5pt"/>
              </v:shape>
            </w:pict>
          </mc:Fallback>
        </mc:AlternateContent>
      </w:r>
    </w:p>
    <w:p w14:paraId="2DB0E480" w14:textId="77777777" w:rsidR="00EC1C40" w:rsidRDefault="00000000">
      <w:pPr>
        <w:pStyle w:val="Zhlavnebozpat0"/>
        <w:framePr w:wrap="none" w:vAnchor="page" w:hAnchor="page" w:x="5192" w:y="1186"/>
      </w:pPr>
      <w:r>
        <w:t>Plánovací smlouva</w:t>
      </w:r>
    </w:p>
    <w:p w14:paraId="763ADFEF" w14:textId="77777777" w:rsidR="00EC1C40" w:rsidRDefault="00000000">
      <w:pPr>
        <w:pStyle w:val="Zkladntext1"/>
        <w:framePr w:w="10186" w:h="13454" w:hRule="exact" w:wrap="none" w:vAnchor="page" w:hAnchor="page" w:x="1213" w:y="1940"/>
        <w:spacing w:after="220"/>
        <w:ind w:left="2760"/>
        <w:jc w:val="both"/>
      </w:pPr>
      <w:r>
        <w:t xml:space="preserve">grafickém zákresu, který tvoří </w:t>
      </w:r>
      <w:r>
        <w:rPr>
          <w:u w:val="single"/>
        </w:rPr>
        <w:t>Přílohu č. 23</w:t>
      </w:r>
      <w:r>
        <w:t xml:space="preserve"> této Smlouvy (dále jen „</w:t>
      </w:r>
      <w:r>
        <w:rPr>
          <w:b/>
          <w:bCs/>
        </w:rPr>
        <w:t>Pozemky Nadace pro výpůjčku Hůrka</w:t>
      </w:r>
      <w:r>
        <w:t>“);</w:t>
      </w:r>
    </w:p>
    <w:p w14:paraId="4BADC112" w14:textId="77777777" w:rsidR="00EC1C40" w:rsidRDefault="00000000">
      <w:pPr>
        <w:pStyle w:val="Zkladntext1"/>
        <w:framePr w:w="10186" w:h="13454" w:hRule="exact" w:wrap="none" w:vAnchor="page" w:hAnchor="page" w:x="1213" w:y="1940"/>
        <w:numPr>
          <w:ilvl w:val="3"/>
          <w:numId w:val="3"/>
        </w:numPr>
        <w:tabs>
          <w:tab w:val="left" w:pos="2758"/>
        </w:tabs>
        <w:spacing w:after="220"/>
        <w:ind w:left="2760" w:hanging="1120"/>
        <w:jc w:val="both"/>
      </w:pPr>
      <w:r>
        <w:t>SMP, jako budoucí prodávající, a Investor, jako budoucí kupující, spolu uzavřou smlouvu o smlouvě budoucí kupní (dále jen „</w:t>
      </w:r>
      <w:proofErr w:type="spellStart"/>
      <w:r>
        <w:rPr>
          <w:b/>
          <w:bCs/>
        </w:rPr>
        <w:t>SoSB</w:t>
      </w:r>
      <w:proofErr w:type="spellEnd"/>
      <w:r>
        <w:rPr>
          <w:b/>
          <w:bCs/>
        </w:rPr>
        <w:t xml:space="preserve"> SMP Hůrka</w:t>
      </w:r>
      <w:r>
        <w:t xml:space="preserve">“), jejíž vzorové znění tvoří </w:t>
      </w:r>
      <w:r>
        <w:rPr>
          <w:u w:val="single"/>
        </w:rPr>
        <w:t>Přílohu č. 25</w:t>
      </w:r>
      <w:r>
        <w:t xml:space="preserve"> této Smlouvy, na základě které se Smluvní strany zaváží uzavřít kupní smlouvu, na jejímž základě nabyde Investor vlastnické právo k (celému) pozemku </w:t>
      </w:r>
      <w:proofErr w:type="spellStart"/>
      <w:r>
        <w:t>parc</w:t>
      </w:r>
      <w:proofErr w:type="spellEnd"/>
      <w:r>
        <w:t xml:space="preserve">. č. 5000, </w:t>
      </w:r>
      <w:proofErr w:type="spellStart"/>
      <w:r>
        <w:t>k.ú</w:t>
      </w:r>
      <w:proofErr w:type="spellEnd"/>
      <w:r>
        <w:t xml:space="preserve">. Pardubice, a k části pozemku </w:t>
      </w:r>
      <w:proofErr w:type="spellStart"/>
      <w:r>
        <w:t>parc</w:t>
      </w:r>
      <w:proofErr w:type="spellEnd"/>
      <w:r>
        <w:t xml:space="preserve">. č. 988/12, </w:t>
      </w:r>
      <w:proofErr w:type="spellStart"/>
      <w:r>
        <w:t>k.ú</w:t>
      </w:r>
      <w:proofErr w:type="spellEnd"/>
      <w:r>
        <w:t xml:space="preserve">. Pardubice, v rozsahu vyznačeném v grafickém zákresu, který tvoří </w:t>
      </w:r>
      <w:r>
        <w:rPr>
          <w:u w:val="single"/>
        </w:rPr>
        <w:t>Přílohu č. 23</w:t>
      </w:r>
      <w:r>
        <w:t xml:space="preserve"> této Smlouvy (dále jen „</w:t>
      </w:r>
      <w:r>
        <w:rPr>
          <w:b/>
          <w:bCs/>
        </w:rPr>
        <w:t>Pozemky SMP pro převod</w:t>
      </w:r>
      <w:r>
        <w:t>“);</w:t>
      </w:r>
    </w:p>
    <w:p w14:paraId="63D4A315" w14:textId="77777777" w:rsidR="00EC1C40" w:rsidRDefault="00000000">
      <w:pPr>
        <w:pStyle w:val="Zkladntext1"/>
        <w:framePr w:w="10186" w:h="13454" w:hRule="exact" w:wrap="none" w:vAnchor="page" w:hAnchor="page" w:x="1213" w:y="1940"/>
        <w:numPr>
          <w:ilvl w:val="3"/>
          <w:numId w:val="3"/>
        </w:numPr>
        <w:tabs>
          <w:tab w:val="left" w:pos="2758"/>
        </w:tabs>
        <w:spacing w:after="220"/>
        <w:ind w:left="2760" w:hanging="1120"/>
        <w:jc w:val="both"/>
      </w:pPr>
      <w:r>
        <w:t>SMP zajistí, aby Nadace, jako budoucí prodávající, a Investor, jako budoucí kupující, spolu uzavřeli smlouvu o smlouvě budoucí kupní (dále jen „</w:t>
      </w:r>
      <w:proofErr w:type="spellStart"/>
      <w:r>
        <w:rPr>
          <w:b/>
          <w:bCs/>
        </w:rPr>
        <w:t>SoSB</w:t>
      </w:r>
      <w:proofErr w:type="spellEnd"/>
      <w:r>
        <w:rPr>
          <w:b/>
          <w:bCs/>
        </w:rPr>
        <w:t xml:space="preserve"> Nadace Hůrka</w:t>
      </w:r>
      <w:r>
        <w:t xml:space="preserve">“), jejíž znění bude Smluvními stranami odsouhlaseno před uzavřením této Smlouvy, na základě které Investor nabyde vlastnické právo k části pozemku </w:t>
      </w:r>
      <w:proofErr w:type="spellStart"/>
      <w:r>
        <w:t>parc</w:t>
      </w:r>
      <w:proofErr w:type="spellEnd"/>
      <w:r>
        <w:t xml:space="preserve">. č. 988/22, </w:t>
      </w:r>
      <w:proofErr w:type="spellStart"/>
      <w:r>
        <w:t>k.ú</w:t>
      </w:r>
      <w:proofErr w:type="spellEnd"/>
      <w:r>
        <w:t xml:space="preserve">. Pardubice v rozsahu vyznačeném v grafickém zákresu, který tvoří </w:t>
      </w:r>
      <w:r>
        <w:rPr>
          <w:u w:val="single"/>
        </w:rPr>
        <w:t>Přílohu č. 23</w:t>
      </w:r>
      <w:r>
        <w:t xml:space="preserve"> této Smlouvy (dále jen „</w:t>
      </w:r>
      <w:r>
        <w:rPr>
          <w:b/>
          <w:bCs/>
        </w:rPr>
        <w:t>Pozemek Nadace pro převod</w:t>
      </w:r>
      <w:r>
        <w:t>“; Pozemek Nadace pro převod a Pozemky SMP pro převod dále společně jako „</w:t>
      </w:r>
      <w:r>
        <w:rPr>
          <w:b/>
          <w:bCs/>
        </w:rPr>
        <w:t>Pozemky pro převod</w:t>
      </w:r>
      <w:r>
        <w:t>“, Pozemky pro převod, Pozemky SMP pro výpůjčku Hůrka a Pozemky Nadace pro výpůjčku Hůrka dále společně jako „</w:t>
      </w:r>
      <w:r>
        <w:rPr>
          <w:b/>
          <w:bCs/>
        </w:rPr>
        <w:t>Pozemky Hůrka</w:t>
      </w:r>
      <w:r>
        <w:t xml:space="preserve">“), a na základě níž se dále zaváže Nadace k poskytnutí potřebné součinnosti k realizaci Dopravního záměru, a to v rozsahu stanoveném v </w:t>
      </w:r>
      <w:proofErr w:type="spellStart"/>
      <w:r>
        <w:t>SoSB</w:t>
      </w:r>
      <w:proofErr w:type="spellEnd"/>
      <w:r>
        <w:t xml:space="preserve"> Nadace Hůrka;</w:t>
      </w:r>
    </w:p>
    <w:p w14:paraId="6F814AC5" w14:textId="77777777" w:rsidR="00EC1C40" w:rsidRDefault="00000000">
      <w:pPr>
        <w:pStyle w:val="Zkladntext1"/>
        <w:framePr w:w="10186" w:h="13454" w:hRule="exact" w:wrap="none" w:vAnchor="page" w:hAnchor="page" w:x="1213" w:y="1940"/>
        <w:numPr>
          <w:ilvl w:val="3"/>
          <w:numId w:val="3"/>
        </w:numPr>
        <w:tabs>
          <w:tab w:val="left" w:pos="2758"/>
        </w:tabs>
        <w:spacing w:after="220"/>
        <w:ind w:left="2760" w:hanging="1120"/>
        <w:jc w:val="both"/>
      </w:pPr>
      <w:r>
        <w:t xml:space="preserve">SMP, jako prodávající, a Investor, jako kupující, spolu uzavřou za podmínek stanovených v </w:t>
      </w:r>
      <w:proofErr w:type="spellStart"/>
      <w:r>
        <w:t>SoSB</w:t>
      </w:r>
      <w:proofErr w:type="spellEnd"/>
      <w:r>
        <w:t xml:space="preserve"> SMP Hůrka kupní smlouvu, na základě které Investor nabyde vlastnické právo k Pozemkům SMP pro převod;</w:t>
      </w:r>
    </w:p>
    <w:p w14:paraId="4E1E6838" w14:textId="77777777" w:rsidR="00EC1C40" w:rsidRDefault="00000000">
      <w:pPr>
        <w:pStyle w:val="Zkladntext1"/>
        <w:framePr w:w="10186" w:h="13454" w:hRule="exact" w:wrap="none" w:vAnchor="page" w:hAnchor="page" w:x="1213" w:y="1940"/>
        <w:numPr>
          <w:ilvl w:val="3"/>
          <w:numId w:val="3"/>
        </w:numPr>
        <w:tabs>
          <w:tab w:val="left" w:pos="2758"/>
        </w:tabs>
        <w:spacing w:after="220"/>
        <w:ind w:left="2760" w:hanging="1120"/>
        <w:jc w:val="both"/>
      </w:pPr>
      <w:r>
        <w:t xml:space="preserve">SMP zajistí, aby Nadace, jako prodávající, a Investor, jako kupující, spolu uzavřeli za podmínek stanovených v </w:t>
      </w:r>
      <w:proofErr w:type="spellStart"/>
      <w:r>
        <w:t>SoSB</w:t>
      </w:r>
      <w:proofErr w:type="spellEnd"/>
      <w:r>
        <w:t xml:space="preserve"> Nadace Hůrka kupní smlouvu, na základě které Investor nabyde vlastnické právo k Pozemkům Nadace pro převod;</w:t>
      </w:r>
    </w:p>
    <w:p w14:paraId="7F910189" w14:textId="77777777" w:rsidR="00EC1C40" w:rsidRDefault="00000000">
      <w:pPr>
        <w:pStyle w:val="Zkladntext1"/>
        <w:framePr w:w="10186" w:h="13454" w:hRule="exact" w:wrap="none" w:vAnchor="page" w:hAnchor="page" w:x="1213" w:y="1940"/>
        <w:numPr>
          <w:ilvl w:val="3"/>
          <w:numId w:val="3"/>
        </w:numPr>
        <w:tabs>
          <w:tab w:val="left" w:pos="2758"/>
        </w:tabs>
        <w:spacing w:after="220"/>
        <w:ind w:left="2760" w:hanging="1120"/>
        <w:jc w:val="both"/>
      </w:pPr>
      <w:r>
        <w:t xml:space="preserve">Investor nabyde vlastnické právo Investora k Pozemkům SMP pro převod za podmínek stanovených v </w:t>
      </w:r>
      <w:proofErr w:type="spellStart"/>
      <w:r>
        <w:t>SoSB</w:t>
      </w:r>
      <w:proofErr w:type="spellEnd"/>
      <w:r>
        <w:t xml:space="preserve"> SMP Hůrka;</w:t>
      </w:r>
    </w:p>
    <w:p w14:paraId="78F4D2C3" w14:textId="77777777" w:rsidR="00EC1C40" w:rsidRDefault="00000000">
      <w:pPr>
        <w:pStyle w:val="Zkladntext1"/>
        <w:framePr w:w="10186" w:h="13454" w:hRule="exact" w:wrap="none" w:vAnchor="page" w:hAnchor="page" w:x="1213" w:y="1940"/>
        <w:numPr>
          <w:ilvl w:val="3"/>
          <w:numId w:val="3"/>
        </w:numPr>
        <w:tabs>
          <w:tab w:val="left" w:pos="2758"/>
        </w:tabs>
        <w:spacing w:after="220"/>
        <w:ind w:left="2760" w:hanging="1120"/>
        <w:jc w:val="both"/>
      </w:pPr>
      <w:r>
        <w:t xml:space="preserve">Investor nabyde vlastnické právo k Pozemkům Nadace pro převod za podmínek stanovených v </w:t>
      </w:r>
      <w:proofErr w:type="spellStart"/>
      <w:r>
        <w:t>SoSB</w:t>
      </w:r>
      <w:proofErr w:type="spellEnd"/>
      <w:r>
        <w:t xml:space="preserve"> Nadace Hůrka; a</w:t>
      </w:r>
    </w:p>
    <w:p w14:paraId="6346758E" w14:textId="77777777" w:rsidR="00EC1C40" w:rsidRDefault="00000000">
      <w:pPr>
        <w:pStyle w:val="Zkladntext1"/>
        <w:framePr w:w="10186" w:h="13454" w:hRule="exact" w:wrap="none" w:vAnchor="page" w:hAnchor="page" w:x="1213" w:y="1940"/>
        <w:numPr>
          <w:ilvl w:val="3"/>
          <w:numId w:val="3"/>
        </w:numPr>
        <w:tabs>
          <w:tab w:val="left" w:pos="2758"/>
        </w:tabs>
        <w:spacing w:after="220"/>
        <w:ind w:left="2760" w:hanging="1120"/>
        <w:jc w:val="both"/>
      </w:pPr>
      <w:r>
        <w:t>Smluvní strany učiní kroky a jednání uvedená v čl. 10.10.5 této Smlouvy, včetně kroků týkajících se Změny ÚP Hůrka a Změny ÚS Hůrka.</w:t>
      </w:r>
    </w:p>
    <w:p w14:paraId="2118A606" w14:textId="77777777" w:rsidR="00EC1C40" w:rsidRDefault="00000000">
      <w:pPr>
        <w:pStyle w:val="Zkladntext1"/>
        <w:framePr w:w="10186" w:h="13454" w:hRule="exact" w:wrap="none" w:vAnchor="page" w:hAnchor="page" w:x="1213" w:y="1940"/>
        <w:spacing w:after="220"/>
        <w:ind w:left="1640"/>
        <w:jc w:val="both"/>
      </w:pPr>
      <w:r>
        <w:t xml:space="preserve">Smlouva o výpůjčce Nadace Hůrka a </w:t>
      </w:r>
      <w:proofErr w:type="spellStart"/>
      <w:r>
        <w:t>SoSB</w:t>
      </w:r>
      <w:proofErr w:type="spellEnd"/>
      <w:r>
        <w:t xml:space="preserve"> Nadace Hůrka musí být uzavřeny spolu s touto Smlouvou, přičemž SMP zajistí uzavření těchto smluv v této lhůtě ze strany Nadace. Smlouva o výpůjčce SMP Hůrka a </w:t>
      </w:r>
      <w:proofErr w:type="spellStart"/>
      <w:r>
        <w:t>SoSB</w:t>
      </w:r>
      <w:proofErr w:type="spellEnd"/>
      <w:r>
        <w:t xml:space="preserve"> SMP Hůrka musí být uzavřeny spolu s touto Smlouvou.</w:t>
      </w:r>
    </w:p>
    <w:p w14:paraId="49A5FB10" w14:textId="77777777" w:rsidR="00EC1C40" w:rsidRDefault="00000000">
      <w:pPr>
        <w:pStyle w:val="Zkladntext1"/>
        <w:framePr w:w="10186" w:h="13454" w:hRule="exact" w:wrap="none" w:vAnchor="page" w:hAnchor="page" w:x="1213" w:y="1940"/>
        <w:spacing w:after="0"/>
        <w:ind w:left="1640"/>
        <w:jc w:val="both"/>
      </w:pPr>
      <w:r>
        <w:t xml:space="preserve">Smlouvy dle čl. 10.10.4.5 a čl. 10.10.4.6 této Smlouvy musí být uzavřeny a nabýt účinnosti za podmínek stanovených v </w:t>
      </w:r>
      <w:proofErr w:type="spellStart"/>
      <w:r>
        <w:t>SoSB</w:t>
      </w:r>
      <w:proofErr w:type="spellEnd"/>
      <w:r>
        <w:t xml:space="preserve"> SMP Hůrka a </w:t>
      </w:r>
      <w:proofErr w:type="spellStart"/>
      <w:r>
        <w:t>SoSB</w:t>
      </w:r>
      <w:proofErr w:type="spellEnd"/>
      <w:r>
        <w:t xml:space="preserve"> Nadace Hůrka</w:t>
      </w:r>
    </w:p>
    <w:p w14:paraId="7F9D6834" w14:textId="77777777" w:rsidR="00EC1C40" w:rsidRDefault="00000000">
      <w:pPr>
        <w:pStyle w:val="Zhlavnebozpat0"/>
        <w:framePr w:wrap="none" w:vAnchor="page" w:hAnchor="page" w:x="5543" w:y="16085"/>
        <w:rPr>
          <w:sz w:val="22"/>
          <w:szCs w:val="22"/>
        </w:rPr>
      </w:pPr>
      <w:r>
        <w:rPr>
          <w:color w:val="231E20"/>
          <w:sz w:val="22"/>
          <w:szCs w:val="22"/>
        </w:rPr>
        <w:t>35/63</w:t>
      </w:r>
    </w:p>
    <w:p w14:paraId="54B39976"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09132667" w14:textId="77777777" w:rsidR="00EC1C40" w:rsidRDefault="00000000">
      <w:pPr>
        <w:spacing w:line="1" w:lineRule="exact"/>
      </w:pPr>
      <w:r>
        <w:rPr>
          <w:noProof/>
        </w:rPr>
        <w:lastRenderedPageBreak/>
        <mc:AlternateContent>
          <mc:Choice Requires="wps">
            <w:drawing>
              <wp:anchor distT="0" distB="0" distL="114300" distR="114300" simplePos="0" relativeHeight="251618816" behindDoc="1" locked="0" layoutInCell="1" allowOverlap="1" wp14:anchorId="1D0E0C5F" wp14:editId="3EFD689C">
                <wp:simplePos x="0" y="0"/>
                <wp:positionH relativeFrom="page">
                  <wp:posOffset>879475</wp:posOffset>
                </wp:positionH>
                <wp:positionV relativeFrom="page">
                  <wp:posOffset>932180</wp:posOffset>
                </wp:positionV>
                <wp:extent cx="5702935" cy="0"/>
                <wp:effectExtent l="0" t="0" r="0" b="0"/>
                <wp:wrapNone/>
                <wp:docPr id="35" name="Shape 35"/>
                <wp:cNvGraphicFramePr/>
                <a:graphic xmlns:a="http://schemas.openxmlformats.org/drawingml/2006/main">
                  <a:graphicData uri="http://schemas.microsoft.com/office/word/2010/wordprocessingShape">
                    <wps:wsp>
                      <wps:cNvCnPr/>
                      <wps:spPr>
                        <a:xfrm>
                          <a:off x="0" y="0"/>
                          <a:ext cx="5702935" cy="0"/>
                        </a:xfrm>
                        <a:prstGeom prst="straightConnector1">
                          <a:avLst/>
                        </a:prstGeom>
                        <a:ln w="6350">
                          <a:solidFill/>
                        </a:ln>
                      </wps:spPr>
                      <wps:bodyPr/>
                    </wps:wsp>
                  </a:graphicData>
                </a:graphic>
              </wp:anchor>
            </w:drawing>
          </mc:Choice>
          <mc:Fallback>
            <w:pict>
              <v:shape o:spt="32" o:oned="true" path="m,l21600,21600e" style="position:absolute;margin-left:69.25pt;margin-top:73.400000000000006pt;width:449.05000000000001pt;height:0;z-index:-251658240;mso-position-horizontal-relative:page;mso-position-vertical-relative:page">
                <v:stroke weight="0.5pt"/>
              </v:shape>
            </w:pict>
          </mc:Fallback>
        </mc:AlternateContent>
      </w:r>
    </w:p>
    <w:p w14:paraId="3EB4EB6D" w14:textId="77777777" w:rsidR="00EC1C40" w:rsidRDefault="00000000">
      <w:pPr>
        <w:pStyle w:val="Zhlavnebozpat0"/>
        <w:framePr w:wrap="none" w:vAnchor="page" w:hAnchor="page" w:x="5192" w:y="1186"/>
      </w:pPr>
      <w:r>
        <w:t>Plánovací smlouva</w:t>
      </w:r>
    </w:p>
    <w:p w14:paraId="3DB87C4E" w14:textId="77777777" w:rsidR="00EC1C40" w:rsidRDefault="00000000">
      <w:pPr>
        <w:pStyle w:val="Zkladntext1"/>
        <w:framePr w:w="10186" w:h="13565" w:hRule="exact" w:wrap="none" w:vAnchor="page" w:hAnchor="page" w:x="1213" w:y="1940"/>
        <w:spacing w:after="220"/>
        <w:ind w:left="1640"/>
        <w:jc w:val="both"/>
      </w:pPr>
      <w:r>
        <w:t>nejpozději do 31. 12. 2028 tak, aby Investor nabyl vlastnické právo k Pozemkům SMP pro převod a Pozemku Nadace pro převod nejpozději do 31. 12. 2028.</w:t>
      </w:r>
    </w:p>
    <w:p w14:paraId="69858FA7" w14:textId="77777777" w:rsidR="00EC1C40" w:rsidRDefault="00000000">
      <w:pPr>
        <w:pStyle w:val="Zkladntext1"/>
        <w:framePr w:w="10186" w:h="13565" w:hRule="exact" w:wrap="none" w:vAnchor="page" w:hAnchor="page" w:x="1213" w:y="1940"/>
        <w:spacing w:after="220"/>
        <w:ind w:left="1640"/>
        <w:jc w:val="both"/>
      </w:pPr>
      <w:r>
        <w:t>Smluvní strany učiní veškeré kroky a jednání, která jsou zapotřebí pro uzavření a splnění jednání uvedených v tomto čl. 10.10.4 Smlouvy.</w:t>
      </w:r>
    </w:p>
    <w:p w14:paraId="43E4F945" w14:textId="77777777" w:rsidR="00EC1C40" w:rsidRDefault="00000000">
      <w:pPr>
        <w:pStyle w:val="Zkladntext1"/>
        <w:framePr w:w="10186" w:h="13565" w:hRule="exact" w:wrap="none" w:vAnchor="page" w:hAnchor="page" w:x="1213" w:y="1940"/>
        <w:numPr>
          <w:ilvl w:val="2"/>
          <w:numId w:val="3"/>
        </w:numPr>
        <w:tabs>
          <w:tab w:val="left" w:pos="1619"/>
        </w:tabs>
        <w:spacing w:after="220"/>
        <w:ind w:left="1640" w:hanging="1000"/>
        <w:jc w:val="both"/>
      </w:pPr>
      <w:r>
        <w:t>Smluvní strany jsou si vědomy, že za účelem umožnění stavební realizace Dopravního záměru je zapotřebí vedle kroků a jednání uvedených v čl. 10.10.4 této Smlouvy realizovat následující kroky a jednání a splnit následující závazky:</w:t>
      </w:r>
    </w:p>
    <w:p w14:paraId="423BB2B8" w14:textId="77777777" w:rsidR="00EC1C40" w:rsidRDefault="00000000">
      <w:pPr>
        <w:pStyle w:val="Zkladntext1"/>
        <w:framePr w:w="10186" w:h="13565" w:hRule="exact" w:wrap="none" w:vAnchor="page" w:hAnchor="page" w:x="1213" w:y="1940"/>
        <w:numPr>
          <w:ilvl w:val="3"/>
          <w:numId w:val="3"/>
        </w:numPr>
        <w:tabs>
          <w:tab w:val="left" w:pos="2758"/>
        </w:tabs>
        <w:spacing w:after="220"/>
        <w:ind w:left="2760" w:hanging="1120"/>
        <w:jc w:val="both"/>
      </w:pPr>
      <w:r>
        <w:t xml:space="preserve">SMP se v souladu s § 131 odst. 1 písm. b) Stavebního zákona zavazuje učinit kroky ke změně Stávajícího ÚP </w:t>
      </w:r>
      <w:r>
        <w:rPr>
          <w:i/>
          <w:iCs/>
        </w:rPr>
        <w:t>(jak je tento pojem definován v této Smlouvě)</w:t>
      </w:r>
      <w:r>
        <w:t xml:space="preserve"> a po přijetí Nového ÚP </w:t>
      </w:r>
      <w:r>
        <w:rPr>
          <w:i/>
          <w:iCs/>
        </w:rPr>
        <w:t>(jak je tento pojem definován v této Smlouvě)</w:t>
      </w:r>
      <w:r>
        <w:t xml:space="preserve"> ke změně Nového ÚP, a to takovým způsobem, aby byla umožněna výstavba Parkovacího domu (o kapacitě minimálně 1.500 parkovacích míst) a výstavba Dopravního terminálu, a to na Pozemcích Hůrka, včetně související dopravní a technické infrastruktury a dopravního napojení Pozemků Hůrka na silnici I/36 (a to včetně potřebné úpravy regulativů územního plánu, např. funkčních ploch, úpravy podílu zastavěnosti a podílu zeleně a úpravy výškových limitů atd.) (dále jen „</w:t>
      </w:r>
      <w:r>
        <w:rPr>
          <w:b/>
          <w:bCs/>
        </w:rPr>
        <w:t>Změna ÚP Hůrka</w:t>
      </w:r>
      <w:r>
        <w:t>“). SMP se v této souvislosti zavazuje učinit veškeré kroky, které v rámci pořizování územního plánu (Změny ÚP Hůrka) může učinit v rámci samostatné působnosti a které jsou potřebné pro přijetí Změny ÚP Hůrka, včetně (i) přijetí rozhodnutí o pořízení Změny ÚP Hůrka, (</w:t>
      </w:r>
      <w:proofErr w:type="spellStart"/>
      <w:r>
        <w:t>ii</w:t>
      </w:r>
      <w:proofErr w:type="spellEnd"/>
      <w:r>
        <w:t>) schválení zadání Změny ÚP Hůrka, (</w:t>
      </w:r>
      <w:proofErr w:type="spellStart"/>
      <w:r>
        <w:t>iii</w:t>
      </w:r>
      <w:proofErr w:type="spellEnd"/>
      <w:r>
        <w:t>) zajištění zpracování Změny ÚP Hůrka a (</w:t>
      </w:r>
      <w:proofErr w:type="spellStart"/>
      <w:r>
        <w:t>iv</w:t>
      </w:r>
      <w:proofErr w:type="spellEnd"/>
      <w:r>
        <w:t>) dalších kroků vedoucích k vydání Změny ÚP Hůrka. Zadání Změny ÚP Hůrka musí být schváleno ze strany Investora. Změna ÚP Hůrka bude pořizována z vlastního podnětu SMP a na náklady SMP. Změna ÚP Hůrka nesmí obsahovat žádné podmínky, které by bránily realizaci Dopravního záměru, ledaže by tyto podmínky plynuly ze stanovisek dotčených orgánů státní správy hájící veřejný zájem v procesu pořízení Změny ÚP Hůrka (a takové stanovisko se nepodařilo s dotčeným orgánem projednat a změnit); závazky SMP uvedené v čl. 11.4 Smlouvy platí stejně i pro Změnu ÚP Hůrka (pouze namísto Lokality stabilizace ÚPD platí pro Pozemky Hůrka). SMP učiní kroky k tomu, aby Změna ÚP Hůrka (příslušné opatření obecné povahy, kterým se vydává Změna ÚP Hůrka) byla předložena k hlasování zastupitelstvu SMP do 31.12.2027.</w:t>
      </w:r>
    </w:p>
    <w:p w14:paraId="074410D8" w14:textId="77777777" w:rsidR="00EC1C40" w:rsidRDefault="00000000">
      <w:pPr>
        <w:pStyle w:val="Zkladntext1"/>
        <w:framePr w:w="10186" w:h="13565" w:hRule="exact" w:wrap="none" w:vAnchor="page" w:hAnchor="page" w:x="1213" w:y="1940"/>
        <w:spacing w:after="220"/>
        <w:ind w:left="2760"/>
        <w:jc w:val="both"/>
      </w:pPr>
      <w:r>
        <w:t>Pro vyloučení jakýchkoli pochybností Smluvní strany konstatují, že SMP není na základě závazků dle tohoto čl. 10.10.5.1 Smlouvy oprávněno jakkoliv zasahovat do výkonu státní správy, ani do rozhodování členů zastupitelstva, závazky SMP dle tohoto čl. čl. 10.10.5.1 Smlouvy se týkají samostatné působnosti SMP;</w:t>
      </w:r>
    </w:p>
    <w:p w14:paraId="5946D355" w14:textId="77777777" w:rsidR="00EC1C40" w:rsidRDefault="00000000">
      <w:pPr>
        <w:pStyle w:val="Zkladntext1"/>
        <w:framePr w:w="10186" w:h="13565" w:hRule="exact" w:wrap="none" w:vAnchor="page" w:hAnchor="page" w:x="1213" w:y="1940"/>
        <w:numPr>
          <w:ilvl w:val="3"/>
          <w:numId w:val="3"/>
        </w:numPr>
        <w:tabs>
          <w:tab w:val="left" w:pos="2758"/>
        </w:tabs>
        <w:spacing w:after="0"/>
        <w:ind w:left="2760" w:hanging="1120"/>
        <w:jc w:val="both"/>
      </w:pPr>
      <w:r>
        <w:t>SMP se dále zavazuje změnit ÚS Hůrka takovým způsobem, aby byla ÚS Hůrka kompatibilní se Změnou ÚP Hůrka, tj. aby byla umožněna výstavba Parkovacího domu (o kapacitě minimálně 1.500 parkovacích míst) a výstavbu Dopravního terminálu, a to na Pozemcích Hůrka, včetně související dopravní a technické infrastruktury a dopravního napojení Pozemků Hůrka na silnici I/36 (dále jen „</w:t>
      </w:r>
      <w:r>
        <w:rPr>
          <w:b/>
          <w:bCs/>
        </w:rPr>
        <w:t>Změna ÚS Hůrka</w:t>
      </w:r>
      <w:r>
        <w:t>“). SMP učiní</w:t>
      </w:r>
    </w:p>
    <w:p w14:paraId="0D264BCF" w14:textId="77777777" w:rsidR="00EC1C40" w:rsidRDefault="00000000">
      <w:pPr>
        <w:pStyle w:val="Zhlavnebozpat0"/>
        <w:framePr w:wrap="none" w:vAnchor="page" w:hAnchor="page" w:x="5543" w:y="16085"/>
        <w:rPr>
          <w:sz w:val="22"/>
          <w:szCs w:val="22"/>
        </w:rPr>
      </w:pPr>
      <w:r>
        <w:rPr>
          <w:color w:val="231E20"/>
          <w:sz w:val="22"/>
          <w:szCs w:val="22"/>
        </w:rPr>
        <w:t>36/63</w:t>
      </w:r>
    </w:p>
    <w:p w14:paraId="1136F535"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04699DCB" w14:textId="77777777" w:rsidR="00EC1C40" w:rsidRDefault="00000000">
      <w:pPr>
        <w:spacing w:line="1" w:lineRule="exact"/>
      </w:pPr>
      <w:r>
        <w:rPr>
          <w:noProof/>
        </w:rPr>
        <w:lastRenderedPageBreak/>
        <mc:AlternateContent>
          <mc:Choice Requires="wps">
            <w:drawing>
              <wp:anchor distT="0" distB="0" distL="114300" distR="114300" simplePos="0" relativeHeight="251619840" behindDoc="1" locked="0" layoutInCell="1" allowOverlap="1" wp14:anchorId="1AA3092F" wp14:editId="7BA401C0">
                <wp:simplePos x="0" y="0"/>
                <wp:positionH relativeFrom="page">
                  <wp:posOffset>879475</wp:posOffset>
                </wp:positionH>
                <wp:positionV relativeFrom="page">
                  <wp:posOffset>932180</wp:posOffset>
                </wp:positionV>
                <wp:extent cx="5702935" cy="0"/>
                <wp:effectExtent l="0" t="0" r="0" b="0"/>
                <wp:wrapNone/>
                <wp:docPr id="36" name="Shape 36"/>
                <wp:cNvGraphicFramePr/>
                <a:graphic xmlns:a="http://schemas.openxmlformats.org/drawingml/2006/main">
                  <a:graphicData uri="http://schemas.microsoft.com/office/word/2010/wordprocessingShape">
                    <wps:wsp>
                      <wps:cNvCnPr/>
                      <wps:spPr>
                        <a:xfrm>
                          <a:off x="0" y="0"/>
                          <a:ext cx="5702935" cy="0"/>
                        </a:xfrm>
                        <a:prstGeom prst="straightConnector1">
                          <a:avLst/>
                        </a:prstGeom>
                        <a:ln w="6350">
                          <a:solidFill/>
                        </a:ln>
                      </wps:spPr>
                      <wps:bodyPr/>
                    </wps:wsp>
                  </a:graphicData>
                </a:graphic>
              </wp:anchor>
            </w:drawing>
          </mc:Choice>
          <mc:Fallback>
            <w:pict>
              <v:shape o:spt="32" o:oned="true" path="m,l21600,21600e" style="position:absolute;margin-left:69.25pt;margin-top:73.400000000000006pt;width:449.05000000000001pt;height:0;z-index:-251658240;mso-position-horizontal-relative:page;mso-position-vertical-relative:page">
                <v:stroke weight="0.5pt"/>
              </v:shape>
            </w:pict>
          </mc:Fallback>
        </mc:AlternateContent>
      </w:r>
    </w:p>
    <w:p w14:paraId="62D71650" w14:textId="77777777" w:rsidR="00EC1C40" w:rsidRDefault="00000000">
      <w:pPr>
        <w:pStyle w:val="Zhlavnebozpat0"/>
        <w:framePr w:wrap="none" w:vAnchor="page" w:hAnchor="page" w:x="5192" w:y="1186"/>
      </w:pPr>
      <w:r>
        <w:t>Plánovací smlouva</w:t>
      </w:r>
    </w:p>
    <w:p w14:paraId="707FE349" w14:textId="77777777" w:rsidR="00EC1C40" w:rsidRDefault="00000000">
      <w:pPr>
        <w:pStyle w:val="Zkladntext1"/>
        <w:framePr w:w="10186" w:h="13416" w:hRule="exact" w:wrap="none" w:vAnchor="page" w:hAnchor="page" w:x="1213" w:y="1940"/>
        <w:spacing w:after="220"/>
        <w:ind w:left="2760"/>
        <w:jc w:val="both"/>
      </w:pPr>
      <w:r>
        <w:t>kroky k tomu, aby Změna ÚS Hůrka byla předložena k hlasování zastupitelstvu SMP do 31. 12.2027;</w:t>
      </w:r>
    </w:p>
    <w:p w14:paraId="753F5AC2" w14:textId="77777777" w:rsidR="00EC1C40" w:rsidRDefault="00000000">
      <w:pPr>
        <w:pStyle w:val="Zkladntext1"/>
        <w:framePr w:w="10186" w:h="13416" w:hRule="exact" w:wrap="none" w:vAnchor="page" w:hAnchor="page" w:x="1213" w:y="1940"/>
        <w:numPr>
          <w:ilvl w:val="3"/>
          <w:numId w:val="3"/>
        </w:numPr>
        <w:tabs>
          <w:tab w:val="left" w:pos="2758"/>
        </w:tabs>
        <w:spacing w:after="220"/>
        <w:ind w:left="2760" w:hanging="1120"/>
        <w:jc w:val="both"/>
      </w:pPr>
      <w:r>
        <w:t>Smluvní strany si poskytnou i další součinnost nezbytnou pro realizaci Dopravního záměru;</w:t>
      </w:r>
    </w:p>
    <w:p w14:paraId="1A89AC68" w14:textId="77777777" w:rsidR="00EC1C40" w:rsidRDefault="00000000">
      <w:pPr>
        <w:pStyle w:val="Zkladntext1"/>
        <w:framePr w:w="10186" w:h="13416" w:hRule="exact" w:wrap="none" w:vAnchor="page" w:hAnchor="page" w:x="1213" w:y="1940"/>
        <w:numPr>
          <w:ilvl w:val="3"/>
          <w:numId w:val="3"/>
        </w:numPr>
        <w:tabs>
          <w:tab w:val="left" w:pos="2758"/>
        </w:tabs>
        <w:spacing w:after="220"/>
        <w:ind w:left="2760" w:hanging="1120"/>
        <w:jc w:val="both"/>
      </w:pPr>
      <w:r>
        <w:t>Investor předloží SMP projektovou dokumentaci k Parkovacímu domu k připomínkám a vyjádření a co se týče Dopravního terminálu k připomínkám a schválení SMP nebude schválení dokumentace k Dopravnímu terminálu bez závažného důvodu oddalovat ani odpírat. Poté, co bude projektová dokumentace k Dopravnímu terminálu schválena ze strany SMP, uzavřou Smluvní strany bez zbytečného odkladu dodatek k této Smlouvě, kterým zapracují podrobnou (i) součinnost SMP při projektování a výstavbě Dopravního záměru (v rozsahu dle čl. 7.3. až 7.8. této Smlouvy, včetně souhlasu SMP jako vlastníka pozemku s umístěním Parkovacího domu a Dopravního terminálu na pozemcích SMP dle § 187 Stavebního zákona) a rovněž (</w:t>
      </w:r>
      <w:proofErr w:type="spellStart"/>
      <w:r>
        <w:t>ii</w:t>
      </w:r>
      <w:proofErr w:type="spellEnd"/>
      <w:r>
        <w:t>) součinnost ke zřízení služebnosti stezky a cesty pro přístup mezi Parkovacím domem a silnicí I/36 (na dobu neurčitou, za úplatu 1.000,- Kč, jako služebnosti pozemkové) a případně (</w:t>
      </w:r>
      <w:proofErr w:type="spellStart"/>
      <w:r>
        <w:t>iii</w:t>
      </w:r>
      <w:proofErr w:type="spellEnd"/>
      <w:r>
        <w:t>) další součinnost potřebnou k realizaci Dopravního záměru; a</w:t>
      </w:r>
    </w:p>
    <w:p w14:paraId="2EA7C2DC" w14:textId="77777777" w:rsidR="00EC1C40" w:rsidRDefault="00000000">
      <w:pPr>
        <w:pStyle w:val="Zkladntext1"/>
        <w:framePr w:w="10186" w:h="13416" w:hRule="exact" w:wrap="none" w:vAnchor="page" w:hAnchor="page" w:x="1213" w:y="1940"/>
        <w:numPr>
          <w:ilvl w:val="3"/>
          <w:numId w:val="3"/>
        </w:numPr>
        <w:tabs>
          <w:tab w:val="left" w:pos="2758"/>
        </w:tabs>
        <w:spacing w:after="220"/>
        <w:ind w:left="2760" w:hanging="1120"/>
        <w:jc w:val="both"/>
      </w:pPr>
      <w:r>
        <w:t xml:space="preserve">Smluvní strany jsou si vědomy a sjednávají, že Investor není povinen na základě této Smlouvy, ani na základě </w:t>
      </w:r>
      <w:proofErr w:type="spellStart"/>
      <w:r>
        <w:t>SoSB</w:t>
      </w:r>
      <w:proofErr w:type="spellEnd"/>
      <w:r>
        <w:t xml:space="preserve"> SMP Hůrka, Smlouvy o výpůjčce SMP Hůrka, </w:t>
      </w:r>
      <w:proofErr w:type="spellStart"/>
      <w:r>
        <w:t>SoSB</w:t>
      </w:r>
      <w:proofErr w:type="spellEnd"/>
      <w:r>
        <w:t xml:space="preserve"> Nadace Hůrka a Smlouvy o výpůjčce Nadace Hůrka či jiné právní skutečnosti stavebně realizovat, ani provozovat Dopravní záměr. SMP nebude po Investorovi požadovat (a zajistí, aby tak nečinila ani Nadace) jakékoli plnění (příspěvek, kompenzaci atd.) v souvislosti s (případnou) realizací Parkovacího domu či Dopravního terminálu či jeho provozem a/nebo v souvislosti se Změnou ÚP Hůrka a/nebo Změnou ÚS Hůrka, přičemž Investor není povinen žádné takové plnění SMP poskytovat; současně platí, že ani Investor nebude po SMP požadovat jakoukoli peněžitou kompenzaci (hodnotu nepeněžního plnění, přeplatek atd.) za realizaci Dopravního terminálu, vyjma příslušné kupní ceny sjednané v rámci Výpůjčky SMP Hůrka za převod Dopravního terminálu na SMP. Tímto ustanovením není dotčeno ujednání Smluvních stran ohledně náhrady nákladů na Změnu ÚS Hůrka výše.</w:t>
      </w:r>
    </w:p>
    <w:p w14:paraId="74EB4AC9" w14:textId="77777777" w:rsidR="00EC1C40" w:rsidRDefault="00000000">
      <w:pPr>
        <w:pStyle w:val="Zkladntext1"/>
        <w:framePr w:w="10186" w:h="13416" w:hRule="exact" w:wrap="none" w:vAnchor="page" w:hAnchor="page" w:x="1213" w:y="1940"/>
        <w:numPr>
          <w:ilvl w:val="2"/>
          <w:numId w:val="3"/>
        </w:numPr>
        <w:tabs>
          <w:tab w:val="left" w:pos="1619"/>
        </w:tabs>
        <w:spacing w:after="220"/>
        <w:ind w:left="1380" w:hanging="740"/>
        <w:jc w:val="both"/>
      </w:pPr>
      <w:r>
        <w:t>Smluvní strany jsou si vědomy, že smyslem a účelem kroků a právních jednání uvedených v čl. 10.10 Smlouvy je umožnění stavební realizace, kolaudace a užívání Parkovacího domu (o kapacitě minimálně 1.500 parkovacích míst) a Dopravního terminálu v lokalitě Hůrka na Pozemcích Hůrka, a to jako staveb veřejné infrastruktury (veřejných staveb).</w:t>
      </w:r>
    </w:p>
    <w:p w14:paraId="01A0EB32" w14:textId="77777777" w:rsidR="00EC1C40" w:rsidRDefault="00000000">
      <w:pPr>
        <w:pStyle w:val="Zkladntext1"/>
        <w:framePr w:w="10186" w:h="13416" w:hRule="exact" w:wrap="none" w:vAnchor="page" w:hAnchor="page" w:x="1213" w:y="1940"/>
        <w:numPr>
          <w:ilvl w:val="2"/>
          <w:numId w:val="3"/>
        </w:numPr>
        <w:tabs>
          <w:tab w:val="left" w:pos="1619"/>
        </w:tabs>
        <w:ind w:left="1380" w:hanging="740"/>
        <w:jc w:val="both"/>
      </w:pPr>
      <w:r>
        <w:t xml:space="preserve">Dopravní terminál bude převeden po jeho výstavbě a uvedení do užívání na SMP, a to za podmínek sjednaných ve Smlouvě o výpůjčce SMP Hůrka uzavřené mezi Investorem </w:t>
      </w:r>
      <w:r>
        <w:rPr>
          <w:lang w:val="en-US" w:eastAsia="en-US" w:bidi="en-US"/>
        </w:rPr>
        <w:t xml:space="preserve">a SMP, </w:t>
      </w:r>
      <w:r>
        <w:t xml:space="preserve">která tvoří </w:t>
      </w:r>
      <w:r>
        <w:rPr>
          <w:u w:val="single"/>
        </w:rPr>
        <w:t>Přílohu č. 22</w:t>
      </w:r>
      <w:r>
        <w:t xml:space="preserve"> této Smlouvy, přičemž jeho provoz zajistí SMP. Parkovací dům Hůrka zůstane ve vlastnictví a provozu Investora.</w:t>
      </w:r>
    </w:p>
    <w:p w14:paraId="156B9F7B" w14:textId="77777777" w:rsidR="00EC1C40" w:rsidRDefault="00000000">
      <w:pPr>
        <w:pStyle w:val="Zkladntext1"/>
        <w:framePr w:w="10186" w:h="13416" w:hRule="exact" w:wrap="none" w:vAnchor="page" w:hAnchor="page" w:x="1213" w:y="1940"/>
        <w:numPr>
          <w:ilvl w:val="2"/>
          <w:numId w:val="3"/>
        </w:numPr>
        <w:tabs>
          <w:tab w:val="left" w:pos="1619"/>
        </w:tabs>
        <w:spacing w:after="0"/>
        <w:ind w:firstLine="640"/>
        <w:jc w:val="both"/>
      </w:pPr>
      <w:r>
        <w:t>Investor v souvislosti s realizací Dopravního záměru prohlašuje, že:</w:t>
      </w:r>
    </w:p>
    <w:p w14:paraId="5CD1DBA5" w14:textId="77777777" w:rsidR="00EC1C40" w:rsidRDefault="00000000">
      <w:pPr>
        <w:pStyle w:val="Zhlavnebozpat0"/>
        <w:framePr w:wrap="none" w:vAnchor="page" w:hAnchor="page" w:x="5543" w:y="16085"/>
        <w:rPr>
          <w:sz w:val="22"/>
          <w:szCs w:val="22"/>
        </w:rPr>
      </w:pPr>
      <w:r>
        <w:rPr>
          <w:color w:val="231E20"/>
          <w:sz w:val="22"/>
          <w:szCs w:val="22"/>
        </w:rPr>
        <w:t>37/63</w:t>
      </w:r>
    </w:p>
    <w:p w14:paraId="79E4237D"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40327323" w14:textId="77777777" w:rsidR="00EC1C40" w:rsidRDefault="00000000">
      <w:pPr>
        <w:spacing w:line="1" w:lineRule="exact"/>
      </w:pPr>
      <w:r>
        <w:rPr>
          <w:noProof/>
        </w:rPr>
        <w:lastRenderedPageBreak/>
        <mc:AlternateContent>
          <mc:Choice Requires="wps">
            <w:drawing>
              <wp:anchor distT="0" distB="0" distL="114300" distR="114300" simplePos="0" relativeHeight="251620864" behindDoc="1" locked="0" layoutInCell="1" allowOverlap="1" wp14:anchorId="5DE40CFF" wp14:editId="10D3825C">
                <wp:simplePos x="0" y="0"/>
                <wp:positionH relativeFrom="page">
                  <wp:posOffset>879475</wp:posOffset>
                </wp:positionH>
                <wp:positionV relativeFrom="page">
                  <wp:posOffset>932180</wp:posOffset>
                </wp:positionV>
                <wp:extent cx="5702935" cy="0"/>
                <wp:effectExtent l="0" t="0" r="0" b="0"/>
                <wp:wrapNone/>
                <wp:docPr id="37" name="Shape 37"/>
                <wp:cNvGraphicFramePr/>
                <a:graphic xmlns:a="http://schemas.openxmlformats.org/drawingml/2006/main">
                  <a:graphicData uri="http://schemas.microsoft.com/office/word/2010/wordprocessingShape">
                    <wps:wsp>
                      <wps:cNvCnPr/>
                      <wps:spPr>
                        <a:xfrm>
                          <a:off x="0" y="0"/>
                          <a:ext cx="5702935" cy="0"/>
                        </a:xfrm>
                        <a:prstGeom prst="straightConnector1">
                          <a:avLst/>
                        </a:prstGeom>
                        <a:ln w="6350">
                          <a:solidFill/>
                        </a:ln>
                      </wps:spPr>
                      <wps:bodyPr/>
                    </wps:wsp>
                  </a:graphicData>
                </a:graphic>
              </wp:anchor>
            </w:drawing>
          </mc:Choice>
          <mc:Fallback>
            <w:pict>
              <v:shape o:spt="32" o:oned="true" path="m,l21600,21600e" style="position:absolute;margin-left:69.25pt;margin-top:73.400000000000006pt;width:449.05000000000001pt;height:0;z-index:-251658240;mso-position-horizontal-relative:page;mso-position-vertical-relative:page">
                <v:stroke weight="0.5pt"/>
              </v:shape>
            </w:pict>
          </mc:Fallback>
        </mc:AlternateContent>
      </w:r>
    </w:p>
    <w:p w14:paraId="6A77E1F3" w14:textId="77777777" w:rsidR="00EC1C40" w:rsidRDefault="00000000">
      <w:pPr>
        <w:pStyle w:val="Zhlavnebozpat0"/>
        <w:framePr w:wrap="none" w:vAnchor="page" w:hAnchor="page" w:x="5192" w:y="1186"/>
      </w:pPr>
      <w:r>
        <w:t>Plánovací smlouva</w:t>
      </w:r>
    </w:p>
    <w:p w14:paraId="1424181F" w14:textId="77777777" w:rsidR="00EC1C40" w:rsidRDefault="00000000">
      <w:pPr>
        <w:pStyle w:val="Zkladntext1"/>
        <w:framePr w:w="10186" w:h="13603" w:hRule="exact" w:wrap="none" w:vAnchor="page" w:hAnchor="page" w:x="1213" w:y="1940"/>
        <w:numPr>
          <w:ilvl w:val="3"/>
          <w:numId w:val="3"/>
        </w:numPr>
        <w:tabs>
          <w:tab w:val="left" w:pos="2768"/>
        </w:tabs>
        <w:spacing w:after="240"/>
        <w:ind w:left="2760" w:hanging="1120"/>
        <w:jc w:val="both"/>
      </w:pPr>
      <w:r>
        <w:t>bude konzultovat přípravu Dopravního terminálu s odborem dopravy a odborem hlavního architekta;</w:t>
      </w:r>
    </w:p>
    <w:p w14:paraId="47BE25DE" w14:textId="77777777" w:rsidR="00EC1C40" w:rsidRDefault="00000000">
      <w:pPr>
        <w:pStyle w:val="Zkladntext1"/>
        <w:framePr w:w="10186" w:h="13603" w:hRule="exact" w:wrap="none" w:vAnchor="page" w:hAnchor="page" w:x="1213" w:y="1940"/>
        <w:numPr>
          <w:ilvl w:val="3"/>
          <w:numId w:val="3"/>
        </w:numPr>
        <w:tabs>
          <w:tab w:val="left" w:pos="2768"/>
        </w:tabs>
        <w:spacing w:after="240"/>
        <w:ind w:left="2760" w:hanging="1120"/>
        <w:jc w:val="both"/>
      </w:pPr>
      <w:r>
        <w:t>bude projektovat a realizovat protihluková opatření, která budou nezbytná pro dodržení příslušných hygienických limitů stanovených právními předpisy, pokud jde o vliv Dopravního záměru na pozemky SMP v Lokalitě Hůrka;</w:t>
      </w:r>
    </w:p>
    <w:p w14:paraId="64BF8FDC" w14:textId="77777777" w:rsidR="00EC1C40" w:rsidRDefault="00000000">
      <w:pPr>
        <w:pStyle w:val="Zkladntext1"/>
        <w:framePr w:w="10186" w:h="13603" w:hRule="exact" w:wrap="none" w:vAnchor="page" w:hAnchor="page" w:x="1213" w:y="1940"/>
        <w:numPr>
          <w:ilvl w:val="3"/>
          <w:numId w:val="3"/>
        </w:numPr>
        <w:tabs>
          <w:tab w:val="left" w:pos="2768"/>
        </w:tabs>
        <w:spacing w:after="240"/>
        <w:ind w:left="2760" w:hanging="1120"/>
        <w:jc w:val="both"/>
      </w:pPr>
      <w:r>
        <w:t>bude Dopravní terminál projektovat tak, aby byla umožněna obsluha Dopravního terminálu autobusy MHD a krajskými linkovými autobusy;</w:t>
      </w:r>
    </w:p>
    <w:p w14:paraId="23FEDF70" w14:textId="77777777" w:rsidR="00EC1C40" w:rsidRDefault="00000000">
      <w:pPr>
        <w:pStyle w:val="Zkladntext1"/>
        <w:framePr w:w="10186" w:h="13603" w:hRule="exact" w:wrap="none" w:vAnchor="page" w:hAnchor="page" w:x="1213" w:y="1940"/>
        <w:numPr>
          <w:ilvl w:val="3"/>
          <w:numId w:val="3"/>
        </w:numPr>
        <w:tabs>
          <w:tab w:val="left" w:pos="2768"/>
        </w:tabs>
        <w:spacing w:after="240"/>
        <w:ind w:left="2760" w:hanging="1120"/>
        <w:jc w:val="both"/>
      </w:pPr>
      <w:r>
        <w:t>zajistí dopravní napojení Dopravního záměru na silnici I/36;</w:t>
      </w:r>
    </w:p>
    <w:p w14:paraId="03CE907A" w14:textId="77777777" w:rsidR="00EC1C40" w:rsidRDefault="00000000">
      <w:pPr>
        <w:pStyle w:val="Zkladntext1"/>
        <w:framePr w:w="10186" w:h="13603" w:hRule="exact" w:wrap="none" w:vAnchor="page" w:hAnchor="page" w:x="1213" w:y="1940"/>
        <w:numPr>
          <w:ilvl w:val="3"/>
          <w:numId w:val="3"/>
        </w:numPr>
        <w:tabs>
          <w:tab w:val="left" w:pos="2768"/>
        </w:tabs>
        <w:spacing w:after="240"/>
        <w:ind w:left="2760" w:hanging="1120"/>
        <w:jc w:val="both"/>
      </w:pPr>
      <w:r>
        <w:t>je připraven převzít příslušné závazky týkající se zajištění Změny ÚS Hůrka, včetně zajištění úhrady poměrné části nákladů vzniklých v souvislosti s aktualizací ÚS Hůrka (pokud by změna ÚS byla realizována i na podnět SMP nebo by řešila taktéž potřeby SMP); a</w:t>
      </w:r>
    </w:p>
    <w:p w14:paraId="2689420F" w14:textId="77777777" w:rsidR="00EC1C40" w:rsidRDefault="00000000">
      <w:pPr>
        <w:pStyle w:val="Zkladntext1"/>
        <w:framePr w:w="10186" w:h="13603" w:hRule="exact" w:wrap="none" w:vAnchor="page" w:hAnchor="page" w:x="1213" w:y="1940"/>
        <w:numPr>
          <w:ilvl w:val="3"/>
          <w:numId w:val="3"/>
        </w:numPr>
        <w:tabs>
          <w:tab w:val="left" w:pos="2768"/>
        </w:tabs>
        <w:spacing w:after="240"/>
        <w:ind w:left="2760" w:hanging="1120"/>
        <w:jc w:val="both"/>
      </w:pPr>
      <w:r>
        <w:t xml:space="preserve">je připraven realizovat příslušná majetkoprávní jednání, zejména nabýt vlastnické právo k Pozemkům SMP pro převod a Pozemkům Nadace pro převod, a to za podmínek sjednaných v rámci </w:t>
      </w:r>
      <w:proofErr w:type="spellStart"/>
      <w:r>
        <w:t>SoSB</w:t>
      </w:r>
      <w:proofErr w:type="spellEnd"/>
      <w:r>
        <w:t xml:space="preserve"> SMP Hůrka a </w:t>
      </w:r>
      <w:proofErr w:type="spellStart"/>
      <w:r>
        <w:t>SoSB</w:t>
      </w:r>
      <w:proofErr w:type="spellEnd"/>
      <w:r>
        <w:t xml:space="preserve"> Nadace Hůrka.</w:t>
      </w:r>
    </w:p>
    <w:p w14:paraId="7AB7F397" w14:textId="77777777" w:rsidR="00EC1C40" w:rsidRDefault="00000000">
      <w:pPr>
        <w:pStyle w:val="Zkladntext1"/>
        <w:framePr w:w="10186" w:h="13603" w:hRule="exact" w:wrap="none" w:vAnchor="page" w:hAnchor="page" w:x="1213" w:y="1940"/>
        <w:numPr>
          <w:ilvl w:val="2"/>
          <w:numId w:val="3"/>
        </w:numPr>
        <w:tabs>
          <w:tab w:val="left" w:pos="1619"/>
        </w:tabs>
        <w:spacing w:after="240"/>
        <w:ind w:left="1380" w:hanging="740"/>
        <w:jc w:val="both"/>
      </w:pPr>
      <w:r>
        <w:t>Smluvní strany se zavazují vstoupit bezodkladně po uzavření této Smlouvy do vzájemných jednání za účelem implementace jednotlivých kroků a jednání a závazků uvedených v tomto čl. 10.10 Smlouvy. Smluvní strany mohou, pokud to bude účelné, dále specifikovat projekt Dopravního záměru v návaznosti na jeho projektování a další specifikaci, jako i dalšího rozvoje Lokality Hůrka, a za tím účelem zvážit možné uzavření dodatku k tomuto k této Smlouvě.</w:t>
      </w:r>
    </w:p>
    <w:p w14:paraId="7E08E642" w14:textId="77777777" w:rsidR="00EC1C40" w:rsidRDefault="00000000">
      <w:pPr>
        <w:pStyle w:val="Zkladntext1"/>
        <w:framePr w:w="10186" w:h="13603" w:hRule="exact" w:wrap="none" w:vAnchor="page" w:hAnchor="page" w:x="1213" w:y="1940"/>
        <w:numPr>
          <w:ilvl w:val="1"/>
          <w:numId w:val="3"/>
        </w:numPr>
        <w:tabs>
          <w:tab w:val="left" w:pos="663"/>
        </w:tabs>
        <w:ind w:left="640" w:hanging="640"/>
        <w:jc w:val="both"/>
      </w:pPr>
      <w:r>
        <w:t>Smluvní strany dále sjednávají, že pokud by kdykoli v budoucnu byla přijata taková právní úprava, na základě které by byl Investor jako vlastník pozemku, kterému vznikl majetkový prospěch zvýšením hodnoty pozemku v důsledku změny obsahu územně plánovací dokumentace, povinen uhradit SMP náhradu za toto zvýšení, pak bude takováto náhrada v celém rozsahu zohledněna v rámci investičního příspěvku, který by byl případně povinen uhradit Investor jako vlastník pozemku v souvislosti s realizací svého záměru na základě plánovací smlouvy uzavřené s SMP.</w:t>
      </w:r>
    </w:p>
    <w:p w14:paraId="36765C4D" w14:textId="77777777" w:rsidR="00EC1C40" w:rsidRDefault="00000000">
      <w:pPr>
        <w:pStyle w:val="Nadpis60"/>
        <w:framePr w:w="10186" w:h="13603" w:hRule="exact" w:wrap="none" w:vAnchor="page" w:hAnchor="page" w:x="1213" w:y="1940"/>
        <w:numPr>
          <w:ilvl w:val="0"/>
          <w:numId w:val="3"/>
        </w:numPr>
        <w:tabs>
          <w:tab w:val="left" w:pos="552"/>
        </w:tabs>
        <w:spacing w:after="240"/>
        <w:jc w:val="both"/>
      </w:pPr>
      <w:bookmarkStart w:id="10" w:name="bookmark20"/>
      <w:r>
        <w:t>Veřejnoprávní závazky SMP týkající se územního plánu</w:t>
      </w:r>
      <w:bookmarkEnd w:id="10"/>
    </w:p>
    <w:p w14:paraId="75BFC638" w14:textId="77777777" w:rsidR="00EC1C40" w:rsidRDefault="00000000">
      <w:pPr>
        <w:pStyle w:val="Zkladntext1"/>
        <w:framePr w:w="10186" w:h="13603" w:hRule="exact" w:wrap="none" w:vAnchor="page" w:hAnchor="page" w:x="1213" w:y="1940"/>
        <w:numPr>
          <w:ilvl w:val="1"/>
          <w:numId w:val="3"/>
        </w:numPr>
        <w:tabs>
          <w:tab w:val="left" w:pos="553"/>
        </w:tabs>
        <w:spacing w:after="0"/>
        <w:ind w:left="640" w:hanging="640"/>
        <w:jc w:val="both"/>
      </w:pPr>
      <w:r>
        <w:t>SMP se v souladu s § 131 odst. 1 písm. c) Stavebního zákona zavazuje, že bez předchozího souhlasu Investora po uzavření této Smlouvy nepřijme změnu platného územního plánu SMP ve znění účinném ke dni uzavření této Smlouvy (dále jen „</w:t>
      </w:r>
      <w:r>
        <w:rPr>
          <w:b/>
          <w:bCs/>
        </w:rPr>
        <w:t>Stávající ÚP</w:t>
      </w:r>
      <w:r>
        <w:t xml:space="preserve">“) týkající se části Lokality Nová Cihelna, jak je vymezena v </w:t>
      </w:r>
      <w:r>
        <w:rPr>
          <w:u w:val="single"/>
        </w:rPr>
        <w:t>Příloze č. 27</w:t>
      </w:r>
      <w:r>
        <w:t xml:space="preserve"> (dále jen „</w:t>
      </w:r>
      <w:r>
        <w:rPr>
          <w:b/>
          <w:bCs/>
        </w:rPr>
        <w:t>Lokalita stabilizace ÚPD</w:t>
      </w:r>
      <w:r>
        <w:t>“), ani neučiní jiný úkon, pokud by jimi mělo dojít k negativní změně prostorového a objemového uspořádání ploch v rámci Lokality stabilizace ÚPD, zejména k omezení využitelnosti (včetně zastavitelnosti či podlažnosti) pozemků (ploch) umístěných v Lokalitě stabilizace ÚPD, a to oproti (i) parametrům obsaženým ve Stávajícím ÚP a (</w:t>
      </w:r>
      <w:proofErr w:type="spellStart"/>
      <w:r>
        <w:t>ii</w:t>
      </w:r>
      <w:proofErr w:type="spellEnd"/>
      <w:r>
        <w:t>) parametrům obsaženým v Územní studii; doba trvání tohoto závazku SMP je deset (10) let od nabytí účinnosti této Smlouvy. Investor bere na vědomí, že SMP má v úmyslu vydat nový územní plán SMP, pořizovaný Magistrátem města Pardubic, Odborem hlavního architekta, v podobě zveřejněné pro třetí opakované projednání dne 4. 2. 2026 (dále jen „</w:t>
      </w:r>
      <w:r>
        <w:rPr>
          <w:b/>
          <w:bCs/>
        </w:rPr>
        <w:t>Nový ÚP</w:t>
      </w:r>
      <w:r>
        <w:t>“). Smluvní strany konstatují, že vydání Nového ÚP není</w:t>
      </w:r>
    </w:p>
    <w:p w14:paraId="592440C9" w14:textId="77777777" w:rsidR="00EC1C40" w:rsidRDefault="00000000">
      <w:pPr>
        <w:pStyle w:val="Zhlavnebozpat0"/>
        <w:framePr w:wrap="none" w:vAnchor="page" w:hAnchor="page" w:x="5543" w:y="16085"/>
        <w:rPr>
          <w:sz w:val="22"/>
          <w:szCs w:val="22"/>
        </w:rPr>
      </w:pPr>
      <w:r>
        <w:rPr>
          <w:color w:val="231E20"/>
          <w:sz w:val="22"/>
          <w:szCs w:val="22"/>
        </w:rPr>
        <w:t>38/63</w:t>
      </w:r>
    </w:p>
    <w:p w14:paraId="5ED65554"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5F947073" w14:textId="77777777" w:rsidR="00EC1C40" w:rsidRDefault="00000000">
      <w:pPr>
        <w:spacing w:line="1" w:lineRule="exact"/>
      </w:pPr>
      <w:r>
        <w:rPr>
          <w:noProof/>
        </w:rPr>
        <w:lastRenderedPageBreak/>
        <mc:AlternateContent>
          <mc:Choice Requires="wps">
            <w:drawing>
              <wp:anchor distT="0" distB="0" distL="114300" distR="114300" simplePos="0" relativeHeight="251621888" behindDoc="1" locked="0" layoutInCell="1" allowOverlap="1" wp14:anchorId="1D3CB03B" wp14:editId="3C4192BD">
                <wp:simplePos x="0" y="0"/>
                <wp:positionH relativeFrom="page">
                  <wp:posOffset>879475</wp:posOffset>
                </wp:positionH>
                <wp:positionV relativeFrom="page">
                  <wp:posOffset>932180</wp:posOffset>
                </wp:positionV>
                <wp:extent cx="5702935" cy="0"/>
                <wp:effectExtent l="0" t="0" r="0" b="0"/>
                <wp:wrapNone/>
                <wp:docPr id="38" name="Shape 38"/>
                <wp:cNvGraphicFramePr/>
                <a:graphic xmlns:a="http://schemas.openxmlformats.org/drawingml/2006/main">
                  <a:graphicData uri="http://schemas.microsoft.com/office/word/2010/wordprocessingShape">
                    <wps:wsp>
                      <wps:cNvCnPr/>
                      <wps:spPr>
                        <a:xfrm>
                          <a:off x="0" y="0"/>
                          <a:ext cx="5702935" cy="0"/>
                        </a:xfrm>
                        <a:prstGeom prst="straightConnector1">
                          <a:avLst/>
                        </a:prstGeom>
                        <a:ln w="6350">
                          <a:solidFill/>
                        </a:ln>
                      </wps:spPr>
                      <wps:bodyPr/>
                    </wps:wsp>
                  </a:graphicData>
                </a:graphic>
              </wp:anchor>
            </w:drawing>
          </mc:Choice>
          <mc:Fallback>
            <w:pict>
              <v:shape o:spt="32" o:oned="true" path="m,l21600,21600e" style="position:absolute;margin-left:69.25pt;margin-top:73.400000000000006pt;width:449.05000000000001pt;height:0;z-index:-251658240;mso-position-horizontal-relative:page;mso-position-vertical-relative:page">
                <v:stroke weight="0.5pt"/>
              </v:shape>
            </w:pict>
          </mc:Fallback>
        </mc:AlternateContent>
      </w:r>
    </w:p>
    <w:p w14:paraId="5CAACC0F" w14:textId="77777777" w:rsidR="00EC1C40" w:rsidRDefault="00000000">
      <w:pPr>
        <w:pStyle w:val="Zhlavnebozpat0"/>
        <w:framePr w:wrap="none" w:vAnchor="page" w:hAnchor="page" w:x="5192" w:y="1186"/>
      </w:pPr>
      <w:r>
        <w:t>Plánovací smlouva</w:t>
      </w:r>
    </w:p>
    <w:p w14:paraId="1F6344F3" w14:textId="77777777" w:rsidR="00EC1C40" w:rsidRDefault="00000000">
      <w:pPr>
        <w:pStyle w:val="Zkladntext1"/>
        <w:framePr w:w="10186" w:h="13128" w:hRule="exact" w:wrap="none" w:vAnchor="page" w:hAnchor="page" w:x="1213" w:y="1940"/>
        <w:spacing w:after="220"/>
        <w:ind w:left="640"/>
        <w:jc w:val="both"/>
      </w:pPr>
      <w:r>
        <w:t xml:space="preserve">porušením závazků SMP z této Smlouvy za předpokladu, že v případě, kdy vyjde najevo nesoulad Investičního záměru s Novým ÚP, bude SMP postupovat dle čl. 11.9 Smlouvy, přičemž výsledkem takového postupu bude přijetí změny Nového ÚP, kterým bude dosaženo souladu Nového ÚP s tímto závazkem SMP dle čl. 11. Smlouvy. Závazek SMP podle věty první tohoto čl. 11.1 Smlouvy se vztahuje i na případné následné změny Nového ÚP týkající se Lokality stabilizace ÚPD po zbývající dobu trvání závazku dle tohoto článku. Za porušení závazku dle tohoto odstavce se nepovažuje změna či přijetí nové územně plánovací dokumentace, které byly vyvolané nadřazenou územně plánovací dokumentací ve smyslu § 73 odst. 3 a § 112 Stavebního zákona, nebo jinak postupem SMP dle veřejnoprávních předpisů, od kterých se SMP nemůže odchýlit, a to v rozsahu, v jakém je to nezbytné (tj. v rozsahu, v jakém tak SMP musí učinit); SMP bude v takovém případě v maximální míře šetřit zájmy Investora. Za porušení závazku SMP dle tohoto ustanovení se dále nepovažuje změna Stávajícího ÚP nebo přijetí Nového ÚP a jeho případné změny, pokud jimi má být umožněno umístění stanice hasičského záchranného sboru a stanice zdravotnické záchranné služby, a to na příslušných částech pozemků </w:t>
      </w:r>
      <w:proofErr w:type="spellStart"/>
      <w:r>
        <w:t>parc</w:t>
      </w:r>
      <w:proofErr w:type="spellEnd"/>
      <w:r>
        <w:t xml:space="preserve">. č. 1563/13, </w:t>
      </w:r>
      <w:proofErr w:type="spellStart"/>
      <w:r>
        <w:t>parc</w:t>
      </w:r>
      <w:proofErr w:type="spellEnd"/>
      <w:r>
        <w:t xml:space="preserve">. č. 1575, </w:t>
      </w:r>
      <w:proofErr w:type="spellStart"/>
      <w:r>
        <w:t>parc</w:t>
      </w:r>
      <w:proofErr w:type="spellEnd"/>
      <w:r>
        <w:t xml:space="preserve">. č. 2678/1, </w:t>
      </w:r>
      <w:proofErr w:type="spellStart"/>
      <w:r>
        <w:t>parc</w:t>
      </w:r>
      <w:proofErr w:type="spellEnd"/>
      <w:r>
        <w:t xml:space="preserve">. č. 1574/11, všechny </w:t>
      </w:r>
      <w:proofErr w:type="spellStart"/>
      <w:r>
        <w:t>k.ú</w:t>
      </w:r>
      <w:proofErr w:type="spellEnd"/>
      <w:r>
        <w:t xml:space="preserve">. Pardubice, a to v rozsahu graficky vyznačeném v </w:t>
      </w:r>
      <w:r>
        <w:rPr>
          <w:u w:val="single"/>
        </w:rPr>
        <w:t>Příloze č. 27</w:t>
      </w:r>
      <w:r>
        <w:t xml:space="preserve"> (tyto části pozemků dále jen „</w:t>
      </w:r>
      <w:r>
        <w:rPr>
          <w:b/>
          <w:bCs/>
        </w:rPr>
        <w:t>Pozemky pro HZS/ZZS</w:t>
      </w:r>
      <w:r>
        <w:t>“) nebo na (</w:t>
      </w:r>
      <w:proofErr w:type="spellStart"/>
      <w:r>
        <w:t>ii</w:t>
      </w:r>
      <w:proofErr w:type="spellEnd"/>
      <w:r>
        <w:t>) jiném místě odsouhlaseném ze strany Investora.</w:t>
      </w:r>
    </w:p>
    <w:p w14:paraId="3E58EE87" w14:textId="77777777" w:rsidR="00EC1C40" w:rsidRDefault="00000000">
      <w:pPr>
        <w:pStyle w:val="Zkladntext1"/>
        <w:framePr w:w="10186" w:h="13128" w:hRule="exact" w:wrap="none" w:vAnchor="page" w:hAnchor="page" w:x="1213" w:y="1940"/>
        <w:numPr>
          <w:ilvl w:val="1"/>
          <w:numId w:val="3"/>
        </w:numPr>
        <w:tabs>
          <w:tab w:val="left" w:pos="553"/>
        </w:tabs>
        <w:spacing w:after="220"/>
        <w:ind w:left="640" w:hanging="640"/>
        <w:jc w:val="both"/>
      </w:pPr>
      <w:r>
        <w:t>Závazky SMP sjednané v čl. 11.1 Smlouvy platí stejně i pro pořízení územních studií (§ 67 a násl. Stavebního zákona), které vydává či pořizuje SMP, a v rozsahu, v jakém se týkají Lokality stabilizace ÚPD. Pro odstranění pochybností se výslovně uvádí, že tento závazek SMP se týká např. situace, kdy se zastupitelstvo SMP podílí na projednání návrhu územní studie (§ 68 odst. 4 Stavebního zákona); v takovém případě je SMP povinno, pokud by jí byl předložen návrh územní studie, který je v rozporu s požadavky uvedenými v čl. 11.1 Smlouvy, takovýto návrh neschválit a vrátit jej zpracovateli zpět k přepracování, a to spolu s příslušnými pokyny k zapracování týkající se uvedení návrhu územní studie do souladu s požadavky uvedenými v čl. 11.1 Smlouvy.</w:t>
      </w:r>
    </w:p>
    <w:p w14:paraId="74C3791F" w14:textId="77777777" w:rsidR="00EC1C40" w:rsidRDefault="00000000">
      <w:pPr>
        <w:pStyle w:val="Zkladntext1"/>
        <w:framePr w:w="10186" w:h="13128" w:hRule="exact" w:wrap="none" w:vAnchor="page" w:hAnchor="page" w:x="1213" w:y="1940"/>
        <w:numPr>
          <w:ilvl w:val="1"/>
          <w:numId w:val="3"/>
        </w:numPr>
        <w:tabs>
          <w:tab w:val="left" w:pos="553"/>
        </w:tabs>
        <w:spacing w:after="220"/>
        <w:ind w:left="640" w:hanging="640"/>
        <w:jc w:val="both"/>
      </w:pPr>
      <w:r>
        <w:t>Závazky SMP sjednané v čl. 11.1 Smlouvy platí stejně i pro pořízení a vydání regulačního plánu (§ 85 a násl. Stavebního zákona), a to v rozsahu, v jakém se týkají Lokality stabilizace ÚPD.</w:t>
      </w:r>
    </w:p>
    <w:p w14:paraId="0A0A906D" w14:textId="77777777" w:rsidR="00EC1C40" w:rsidRDefault="00000000">
      <w:pPr>
        <w:pStyle w:val="Zkladntext1"/>
        <w:framePr w:w="10186" w:h="13128" w:hRule="exact" w:wrap="none" w:vAnchor="page" w:hAnchor="page" w:x="1213" w:y="1940"/>
        <w:numPr>
          <w:ilvl w:val="1"/>
          <w:numId w:val="3"/>
        </w:numPr>
        <w:tabs>
          <w:tab w:val="left" w:pos="553"/>
        </w:tabs>
        <w:spacing w:after="220"/>
        <w:jc w:val="both"/>
      </w:pPr>
      <w:r>
        <w:t>SMP se dále v souladu s § 131 odst. 1 písm. c) Stavebního zákona zavazuje, že:</w:t>
      </w:r>
    </w:p>
    <w:p w14:paraId="52536A4E" w14:textId="77777777" w:rsidR="00EC1C40" w:rsidRDefault="00000000">
      <w:pPr>
        <w:pStyle w:val="Zkladntext1"/>
        <w:framePr w:w="10186" w:h="13128" w:hRule="exact" w:wrap="none" w:vAnchor="page" w:hAnchor="page" w:x="1213" w:y="1940"/>
        <w:numPr>
          <w:ilvl w:val="2"/>
          <w:numId w:val="3"/>
        </w:numPr>
        <w:tabs>
          <w:tab w:val="left" w:pos="1360"/>
        </w:tabs>
        <w:spacing w:after="220"/>
        <w:ind w:firstLine="640"/>
        <w:jc w:val="both"/>
      </w:pPr>
      <w:r>
        <w:t>v rozsahu Lokality stabilizace ÚPD nevymezí plochy nebo koridory územních rezerv;</w:t>
      </w:r>
    </w:p>
    <w:p w14:paraId="652221D4" w14:textId="77777777" w:rsidR="00EC1C40" w:rsidRDefault="00000000">
      <w:pPr>
        <w:pStyle w:val="Zkladntext1"/>
        <w:framePr w:w="10186" w:h="13128" w:hRule="exact" w:wrap="none" w:vAnchor="page" w:hAnchor="page" w:x="1213" w:y="1940"/>
        <w:numPr>
          <w:ilvl w:val="2"/>
          <w:numId w:val="3"/>
        </w:numPr>
        <w:tabs>
          <w:tab w:val="left" w:pos="1360"/>
        </w:tabs>
        <w:spacing w:after="220"/>
        <w:ind w:left="1380" w:hanging="740"/>
        <w:jc w:val="both"/>
      </w:pPr>
      <w:r>
        <w:t>v rozsahu Lokalita stabilizace ÚPD nevymezí plochy nebo koridory, v nichž je rozhodování v území podmíněno uzavřením plánovací smlouvy;</w:t>
      </w:r>
    </w:p>
    <w:p w14:paraId="6978A6A4" w14:textId="77777777" w:rsidR="00EC1C40" w:rsidRDefault="00000000">
      <w:pPr>
        <w:pStyle w:val="Zkladntext1"/>
        <w:framePr w:w="10186" w:h="13128" w:hRule="exact" w:wrap="none" w:vAnchor="page" w:hAnchor="page" w:x="1213" w:y="1940"/>
        <w:numPr>
          <w:ilvl w:val="2"/>
          <w:numId w:val="3"/>
        </w:numPr>
        <w:tabs>
          <w:tab w:val="left" w:pos="1360"/>
        </w:tabs>
        <w:spacing w:after="220" w:line="233" w:lineRule="auto"/>
        <w:ind w:left="1380" w:hanging="740"/>
        <w:jc w:val="both"/>
      </w:pPr>
      <w:r>
        <w:t>v Lokalitě stabilizace ÚPD neuloží vydání regulačního plánu jako podmínku pro rozhodování v území;</w:t>
      </w:r>
    </w:p>
    <w:p w14:paraId="549DDF9B" w14:textId="77777777" w:rsidR="00EC1C40" w:rsidRDefault="00000000">
      <w:pPr>
        <w:pStyle w:val="Zkladntext1"/>
        <w:framePr w:w="10186" w:h="13128" w:hRule="exact" w:wrap="none" w:vAnchor="page" w:hAnchor="page" w:x="1213" w:y="1940"/>
        <w:numPr>
          <w:ilvl w:val="2"/>
          <w:numId w:val="3"/>
        </w:numPr>
        <w:tabs>
          <w:tab w:val="left" w:pos="1360"/>
        </w:tabs>
        <w:spacing w:after="220"/>
        <w:ind w:left="1380" w:hanging="740"/>
        <w:jc w:val="both"/>
      </w:pPr>
      <w:r>
        <w:t>v rozsahu Lokality stabilizace ÚPD nepodmíní rozhodování v území architektonickou nebo urbanistickou soutěží;</w:t>
      </w:r>
    </w:p>
    <w:p w14:paraId="47982B14" w14:textId="77777777" w:rsidR="00EC1C40" w:rsidRDefault="00000000">
      <w:pPr>
        <w:pStyle w:val="Zkladntext1"/>
        <w:framePr w:w="10186" w:h="13128" w:hRule="exact" w:wrap="none" w:vAnchor="page" w:hAnchor="page" w:x="1213" w:y="1940"/>
        <w:numPr>
          <w:ilvl w:val="2"/>
          <w:numId w:val="3"/>
        </w:numPr>
        <w:tabs>
          <w:tab w:val="left" w:pos="1360"/>
        </w:tabs>
        <w:spacing w:after="220"/>
        <w:ind w:firstLine="640"/>
        <w:jc w:val="both"/>
      </w:pPr>
      <w:r>
        <w:t>v rozsahu Lokality stabilizace ÚPD nestanoví pořadí provádění změn v území;</w:t>
      </w:r>
    </w:p>
    <w:p w14:paraId="33B97C14" w14:textId="77777777" w:rsidR="00EC1C40" w:rsidRDefault="00000000">
      <w:pPr>
        <w:pStyle w:val="Zkladntext1"/>
        <w:framePr w:w="10186" w:h="13128" w:hRule="exact" w:wrap="none" w:vAnchor="page" w:hAnchor="page" w:x="1213" w:y="1940"/>
        <w:numPr>
          <w:ilvl w:val="2"/>
          <w:numId w:val="3"/>
        </w:numPr>
        <w:tabs>
          <w:tab w:val="left" w:pos="1360"/>
        </w:tabs>
        <w:spacing w:after="220"/>
        <w:ind w:firstLine="640"/>
        <w:jc w:val="both"/>
      </w:pPr>
      <w:r>
        <w:t>v rozsahu Lokality stabilizace ÚPD nevydá územní opatření o stavební uzávěře; a</w:t>
      </w:r>
    </w:p>
    <w:p w14:paraId="6DD9CEA0" w14:textId="77777777" w:rsidR="00EC1C40" w:rsidRDefault="00000000">
      <w:pPr>
        <w:pStyle w:val="Zkladntext1"/>
        <w:framePr w:w="10186" w:h="13128" w:hRule="exact" w:wrap="none" w:vAnchor="page" w:hAnchor="page" w:x="1213" w:y="1940"/>
        <w:numPr>
          <w:ilvl w:val="2"/>
          <w:numId w:val="3"/>
        </w:numPr>
        <w:tabs>
          <w:tab w:val="left" w:pos="1360"/>
        </w:tabs>
        <w:spacing w:after="220"/>
        <w:ind w:firstLine="640"/>
      </w:pPr>
      <w:r>
        <w:t>v rozsahu Lokality stabilizace ÚPD nevydá územní opatření o asanaci území.</w:t>
      </w:r>
    </w:p>
    <w:p w14:paraId="57D8B547" w14:textId="77777777" w:rsidR="00EC1C40" w:rsidRDefault="00000000">
      <w:pPr>
        <w:pStyle w:val="Zkladntext1"/>
        <w:framePr w:w="10186" w:h="13128" w:hRule="exact" w:wrap="none" w:vAnchor="page" w:hAnchor="page" w:x="1213" w:y="1940"/>
        <w:numPr>
          <w:ilvl w:val="1"/>
          <w:numId w:val="3"/>
        </w:numPr>
        <w:tabs>
          <w:tab w:val="left" w:pos="553"/>
        </w:tabs>
        <w:spacing w:after="0"/>
        <w:jc w:val="both"/>
      </w:pPr>
      <w:r>
        <w:t>SMP se dále zavazuje k následujícím povinnostem:</w:t>
      </w:r>
    </w:p>
    <w:p w14:paraId="2FAF4706" w14:textId="77777777" w:rsidR="00EC1C40" w:rsidRDefault="00000000">
      <w:pPr>
        <w:pStyle w:val="Zhlavnebozpat0"/>
        <w:framePr w:wrap="none" w:vAnchor="page" w:hAnchor="page" w:x="5543" w:y="16085"/>
        <w:rPr>
          <w:sz w:val="22"/>
          <w:szCs w:val="22"/>
        </w:rPr>
      </w:pPr>
      <w:r>
        <w:rPr>
          <w:color w:val="231E20"/>
          <w:sz w:val="22"/>
          <w:szCs w:val="22"/>
        </w:rPr>
        <w:t>39/63</w:t>
      </w:r>
    </w:p>
    <w:p w14:paraId="72449009"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4B56A7D3" w14:textId="77777777" w:rsidR="00EC1C40" w:rsidRDefault="00000000">
      <w:pPr>
        <w:spacing w:line="1" w:lineRule="exact"/>
      </w:pPr>
      <w:r>
        <w:rPr>
          <w:noProof/>
        </w:rPr>
        <w:lastRenderedPageBreak/>
        <mc:AlternateContent>
          <mc:Choice Requires="wps">
            <w:drawing>
              <wp:anchor distT="0" distB="0" distL="114300" distR="114300" simplePos="0" relativeHeight="251622912" behindDoc="1" locked="0" layoutInCell="1" allowOverlap="1" wp14:anchorId="3AA72531" wp14:editId="394A9C0C">
                <wp:simplePos x="0" y="0"/>
                <wp:positionH relativeFrom="page">
                  <wp:posOffset>879475</wp:posOffset>
                </wp:positionH>
                <wp:positionV relativeFrom="page">
                  <wp:posOffset>932180</wp:posOffset>
                </wp:positionV>
                <wp:extent cx="5702935" cy="0"/>
                <wp:effectExtent l="0" t="0" r="0" b="0"/>
                <wp:wrapNone/>
                <wp:docPr id="39" name="Shape 39"/>
                <wp:cNvGraphicFramePr/>
                <a:graphic xmlns:a="http://schemas.openxmlformats.org/drawingml/2006/main">
                  <a:graphicData uri="http://schemas.microsoft.com/office/word/2010/wordprocessingShape">
                    <wps:wsp>
                      <wps:cNvCnPr/>
                      <wps:spPr>
                        <a:xfrm>
                          <a:off x="0" y="0"/>
                          <a:ext cx="5702935" cy="0"/>
                        </a:xfrm>
                        <a:prstGeom prst="straightConnector1">
                          <a:avLst/>
                        </a:prstGeom>
                        <a:ln w="6350">
                          <a:solidFill/>
                        </a:ln>
                      </wps:spPr>
                      <wps:bodyPr/>
                    </wps:wsp>
                  </a:graphicData>
                </a:graphic>
              </wp:anchor>
            </w:drawing>
          </mc:Choice>
          <mc:Fallback>
            <w:pict>
              <v:shape o:spt="32" o:oned="true" path="m,l21600,21600e" style="position:absolute;margin-left:69.25pt;margin-top:73.400000000000006pt;width:449.05000000000001pt;height:0;z-index:-251658240;mso-position-horizontal-relative:page;mso-position-vertical-relative:page">
                <v:stroke weight="0.5pt"/>
              </v:shape>
            </w:pict>
          </mc:Fallback>
        </mc:AlternateContent>
      </w:r>
    </w:p>
    <w:p w14:paraId="56711B8C" w14:textId="77777777" w:rsidR="00EC1C40" w:rsidRDefault="00000000">
      <w:pPr>
        <w:pStyle w:val="Zhlavnebozpat0"/>
        <w:framePr w:wrap="none" w:vAnchor="page" w:hAnchor="page" w:x="5192" w:y="1186"/>
      </w:pPr>
      <w:r>
        <w:t>Plánovací smlouva</w:t>
      </w:r>
    </w:p>
    <w:p w14:paraId="4C3AB827" w14:textId="77777777" w:rsidR="00EC1C40" w:rsidRDefault="00000000">
      <w:pPr>
        <w:pStyle w:val="Zkladntext1"/>
        <w:framePr w:w="10186" w:h="12974" w:hRule="exact" w:wrap="none" w:vAnchor="page" w:hAnchor="page" w:x="1213" w:y="1940"/>
        <w:numPr>
          <w:ilvl w:val="2"/>
          <w:numId w:val="3"/>
        </w:numPr>
        <w:tabs>
          <w:tab w:val="left" w:pos="1374"/>
        </w:tabs>
        <w:spacing w:after="220"/>
        <w:ind w:left="1360" w:hanging="720"/>
        <w:jc w:val="both"/>
      </w:pPr>
      <w:r>
        <w:t>předat Investorovi vyjádření SMP (odboru hlavního architekta), kterým potvrdí soulad Investičního záměru se Stávajícím ÚP a Územní studií, a to do 30 dnů od doručení žádosti Investora; tuto žádost může Investor podat i před uzavřením této Smlouvy. Součástí žádosti Investora budou i relevantní podklady, a to projektová dokumentace k Investičnímu záměru;</w:t>
      </w:r>
    </w:p>
    <w:p w14:paraId="03B79866" w14:textId="77777777" w:rsidR="00EC1C40" w:rsidRDefault="00000000">
      <w:pPr>
        <w:pStyle w:val="Zkladntext1"/>
        <w:framePr w:w="10186" w:h="12974" w:hRule="exact" w:wrap="none" w:vAnchor="page" w:hAnchor="page" w:x="1213" w:y="1940"/>
        <w:numPr>
          <w:ilvl w:val="2"/>
          <w:numId w:val="3"/>
        </w:numPr>
        <w:tabs>
          <w:tab w:val="left" w:pos="1374"/>
        </w:tabs>
        <w:spacing w:after="220"/>
        <w:ind w:left="1360" w:hanging="720"/>
        <w:jc w:val="both"/>
      </w:pPr>
      <w:r>
        <w:t>předat Investorovi vyjádření SMP (odboru hlavního architekta), kterým potvrdí soulad Investičního záměru s Novým ÚP, a to do 30 dnů od doručení žádosti Investora; tuto žádost může Investor podat i před uzavřením této Smlouvy. Součástí žádosti Investora budou i relevantní podklady, a to projektová dokumentace k Investičnímu záměru;</w:t>
      </w:r>
    </w:p>
    <w:p w14:paraId="355E2792" w14:textId="77777777" w:rsidR="00EC1C40" w:rsidRDefault="00000000">
      <w:pPr>
        <w:pStyle w:val="Zkladntext1"/>
        <w:framePr w:w="10186" w:h="12974" w:hRule="exact" w:wrap="none" w:vAnchor="page" w:hAnchor="page" w:x="1213" w:y="1940"/>
        <w:numPr>
          <w:ilvl w:val="2"/>
          <w:numId w:val="3"/>
        </w:numPr>
        <w:tabs>
          <w:tab w:val="left" w:pos="1374"/>
        </w:tabs>
        <w:spacing w:after="220"/>
        <w:ind w:left="1360" w:hanging="720"/>
        <w:jc w:val="both"/>
      </w:pPr>
      <w:r>
        <w:t>předat Investorovi vyjádření SMP (odboru hlavního architekta), kterým potvrdí soulad Územní studie s Novým ÚP, a to způsobem a v rozsahu, jaký je potřebný pro rozhodování v území o Povolení záměru (tj. Územní studie bude v daném rozsahu potvrzena jako relevantní podklad pro rozhodování v území), a to do 30 dnů od doručení žádosti Investora, ne později než pět (5) dnů od nabytí účinnosti Nového ÚP; tuto žádost může Investor podat i před uzavřením této Smlouvy. Součástí žádosti Investora budou i relevantní podklady, a to projektová dokumentace k Investičnímu záměru; a</w:t>
      </w:r>
    </w:p>
    <w:p w14:paraId="7820CD73" w14:textId="77777777" w:rsidR="00EC1C40" w:rsidRDefault="00000000">
      <w:pPr>
        <w:pStyle w:val="Zkladntext1"/>
        <w:framePr w:w="10186" w:h="12974" w:hRule="exact" w:wrap="none" w:vAnchor="page" w:hAnchor="page" w:x="1213" w:y="1940"/>
        <w:numPr>
          <w:ilvl w:val="2"/>
          <w:numId w:val="3"/>
        </w:numPr>
        <w:tabs>
          <w:tab w:val="left" w:pos="1374"/>
        </w:tabs>
        <w:spacing w:after="220"/>
        <w:ind w:left="1360" w:hanging="720"/>
        <w:jc w:val="both"/>
      </w:pPr>
      <w:r>
        <w:t xml:space="preserve">po nabytí účinnosti Nového ÚP v rámci samostatné působnosti učinit příslušné kroky a poskytnout příslušnou součinnost k přeregistraci stávající Územní studie (tzn. opětovně ji zaregistrovat v rámci Národním </w:t>
      </w:r>
      <w:proofErr w:type="spellStart"/>
      <w:r>
        <w:t>geoportálu</w:t>
      </w:r>
      <w:proofErr w:type="spellEnd"/>
      <w:r>
        <w:t xml:space="preserve"> územního plánování), a to bez zbytečného odkladu po nabytí účinnosti Nového ÚP.</w:t>
      </w:r>
    </w:p>
    <w:p w14:paraId="1D76A493" w14:textId="77777777" w:rsidR="00EC1C40" w:rsidRDefault="00000000">
      <w:pPr>
        <w:pStyle w:val="Zkladntext1"/>
        <w:framePr w:w="10186" w:h="12974" w:hRule="exact" w:wrap="none" w:vAnchor="page" w:hAnchor="page" w:x="1213" w:y="1940"/>
        <w:spacing w:after="220"/>
        <w:ind w:left="640"/>
        <w:jc w:val="both"/>
      </w:pPr>
      <w:r>
        <w:t>Investor prohlašuje, že DPZ ve verzi 10/2025 se v podstatných ohledech relevantních pro vyjádření SMP dle čl. 11.5.1 až čl. 11.5.3 Smlouvy nezměnila. SMP je oprávněno takové případné změny, pokud by byly relevantní z hlediska vyjádření SMP dle tohoto článku, zohlednit v rámci vyjádření SMP dle čl. 11.5.1 až čl. 11.5.3 Smlouvy.</w:t>
      </w:r>
    </w:p>
    <w:p w14:paraId="6B944F2D" w14:textId="77777777" w:rsidR="00EC1C40" w:rsidRDefault="00000000">
      <w:pPr>
        <w:pStyle w:val="Zkladntext1"/>
        <w:framePr w:w="10186" w:h="12974" w:hRule="exact" w:wrap="none" w:vAnchor="page" w:hAnchor="page" w:x="1213" w:y="1940"/>
        <w:numPr>
          <w:ilvl w:val="1"/>
          <w:numId w:val="3"/>
        </w:numPr>
        <w:tabs>
          <w:tab w:val="left" w:pos="553"/>
        </w:tabs>
        <w:spacing w:after="220"/>
        <w:ind w:left="640" w:hanging="640"/>
        <w:jc w:val="both"/>
      </w:pPr>
      <w:r>
        <w:t>Smluvní strany jsou si vědomy, že v rámci návrhu Nového ÚP je zachována podmínka pro rozhodování v území v podobě existence územní studie pro Lokalitu stabilizace ÚPD (obdobně jako tomu je u Stávajícího ÚP). Zachování podmínky existence územní studie ve smyslu předchozí věty tohoto čl. 11.6 Smlouvy není porušením závazků SMP ve smyslu tohoto čl. 11 Smlouvy, současně tím však nejsou nijak dotčeny povinnosti SMP dle čl. 11.1 až čl. 11.5 této Smlouvy.</w:t>
      </w:r>
    </w:p>
    <w:p w14:paraId="33AE5EE5" w14:textId="77777777" w:rsidR="00EC1C40" w:rsidRDefault="00000000">
      <w:pPr>
        <w:pStyle w:val="Zkladntext1"/>
        <w:framePr w:w="10186" w:h="12974" w:hRule="exact" w:wrap="none" w:vAnchor="page" w:hAnchor="page" w:x="1213" w:y="1940"/>
        <w:numPr>
          <w:ilvl w:val="1"/>
          <w:numId w:val="3"/>
        </w:numPr>
        <w:tabs>
          <w:tab w:val="left" w:pos="553"/>
        </w:tabs>
        <w:spacing w:after="220"/>
        <w:ind w:left="640" w:hanging="640"/>
        <w:jc w:val="both"/>
      </w:pPr>
      <w:r>
        <w:t>Pro vyloučení jakýchkoli pochybností Smluvní strany konstatují, že SMP není na základě závazků dle tohoto čl. 11 Smlouvy oprávněno, ani povinno jakkoliv zasahovat do výkonu státní správy.</w:t>
      </w:r>
    </w:p>
    <w:p w14:paraId="437B403F" w14:textId="77777777" w:rsidR="00EC1C40" w:rsidRDefault="00000000">
      <w:pPr>
        <w:pStyle w:val="Zkladntext1"/>
        <w:framePr w:w="10186" w:h="12974" w:hRule="exact" w:wrap="none" w:vAnchor="page" w:hAnchor="page" w:x="1213" w:y="1940"/>
        <w:numPr>
          <w:ilvl w:val="1"/>
          <w:numId w:val="3"/>
        </w:numPr>
        <w:tabs>
          <w:tab w:val="left" w:pos="553"/>
        </w:tabs>
        <w:spacing w:after="0"/>
        <w:ind w:left="640" w:hanging="640"/>
        <w:jc w:val="both"/>
      </w:pPr>
      <w:r>
        <w:t>Investor se zavazuje nejpozději do devíti (9) měsíců ode dne nabytí účinnosti této Smlouvy doručit SMP písemný souhlas Nespojených osob, jak jsou definovány v čl. 19.2. Smlouvy, které vlastní pozemky v Lokalitě stabilizace ÚPD, se závazky SMP dle tohoto čl. 11 Smlouvy. V případě, že Investor takový souhlas nezajistí, zanikají závazky SMP z čl. 11 této Smlouvy, a to výhradně pouze ve vztahu k pozemkům těchto Nespojených osob (které neudělily v této lhůtě souhlas se závazky SMP dle tohoto čl. 11. Smlouvy) umístěných v rámci Lokality stabilizace ÚPD. Pro odstranění jakýchkoli pochybností SMP jako vlastník pozemků v rámci Lokality stabilizace ÚPD uděluje již přímo na základě této Smlouvy souhlas se závazky dle tohoto čl. 11 Smlouvy, a to (i) ve vztahu k pozemkům, které SMP vlastní v rámci Lokality stabilizace ÚPD, a dále (</w:t>
      </w:r>
      <w:proofErr w:type="spellStart"/>
      <w:r>
        <w:t>ii</w:t>
      </w:r>
      <w:proofErr w:type="spellEnd"/>
      <w:r>
        <w:t>) ve vztahu k pozemkům, k nimž nabude SMP vlastnické právo v budoucnu; tím není nijak dotčena výjimka ze závazku SMP dle tohoto čl. 11 Smlouvy pro Pozemky HZS/ZZS upravená v čl. 11.1. této Smlouvy.</w:t>
      </w:r>
    </w:p>
    <w:p w14:paraId="6A5C8E8B" w14:textId="77777777" w:rsidR="00EC1C40" w:rsidRDefault="00000000">
      <w:pPr>
        <w:pStyle w:val="Zhlavnebozpat0"/>
        <w:framePr w:wrap="none" w:vAnchor="page" w:hAnchor="page" w:x="5538" w:y="16085"/>
        <w:rPr>
          <w:sz w:val="22"/>
          <w:szCs w:val="22"/>
        </w:rPr>
      </w:pPr>
      <w:r>
        <w:rPr>
          <w:color w:val="231E20"/>
          <w:sz w:val="22"/>
          <w:szCs w:val="22"/>
        </w:rPr>
        <w:t>40/63</w:t>
      </w:r>
    </w:p>
    <w:p w14:paraId="7BD56CA5"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45B5E356" w14:textId="77777777" w:rsidR="00EC1C40" w:rsidRDefault="00000000">
      <w:pPr>
        <w:spacing w:line="1" w:lineRule="exact"/>
      </w:pPr>
      <w:r>
        <w:rPr>
          <w:noProof/>
        </w:rPr>
        <w:lastRenderedPageBreak/>
        <mc:AlternateContent>
          <mc:Choice Requires="wps">
            <w:drawing>
              <wp:anchor distT="0" distB="0" distL="114300" distR="114300" simplePos="0" relativeHeight="251623936" behindDoc="1" locked="0" layoutInCell="1" allowOverlap="1" wp14:anchorId="7E514AA1" wp14:editId="0FA8ED44">
                <wp:simplePos x="0" y="0"/>
                <wp:positionH relativeFrom="page">
                  <wp:posOffset>879475</wp:posOffset>
                </wp:positionH>
                <wp:positionV relativeFrom="page">
                  <wp:posOffset>932180</wp:posOffset>
                </wp:positionV>
                <wp:extent cx="5702935" cy="0"/>
                <wp:effectExtent l="0" t="0" r="0" b="0"/>
                <wp:wrapNone/>
                <wp:docPr id="40" name="Shape 40"/>
                <wp:cNvGraphicFramePr/>
                <a:graphic xmlns:a="http://schemas.openxmlformats.org/drawingml/2006/main">
                  <a:graphicData uri="http://schemas.microsoft.com/office/word/2010/wordprocessingShape">
                    <wps:wsp>
                      <wps:cNvCnPr/>
                      <wps:spPr>
                        <a:xfrm>
                          <a:off x="0" y="0"/>
                          <a:ext cx="5702935" cy="0"/>
                        </a:xfrm>
                        <a:prstGeom prst="straightConnector1">
                          <a:avLst/>
                        </a:prstGeom>
                        <a:ln w="6350">
                          <a:solidFill/>
                        </a:ln>
                      </wps:spPr>
                      <wps:bodyPr/>
                    </wps:wsp>
                  </a:graphicData>
                </a:graphic>
              </wp:anchor>
            </w:drawing>
          </mc:Choice>
          <mc:Fallback>
            <w:pict>
              <v:shape o:spt="32" o:oned="true" path="m,l21600,21600e" style="position:absolute;margin-left:69.25pt;margin-top:73.400000000000006pt;width:449.05000000000001pt;height:0;z-index:-251658240;mso-position-horizontal-relative:page;mso-position-vertical-relative:page">
                <v:stroke weight="0.5pt"/>
              </v:shape>
            </w:pict>
          </mc:Fallback>
        </mc:AlternateContent>
      </w:r>
    </w:p>
    <w:p w14:paraId="6DDF3B92" w14:textId="77777777" w:rsidR="00EC1C40" w:rsidRDefault="00000000">
      <w:pPr>
        <w:pStyle w:val="Zhlavnebozpat0"/>
        <w:framePr w:wrap="none" w:vAnchor="page" w:hAnchor="page" w:x="5192" w:y="1186"/>
      </w:pPr>
      <w:r>
        <w:t>Plánovací smlouva</w:t>
      </w:r>
    </w:p>
    <w:p w14:paraId="27FD4E5F" w14:textId="77777777" w:rsidR="00EC1C40" w:rsidRDefault="00000000">
      <w:pPr>
        <w:pStyle w:val="Zkladntext1"/>
        <w:framePr w:w="10186" w:h="13445" w:hRule="exact" w:wrap="none" w:vAnchor="page" w:hAnchor="page" w:x="1213" w:y="1940"/>
        <w:numPr>
          <w:ilvl w:val="1"/>
          <w:numId w:val="3"/>
        </w:numPr>
        <w:tabs>
          <w:tab w:val="left" w:pos="553"/>
        </w:tabs>
        <w:spacing w:after="240"/>
        <w:ind w:left="640" w:hanging="640"/>
        <w:jc w:val="both"/>
      </w:pPr>
      <w:r>
        <w:t>Pokud by po uzavření této Smlouvy vyšlo najevo (např. na základě rozhodnutí příslušných orgánů veřejné moci), že Investiční záměr je v rozporu s Novým ÚP, je SMP povinno bez zbytečného odkladu učinit veškeré kroky, které může učinit v rámci samostatné působnosti, ke zjednání nápravy, prostřednictvím pořízení změny Nového ÚP, kterou se dostane Nový ÚP ve znění této změny do souladu s Investičním záměrem a čl. 11. Smlouvy, ve smyslu dosažení výsledku), včetně předložení příslušného návrhu na změnu ÚP k hlasování zastupitelstvu SMP, a to nejpozději do osmnácti (18) měsíců od doručení výzvy k nápravě ze strany Investora SMP. SMP je povinno, v případě, kdy by v rámci procesu pořizování změny Nového ÚP obdrželo negativní stanovisko dotčeného orgánu (či jakékoli jiné nesouhlasné stanovisko, vyjádření atd.), učinit veškeré možné kroky a vynaložit potřebné úsilí k tomu, aby bylo dané negativní stanovisko překonáno (vyřešeno).</w:t>
      </w:r>
    </w:p>
    <w:p w14:paraId="3BB44F94" w14:textId="77777777" w:rsidR="00EC1C40" w:rsidRDefault="00000000">
      <w:pPr>
        <w:pStyle w:val="Zkladntext1"/>
        <w:framePr w:w="10186" w:h="13445" w:hRule="exact" w:wrap="none" w:vAnchor="page" w:hAnchor="page" w:x="1213" w:y="1940"/>
        <w:numPr>
          <w:ilvl w:val="1"/>
          <w:numId w:val="3"/>
        </w:numPr>
        <w:tabs>
          <w:tab w:val="left" w:pos="663"/>
        </w:tabs>
        <w:spacing w:after="240"/>
        <w:ind w:left="640" w:hanging="640"/>
        <w:jc w:val="both"/>
      </w:pPr>
      <w:r>
        <w:t>Nastane-li situace dle čl. 11.9. Smlouvy a SMP splní své povinnosti ke zjednání nápravy dle čl. 11.9. Smlouvy, přičemž bude do osmnácti (18) měsíců od doručení výzvy Investora k nápravě SMP dosaženo nápravy přijetím a nabytím účinnosti změny Nového ÚP, kterou se dostane Nový ÚP ve znění této změny do souladu s požadavky sjednanými v čl. 11 této Smlouvy (tedy ve smyslu dosažení výsledku), není Investor oprávněn požadovat po SMP smluvní pokutu dle čl. 14.2.4 Smlouvy, ani jiné sankce či nároky (včetně náhrady škody). Pro odstranění pochybností se výslovně sjednává, že režim sjednaný v předchozí větě lze použít výhradně pro Nový ÚP, který bude odpovídat návrhu Nového ÚP v podobě zveřejněné pro třetí opakované veřejné projednání, pokud Nový ÚP v této podobě nahradí Stávající ÚP.</w:t>
      </w:r>
    </w:p>
    <w:p w14:paraId="0F5DBC08" w14:textId="77777777" w:rsidR="00EC1C40" w:rsidRDefault="00000000">
      <w:pPr>
        <w:pStyle w:val="Zkladntext1"/>
        <w:framePr w:w="10186" w:h="13445" w:hRule="exact" w:wrap="none" w:vAnchor="page" w:hAnchor="page" w:x="1213" w:y="1940"/>
        <w:numPr>
          <w:ilvl w:val="1"/>
          <w:numId w:val="3"/>
        </w:numPr>
        <w:tabs>
          <w:tab w:val="left" w:pos="663"/>
        </w:tabs>
        <w:spacing w:after="120"/>
        <w:ind w:left="640" w:hanging="640"/>
        <w:jc w:val="both"/>
      </w:pPr>
      <w:r>
        <w:t>Nastane-li situace dle čl. 11.9. Smlouvy, avšak nápravy není dosaženo ani do osmnácti (18) měsíců od doručení výzvy Investora k nápravě SMP, přijetím a nabytím účinnosti změny Nového ÚP, kterou se dostane Nový ÚP ve znění této změny do souladu s požadavky sjednanými v čl. 11 této Smlouvy (ve smyslu dosažení výsledku), je Investor oprávněn po SMP požadovat za porušení čl. 11.1. Smlouvy náhradu škody; to neplatí (tj. SMP nemusí Investorovi náhradu škody a smluvní pokutu hradit), pokud nebylo dosaženo nápravy z důvodů na straně dotčených orgánů (např. negativní stanovisko, které nešlo překonat ani při vynaložení veškerého potřebného úsilí) nebo v důsledku skutečnosti, kterou SMP nemůže s ohledem na limity vyplývající z právních předpisů garantovat.</w:t>
      </w:r>
    </w:p>
    <w:p w14:paraId="1A033B87" w14:textId="77777777" w:rsidR="00EC1C40" w:rsidRDefault="00000000">
      <w:pPr>
        <w:pStyle w:val="Nadpis60"/>
        <w:framePr w:w="10186" w:h="13445" w:hRule="exact" w:wrap="none" w:vAnchor="page" w:hAnchor="page" w:x="1213" w:y="1940"/>
        <w:numPr>
          <w:ilvl w:val="0"/>
          <w:numId w:val="3"/>
        </w:numPr>
        <w:tabs>
          <w:tab w:val="left" w:pos="550"/>
        </w:tabs>
        <w:spacing w:after="120"/>
      </w:pPr>
      <w:bookmarkStart w:id="11" w:name="bookmark22"/>
      <w:r>
        <w:t>Vztah této Smlouvy k dalším smlouvám a dohodám</w:t>
      </w:r>
      <w:bookmarkEnd w:id="11"/>
    </w:p>
    <w:p w14:paraId="090F5B80" w14:textId="77777777" w:rsidR="00EC1C40" w:rsidRDefault="00000000">
      <w:pPr>
        <w:pStyle w:val="Zkladntext1"/>
        <w:framePr w:w="10186" w:h="13445" w:hRule="exact" w:wrap="none" w:vAnchor="page" w:hAnchor="page" w:x="1213" w:y="1940"/>
        <w:numPr>
          <w:ilvl w:val="1"/>
          <w:numId w:val="3"/>
        </w:numPr>
        <w:tabs>
          <w:tab w:val="left" w:pos="553"/>
        </w:tabs>
        <w:spacing w:after="120"/>
        <w:ind w:left="640" w:hanging="640"/>
        <w:jc w:val="both"/>
      </w:pPr>
      <w:r>
        <w:t>Tato Smlouva je zcela nezávislá na jiných smlouvách, dohodách či prohlášeních, byť by byly uzavřeny současně a/nebo v souvislosti s touto Smlouvou, není-li v nich a/nebo v této Smlouvě výslovně stanoveno jinak; i v takovém případě je však tato Smlouva závislá na jiných takových dohodách, smlouvách a prohlášeních výhradně způsobem v nich a/nebo v této Smlouvě uvedeným.</w:t>
      </w:r>
    </w:p>
    <w:p w14:paraId="2D35EC7B" w14:textId="77777777" w:rsidR="00EC1C40" w:rsidRDefault="00000000">
      <w:pPr>
        <w:pStyle w:val="Zkladntext1"/>
        <w:framePr w:w="10186" w:h="13445" w:hRule="exact" w:wrap="none" w:vAnchor="page" w:hAnchor="page" w:x="1213" w:y="1940"/>
        <w:numPr>
          <w:ilvl w:val="1"/>
          <w:numId w:val="3"/>
        </w:numPr>
        <w:tabs>
          <w:tab w:val="left" w:pos="553"/>
        </w:tabs>
        <w:spacing w:after="120"/>
        <w:ind w:left="640" w:hanging="640"/>
        <w:jc w:val="both"/>
      </w:pPr>
      <w:r>
        <w:t>Tato Smlouva představuje splnění prohlášení Investora učiněného v čl. 2.1.1. Memoranda o spolupráci, tj. povinnosti uzavřít „Smlouvu o spolupráci“.</w:t>
      </w:r>
    </w:p>
    <w:p w14:paraId="08BE0041" w14:textId="77777777" w:rsidR="00EC1C40" w:rsidRDefault="00000000">
      <w:pPr>
        <w:pStyle w:val="Zkladntext1"/>
        <w:framePr w:w="10186" w:h="13445" w:hRule="exact" w:wrap="none" w:vAnchor="page" w:hAnchor="page" w:x="1213" w:y="1940"/>
        <w:numPr>
          <w:ilvl w:val="1"/>
          <w:numId w:val="3"/>
        </w:numPr>
        <w:tabs>
          <w:tab w:val="left" w:pos="553"/>
        </w:tabs>
        <w:spacing w:after="120"/>
        <w:ind w:left="640" w:hanging="640"/>
        <w:jc w:val="both"/>
      </w:pPr>
      <w:r>
        <w:t>Tato Smlouva je privativní novací Memoranda o spolupráci, tj. tato Smlouva v celém rozsahu ruší Memorandum o spolupráci a nahrazuje jej právy a povinnostmi z této Smlouvy. Smluvní strany si potvrzují, že na základě dosavadního plnění Memoranda o spolupráci vůči sobě nemají žádné nesplněné pohledávky, práva či jiné nároky a pokud by takové případně existovaly, tak se těchto pohledávek, práv a jiných nároků tímto vzdávají.</w:t>
      </w:r>
    </w:p>
    <w:p w14:paraId="7C1C81B8" w14:textId="77777777" w:rsidR="00EC1C40" w:rsidRDefault="00000000">
      <w:pPr>
        <w:pStyle w:val="Zkladntext1"/>
        <w:framePr w:w="10186" w:h="13445" w:hRule="exact" w:wrap="none" w:vAnchor="page" w:hAnchor="page" w:x="1213" w:y="1940"/>
        <w:numPr>
          <w:ilvl w:val="1"/>
          <w:numId w:val="3"/>
        </w:numPr>
        <w:tabs>
          <w:tab w:val="left" w:pos="553"/>
        </w:tabs>
        <w:spacing w:after="0"/>
        <w:ind w:left="640" w:hanging="640"/>
        <w:jc w:val="both"/>
      </w:pPr>
      <w:r>
        <w:t>Okamžikem nabytí účinnosti této Smlouvy se bez dalšího v celém rozsahu ruší (i) prohlášení stavebníka vystavené Investorem ve prospěch SMP dne 16.4.2026 a (</w:t>
      </w:r>
      <w:proofErr w:type="spellStart"/>
      <w:r>
        <w:t>ii</w:t>
      </w:r>
      <w:proofErr w:type="spellEnd"/>
      <w:r>
        <w:t>) prohlášení stavebníka vystavené Investorem ve prospěch SMP dne 26.3.2026, pokud Prohlášení stavebníka nezanikla již dříve.</w:t>
      </w:r>
    </w:p>
    <w:p w14:paraId="6CA97451" w14:textId="77777777" w:rsidR="00EC1C40" w:rsidRDefault="00000000">
      <w:pPr>
        <w:pStyle w:val="Zhlavnebozpat0"/>
        <w:framePr w:wrap="none" w:vAnchor="page" w:hAnchor="page" w:x="5538" w:y="16085"/>
        <w:rPr>
          <w:sz w:val="22"/>
          <w:szCs w:val="22"/>
        </w:rPr>
      </w:pPr>
      <w:r>
        <w:rPr>
          <w:color w:val="231E20"/>
          <w:sz w:val="22"/>
          <w:szCs w:val="22"/>
        </w:rPr>
        <w:t>41/63</w:t>
      </w:r>
    </w:p>
    <w:p w14:paraId="3BE026A9"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2137F624" w14:textId="77777777" w:rsidR="00EC1C40" w:rsidRDefault="00000000">
      <w:pPr>
        <w:spacing w:line="1" w:lineRule="exact"/>
      </w:pPr>
      <w:r>
        <w:rPr>
          <w:noProof/>
        </w:rPr>
        <w:lastRenderedPageBreak/>
        <mc:AlternateContent>
          <mc:Choice Requires="wps">
            <w:drawing>
              <wp:anchor distT="0" distB="0" distL="114300" distR="114300" simplePos="0" relativeHeight="251624960" behindDoc="1" locked="0" layoutInCell="1" allowOverlap="1" wp14:anchorId="5EA2F708" wp14:editId="2CEBE9FD">
                <wp:simplePos x="0" y="0"/>
                <wp:positionH relativeFrom="page">
                  <wp:posOffset>879475</wp:posOffset>
                </wp:positionH>
                <wp:positionV relativeFrom="page">
                  <wp:posOffset>932180</wp:posOffset>
                </wp:positionV>
                <wp:extent cx="5702935" cy="0"/>
                <wp:effectExtent l="0" t="0" r="0" b="0"/>
                <wp:wrapNone/>
                <wp:docPr id="41" name="Shape 41"/>
                <wp:cNvGraphicFramePr/>
                <a:graphic xmlns:a="http://schemas.openxmlformats.org/drawingml/2006/main">
                  <a:graphicData uri="http://schemas.microsoft.com/office/word/2010/wordprocessingShape">
                    <wps:wsp>
                      <wps:cNvCnPr/>
                      <wps:spPr>
                        <a:xfrm>
                          <a:off x="0" y="0"/>
                          <a:ext cx="5702935" cy="0"/>
                        </a:xfrm>
                        <a:prstGeom prst="straightConnector1">
                          <a:avLst/>
                        </a:prstGeom>
                        <a:ln w="6350">
                          <a:solidFill/>
                        </a:ln>
                      </wps:spPr>
                      <wps:bodyPr/>
                    </wps:wsp>
                  </a:graphicData>
                </a:graphic>
              </wp:anchor>
            </w:drawing>
          </mc:Choice>
          <mc:Fallback>
            <w:pict>
              <v:shape o:spt="32" o:oned="true" path="m,l21600,21600e" style="position:absolute;margin-left:69.25pt;margin-top:73.400000000000006pt;width:449.05000000000001pt;height:0;z-index:-251658240;mso-position-horizontal-relative:page;mso-position-vertical-relative:page">
                <v:stroke weight="0.5pt"/>
              </v:shape>
            </w:pict>
          </mc:Fallback>
        </mc:AlternateContent>
      </w:r>
    </w:p>
    <w:p w14:paraId="7AEA8742" w14:textId="77777777" w:rsidR="00EC1C40" w:rsidRDefault="00000000">
      <w:pPr>
        <w:pStyle w:val="Zhlavnebozpat0"/>
        <w:framePr w:wrap="none" w:vAnchor="page" w:hAnchor="page" w:x="5192" w:y="1186"/>
      </w:pPr>
      <w:r>
        <w:t>Plánovací smlouva</w:t>
      </w:r>
    </w:p>
    <w:p w14:paraId="1253FA6C" w14:textId="77777777" w:rsidR="00EC1C40" w:rsidRDefault="00000000">
      <w:pPr>
        <w:pStyle w:val="Nadpis60"/>
        <w:framePr w:w="10186" w:h="13574" w:hRule="exact" w:wrap="none" w:vAnchor="page" w:hAnchor="page" w:x="1213" w:y="1940"/>
        <w:numPr>
          <w:ilvl w:val="0"/>
          <w:numId w:val="3"/>
        </w:numPr>
        <w:tabs>
          <w:tab w:val="left" w:pos="556"/>
        </w:tabs>
        <w:spacing w:after="240"/>
      </w:pPr>
      <w:bookmarkStart w:id="12" w:name="bookmark24"/>
      <w:r>
        <w:t>Zásah do Skládky</w:t>
      </w:r>
      <w:bookmarkEnd w:id="12"/>
    </w:p>
    <w:p w14:paraId="3ABAB60F" w14:textId="77777777" w:rsidR="00EC1C40" w:rsidRDefault="00000000">
      <w:pPr>
        <w:pStyle w:val="Zkladntext1"/>
        <w:framePr w:w="10186" w:h="13574" w:hRule="exact" w:wrap="none" w:vAnchor="page" w:hAnchor="page" w:x="1213" w:y="1940"/>
        <w:numPr>
          <w:ilvl w:val="1"/>
          <w:numId w:val="3"/>
        </w:numPr>
        <w:tabs>
          <w:tab w:val="left" w:pos="556"/>
        </w:tabs>
        <w:spacing w:after="240"/>
        <w:ind w:left="640" w:hanging="640"/>
        <w:jc w:val="both"/>
      </w:pPr>
      <w:r>
        <w:t>Smluvní strany se dohodly, že veškerá práva a povinnosti týkající se Skládky, včetně případného zásahu do Skládky, Odstranění odpadů a znečištění, jakož i rozdělení rizik a odpovědnosti, jsou upraveny v samostatné Dohodě o úpravě vztahů uzavírané současně s touto Smlouvou.</w:t>
      </w:r>
    </w:p>
    <w:p w14:paraId="27E73977" w14:textId="77777777" w:rsidR="00EC1C40" w:rsidRDefault="00000000">
      <w:pPr>
        <w:pStyle w:val="Nadpis60"/>
        <w:framePr w:w="10186" w:h="13574" w:hRule="exact" w:wrap="none" w:vAnchor="page" w:hAnchor="page" w:x="1213" w:y="1940"/>
        <w:numPr>
          <w:ilvl w:val="0"/>
          <w:numId w:val="3"/>
        </w:numPr>
        <w:tabs>
          <w:tab w:val="left" w:pos="556"/>
        </w:tabs>
        <w:jc w:val="both"/>
      </w:pPr>
      <w:bookmarkStart w:id="13" w:name="bookmark26"/>
      <w:r>
        <w:t>Sankce</w:t>
      </w:r>
      <w:bookmarkEnd w:id="13"/>
    </w:p>
    <w:p w14:paraId="6C943FCD" w14:textId="77777777" w:rsidR="00EC1C40" w:rsidRDefault="00000000">
      <w:pPr>
        <w:pStyle w:val="Zkladntext1"/>
        <w:framePr w:w="10186" w:h="13574" w:hRule="exact" w:wrap="none" w:vAnchor="page" w:hAnchor="page" w:x="1213" w:y="1940"/>
        <w:numPr>
          <w:ilvl w:val="1"/>
          <w:numId w:val="3"/>
        </w:numPr>
        <w:tabs>
          <w:tab w:val="left" w:pos="556"/>
        </w:tabs>
        <w:spacing w:after="240"/>
        <w:jc w:val="both"/>
      </w:pPr>
      <w:r>
        <w:t>Investor se zavazuje uhradit SMP smluvní pokutu v následujících případech:</w:t>
      </w:r>
    </w:p>
    <w:p w14:paraId="0E6096CF" w14:textId="77777777" w:rsidR="00EC1C40" w:rsidRDefault="00000000">
      <w:pPr>
        <w:pStyle w:val="Zkladntext1"/>
        <w:framePr w:w="10186" w:h="13574" w:hRule="exact" w:wrap="none" w:vAnchor="page" w:hAnchor="page" w:x="1213" w:y="1940"/>
        <w:numPr>
          <w:ilvl w:val="2"/>
          <w:numId w:val="3"/>
        </w:numPr>
        <w:tabs>
          <w:tab w:val="left" w:pos="1360"/>
        </w:tabs>
        <w:spacing w:after="240"/>
        <w:ind w:left="1380" w:hanging="740"/>
        <w:jc w:val="both"/>
      </w:pPr>
      <w:r>
        <w:t xml:space="preserve">Za překročení Základních parametrů sjednaných v </w:t>
      </w:r>
      <w:r>
        <w:rPr>
          <w:u w:val="single"/>
        </w:rPr>
        <w:t>Příloze č. 1</w:t>
      </w:r>
      <w:r>
        <w:t xml:space="preserve"> této Smlouvy uhradí Investor smluvní pokutu ve výši (i) 500.000,- Kč v případě porušení Základních parametrů uvedených v bodu 1. a bodu 3. </w:t>
      </w:r>
      <w:r>
        <w:rPr>
          <w:u w:val="single"/>
        </w:rPr>
        <w:t>Přílohy č. 1</w:t>
      </w:r>
      <w:r>
        <w:t xml:space="preserve"> této Smlouvy a (</w:t>
      </w:r>
      <w:proofErr w:type="spellStart"/>
      <w:r>
        <w:t>ii</w:t>
      </w:r>
      <w:proofErr w:type="spellEnd"/>
      <w:r>
        <w:t xml:space="preserve">) 100.000,- Kč v případě porušení Základních parametrů sjednaných v bodu 2. </w:t>
      </w:r>
      <w:r>
        <w:rPr>
          <w:u w:val="single"/>
        </w:rPr>
        <w:t>Přílohy č. 1</w:t>
      </w:r>
      <w:r>
        <w:t xml:space="preserve"> této Smlouvy, a to pokud není dosaženo nápravy ani do dvanácti (12) měsíců od doručení výzvy k nápravě ze strany SMP Investorovi;</w:t>
      </w:r>
    </w:p>
    <w:p w14:paraId="2A863614" w14:textId="77777777" w:rsidR="00EC1C40" w:rsidRDefault="00000000">
      <w:pPr>
        <w:pStyle w:val="Zkladntext1"/>
        <w:framePr w:w="10186" w:h="13574" w:hRule="exact" w:wrap="none" w:vAnchor="page" w:hAnchor="page" w:x="1213" w:y="1940"/>
        <w:numPr>
          <w:ilvl w:val="2"/>
          <w:numId w:val="3"/>
        </w:numPr>
        <w:tabs>
          <w:tab w:val="left" w:pos="1360"/>
        </w:tabs>
        <w:spacing w:after="240"/>
        <w:ind w:left="1380" w:hanging="740"/>
        <w:jc w:val="both"/>
      </w:pPr>
      <w:r>
        <w:t>Za nedodržení Závazného milníku sjednaného v čl. 2.5.4 této Smlouvy (prodlouženého případně v souladu s ustanoveními této Smlouvy) uhradí Investor smluvní pokutu ve výši 300.000,- Kč za každých započatých šest (6) měsíců prodlení, pokud není dosaženo nápravy ani do šesti (6) měsíců od doručení výzvy k nápravě ze strany SMP Investorovi, a to až do doby splnění příslušného Závazného milníku či zániku této Smlouvy (podle toho, co nastane dříve), maximálně však za období třiceti šesti (36) měsíců;</w:t>
      </w:r>
    </w:p>
    <w:p w14:paraId="79D55D8D" w14:textId="77777777" w:rsidR="00EC1C40" w:rsidRDefault="00000000">
      <w:pPr>
        <w:pStyle w:val="Zkladntext1"/>
        <w:framePr w:w="10186" w:h="13574" w:hRule="exact" w:wrap="none" w:vAnchor="page" w:hAnchor="page" w:x="1213" w:y="1940"/>
        <w:numPr>
          <w:ilvl w:val="2"/>
          <w:numId w:val="3"/>
        </w:numPr>
        <w:tabs>
          <w:tab w:val="left" w:pos="1360"/>
        </w:tabs>
        <w:spacing w:after="240"/>
        <w:ind w:left="1380" w:hanging="740"/>
        <w:jc w:val="both"/>
      </w:pPr>
      <w:r>
        <w:t>Za nesplnění povinnosti předložit certifikát prokazující udělení Certifikace LEED ve lhůtě dle čl. 4.9 této Smlouvy uhradí Investor smluvní pokutu ve výši 50.000,- Kč, a to pokud není dosaženo nápravy ani do dvanácti (12) měsíců od doručení výzvy k nápravě ze strany SMP Investorovi;</w:t>
      </w:r>
    </w:p>
    <w:p w14:paraId="0972E496" w14:textId="77777777" w:rsidR="00EC1C40" w:rsidRDefault="00000000">
      <w:pPr>
        <w:pStyle w:val="Zkladntext1"/>
        <w:framePr w:w="10186" w:h="13574" w:hRule="exact" w:wrap="none" w:vAnchor="page" w:hAnchor="page" w:x="1213" w:y="1940"/>
        <w:numPr>
          <w:ilvl w:val="2"/>
          <w:numId w:val="3"/>
        </w:numPr>
        <w:tabs>
          <w:tab w:val="left" w:pos="1360"/>
        </w:tabs>
        <w:spacing w:after="240"/>
        <w:ind w:left="1380" w:hanging="740"/>
        <w:jc w:val="both"/>
      </w:pPr>
      <w:r>
        <w:t>Za porušení povinnosti udržovat parametry a standardy Certifikace LEED po dobu 5 let od získání certifikátu, nebo za neprokázání jejich dodržování ve lhůtě stanovené v čl. 4.10 této Smlouvy, pokud není dosaženo nápravy ani do dvanácti (12) měsíců od doručení výzvy k nápravě ze strany SMP Investorovi, uhradí Investor smluvní pokutu ve výši 100.000,- Kč za každý kalendářní rok, ve kterém povinnost nebyla splněna, maximálně však za období pěti (5) let;</w:t>
      </w:r>
    </w:p>
    <w:p w14:paraId="17B7F36F" w14:textId="77777777" w:rsidR="00EC1C40" w:rsidRDefault="00000000">
      <w:pPr>
        <w:pStyle w:val="Zkladntext1"/>
        <w:framePr w:w="10186" w:h="13574" w:hRule="exact" w:wrap="none" w:vAnchor="page" w:hAnchor="page" w:x="1213" w:y="1940"/>
        <w:numPr>
          <w:ilvl w:val="2"/>
          <w:numId w:val="3"/>
        </w:numPr>
        <w:tabs>
          <w:tab w:val="left" w:pos="1360"/>
        </w:tabs>
        <w:spacing w:after="240"/>
        <w:ind w:left="1380" w:hanging="740"/>
        <w:jc w:val="both"/>
      </w:pPr>
      <w:r>
        <w:t xml:space="preserve">Za prodlení s úhradou doplatku Investičního příspěvku dle čl. 4.16 a čl. 4.17 této Smlouvy uhradí Investor úrok z prodlení ve výši </w:t>
      </w:r>
      <w:proofErr w:type="spellStart"/>
      <w:r>
        <w:t>repo</w:t>
      </w:r>
      <w:proofErr w:type="spellEnd"/>
      <w:r>
        <w:t xml:space="preserve"> sazby stanovené Českou národní bankou zvýšené o osm (8) procentních bodů ročně;</w:t>
      </w:r>
    </w:p>
    <w:p w14:paraId="0702B1DC" w14:textId="77777777" w:rsidR="00EC1C40" w:rsidRDefault="00000000">
      <w:pPr>
        <w:pStyle w:val="Zkladntext1"/>
        <w:framePr w:w="10186" w:h="13574" w:hRule="exact" w:wrap="none" w:vAnchor="page" w:hAnchor="page" w:x="1213" w:y="1940"/>
        <w:numPr>
          <w:ilvl w:val="2"/>
          <w:numId w:val="3"/>
        </w:numPr>
        <w:tabs>
          <w:tab w:val="left" w:pos="1360"/>
        </w:tabs>
        <w:spacing w:after="240"/>
        <w:ind w:left="1380" w:hanging="740"/>
        <w:jc w:val="both"/>
      </w:pPr>
      <w:r>
        <w:t xml:space="preserve">Za porušení povinnosti zajistit veřejnou přístupnost a bezplatné užívání venkovního </w:t>
      </w:r>
      <w:proofErr w:type="spellStart"/>
      <w:r>
        <w:t>Cykloparkingu</w:t>
      </w:r>
      <w:proofErr w:type="spellEnd"/>
      <w:r>
        <w:t xml:space="preserve"> po dobu patnácti (15) let dle čl. 5.5.2 této Smlouvy, pokud počet dnů, ve kterých Investor tuto povinnost porušil, přesáhne třicet (30) kalendářních dnů v příslušném kalendářním roce, uhradí Investor SMP smluvní pokutu ve výši 200.000,- Kč. Pro odstranění jakýchkoli pochybností se sjednává, že za porušení povinnosti zajistit veřejnou přístupnost a bezplatné užívání venkovního </w:t>
      </w:r>
      <w:proofErr w:type="spellStart"/>
      <w:r>
        <w:t>Cykloparkingu</w:t>
      </w:r>
      <w:proofErr w:type="spellEnd"/>
      <w:r>
        <w:t xml:space="preserve"> se nepovažují mimořádné výluky uvedené v čl. 5.5.2 této Smlouvy;</w:t>
      </w:r>
    </w:p>
    <w:p w14:paraId="0D6DF1CF" w14:textId="77777777" w:rsidR="00EC1C40" w:rsidRDefault="00000000">
      <w:pPr>
        <w:pStyle w:val="Zkladntext1"/>
        <w:framePr w:w="10186" w:h="13574" w:hRule="exact" w:wrap="none" w:vAnchor="page" w:hAnchor="page" w:x="1213" w:y="1940"/>
        <w:numPr>
          <w:ilvl w:val="2"/>
          <w:numId w:val="3"/>
        </w:numPr>
        <w:tabs>
          <w:tab w:val="left" w:pos="1360"/>
        </w:tabs>
        <w:spacing w:after="0"/>
        <w:ind w:left="1380" w:hanging="740"/>
        <w:jc w:val="both"/>
      </w:pPr>
      <w:r>
        <w:t>Za nesplnění povinnosti prokázat uzavření smluvních vztahů s dopravci dle čl. 10.2 této Smlouvy ve stanovené lhůtě uhradí Investor SMP smluvní pokutu ve výši 300.000,- Kč, a to pokud není dosaženo nápravy ani do dvou (2) měsíců od doručení výzvy k nápravě ze strany SMP Investorovi;</w:t>
      </w:r>
    </w:p>
    <w:p w14:paraId="4DE23E1B" w14:textId="77777777" w:rsidR="00EC1C40" w:rsidRDefault="00000000">
      <w:pPr>
        <w:pStyle w:val="Zhlavnebozpat0"/>
        <w:framePr w:wrap="none" w:vAnchor="page" w:hAnchor="page" w:x="5538" w:y="16085"/>
        <w:rPr>
          <w:sz w:val="22"/>
          <w:szCs w:val="22"/>
        </w:rPr>
      </w:pPr>
      <w:r>
        <w:rPr>
          <w:color w:val="231E20"/>
          <w:sz w:val="22"/>
          <w:szCs w:val="22"/>
        </w:rPr>
        <w:t>42/63</w:t>
      </w:r>
    </w:p>
    <w:p w14:paraId="7B757C94"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653933BF" w14:textId="77777777" w:rsidR="00EC1C40" w:rsidRDefault="00000000">
      <w:pPr>
        <w:spacing w:line="1" w:lineRule="exact"/>
      </w:pPr>
      <w:r>
        <w:rPr>
          <w:noProof/>
        </w:rPr>
        <w:lastRenderedPageBreak/>
        <mc:AlternateContent>
          <mc:Choice Requires="wps">
            <w:drawing>
              <wp:anchor distT="0" distB="0" distL="114300" distR="114300" simplePos="0" relativeHeight="251625984" behindDoc="1" locked="0" layoutInCell="1" allowOverlap="1" wp14:anchorId="717C60F4" wp14:editId="4BA06CDF">
                <wp:simplePos x="0" y="0"/>
                <wp:positionH relativeFrom="page">
                  <wp:posOffset>879475</wp:posOffset>
                </wp:positionH>
                <wp:positionV relativeFrom="page">
                  <wp:posOffset>932180</wp:posOffset>
                </wp:positionV>
                <wp:extent cx="5702935" cy="0"/>
                <wp:effectExtent l="0" t="0" r="0" b="0"/>
                <wp:wrapNone/>
                <wp:docPr id="42" name="Shape 42"/>
                <wp:cNvGraphicFramePr/>
                <a:graphic xmlns:a="http://schemas.openxmlformats.org/drawingml/2006/main">
                  <a:graphicData uri="http://schemas.microsoft.com/office/word/2010/wordprocessingShape">
                    <wps:wsp>
                      <wps:cNvCnPr/>
                      <wps:spPr>
                        <a:xfrm>
                          <a:off x="0" y="0"/>
                          <a:ext cx="5702935" cy="0"/>
                        </a:xfrm>
                        <a:prstGeom prst="straightConnector1">
                          <a:avLst/>
                        </a:prstGeom>
                        <a:ln w="6350">
                          <a:solidFill/>
                        </a:ln>
                      </wps:spPr>
                      <wps:bodyPr/>
                    </wps:wsp>
                  </a:graphicData>
                </a:graphic>
              </wp:anchor>
            </w:drawing>
          </mc:Choice>
          <mc:Fallback>
            <w:pict>
              <v:shape o:spt="32" o:oned="true" path="m,l21600,21600e" style="position:absolute;margin-left:69.25pt;margin-top:73.400000000000006pt;width:449.05000000000001pt;height:0;z-index:-251658240;mso-position-horizontal-relative:page;mso-position-vertical-relative:page">
                <v:stroke weight="0.5pt"/>
              </v:shape>
            </w:pict>
          </mc:Fallback>
        </mc:AlternateContent>
      </w:r>
    </w:p>
    <w:p w14:paraId="5E831B80" w14:textId="77777777" w:rsidR="00EC1C40" w:rsidRDefault="00000000">
      <w:pPr>
        <w:pStyle w:val="Zhlavnebozpat0"/>
        <w:framePr w:wrap="none" w:vAnchor="page" w:hAnchor="page" w:x="5192" w:y="1186"/>
      </w:pPr>
      <w:r>
        <w:t>Plánovací smlouva</w:t>
      </w:r>
    </w:p>
    <w:p w14:paraId="66C2D3AA" w14:textId="77777777" w:rsidR="00EC1C40" w:rsidRDefault="00000000">
      <w:pPr>
        <w:pStyle w:val="Zkladntext1"/>
        <w:framePr w:w="10186" w:h="13214" w:hRule="exact" w:wrap="none" w:vAnchor="page" w:hAnchor="page" w:x="1213" w:y="1940"/>
        <w:numPr>
          <w:ilvl w:val="2"/>
          <w:numId w:val="3"/>
        </w:numPr>
        <w:tabs>
          <w:tab w:val="left" w:pos="1364"/>
        </w:tabs>
        <w:spacing w:after="220"/>
        <w:ind w:left="1360" w:hanging="720"/>
        <w:jc w:val="both"/>
      </w:pPr>
      <w:r>
        <w:t>Za prodlení s dokončením objektů na pozemcích SMP nebo s uvedením pozemků do původního stavu dle čl. 16.4.4 této Smlouvy uhradí Investor smluvní pokutu ve výši 20.000,- Kč za každý započatý měsíc prodlení se splněním této povinnosti, maximálně však za období dvaceti čtyř (24) měsíců; a</w:t>
      </w:r>
    </w:p>
    <w:p w14:paraId="5B3F1C9D" w14:textId="77777777" w:rsidR="00EC1C40" w:rsidRDefault="00000000">
      <w:pPr>
        <w:pStyle w:val="Zkladntext1"/>
        <w:framePr w:w="10186" w:h="13214" w:hRule="exact" w:wrap="none" w:vAnchor="page" w:hAnchor="page" w:x="1213" w:y="1940"/>
        <w:numPr>
          <w:ilvl w:val="2"/>
          <w:numId w:val="3"/>
        </w:numPr>
        <w:tabs>
          <w:tab w:val="left" w:pos="1364"/>
        </w:tabs>
        <w:spacing w:after="220"/>
        <w:ind w:left="1360" w:hanging="720"/>
        <w:jc w:val="both"/>
      </w:pPr>
      <w:r>
        <w:t>Za nesplnění povinnosti realizovat Dopravní opatření ve lhůtách stanovených v dohodě o realizaci Dopravních opatření dle čl. 10.5.3 této Smlouvy uhradí Investor SMP smluvní pokutu ve výši 100.000,- Kč za každý započatý měsíc prodlení se splněním této povinnosti, maximálně však za období dvaceti čtyř (24) měsíců</w:t>
      </w:r>
      <w:r>
        <w:rPr>
          <w:rFonts w:ascii="Cambria" w:eastAsia="Cambria" w:hAnsi="Cambria" w:cs="Cambria"/>
        </w:rPr>
        <w:t xml:space="preserve">, </w:t>
      </w:r>
      <w:r>
        <w:t>a to pokud není dosaženo nápravy ani do dvanácti (12) měsíců od doručení výzvy k nápravě ze strany SMP Investorovi. Neposkytnutí součinnosti ze strany SMP, subjektů ovládaných SMP či třetích osob (např. ŘSD) s poskytnutím potřebné součinnosti k realizaci Dopravních opatření vylučuje právo SMP na smluvní pokutu dle tohoto ustanovení.</w:t>
      </w:r>
    </w:p>
    <w:p w14:paraId="1F39968B" w14:textId="77777777" w:rsidR="00EC1C40" w:rsidRDefault="00000000">
      <w:pPr>
        <w:pStyle w:val="Zkladntext1"/>
        <w:framePr w:w="10186" w:h="13214" w:hRule="exact" w:wrap="none" w:vAnchor="page" w:hAnchor="page" w:x="1213" w:y="1940"/>
        <w:numPr>
          <w:ilvl w:val="1"/>
          <w:numId w:val="3"/>
        </w:numPr>
        <w:tabs>
          <w:tab w:val="left" w:pos="566"/>
        </w:tabs>
        <w:spacing w:after="220"/>
        <w:jc w:val="both"/>
      </w:pPr>
      <w:r>
        <w:t>SMP se zavazuje uhradit Investorovi smluvní pokutu v následujících případech:</w:t>
      </w:r>
    </w:p>
    <w:p w14:paraId="7F510E5C" w14:textId="77777777" w:rsidR="00EC1C40" w:rsidRDefault="00000000">
      <w:pPr>
        <w:pStyle w:val="Zkladntext1"/>
        <w:framePr w:w="10186" w:h="13214" w:hRule="exact" w:wrap="none" w:vAnchor="page" w:hAnchor="page" w:x="1213" w:y="1940"/>
        <w:numPr>
          <w:ilvl w:val="2"/>
          <w:numId w:val="3"/>
        </w:numPr>
        <w:tabs>
          <w:tab w:val="left" w:pos="1364"/>
        </w:tabs>
        <w:spacing w:after="220"/>
        <w:ind w:left="1360" w:hanging="720"/>
        <w:jc w:val="both"/>
      </w:pPr>
      <w:r>
        <w:t>Za porušení kterékoli z povinností dle čl. 7.4 až čl. 7.6 a čl. 7.8 a čl. 20.7 této Smlouvy (včetně zajištění součinnosti dle čl. 25.5 Smlouvy), pokud není dosaženo nápravy ani do jednoho (1) měsíce od doručení výzvy k nápravě ze strany Investora SMP, uhradí SMP Investorovi smluvní pokutu ve výši 300.000,- Kč za každý započatý měsíc porušení této povinnosti, maximálně však za období šesti (6) měsíců;</w:t>
      </w:r>
    </w:p>
    <w:p w14:paraId="63A0E4A4" w14:textId="77777777" w:rsidR="00EC1C40" w:rsidRDefault="00000000">
      <w:pPr>
        <w:pStyle w:val="Zkladntext1"/>
        <w:framePr w:w="10186" w:h="13214" w:hRule="exact" w:wrap="none" w:vAnchor="page" w:hAnchor="page" w:x="1213" w:y="1940"/>
        <w:numPr>
          <w:ilvl w:val="2"/>
          <w:numId w:val="3"/>
        </w:numPr>
        <w:tabs>
          <w:tab w:val="left" w:pos="1364"/>
        </w:tabs>
        <w:spacing w:after="220"/>
        <w:ind w:left="1360" w:hanging="720"/>
        <w:jc w:val="both"/>
      </w:pPr>
      <w:r>
        <w:t>Za porušení kterékoli z povinností dle čl. 7.7 této Smlouvy, pokud není dosaženo nápravy ani do tří (3) měsíců od doručení výzvy k nápravě ze strany Investora SMP, uhradí SMP Investorovi smluvní pokutu ve výši 50.000,- Kč za každý započatý měsíc porušení této povinnosti, maximálně však za období šesti (6) měsíců;</w:t>
      </w:r>
    </w:p>
    <w:p w14:paraId="2E706649" w14:textId="77777777" w:rsidR="00EC1C40" w:rsidRDefault="00000000">
      <w:pPr>
        <w:pStyle w:val="Zkladntext1"/>
        <w:framePr w:w="10186" w:h="13214" w:hRule="exact" w:wrap="none" w:vAnchor="page" w:hAnchor="page" w:x="1213" w:y="1940"/>
        <w:numPr>
          <w:ilvl w:val="2"/>
          <w:numId w:val="3"/>
        </w:numPr>
        <w:tabs>
          <w:tab w:val="left" w:pos="1364"/>
        </w:tabs>
        <w:spacing w:after="220"/>
        <w:ind w:left="1360" w:hanging="720"/>
        <w:jc w:val="both"/>
      </w:pPr>
      <w:r>
        <w:t>Za porušení kterékoli z povinností sjednaných v čl. 20 této Smlouvy (vyjma čl. 20.7 této Smlouvy), pokud není dosaženo nápravy ani do tří (3) měsíců od doručení výzvy k nápravě ze strany Investora SMP, uhradí SMP Investorovi smluvní pokutu ve výši 10.000,- Kč za každý započatý měsíc porušení této povinnosti, maximálně však za období šesti (6) měsíců;</w:t>
      </w:r>
    </w:p>
    <w:p w14:paraId="2910B7EB" w14:textId="77777777" w:rsidR="00EC1C40" w:rsidRDefault="00000000">
      <w:pPr>
        <w:pStyle w:val="Zkladntext1"/>
        <w:framePr w:w="10186" w:h="13214" w:hRule="exact" w:wrap="none" w:vAnchor="page" w:hAnchor="page" w:x="1213" w:y="1940"/>
        <w:numPr>
          <w:ilvl w:val="2"/>
          <w:numId w:val="3"/>
        </w:numPr>
        <w:tabs>
          <w:tab w:val="left" w:pos="1364"/>
        </w:tabs>
        <w:spacing w:after="220"/>
        <w:ind w:left="1360" w:hanging="720"/>
        <w:jc w:val="both"/>
      </w:pPr>
      <w:r>
        <w:t>Za přijetí změny Stávajícího ÚP nebo Nového ÚP či jeho změny, a to v rozporu s povinnostmi SMP sjednanými v čl. 11.1 této Smlouvy a/nebo porušení kterékoli z povinností dle čl. 11.2 až čl. 11.4 této Smlouvy a/nebo povinností dle čl. 11.9. Smlouvy (tj. povinnosti činit kroky ke zjednání nápravy dle čl. 11.9. Smlouvy) uhradí SMP smluvní pokutu ve výši 1.000.000,- Kč;</w:t>
      </w:r>
    </w:p>
    <w:p w14:paraId="016C6B19" w14:textId="77777777" w:rsidR="00EC1C40" w:rsidRDefault="00000000">
      <w:pPr>
        <w:pStyle w:val="Zkladntext1"/>
        <w:framePr w:w="10186" w:h="13214" w:hRule="exact" w:wrap="none" w:vAnchor="page" w:hAnchor="page" w:x="1213" w:y="1940"/>
        <w:numPr>
          <w:ilvl w:val="2"/>
          <w:numId w:val="3"/>
        </w:numPr>
        <w:tabs>
          <w:tab w:val="left" w:pos="1364"/>
        </w:tabs>
        <w:spacing w:after="220"/>
        <w:ind w:left="1360" w:hanging="720"/>
        <w:jc w:val="both"/>
      </w:pPr>
      <w:r>
        <w:t>Za porušení kterékoli z povinností sjednaných v čl. 11.5 této Smlouvy, pokud není dosaženo nápravy ani do patnácti (15) dnů od doručení výzvy k nápravě ze strany Investora SMP, uhradí SMP Investorovi smluvní pokutu ve výši 500.000,- Kč za porušení každé z těchto povinností;</w:t>
      </w:r>
    </w:p>
    <w:p w14:paraId="37553E74" w14:textId="77777777" w:rsidR="00EC1C40" w:rsidRDefault="00000000">
      <w:pPr>
        <w:pStyle w:val="Zkladntext1"/>
        <w:framePr w:w="10186" w:h="13214" w:hRule="exact" w:wrap="none" w:vAnchor="page" w:hAnchor="page" w:x="1213" w:y="1940"/>
        <w:numPr>
          <w:ilvl w:val="2"/>
          <w:numId w:val="3"/>
        </w:numPr>
        <w:tabs>
          <w:tab w:val="left" w:pos="1364"/>
        </w:tabs>
        <w:spacing w:after="0"/>
        <w:ind w:left="1360" w:hanging="720"/>
        <w:jc w:val="both"/>
      </w:pPr>
      <w:r>
        <w:t>Za prodlení se zahájením provozu Nepeněžního plnění dle čl. 5.6.8 této Smlouvy a/nebo za porušení povinnosti uzavřít kupní smlouvu na příslušnou část Nepeněžního plnění dle čl. 5.4.2 této Smlouvy, nebo za prodlení se zahájením provozu Související infrastruktury dle čl. 5.6.8 ve spojení s čl. 6.2.5 této Smlouvy a/nebo za porušení povinnosti uzavřít kupní smlouvu na příslušnou část Související infrastruktury dle čl. 5.4.2 ve spojení s čl. 6.2.5 této Smlouvy, uhradí SMP smluvní pokutu ve výši 50.000,- Kč za každý započatý</w:t>
      </w:r>
    </w:p>
    <w:p w14:paraId="5C49AD99" w14:textId="77777777" w:rsidR="00EC1C40" w:rsidRDefault="00000000">
      <w:pPr>
        <w:pStyle w:val="Zhlavnebozpat0"/>
        <w:framePr w:wrap="none" w:vAnchor="page" w:hAnchor="page" w:x="5538" w:y="16085"/>
        <w:rPr>
          <w:sz w:val="22"/>
          <w:szCs w:val="22"/>
        </w:rPr>
      </w:pPr>
      <w:r>
        <w:rPr>
          <w:color w:val="231E20"/>
          <w:sz w:val="22"/>
          <w:szCs w:val="22"/>
        </w:rPr>
        <w:t>43/63</w:t>
      </w:r>
    </w:p>
    <w:p w14:paraId="1195BA80"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382073E7" w14:textId="77777777" w:rsidR="00EC1C40" w:rsidRDefault="00000000">
      <w:pPr>
        <w:spacing w:line="1" w:lineRule="exact"/>
      </w:pPr>
      <w:r>
        <w:rPr>
          <w:noProof/>
        </w:rPr>
        <w:lastRenderedPageBreak/>
        <mc:AlternateContent>
          <mc:Choice Requires="wps">
            <w:drawing>
              <wp:anchor distT="0" distB="0" distL="114300" distR="114300" simplePos="0" relativeHeight="251627008" behindDoc="1" locked="0" layoutInCell="1" allowOverlap="1" wp14:anchorId="647D8725" wp14:editId="3EB67201">
                <wp:simplePos x="0" y="0"/>
                <wp:positionH relativeFrom="page">
                  <wp:posOffset>879475</wp:posOffset>
                </wp:positionH>
                <wp:positionV relativeFrom="page">
                  <wp:posOffset>932180</wp:posOffset>
                </wp:positionV>
                <wp:extent cx="5702935" cy="0"/>
                <wp:effectExtent l="0" t="0" r="0" b="0"/>
                <wp:wrapNone/>
                <wp:docPr id="43" name="Shape 43"/>
                <wp:cNvGraphicFramePr/>
                <a:graphic xmlns:a="http://schemas.openxmlformats.org/drawingml/2006/main">
                  <a:graphicData uri="http://schemas.microsoft.com/office/word/2010/wordprocessingShape">
                    <wps:wsp>
                      <wps:cNvCnPr/>
                      <wps:spPr>
                        <a:xfrm>
                          <a:off x="0" y="0"/>
                          <a:ext cx="5702935" cy="0"/>
                        </a:xfrm>
                        <a:prstGeom prst="straightConnector1">
                          <a:avLst/>
                        </a:prstGeom>
                        <a:ln w="6350">
                          <a:solidFill/>
                        </a:ln>
                      </wps:spPr>
                      <wps:bodyPr/>
                    </wps:wsp>
                  </a:graphicData>
                </a:graphic>
              </wp:anchor>
            </w:drawing>
          </mc:Choice>
          <mc:Fallback>
            <w:pict>
              <v:shape o:spt="32" o:oned="true" path="m,l21600,21600e" style="position:absolute;margin-left:69.25pt;margin-top:73.400000000000006pt;width:449.05000000000001pt;height:0;z-index:-251658240;mso-position-horizontal-relative:page;mso-position-vertical-relative:page">
                <v:stroke weight="0.5pt"/>
              </v:shape>
            </w:pict>
          </mc:Fallback>
        </mc:AlternateContent>
      </w:r>
    </w:p>
    <w:p w14:paraId="500B2F9F" w14:textId="77777777" w:rsidR="00EC1C40" w:rsidRDefault="00000000">
      <w:pPr>
        <w:pStyle w:val="Zhlavnebozpat0"/>
        <w:framePr w:wrap="none" w:vAnchor="page" w:hAnchor="page" w:x="5192" w:y="1186"/>
      </w:pPr>
      <w:r>
        <w:t>Plánovací smlouva</w:t>
      </w:r>
    </w:p>
    <w:p w14:paraId="582EC445" w14:textId="77777777" w:rsidR="00EC1C40" w:rsidRDefault="00000000">
      <w:pPr>
        <w:pStyle w:val="Zkladntext1"/>
        <w:framePr w:w="10186" w:h="13507" w:hRule="exact" w:wrap="none" w:vAnchor="page" w:hAnchor="page" w:x="1213" w:y="1940"/>
        <w:spacing w:after="240"/>
        <w:ind w:left="1360"/>
        <w:jc w:val="both"/>
      </w:pPr>
      <w:r>
        <w:t>měsíc porušení kterékoli z těchto povinností, maximálně však za období dvaceti čtyř (24) měsíců.</w:t>
      </w:r>
    </w:p>
    <w:p w14:paraId="152C7F48" w14:textId="77777777" w:rsidR="00EC1C40" w:rsidRDefault="00000000">
      <w:pPr>
        <w:pStyle w:val="Zkladntext1"/>
        <w:framePr w:w="10186" w:h="13507" w:hRule="exact" w:wrap="none" w:vAnchor="page" w:hAnchor="page" w:x="1213" w:y="1940"/>
        <w:numPr>
          <w:ilvl w:val="1"/>
          <w:numId w:val="3"/>
        </w:numPr>
        <w:tabs>
          <w:tab w:val="left" w:pos="564"/>
        </w:tabs>
        <w:spacing w:after="240"/>
        <w:ind w:left="640" w:hanging="640"/>
        <w:jc w:val="both"/>
      </w:pPr>
      <w:r>
        <w:t>Smluvní pokutou dle této Smlouvy není nijak dotčeno právo Smluvní strany na náhradu škody ve výši přesahující smluvní pokutu, a/nebo jiná práva, která Smluvní straně v souvislosti s porušením této Smlouvy vzniknou. Smluvních pokut dle této Smlouvy, ani náhrady škody, se nemohou domáhat třetí osoby.</w:t>
      </w:r>
    </w:p>
    <w:p w14:paraId="671BBC6E" w14:textId="77777777" w:rsidR="00EC1C40" w:rsidRDefault="00000000">
      <w:pPr>
        <w:pStyle w:val="Zkladntext1"/>
        <w:framePr w:w="10186" w:h="13507" w:hRule="exact" w:wrap="none" w:vAnchor="page" w:hAnchor="page" w:x="1213" w:y="1940"/>
        <w:numPr>
          <w:ilvl w:val="1"/>
          <w:numId w:val="3"/>
        </w:numPr>
        <w:tabs>
          <w:tab w:val="left" w:pos="564"/>
        </w:tabs>
        <w:spacing w:after="240"/>
        <w:ind w:left="640" w:hanging="640"/>
        <w:jc w:val="both"/>
      </w:pPr>
      <w:r>
        <w:t>Vznik práva na smluvní pokutu, ani její úhrada, nezbavuje Smluvní stranu, která danou povinnost porušila, povinnosti tuto porušenou povinnost splnit.</w:t>
      </w:r>
    </w:p>
    <w:p w14:paraId="2E18A88C" w14:textId="77777777" w:rsidR="00EC1C40" w:rsidRDefault="00000000">
      <w:pPr>
        <w:pStyle w:val="Zkladntext1"/>
        <w:framePr w:w="10186" w:h="13507" w:hRule="exact" w:wrap="none" w:vAnchor="page" w:hAnchor="page" w:x="1213" w:y="1940"/>
        <w:numPr>
          <w:ilvl w:val="1"/>
          <w:numId w:val="3"/>
        </w:numPr>
        <w:tabs>
          <w:tab w:val="left" w:pos="564"/>
        </w:tabs>
        <w:spacing w:after="240"/>
        <w:jc w:val="both"/>
      </w:pPr>
      <w:r>
        <w:t>Smluvní pokuty jsou splatné do 30 dnů od doručení písemné výzvy k jejich úhradě.</w:t>
      </w:r>
    </w:p>
    <w:p w14:paraId="0306BB82" w14:textId="77777777" w:rsidR="00EC1C40" w:rsidRDefault="00000000">
      <w:pPr>
        <w:pStyle w:val="Zkladntext1"/>
        <w:framePr w:w="10186" w:h="13507" w:hRule="exact" w:wrap="none" w:vAnchor="page" w:hAnchor="page" w:x="1213" w:y="1940"/>
        <w:numPr>
          <w:ilvl w:val="1"/>
          <w:numId w:val="3"/>
        </w:numPr>
        <w:tabs>
          <w:tab w:val="left" w:pos="564"/>
        </w:tabs>
        <w:ind w:left="640" w:hanging="640"/>
        <w:jc w:val="both"/>
      </w:pPr>
      <w:r>
        <w:t>Smluvní strany sjednávají pro účely čl. 11.11 Smlouvy, že plně respektují princip výkonu volného mandátu člena zastupitelstva SMP a s ohledem na tento princip jsou si vědomy, že SMP nemůže garantovat výsledek hlasování v zastupitelstvu SMP (tj. přijetí změny Nového ÚP, kterou má být dosaženo nápravy); za případný negativní výsledek takového hlasování nemůže Investor požadovat po SMP náhradu škody, ani smluvní pokutu (čl. 14.2.5. Smlouvy); tím nejsou dotčena jiná práva Investora vyplývající z této Smlouvy (např. právo vypovědět tuto Smlouvu dle čl. 16.3.4 Smlouvy atd.) ani povinnosti SMP, k nimž se v rámci čl. 11 Smlouvy zavazuje.</w:t>
      </w:r>
    </w:p>
    <w:p w14:paraId="345429FE" w14:textId="77777777" w:rsidR="00EC1C40" w:rsidRDefault="00000000">
      <w:pPr>
        <w:pStyle w:val="Nadpis60"/>
        <w:framePr w:w="10186" w:h="13507" w:hRule="exact" w:wrap="none" w:vAnchor="page" w:hAnchor="page" w:x="1213" w:y="1940"/>
        <w:numPr>
          <w:ilvl w:val="0"/>
          <w:numId w:val="3"/>
        </w:numPr>
        <w:tabs>
          <w:tab w:val="left" w:pos="564"/>
        </w:tabs>
      </w:pPr>
      <w:bookmarkStart w:id="14" w:name="bookmark28"/>
      <w:r>
        <w:t>Další postup Smluvních stran v případě upuštění Investora od realizace Investičního záměru</w:t>
      </w:r>
      <w:bookmarkEnd w:id="14"/>
    </w:p>
    <w:p w14:paraId="1BDBBEDC" w14:textId="77777777" w:rsidR="00EC1C40" w:rsidRDefault="00000000">
      <w:pPr>
        <w:pStyle w:val="Zkladntext1"/>
        <w:framePr w:w="10186" w:h="13507" w:hRule="exact" w:wrap="none" w:vAnchor="page" w:hAnchor="page" w:x="1213" w:y="1940"/>
        <w:numPr>
          <w:ilvl w:val="1"/>
          <w:numId w:val="3"/>
        </w:numPr>
        <w:tabs>
          <w:tab w:val="left" w:pos="564"/>
        </w:tabs>
        <w:ind w:left="640" w:hanging="640"/>
        <w:jc w:val="both"/>
      </w:pPr>
      <w:r>
        <w:t>Investor je oprávněn kdykoli od realizace Investičního záměru jako celku za níže sjednaných podmínek upustit a Investiční záměr nerealizovat (neboť na základě této Smlouvy není povinen Investiční záměr a s ním související investice realizovat), přičemž v případě přijetí takového rozhodnutí doručí Investor SMP oznámení o upuštění od realizace Investičního záměru (dále jen „</w:t>
      </w:r>
      <w:r>
        <w:rPr>
          <w:b/>
          <w:bCs/>
        </w:rPr>
        <w:t>Oznámení Investora</w:t>
      </w:r>
      <w:r>
        <w:t>“). V případě doručení Oznámení Investora SMP budou Smluvní strany postupovat v souladu s tímto čl. 15 Smlouvy ve spojení s dalšími články této Smlouvy, na které tento čl. 15 odkazuje. Pro odstranění jakýchkoli pochybností se výslovně uvádí, že Investor je oprávněn doručit Oznámení Investora SMP kdykoli po uzavření této Smlouvy. Důsledky upuštění od realizace Investičního záměru se liší v závislosti na fázi přípravy a realizace Investičního záměru, ve které k upuštění dojde:</w:t>
      </w:r>
    </w:p>
    <w:p w14:paraId="5835B046" w14:textId="77777777" w:rsidR="00EC1C40" w:rsidRDefault="00000000">
      <w:pPr>
        <w:pStyle w:val="Zkladntext1"/>
        <w:framePr w:w="10186" w:h="13507" w:hRule="exact" w:wrap="none" w:vAnchor="page" w:hAnchor="page" w:x="1213" w:y="1940"/>
        <w:numPr>
          <w:ilvl w:val="2"/>
          <w:numId w:val="3"/>
        </w:numPr>
        <w:tabs>
          <w:tab w:val="left" w:pos="1374"/>
        </w:tabs>
        <w:ind w:left="1380" w:hanging="740"/>
        <w:jc w:val="both"/>
      </w:pPr>
      <w:r>
        <w:t>Pokud Investor doručí Oznámení Investora před podáním žádosti o Povolení záměru, postupují Smluvní strany dle čl. 16.4 této Smlouvy. SMP je oprávněno požadovat ukončení Výpůjčky v souladu s úpravou sjednanou v rámci Smlouvy o výpůjčce. Směna 1 realizovaná na základě Směnné smlouvy je však zánikem této Smlouvy nedotčena. Směna 2 se řídí ustanoveními Smlouvy o smlouvě budoucí směnné;</w:t>
      </w:r>
    </w:p>
    <w:p w14:paraId="1EB849AB" w14:textId="77777777" w:rsidR="00EC1C40" w:rsidRDefault="00000000">
      <w:pPr>
        <w:pStyle w:val="Zkladntext1"/>
        <w:framePr w:w="10186" w:h="13507" w:hRule="exact" w:wrap="none" w:vAnchor="page" w:hAnchor="page" w:x="1213" w:y="1940"/>
        <w:numPr>
          <w:ilvl w:val="2"/>
          <w:numId w:val="3"/>
        </w:numPr>
        <w:tabs>
          <w:tab w:val="left" w:pos="1374"/>
        </w:tabs>
        <w:ind w:left="1380" w:hanging="740"/>
        <w:jc w:val="both"/>
      </w:pPr>
      <w:r>
        <w:t>Pokud Investor doručí Oznámení Investora po podání žádosti o Povolení záměru, avšak před vydáním pravomocného Povolení záměru, je Investor povinen nad rámec povinností dle čl. 15.1.1 Smlouvy vzít bezodkladně zpět svoji žádost o Povolení záměru a všechny další podané žádosti o veřejnoprávní povolení týkající se Investičního záměru, o nichž nebylo dosud pravomocně rozhodnuto;</w:t>
      </w:r>
    </w:p>
    <w:p w14:paraId="1EEEEF9A" w14:textId="77777777" w:rsidR="00EC1C40" w:rsidRDefault="00000000">
      <w:pPr>
        <w:pStyle w:val="Zkladntext1"/>
        <w:framePr w:w="10186" w:h="13507" w:hRule="exact" w:wrap="none" w:vAnchor="page" w:hAnchor="page" w:x="1213" w:y="1940"/>
        <w:numPr>
          <w:ilvl w:val="2"/>
          <w:numId w:val="3"/>
        </w:numPr>
        <w:tabs>
          <w:tab w:val="left" w:pos="1374"/>
        </w:tabs>
        <w:ind w:left="1380" w:hanging="740"/>
        <w:jc w:val="both"/>
      </w:pPr>
      <w:r>
        <w:t>Pokud Investor doručí Oznámení Investora po nabytí právní moci Povolení záměru, avšak před zahájením realizace Investičního záměru, je nad rámec svých povinností dle čl. 15.1.1 Smlouvy povinen doručit stavebnímu úřadu oznámení o tom, že od provedení svého záměru upouští ve smyslu § 198 odst. 2 Stavebního zákona, bude-li to přípustné dle příslušných právních předpisů;</w:t>
      </w:r>
    </w:p>
    <w:p w14:paraId="4F6AAF8D" w14:textId="77777777" w:rsidR="00EC1C40" w:rsidRDefault="00000000">
      <w:pPr>
        <w:pStyle w:val="Zkladntext1"/>
        <w:framePr w:w="10186" w:h="13507" w:hRule="exact" w:wrap="none" w:vAnchor="page" w:hAnchor="page" w:x="1213" w:y="1940"/>
        <w:numPr>
          <w:ilvl w:val="2"/>
          <w:numId w:val="3"/>
        </w:numPr>
        <w:tabs>
          <w:tab w:val="left" w:pos="1374"/>
        </w:tabs>
        <w:spacing w:after="0" w:line="233" w:lineRule="auto"/>
        <w:ind w:left="1380" w:hanging="740"/>
        <w:jc w:val="both"/>
      </w:pPr>
      <w:r>
        <w:t>Pokud Investor bude mít v úmyslu po právní moci Povolení záměru a po Zahájení realizace Investičního záměru upustit od jeho realizace, musí před tím vyzvat SMP k</w:t>
      </w:r>
    </w:p>
    <w:p w14:paraId="4ADD8E70" w14:textId="77777777" w:rsidR="00EC1C40" w:rsidRDefault="00000000">
      <w:pPr>
        <w:pStyle w:val="Zhlavnebozpat0"/>
        <w:framePr w:wrap="none" w:vAnchor="page" w:hAnchor="page" w:x="5538" w:y="16085"/>
        <w:rPr>
          <w:sz w:val="22"/>
          <w:szCs w:val="22"/>
        </w:rPr>
      </w:pPr>
      <w:r>
        <w:rPr>
          <w:color w:val="231E20"/>
          <w:sz w:val="22"/>
          <w:szCs w:val="22"/>
        </w:rPr>
        <w:t>44/63</w:t>
      </w:r>
    </w:p>
    <w:p w14:paraId="30AE2CD7"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24FAF8E4" w14:textId="77777777" w:rsidR="00EC1C40" w:rsidRDefault="00000000">
      <w:pPr>
        <w:spacing w:line="1" w:lineRule="exact"/>
      </w:pPr>
      <w:r>
        <w:rPr>
          <w:noProof/>
        </w:rPr>
        <w:lastRenderedPageBreak/>
        <mc:AlternateContent>
          <mc:Choice Requires="wps">
            <w:drawing>
              <wp:anchor distT="0" distB="0" distL="114300" distR="114300" simplePos="0" relativeHeight="251628032" behindDoc="1" locked="0" layoutInCell="1" allowOverlap="1" wp14:anchorId="784068DA" wp14:editId="5A0360E4">
                <wp:simplePos x="0" y="0"/>
                <wp:positionH relativeFrom="page">
                  <wp:posOffset>879475</wp:posOffset>
                </wp:positionH>
                <wp:positionV relativeFrom="page">
                  <wp:posOffset>932180</wp:posOffset>
                </wp:positionV>
                <wp:extent cx="5702935" cy="0"/>
                <wp:effectExtent l="0" t="0" r="0" b="0"/>
                <wp:wrapNone/>
                <wp:docPr id="44" name="Shape 44"/>
                <wp:cNvGraphicFramePr/>
                <a:graphic xmlns:a="http://schemas.openxmlformats.org/drawingml/2006/main">
                  <a:graphicData uri="http://schemas.microsoft.com/office/word/2010/wordprocessingShape">
                    <wps:wsp>
                      <wps:cNvCnPr/>
                      <wps:spPr>
                        <a:xfrm>
                          <a:off x="0" y="0"/>
                          <a:ext cx="5702935" cy="0"/>
                        </a:xfrm>
                        <a:prstGeom prst="straightConnector1">
                          <a:avLst/>
                        </a:prstGeom>
                        <a:ln w="6350">
                          <a:solidFill/>
                        </a:ln>
                      </wps:spPr>
                      <wps:bodyPr/>
                    </wps:wsp>
                  </a:graphicData>
                </a:graphic>
              </wp:anchor>
            </w:drawing>
          </mc:Choice>
          <mc:Fallback>
            <w:pict>
              <v:shape o:spt="32" o:oned="true" path="m,l21600,21600e" style="position:absolute;margin-left:69.25pt;margin-top:73.400000000000006pt;width:449.05000000000001pt;height:0;z-index:-251658240;mso-position-horizontal-relative:page;mso-position-vertical-relative:page">
                <v:stroke weight="0.5pt"/>
              </v:shape>
            </w:pict>
          </mc:Fallback>
        </mc:AlternateContent>
      </w:r>
    </w:p>
    <w:p w14:paraId="4B2B12ED" w14:textId="77777777" w:rsidR="00EC1C40" w:rsidRDefault="00000000">
      <w:pPr>
        <w:pStyle w:val="Zhlavnebozpat0"/>
        <w:framePr w:wrap="none" w:vAnchor="page" w:hAnchor="page" w:x="5192" w:y="1186"/>
      </w:pPr>
      <w:r>
        <w:t>Plánovací smlouva</w:t>
      </w:r>
    </w:p>
    <w:p w14:paraId="4E81EE9B" w14:textId="77777777" w:rsidR="00EC1C40" w:rsidRDefault="00000000">
      <w:pPr>
        <w:pStyle w:val="Zkladntext1"/>
        <w:framePr w:w="10186" w:h="13565" w:hRule="exact" w:wrap="none" w:vAnchor="page" w:hAnchor="page" w:x="1213" w:y="1940"/>
        <w:spacing w:after="120"/>
        <w:ind w:left="1380" w:firstLine="20"/>
        <w:jc w:val="both"/>
      </w:pPr>
      <w:r>
        <w:t>jednání o možnosti řešení dané situace; čl. 16.4.8 této Smlouvy se použijí v tomto případě obdobně;</w:t>
      </w:r>
    </w:p>
    <w:p w14:paraId="69AB8859" w14:textId="77777777" w:rsidR="00EC1C40" w:rsidRDefault="00000000">
      <w:pPr>
        <w:pStyle w:val="Zkladntext1"/>
        <w:framePr w:w="10186" w:h="13565" w:hRule="exact" w:wrap="none" w:vAnchor="page" w:hAnchor="page" w:x="1213" w:y="1940"/>
        <w:numPr>
          <w:ilvl w:val="2"/>
          <w:numId w:val="3"/>
        </w:numPr>
        <w:tabs>
          <w:tab w:val="left" w:pos="1369"/>
        </w:tabs>
        <w:spacing w:after="120"/>
        <w:ind w:left="1360" w:hanging="720"/>
        <w:jc w:val="both"/>
      </w:pPr>
      <w:r>
        <w:t>Na vypořádání veřejné infrastruktury použijí Smluvní strany pravidla uvedená v čl. 16.4.4 této Smlouvy; a</w:t>
      </w:r>
    </w:p>
    <w:p w14:paraId="749AA894" w14:textId="77777777" w:rsidR="00EC1C40" w:rsidRDefault="00000000">
      <w:pPr>
        <w:pStyle w:val="Zkladntext1"/>
        <w:framePr w:w="10186" w:h="13565" w:hRule="exact" w:wrap="none" w:vAnchor="page" w:hAnchor="page" w:x="1213" w:y="1940"/>
        <w:numPr>
          <w:ilvl w:val="2"/>
          <w:numId w:val="3"/>
        </w:numPr>
        <w:tabs>
          <w:tab w:val="left" w:pos="1369"/>
        </w:tabs>
        <w:spacing w:after="120"/>
        <w:ind w:left="1360" w:hanging="720"/>
        <w:jc w:val="both"/>
      </w:pPr>
      <w:r>
        <w:t>Pokud Investor na Pozemcích realizoval ke dni doručení Oznámení Investora SMP i jiné záměry, než je Investiční záměr, aniž by získal k takovému záměru předchozí souhlas SMP, je povinen za každý m</w:t>
      </w:r>
      <w:r>
        <w:rPr>
          <w:vertAlign w:val="superscript"/>
        </w:rPr>
        <w:t>2</w:t>
      </w:r>
      <w:r>
        <w:t xml:space="preserve"> HPP takového objektu uhradit SMP investiční příspěvek stanovený postupem dle Zásad platných ke dni dokončení takového záměru; výše HPP se pro tyto účely určí z dokumentace skutečného provedení stavby; to neplatí, pokud takový objekt (respektive HPP takového objektu) dle Zásad nepodléhá zpoplatnění. Tato povinnost se neuplatní, pokud se Smluvní strany v rámci jednání dle tohoto čl. 15.1.4 dohodnou jinak. Úhrada částky dle tohoto odstavce je splatná do šedesáti (60) dnů od doručení písemné výzvy SMP a dokončení takovýchto objektů.</w:t>
      </w:r>
    </w:p>
    <w:p w14:paraId="6C422555" w14:textId="77777777" w:rsidR="00EC1C40" w:rsidRDefault="00000000">
      <w:pPr>
        <w:pStyle w:val="Zkladntext1"/>
        <w:framePr w:w="10186" w:h="13565" w:hRule="exact" w:wrap="none" w:vAnchor="page" w:hAnchor="page" w:x="1213" w:y="1940"/>
        <w:numPr>
          <w:ilvl w:val="1"/>
          <w:numId w:val="3"/>
        </w:numPr>
        <w:tabs>
          <w:tab w:val="left" w:pos="560"/>
        </w:tabs>
        <w:spacing w:after="120"/>
        <w:ind w:left="640" w:hanging="640"/>
        <w:jc w:val="both"/>
      </w:pPr>
      <w:r>
        <w:t>Investor nemá právo upustit od Investičního záměru co do jeho části (čímž není dotčeno právo Investora záměr měnit při dodržení a v mezích Základních parametrů, ani realizace Nepeněžního plnění). Bude-li mít Investor zájem upustit od části Investičního záměru, vyzve za tímto účelem SMP písemně k zahájení jednání a svůj úmysl podrobně odůvodnění a doloží jej přiměřenými podklady. Smluvní strany v takovém případě vstoupí v dobré víře bez zbytečného odkladu do jednání o úpravě vzájemných práv a povinností, včetně přiměřené úpravy výše Investičního příspěvku a rozsahu Nepeněžního plnění.</w:t>
      </w:r>
    </w:p>
    <w:p w14:paraId="409F198D" w14:textId="77777777" w:rsidR="00EC1C40" w:rsidRDefault="00000000">
      <w:pPr>
        <w:pStyle w:val="Zkladntext1"/>
        <w:framePr w:w="10186" w:h="13565" w:hRule="exact" w:wrap="none" w:vAnchor="page" w:hAnchor="page" w:x="1213" w:y="1940"/>
        <w:numPr>
          <w:ilvl w:val="1"/>
          <w:numId w:val="3"/>
        </w:numPr>
        <w:tabs>
          <w:tab w:val="left" w:pos="560"/>
        </w:tabs>
        <w:spacing w:after="120"/>
        <w:ind w:left="640" w:hanging="640"/>
        <w:jc w:val="both"/>
      </w:pPr>
      <w:r>
        <w:t>Smluvní strany se mohou stran vypořádání dle tohoto čl. 15 dohodnout jinak (a to zejména s ohledem na efektivní řešení stavu, který nastane při vypořádání).</w:t>
      </w:r>
    </w:p>
    <w:p w14:paraId="32A410D0" w14:textId="77777777" w:rsidR="00EC1C40" w:rsidRDefault="00000000">
      <w:pPr>
        <w:pStyle w:val="Nadpis60"/>
        <w:framePr w:w="10186" w:h="13565" w:hRule="exact" w:wrap="none" w:vAnchor="page" w:hAnchor="page" w:x="1213" w:y="1940"/>
        <w:numPr>
          <w:ilvl w:val="0"/>
          <w:numId w:val="3"/>
        </w:numPr>
        <w:tabs>
          <w:tab w:val="left" w:pos="560"/>
        </w:tabs>
        <w:spacing w:after="120"/>
      </w:pPr>
      <w:bookmarkStart w:id="15" w:name="bookmark30"/>
      <w:r>
        <w:t>Ukončení Smlouvy výpovědí</w:t>
      </w:r>
      <w:bookmarkEnd w:id="15"/>
    </w:p>
    <w:p w14:paraId="5B25C631" w14:textId="77777777" w:rsidR="00EC1C40" w:rsidRDefault="00000000">
      <w:pPr>
        <w:pStyle w:val="Zkladntext1"/>
        <w:framePr w:w="10186" w:h="13565" w:hRule="exact" w:wrap="none" w:vAnchor="page" w:hAnchor="page" w:x="1213" w:y="1940"/>
        <w:numPr>
          <w:ilvl w:val="1"/>
          <w:numId w:val="3"/>
        </w:numPr>
        <w:tabs>
          <w:tab w:val="left" w:pos="560"/>
        </w:tabs>
        <w:spacing w:after="120"/>
        <w:ind w:left="640" w:hanging="640"/>
        <w:jc w:val="both"/>
      </w:pPr>
      <w:r>
        <w:t>Smluvní strany shodně prohlašují, že k uzavření této Smlouvy přistupují s úmyslem vytvořit co nejstabilnější uspořádání svých vzájemných vztahů, přičemž vzhledem ke:</w:t>
      </w:r>
    </w:p>
    <w:p w14:paraId="53311C58" w14:textId="77777777" w:rsidR="00EC1C40" w:rsidRDefault="00000000">
      <w:pPr>
        <w:pStyle w:val="Zkladntext1"/>
        <w:framePr w:w="10186" w:h="13565" w:hRule="exact" w:wrap="none" w:vAnchor="page" w:hAnchor="page" w:x="1213" w:y="1940"/>
        <w:numPr>
          <w:ilvl w:val="2"/>
          <w:numId w:val="3"/>
        </w:numPr>
        <w:tabs>
          <w:tab w:val="left" w:pos="1369"/>
        </w:tabs>
        <w:spacing w:after="120"/>
        <w:ind w:firstLine="640"/>
      </w:pPr>
      <w:r>
        <w:t>složitosti právních vztahů zakládaných touto Smlouvou;</w:t>
      </w:r>
    </w:p>
    <w:p w14:paraId="1E192DF1" w14:textId="77777777" w:rsidR="00EC1C40" w:rsidRDefault="00000000">
      <w:pPr>
        <w:pStyle w:val="Zkladntext1"/>
        <w:framePr w:w="10186" w:h="13565" w:hRule="exact" w:wrap="none" w:vAnchor="page" w:hAnchor="page" w:x="1213" w:y="1940"/>
        <w:numPr>
          <w:ilvl w:val="2"/>
          <w:numId w:val="3"/>
        </w:numPr>
        <w:tabs>
          <w:tab w:val="left" w:pos="1369"/>
        </w:tabs>
        <w:spacing w:after="120"/>
        <w:ind w:left="1360" w:hanging="720"/>
        <w:jc w:val="both"/>
      </w:pPr>
      <w:r>
        <w:t>nezbytnosti nalezení stabilních právních titulů pro umístění a realizaci Investičního záměru;</w:t>
      </w:r>
    </w:p>
    <w:p w14:paraId="47044573" w14:textId="77777777" w:rsidR="00EC1C40" w:rsidRDefault="00000000">
      <w:pPr>
        <w:pStyle w:val="Zkladntext1"/>
        <w:framePr w:w="10186" w:h="13565" w:hRule="exact" w:wrap="none" w:vAnchor="page" w:hAnchor="page" w:x="1213" w:y="1940"/>
        <w:numPr>
          <w:ilvl w:val="2"/>
          <w:numId w:val="3"/>
        </w:numPr>
        <w:tabs>
          <w:tab w:val="left" w:pos="1369"/>
        </w:tabs>
        <w:spacing w:after="120" w:line="233" w:lineRule="auto"/>
        <w:ind w:left="1360" w:hanging="720"/>
        <w:jc w:val="both"/>
      </w:pPr>
      <w:r>
        <w:t>vzhledem ke sjednaným mechanismům a důsledkům porušení jednotlivých práv a povinností z této Smlouvy vyplývajících pro jednotlivé Smluvní strany;</w:t>
      </w:r>
    </w:p>
    <w:p w14:paraId="09E930E3" w14:textId="77777777" w:rsidR="00EC1C40" w:rsidRDefault="00000000">
      <w:pPr>
        <w:pStyle w:val="Zkladntext1"/>
        <w:framePr w:w="10186" w:h="13565" w:hRule="exact" w:wrap="none" w:vAnchor="page" w:hAnchor="page" w:x="1213" w:y="1940"/>
        <w:spacing w:after="0"/>
        <w:ind w:left="1200"/>
        <w:jc w:val="both"/>
      </w:pPr>
      <w:r>
        <w:t xml:space="preserve">je pro Smluvní strany esenciálně důležité, aby tato Smlouva trvala po celou dobu jejího smluvně stanoveného trvání a aby nezanikla žádným jiným způsobem, než jaký výslovně stanoví tato Smlouva či které stanoví kogentní ustanovení právních předpisů (včetně </w:t>
      </w:r>
      <w:proofErr w:type="spellStart"/>
      <w:r>
        <w:t>ust</w:t>
      </w:r>
      <w:proofErr w:type="spellEnd"/>
      <w:r>
        <w:t>. § 165 až § 167 Správního řádu o možném přezkoumání, výpovědi či zrušení veřejnoprávní smlouvy), tj. (i) výslovně si přejí jakákoli porušení jednotlivých práv a povinností jednotlivých Smluvních stran z této Smlouvy vyplývajících řešit právě a pouze způsoby, které tato Smlouva výslovně uvádí, a (</w:t>
      </w:r>
      <w:proofErr w:type="spellStart"/>
      <w:r>
        <w:t>ii</w:t>
      </w:r>
      <w:proofErr w:type="spellEnd"/>
      <w:r>
        <w:t>) v maximální možné míře přípustné dle právních předpisů eliminovat a vyloučit jakákoli práva Smluvních stran od této Smlouvy odstoupit, vypovědět ji a/nebo ji jiným způsobem ukončit, či žádat o její ukončení soudem a/nebo jiným orgánem veřejné moci, pročež tímto vylučují použití všech dispozitivních ustanovení právních předpisů, která by jinak mohla založit právo kterékoli ze Smluvních stran odstoupit od této Smlouvy, a to zejména, nikoli však výlučně, následujících ustanovení právních předpisů: § 1977, § 1978, § 1979, § 1980, § 1999 odst. 1, § 2000 odst. 1, § 2002 a § 2003 Občanského zákoníku. V případě zrušení této Smlouvy nebo její části podle Správního řádu se použije čl. 20 této Smlouvy o oddělitelnosti ustanovení a postupu Smluvních stran.</w:t>
      </w:r>
    </w:p>
    <w:p w14:paraId="52051B5A" w14:textId="77777777" w:rsidR="00EC1C40" w:rsidRDefault="00000000">
      <w:pPr>
        <w:pStyle w:val="Zhlavnebozpat0"/>
        <w:framePr w:wrap="none" w:vAnchor="page" w:hAnchor="page" w:x="5538" w:y="16085"/>
        <w:rPr>
          <w:sz w:val="22"/>
          <w:szCs w:val="22"/>
        </w:rPr>
      </w:pPr>
      <w:r>
        <w:rPr>
          <w:color w:val="231E20"/>
          <w:sz w:val="22"/>
          <w:szCs w:val="22"/>
        </w:rPr>
        <w:t>45/63</w:t>
      </w:r>
    </w:p>
    <w:p w14:paraId="28F72FF3"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2DF75877" w14:textId="77777777" w:rsidR="00EC1C40" w:rsidRDefault="00000000">
      <w:pPr>
        <w:spacing w:line="1" w:lineRule="exact"/>
      </w:pPr>
      <w:r>
        <w:rPr>
          <w:noProof/>
        </w:rPr>
        <w:lastRenderedPageBreak/>
        <mc:AlternateContent>
          <mc:Choice Requires="wps">
            <w:drawing>
              <wp:anchor distT="0" distB="0" distL="114300" distR="114300" simplePos="0" relativeHeight="251629056" behindDoc="1" locked="0" layoutInCell="1" allowOverlap="1" wp14:anchorId="4EA8E1AB" wp14:editId="3FE64AF7">
                <wp:simplePos x="0" y="0"/>
                <wp:positionH relativeFrom="page">
                  <wp:posOffset>879475</wp:posOffset>
                </wp:positionH>
                <wp:positionV relativeFrom="page">
                  <wp:posOffset>932180</wp:posOffset>
                </wp:positionV>
                <wp:extent cx="5702935" cy="0"/>
                <wp:effectExtent l="0" t="0" r="0" b="0"/>
                <wp:wrapNone/>
                <wp:docPr id="45" name="Shape 45"/>
                <wp:cNvGraphicFramePr/>
                <a:graphic xmlns:a="http://schemas.openxmlformats.org/drawingml/2006/main">
                  <a:graphicData uri="http://schemas.microsoft.com/office/word/2010/wordprocessingShape">
                    <wps:wsp>
                      <wps:cNvCnPr/>
                      <wps:spPr>
                        <a:xfrm>
                          <a:off x="0" y="0"/>
                          <a:ext cx="5702935" cy="0"/>
                        </a:xfrm>
                        <a:prstGeom prst="straightConnector1">
                          <a:avLst/>
                        </a:prstGeom>
                        <a:ln w="6350">
                          <a:solidFill/>
                        </a:ln>
                      </wps:spPr>
                      <wps:bodyPr/>
                    </wps:wsp>
                  </a:graphicData>
                </a:graphic>
              </wp:anchor>
            </w:drawing>
          </mc:Choice>
          <mc:Fallback>
            <w:pict>
              <v:shape o:spt="32" o:oned="true" path="m,l21600,21600e" style="position:absolute;margin-left:69.25pt;margin-top:73.400000000000006pt;width:449.05000000000001pt;height:0;z-index:-251658240;mso-position-horizontal-relative:page;mso-position-vertical-relative:page">
                <v:stroke weight="0.5pt"/>
              </v:shape>
            </w:pict>
          </mc:Fallback>
        </mc:AlternateContent>
      </w:r>
    </w:p>
    <w:p w14:paraId="0509A93F" w14:textId="77777777" w:rsidR="00EC1C40" w:rsidRDefault="00000000">
      <w:pPr>
        <w:pStyle w:val="Zhlavnebozpat0"/>
        <w:framePr w:wrap="none" w:vAnchor="page" w:hAnchor="page" w:x="5192" w:y="1186"/>
      </w:pPr>
      <w:r>
        <w:t>Plánovací smlouva</w:t>
      </w:r>
    </w:p>
    <w:p w14:paraId="5EAE8B75" w14:textId="77777777" w:rsidR="00EC1C40" w:rsidRDefault="00000000">
      <w:pPr>
        <w:pStyle w:val="Zkladntext1"/>
        <w:framePr w:w="10186" w:h="13296" w:hRule="exact" w:wrap="none" w:vAnchor="page" w:hAnchor="page" w:x="1213" w:y="1940"/>
        <w:numPr>
          <w:ilvl w:val="1"/>
          <w:numId w:val="3"/>
        </w:numPr>
        <w:tabs>
          <w:tab w:val="left" w:pos="557"/>
        </w:tabs>
      </w:pPr>
      <w:r>
        <w:t>SMP může tuto Smlouvu vypovědět výhradně v případě, kdy:</w:t>
      </w:r>
    </w:p>
    <w:p w14:paraId="692902D5" w14:textId="77777777" w:rsidR="00EC1C40" w:rsidRDefault="00000000">
      <w:pPr>
        <w:pStyle w:val="Zkladntext1"/>
        <w:framePr w:w="10186" w:h="13296" w:hRule="exact" w:wrap="none" w:vAnchor="page" w:hAnchor="page" w:x="1213" w:y="1940"/>
        <w:numPr>
          <w:ilvl w:val="2"/>
          <w:numId w:val="3"/>
        </w:numPr>
        <w:tabs>
          <w:tab w:val="left" w:pos="1356"/>
        </w:tabs>
        <w:ind w:left="1380" w:hanging="740"/>
        <w:jc w:val="both"/>
      </w:pPr>
      <w:r>
        <w:t>je SMP doručeno Oznámení Investora;</w:t>
      </w:r>
    </w:p>
    <w:p w14:paraId="655EA4D4" w14:textId="77777777" w:rsidR="00EC1C40" w:rsidRDefault="00000000">
      <w:pPr>
        <w:pStyle w:val="Zkladntext1"/>
        <w:framePr w:w="10186" w:h="13296" w:hRule="exact" w:wrap="none" w:vAnchor="page" w:hAnchor="page" w:x="1213" w:y="1940"/>
        <w:numPr>
          <w:ilvl w:val="2"/>
          <w:numId w:val="3"/>
        </w:numPr>
        <w:tabs>
          <w:tab w:val="left" w:pos="1356"/>
        </w:tabs>
        <w:ind w:left="1380" w:hanging="740"/>
        <w:jc w:val="both"/>
      </w:pPr>
      <w:r>
        <w:t>Investor podstatně poruší tuto Smlouvu, přičemž za podstatné porušení se považuje výhradně: (i) porušení povinnosti dodržet Základní parametry dle čl. 3 této Smlouvy; (</w:t>
      </w:r>
      <w:proofErr w:type="spellStart"/>
      <w:r>
        <w:t>ii</w:t>
      </w:r>
      <w:proofErr w:type="spellEnd"/>
      <w:r>
        <w:t>) nedodržení Závazných milníků přípravy a realizace Investičního záměru stanovených v čl. 2.5 této Smlouvy (případně prodloužených v souladu s touto Smlouvou) a/nebo (</w:t>
      </w:r>
      <w:proofErr w:type="spellStart"/>
      <w:r>
        <w:t>iii</w:t>
      </w:r>
      <w:proofErr w:type="spellEnd"/>
      <w:r>
        <w:t>) porušení závazku Investora v čl. 10.8 této Smlouvy;</w:t>
      </w:r>
    </w:p>
    <w:p w14:paraId="7AE65817" w14:textId="77777777" w:rsidR="00EC1C40" w:rsidRDefault="00000000">
      <w:pPr>
        <w:pStyle w:val="Zkladntext1"/>
        <w:framePr w:w="10186" w:h="13296" w:hRule="exact" w:wrap="none" w:vAnchor="page" w:hAnchor="page" w:x="1213" w:y="1940"/>
        <w:numPr>
          <w:ilvl w:val="2"/>
          <w:numId w:val="3"/>
        </w:numPr>
        <w:tabs>
          <w:tab w:val="left" w:pos="1356"/>
        </w:tabs>
        <w:ind w:left="1380" w:hanging="740"/>
        <w:jc w:val="both"/>
      </w:pPr>
      <w:r>
        <w:t>SMP vznikne právo odstoupit od Dohody o úpravě vztahů, a to z důvodu porušení Dohody o úpravě vztahů ze strany Investora a toto právo na odstoupení SMP uplatní;</w:t>
      </w:r>
    </w:p>
    <w:p w14:paraId="71CE6CF4" w14:textId="77777777" w:rsidR="00EC1C40" w:rsidRDefault="00000000">
      <w:pPr>
        <w:pStyle w:val="Zkladntext1"/>
        <w:framePr w:w="10186" w:h="13296" w:hRule="exact" w:wrap="none" w:vAnchor="page" w:hAnchor="page" w:x="1213" w:y="1940"/>
        <w:ind w:left="640"/>
        <w:jc w:val="both"/>
      </w:pPr>
      <w:r>
        <w:t>a to (vyjma případu uvedeném v čl. 16.2.1 této Smlouvy) pokud není dosaženo nápravy příslušného porušení Smlouvy ani do deseti (10) měsíců od doručení výzvy k nápravě ze strany SMP Investorovi. Tuto výzvu k nápravě je SMP oprávněno zaslat Investorovi nejdříve 1. dnem porušení příslušné smluvní povinnosti, přičemž v ní SMP adekvátním způsobem specifikuje porušení Smlouvy, k jehož nápravě vyzývá. Zjednáním nápravy v případě porušení Základních parametrů se rozumí např. (i) úprava Investičního záměru do takové podoby, která je v souladu s touto Smlouvou nebo udělení dodatečného souhlasu SMP, a zjednáním nápravy v případě nedodržení Závazných milníků se rozumí např. a) ukončení prodlení s plněním daného Závazného milníku (tj. splnění daného Milníku, byť později, než je ve Smlouvě předpokládáno) nebo b) udělení dodatečného souhlasu SMP s plněním Závazného milníku (např. i uzavřením dodatku k této Smlouvě, kterým se posune termín daného Závazného milníku).</w:t>
      </w:r>
    </w:p>
    <w:p w14:paraId="1736BD8F" w14:textId="77777777" w:rsidR="00EC1C40" w:rsidRDefault="00000000">
      <w:pPr>
        <w:pStyle w:val="Zkladntext1"/>
        <w:framePr w:w="10186" w:h="13296" w:hRule="exact" w:wrap="none" w:vAnchor="page" w:hAnchor="page" w:x="1213" w:y="1940"/>
        <w:numPr>
          <w:ilvl w:val="1"/>
          <w:numId w:val="3"/>
        </w:numPr>
        <w:tabs>
          <w:tab w:val="left" w:pos="557"/>
        </w:tabs>
      </w:pPr>
      <w:r>
        <w:t>Investor může tuto Smlouvu vypovědět výhradně v případě, kdy:</w:t>
      </w:r>
    </w:p>
    <w:p w14:paraId="2A12E69A" w14:textId="77777777" w:rsidR="00EC1C40" w:rsidRDefault="00000000">
      <w:pPr>
        <w:pStyle w:val="Zkladntext1"/>
        <w:framePr w:w="10186" w:h="13296" w:hRule="exact" w:wrap="none" w:vAnchor="page" w:hAnchor="page" w:x="1213" w:y="1940"/>
        <w:numPr>
          <w:ilvl w:val="2"/>
          <w:numId w:val="3"/>
        </w:numPr>
        <w:tabs>
          <w:tab w:val="left" w:pos="1356"/>
        </w:tabs>
        <w:ind w:left="1380" w:hanging="740"/>
        <w:jc w:val="both"/>
      </w:pPr>
      <w:r>
        <w:t>je SMP doručeno současně Oznámení Investora;</w:t>
      </w:r>
    </w:p>
    <w:p w14:paraId="322558A5" w14:textId="77777777" w:rsidR="00EC1C40" w:rsidRDefault="00000000">
      <w:pPr>
        <w:pStyle w:val="Zkladntext1"/>
        <w:framePr w:w="10186" w:h="13296" w:hRule="exact" w:wrap="none" w:vAnchor="page" w:hAnchor="page" w:x="1213" w:y="1940"/>
        <w:numPr>
          <w:ilvl w:val="2"/>
          <w:numId w:val="3"/>
        </w:numPr>
        <w:tabs>
          <w:tab w:val="left" w:pos="1356"/>
        </w:tabs>
        <w:ind w:left="1380" w:hanging="740"/>
        <w:jc w:val="both"/>
      </w:pPr>
      <w:r>
        <w:t>SMP podstatně poruší tuto Smlouvu, přičemž za podstatné porušení se považuje výhradně: (i) porušení povinnosti SMP poskytnout součinnost dle čl. 7.4 až čl. 7.6 a čl. 7.8 této Smlouvy, (</w:t>
      </w:r>
      <w:proofErr w:type="spellStart"/>
      <w:r>
        <w:t>ii</w:t>
      </w:r>
      <w:proofErr w:type="spellEnd"/>
      <w:r>
        <w:t>) porušení kterékoli jiné povinnosti SMP k součinnosti obsažené v ostatních ustanoveních čl. 7 této Smlouvy (než která je uvedena pod bodem (i)), pokud toto porušení brání či stěžuje nikoli jen nepodstatným způsobem realizaci Investičního záměru, (</w:t>
      </w:r>
      <w:proofErr w:type="spellStart"/>
      <w:r>
        <w:t>iii</w:t>
      </w:r>
      <w:proofErr w:type="spellEnd"/>
      <w:r>
        <w:t>) porušení kterékoli z povinností SMP dle čl. 11.1 až 11.5 této Smlouvy; (</w:t>
      </w:r>
      <w:proofErr w:type="spellStart"/>
      <w:r>
        <w:t>iv</w:t>
      </w:r>
      <w:proofErr w:type="spellEnd"/>
      <w:r>
        <w:t>) zánik Směny 1 (Směnné smlouvy 1), Výpůjčky (Smlouvy o výpůjčce), Smlouvy o smlouvě budoucí směnné nebo Směny 2 (Směnné smlouvy 2) či zánik jiných právních titulů poskytnutých ze strany SMP a potřebných pro realizaci Investičního záměru, pokud se tak stalo z důvodů na straně SMP (tj. aniž by se jednalo o oprávněné ukončení takové smlouvy z důvodů stanovených v těchto smlouvách);</w:t>
      </w:r>
    </w:p>
    <w:p w14:paraId="5DC67C58" w14:textId="77777777" w:rsidR="00EC1C40" w:rsidRDefault="00000000">
      <w:pPr>
        <w:pStyle w:val="Zkladntext1"/>
        <w:framePr w:w="10186" w:h="13296" w:hRule="exact" w:wrap="none" w:vAnchor="page" w:hAnchor="page" w:x="1213" w:y="1940"/>
        <w:spacing w:after="240"/>
        <w:ind w:left="640"/>
        <w:jc w:val="both"/>
      </w:pPr>
      <w:r>
        <w:t>a to (vyjma případu uvedeném v čl. 16.3.1 této Smlouvy) pokud není dosaženo nápravy příslušného porušení Smlouvy ani do tří (3) měsíců od doručení výzvy k nápravě ze strany Investora SMP. Tuto výzvu k nápravě je Investor oprávněn zaslat SMP nejdříve 1. dnem porušení příslušné smluvní povinnosti.</w:t>
      </w:r>
    </w:p>
    <w:p w14:paraId="229D23F9" w14:textId="77777777" w:rsidR="00EC1C40" w:rsidRDefault="00000000">
      <w:pPr>
        <w:pStyle w:val="Zkladntext1"/>
        <w:framePr w:w="10186" w:h="13296" w:hRule="exact" w:wrap="none" w:vAnchor="page" w:hAnchor="page" w:x="1213" w:y="1940"/>
        <w:numPr>
          <w:ilvl w:val="2"/>
          <w:numId w:val="3"/>
        </w:numPr>
        <w:tabs>
          <w:tab w:val="left" w:pos="1356"/>
        </w:tabs>
        <w:spacing w:after="0"/>
        <w:ind w:left="1380" w:hanging="740"/>
        <w:jc w:val="both"/>
      </w:pPr>
      <w:r>
        <w:t>Povolení záměru a Změna Rozhodnutí o povolení Odstranění odpadů a znečištění (výslovně obě tato rozhodnutí) nenabydou právní moci, účinnosti a právních účinků (bez ohledu na to, z jakých důvodů), a to ani do 31.12.2028, nebo pokud budou tato rozhodnutí (kterékoli z nich) zrušena a či dojde k jejich zániku (bez ohledu na to, z jakých důvodů) a nové Povolení záměru a/nebo nové Rozhodnutí o povolení Odstranění odpadů a znečištění nebudou vydány a nenabydou právní moci, účinnosti a právních účinků ani do 31.12.2028 (bez ohledu na to, z jakých důvodů). V této souvislosti Smluvní strany sjednávají následující:</w:t>
      </w:r>
    </w:p>
    <w:p w14:paraId="0179BF6F" w14:textId="77777777" w:rsidR="00EC1C40" w:rsidRDefault="00000000">
      <w:pPr>
        <w:pStyle w:val="Zhlavnebozpat0"/>
        <w:framePr w:wrap="none" w:vAnchor="page" w:hAnchor="page" w:x="5538" w:y="16085"/>
        <w:rPr>
          <w:sz w:val="22"/>
          <w:szCs w:val="22"/>
        </w:rPr>
      </w:pPr>
      <w:r>
        <w:rPr>
          <w:color w:val="231E20"/>
          <w:sz w:val="22"/>
          <w:szCs w:val="22"/>
        </w:rPr>
        <w:t>46/63</w:t>
      </w:r>
    </w:p>
    <w:p w14:paraId="36B1ACBD"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593C96F7" w14:textId="77777777" w:rsidR="00EC1C40" w:rsidRDefault="00000000">
      <w:pPr>
        <w:spacing w:line="1" w:lineRule="exact"/>
      </w:pPr>
      <w:r>
        <w:rPr>
          <w:noProof/>
        </w:rPr>
        <w:lastRenderedPageBreak/>
        <mc:AlternateContent>
          <mc:Choice Requires="wps">
            <w:drawing>
              <wp:anchor distT="0" distB="0" distL="114300" distR="114300" simplePos="0" relativeHeight="251630080" behindDoc="1" locked="0" layoutInCell="1" allowOverlap="1" wp14:anchorId="00D6CA83" wp14:editId="4B23C2D4">
                <wp:simplePos x="0" y="0"/>
                <wp:positionH relativeFrom="page">
                  <wp:posOffset>879475</wp:posOffset>
                </wp:positionH>
                <wp:positionV relativeFrom="page">
                  <wp:posOffset>932180</wp:posOffset>
                </wp:positionV>
                <wp:extent cx="5702935" cy="0"/>
                <wp:effectExtent l="0" t="0" r="0" b="0"/>
                <wp:wrapNone/>
                <wp:docPr id="46" name="Shape 46"/>
                <wp:cNvGraphicFramePr/>
                <a:graphic xmlns:a="http://schemas.openxmlformats.org/drawingml/2006/main">
                  <a:graphicData uri="http://schemas.microsoft.com/office/word/2010/wordprocessingShape">
                    <wps:wsp>
                      <wps:cNvCnPr/>
                      <wps:spPr>
                        <a:xfrm>
                          <a:off x="0" y="0"/>
                          <a:ext cx="5702935" cy="0"/>
                        </a:xfrm>
                        <a:prstGeom prst="straightConnector1">
                          <a:avLst/>
                        </a:prstGeom>
                        <a:ln w="6350">
                          <a:solidFill/>
                        </a:ln>
                      </wps:spPr>
                      <wps:bodyPr/>
                    </wps:wsp>
                  </a:graphicData>
                </a:graphic>
              </wp:anchor>
            </w:drawing>
          </mc:Choice>
          <mc:Fallback>
            <w:pict>
              <v:shape o:spt="32" o:oned="true" path="m,l21600,21600e" style="position:absolute;margin-left:69.25pt;margin-top:73.400000000000006pt;width:449.05000000000001pt;height:0;z-index:-251658240;mso-position-horizontal-relative:page;mso-position-vertical-relative:page">
                <v:stroke weight="0.5pt"/>
              </v:shape>
            </w:pict>
          </mc:Fallback>
        </mc:AlternateContent>
      </w:r>
    </w:p>
    <w:p w14:paraId="047871E7" w14:textId="77777777" w:rsidR="00EC1C40" w:rsidRDefault="00000000">
      <w:pPr>
        <w:pStyle w:val="Zhlavnebozpat0"/>
        <w:framePr w:wrap="none" w:vAnchor="page" w:hAnchor="page" w:x="5192" w:y="1186"/>
      </w:pPr>
      <w:r>
        <w:t>Plánovací smlouva</w:t>
      </w:r>
    </w:p>
    <w:p w14:paraId="1BB65B2D" w14:textId="77777777" w:rsidR="00EC1C40" w:rsidRDefault="00000000">
      <w:pPr>
        <w:pStyle w:val="Zkladntext1"/>
        <w:framePr w:w="10186" w:h="13272" w:hRule="exact" w:wrap="none" w:vAnchor="page" w:hAnchor="page" w:x="1213" w:y="1940"/>
        <w:numPr>
          <w:ilvl w:val="3"/>
          <w:numId w:val="3"/>
        </w:numPr>
        <w:tabs>
          <w:tab w:val="left" w:pos="2269"/>
        </w:tabs>
        <w:spacing w:after="240"/>
        <w:ind w:left="2060" w:hanging="680"/>
        <w:jc w:val="both"/>
      </w:pPr>
      <w:r>
        <w:t>bez zbytečného odkladu poté, co bude splněn předpoklad pro výpověď této Smlouvy Investorem dle tohoto čl. 16.3.3 Smlouvy vstoupí Smluvní strany v dobré víře do vzájemných jednání za účelem projednání nastalé situace a nalezení dalšího efektivního postupu s tím, že pokud se Smluvní strany nedohodnou ve lhůtě šesti (6) měsíců od splnění předpokladu pro výpověď této Smlouvy Investorem dle čl. 16.3.3 Smlouvy na dodatku k této Smlouvě, je Investor teprve oprávněn uplatnit právo na výpověď Smlouvy dle tohoto čl. 16.3.3 Smlouvy;</w:t>
      </w:r>
    </w:p>
    <w:p w14:paraId="3DD47FED" w14:textId="77777777" w:rsidR="00EC1C40" w:rsidRDefault="00000000">
      <w:pPr>
        <w:pStyle w:val="Zkladntext1"/>
        <w:framePr w:w="10186" w:h="13272" w:hRule="exact" w:wrap="none" w:vAnchor="page" w:hAnchor="page" w:x="1213" w:y="1940"/>
        <w:numPr>
          <w:ilvl w:val="3"/>
          <w:numId w:val="3"/>
        </w:numPr>
        <w:tabs>
          <w:tab w:val="left" w:pos="2269"/>
        </w:tabs>
        <w:spacing w:after="240"/>
        <w:ind w:left="2060" w:hanging="680"/>
        <w:jc w:val="both"/>
      </w:pPr>
      <w:r>
        <w:t xml:space="preserve">Investor je oprávněn uplatnit právo na výpověď této Smlouvy dle čl. 16.3.3 Smlouvy pouze tehdy, pokud spolu s uplatněním tohoto práva na výpověď současně (i) odstoupí i od Dohody o úpravě vztahů, Smlouvy o smlouvě budoucí směnné, </w:t>
      </w:r>
      <w:proofErr w:type="spellStart"/>
      <w:r>
        <w:t>SoSB</w:t>
      </w:r>
      <w:proofErr w:type="spellEnd"/>
      <w:r>
        <w:t xml:space="preserve"> SMP Hůrka (včetně realizační kupní smlouvy uzavřené na základě </w:t>
      </w:r>
      <w:proofErr w:type="spellStart"/>
      <w:r>
        <w:t>SoSB</w:t>
      </w:r>
      <w:proofErr w:type="spellEnd"/>
      <w:r>
        <w:t xml:space="preserve"> SMP Hůrka, pokud již byla v mezidobí uzavřena), </w:t>
      </w:r>
      <w:proofErr w:type="spellStart"/>
      <w:r>
        <w:t>SoSB</w:t>
      </w:r>
      <w:proofErr w:type="spellEnd"/>
      <w:r>
        <w:t xml:space="preserve"> Nadace Hůrka (včetně realizační kupní smlouvy uzavřené na základě </w:t>
      </w:r>
      <w:proofErr w:type="spellStart"/>
      <w:r>
        <w:t>SoSB</w:t>
      </w:r>
      <w:proofErr w:type="spellEnd"/>
      <w:r>
        <w:t xml:space="preserve"> Nadace Hůrka, pokud již byla v mezidobí uzavřena) a (</w:t>
      </w:r>
      <w:proofErr w:type="spellStart"/>
      <w:r>
        <w:t>ii</w:t>
      </w:r>
      <w:proofErr w:type="spellEnd"/>
      <w:r>
        <w:t>) vypoví i Smlouvu o výpůjčce, Smlouvu o výpůjčce SMP Hůrka a Smlouvu o výpůjčce Nadace Hůrka.</w:t>
      </w:r>
    </w:p>
    <w:p w14:paraId="1C3C71E1" w14:textId="77777777" w:rsidR="00EC1C40" w:rsidRDefault="00000000">
      <w:pPr>
        <w:pStyle w:val="Zkladntext1"/>
        <w:framePr w:w="10186" w:h="13272" w:hRule="exact" w:wrap="none" w:vAnchor="page" w:hAnchor="page" w:x="1213" w:y="1940"/>
        <w:spacing w:after="240"/>
        <w:ind w:left="2060"/>
        <w:jc w:val="both"/>
      </w:pPr>
      <w:r>
        <w:t>Pro odstranění pochybností se výslovně sjednává, že Směna 1 a převod vlastnického práva na Investora na základě ní není uplatněním tohoto práva Investora nijak dotčena, přičemž toto ustanovení čl. 16.3.3 Smlouvy na ni nedopadá.</w:t>
      </w:r>
    </w:p>
    <w:p w14:paraId="55E982DA" w14:textId="77777777" w:rsidR="00EC1C40" w:rsidRDefault="00000000">
      <w:pPr>
        <w:pStyle w:val="Zkladntext1"/>
        <w:framePr w:w="10186" w:h="13272" w:hRule="exact" w:wrap="none" w:vAnchor="page" w:hAnchor="page" w:x="1213" w:y="1940"/>
        <w:spacing w:after="240"/>
        <w:ind w:left="2060"/>
        <w:jc w:val="both"/>
      </w:pPr>
      <w:r>
        <w:t>Pro odstranění pochybností se výslovně sjednává, že SMP není oprávněno ve vztahu k Investorovi v případě nastání skutečností dle tohoto čl. 16.3.3 Smlouvy uplatnit jakákoli práva či nároky. SMP nemá právo z tohoto důvodu ukončit tuto Smlouvu či jiné smlouvy a dohody.</w:t>
      </w:r>
    </w:p>
    <w:p w14:paraId="7A4DD549" w14:textId="77777777" w:rsidR="00EC1C40" w:rsidRDefault="00000000">
      <w:pPr>
        <w:pStyle w:val="Zkladntext1"/>
        <w:framePr w:w="10186" w:h="13272" w:hRule="exact" w:wrap="none" w:vAnchor="page" w:hAnchor="page" w:x="1213" w:y="1940"/>
        <w:numPr>
          <w:ilvl w:val="3"/>
          <w:numId w:val="3"/>
        </w:numPr>
        <w:tabs>
          <w:tab w:val="left" w:pos="2269"/>
        </w:tabs>
        <w:spacing w:after="120"/>
        <w:ind w:left="2060" w:hanging="680"/>
        <w:jc w:val="both"/>
      </w:pPr>
      <w:r>
        <w:t>Smluvní strany již přímo na základě této Smlouvy sjednávají právo Investora v případě vzniku práva Investora vypovědět tuto Smlouvu dle tohoto čl. 16.3.3 Smlouvy:</w:t>
      </w:r>
    </w:p>
    <w:p w14:paraId="16FC4789" w14:textId="77777777" w:rsidR="00EC1C40" w:rsidRDefault="00000000">
      <w:pPr>
        <w:pStyle w:val="Zkladntext1"/>
        <w:framePr w:w="10186" w:h="13272" w:hRule="exact" w:wrap="none" w:vAnchor="page" w:hAnchor="page" w:x="1213" w:y="1940"/>
        <w:numPr>
          <w:ilvl w:val="0"/>
          <w:numId w:val="4"/>
        </w:numPr>
        <w:tabs>
          <w:tab w:val="left" w:pos="2910"/>
        </w:tabs>
        <w:spacing w:after="120"/>
        <w:ind w:left="2900" w:hanging="840"/>
        <w:jc w:val="both"/>
      </w:pPr>
      <w:r>
        <w:t xml:space="preserve">odstoupit od Dohody o úpravě vztahů, Smlouvy o smlouvě budoucí směnné a </w:t>
      </w:r>
      <w:proofErr w:type="spellStart"/>
      <w:r>
        <w:t>SoSB</w:t>
      </w:r>
      <w:proofErr w:type="spellEnd"/>
      <w:r>
        <w:t xml:space="preserve"> SMP Hůrka (včetně realizační kupní smlouvy uzavřené na základě </w:t>
      </w:r>
      <w:proofErr w:type="spellStart"/>
      <w:r>
        <w:t>SoSB</w:t>
      </w:r>
      <w:proofErr w:type="spellEnd"/>
      <w:r>
        <w:t xml:space="preserve"> SMP Hůrka, pokud již byla v mezidobí uzavřena) a </w:t>
      </w:r>
      <w:proofErr w:type="spellStart"/>
      <w:r>
        <w:t>SoSB</w:t>
      </w:r>
      <w:proofErr w:type="spellEnd"/>
      <w:r>
        <w:t xml:space="preserve"> Nadace Hůrka (včetně realizační kupní smlouvy uzavřené na základě </w:t>
      </w:r>
      <w:proofErr w:type="spellStart"/>
      <w:r>
        <w:t>SoSB</w:t>
      </w:r>
      <w:proofErr w:type="spellEnd"/>
      <w:r>
        <w:t xml:space="preserve"> Nadace Hůrka, pokud již byla v mezidobí uzavřena) (to platí bez ohledu na to, zda je tento důvod pro odstoupení v těchto smlouvách výslovně zapracován); a</w:t>
      </w:r>
    </w:p>
    <w:p w14:paraId="6751098A" w14:textId="77777777" w:rsidR="00EC1C40" w:rsidRDefault="00000000">
      <w:pPr>
        <w:pStyle w:val="Zkladntext1"/>
        <w:framePr w:w="10186" w:h="13272" w:hRule="exact" w:wrap="none" w:vAnchor="page" w:hAnchor="page" w:x="1213" w:y="1940"/>
        <w:numPr>
          <w:ilvl w:val="0"/>
          <w:numId w:val="4"/>
        </w:numPr>
        <w:tabs>
          <w:tab w:val="left" w:pos="2910"/>
        </w:tabs>
        <w:spacing w:after="240"/>
        <w:ind w:left="2900" w:hanging="840"/>
        <w:jc w:val="both"/>
      </w:pPr>
      <w:r>
        <w:t>vypovědět s tří (3) měsíční výpovědní dobou, nedohodnou-li se Smluvní strany na jiné výpovědní lhůtě, Smlouvu o výpůjčce a Smlouvu o výpůjčce SMP Hůrka (to platí bez ohledu na to, zda je tento důvod pro výpověď v těchto smlouvách výslovně zapracován).</w:t>
      </w:r>
    </w:p>
    <w:p w14:paraId="2AE7EADF" w14:textId="77777777" w:rsidR="00EC1C40" w:rsidRDefault="00000000">
      <w:pPr>
        <w:pStyle w:val="Zkladntext1"/>
        <w:framePr w:w="10186" w:h="13272" w:hRule="exact" w:wrap="none" w:vAnchor="page" w:hAnchor="page" w:x="1213" w:y="1940"/>
        <w:numPr>
          <w:ilvl w:val="3"/>
          <w:numId w:val="3"/>
        </w:numPr>
        <w:tabs>
          <w:tab w:val="left" w:pos="2269"/>
        </w:tabs>
        <w:spacing w:after="0"/>
        <w:ind w:left="2060" w:hanging="680"/>
        <w:jc w:val="both"/>
      </w:pPr>
      <w:r>
        <w:t xml:space="preserve">Smluvní strany dále berou na vědomí, že v případě vzniku práva Investora vypovědět tuto Smlouvu dle tohoto čl. 16.3.3 Smlouvy je v rámci Smlouvy o výpůjčce Nadace Hůrka sjednáno právo Investora Smlouvu o výpůjčce Nadace Hůrka vypovědět s tří (3) měsíční výpovědní dobou, nedohodnou-li se Smluvní strany na jiné výpovědní lhůtě, a v rámci </w:t>
      </w:r>
      <w:proofErr w:type="spellStart"/>
      <w:r>
        <w:t>SoSB</w:t>
      </w:r>
      <w:proofErr w:type="spellEnd"/>
      <w:r>
        <w:t xml:space="preserve"> Nadace Hůrka právo odstoupit od </w:t>
      </w:r>
      <w:proofErr w:type="spellStart"/>
      <w:r>
        <w:t>SoSB</w:t>
      </w:r>
      <w:proofErr w:type="spellEnd"/>
      <w:r>
        <w:t xml:space="preserve"> Nadace Hůrka.</w:t>
      </w:r>
    </w:p>
    <w:p w14:paraId="1E2A2A88" w14:textId="77777777" w:rsidR="00EC1C40" w:rsidRDefault="00000000">
      <w:pPr>
        <w:pStyle w:val="Zhlavnebozpat0"/>
        <w:framePr w:wrap="none" w:vAnchor="page" w:hAnchor="page" w:x="5538" w:y="16085"/>
        <w:rPr>
          <w:sz w:val="22"/>
          <w:szCs w:val="22"/>
        </w:rPr>
      </w:pPr>
      <w:r>
        <w:rPr>
          <w:color w:val="231E20"/>
          <w:sz w:val="22"/>
          <w:szCs w:val="22"/>
        </w:rPr>
        <w:t>47/63</w:t>
      </w:r>
    </w:p>
    <w:p w14:paraId="52AE5BC0"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0602C55F" w14:textId="77777777" w:rsidR="00EC1C40" w:rsidRDefault="00000000">
      <w:pPr>
        <w:spacing w:line="1" w:lineRule="exact"/>
      </w:pPr>
      <w:r>
        <w:rPr>
          <w:noProof/>
        </w:rPr>
        <w:lastRenderedPageBreak/>
        <mc:AlternateContent>
          <mc:Choice Requires="wps">
            <w:drawing>
              <wp:anchor distT="0" distB="0" distL="114300" distR="114300" simplePos="0" relativeHeight="251631104" behindDoc="1" locked="0" layoutInCell="1" allowOverlap="1" wp14:anchorId="35F6248C" wp14:editId="3EE4D285">
                <wp:simplePos x="0" y="0"/>
                <wp:positionH relativeFrom="page">
                  <wp:posOffset>879475</wp:posOffset>
                </wp:positionH>
                <wp:positionV relativeFrom="page">
                  <wp:posOffset>932180</wp:posOffset>
                </wp:positionV>
                <wp:extent cx="5702935" cy="0"/>
                <wp:effectExtent l="0" t="0" r="0" b="0"/>
                <wp:wrapNone/>
                <wp:docPr id="47" name="Shape 47"/>
                <wp:cNvGraphicFramePr/>
                <a:graphic xmlns:a="http://schemas.openxmlformats.org/drawingml/2006/main">
                  <a:graphicData uri="http://schemas.microsoft.com/office/word/2010/wordprocessingShape">
                    <wps:wsp>
                      <wps:cNvCnPr/>
                      <wps:spPr>
                        <a:xfrm>
                          <a:off x="0" y="0"/>
                          <a:ext cx="5702935" cy="0"/>
                        </a:xfrm>
                        <a:prstGeom prst="straightConnector1">
                          <a:avLst/>
                        </a:prstGeom>
                        <a:ln w="6350">
                          <a:solidFill/>
                        </a:ln>
                      </wps:spPr>
                      <wps:bodyPr/>
                    </wps:wsp>
                  </a:graphicData>
                </a:graphic>
              </wp:anchor>
            </w:drawing>
          </mc:Choice>
          <mc:Fallback>
            <w:pict>
              <v:shape o:spt="32" o:oned="true" path="m,l21600,21600e" style="position:absolute;margin-left:69.25pt;margin-top:73.400000000000006pt;width:449.05000000000001pt;height:0;z-index:-251658240;mso-position-horizontal-relative:page;mso-position-vertical-relative:page">
                <v:stroke weight="0.5pt"/>
              </v:shape>
            </w:pict>
          </mc:Fallback>
        </mc:AlternateContent>
      </w:r>
    </w:p>
    <w:p w14:paraId="335A8137" w14:textId="77777777" w:rsidR="00EC1C40" w:rsidRDefault="00000000">
      <w:pPr>
        <w:pStyle w:val="Zhlavnebozpat0"/>
        <w:framePr w:wrap="none" w:vAnchor="page" w:hAnchor="page" w:x="5192" w:y="1186"/>
      </w:pPr>
      <w:r>
        <w:t>Plánovací smlouva</w:t>
      </w:r>
    </w:p>
    <w:tbl>
      <w:tblPr>
        <w:tblOverlap w:val="never"/>
        <w:tblW w:w="0" w:type="auto"/>
        <w:tblLayout w:type="fixed"/>
        <w:tblCellMar>
          <w:left w:w="10" w:type="dxa"/>
          <w:right w:w="10" w:type="dxa"/>
        </w:tblCellMar>
        <w:tblLook w:val="0000" w:firstRow="0" w:lastRow="0" w:firstColumn="0" w:lastColumn="0" w:noHBand="0" w:noVBand="0"/>
      </w:tblPr>
      <w:tblGrid>
        <w:gridCol w:w="509"/>
        <w:gridCol w:w="8602"/>
      </w:tblGrid>
      <w:tr w:rsidR="00EC1C40" w14:paraId="210AD3D2" w14:textId="77777777">
        <w:tblPrEx>
          <w:tblCellMar>
            <w:top w:w="0" w:type="dxa"/>
            <w:bottom w:w="0" w:type="dxa"/>
          </w:tblCellMar>
        </w:tblPrEx>
        <w:trPr>
          <w:trHeight w:hRule="exact" w:val="7766"/>
        </w:trPr>
        <w:tc>
          <w:tcPr>
            <w:tcW w:w="509" w:type="dxa"/>
            <w:shd w:val="clear" w:color="auto" w:fill="auto"/>
          </w:tcPr>
          <w:p w14:paraId="321BDB32" w14:textId="77777777" w:rsidR="00EC1C40" w:rsidRDefault="00EC1C40">
            <w:pPr>
              <w:framePr w:w="9110" w:h="13402" w:wrap="none" w:vAnchor="page" w:hAnchor="page" w:x="1285" w:y="1973"/>
              <w:rPr>
                <w:sz w:val="10"/>
                <w:szCs w:val="10"/>
              </w:rPr>
            </w:pPr>
          </w:p>
        </w:tc>
        <w:tc>
          <w:tcPr>
            <w:tcW w:w="8602" w:type="dxa"/>
            <w:shd w:val="clear" w:color="auto" w:fill="auto"/>
          </w:tcPr>
          <w:p w14:paraId="71B4DA30" w14:textId="77777777" w:rsidR="00EC1C40" w:rsidRDefault="00000000">
            <w:pPr>
              <w:pStyle w:val="Jin0"/>
              <w:framePr w:w="9110" w:h="13402" w:wrap="none" w:vAnchor="page" w:hAnchor="page" w:x="1285" w:y="1973"/>
              <w:numPr>
                <w:ilvl w:val="3"/>
                <w:numId w:val="5"/>
              </w:numPr>
              <w:tabs>
                <w:tab w:val="left" w:pos="1611"/>
              </w:tabs>
              <w:spacing w:after="220"/>
              <w:ind w:left="1480" w:hanging="680"/>
              <w:jc w:val="both"/>
            </w:pPr>
            <w:r>
              <w:t xml:space="preserve">Smluvní strany sjednávají, že práva dle čl. 16.3.3.3 a čl. 16.3.3.4 této Smlouvy může Investor uplatnit pouze tím způsobem, že odstoupí (respektive vypoví) každou jednotlivou smlouvu uvedenou v čl. 16.3.3.3 a čl. 16.3.3.4 této Smlouvy, a to společně s touto Smlouvou. Smluvní strany dále sjednávají, že Investor nemá právo odstoupit od (i) realizační kupní smlouvy uzavřené na základě </w:t>
            </w:r>
            <w:proofErr w:type="spellStart"/>
            <w:r>
              <w:t>SoSB</w:t>
            </w:r>
            <w:proofErr w:type="spellEnd"/>
            <w:r>
              <w:t xml:space="preserve"> SMP Hůrka a (</w:t>
            </w:r>
            <w:proofErr w:type="spellStart"/>
            <w:r>
              <w:t>ii</w:t>
            </w:r>
            <w:proofErr w:type="spellEnd"/>
            <w:r>
              <w:t xml:space="preserve">) realizační kupní smlouvy uzavřené na základě </w:t>
            </w:r>
            <w:proofErr w:type="spellStart"/>
            <w:r>
              <w:t>SoSB</w:t>
            </w:r>
            <w:proofErr w:type="spellEnd"/>
            <w:r>
              <w:t xml:space="preserve"> Nadace Hůrka, pokud již byla zahájena výstavba Parkovacího domu; tím nicméně není dotčeno právo Investora odstoupit či vypovědět ostatní Smlouvy dle čl. 16.3.3.3 a čl. 16.3.3.4 této Smlouvy.</w:t>
            </w:r>
          </w:p>
          <w:p w14:paraId="42235926" w14:textId="77777777" w:rsidR="00EC1C40" w:rsidRDefault="00000000">
            <w:pPr>
              <w:pStyle w:val="Jin0"/>
              <w:framePr w:w="9110" w:h="13402" w:wrap="none" w:vAnchor="page" w:hAnchor="page" w:x="1285" w:y="1973"/>
              <w:numPr>
                <w:ilvl w:val="3"/>
                <w:numId w:val="5"/>
              </w:numPr>
              <w:tabs>
                <w:tab w:val="left" w:pos="1611"/>
              </w:tabs>
              <w:spacing w:after="220"/>
              <w:ind w:left="1480" w:hanging="680"/>
              <w:jc w:val="both"/>
            </w:pPr>
            <w:r>
              <w:t>Pokud by se ukázalo, ať z jakéhokoli důvodu, že právo odstoupit či vypovědět kteroukoli smlouvu (dohodu) uvedenou v čl. 16.3.3.3 a čl. 16.3.3.4 této Smlouvy nelze uplatnit (např. z toho důvodu, že právo ji ukončit nebylo sjednáno platně), není takováto skutečnost překážkou pro výkon práva Investora dle čl. 16.3.3 Smlouvy ve vztahu k ostatním smlouvám a dohodám dle čl. 16.3.3.3 a čl. 16.3.3.4 této Smlouvy.</w:t>
            </w:r>
          </w:p>
          <w:p w14:paraId="611FEE6E" w14:textId="77777777" w:rsidR="00EC1C40" w:rsidRDefault="00000000">
            <w:pPr>
              <w:pStyle w:val="Jin0"/>
              <w:framePr w:w="9110" w:h="13402" w:wrap="none" w:vAnchor="page" w:hAnchor="page" w:x="1285" w:y="1973"/>
              <w:spacing w:after="220"/>
              <w:ind w:left="800" w:hanging="800"/>
              <w:jc w:val="both"/>
            </w:pPr>
            <w:r>
              <w:t>16.3.4. Nastane-li situace dle čl. 11.9. Smlouvy, přičemž není dosaženo nápravy dle čl. 11.9. Smlouvy (tj. nápravy ve smyslu přijetí a nabytí účinnosti změny Nového ÚP, kterou se dostane Nový ÚP ve znění této změny do souladu s požadavky sjednanými v čl. 11.1 této Smlouvy, tj. ve smyslu dosažení výsledku), a to ani do uplynutí lhůty k nápravě poskytnuté Investorem SMP dle čl. 11.9. Smlouvy; Investor je oprávněn toto právo vykonat za podmínek a postupem sjednaným v čl. 16.3.3.1. až 16.3.3.6. této Smlouvy (tj. včetně odstoupení či výpovědi smluv a dohod uvedených v čl. 16.3.3.3 a čl. 16.3.3.4 této Smlouvy). Pro odstranění pochybností se sjednává, že důvod, pro který nenabylo účinnosti a právních účinků opatření obecné povahy implementující změnu Nového ÚP, kterým má být dosaženo nápravy (tj. stavu, ve kterém je Nový ÚP ve znění této změny v souladu s požadavky sjednanými v čl. 11.1 této Smlouvy), je nerozhodný pro výkon práva Investora dle tohoto čl. 16.3.4 Smlouvy.</w:t>
            </w:r>
          </w:p>
        </w:tc>
      </w:tr>
      <w:tr w:rsidR="00EC1C40" w14:paraId="5AA4CFCA" w14:textId="77777777">
        <w:tblPrEx>
          <w:tblCellMar>
            <w:top w:w="0" w:type="dxa"/>
            <w:bottom w:w="0" w:type="dxa"/>
          </w:tblCellMar>
        </w:tblPrEx>
        <w:trPr>
          <w:trHeight w:hRule="exact" w:val="5635"/>
        </w:trPr>
        <w:tc>
          <w:tcPr>
            <w:tcW w:w="509" w:type="dxa"/>
            <w:shd w:val="clear" w:color="auto" w:fill="auto"/>
          </w:tcPr>
          <w:p w14:paraId="376CDB4F" w14:textId="77777777" w:rsidR="00EC1C40" w:rsidRDefault="00000000">
            <w:pPr>
              <w:pStyle w:val="Jin0"/>
              <w:framePr w:w="9110" w:h="13402" w:wrap="none" w:vAnchor="page" w:hAnchor="page" w:x="1285" w:y="1973"/>
              <w:spacing w:after="0"/>
              <w:jc w:val="both"/>
            </w:pPr>
            <w:r>
              <w:t>16.4.</w:t>
            </w:r>
          </w:p>
        </w:tc>
        <w:tc>
          <w:tcPr>
            <w:tcW w:w="8602" w:type="dxa"/>
            <w:shd w:val="clear" w:color="auto" w:fill="auto"/>
            <w:vAlign w:val="bottom"/>
          </w:tcPr>
          <w:p w14:paraId="66262C21" w14:textId="77777777" w:rsidR="00EC1C40" w:rsidRDefault="00000000">
            <w:pPr>
              <w:pStyle w:val="Jin0"/>
              <w:framePr w:w="9110" w:h="13402" w:wrap="none" w:vAnchor="page" w:hAnchor="page" w:x="1285" w:y="1973"/>
              <w:spacing w:after="240"/>
              <w:jc w:val="both"/>
            </w:pPr>
            <w:r>
              <w:t xml:space="preserve">Vypoví-li kterákoli Smluvní strana oprávněně tuto Smlouvu, zaniká tato Smlouva uplynutím výpovědní doby, jejíž délka činí šest (6) měsíců. Výpovědní doba počíná běžet prvním dnem kalendářního měsíce následující po kalendářním měsíci, ve kterém byla oprávněná výpověď této Smlouvy doručena druhé Smluvní straně. Uplynutím výpovědní doby zaniká tato Smlouva s účinky ex </w:t>
            </w:r>
            <w:proofErr w:type="spellStart"/>
            <w:r>
              <w:t>nunc</w:t>
            </w:r>
            <w:proofErr w:type="spellEnd"/>
            <w:r>
              <w:t xml:space="preserve"> (tj. ke dni uplynutí výpovědní doby, nikoli zpětně), není-li dále výslovně stanoveno jinak, přičemž Smluvní strany se vypořádají podle následujících pravidel:</w:t>
            </w:r>
          </w:p>
          <w:p w14:paraId="6177E44C" w14:textId="77777777" w:rsidR="00EC1C40" w:rsidRDefault="00000000">
            <w:pPr>
              <w:pStyle w:val="Jin0"/>
              <w:framePr w:w="9110" w:h="13402" w:wrap="none" w:vAnchor="page" w:hAnchor="page" w:x="1285" w:y="1973"/>
              <w:numPr>
                <w:ilvl w:val="2"/>
                <w:numId w:val="6"/>
              </w:numPr>
              <w:tabs>
                <w:tab w:val="left" w:pos="720"/>
              </w:tabs>
              <w:ind w:left="800" w:hanging="800"/>
              <w:jc w:val="both"/>
            </w:pPr>
            <w:r>
              <w:t xml:space="preserve">v rozsahu, v jakém tato Smlouva nezanikla (neboť Smlouva zaniká s účinky ex </w:t>
            </w:r>
            <w:proofErr w:type="spellStart"/>
            <w:r>
              <w:t>nunc</w:t>
            </w:r>
            <w:proofErr w:type="spellEnd"/>
            <w:r>
              <w:t xml:space="preserve"> k okamžiku uplynutí výpovědní doby), se práva a povinnosti vzniklé z této Smlouvy do doby jejího zániku řídí v přiměřeném rozsahu nadále ustanoveními této Smlouvy. Zánikem této Smlouvy na základě výpovědi nejsou dotčena a Smluvní strany nadále zavazují rovněž ta ustanovení této Smlouvy, která mají Smluvní strany zavazovat i po zániku této Smlouvy (zejména čl. 17.3 Smlouvy a ta ustanovení, na která tento čl. 17.3 Smlouvy odkazuje);</w:t>
            </w:r>
          </w:p>
          <w:p w14:paraId="4F7E308B" w14:textId="77777777" w:rsidR="00EC1C40" w:rsidRDefault="00000000">
            <w:pPr>
              <w:pStyle w:val="Jin0"/>
              <w:framePr w:w="9110" w:h="13402" w:wrap="none" w:vAnchor="page" w:hAnchor="page" w:x="1285" w:y="1973"/>
              <w:numPr>
                <w:ilvl w:val="2"/>
                <w:numId w:val="6"/>
              </w:numPr>
              <w:tabs>
                <w:tab w:val="left" w:pos="720"/>
              </w:tabs>
              <w:ind w:left="800" w:hanging="800"/>
              <w:jc w:val="both"/>
            </w:pPr>
            <w:r>
              <w:t>jde-li o výpověď danou v důsledku Oznámení Investora dle čl. 16.2.1 a 16.3.1, je Investor povinen splnit všechny své povinnosti vyplývající z čl. 15 (resp. tam odkazovaných ustanovení Smlouvy);</w:t>
            </w:r>
          </w:p>
          <w:p w14:paraId="371924C8" w14:textId="77777777" w:rsidR="00EC1C40" w:rsidRDefault="00000000">
            <w:pPr>
              <w:pStyle w:val="Jin0"/>
              <w:framePr w:w="9110" w:h="13402" w:wrap="none" w:vAnchor="page" w:hAnchor="page" w:x="1285" w:y="1973"/>
              <w:numPr>
                <w:ilvl w:val="2"/>
                <w:numId w:val="6"/>
              </w:numPr>
              <w:tabs>
                <w:tab w:val="left" w:pos="720"/>
              </w:tabs>
              <w:spacing w:after="160"/>
              <w:ind w:left="800" w:hanging="800"/>
              <w:jc w:val="both"/>
            </w:pPr>
            <w:r>
              <w:t>právní jednání, které Smluvní strany uzavřely na základě či v souvislosti s touto Smlouvou do okamžiku zániku této Smlouvy (např. zřízení služebností či jiných věcných či obligačních práv), včetně těch právních jednání, na základě nichž již došlo k převodu</w:t>
            </w:r>
          </w:p>
        </w:tc>
      </w:tr>
    </w:tbl>
    <w:p w14:paraId="7FC46EFE" w14:textId="77777777" w:rsidR="00EC1C40" w:rsidRDefault="00000000">
      <w:pPr>
        <w:pStyle w:val="Zhlavnebozpat0"/>
        <w:framePr w:wrap="none" w:vAnchor="page" w:hAnchor="page" w:x="5538" w:y="16085"/>
        <w:rPr>
          <w:sz w:val="22"/>
          <w:szCs w:val="22"/>
        </w:rPr>
      </w:pPr>
      <w:r>
        <w:rPr>
          <w:color w:val="231E20"/>
          <w:sz w:val="22"/>
          <w:szCs w:val="22"/>
        </w:rPr>
        <w:t>48/63</w:t>
      </w:r>
    </w:p>
    <w:p w14:paraId="2DE2F4B8"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76D306CA" w14:textId="77777777" w:rsidR="00EC1C40" w:rsidRDefault="00000000">
      <w:pPr>
        <w:spacing w:line="1" w:lineRule="exact"/>
      </w:pPr>
      <w:r>
        <w:rPr>
          <w:noProof/>
        </w:rPr>
        <w:lastRenderedPageBreak/>
        <mc:AlternateContent>
          <mc:Choice Requires="wps">
            <w:drawing>
              <wp:anchor distT="0" distB="0" distL="114300" distR="114300" simplePos="0" relativeHeight="251632128" behindDoc="1" locked="0" layoutInCell="1" allowOverlap="1" wp14:anchorId="6B6D12FA" wp14:editId="527DF8C8">
                <wp:simplePos x="0" y="0"/>
                <wp:positionH relativeFrom="page">
                  <wp:posOffset>1170305</wp:posOffset>
                </wp:positionH>
                <wp:positionV relativeFrom="page">
                  <wp:posOffset>932180</wp:posOffset>
                </wp:positionV>
                <wp:extent cx="5702935" cy="0"/>
                <wp:effectExtent l="0" t="0" r="0" b="0"/>
                <wp:wrapNone/>
                <wp:docPr id="48" name="Shape 48"/>
                <wp:cNvGraphicFramePr/>
                <a:graphic xmlns:a="http://schemas.openxmlformats.org/drawingml/2006/main">
                  <a:graphicData uri="http://schemas.microsoft.com/office/word/2010/wordprocessingShape">
                    <wps:wsp>
                      <wps:cNvCnPr/>
                      <wps:spPr>
                        <a:xfrm>
                          <a:off x="0" y="0"/>
                          <a:ext cx="5702935" cy="0"/>
                        </a:xfrm>
                        <a:prstGeom prst="straightConnector1">
                          <a:avLst/>
                        </a:prstGeom>
                        <a:ln w="6350">
                          <a:solidFill/>
                        </a:ln>
                      </wps:spPr>
                      <wps:bodyPr/>
                    </wps:wsp>
                  </a:graphicData>
                </a:graphic>
              </wp:anchor>
            </w:drawing>
          </mc:Choice>
          <mc:Fallback>
            <w:pict>
              <v:shape o:spt="32" o:oned="true" path="m,l21600,21600e" style="position:absolute;margin-left:92.150000000000006pt;margin-top:73.400000000000006pt;width:449.05000000000001pt;height:0;z-index:-251658240;mso-position-horizontal-relative:page;mso-position-vertical-relative:page">
                <v:stroke weight="0.5pt"/>
              </v:shape>
            </w:pict>
          </mc:Fallback>
        </mc:AlternateContent>
      </w:r>
    </w:p>
    <w:p w14:paraId="18B86C52" w14:textId="77777777" w:rsidR="00EC1C40" w:rsidRDefault="00000000">
      <w:pPr>
        <w:pStyle w:val="Zhlavnebozpat0"/>
        <w:framePr w:wrap="none" w:vAnchor="page" w:hAnchor="page" w:x="5651" w:y="1186"/>
      </w:pPr>
      <w:r>
        <w:t>Plánovací smlouva</w:t>
      </w:r>
    </w:p>
    <w:p w14:paraId="76203FDB" w14:textId="77777777" w:rsidR="00EC1C40" w:rsidRDefault="00000000">
      <w:pPr>
        <w:pStyle w:val="Zkladntext1"/>
        <w:framePr w:w="9125" w:h="13445" w:hRule="exact" w:wrap="none" w:vAnchor="page" w:hAnchor="page" w:x="1743" w:y="1940"/>
        <w:spacing w:after="240"/>
        <w:ind w:left="1300"/>
        <w:jc w:val="both"/>
      </w:pPr>
      <w:r>
        <w:t>vlastnických či jiných práv (např. Směna 1, Směna 2 atd.), nejsou zánikem této Smlouvy nijak dotčena a Smluvní strany nadále zavazují (bez ohledu na to, zda již byly plně splněny či nikoli), nedohodnou-li se Smluvní strany jinak nebo nestanoví-li tyto příslušné smlouvy jinak (SMP je např. oprávněno ukončit Výpůjčku v souladu se Smlouvou o výpůjčce); taktéž nejsou dotčeny podmínky v dalších smlouvách a dohodách, které mohou obsahovat vlastní podmínky pro jejich ukončení nebo trvání v souvislosti se zánikem této Smlouvy;</w:t>
      </w:r>
    </w:p>
    <w:p w14:paraId="4E3EABFE" w14:textId="77777777" w:rsidR="00EC1C40" w:rsidRDefault="00000000">
      <w:pPr>
        <w:pStyle w:val="Zkladntext1"/>
        <w:framePr w:w="9125" w:h="13445" w:hRule="exact" w:wrap="none" w:vAnchor="page" w:hAnchor="page" w:x="1743" w:y="1940"/>
        <w:numPr>
          <w:ilvl w:val="2"/>
          <w:numId w:val="3"/>
        </w:numPr>
        <w:tabs>
          <w:tab w:val="left" w:pos="1276"/>
        </w:tabs>
        <w:spacing w:after="240"/>
        <w:ind w:left="1300" w:hanging="740"/>
        <w:jc w:val="both"/>
      </w:pPr>
      <w:r>
        <w:t>Investor je povinen u dopravní a technické infrastruktury, která je umístěna na/v Pozemcích ve vlastnictví SMP, buď (i) uvést všechny Pozemky ve vlastnictví SMP (zejména Vypůjčené pozemky) do původního stavu před zahájením realizace Investičního záměru nebo, nebude-li možné nebo nebude-li účelné postupovat dle bodu (i), pak (</w:t>
      </w:r>
      <w:proofErr w:type="spellStart"/>
      <w:r>
        <w:t>ii</w:t>
      </w:r>
      <w:proofErr w:type="spellEnd"/>
      <w:r>
        <w:t>) dokončit a řádně zkolaudovat příslušné objekty veřejné dopravní a technické infrastruktury na těchto Pozemcích ve vlastnictví SMP, jejichž realizace již byla zahájena nebo na jejichž realizaci se Investor s SMP v rámci jednání dle čl. 16.4.8 Smlouvy dohodne a které nebudou dle bodu (i) uvedeny do původního stavu (a to dle svého výběru); takovéto objekty dopravní a technické infrastruktury v takovém případě zůstanou ve vlastnictví a správě Investora, nedohodnou-li se Smluvní strany jinak, přičemž Smluvní strany zřídí pro takovou veřejnou infrastrukturu příslušné služebnosti pro jejich umístění a správu, a to v souladu s čl. 16.4.5 Smlouvy. SMP je povinno převzít do svého vlastnictví a správy pouze Cyklostezku a nikoli jinou technickou či dopravní infrastrukturu, pokud se Smluvní strany nedohodnou jinak (byť by byla v rámci této Smlouvy označena jako Nepeněžní plnění);</w:t>
      </w:r>
    </w:p>
    <w:p w14:paraId="55591DCB" w14:textId="77777777" w:rsidR="00EC1C40" w:rsidRDefault="00000000">
      <w:pPr>
        <w:pStyle w:val="Zkladntext1"/>
        <w:framePr w:w="9125" w:h="13445" w:hRule="exact" w:wrap="none" w:vAnchor="page" w:hAnchor="page" w:x="1743" w:y="1940"/>
        <w:numPr>
          <w:ilvl w:val="2"/>
          <w:numId w:val="3"/>
        </w:numPr>
        <w:tabs>
          <w:tab w:val="left" w:pos="1276"/>
        </w:tabs>
        <w:spacing w:after="240"/>
        <w:ind w:left="1300" w:hanging="740"/>
        <w:jc w:val="both"/>
      </w:pPr>
      <w:r>
        <w:t>pokud v souladu s touto Smlouvou došlo k realizaci příslušné dopravní či technické infrastruktury, učiní Smluvní strany bez ohledu na zánik této Smlouvy veškeré kroky a jednání nezbytná pro to, aby tato dopravní a technická infrastruktura měla i po zániku této Smlouvy odpovídající právní tituly (služebnosti) pro své umístění na/v příslušných pozemcích, a aby tato realizovaná dopravní a technická infrastruktura mohla být užívána v souladu s jejím účelem a touto Smlouvou;</w:t>
      </w:r>
    </w:p>
    <w:p w14:paraId="56D8CB83" w14:textId="77777777" w:rsidR="00EC1C40" w:rsidRDefault="00000000">
      <w:pPr>
        <w:pStyle w:val="Zkladntext1"/>
        <w:framePr w:w="9125" w:h="13445" w:hRule="exact" w:wrap="none" w:vAnchor="page" w:hAnchor="page" w:x="1743" w:y="1940"/>
        <w:numPr>
          <w:ilvl w:val="2"/>
          <w:numId w:val="3"/>
        </w:numPr>
        <w:tabs>
          <w:tab w:val="left" w:pos="1276"/>
        </w:tabs>
        <w:ind w:left="1300" w:hanging="740"/>
        <w:jc w:val="both"/>
      </w:pPr>
      <w:r>
        <w:t>pokud dojde k zániku této Smlouvy v důsledku jejího podstatného porušení ze strany SMP, je jakékoli dokončení infrastruktury (dopravní či technické) ze strany Investora podmíněno dosažením dohody s SMP nad úhradou nákladů na její dokončení;</w:t>
      </w:r>
    </w:p>
    <w:p w14:paraId="56044777" w14:textId="77777777" w:rsidR="00EC1C40" w:rsidRDefault="00000000">
      <w:pPr>
        <w:pStyle w:val="Zkladntext1"/>
        <w:framePr w:w="9125" w:h="13445" w:hRule="exact" w:wrap="none" w:vAnchor="page" w:hAnchor="page" w:x="1743" w:y="1940"/>
        <w:numPr>
          <w:ilvl w:val="2"/>
          <w:numId w:val="3"/>
        </w:numPr>
        <w:tabs>
          <w:tab w:val="left" w:pos="1276"/>
        </w:tabs>
        <w:ind w:left="1300" w:hanging="740"/>
        <w:jc w:val="both"/>
      </w:pPr>
      <w:r>
        <w:t>zánik Memoranda o spolupráci (zrušeného nabytím účinnosti této Smlouvy) není zánikem této Smlouvy nijak dotčen;</w:t>
      </w:r>
    </w:p>
    <w:p w14:paraId="7D368920" w14:textId="77777777" w:rsidR="00EC1C40" w:rsidRDefault="00000000">
      <w:pPr>
        <w:pStyle w:val="Zkladntext1"/>
        <w:framePr w:w="9125" w:h="13445" w:hRule="exact" w:wrap="none" w:vAnchor="page" w:hAnchor="page" w:x="1743" w:y="1940"/>
        <w:numPr>
          <w:ilvl w:val="2"/>
          <w:numId w:val="3"/>
        </w:numPr>
        <w:tabs>
          <w:tab w:val="left" w:pos="1276"/>
        </w:tabs>
        <w:ind w:left="1300" w:hanging="740"/>
        <w:jc w:val="both"/>
      </w:pPr>
      <w:r>
        <w:t>Smluvní strany vstoupí bezodkladně po doručení oprávněné výpovědi kterékoli Smluvní straně v dobré víře do vzájemných jednání za účelem uzavření dohody o dalším postupu, kterou budou řešeny otázky týkající se dalšího postupu po zániku této Smlouvy, respektive další spolupráce Smluvních stran v Lokalitě Nová Cihelna a další související otázky, při respektu k legitimním zájmům stran a s přihlédnutím k důvodům ukončení této Smlouvy. Smluvní strany budou usilovat o to, aby Dohodu o dalším postupu uzavřely Smluvní strany do šesti (6) měsíců od doručení oprávněné výpovědi kterékoli Smluvní straně tak, aby její uzavření a účinnost plynule navazovaly na uplynutí výpovědní doby;</w:t>
      </w:r>
    </w:p>
    <w:p w14:paraId="30379C38" w14:textId="77777777" w:rsidR="00EC1C40" w:rsidRDefault="00000000">
      <w:pPr>
        <w:pStyle w:val="Zkladntext1"/>
        <w:framePr w:w="9125" w:h="13445" w:hRule="exact" w:wrap="none" w:vAnchor="page" w:hAnchor="page" w:x="1743" w:y="1940"/>
        <w:numPr>
          <w:ilvl w:val="2"/>
          <w:numId w:val="3"/>
        </w:numPr>
        <w:tabs>
          <w:tab w:val="left" w:pos="1276"/>
        </w:tabs>
        <w:spacing w:after="0"/>
        <w:ind w:left="1300" w:hanging="740"/>
        <w:jc w:val="both"/>
      </w:pPr>
      <w:r>
        <w:t>Ukončením této Smlouvy nezaniká právo kterékoli strany na splnění povinností, které mají dle této Smlouvy trvat i po jejím zániku, zejména není dotčeno právo na úhradu smluvní pokuty nebo náhradu újmy vzniklé v důsledku porušení povinnosti kteroukoli stranou během trvání této Smlouvy; a</w:t>
      </w:r>
    </w:p>
    <w:p w14:paraId="6070D31A" w14:textId="77777777" w:rsidR="00EC1C40" w:rsidRDefault="00000000">
      <w:pPr>
        <w:pStyle w:val="Zhlavnebozpat0"/>
        <w:framePr w:wrap="none" w:vAnchor="page" w:hAnchor="page" w:x="5996" w:y="16085"/>
        <w:rPr>
          <w:sz w:val="22"/>
          <w:szCs w:val="22"/>
        </w:rPr>
      </w:pPr>
      <w:r>
        <w:rPr>
          <w:color w:val="231E20"/>
          <w:sz w:val="22"/>
          <w:szCs w:val="22"/>
        </w:rPr>
        <w:t>49/63</w:t>
      </w:r>
    </w:p>
    <w:p w14:paraId="635F8694"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62BAB873" w14:textId="77777777" w:rsidR="00EC1C40" w:rsidRDefault="00000000">
      <w:pPr>
        <w:spacing w:line="1" w:lineRule="exact"/>
      </w:pPr>
      <w:r>
        <w:rPr>
          <w:noProof/>
        </w:rPr>
        <w:lastRenderedPageBreak/>
        <mc:AlternateContent>
          <mc:Choice Requires="wps">
            <w:drawing>
              <wp:anchor distT="0" distB="0" distL="114300" distR="114300" simplePos="0" relativeHeight="251633152" behindDoc="1" locked="0" layoutInCell="1" allowOverlap="1" wp14:anchorId="45BDE327" wp14:editId="20C0287C">
                <wp:simplePos x="0" y="0"/>
                <wp:positionH relativeFrom="page">
                  <wp:posOffset>1170305</wp:posOffset>
                </wp:positionH>
                <wp:positionV relativeFrom="page">
                  <wp:posOffset>932180</wp:posOffset>
                </wp:positionV>
                <wp:extent cx="5702935" cy="0"/>
                <wp:effectExtent l="0" t="0" r="0" b="0"/>
                <wp:wrapNone/>
                <wp:docPr id="49" name="Shape 49"/>
                <wp:cNvGraphicFramePr/>
                <a:graphic xmlns:a="http://schemas.openxmlformats.org/drawingml/2006/main">
                  <a:graphicData uri="http://schemas.microsoft.com/office/word/2010/wordprocessingShape">
                    <wps:wsp>
                      <wps:cNvCnPr/>
                      <wps:spPr>
                        <a:xfrm>
                          <a:off x="0" y="0"/>
                          <a:ext cx="5702935" cy="0"/>
                        </a:xfrm>
                        <a:prstGeom prst="straightConnector1">
                          <a:avLst/>
                        </a:prstGeom>
                        <a:ln w="6350">
                          <a:solidFill/>
                        </a:ln>
                      </wps:spPr>
                      <wps:bodyPr/>
                    </wps:wsp>
                  </a:graphicData>
                </a:graphic>
              </wp:anchor>
            </w:drawing>
          </mc:Choice>
          <mc:Fallback>
            <w:pict>
              <v:shape o:spt="32" o:oned="true" path="m,l21600,21600e" style="position:absolute;margin-left:92.150000000000006pt;margin-top:73.400000000000006pt;width:449.05000000000001pt;height:0;z-index:-251658240;mso-position-horizontal-relative:page;mso-position-vertical-relative:page">
                <v:stroke weight="0.5pt"/>
              </v:shape>
            </w:pict>
          </mc:Fallback>
        </mc:AlternateContent>
      </w:r>
    </w:p>
    <w:p w14:paraId="30430811" w14:textId="77777777" w:rsidR="00EC1C40" w:rsidRDefault="00000000">
      <w:pPr>
        <w:pStyle w:val="Zhlavnebozpat0"/>
        <w:framePr w:wrap="none" w:vAnchor="page" w:hAnchor="page" w:x="5651" w:y="1186"/>
      </w:pPr>
      <w:r>
        <w:t>Plánovací smlouva</w:t>
      </w:r>
    </w:p>
    <w:p w14:paraId="16994A6C" w14:textId="77777777" w:rsidR="00EC1C40" w:rsidRDefault="00000000">
      <w:pPr>
        <w:pStyle w:val="Zkladntext1"/>
        <w:framePr w:w="9125" w:h="13382" w:hRule="exact" w:wrap="none" w:vAnchor="page" w:hAnchor="page" w:x="1743" w:y="1940"/>
        <w:numPr>
          <w:ilvl w:val="2"/>
          <w:numId w:val="3"/>
        </w:numPr>
        <w:tabs>
          <w:tab w:val="left" w:pos="1391"/>
        </w:tabs>
        <w:ind w:left="1300" w:hanging="740"/>
        <w:jc w:val="both"/>
      </w:pPr>
      <w:r>
        <w:t>Zánikem této Smlouvy nezaniká případný nárok Investora na využití Přeplatku dle čl. 4.19, s tím, že do tohoto Přeplatku bude zahrnuta výhradně hodnota Nepeněžního plnění, které SMP převezme dle této Smlouvy (např. Cyklostezka a případně další, na kterých se SMP a Investor dohodnou). Nárok na Přeplatek může vzniknout výhradně na základě Konečného vypořádání provedeného dle čl. 4.12 a násl. této Smlouvy, přičemž pro účely Konečného vypořádání se v takovém případě použijí pravidla sjednaná v této Smlouvě s tím, že Rozhodný den bude v takovém případě stanoven na den, na který připadá roční výročí počítané ode dne kolaudace příslušného Nepeněžního plnění.</w:t>
      </w:r>
    </w:p>
    <w:p w14:paraId="11C8C756" w14:textId="77777777" w:rsidR="00EC1C40" w:rsidRDefault="00000000">
      <w:pPr>
        <w:pStyle w:val="Zkladntext1"/>
        <w:framePr w:w="9125" w:h="13382" w:hRule="exact" w:wrap="none" w:vAnchor="page" w:hAnchor="page" w:x="1743" w:y="1940"/>
        <w:numPr>
          <w:ilvl w:val="2"/>
          <w:numId w:val="3"/>
        </w:numPr>
        <w:tabs>
          <w:tab w:val="left" w:pos="1391"/>
        </w:tabs>
        <w:ind w:left="1300" w:hanging="740"/>
        <w:jc w:val="both"/>
      </w:pPr>
      <w:r>
        <w:t xml:space="preserve">Pokud ke dni zániku této Smlouvy nastalo Zahájení realizace mezideponie </w:t>
      </w:r>
      <w:r>
        <w:rPr>
          <w:i/>
          <w:iCs/>
        </w:rPr>
        <w:t>(jak je tento pojem definován v Dohodě o úpravě vztahů)</w:t>
      </w:r>
      <w:r>
        <w:t xml:space="preserve"> a Investor dosud nedokončil Odstranění odpadu z mezideponie </w:t>
      </w:r>
      <w:r>
        <w:rPr>
          <w:i/>
          <w:iCs/>
        </w:rPr>
        <w:t>(jak je tento pojem definován v Dohodě o úpravě vztahů)</w:t>
      </w:r>
      <w:r>
        <w:t xml:space="preserve">, je Investor povinen zajistit Odstranění odpadu z mezideponie </w:t>
      </w:r>
      <w:r>
        <w:rPr>
          <w:i/>
          <w:iCs/>
        </w:rPr>
        <w:t>(jak je tento pojem definován v Dohodě o úpravě vztahů)</w:t>
      </w:r>
      <w:r>
        <w:t xml:space="preserve"> ve lhůtě sjednané v čl. 2.3. Dohody o úpravě vztahů (tedy ve lhůtě ke splnění tzv. Milníku, včetně jeho případného prodloužení dle podmínek sjednaných v čl. 2.3. Dohody o úpravě vztahů), a to dle podmínek sjednaných v Dohodě o úpravě vztahů; SMP k tomu poskytne veškerou potřebnou součinnost (např. Výpůjčku atd.). Pokud Investor povinnost dle tohoto čl. 16.4.11 Smlouvy (tedy výhradně jen pro případ, kdy zanikne Plánovací smlouva a již nastalo Zahájení realizace mezideponie </w:t>
      </w:r>
      <w:r>
        <w:rPr>
          <w:i/>
          <w:iCs/>
        </w:rPr>
        <w:t>(jak je tento pojem definován v Dohodě o úpravě vztahů))</w:t>
      </w:r>
      <w:r>
        <w:t xml:space="preserve"> ve lhůtě sjednané v čl. 2.3. Dohody o úpravě vztahů (tedy ve lhůtě ke splnění tzv. Milníku, včetně jeho případného prodloužení dle podmínek sjednaných v čl. 2.3. Dohody o úpravě vztahů) nesplní, a to ani v náhradní lhůtě šesti (6) měsíců, je SMP oprávněno výhradně pro tento případ Odstranění odpadu z mezideponie </w:t>
      </w:r>
      <w:r>
        <w:rPr>
          <w:i/>
          <w:iCs/>
        </w:rPr>
        <w:t>(jak je tento pojem definován v Dohodě o úpravě vztahů)</w:t>
      </w:r>
      <w:r>
        <w:t xml:space="preserve"> zajistit samo nebo prostřednictvím třetí osoby, a to výhradně v souladu s vydanými veřejnoprávními povoleními týkajícími se Odstranění odpadu a znečištění, včetně Změny Rozhodnutí o povolení Odstranění odpadů a znečištění (tj. včetně řádného vytřídění odpadů v rámci mezideponie), plně v souladu s právními předpisy a zásadou minimalizace ukládání odpadů do koncových zařízení a na své riziko; Investor je povinen v takovém případě uhradit SMP účelně vynaložené náklady na provedení těchto prací, přičemž je taktéž povinen strpět za tímto účelem vstup SMP nebo jím pověřených osob na příslušné pozemky a umožnit provedení nezbytných prací.</w:t>
      </w:r>
    </w:p>
    <w:p w14:paraId="5E93E743" w14:textId="77777777" w:rsidR="00EC1C40" w:rsidRDefault="00000000">
      <w:pPr>
        <w:pStyle w:val="Nadpis60"/>
        <w:framePr w:w="9125" w:h="13382" w:hRule="exact" w:wrap="none" w:vAnchor="page" w:hAnchor="page" w:x="1743" w:y="1940"/>
        <w:numPr>
          <w:ilvl w:val="0"/>
          <w:numId w:val="3"/>
        </w:numPr>
        <w:tabs>
          <w:tab w:val="left" w:pos="549"/>
        </w:tabs>
        <w:jc w:val="both"/>
      </w:pPr>
      <w:bookmarkStart w:id="16" w:name="bookmark32"/>
      <w:r>
        <w:t>Trvání Smlouvy</w:t>
      </w:r>
      <w:bookmarkEnd w:id="16"/>
    </w:p>
    <w:p w14:paraId="6B1BD7F1" w14:textId="77777777" w:rsidR="00EC1C40" w:rsidRDefault="00000000">
      <w:pPr>
        <w:pStyle w:val="Zkladntext1"/>
        <w:framePr w:w="9125" w:h="13382" w:hRule="exact" w:wrap="none" w:vAnchor="page" w:hAnchor="page" w:x="1743" w:y="1940"/>
        <w:numPr>
          <w:ilvl w:val="1"/>
          <w:numId w:val="3"/>
        </w:numPr>
        <w:tabs>
          <w:tab w:val="left" w:pos="553"/>
        </w:tabs>
        <w:ind w:left="560" w:hanging="560"/>
        <w:jc w:val="both"/>
      </w:pPr>
      <w:r>
        <w:t xml:space="preserve">Tato Smlouva se uzavírá na dobu určitou, a to na dobu patnáct (15) let od jejího uzavření, není- </w:t>
      </w:r>
      <w:proofErr w:type="spellStart"/>
      <w:r>
        <w:t>li</w:t>
      </w:r>
      <w:proofErr w:type="spellEnd"/>
      <w:r>
        <w:t xml:space="preserve"> v této Smlouvě u jednotlivých ustanovení ujednána doba trvání delší; v takovém případě platí pro dané ustanovení sjednaná delší doba trvání (to platí obdobně i pro ta ustanovení této Smlouvy, která jsou pro uplatnění práv a plnění povinností z takového ustanovení potřebná). V případě prodloužení trvání Závazných milníků v souladu s touto Smlouvou se prodlužuje i doba trvání této Smlouvy, a to o dobu, o kterou se prodlouží trvání těchto Závazných milníků.</w:t>
      </w:r>
    </w:p>
    <w:p w14:paraId="26383A41" w14:textId="77777777" w:rsidR="00EC1C40" w:rsidRDefault="00000000">
      <w:pPr>
        <w:pStyle w:val="Zkladntext1"/>
        <w:framePr w:w="9125" w:h="13382" w:hRule="exact" w:wrap="none" w:vAnchor="page" w:hAnchor="page" w:x="1743" w:y="1940"/>
        <w:numPr>
          <w:ilvl w:val="1"/>
          <w:numId w:val="3"/>
        </w:numPr>
        <w:tabs>
          <w:tab w:val="left" w:pos="553"/>
        </w:tabs>
        <w:spacing w:after="0"/>
        <w:ind w:left="560" w:hanging="560"/>
        <w:jc w:val="both"/>
      </w:pPr>
      <w:r>
        <w:t>Smluvní strany použijí ustanovení pro vypořádání Smluvních stran pro případ zániku Smlouvy výpovědí (čl. 16.4.1 až čl. 16.4.10 Smlouvy) i na jiné způsoby (důvody) zániku této Smlouvy. Smluvní strany nicméně sjednávají, že postup dle čl. 20 této Smlouvy (</w:t>
      </w:r>
      <w:r>
        <w:rPr>
          <w:i/>
          <w:iCs/>
        </w:rPr>
        <w:t>Oddělitelnost ustanovení Smlouvy a postup Smluvních stran pro případ zrušení této Smlouvy</w:t>
      </w:r>
      <w:r>
        <w:t xml:space="preserve">) se použije přednostně před tímto čl. 17.2 Smlouvy (tj. Smluvní strany budou pro případ nastání skutečností dle čl. 20 Smlouvy postupovat dle čl. 20 Smlouvy a uzavřou příslušné dodatky k této Smlouvě či nové smlouvy předvídané čl. 20 Smlouvy, v důsledku čehož nebude nutné postupovat dle tohoto čl. 17.2 Smlouvy ve spojení s dalšími ustanoveními, na které tento článek odkazuje). Smluvní strany tímto vyjadřují svoji vůli, aby jakýkoli zánik této Smlouvy (včetně jejího zániku v důsledku zrušení této Smlouvy), pokud již nastane, měl účinky ex </w:t>
      </w:r>
      <w:proofErr w:type="spellStart"/>
      <w:r>
        <w:t>nunc</w:t>
      </w:r>
      <w:proofErr w:type="spellEnd"/>
      <w:r>
        <w:t xml:space="preserve"> (nikoli tedy účinky zpětně ke dni uzavření</w:t>
      </w:r>
    </w:p>
    <w:p w14:paraId="561F9346" w14:textId="77777777" w:rsidR="00EC1C40" w:rsidRDefault="00000000">
      <w:pPr>
        <w:pStyle w:val="Zhlavnebozpat0"/>
        <w:framePr w:wrap="none" w:vAnchor="page" w:hAnchor="page" w:x="6001" w:y="16085"/>
        <w:rPr>
          <w:sz w:val="22"/>
          <w:szCs w:val="22"/>
        </w:rPr>
      </w:pPr>
      <w:r>
        <w:rPr>
          <w:color w:val="231E20"/>
          <w:sz w:val="22"/>
          <w:szCs w:val="22"/>
        </w:rPr>
        <w:t>50/63</w:t>
      </w:r>
    </w:p>
    <w:p w14:paraId="1461BF19"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04ECCD52" w14:textId="77777777" w:rsidR="00EC1C40" w:rsidRDefault="00000000">
      <w:pPr>
        <w:spacing w:line="1" w:lineRule="exact"/>
      </w:pPr>
      <w:r>
        <w:rPr>
          <w:noProof/>
        </w:rPr>
        <w:lastRenderedPageBreak/>
        <mc:AlternateContent>
          <mc:Choice Requires="wps">
            <w:drawing>
              <wp:anchor distT="0" distB="0" distL="114300" distR="114300" simplePos="0" relativeHeight="251634176" behindDoc="1" locked="0" layoutInCell="1" allowOverlap="1" wp14:anchorId="06DDE44F" wp14:editId="098C5437">
                <wp:simplePos x="0" y="0"/>
                <wp:positionH relativeFrom="page">
                  <wp:posOffset>1170305</wp:posOffset>
                </wp:positionH>
                <wp:positionV relativeFrom="page">
                  <wp:posOffset>932180</wp:posOffset>
                </wp:positionV>
                <wp:extent cx="5702935" cy="0"/>
                <wp:effectExtent l="0" t="0" r="0" b="0"/>
                <wp:wrapNone/>
                <wp:docPr id="50" name="Shape 50"/>
                <wp:cNvGraphicFramePr/>
                <a:graphic xmlns:a="http://schemas.openxmlformats.org/drawingml/2006/main">
                  <a:graphicData uri="http://schemas.microsoft.com/office/word/2010/wordprocessingShape">
                    <wps:wsp>
                      <wps:cNvCnPr/>
                      <wps:spPr>
                        <a:xfrm>
                          <a:off x="0" y="0"/>
                          <a:ext cx="5702935" cy="0"/>
                        </a:xfrm>
                        <a:prstGeom prst="straightConnector1">
                          <a:avLst/>
                        </a:prstGeom>
                        <a:ln w="6350">
                          <a:solidFill/>
                        </a:ln>
                      </wps:spPr>
                      <wps:bodyPr/>
                    </wps:wsp>
                  </a:graphicData>
                </a:graphic>
              </wp:anchor>
            </w:drawing>
          </mc:Choice>
          <mc:Fallback>
            <w:pict>
              <v:shape o:spt="32" o:oned="true" path="m,l21600,21600e" style="position:absolute;margin-left:92.150000000000006pt;margin-top:73.400000000000006pt;width:449.05000000000001pt;height:0;z-index:-251658240;mso-position-horizontal-relative:page;mso-position-vertical-relative:page">
                <v:stroke weight="0.5pt"/>
              </v:shape>
            </w:pict>
          </mc:Fallback>
        </mc:AlternateContent>
      </w:r>
    </w:p>
    <w:p w14:paraId="0B8D6EDA" w14:textId="77777777" w:rsidR="00EC1C40" w:rsidRDefault="00000000">
      <w:pPr>
        <w:pStyle w:val="Zhlavnebozpat0"/>
        <w:framePr w:wrap="none" w:vAnchor="page" w:hAnchor="page" w:x="5651" w:y="1186"/>
      </w:pPr>
      <w:r>
        <w:t>Plánovací smlouva</w:t>
      </w:r>
    </w:p>
    <w:p w14:paraId="4BE24D2E" w14:textId="77777777" w:rsidR="00EC1C40" w:rsidRDefault="00000000">
      <w:pPr>
        <w:pStyle w:val="Zkladntext1"/>
        <w:framePr w:w="9125" w:h="13426" w:hRule="exact" w:wrap="none" w:vAnchor="page" w:hAnchor="page" w:x="1743" w:y="1940"/>
        <w:ind w:left="560"/>
        <w:jc w:val="both"/>
      </w:pPr>
      <w:r>
        <w:t>této Smlouvy). Pro případ zániku Smlouvy uplynutím doby se použijí pravidla sjednaná v čl. 16.4 přiměřeně.</w:t>
      </w:r>
    </w:p>
    <w:p w14:paraId="43B7A917" w14:textId="77777777" w:rsidR="00EC1C40" w:rsidRDefault="00000000">
      <w:pPr>
        <w:pStyle w:val="Zkladntext1"/>
        <w:framePr w:w="9125" w:h="13426" w:hRule="exact" w:wrap="none" w:vAnchor="page" w:hAnchor="page" w:x="1743" w:y="1940"/>
        <w:numPr>
          <w:ilvl w:val="1"/>
          <w:numId w:val="3"/>
        </w:numPr>
        <w:tabs>
          <w:tab w:val="left" w:pos="584"/>
        </w:tabs>
        <w:ind w:left="560" w:hanging="560"/>
        <w:jc w:val="both"/>
      </w:pPr>
      <w:r>
        <w:t xml:space="preserve">Ustanovení čl. 20 </w:t>
      </w:r>
      <w:r>
        <w:rPr>
          <w:i/>
          <w:iCs/>
        </w:rPr>
        <w:t>(Oddělitelnost ustanovení Smlouvy a postup Smluvních stran pro případ zrušení této Smlouvy)</w:t>
      </w:r>
      <w:r>
        <w:t xml:space="preserve">, čl. 21 </w:t>
      </w:r>
      <w:r>
        <w:rPr>
          <w:i/>
          <w:iCs/>
        </w:rPr>
        <w:t>(Právní povaha Smlouvy a rozhodné právo)</w:t>
      </w:r>
      <w:r>
        <w:t xml:space="preserve">, čl. 22 </w:t>
      </w:r>
      <w:r>
        <w:rPr>
          <w:i/>
          <w:iCs/>
        </w:rPr>
        <w:t>(Řešení sporů)</w:t>
      </w:r>
      <w:r>
        <w:t xml:space="preserve">, čl. 27 </w:t>
      </w:r>
      <w:r>
        <w:rPr>
          <w:i/>
          <w:iCs/>
        </w:rPr>
        <w:t>(Ochrana důvěrných informací)</w:t>
      </w:r>
      <w:r>
        <w:t xml:space="preserve">, jakož i dalších ustanovení této Smlouvy, která mají vzhledem ke své povaze a účelu zavazovat Smluvní strany i po zániku této Smlouvy (např. ustanovení o vypořádání pro případ zániku této Smlouvy, zejména čl. 17.2 Smlouvy a dále ta ustanovení, na která tento článek 17.3 přímo či nepřímo odkazuje, zejména čl. 16.4.1 až čl. 16.4.11 </w:t>
      </w:r>
      <w:r>
        <w:rPr>
          <w:i/>
          <w:iCs/>
        </w:rPr>
        <w:t>(vypořádání při zániku Smlouvy),</w:t>
      </w:r>
      <w:r>
        <w:t xml:space="preserve"> čl. 14 </w:t>
      </w:r>
      <w:r>
        <w:rPr>
          <w:i/>
          <w:iCs/>
        </w:rPr>
        <w:t>(sankce)</w:t>
      </w:r>
      <w:r>
        <w:t xml:space="preserve">, jakož i další ustanovení této Smlouvy, která mají vzhledem ke své povaze a účelu zavazovat Smluvní strany i po zániku této Smlouvy, zůstávají v platnosti i po výpovědi této Smlouvy nebo jakémkoli jiném jejím ukončení či zániku, nevyplývá-li z této Smlouvy či dohody Smluvních stran jinak. Zánik této Smlouvy se taktéž žádným způsobem nedotýká práv, pokud tato práva vznikla před zánikem této Smlouvy. Výrazy a ustanovení z této Smlouvy, na které se odkazuje v jiných smlouvách a dohodách (včetně </w:t>
      </w:r>
      <w:proofErr w:type="spellStart"/>
      <w:r>
        <w:t>SoSB</w:t>
      </w:r>
      <w:proofErr w:type="spellEnd"/>
      <w:r>
        <w:t xml:space="preserve"> SMP Hůrka a Smlouvy o výpůjčce SMP Hůrka, </w:t>
      </w:r>
      <w:proofErr w:type="spellStart"/>
      <w:r>
        <w:t>SoSB</w:t>
      </w:r>
      <w:proofErr w:type="spellEnd"/>
      <w:r>
        <w:t xml:space="preserve"> Nadace Hůrka a Smlouvy o výpůjčce Nadace Hůrka), se použijí na tyto smlouvy a dohody i po zániku této Smlouvy.</w:t>
      </w:r>
    </w:p>
    <w:p w14:paraId="77DEA6DA" w14:textId="77777777" w:rsidR="00EC1C40" w:rsidRDefault="00000000">
      <w:pPr>
        <w:pStyle w:val="Nadpis60"/>
        <w:framePr w:w="9125" w:h="13426" w:hRule="exact" w:wrap="none" w:vAnchor="page" w:hAnchor="page" w:x="1743" w:y="1940"/>
        <w:numPr>
          <w:ilvl w:val="0"/>
          <w:numId w:val="3"/>
        </w:numPr>
        <w:tabs>
          <w:tab w:val="left" w:pos="552"/>
          <w:tab w:val="left" w:pos="555"/>
        </w:tabs>
        <w:jc w:val="both"/>
      </w:pPr>
      <w:bookmarkStart w:id="17" w:name="bookmark34"/>
      <w:r>
        <w:t>Komunikace Smluvních stran</w:t>
      </w:r>
      <w:bookmarkEnd w:id="17"/>
    </w:p>
    <w:p w14:paraId="33B3EEAF" w14:textId="77777777" w:rsidR="00EC1C40" w:rsidRDefault="00000000">
      <w:pPr>
        <w:pStyle w:val="Zkladntext1"/>
        <w:framePr w:w="9125" w:h="13426" w:hRule="exact" w:wrap="none" w:vAnchor="page" w:hAnchor="page" w:x="1743" w:y="1940"/>
        <w:numPr>
          <w:ilvl w:val="1"/>
          <w:numId w:val="3"/>
        </w:numPr>
        <w:tabs>
          <w:tab w:val="left" w:pos="584"/>
        </w:tabs>
        <w:ind w:left="560" w:hanging="560"/>
        <w:jc w:val="both"/>
      </w:pPr>
      <w:r>
        <w:t>Pro účely operativní komunikace a koordinace plnění této Smlouvy určují Smluvní strany následující zodpovědné osoby:</w:t>
      </w:r>
    </w:p>
    <w:p w14:paraId="18D88239" w14:textId="77777777" w:rsidR="00EC1C40" w:rsidRDefault="00000000">
      <w:pPr>
        <w:pStyle w:val="Zkladntext1"/>
        <w:framePr w:w="9125" w:h="13426" w:hRule="exact" w:wrap="none" w:vAnchor="page" w:hAnchor="page" w:x="1743" w:y="1940"/>
        <w:numPr>
          <w:ilvl w:val="2"/>
          <w:numId w:val="3"/>
        </w:numPr>
        <w:tabs>
          <w:tab w:val="left" w:pos="1307"/>
        </w:tabs>
        <w:ind w:left="1240" w:hanging="680"/>
        <w:jc w:val="both"/>
      </w:pPr>
      <w:r>
        <w:t>na straně SMP: [BUDE JMENOVÁN ZE STRANY SMP] jako koordinátor SMP (dále jen „</w:t>
      </w:r>
      <w:r>
        <w:rPr>
          <w:b/>
          <w:bCs/>
        </w:rPr>
        <w:t>Koordinátor</w:t>
      </w:r>
      <w:r>
        <w:t>“);</w:t>
      </w:r>
    </w:p>
    <w:p w14:paraId="45088598" w14:textId="77777777" w:rsidR="00EC1C40" w:rsidRDefault="00000000">
      <w:pPr>
        <w:pStyle w:val="Zkladntext1"/>
        <w:framePr w:w="9125" w:h="13426" w:hRule="exact" w:wrap="none" w:vAnchor="page" w:hAnchor="page" w:x="1743" w:y="1940"/>
        <w:numPr>
          <w:ilvl w:val="2"/>
          <w:numId w:val="3"/>
        </w:numPr>
        <w:tabs>
          <w:tab w:val="left" w:pos="1307"/>
        </w:tabs>
        <w:spacing w:after="240"/>
        <w:ind w:firstLine="560"/>
        <w:jc w:val="both"/>
      </w:pPr>
      <w:r>
        <w:t>na straně Investora:</w:t>
      </w:r>
    </w:p>
    <w:p w14:paraId="72F9FD98" w14:textId="77777777" w:rsidR="00EC1C40" w:rsidRDefault="00000000">
      <w:pPr>
        <w:pStyle w:val="Zkladntext1"/>
        <w:framePr w:w="9125" w:h="13426" w:hRule="exact" w:wrap="none" w:vAnchor="page" w:hAnchor="page" w:x="1743" w:y="1940"/>
        <w:numPr>
          <w:ilvl w:val="3"/>
          <w:numId w:val="3"/>
        </w:numPr>
        <w:tabs>
          <w:tab w:val="left" w:pos="2354"/>
        </w:tabs>
        <w:spacing w:after="240"/>
        <w:ind w:left="1240"/>
        <w:jc w:val="both"/>
      </w:pPr>
      <w:r>
        <w:t>ve věcech týkajících se stavební realizace Investičního záměru: Ing. Jiří Deml</w:t>
      </w:r>
    </w:p>
    <w:p w14:paraId="7B82A734" w14:textId="77777777" w:rsidR="00EC1C40" w:rsidRDefault="00000000">
      <w:pPr>
        <w:pStyle w:val="Zkladntext1"/>
        <w:framePr w:w="9125" w:h="13426" w:hRule="exact" w:wrap="none" w:vAnchor="page" w:hAnchor="page" w:x="1743" w:y="1940"/>
        <w:numPr>
          <w:ilvl w:val="3"/>
          <w:numId w:val="3"/>
        </w:numPr>
        <w:tabs>
          <w:tab w:val="left" w:pos="2354"/>
        </w:tabs>
        <w:ind w:left="1240"/>
        <w:jc w:val="both"/>
      </w:pPr>
      <w:r>
        <w:t>ve věcech smluvních: Bc. Patrik Melka</w:t>
      </w:r>
    </w:p>
    <w:p w14:paraId="5E5560D0" w14:textId="77777777" w:rsidR="00EC1C40" w:rsidRDefault="00000000">
      <w:pPr>
        <w:pStyle w:val="Zkladntext1"/>
        <w:framePr w:w="9125" w:h="13426" w:hRule="exact" w:wrap="none" w:vAnchor="page" w:hAnchor="page" w:x="1743" w:y="1940"/>
        <w:ind w:left="1240"/>
        <w:jc w:val="both"/>
      </w:pPr>
      <w:r>
        <w:t>(dále jen „</w:t>
      </w:r>
      <w:r>
        <w:rPr>
          <w:b/>
          <w:bCs/>
        </w:rPr>
        <w:t>Kontaktní osoba Investora</w:t>
      </w:r>
      <w:r>
        <w:t>“).</w:t>
      </w:r>
    </w:p>
    <w:p w14:paraId="0C6FED33" w14:textId="77777777" w:rsidR="00EC1C40" w:rsidRDefault="00000000">
      <w:pPr>
        <w:pStyle w:val="Zkladntext1"/>
        <w:framePr w:w="9125" w:h="13426" w:hRule="exact" w:wrap="none" w:vAnchor="page" w:hAnchor="page" w:x="1743" w:y="1940"/>
        <w:numPr>
          <w:ilvl w:val="1"/>
          <w:numId w:val="3"/>
        </w:numPr>
        <w:tabs>
          <w:tab w:val="left" w:pos="584"/>
        </w:tabs>
        <w:jc w:val="both"/>
      </w:pPr>
      <w:r>
        <w:t>Koordinátor je oprávněn:</w:t>
      </w:r>
    </w:p>
    <w:p w14:paraId="3CEB64A4" w14:textId="77777777" w:rsidR="00EC1C40" w:rsidRDefault="00000000">
      <w:pPr>
        <w:pStyle w:val="Zkladntext1"/>
        <w:framePr w:w="9125" w:h="13426" w:hRule="exact" w:wrap="none" w:vAnchor="page" w:hAnchor="page" w:x="1743" w:y="1940"/>
        <w:numPr>
          <w:ilvl w:val="2"/>
          <w:numId w:val="3"/>
        </w:numPr>
        <w:tabs>
          <w:tab w:val="left" w:pos="1307"/>
        </w:tabs>
        <w:ind w:firstLine="560"/>
        <w:jc w:val="both"/>
      </w:pPr>
      <w:r>
        <w:t>přijímat a odesílat veškerou korespondenci týkající se této Smlouvy jménem SMP;</w:t>
      </w:r>
    </w:p>
    <w:p w14:paraId="2D80BA60" w14:textId="77777777" w:rsidR="00EC1C40" w:rsidRDefault="00000000">
      <w:pPr>
        <w:pStyle w:val="Zkladntext1"/>
        <w:framePr w:w="9125" w:h="13426" w:hRule="exact" w:wrap="none" w:vAnchor="page" w:hAnchor="page" w:x="1743" w:y="1940"/>
        <w:numPr>
          <w:ilvl w:val="2"/>
          <w:numId w:val="3"/>
        </w:numPr>
        <w:tabs>
          <w:tab w:val="left" w:pos="1307"/>
        </w:tabs>
        <w:ind w:firstLine="560"/>
        <w:jc w:val="both"/>
      </w:pPr>
      <w:r>
        <w:t>koordinovat postup jednotlivých odborů a organizací SMP při plnění této Smlouvy;</w:t>
      </w:r>
    </w:p>
    <w:p w14:paraId="3E7AC3B3" w14:textId="77777777" w:rsidR="00EC1C40" w:rsidRDefault="00000000">
      <w:pPr>
        <w:pStyle w:val="Zkladntext1"/>
        <w:framePr w:w="9125" w:h="13426" w:hRule="exact" w:wrap="none" w:vAnchor="page" w:hAnchor="page" w:x="1743" w:y="1940"/>
        <w:numPr>
          <w:ilvl w:val="2"/>
          <w:numId w:val="3"/>
        </w:numPr>
        <w:tabs>
          <w:tab w:val="left" w:pos="1307"/>
        </w:tabs>
        <w:ind w:left="1240" w:hanging="680"/>
        <w:jc w:val="both"/>
      </w:pPr>
      <w:r>
        <w:t>potvrzovat a Investorovi komunikovat stanoviska SMP dle čl. 3 až čl. 7 a dalších ustanovení této Smlouvy, pokud není výslovně dohodnut postup odlišný;</w:t>
      </w:r>
    </w:p>
    <w:p w14:paraId="06B2872B" w14:textId="77777777" w:rsidR="00EC1C40" w:rsidRDefault="00000000">
      <w:pPr>
        <w:pStyle w:val="Zkladntext1"/>
        <w:framePr w:w="9125" w:h="13426" w:hRule="exact" w:wrap="none" w:vAnchor="page" w:hAnchor="page" w:x="1743" w:y="1940"/>
        <w:numPr>
          <w:ilvl w:val="2"/>
          <w:numId w:val="3"/>
        </w:numPr>
        <w:tabs>
          <w:tab w:val="left" w:pos="1307"/>
        </w:tabs>
        <w:ind w:firstLine="560"/>
        <w:jc w:val="both"/>
      </w:pPr>
      <w:r>
        <w:t>podepisovat protokoly dle čl. 5.6.7 této Smlouvy;</w:t>
      </w:r>
    </w:p>
    <w:p w14:paraId="09F827A2" w14:textId="77777777" w:rsidR="00EC1C40" w:rsidRDefault="00000000">
      <w:pPr>
        <w:pStyle w:val="Zkladntext1"/>
        <w:framePr w:w="9125" w:h="13426" w:hRule="exact" w:wrap="none" w:vAnchor="page" w:hAnchor="page" w:x="1743" w:y="1940"/>
        <w:numPr>
          <w:ilvl w:val="2"/>
          <w:numId w:val="3"/>
        </w:numPr>
        <w:tabs>
          <w:tab w:val="left" w:pos="1307"/>
        </w:tabs>
        <w:ind w:firstLine="560"/>
        <w:jc w:val="both"/>
      </w:pPr>
      <w:r>
        <w:t>svolávat a koordinovat jednání mezi Smluvními stranami.</w:t>
      </w:r>
    </w:p>
    <w:p w14:paraId="10152F5F" w14:textId="77777777" w:rsidR="00EC1C40" w:rsidRDefault="00000000">
      <w:pPr>
        <w:pStyle w:val="Zkladntext1"/>
        <w:framePr w:w="9125" w:h="13426" w:hRule="exact" w:wrap="none" w:vAnchor="page" w:hAnchor="page" w:x="1743" w:y="1940"/>
        <w:numPr>
          <w:ilvl w:val="1"/>
          <w:numId w:val="3"/>
        </w:numPr>
        <w:tabs>
          <w:tab w:val="left" w:pos="584"/>
        </w:tabs>
        <w:ind w:left="560" w:hanging="560"/>
        <w:jc w:val="both"/>
      </w:pPr>
      <w:r>
        <w:t>Kontaktní osoba Investora je oprávněna jednat jménem Investora ve všech věcech souvisejících s touto Smlouvou, není-li pro konkrétní právní jednání vyžadováno zastoupení osobou oprávněnou za Investora jednat navenek (např. uzavírání dodatků k této Smlouvě).</w:t>
      </w:r>
    </w:p>
    <w:p w14:paraId="17C707DC" w14:textId="77777777" w:rsidR="00EC1C40" w:rsidRDefault="00000000">
      <w:pPr>
        <w:pStyle w:val="Zkladntext1"/>
        <w:framePr w:w="9125" w:h="13426" w:hRule="exact" w:wrap="none" w:vAnchor="page" w:hAnchor="page" w:x="1743" w:y="1940"/>
        <w:numPr>
          <w:ilvl w:val="1"/>
          <w:numId w:val="3"/>
        </w:numPr>
        <w:tabs>
          <w:tab w:val="left" w:pos="584"/>
        </w:tabs>
        <w:ind w:left="560" w:hanging="560"/>
        <w:jc w:val="both"/>
      </w:pPr>
      <w:r>
        <w:t>Pokud by nebyla funkce Koordinátora z jakéhokoli důvodu obsazena či pokud by Koordinátor z jakéhokoli důvodu ze své funkce odstoupil či ukončil její výkon, je SMP povinno ihned jmenovat osobu nového Koordinátora, a to nejpozději do patnácti (15) dnů od zániku funkce.</w:t>
      </w:r>
    </w:p>
    <w:p w14:paraId="49854D2D" w14:textId="77777777" w:rsidR="00EC1C40" w:rsidRDefault="00000000">
      <w:pPr>
        <w:pStyle w:val="Zkladntext1"/>
        <w:framePr w:w="9125" w:h="13426" w:hRule="exact" w:wrap="none" w:vAnchor="page" w:hAnchor="page" w:x="1743" w:y="1940"/>
        <w:numPr>
          <w:ilvl w:val="1"/>
          <w:numId w:val="3"/>
        </w:numPr>
        <w:tabs>
          <w:tab w:val="left" w:pos="584"/>
        </w:tabs>
        <w:jc w:val="both"/>
      </w:pPr>
      <w:r>
        <w:t>Forma komunikace:</w:t>
      </w:r>
    </w:p>
    <w:p w14:paraId="19EE916A" w14:textId="77777777" w:rsidR="00EC1C40" w:rsidRDefault="00000000">
      <w:pPr>
        <w:pStyle w:val="Zkladntext1"/>
        <w:framePr w:w="9125" w:h="13426" w:hRule="exact" w:wrap="none" w:vAnchor="page" w:hAnchor="page" w:x="1743" w:y="1940"/>
        <w:numPr>
          <w:ilvl w:val="2"/>
          <w:numId w:val="3"/>
        </w:numPr>
        <w:tabs>
          <w:tab w:val="left" w:pos="1307"/>
        </w:tabs>
        <w:spacing w:after="0"/>
        <w:ind w:left="1240" w:hanging="680"/>
        <w:jc w:val="both"/>
      </w:pPr>
      <w:r>
        <w:t>Operativní komunikace probíhá elektronicky na e-mailové adresy zodpovědných osob s potvrzením o přečtení nebo doručení;</w:t>
      </w:r>
    </w:p>
    <w:p w14:paraId="704D4FB8" w14:textId="77777777" w:rsidR="00EC1C40" w:rsidRDefault="00000000">
      <w:pPr>
        <w:pStyle w:val="Zhlavnebozpat0"/>
        <w:framePr w:wrap="none" w:vAnchor="page" w:hAnchor="page" w:x="6001" w:y="16085"/>
        <w:rPr>
          <w:sz w:val="22"/>
          <w:szCs w:val="22"/>
        </w:rPr>
      </w:pPr>
      <w:r>
        <w:rPr>
          <w:color w:val="231E20"/>
          <w:sz w:val="22"/>
          <w:szCs w:val="22"/>
        </w:rPr>
        <w:t>51/63</w:t>
      </w:r>
    </w:p>
    <w:p w14:paraId="60F8393B"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2DB88226" w14:textId="77777777" w:rsidR="00EC1C40" w:rsidRDefault="00000000">
      <w:pPr>
        <w:spacing w:line="1" w:lineRule="exact"/>
      </w:pPr>
      <w:r>
        <w:rPr>
          <w:noProof/>
        </w:rPr>
        <w:lastRenderedPageBreak/>
        <mc:AlternateContent>
          <mc:Choice Requires="wps">
            <w:drawing>
              <wp:anchor distT="0" distB="0" distL="114300" distR="114300" simplePos="0" relativeHeight="251635200" behindDoc="1" locked="0" layoutInCell="1" allowOverlap="1" wp14:anchorId="67876738" wp14:editId="508FB3BF">
                <wp:simplePos x="0" y="0"/>
                <wp:positionH relativeFrom="page">
                  <wp:posOffset>1179830</wp:posOffset>
                </wp:positionH>
                <wp:positionV relativeFrom="page">
                  <wp:posOffset>932180</wp:posOffset>
                </wp:positionV>
                <wp:extent cx="5702300" cy="0"/>
                <wp:effectExtent l="0" t="0" r="0" b="0"/>
                <wp:wrapNone/>
                <wp:docPr id="51" name="Shape 51"/>
                <wp:cNvGraphicFramePr/>
                <a:graphic xmlns:a="http://schemas.openxmlformats.org/drawingml/2006/main">
                  <a:graphicData uri="http://schemas.microsoft.com/office/word/2010/wordprocessingShape">
                    <wps:wsp>
                      <wps:cNvCnPr/>
                      <wps:spPr>
                        <a:xfrm>
                          <a:off x="0" y="0"/>
                          <a:ext cx="5702300" cy="0"/>
                        </a:xfrm>
                        <a:prstGeom prst="straightConnector1">
                          <a:avLst/>
                        </a:prstGeom>
                        <a:ln w="6350">
                          <a:solidFill/>
                        </a:ln>
                      </wps:spPr>
                      <wps:bodyPr/>
                    </wps:wsp>
                  </a:graphicData>
                </a:graphic>
              </wp:anchor>
            </w:drawing>
          </mc:Choice>
          <mc:Fallback>
            <w:pict>
              <v:shape o:spt="32" o:oned="true" path="m,l21600,21600e" style="position:absolute;margin-left:92.900000000000006pt;margin-top:73.400000000000006pt;width:449.pt;height:0;z-index:-251658240;mso-position-horizontal-relative:page;mso-position-vertical-relative:page">
                <v:stroke weight="0.5pt"/>
              </v:shape>
            </w:pict>
          </mc:Fallback>
        </mc:AlternateContent>
      </w:r>
    </w:p>
    <w:p w14:paraId="1A65ACFF" w14:textId="77777777" w:rsidR="00EC1C40" w:rsidRDefault="00000000">
      <w:pPr>
        <w:pStyle w:val="Zhlavnebozpat0"/>
        <w:framePr w:wrap="none" w:vAnchor="page" w:hAnchor="page" w:x="5665" w:y="1186"/>
      </w:pPr>
      <w:r>
        <w:t>Plánovací smlouva</w:t>
      </w:r>
    </w:p>
    <w:p w14:paraId="49AA6729" w14:textId="77777777" w:rsidR="00EC1C40" w:rsidRDefault="00000000">
      <w:pPr>
        <w:pStyle w:val="Zkladntext1"/>
        <w:framePr w:w="9115" w:h="13474" w:hRule="exact" w:wrap="none" w:vAnchor="page" w:hAnchor="page" w:x="1748" w:y="1940"/>
        <w:numPr>
          <w:ilvl w:val="2"/>
          <w:numId w:val="3"/>
        </w:numPr>
        <w:tabs>
          <w:tab w:val="left" w:pos="1305"/>
        </w:tabs>
        <w:ind w:left="1320" w:hanging="740"/>
        <w:jc w:val="both"/>
      </w:pPr>
      <w:r>
        <w:t>Významná sdělení (výzvy k nápravě, oznámení o změnách, žádosti o stanoviska) se zasílají buď (i) písemně na sídla/adresy Smluvních stran uvedené v záhlaví této Smlouvy, nebo (</w:t>
      </w:r>
      <w:proofErr w:type="spellStart"/>
      <w:r>
        <w:t>ii</w:t>
      </w:r>
      <w:proofErr w:type="spellEnd"/>
      <w:r>
        <w:t>) elektronicky formou datové zprávy do datové schránky, nebo (</w:t>
      </w:r>
      <w:proofErr w:type="spellStart"/>
      <w:r>
        <w:t>iii</w:t>
      </w:r>
      <w:proofErr w:type="spellEnd"/>
      <w:r>
        <w:t>) elektronicky na e-mailové adresy zodpovědných osob s potvrzením o doručení; a</w:t>
      </w:r>
    </w:p>
    <w:p w14:paraId="29447666" w14:textId="77777777" w:rsidR="00EC1C40" w:rsidRDefault="00000000">
      <w:pPr>
        <w:pStyle w:val="Zkladntext1"/>
        <w:framePr w:w="9115" w:h="13474" w:hRule="exact" w:wrap="none" w:vAnchor="page" w:hAnchor="page" w:x="1748" w:y="1940"/>
        <w:numPr>
          <w:ilvl w:val="2"/>
          <w:numId w:val="3"/>
        </w:numPr>
        <w:tabs>
          <w:tab w:val="left" w:pos="1305"/>
        </w:tabs>
        <w:ind w:left="1320" w:hanging="740"/>
        <w:jc w:val="both"/>
      </w:pPr>
      <w:r>
        <w:t>Právně významná jednání vyžadující písemnou formu podle této Smlouvy nebo právních předpisů se doručují (i) písemně na sídla/adresy Smluvních stran uvedené v záhlaví této Smlouvy, nebo (</w:t>
      </w:r>
      <w:proofErr w:type="spellStart"/>
      <w:r>
        <w:t>ii</w:t>
      </w:r>
      <w:proofErr w:type="spellEnd"/>
      <w:r>
        <w:t>) formou datové zprávy do datové schránky.</w:t>
      </w:r>
    </w:p>
    <w:p w14:paraId="427EED1D" w14:textId="77777777" w:rsidR="00EC1C40" w:rsidRDefault="00000000">
      <w:pPr>
        <w:pStyle w:val="Zkladntext1"/>
        <w:framePr w:w="9115" w:h="13474" w:hRule="exact" w:wrap="none" w:vAnchor="page" w:hAnchor="page" w:x="1748" w:y="1940"/>
        <w:numPr>
          <w:ilvl w:val="1"/>
          <w:numId w:val="3"/>
        </w:numPr>
        <w:tabs>
          <w:tab w:val="left" w:pos="558"/>
        </w:tabs>
        <w:ind w:left="580" w:hanging="580"/>
        <w:jc w:val="both"/>
      </w:pPr>
      <w:r>
        <w:t>Za doručené se považují sdělení zaslaná některým ze způsobů uvedených v tomto článku třetím pracovním dnem po jejich odeslání, pokud není prokázán dřívější okamžik doručení.</w:t>
      </w:r>
    </w:p>
    <w:p w14:paraId="1A5B4502" w14:textId="77777777" w:rsidR="00EC1C40" w:rsidRDefault="00000000">
      <w:pPr>
        <w:pStyle w:val="Zkladntext1"/>
        <w:framePr w:w="9115" w:h="13474" w:hRule="exact" w:wrap="none" w:vAnchor="page" w:hAnchor="page" w:x="1748" w:y="1940"/>
        <w:numPr>
          <w:ilvl w:val="1"/>
          <w:numId w:val="3"/>
        </w:numPr>
        <w:tabs>
          <w:tab w:val="left" w:pos="558"/>
        </w:tabs>
        <w:ind w:left="580" w:hanging="580"/>
        <w:jc w:val="both"/>
      </w:pPr>
      <w:r>
        <w:t>Změnu zodpovědných osob včetně jejich kontaktních údajů oznámí příslušná Smluvní strana druhé Smluvní straně některým ze způsobů uvedených v čl. 18.5.2 s účinností od doručení oznámení.</w:t>
      </w:r>
    </w:p>
    <w:p w14:paraId="3A731E8A" w14:textId="77777777" w:rsidR="00EC1C40" w:rsidRDefault="00000000">
      <w:pPr>
        <w:pStyle w:val="Zkladntext1"/>
        <w:framePr w:w="9115" w:h="13474" w:hRule="exact" w:wrap="none" w:vAnchor="page" w:hAnchor="page" w:x="1748" w:y="1940"/>
        <w:numPr>
          <w:ilvl w:val="1"/>
          <w:numId w:val="3"/>
        </w:numPr>
        <w:tabs>
          <w:tab w:val="left" w:pos="558"/>
        </w:tabs>
        <w:ind w:left="580" w:hanging="580"/>
        <w:jc w:val="both"/>
      </w:pPr>
      <w:r>
        <w:t>Zodpovědné osoby se budou pravidelně, nejméně jednou za tři měsíce, informovat o postupu plnění této Smlouvy a koordinovat další kroky.</w:t>
      </w:r>
    </w:p>
    <w:p w14:paraId="6D67728A" w14:textId="77777777" w:rsidR="00EC1C40" w:rsidRDefault="00000000">
      <w:pPr>
        <w:pStyle w:val="Nadpis60"/>
        <w:framePr w:w="9115" w:h="13474" w:hRule="exact" w:wrap="none" w:vAnchor="page" w:hAnchor="page" w:x="1748" w:y="1940"/>
        <w:numPr>
          <w:ilvl w:val="0"/>
          <w:numId w:val="3"/>
        </w:numPr>
        <w:tabs>
          <w:tab w:val="left" w:pos="558"/>
        </w:tabs>
        <w:jc w:val="both"/>
      </w:pPr>
      <w:bookmarkStart w:id="18" w:name="bookmark36"/>
      <w:r>
        <w:t>Postoupení</w:t>
      </w:r>
      <w:bookmarkEnd w:id="18"/>
    </w:p>
    <w:p w14:paraId="34A2133E" w14:textId="77777777" w:rsidR="00EC1C40" w:rsidRDefault="00000000">
      <w:pPr>
        <w:pStyle w:val="Zkladntext1"/>
        <w:framePr w:w="9115" w:h="13474" w:hRule="exact" w:wrap="none" w:vAnchor="page" w:hAnchor="page" w:x="1748" w:y="1940"/>
        <w:numPr>
          <w:ilvl w:val="1"/>
          <w:numId w:val="3"/>
        </w:numPr>
        <w:tabs>
          <w:tab w:val="left" w:pos="558"/>
        </w:tabs>
        <w:ind w:left="580" w:hanging="580"/>
        <w:jc w:val="both"/>
      </w:pPr>
      <w:r>
        <w:t>Žádná ze Smluvních stran není oprávněna postoupit tuto Smlouvu nebo její kteroukoli část včetně jakýchkoli práv a/nebo povinností z ní vyplývajících na třetí osobu/třetí osoby bez předchozího písemného souhlasu druhé ze Smluvních stran, není-li dále stanoveno jinak.</w:t>
      </w:r>
    </w:p>
    <w:p w14:paraId="48C8F5C8" w14:textId="77777777" w:rsidR="00EC1C40" w:rsidRDefault="00000000">
      <w:pPr>
        <w:pStyle w:val="Zkladntext1"/>
        <w:framePr w:w="9115" w:h="13474" w:hRule="exact" w:wrap="none" w:vAnchor="page" w:hAnchor="page" w:x="1748" w:y="1940"/>
        <w:numPr>
          <w:ilvl w:val="1"/>
          <w:numId w:val="3"/>
        </w:numPr>
        <w:tabs>
          <w:tab w:val="left" w:pos="558"/>
        </w:tabs>
        <w:spacing w:after="0"/>
        <w:ind w:left="580" w:hanging="580"/>
        <w:jc w:val="both"/>
      </w:pPr>
      <w:r>
        <w:t>Investor je oprávněn postoupit tuto Smlouvu jako celek pouze s předchozím písemným souhlasem SMP. SMP poskytne souhlas s postoupením této Smlouvy při splnění všech následujících podmínek: (i) postupník má stejnou ovládající osobu (ve smyslu § 74 a násl. zákona č. 90/2012 Sb., o obchodních společnostech a družstvech (zákon o obchodních korporacích), ve znění pozdějších předpisů) nebo stejného konečného majitele jako Investor ke dni uzavření této Smlouvy a toto ovládání trvá nepřetržitě až do okamžiku postoupení; (</w:t>
      </w:r>
      <w:proofErr w:type="spellStart"/>
      <w:r>
        <w:t>ii</w:t>
      </w:r>
      <w:proofErr w:type="spellEnd"/>
      <w:r>
        <w:t>) postoupením nedojde ke zhoršení dobytnosti pohledávek a práv SMP z této Smlouvy; (</w:t>
      </w:r>
      <w:proofErr w:type="spellStart"/>
      <w:r>
        <w:t>iii</w:t>
      </w:r>
      <w:proofErr w:type="spellEnd"/>
      <w:r>
        <w:t>) postupník splňuje obdobné finanční a technické předpoklady pro realizaci Investičního záměru jako Investor ke dni uzavření této Smlouvy (což je splněno tím, že bude splněn bod (v) tohoto článku a bod (i) tohoto článku); (</w:t>
      </w:r>
      <w:proofErr w:type="spellStart"/>
      <w:r>
        <w:t>iv</w:t>
      </w:r>
      <w:proofErr w:type="spellEnd"/>
      <w:r>
        <w:t>) postoupení neznamená obcházení povinností Investora z této Smlouvy a (v) v souvislosti s postoupením této Smlouvy dojde rovněž k převodu vlastnického práva k té části Pozemků, které Investor vlastní, a na nichž mají být realizovány Klíčové objekty). SMP poskytne souhlas s postoupením této Smlouvy i v případě, kdy není splněn bod (i) dle tohoto ustanovení (tj. v případě, kdy postupníkem je třetí osoba, která nemá stejnou ovládající osobu, respektive stejného konečného majitele, jako Investor; dále jen „</w:t>
      </w:r>
      <w:r>
        <w:rPr>
          <w:b/>
          <w:bCs/>
        </w:rPr>
        <w:t>Nespojená osoba</w:t>
      </w:r>
      <w:r>
        <w:t>“), pokud jsou splněny předpoklady dle bodu (</w:t>
      </w:r>
      <w:proofErr w:type="spellStart"/>
      <w:r>
        <w:t>ii</w:t>
      </w:r>
      <w:proofErr w:type="spellEnd"/>
      <w:r>
        <w:t>) až (v) tohoto ustanovení a tato třetí Nespojená osoba je a) součástí renomované developerské či investiční skupiny; pokud však Nespojená osoba není členem renomované developerské či investiční skupiny, je Nespojená osoba povinna v souvislosti s postoupením této Smlouvy poskytnout SMP přiměřené zajištění dalšího plnění této Smlouvy. Pokud jsou splněny předpoklady pro postoupení této Smlouvy, je SMP povinno udělit souhlas s postoupením i ostatních smluv či dohod, které byly sjednány v souvislosti s touto Smlouvou (a to i před jejím uzavřením či v souvislosti s dalším plněním této Smlouvy), včetně např. Smlouvy o výpůjčce a dalších smluv, které se týkají realizace infrastruktury, není-li v těchto dalších smlouvách stanoven jiný mechanismus (např. v Dohodě o úpravě vztahů). SMP není oprávněno bez rozumného důvodu odepřít souhlas s postoupením této Smlouvy nebo tento souhlas časově oddalovat. Pokud SMP ve lhůtě do čtyř (4) měsíců od doručení výzvy Investora k udělení souhlasu s postoupením této Smlouvy takovýto souhlas bez oprávněného důvodu neudělí nebo se v této lhůtě nevyjádří, platí, že SMP souhlasí s postoupením této Smlouvy bez dalšího; to platí obdobně i pro udělení souhlasu s postoupením dalších smluv či dohod, které byly uzavřeny</w:t>
      </w:r>
    </w:p>
    <w:p w14:paraId="6089E5B4" w14:textId="77777777" w:rsidR="00EC1C40" w:rsidRDefault="00000000">
      <w:pPr>
        <w:pStyle w:val="Zhlavnebozpat0"/>
        <w:framePr w:wrap="none" w:vAnchor="page" w:hAnchor="page" w:x="6015" w:y="16085"/>
        <w:rPr>
          <w:sz w:val="22"/>
          <w:szCs w:val="22"/>
        </w:rPr>
      </w:pPr>
      <w:r>
        <w:rPr>
          <w:color w:val="231E20"/>
          <w:sz w:val="22"/>
          <w:szCs w:val="22"/>
        </w:rPr>
        <w:t>52/63</w:t>
      </w:r>
    </w:p>
    <w:p w14:paraId="253E0162"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56C7E205" w14:textId="77777777" w:rsidR="00EC1C40" w:rsidRDefault="00000000">
      <w:pPr>
        <w:spacing w:line="1" w:lineRule="exact"/>
      </w:pPr>
      <w:r>
        <w:rPr>
          <w:noProof/>
        </w:rPr>
        <w:lastRenderedPageBreak/>
        <mc:AlternateContent>
          <mc:Choice Requires="wps">
            <w:drawing>
              <wp:anchor distT="0" distB="0" distL="114300" distR="114300" simplePos="0" relativeHeight="251636224" behindDoc="1" locked="0" layoutInCell="1" allowOverlap="1" wp14:anchorId="33EF8F83" wp14:editId="0861685D">
                <wp:simplePos x="0" y="0"/>
                <wp:positionH relativeFrom="page">
                  <wp:posOffset>1179830</wp:posOffset>
                </wp:positionH>
                <wp:positionV relativeFrom="page">
                  <wp:posOffset>932180</wp:posOffset>
                </wp:positionV>
                <wp:extent cx="5702300" cy="0"/>
                <wp:effectExtent l="0" t="0" r="0" b="0"/>
                <wp:wrapNone/>
                <wp:docPr id="52" name="Shape 52"/>
                <wp:cNvGraphicFramePr/>
                <a:graphic xmlns:a="http://schemas.openxmlformats.org/drawingml/2006/main">
                  <a:graphicData uri="http://schemas.microsoft.com/office/word/2010/wordprocessingShape">
                    <wps:wsp>
                      <wps:cNvCnPr/>
                      <wps:spPr>
                        <a:xfrm>
                          <a:off x="0" y="0"/>
                          <a:ext cx="5702300" cy="0"/>
                        </a:xfrm>
                        <a:prstGeom prst="straightConnector1">
                          <a:avLst/>
                        </a:prstGeom>
                        <a:ln w="6350">
                          <a:solidFill/>
                        </a:ln>
                      </wps:spPr>
                      <wps:bodyPr/>
                    </wps:wsp>
                  </a:graphicData>
                </a:graphic>
              </wp:anchor>
            </w:drawing>
          </mc:Choice>
          <mc:Fallback>
            <w:pict>
              <v:shape o:spt="32" o:oned="true" path="m,l21600,21600e" style="position:absolute;margin-left:92.900000000000006pt;margin-top:73.400000000000006pt;width:449.pt;height:0;z-index:-251658240;mso-position-horizontal-relative:page;mso-position-vertical-relative:page">
                <v:stroke weight="0.5pt"/>
              </v:shape>
            </w:pict>
          </mc:Fallback>
        </mc:AlternateContent>
      </w:r>
    </w:p>
    <w:p w14:paraId="4D36B65A" w14:textId="77777777" w:rsidR="00EC1C40" w:rsidRDefault="00000000">
      <w:pPr>
        <w:pStyle w:val="Zhlavnebozpat0"/>
        <w:framePr w:wrap="none" w:vAnchor="page" w:hAnchor="page" w:x="5665" w:y="1186"/>
      </w:pPr>
      <w:r>
        <w:t>Plánovací smlouva</w:t>
      </w:r>
    </w:p>
    <w:p w14:paraId="46FE810C" w14:textId="77777777" w:rsidR="00EC1C40" w:rsidRDefault="00000000">
      <w:pPr>
        <w:pStyle w:val="Zkladntext1"/>
        <w:framePr w:w="9115" w:h="13296" w:hRule="exact" w:wrap="none" w:vAnchor="page" w:hAnchor="page" w:x="1748" w:y="1940"/>
        <w:ind w:left="580"/>
        <w:jc w:val="both"/>
      </w:pPr>
      <w:r>
        <w:t>v souvislosti s touto Smlouvou (a to i před jejím uzavřením či v souvislosti s dalším plněním této Smlouvy).</w:t>
      </w:r>
    </w:p>
    <w:p w14:paraId="2CA987D8" w14:textId="77777777" w:rsidR="00EC1C40" w:rsidRDefault="00000000">
      <w:pPr>
        <w:pStyle w:val="Zkladntext1"/>
        <w:framePr w:w="9115" w:h="13296" w:hRule="exact" w:wrap="none" w:vAnchor="page" w:hAnchor="page" w:x="1748" w:y="1940"/>
        <w:ind w:left="580"/>
        <w:jc w:val="both"/>
      </w:pPr>
      <w:r>
        <w:t>Pro odstranění jakýchkoli pochybností se výslovně sjednává, že toto ustanovení, ani tato Smlouva nijak neomezuje Investora v majetkových dispozicích s Pozemky (zejména jejich zatěžování, včetně zřízení zástavních právo pro financující subjekty, či jejich převod).</w:t>
      </w:r>
    </w:p>
    <w:p w14:paraId="7ECD452D" w14:textId="77777777" w:rsidR="00EC1C40" w:rsidRDefault="00000000">
      <w:pPr>
        <w:pStyle w:val="Zkladntext1"/>
        <w:framePr w:w="9115" w:h="13296" w:hRule="exact" w:wrap="none" w:vAnchor="page" w:hAnchor="page" w:x="1748" w:y="1940"/>
        <w:ind w:firstLine="580"/>
        <w:jc w:val="both"/>
      </w:pPr>
      <w:r>
        <w:t>Ustanovení tohoto čl. 19.2 Smlouvy platí obdobně i pro postoupení části Smlouvy.</w:t>
      </w:r>
    </w:p>
    <w:p w14:paraId="23E3DC24" w14:textId="77777777" w:rsidR="00EC1C40" w:rsidRDefault="00000000">
      <w:pPr>
        <w:pStyle w:val="Zkladntext1"/>
        <w:framePr w:w="9115" w:h="13296" w:hRule="exact" w:wrap="none" w:vAnchor="page" w:hAnchor="page" w:x="1748" w:y="1940"/>
        <w:numPr>
          <w:ilvl w:val="1"/>
          <w:numId w:val="3"/>
        </w:numPr>
        <w:tabs>
          <w:tab w:val="left" w:pos="555"/>
        </w:tabs>
        <w:ind w:left="580" w:hanging="580"/>
        <w:jc w:val="both"/>
      </w:pPr>
      <w:r>
        <w:t>Žádná ze Smluvních stran není oprávněna postoupit jakoukoli pohledávku vzniklou z této Smlouvy a/nebo na jejím základě či v souvislosti s ní bez předchozího písemného souhlasu druhé ze Smluvních stran.</w:t>
      </w:r>
    </w:p>
    <w:p w14:paraId="7781103D" w14:textId="77777777" w:rsidR="00EC1C40" w:rsidRDefault="00000000">
      <w:pPr>
        <w:pStyle w:val="Nadpis60"/>
        <w:framePr w:w="9115" w:h="13296" w:hRule="exact" w:wrap="none" w:vAnchor="page" w:hAnchor="page" w:x="1748" w:y="1940"/>
        <w:numPr>
          <w:ilvl w:val="0"/>
          <w:numId w:val="3"/>
        </w:numPr>
        <w:tabs>
          <w:tab w:val="left" w:pos="555"/>
        </w:tabs>
        <w:jc w:val="both"/>
      </w:pPr>
      <w:bookmarkStart w:id="19" w:name="bookmark38"/>
      <w:r>
        <w:t>Oddělitelnost ustanovení Smlouvy a postup Smluvních stran pro případ zrušení této Smlouvy</w:t>
      </w:r>
      <w:bookmarkEnd w:id="19"/>
    </w:p>
    <w:p w14:paraId="2D58F916" w14:textId="77777777" w:rsidR="00EC1C40" w:rsidRDefault="00000000">
      <w:pPr>
        <w:pStyle w:val="Zkladntext1"/>
        <w:framePr w:w="9115" w:h="13296" w:hRule="exact" w:wrap="none" w:vAnchor="page" w:hAnchor="page" w:x="1748" w:y="1940"/>
        <w:numPr>
          <w:ilvl w:val="1"/>
          <w:numId w:val="3"/>
        </w:numPr>
        <w:tabs>
          <w:tab w:val="left" w:pos="558"/>
        </w:tabs>
        <w:ind w:left="580" w:hanging="580"/>
        <w:jc w:val="both"/>
      </w:pPr>
      <w:r>
        <w:t>Stane-li se kterékoli ustanovení této Smlouvy neplatným, neúčinným, zdánlivým nebo nevymahatelným, zůstává platnost, účinnost a vymahatelnost ostatních ustanovení této Smlouvy neovlivněna a nedotčena, nevyplývá-li z povahy daného ustanovení, obsahu Smlouvy nebo okolností, za nichž bylo toto ustanovení vytvořeno, že toto ustanovení nelze oddělit od ostatního obsahu Smlouvy. V případě takové neplatnosti, neúčinnosti, zdánlivosti nebo nevymahatelnosti se Smluvní strany zavazují bezodkladně, nejpozději však do tří (3) měsíců od doručení výzvy jedné Smluvní strany druhé ze Smluvních stran, v dobré víře napravit takto vzniklý stav tím způsobem, že se dohodnou na změnách, respektive doplněních této Smlouvy, které jsou s ohledem na tuto neplatnost, neúčinnost, zdánlivost nebo nevymahatelnost pro splnění účelů a cílů této Smlouvy nezbytná. Za tímto účelem Smluvní strany zejména uzavřou příslušný dodatek k této Smlouvě, kterým neplatné, neúčinné, zdánlivé nebo nevymahatelné ustanovení nahradí při maximálním respektu k právům a povinnostem, které mají být příslušným dodatkem či doplněním této Smlouvy nahrazeny.</w:t>
      </w:r>
    </w:p>
    <w:p w14:paraId="49587D76" w14:textId="77777777" w:rsidR="00EC1C40" w:rsidRDefault="00000000">
      <w:pPr>
        <w:pStyle w:val="Zkladntext1"/>
        <w:framePr w:w="9115" w:h="13296" w:hRule="exact" w:wrap="none" w:vAnchor="page" w:hAnchor="page" w:x="1748" w:y="1940"/>
        <w:numPr>
          <w:ilvl w:val="1"/>
          <w:numId w:val="3"/>
        </w:numPr>
        <w:tabs>
          <w:tab w:val="left" w:pos="562"/>
        </w:tabs>
        <w:ind w:left="580" w:hanging="580"/>
        <w:jc w:val="both"/>
      </w:pPr>
      <w:r>
        <w:t>Stane-li se tato Smlouva jako celek neplatnou, neúčinnou, zdánlivou nebo nevymahatelnou, zavazují se Smluvní strany bezodkladně, nejpozději však do třiceti (30) dnů od doručení výzvy kterékoli ze Smluvních stran druhé Smluvní straně, uzavřít novou smlouvu, která se bude svým obsahem v maximální možné míře dovolené platnými a účinnými právními předpisy blížit právům a povinnostem Smluvních stran upravených v této Smlouvě, a to při zachování jejího smyslu a účelu.</w:t>
      </w:r>
    </w:p>
    <w:p w14:paraId="62D1E1BF" w14:textId="77777777" w:rsidR="00EC1C40" w:rsidRDefault="00000000">
      <w:pPr>
        <w:pStyle w:val="Zkladntext1"/>
        <w:framePr w:w="9115" w:h="13296" w:hRule="exact" w:wrap="none" w:vAnchor="page" w:hAnchor="page" w:x="1748" w:y="1940"/>
        <w:numPr>
          <w:ilvl w:val="1"/>
          <w:numId w:val="3"/>
        </w:numPr>
        <w:tabs>
          <w:tab w:val="left" w:pos="558"/>
        </w:tabs>
        <w:ind w:left="580" w:hanging="580"/>
        <w:jc w:val="both"/>
      </w:pPr>
      <w:r>
        <w:t>Pro odstranění jakýchkoli pochybností Smluvní strany výslovně prohlašují za oddělitelná následující ustanovení: ustanovení čl. 10.10.5.1 až čl.10.10.5.5, čl. 11.1 až čl. 11.8 a čl. 20.1 až čl. 20.7 této Smlouvy.</w:t>
      </w:r>
    </w:p>
    <w:p w14:paraId="28CE39F9" w14:textId="77777777" w:rsidR="00EC1C40" w:rsidRDefault="00000000">
      <w:pPr>
        <w:pStyle w:val="Zkladntext1"/>
        <w:framePr w:w="9115" w:h="13296" w:hRule="exact" w:wrap="none" w:vAnchor="page" w:hAnchor="page" w:x="1748" w:y="1940"/>
        <w:numPr>
          <w:ilvl w:val="1"/>
          <w:numId w:val="3"/>
        </w:numPr>
        <w:tabs>
          <w:tab w:val="left" w:pos="558"/>
        </w:tabs>
        <w:ind w:left="580" w:hanging="580"/>
        <w:jc w:val="both"/>
      </w:pPr>
      <w:r>
        <w:t>Pokud dojde ke zrušení této Smlouvy či její části (bez ohledu na to z jakých důvodů či jakým postupem, včetně postupu dle § 165 nebo § 167 Správního řádu, vyjma ovšem oprávněné výpovědi této Smlouvy učiněné v souladu s čl. 16 této Smlouvy), zavazují se Smluvní strany postupovat dle čl. 20.1 Smlouvy (v případě zrušení části Smlouvy či jen některého/některých jejích ustanovení) nebo 20.2 Smlouvy (v případě zrušení Smlouvy jako celku).</w:t>
      </w:r>
    </w:p>
    <w:p w14:paraId="0A92DA48" w14:textId="77777777" w:rsidR="00EC1C40" w:rsidRDefault="00000000">
      <w:pPr>
        <w:pStyle w:val="Zkladntext1"/>
        <w:framePr w:w="9115" w:h="13296" w:hRule="exact" w:wrap="none" w:vAnchor="page" w:hAnchor="page" w:x="1748" w:y="1940"/>
        <w:numPr>
          <w:ilvl w:val="1"/>
          <w:numId w:val="3"/>
        </w:numPr>
        <w:tabs>
          <w:tab w:val="left" w:pos="558"/>
        </w:tabs>
        <w:ind w:left="580" w:hanging="580"/>
        <w:jc w:val="both"/>
      </w:pPr>
      <w:r>
        <w:t>Tento čl. 20 Smlouvy a práva a povinnosti v něm sjednaná se použijí stejně i pro případ zániku této Smlouvy či její části z jiných důvodů, než výslovně uvedených v tomto čl. 20 Smlouvy (vyjma oprávněné výpovědi této Smlouvy učiněné v souladu s čl. 16 této Smlouvy).</w:t>
      </w:r>
    </w:p>
    <w:p w14:paraId="3ECCA0F2" w14:textId="77777777" w:rsidR="00EC1C40" w:rsidRDefault="00000000">
      <w:pPr>
        <w:pStyle w:val="Zkladntext1"/>
        <w:framePr w:w="9115" w:h="13296" w:hRule="exact" w:wrap="none" w:vAnchor="page" w:hAnchor="page" w:x="1748" w:y="1940"/>
        <w:numPr>
          <w:ilvl w:val="1"/>
          <w:numId w:val="3"/>
        </w:numPr>
        <w:tabs>
          <w:tab w:val="left" w:pos="558"/>
        </w:tabs>
        <w:spacing w:after="0"/>
        <w:ind w:left="580" w:hanging="580"/>
        <w:jc w:val="both"/>
      </w:pPr>
      <w:r>
        <w:t>Smluvní strany sjednávají, že pro případ nastání kterékoli skutečnosti dle tohoto čl. 20 Smlouvy budou do doby nalezení odpovídajícího řešení a uzavření příslušného dodatku k této Smlouvě (či uzavření nové smlouvy) postupovat ve vzájemné koordinaci a součinnosti tak, aby neohrozily účel Smlouvy a možnost jejího naplnění, včetně jejího nahrazení novou smlouvou dle tohoto čl. 20 Smlouvy, a dále takovým způsobem, aby neohrozily plynulou realizaci Investičního záměru.</w:t>
      </w:r>
    </w:p>
    <w:p w14:paraId="4B4744DF" w14:textId="77777777" w:rsidR="00EC1C40" w:rsidRDefault="00000000">
      <w:pPr>
        <w:pStyle w:val="Zhlavnebozpat0"/>
        <w:framePr w:wrap="none" w:vAnchor="page" w:hAnchor="page" w:x="6015" w:y="16085"/>
        <w:rPr>
          <w:sz w:val="22"/>
          <w:szCs w:val="22"/>
        </w:rPr>
      </w:pPr>
      <w:r>
        <w:rPr>
          <w:color w:val="231E20"/>
          <w:sz w:val="22"/>
          <w:szCs w:val="22"/>
        </w:rPr>
        <w:t>53/63</w:t>
      </w:r>
    </w:p>
    <w:p w14:paraId="0829FA81"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4D7BD206" w14:textId="77777777" w:rsidR="00EC1C40" w:rsidRDefault="00000000">
      <w:pPr>
        <w:spacing w:line="1" w:lineRule="exact"/>
      </w:pPr>
      <w:r>
        <w:rPr>
          <w:noProof/>
        </w:rPr>
        <w:lastRenderedPageBreak/>
        <mc:AlternateContent>
          <mc:Choice Requires="wps">
            <w:drawing>
              <wp:anchor distT="0" distB="0" distL="114300" distR="114300" simplePos="0" relativeHeight="251637248" behindDoc="1" locked="0" layoutInCell="1" allowOverlap="1" wp14:anchorId="1BED6E1C" wp14:editId="7EA5F618">
                <wp:simplePos x="0" y="0"/>
                <wp:positionH relativeFrom="page">
                  <wp:posOffset>1179830</wp:posOffset>
                </wp:positionH>
                <wp:positionV relativeFrom="page">
                  <wp:posOffset>932180</wp:posOffset>
                </wp:positionV>
                <wp:extent cx="5702300" cy="0"/>
                <wp:effectExtent l="0" t="0" r="0" b="0"/>
                <wp:wrapNone/>
                <wp:docPr id="53" name="Shape 53"/>
                <wp:cNvGraphicFramePr/>
                <a:graphic xmlns:a="http://schemas.openxmlformats.org/drawingml/2006/main">
                  <a:graphicData uri="http://schemas.microsoft.com/office/word/2010/wordprocessingShape">
                    <wps:wsp>
                      <wps:cNvCnPr/>
                      <wps:spPr>
                        <a:xfrm>
                          <a:off x="0" y="0"/>
                          <a:ext cx="5702300" cy="0"/>
                        </a:xfrm>
                        <a:prstGeom prst="straightConnector1">
                          <a:avLst/>
                        </a:prstGeom>
                        <a:ln w="6350">
                          <a:solidFill/>
                        </a:ln>
                      </wps:spPr>
                      <wps:bodyPr/>
                    </wps:wsp>
                  </a:graphicData>
                </a:graphic>
              </wp:anchor>
            </w:drawing>
          </mc:Choice>
          <mc:Fallback>
            <w:pict>
              <v:shape o:spt="32" o:oned="true" path="m,l21600,21600e" style="position:absolute;margin-left:92.900000000000006pt;margin-top:73.400000000000006pt;width:449.pt;height:0;z-index:-251658240;mso-position-horizontal-relative:page;mso-position-vertical-relative:page">
                <v:stroke weight="0.5pt"/>
              </v:shape>
            </w:pict>
          </mc:Fallback>
        </mc:AlternateContent>
      </w:r>
    </w:p>
    <w:p w14:paraId="2234FBA2" w14:textId="77777777" w:rsidR="00EC1C40" w:rsidRDefault="00000000">
      <w:pPr>
        <w:pStyle w:val="Zhlavnebozpat0"/>
        <w:framePr w:wrap="none" w:vAnchor="page" w:hAnchor="page" w:x="5665" w:y="1186"/>
      </w:pPr>
      <w:r>
        <w:t>Plánovací smlouva</w:t>
      </w:r>
    </w:p>
    <w:p w14:paraId="65A64C51" w14:textId="77777777" w:rsidR="00EC1C40" w:rsidRDefault="00000000">
      <w:pPr>
        <w:pStyle w:val="Zkladntext1"/>
        <w:framePr w:w="9115" w:h="13594" w:hRule="exact" w:wrap="none" w:vAnchor="page" w:hAnchor="page" w:x="1748" w:y="1940"/>
        <w:numPr>
          <w:ilvl w:val="1"/>
          <w:numId w:val="3"/>
        </w:numPr>
        <w:tabs>
          <w:tab w:val="left" w:pos="562"/>
        </w:tabs>
        <w:ind w:left="580" w:hanging="580"/>
        <w:jc w:val="both"/>
      </w:pPr>
      <w:r>
        <w:t xml:space="preserve">Smluvní strany se dále zavazují, že pokud by došlo k zániku Smlouvy o výpůjčce, Směnné smlouvy 1, Smlouvy o smlouvě budoucí směnné, Směnné smlouvy 2, Smlouvy o výpůjčce SMP Hůrka, </w:t>
      </w:r>
      <w:proofErr w:type="spellStart"/>
      <w:r>
        <w:t>SoSB</w:t>
      </w:r>
      <w:proofErr w:type="spellEnd"/>
      <w:r>
        <w:t xml:space="preserve"> SMP Hůrka (včetně realizační kupní smlouvy), Smlouvy o výpůjčce Nadace Hůrka a </w:t>
      </w:r>
      <w:proofErr w:type="spellStart"/>
      <w:r>
        <w:t>SoSB</w:t>
      </w:r>
      <w:proofErr w:type="spellEnd"/>
      <w:r>
        <w:t xml:space="preserve"> Nadace Hůrka (včetně realizační kupní smlouvy) a/nebo jiných smluv týkajících se realizace Investičního záměru uzavřených mezi Investorem a SMP, a to z jiných důvodů, než jejich splněním či v důsledku oprávněné výpovědi či odstoupení příslušné Smluvní strany, zavazují se Smluvní strany bezodkladně, nejpozději však do tří (3) měsíců od doručení výzvy kterékoli ze Smluvních stran druhé Smluvní straně, uzavřít novou příslušnou smlouvu, která se bude svým obsahem v maximální možné míře dovolené platnými a účinnými právními předpisy blížit právům a povinnostem Smluvních stran upraveným ve smlouvě, o jejíž nahrazení jde, a to při zachování jejího smyslu a účelu nahrazované smlouvy.</w:t>
      </w:r>
    </w:p>
    <w:p w14:paraId="37CAB0CB" w14:textId="77777777" w:rsidR="00EC1C40" w:rsidRDefault="00000000">
      <w:pPr>
        <w:pStyle w:val="Nadpis60"/>
        <w:framePr w:w="9115" w:h="13594" w:hRule="exact" w:wrap="none" w:vAnchor="page" w:hAnchor="page" w:x="1748" w:y="1940"/>
        <w:numPr>
          <w:ilvl w:val="0"/>
          <w:numId w:val="3"/>
        </w:numPr>
        <w:tabs>
          <w:tab w:val="left" w:pos="556"/>
        </w:tabs>
        <w:jc w:val="both"/>
      </w:pPr>
      <w:bookmarkStart w:id="20" w:name="bookmark40"/>
      <w:r>
        <w:t>Právní povaha Smlouvy a rozhodné právo</w:t>
      </w:r>
      <w:bookmarkEnd w:id="20"/>
    </w:p>
    <w:p w14:paraId="75ED2EC4" w14:textId="77777777" w:rsidR="00EC1C40" w:rsidRDefault="00000000">
      <w:pPr>
        <w:pStyle w:val="Zkladntext1"/>
        <w:framePr w:w="9115" w:h="13594" w:hRule="exact" w:wrap="none" w:vAnchor="page" w:hAnchor="page" w:x="1748" w:y="1940"/>
        <w:numPr>
          <w:ilvl w:val="1"/>
          <w:numId w:val="3"/>
        </w:numPr>
        <w:tabs>
          <w:tab w:val="left" w:pos="562"/>
        </w:tabs>
        <w:jc w:val="both"/>
      </w:pPr>
      <w:r>
        <w:t>Tato Smlouva se řídí právními předpisy České republiky a je vykládána v souladu s nimi.</w:t>
      </w:r>
    </w:p>
    <w:p w14:paraId="2727F8EF" w14:textId="77777777" w:rsidR="00EC1C40" w:rsidRDefault="00000000">
      <w:pPr>
        <w:pStyle w:val="Zkladntext1"/>
        <w:framePr w:w="9115" w:h="13594" w:hRule="exact" w:wrap="none" w:vAnchor="page" w:hAnchor="page" w:x="1748" w:y="1940"/>
        <w:numPr>
          <w:ilvl w:val="1"/>
          <w:numId w:val="3"/>
        </w:numPr>
        <w:tabs>
          <w:tab w:val="left" w:pos="558"/>
        </w:tabs>
        <w:ind w:left="580" w:hanging="580"/>
        <w:jc w:val="both"/>
      </w:pPr>
      <w:r>
        <w:t>Smluvní strany vycházejí z toho, že tato Smlouva je svojí právní povahou veřejnoprávní (plánovací) smlouvou ve smyslu § 130 a násl. Stavebního zákona, a to zejména s ohledem na veřejnoprávní povahu závazků obsažených v čl. 11 této Smlouvy. Smluvní strany jsou si dále vědomy, že součástí této Smlouvy jsou v souladu s čl. 131 odst. 2 Stavebního zákona i soukromoprávní závazky, které však tvoří nedílnou součást této Smlouvy.</w:t>
      </w:r>
    </w:p>
    <w:p w14:paraId="4385B9AC" w14:textId="77777777" w:rsidR="00EC1C40" w:rsidRDefault="00000000">
      <w:pPr>
        <w:pStyle w:val="Zkladntext1"/>
        <w:framePr w:w="9115" w:h="13594" w:hRule="exact" w:wrap="none" w:vAnchor="page" w:hAnchor="page" w:x="1748" w:y="1940"/>
        <w:numPr>
          <w:ilvl w:val="1"/>
          <w:numId w:val="3"/>
        </w:numPr>
        <w:tabs>
          <w:tab w:val="left" w:pos="558"/>
        </w:tabs>
        <w:ind w:left="580" w:hanging="580"/>
        <w:jc w:val="both"/>
      </w:pPr>
      <w:r>
        <w:t>Smluvní strany prohlašují, že řádně prověřily všechny okolnosti, informace a podklady týkající se uzavření této Smlouvy, a že dle jejich nejlepšího vědomí je tato Smlouva plně souladná s právními předpisy. Pokud by se kdykoli ukázalo, že tato Smlouva či její kterákoli část či ustanovení není v souladu s právními předpisy, je kterákoli ze Smluvních stran oprávněna a současně povinna před učiněním jakýchkoli dalších kroků (podnětů, návrhů atd.) vyzvat druhou Smluvní stranu k zahájení jednání, jehož předmětem bude v dobré víře nalezení řešení vzniklé situace, přičemž postup dle čl. 20.1, respektive čl. 20.2 Smlouvy se použije obdobně. Příslušná Smluvní strana je oprávněna podat podnět k provedení přezkumného řízení či jiného přezkoumání této Smlouvy nebo návrh na zrušení této Smlouvy (bez ohledu na to, z jakých důvodů uvedených v právních předpisech), pokud je k nim dle právních předpisů oprávněna, výhradně až tehdy, pokud se nepodaří Smluvním stranám odstranit důvod, pro který by tato Smlouva měla být v rozporu s právními předpisy či pro který by měla být zrušena. Toto ustanovení se použije obdobně i pro případ, kdy by návrh či podnět na zrušení této Smlouvy podala třetí osoba.</w:t>
      </w:r>
    </w:p>
    <w:p w14:paraId="7C30D4F2" w14:textId="77777777" w:rsidR="00EC1C40" w:rsidRDefault="00000000">
      <w:pPr>
        <w:pStyle w:val="Zkladntext1"/>
        <w:framePr w:w="9115" w:h="13594" w:hRule="exact" w:wrap="none" w:vAnchor="page" w:hAnchor="page" w:x="1748" w:y="1940"/>
        <w:numPr>
          <w:ilvl w:val="1"/>
          <w:numId w:val="3"/>
        </w:numPr>
        <w:tabs>
          <w:tab w:val="left" w:pos="558"/>
        </w:tabs>
        <w:ind w:left="580" w:hanging="580"/>
        <w:jc w:val="both"/>
      </w:pPr>
      <w:r>
        <w:t>Investor i SMP prohlašují, že jim nejsou známy žádné důvody či okolnosti, které by zakládaly či mohly založit (a to i kdykoli v budoucnu) jakýkoli důvod pro zrušení této Smlouvy či její části (zejména ve smyslu § 167 písm. b) až e) Správního řádu) nebo které by zakládaly či mohly založit jakýkoli důvod pro rozpor této Smlouvy s právními předpisy (a tedy následně i důvod pro její zrušení v rámci přezkoumání této Smlouvy).</w:t>
      </w:r>
    </w:p>
    <w:p w14:paraId="78664378" w14:textId="77777777" w:rsidR="00EC1C40" w:rsidRDefault="00000000">
      <w:pPr>
        <w:pStyle w:val="Zkladntext1"/>
        <w:framePr w:w="9115" w:h="13594" w:hRule="exact" w:wrap="none" w:vAnchor="page" w:hAnchor="page" w:x="1748" w:y="1940"/>
        <w:numPr>
          <w:ilvl w:val="1"/>
          <w:numId w:val="3"/>
        </w:numPr>
        <w:tabs>
          <w:tab w:val="left" w:pos="558"/>
        </w:tabs>
        <w:ind w:left="580" w:hanging="580"/>
        <w:jc w:val="both"/>
      </w:pPr>
      <w:r>
        <w:t>Smluvní strany prohlašují, že dle jejich nejlepšího vědomí je tato Smlouva a její účel v souladu s veřejným zájmem, jelikož:</w:t>
      </w:r>
    </w:p>
    <w:p w14:paraId="063740AB" w14:textId="77777777" w:rsidR="00EC1C40" w:rsidRDefault="00000000">
      <w:pPr>
        <w:pStyle w:val="Zkladntext1"/>
        <w:framePr w:w="9115" w:h="13594" w:hRule="exact" w:wrap="none" w:vAnchor="page" w:hAnchor="page" w:x="1748" w:y="1940"/>
        <w:numPr>
          <w:ilvl w:val="2"/>
          <w:numId w:val="3"/>
        </w:numPr>
        <w:tabs>
          <w:tab w:val="left" w:pos="1324"/>
        </w:tabs>
        <w:ind w:left="1320" w:hanging="740"/>
        <w:jc w:val="both"/>
      </w:pPr>
      <w:r>
        <w:t>realizace Investičního záměru a souvisejících investic, zejména Nepeněžního plnění a Související infrastruktury, představuje zásadní přínos pro rozvoj Lokality Nová Cihelna a celého Statutárního města Pardubice, zejména s ohledem na tvorbu nových pracovních míst, rozvoj sportovních a kulturních aktivit v regionu, rozvoj turistického ruchu a z toho dále vyplývajícího zvýšení příjmů (daňových i jiných) SMP;</w:t>
      </w:r>
    </w:p>
    <w:p w14:paraId="10B88D28" w14:textId="77777777" w:rsidR="00EC1C40" w:rsidRDefault="00000000">
      <w:pPr>
        <w:pStyle w:val="Zkladntext1"/>
        <w:framePr w:w="9115" w:h="13594" w:hRule="exact" w:wrap="none" w:vAnchor="page" w:hAnchor="page" w:x="1748" w:y="1940"/>
        <w:numPr>
          <w:ilvl w:val="2"/>
          <w:numId w:val="3"/>
        </w:numPr>
        <w:tabs>
          <w:tab w:val="left" w:pos="1324"/>
        </w:tabs>
        <w:spacing w:after="0"/>
        <w:ind w:left="1320" w:hanging="740"/>
        <w:jc w:val="both"/>
      </w:pPr>
      <w:r>
        <w:t>realizace Investičního záměru, s ohledem na význam a rozsah Investičního záměru, představuje zásadní přínos i pro rozvoj Pardubického kraje a celé České republiky, včetně z toho vyplývajících benefitů v podobě tvorby nových pracovních míst, rozvoj</w:t>
      </w:r>
    </w:p>
    <w:p w14:paraId="130BF161" w14:textId="77777777" w:rsidR="00EC1C40" w:rsidRDefault="00000000">
      <w:pPr>
        <w:pStyle w:val="Zhlavnebozpat0"/>
        <w:framePr w:wrap="none" w:vAnchor="page" w:hAnchor="page" w:x="6015" w:y="16085"/>
        <w:rPr>
          <w:sz w:val="22"/>
          <w:szCs w:val="22"/>
        </w:rPr>
      </w:pPr>
      <w:r>
        <w:rPr>
          <w:color w:val="231E20"/>
          <w:sz w:val="22"/>
          <w:szCs w:val="22"/>
        </w:rPr>
        <w:t>54/63</w:t>
      </w:r>
    </w:p>
    <w:p w14:paraId="4C37D268"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148FB427" w14:textId="77777777" w:rsidR="00EC1C40" w:rsidRDefault="00000000">
      <w:pPr>
        <w:spacing w:line="1" w:lineRule="exact"/>
      </w:pPr>
      <w:r>
        <w:rPr>
          <w:noProof/>
        </w:rPr>
        <w:lastRenderedPageBreak/>
        <mc:AlternateContent>
          <mc:Choice Requires="wps">
            <w:drawing>
              <wp:anchor distT="0" distB="0" distL="114300" distR="114300" simplePos="0" relativeHeight="251638272" behindDoc="1" locked="0" layoutInCell="1" allowOverlap="1" wp14:anchorId="3FDEF353" wp14:editId="672993B0">
                <wp:simplePos x="0" y="0"/>
                <wp:positionH relativeFrom="page">
                  <wp:posOffset>1179830</wp:posOffset>
                </wp:positionH>
                <wp:positionV relativeFrom="page">
                  <wp:posOffset>932180</wp:posOffset>
                </wp:positionV>
                <wp:extent cx="5702300" cy="0"/>
                <wp:effectExtent l="0" t="0" r="0" b="0"/>
                <wp:wrapNone/>
                <wp:docPr id="54" name="Shape 54"/>
                <wp:cNvGraphicFramePr/>
                <a:graphic xmlns:a="http://schemas.openxmlformats.org/drawingml/2006/main">
                  <a:graphicData uri="http://schemas.microsoft.com/office/word/2010/wordprocessingShape">
                    <wps:wsp>
                      <wps:cNvCnPr/>
                      <wps:spPr>
                        <a:xfrm>
                          <a:off x="0" y="0"/>
                          <a:ext cx="5702300" cy="0"/>
                        </a:xfrm>
                        <a:prstGeom prst="straightConnector1">
                          <a:avLst/>
                        </a:prstGeom>
                        <a:ln w="6350">
                          <a:solidFill/>
                        </a:ln>
                      </wps:spPr>
                      <wps:bodyPr/>
                    </wps:wsp>
                  </a:graphicData>
                </a:graphic>
              </wp:anchor>
            </w:drawing>
          </mc:Choice>
          <mc:Fallback>
            <w:pict>
              <v:shape o:spt="32" o:oned="true" path="m,l21600,21600e" style="position:absolute;margin-left:92.900000000000006pt;margin-top:73.400000000000006pt;width:449.pt;height:0;z-index:-251658240;mso-position-horizontal-relative:page;mso-position-vertical-relative:page">
                <v:stroke weight="0.5pt"/>
              </v:shape>
            </w:pict>
          </mc:Fallback>
        </mc:AlternateContent>
      </w:r>
    </w:p>
    <w:p w14:paraId="67FF03DF" w14:textId="77777777" w:rsidR="00EC1C40" w:rsidRDefault="00000000">
      <w:pPr>
        <w:pStyle w:val="Zhlavnebozpat0"/>
        <w:framePr w:wrap="none" w:vAnchor="page" w:hAnchor="page" w:x="5665" w:y="1186"/>
      </w:pPr>
      <w:r>
        <w:t>Plánovací smlouva</w:t>
      </w:r>
    </w:p>
    <w:p w14:paraId="3D447BB2" w14:textId="77777777" w:rsidR="00EC1C40" w:rsidRDefault="00000000">
      <w:pPr>
        <w:pStyle w:val="Zkladntext1"/>
        <w:framePr w:w="9115" w:h="12734" w:hRule="exact" w:wrap="none" w:vAnchor="page" w:hAnchor="page" w:x="1748" w:y="1940"/>
        <w:spacing w:after="120"/>
        <w:ind w:left="1320"/>
        <w:jc w:val="both"/>
      </w:pPr>
      <w:r>
        <w:t>sportovních a kulturních aktivit v regionu, rozvoj turistického ruchu a z toho dále vyplývajícího zvýšení příjmů Pardubického kraje a České republiky;</w:t>
      </w:r>
    </w:p>
    <w:p w14:paraId="074A34E8" w14:textId="77777777" w:rsidR="00EC1C40" w:rsidRDefault="00000000">
      <w:pPr>
        <w:pStyle w:val="Zkladntext1"/>
        <w:framePr w:w="9115" w:h="12734" w:hRule="exact" w:wrap="none" w:vAnchor="page" w:hAnchor="page" w:x="1748" w:y="1940"/>
        <w:numPr>
          <w:ilvl w:val="2"/>
          <w:numId w:val="3"/>
        </w:numPr>
        <w:tabs>
          <w:tab w:val="left" w:pos="1324"/>
        </w:tabs>
        <w:spacing w:after="120"/>
        <w:ind w:left="1320" w:hanging="740"/>
        <w:jc w:val="both"/>
      </w:pPr>
      <w:r>
        <w:t>realizace Investičního záměru umožní jeho využití pro veřejné funkce Investičního záměru;</w:t>
      </w:r>
    </w:p>
    <w:p w14:paraId="44DC6892" w14:textId="77777777" w:rsidR="00EC1C40" w:rsidRDefault="00000000">
      <w:pPr>
        <w:pStyle w:val="Zkladntext1"/>
        <w:framePr w:w="9115" w:h="12734" w:hRule="exact" w:wrap="none" w:vAnchor="page" w:hAnchor="page" w:x="1748" w:y="1940"/>
        <w:numPr>
          <w:ilvl w:val="2"/>
          <w:numId w:val="3"/>
        </w:numPr>
        <w:tabs>
          <w:tab w:val="left" w:pos="1324"/>
        </w:tabs>
        <w:spacing w:after="120"/>
        <w:ind w:left="1320" w:hanging="740"/>
        <w:jc w:val="both"/>
      </w:pPr>
      <w:r>
        <w:t>realizace Nepeněžního plnění a Související infrastruktury představuje zásadní přínos a předpoklad pro harmonický rozvoj Lokality Nová Cihelna a umožnění výstavby v této lokalitě;</w:t>
      </w:r>
    </w:p>
    <w:p w14:paraId="56A47D08" w14:textId="77777777" w:rsidR="00EC1C40" w:rsidRDefault="00000000">
      <w:pPr>
        <w:pStyle w:val="Zkladntext1"/>
        <w:framePr w:w="9115" w:h="12734" w:hRule="exact" w:wrap="none" w:vAnchor="page" w:hAnchor="page" w:x="1748" w:y="1940"/>
        <w:numPr>
          <w:ilvl w:val="2"/>
          <w:numId w:val="3"/>
        </w:numPr>
        <w:tabs>
          <w:tab w:val="left" w:pos="1324"/>
        </w:tabs>
        <w:spacing w:after="120"/>
        <w:ind w:left="1320" w:hanging="740"/>
        <w:jc w:val="both"/>
      </w:pPr>
      <w:r>
        <w:t>tato Smlouva byla sjednána v rámci předvídatelného, transparentního a rovného postupu podle Zásad a při respektování jejich principů, jakož i při dodržení všech právních předpisů; a</w:t>
      </w:r>
    </w:p>
    <w:p w14:paraId="7F5D8D7E" w14:textId="77777777" w:rsidR="00EC1C40" w:rsidRDefault="00000000">
      <w:pPr>
        <w:pStyle w:val="Zkladntext1"/>
        <w:framePr w:w="9115" w:h="12734" w:hRule="exact" w:wrap="none" w:vAnchor="page" w:hAnchor="page" w:x="1748" w:y="1940"/>
        <w:numPr>
          <w:ilvl w:val="2"/>
          <w:numId w:val="3"/>
        </w:numPr>
        <w:tabs>
          <w:tab w:val="left" w:pos="1324"/>
        </w:tabs>
        <w:spacing w:after="120"/>
        <w:ind w:left="1320" w:hanging="740"/>
        <w:jc w:val="both"/>
      </w:pPr>
      <w:r>
        <w:t>SMP prostřednictvím této Smlouvy a spolupráce, kterou tato Smlouva zakládá, má plnou možnost vyjádřit se k základním aspektům a podobě Investičního záměru a rozvoje Lokality Nová Cihelna a uplatnit svoje připomínky a návrhy k Investičnímu záměru (a to včetně otázek ekonomického charakteru), přičemž tyto připomínky a vyjádření Investor zohlednil a reflektoval při návrhu Investičního záměru, Nepeněžního plnění a Související infrastruktury, což přispělo k participaci SMP a spolupráci s Investorem na budoucí podobě území města.</w:t>
      </w:r>
    </w:p>
    <w:p w14:paraId="430A2910" w14:textId="77777777" w:rsidR="00EC1C40" w:rsidRDefault="00000000">
      <w:pPr>
        <w:pStyle w:val="Zkladntext1"/>
        <w:framePr w:w="9115" w:h="12734" w:hRule="exact" w:wrap="none" w:vAnchor="page" w:hAnchor="page" w:x="1748" w:y="1940"/>
        <w:numPr>
          <w:ilvl w:val="1"/>
          <w:numId w:val="3"/>
        </w:numPr>
        <w:tabs>
          <w:tab w:val="left" w:pos="558"/>
        </w:tabs>
        <w:spacing w:after="120"/>
        <w:ind w:left="580" w:hanging="580"/>
        <w:jc w:val="both"/>
      </w:pPr>
      <w:r>
        <w:t>Smluvní strany vylučují aplikaci ustanovení § 558 odst. 2 (v rozsahu, v jakém stanoví, že obchodní zvyklost má přednost před ustanovením zákona, jež nemá donucující účinky), § 1727, § 1735, § 1737, § 1740 odst. 3, § 1748, 1765 odst. 1, § 1766, § 1788, § 1995 odst. 2, § 2004 Občanského zákoníku na tuto Smlouvu a na veškerá práva a povinnosti Smluvních stran vzniklá na základě této Smlouvy. Tím není jakkoli dotčeno vyloučení jiných ustanovení právních předpisů, pokud tak tato Smlouva v jiných ustanoveních stanoví.</w:t>
      </w:r>
    </w:p>
    <w:p w14:paraId="77D62240" w14:textId="77777777" w:rsidR="00EC1C40" w:rsidRDefault="00000000">
      <w:pPr>
        <w:pStyle w:val="Zkladntext1"/>
        <w:framePr w:w="9115" w:h="12734" w:hRule="exact" w:wrap="none" w:vAnchor="page" w:hAnchor="page" w:x="1748" w:y="1940"/>
        <w:numPr>
          <w:ilvl w:val="1"/>
          <w:numId w:val="3"/>
        </w:numPr>
        <w:tabs>
          <w:tab w:val="left" w:pos="558"/>
        </w:tabs>
        <w:spacing w:after="120"/>
        <w:jc w:val="both"/>
      </w:pPr>
      <w:r>
        <w:t>Smluvní strany (každá ze Smluvních stran) na sebe přebírají nebezpečí změny okolností.</w:t>
      </w:r>
    </w:p>
    <w:p w14:paraId="6CECF07A" w14:textId="77777777" w:rsidR="00EC1C40" w:rsidRDefault="00000000">
      <w:pPr>
        <w:pStyle w:val="Nadpis60"/>
        <w:framePr w:w="9115" w:h="12734" w:hRule="exact" w:wrap="none" w:vAnchor="page" w:hAnchor="page" w:x="1748" w:y="1940"/>
        <w:numPr>
          <w:ilvl w:val="0"/>
          <w:numId w:val="3"/>
        </w:numPr>
        <w:tabs>
          <w:tab w:val="left" w:pos="556"/>
        </w:tabs>
        <w:spacing w:after="120"/>
        <w:jc w:val="both"/>
      </w:pPr>
      <w:bookmarkStart w:id="21" w:name="bookmark42"/>
      <w:r>
        <w:t>Řešení sporů</w:t>
      </w:r>
      <w:bookmarkEnd w:id="21"/>
    </w:p>
    <w:p w14:paraId="58D262A4" w14:textId="77777777" w:rsidR="00EC1C40" w:rsidRDefault="00000000">
      <w:pPr>
        <w:pStyle w:val="Zkladntext1"/>
        <w:framePr w:w="9115" w:h="12734" w:hRule="exact" w:wrap="none" w:vAnchor="page" w:hAnchor="page" w:x="1748" w:y="1940"/>
        <w:numPr>
          <w:ilvl w:val="1"/>
          <w:numId w:val="3"/>
        </w:numPr>
        <w:tabs>
          <w:tab w:val="left" w:pos="558"/>
        </w:tabs>
        <w:spacing w:after="120"/>
        <w:ind w:left="580" w:hanging="580"/>
        <w:jc w:val="both"/>
      </w:pPr>
      <w:r>
        <w:t>Veškeré spory vyplývající z této Smlouvy nebo vzniklé v souvislosti s ní se pokusí Smluvní strany nejprve vyřešit smírnou cestou. Pokud se Smluvní strany nedohodnou na smírném řešení, může se kterákoli z nich obrátit na příslušný orgán a podat příslušný návrh na zahájení řízení.</w:t>
      </w:r>
    </w:p>
    <w:p w14:paraId="1A1F2431" w14:textId="77777777" w:rsidR="00EC1C40" w:rsidRDefault="00000000">
      <w:pPr>
        <w:pStyle w:val="Zkladntext1"/>
        <w:framePr w:w="9115" w:h="12734" w:hRule="exact" w:wrap="none" w:vAnchor="page" w:hAnchor="page" w:x="1748" w:y="1940"/>
        <w:numPr>
          <w:ilvl w:val="1"/>
          <w:numId w:val="3"/>
        </w:numPr>
        <w:tabs>
          <w:tab w:val="left" w:pos="558"/>
        </w:tabs>
        <w:spacing w:after="120" w:line="233" w:lineRule="auto"/>
        <w:ind w:left="580" w:hanging="580"/>
        <w:jc w:val="both"/>
      </w:pPr>
      <w:r>
        <w:t>K přezkumu souladu této plánovací smlouvy s právními předpisy a k rozhodování sporů z ní je v souladu s § 132 odst. 2 Stavebního zákona věcně a místně příslušný správní orgán.</w:t>
      </w:r>
    </w:p>
    <w:p w14:paraId="37BC33E2" w14:textId="77777777" w:rsidR="00EC1C40" w:rsidRDefault="00000000">
      <w:pPr>
        <w:pStyle w:val="Nadpis60"/>
        <w:framePr w:w="9115" w:h="12734" w:hRule="exact" w:wrap="none" w:vAnchor="page" w:hAnchor="page" w:x="1748" w:y="1940"/>
        <w:numPr>
          <w:ilvl w:val="0"/>
          <w:numId w:val="3"/>
        </w:numPr>
        <w:tabs>
          <w:tab w:val="left" w:pos="556"/>
        </w:tabs>
        <w:spacing w:after="120"/>
        <w:jc w:val="both"/>
      </w:pPr>
      <w:bookmarkStart w:id="22" w:name="bookmark44"/>
      <w:r>
        <w:t>Změny Smlouvy</w:t>
      </w:r>
      <w:bookmarkEnd w:id="22"/>
    </w:p>
    <w:p w14:paraId="4A1F34E6" w14:textId="77777777" w:rsidR="00EC1C40" w:rsidRDefault="00000000">
      <w:pPr>
        <w:pStyle w:val="Zkladntext1"/>
        <w:framePr w:w="9115" w:h="12734" w:hRule="exact" w:wrap="none" w:vAnchor="page" w:hAnchor="page" w:x="1748" w:y="1940"/>
        <w:numPr>
          <w:ilvl w:val="1"/>
          <w:numId w:val="3"/>
        </w:numPr>
        <w:tabs>
          <w:tab w:val="left" w:pos="558"/>
        </w:tabs>
        <w:spacing w:after="120"/>
        <w:ind w:left="580" w:hanging="580"/>
        <w:jc w:val="both"/>
      </w:pPr>
      <w:r>
        <w:t>Změny nebo doplňky této Smlouvy včetně jejích příloh musejí být vyhotoveny písemně a podepsány všemi Smluvními stranami. Změna této Smlouvy v jiné, než písemné formě je tímto vyloučena. Pro tyto účely nebude Smluvními stranami za písemnou formu uznána výměna jakýchkoliv e-mailových zpráv. Smluvní strany se dále pro vyloučení jakýchkoliv pochybností dohodly, že také změna tohoto ustanovení (čl. 23.1 této Smlouvy) jinou než písemnou formou se tímto vylučuje.</w:t>
      </w:r>
    </w:p>
    <w:p w14:paraId="2A3D468E" w14:textId="77777777" w:rsidR="00EC1C40" w:rsidRDefault="00000000">
      <w:pPr>
        <w:pStyle w:val="Zkladntext1"/>
        <w:framePr w:w="9115" w:h="12734" w:hRule="exact" w:wrap="none" w:vAnchor="page" w:hAnchor="page" w:x="1748" w:y="1940"/>
        <w:numPr>
          <w:ilvl w:val="1"/>
          <w:numId w:val="3"/>
        </w:numPr>
        <w:tabs>
          <w:tab w:val="left" w:pos="558"/>
        </w:tabs>
        <w:spacing w:after="0"/>
        <w:ind w:left="580" w:hanging="580"/>
        <w:jc w:val="both"/>
      </w:pPr>
      <w:r>
        <w:t>Vzhledem k tomu, že k uzavření této Smlouvy bylo v souladu s § 132 odst. 1 Stavebního zákona třeba schválení Zastupitelstvem SMP, je v souladu s § 166 odst. 1 Správního řádu tohoto schválení třeba i k uzavření dohody o změně této Smlouvy, ledaže že je obsah smlouvy upřesněn v důsledku Smlouvou předpokládaného postupu, který dle Smlouvy nevyžaduje dodatek k této Smlouvě.</w:t>
      </w:r>
    </w:p>
    <w:p w14:paraId="0BC877C0" w14:textId="77777777" w:rsidR="00EC1C40" w:rsidRDefault="00000000">
      <w:pPr>
        <w:pStyle w:val="Zhlavnebozpat0"/>
        <w:framePr w:wrap="none" w:vAnchor="page" w:hAnchor="page" w:x="6015" w:y="16085"/>
        <w:rPr>
          <w:sz w:val="22"/>
          <w:szCs w:val="22"/>
        </w:rPr>
      </w:pPr>
      <w:r>
        <w:rPr>
          <w:color w:val="231E20"/>
          <w:sz w:val="22"/>
          <w:szCs w:val="22"/>
        </w:rPr>
        <w:t>55/63</w:t>
      </w:r>
    </w:p>
    <w:p w14:paraId="24A6C323"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2C98ED02" w14:textId="77777777" w:rsidR="00EC1C40" w:rsidRDefault="00000000">
      <w:pPr>
        <w:spacing w:line="1" w:lineRule="exact"/>
      </w:pPr>
      <w:r>
        <w:rPr>
          <w:noProof/>
        </w:rPr>
        <w:lastRenderedPageBreak/>
        <mc:AlternateContent>
          <mc:Choice Requires="wps">
            <w:drawing>
              <wp:anchor distT="0" distB="0" distL="114300" distR="114300" simplePos="0" relativeHeight="251639296" behindDoc="1" locked="0" layoutInCell="1" allowOverlap="1" wp14:anchorId="4113AD4A" wp14:editId="2AEBCE5E">
                <wp:simplePos x="0" y="0"/>
                <wp:positionH relativeFrom="page">
                  <wp:posOffset>1179830</wp:posOffset>
                </wp:positionH>
                <wp:positionV relativeFrom="page">
                  <wp:posOffset>932180</wp:posOffset>
                </wp:positionV>
                <wp:extent cx="5702300" cy="0"/>
                <wp:effectExtent l="0" t="0" r="0" b="0"/>
                <wp:wrapNone/>
                <wp:docPr id="55" name="Shape 55"/>
                <wp:cNvGraphicFramePr/>
                <a:graphic xmlns:a="http://schemas.openxmlformats.org/drawingml/2006/main">
                  <a:graphicData uri="http://schemas.microsoft.com/office/word/2010/wordprocessingShape">
                    <wps:wsp>
                      <wps:cNvCnPr/>
                      <wps:spPr>
                        <a:xfrm>
                          <a:off x="0" y="0"/>
                          <a:ext cx="5702300" cy="0"/>
                        </a:xfrm>
                        <a:prstGeom prst="straightConnector1">
                          <a:avLst/>
                        </a:prstGeom>
                        <a:ln w="6350">
                          <a:solidFill/>
                        </a:ln>
                      </wps:spPr>
                      <wps:bodyPr/>
                    </wps:wsp>
                  </a:graphicData>
                </a:graphic>
              </wp:anchor>
            </w:drawing>
          </mc:Choice>
          <mc:Fallback>
            <w:pict>
              <v:shape o:spt="32" o:oned="true" path="m,l21600,21600e" style="position:absolute;margin-left:92.900000000000006pt;margin-top:73.400000000000006pt;width:449.pt;height:0;z-index:-251658240;mso-position-horizontal-relative:page;mso-position-vertical-relative:page">
                <v:stroke weight="0.5pt"/>
              </v:shape>
            </w:pict>
          </mc:Fallback>
        </mc:AlternateContent>
      </w:r>
    </w:p>
    <w:p w14:paraId="01C930A9" w14:textId="77777777" w:rsidR="00EC1C40" w:rsidRDefault="00000000">
      <w:pPr>
        <w:pStyle w:val="Zhlavnebozpat0"/>
        <w:framePr w:wrap="none" w:vAnchor="page" w:hAnchor="page" w:x="5665" w:y="1186"/>
      </w:pPr>
      <w:r>
        <w:t>Plánovací smlouva</w:t>
      </w:r>
    </w:p>
    <w:p w14:paraId="1E5C6916" w14:textId="77777777" w:rsidR="00EC1C40" w:rsidRDefault="00000000">
      <w:pPr>
        <w:pStyle w:val="Zkladntext1"/>
        <w:framePr w:w="9115" w:h="13445" w:hRule="exact" w:wrap="none" w:vAnchor="page" w:hAnchor="page" w:x="1748" w:y="1940"/>
        <w:numPr>
          <w:ilvl w:val="1"/>
          <w:numId w:val="3"/>
        </w:numPr>
        <w:tabs>
          <w:tab w:val="left" w:pos="562"/>
        </w:tabs>
        <w:ind w:left="580" w:hanging="580"/>
        <w:jc w:val="both"/>
      </w:pPr>
      <w:r>
        <w:t>Změny nebo doplňky této Smlouvy včetně jejích příloh musejí být vyhotoveny písemně, podepsány všemi Smluvními stranami a schváleny Zastupitelstvem SMP. Teprve po splnění všech těchto podmínek nabude změna účinnosti.</w:t>
      </w:r>
    </w:p>
    <w:p w14:paraId="5A38327B" w14:textId="77777777" w:rsidR="00EC1C40" w:rsidRDefault="00000000">
      <w:pPr>
        <w:pStyle w:val="Nadpis60"/>
        <w:framePr w:w="9115" w:h="13445" w:hRule="exact" w:wrap="none" w:vAnchor="page" w:hAnchor="page" w:x="1748" w:y="1940"/>
        <w:numPr>
          <w:ilvl w:val="0"/>
          <w:numId w:val="3"/>
        </w:numPr>
        <w:tabs>
          <w:tab w:val="left" w:pos="560"/>
        </w:tabs>
        <w:jc w:val="both"/>
      </w:pPr>
      <w:bookmarkStart w:id="23" w:name="bookmark46"/>
      <w:r>
        <w:t>Vyšší moc</w:t>
      </w:r>
      <w:bookmarkEnd w:id="23"/>
    </w:p>
    <w:p w14:paraId="38F58016" w14:textId="77777777" w:rsidR="00EC1C40" w:rsidRDefault="00000000">
      <w:pPr>
        <w:pStyle w:val="Zkladntext1"/>
        <w:framePr w:w="9115" w:h="13445" w:hRule="exact" w:wrap="none" w:vAnchor="page" w:hAnchor="page" w:x="1748" w:y="1940"/>
        <w:numPr>
          <w:ilvl w:val="1"/>
          <w:numId w:val="3"/>
        </w:numPr>
        <w:tabs>
          <w:tab w:val="left" w:pos="562"/>
        </w:tabs>
        <w:spacing w:after="220"/>
        <w:ind w:left="580" w:hanging="580"/>
        <w:jc w:val="both"/>
      </w:pPr>
      <w:r>
        <w:t>Za vyšší moc se pro účely této Smlouvy považuje kvalifikovaný případ vyšší moci, kterým se rozumí situace, kdy je, nikoli pouze na krátkou dobu, zcela či z podstatné části znemožněna příprava nebo realizace Investičního záměru (např. právní překážky, je zrušena či v podstatné míře omezena stavební činnost na dobu delší než dva (2) měsíce, došlo k přerušení stavební činnosti na dobu delší než dva (2) měsíce, je omezen či znemožněn zcela nebo z podstatné části přístup na staveniště atp.), a to působením objektivních příčin nezávislých na jednání Investora a současně nepředvídatelných a mimořádných (např. v důsledku nastání epidemie, pandemie, vyhlášené epidemiologické či pandemické situace, válečného stavu, nouzového stavu, embarga, blokády, přírodní katastrofy včetně např. požáru na staveništi, vzpoury, stávky, výluky). Za vyšší moc se nepovažují běžné klimatické podmínky odpovídající ročnímu období (jako je sníh, déšť, mráz nebo jiné obvyklé povětrnostní podmínky pro dané období roku a lokalitu), ani běžné provozní nebo technické problémy při výstavbě. Kvalifikovaný případ vyšší moci může nastat jak na základě faktických skutečností, tak i na základě právních skutečností. Kvalifikovaný případ vyšší moci trvá po dobu trvání situace popsané v tomto ustanovení.</w:t>
      </w:r>
    </w:p>
    <w:p w14:paraId="3D3F98F2" w14:textId="77777777" w:rsidR="00EC1C40" w:rsidRDefault="00000000">
      <w:pPr>
        <w:pStyle w:val="Zkladntext1"/>
        <w:framePr w:w="9115" w:h="13445" w:hRule="exact" w:wrap="none" w:vAnchor="page" w:hAnchor="page" w:x="1748" w:y="1940"/>
        <w:numPr>
          <w:ilvl w:val="1"/>
          <w:numId w:val="3"/>
        </w:numPr>
        <w:tabs>
          <w:tab w:val="left" w:pos="562"/>
        </w:tabs>
        <w:spacing w:after="220"/>
        <w:ind w:left="580" w:hanging="580"/>
        <w:jc w:val="both"/>
      </w:pPr>
      <w:r>
        <w:t>Pro účely této Smlouvy se za vyšší moc (kvalifikovaný případ vyšší moci) považuje bez dalšího (bez nutnosti testovat či hodnotit jakékoli další znaky vyšší moci) situace, ve které je zahájena agrese proti jakémukoli členskému státu Severoatlantické smlouvy (NATO) (vyjma území členských států v Severní Americe, nikoli ovšem Grónska), jelikož takový stav (po dobu trvání takové agrese) zakládá stav zásadní nejistoty (investiční nejistoty) bránící realizaci Investičního záměru; pro účely tohoto ustanovení je relevantní taková agrese, která není jen marginálním narušením prostoru členských států Severoatlantické smlouvy (např. jen ojedinělé sabotážní akce, ojedinělé narušení vzdušného prostoru), naopak mezi ně patří bez dalšího zejména obsazení části území členského státu Severoatlantické smlouvy atp.</w:t>
      </w:r>
    </w:p>
    <w:p w14:paraId="4BDB444B" w14:textId="77777777" w:rsidR="00EC1C40" w:rsidRDefault="00000000">
      <w:pPr>
        <w:pStyle w:val="Zkladntext1"/>
        <w:framePr w:w="9115" w:h="13445" w:hRule="exact" w:wrap="none" w:vAnchor="page" w:hAnchor="page" w:x="1748" w:y="1940"/>
        <w:numPr>
          <w:ilvl w:val="1"/>
          <w:numId w:val="3"/>
        </w:numPr>
        <w:tabs>
          <w:tab w:val="left" w:pos="560"/>
        </w:tabs>
        <w:spacing w:after="220"/>
        <w:ind w:left="580" w:hanging="580"/>
        <w:jc w:val="both"/>
      </w:pPr>
      <w:r>
        <w:t>Smluvní strana postižená vyšší mocí je povinna druhou Smluvní stranu o této skutečnosti neprodleně písemně informovat a doložit příslušnými doklady rozsah a dobu trvání překážky. Po dobu trvání vyšší moci není Investor odpovědný zejména za prodlení s realizací Investičního záměru (Závazných milníků), pokud vyšší moc brání či podstatně ztěžuje splnění daného Závazného milníku či realizaci Investičního záměru, a to pokud je toto prodlení v příčinné souvislosti s danou vyšší mocí; tím není dotčen čl. 24.2 Smlouvy (u něhož se z podstaty věci příčinná souvislost nevyžaduje)</w:t>
      </w:r>
    </w:p>
    <w:p w14:paraId="35D7DCEB" w14:textId="77777777" w:rsidR="00EC1C40" w:rsidRDefault="00000000">
      <w:pPr>
        <w:pStyle w:val="Zkladntext1"/>
        <w:framePr w:w="9115" w:h="13445" w:hRule="exact" w:wrap="none" w:vAnchor="page" w:hAnchor="page" w:x="1748" w:y="1940"/>
        <w:numPr>
          <w:ilvl w:val="1"/>
          <w:numId w:val="3"/>
        </w:numPr>
        <w:tabs>
          <w:tab w:val="left" w:pos="562"/>
        </w:tabs>
        <w:ind w:left="580" w:hanging="580"/>
        <w:jc w:val="both"/>
      </w:pPr>
      <w:r>
        <w:t>Smluvní strany jsou si dále vědomy, že určité situace mající charakter vyšší moci (např. epidemie, pandemie) mohou přinést celou řadu ochranných (karanténních) opatření, následkem čehož mohou být zejména u SMP jako veřejnoprávní korporace prodlouženy standardní reakční časy; v takovém případě nebude přiměřené prodloužení reakčních časů SMP vyvolané takovouto vyšší mocí představovat porušení této Smlouvy.</w:t>
      </w:r>
    </w:p>
    <w:p w14:paraId="3542FDE3" w14:textId="77777777" w:rsidR="00EC1C40" w:rsidRDefault="00000000">
      <w:pPr>
        <w:pStyle w:val="Zkladntext1"/>
        <w:framePr w:w="9115" w:h="13445" w:hRule="exact" w:wrap="none" w:vAnchor="page" w:hAnchor="page" w:x="1748" w:y="1940"/>
        <w:numPr>
          <w:ilvl w:val="1"/>
          <w:numId w:val="3"/>
        </w:numPr>
        <w:tabs>
          <w:tab w:val="left" w:pos="562"/>
        </w:tabs>
        <w:spacing w:after="0"/>
        <w:ind w:left="580" w:hanging="580"/>
        <w:jc w:val="both"/>
      </w:pPr>
      <w:r>
        <w:t>Smluvní strany sjednávají, že v případě nastání kteréhokoli z případů vyšší moci či jakékoli jiné překážky vynaloží veškeré úsilí, které po nich lze spravedlivě požadovat, k tomu, aby byla nadále umožněna realizace Investičního záměru v jeho plánovaných parametrech, a to za obdobných podmínek sjednaných v této Smlouvě. Za tímto účelem Smluvní strany v dobré víře projednají a po vzájemné dohodě přijmou příslušná opatření a učiní další potřebné kroky a jednání, včetně uzavření dodatku k této Smlouvě, jakož i smlouvám uzavřeným na základě či v souvislosti s touto Smlouvou, bude-li to nezbytné; čl. 20 této Smlouvy se pro tento případ použije obdobně.</w:t>
      </w:r>
    </w:p>
    <w:p w14:paraId="6612B120" w14:textId="77777777" w:rsidR="00EC1C40" w:rsidRDefault="00000000">
      <w:pPr>
        <w:pStyle w:val="Zhlavnebozpat0"/>
        <w:framePr w:wrap="none" w:vAnchor="page" w:hAnchor="page" w:x="6015" w:y="16085"/>
        <w:rPr>
          <w:sz w:val="22"/>
          <w:szCs w:val="22"/>
        </w:rPr>
      </w:pPr>
      <w:r>
        <w:rPr>
          <w:color w:val="231E20"/>
          <w:sz w:val="22"/>
          <w:szCs w:val="22"/>
        </w:rPr>
        <w:t>56/63</w:t>
      </w:r>
    </w:p>
    <w:p w14:paraId="7621F349"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0F7F2F7C" w14:textId="77777777" w:rsidR="00EC1C40" w:rsidRDefault="00000000">
      <w:pPr>
        <w:spacing w:line="1" w:lineRule="exact"/>
      </w:pPr>
      <w:r>
        <w:rPr>
          <w:noProof/>
        </w:rPr>
        <w:lastRenderedPageBreak/>
        <mc:AlternateContent>
          <mc:Choice Requires="wps">
            <w:drawing>
              <wp:anchor distT="0" distB="0" distL="114300" distR="114300" simplePos="0" relativeHeight="251640320" behindDoc="1" locked="0" layoutInCell="1" allowOverlap="1" wp14:anchorId="3358C7DD" wp14:editId="6FF82959">
                <wp:simplePos x="0" y="0"/>
                <wp:positionH relativeFrom="page">
                  <wp:posOffset>1179830</wp:posOffset>
                </wp:positionH>
                <wp:positionV relativeFrom="page">
                  <wp:posOffset>932180</wp:posOffset>
                </wp:positionV>
                <wp:extent cx="5702300" cy="0"/>
                <wp:effectExtent l="0" t="0" r="0" b="0"/>
                <wp:wrapNone/>
                <wp:docPr id="56" name="Shape 56"/>
                <wp:cNvGraphicFramePr/>
                <a:graphic xmlns:a="http://schemas.openxmlformats.org/drawingml/2006/main">
                  <a:graphicData uri="http://schemas.microsoft.com/office/word/2010/wordprocessingShape">
                    <wps:wsp>
                      <wps:cNvCnPr/>
                      <wps:spPr>
                        <a:xfrm>
                          <a:off x="0" y="0"/>
                          <a:ext cx="5702300" cy="0"/>
                        </a:xfrm>
                        <a:prstGeom prst="straightConnector1">
                          <a:avLst/>
                        </a:prstGeom>
                        <a:ln w="6350">
                          <a:solidFill/>
                        </a:ln>
                      </wps:spPr>
                      <wps:bodyPr/>
                    </wps:wsp>
                  </a:graphicData>
                </a:graphic>
              </wp:anchor>
            </w:drawing>
          </mc:Choice>
          <mc:Fallback>
            <w:pict>
              <v:shape o:spt="32" o:oned="true" path="m,l21600,21600e" style="position:absolute;margin-left:92.900000000000006pt;margin-top:73.400000000000006pt;width:449.pt;height:0;z-index:-251658240;mso-position-horizontal-relative:page;mso-position-vertical-relative:page">
                <v:stroke weight="0.5pt"/>
              </v:shape>
            </w:pict>
          </mc:Fallback>
        </mc:AlternateContent>
      </w:r>
    </w:p>
    <w:p w14:paraId="1D4D542F" w14:textId="77777777" w:rsidR="00EC1C40" w:rsidRDefault="00000000">
      <w:pPr>
        <w:pStyle w:val="Zhlavnebozpat0"/>
        <w:framePr w:wrap="none" w:vAnchor="page" w:hAnchor="page" w:x="5665" w:y="1186"/>
      </w:pPr>
      <w:r>
        <w:t>Plánovací smlouva</w:t>
      </w:r>
    </w:p>
    <w:p w14:paraId="3AA34207" w14:textId="77777777" w:rsidR="00EC1C40" w:rsidRDefault="00000000">
      <w:pPr>
        <w:pStyle w:val="Nadpis60"/>
        <w:framePr w:w="9115" w:h="13387" w:hRule="exact" w:wrap="none" w:vAnchor="page" w:hAnchor="page" w:x="1748" w:y="1940"/>
        <w:numPr>
          <w:ilvl w:val="0"/>
          <w:numId w:val="3"/>
        </w:numPr>
        <w:tabs>
          <w:tab w:val="left" w:pos="557"/>
        </w:tabs>
        <w:jc w:val="both"/>
      </w:pPr>
      <w:bookmarkStart w:id="24" w:name="bookmark48"/>
      <w:r>
        <w:t>Závěrečná ustanovení</w:t>
      </w:r>
      <w:bookmarkEnd w:id="24"/>
    </w:p>
    <w:p w14:paraId="2428CDCD" w14:textId="77777777" w:rsidR="00EC1C40" w:rsidRDefault="00000000">
      <w:pPr>
        <w:pStyle w:val="Zkladntext1"/>
        <w:framePr w:w="9115" w:h="13387" w:hRule="exact" w:wrap="none" w:vAnchor="page" w:hAnchor="page" w:x="1748" w:y="1940"/>
        <w:numPr>
          <w:ilvl w:val="1"/>
          <w:numId w:val="3"/>
        </w:numPr>
        <w:tabs>
          <w:tab w:val="left" w:pos="558"/>
        </w:tabs>
        <w:ind w:left="580" w:hanging="580"/>
        <w:jc w:val="both"/>
      </w:pPr>
      <w:r>
        <w:t>Smluvní strany se zavazují, že nebudou činit žádná jednání, která by jakkoli ohrozila či mohla ohrozit plnění této Smlouvy a/nebo dosažení cílů stanovených v této Smlouvě a/nebo naplnění účelů této Smlouvy.</w:t>
      </w:r>
    </w:p>
    <w:p w14:paraId="4C6C0159" w14:textId="77777777" w:rsidR="00EC1C40" w:rsidRDefault="00000000">
      <w:pPr>
        <w:pStyle w:val="Zkladntext1"/>
        <w:framePr w:w="9115" w:h="13387" w:hRule="exact" w:wrap="none" w:vAnchor="page" w:hAnchor="page" w:x="1748" w:y="1940"/>
        <w:numPr>
          <w:ilvl w:val="1"/>
          <w:numId w:val="3"/>
        </w:numPr>
        <w:tabs>
          <w:tab w:val="left" w:pos="562"/>
        </w:tabs>
        <w:ind w:left="580" w:hanging="580"/>
        <w:jc w:val="both"/>
      </w:pPr>
      <w:r>
        <w:t>Je-li v této Smlouvě ujednáno, že Smluvní strana něco „zajistí“ nebo zajistí, aby třetí osoba plnila nebo jednala určitým způsobem, bude takové ujednání vykládáno tak, že příslušná Smluvní strana (i) se na jeho základě ve smyslu § 1769 druhá věta Občanského zákoníku zavazuje k tomu, že třetí osoba splní, co bylo ujednáno, (</w:t>
      </w:r>
      <w:proofErr w:type="spellStart"/>
      <w:r>
        <w:t>ii</w:t>
      </w:r>
      <w:proofErr w:type="spellEnd"/>
      <w:r>
        <w:t>) je odpovědná za to, že se zamýšlený výsledek nastane, bez ohledu na jakákoli subjektivní či objektivní omezení v možnostech Smluvní strany kontrolovat či ovlivňovat třetí osoby, či jiné subjektivní či objektivní skutečnosti, které jsou nezbytné k tomu, aby byl zamýšlený výsledek dosáhnut a (</w:t>
      </w:r>
      <w:proofErr w:type="spellStart"/>
      <w:r>
        <w:t>iii</w:t>
      </w:r>
      <w:proofErr w:type="spellEnd"/>
      <w:r>
        <w:t>) nahradí škodu, kterou druhá Smluvní strana utrpí, pokud ke splnění nedojde.</w:t>
      </w:r>
    </w:p>
    <w:p w14:paraId="667C7EEF" w14:textId="77777777" w:rsidR="00EC1C40" w:rsidRDefault="00000000">
      <w:pPr>
        <w:pStyle w:val="Zkladntext1"/>
        <w:framePr w:w="9115" w:h="13387" w:hRule="exact" w:wrap="none" w:vAnchor="page" w:hAnchor="page" w:x="1748" w:y="1940"/>
        <w:numPr>
          <w:ilvl w:val="1"/>
          <w:numId w:val="3"/>
        </w:numPr>
        <w:tabs>
          <w:tab w:val="left" w:pos="562"/>
        </w:tabs>
        <w:ind w:left="580" w:hanging="580"/>
        <w:jc w:val="both"/>
      </w:pPr>
      <w:r>
        <w:t>Pro odstranění jakýchkoli pochybností Smluvní strany sjednávají, že SMP nebude po dobu trvání této Smlouvy postupovat dle zákona o vyvlastnění č. 184/2006 Sb., o odnětí nebo omezení vlastnického práva k pozemku nebo ke stavbě (zákon o vyvlastnění), ve znění pozdějších předpisů, ve vztahu k Pozemkům nebo jejich částem, tj. nebude žádat o odnětí vlastnického práva (nebo jeho omezení).</w:t>
      </w:r>
    </w:p>
    <w:p w14:paraId="511E7B3A" w14:textId="77777777" w:rsidR="00EC1C40" w:rsidRDefault="00000000">
      <w:pPr>
        <w:pStyle w:val="Zkladntext1"/>
        <w:framePr w:w="9115" w:h="13387" w:hRule="exact" w:wrap="none" w:vAnchor="page" w:hAnchor="page" w:x="1748" w:y="1940"/>
        <w:numPr>
          <w:ilvl w:val="1"/>
          <w:numId w:val="3"/>
        </w:numPr>
        <w:tabs>
          <w:tab w:val="left" w:pos="562"/>
        </w:tabs>
        <w:spacing w:after="220"/>
        <w:ind w:left="580" w:hanging="580"/>
        <w:jc w:val="both"/>
      </w:pPr>
      <w:r>
        <w:t>Smluvní strany sjednávají, že budou v dobré víře dále jednat o dalších aspektech jejich spolupráce týkající se realizace Investičního záměru (včetně Nepeněžního plnění a Související infrastruktury), včetně spolupráce ve fázi provozu Investičního záměru tak, aby byly v maximální míře využity benefity a další potenciál, které realizace a provoz Investičního záměru přináší pro SMP, jeho obyvatele, jakož i celý region. Výsledkem tohoto jednání budou jednotlivé smlouvy, které Smluvní strany budou uzavírat v návaznosti na potřeby realizace a provozu Investičního záměru.</w:t>
      </w:r>
    </w:p>
    <w:p w14:paraId="196A4933" w14:textId="77777777" w:rsidR="00EC1C40" w:rsidRDefault="00000000">
      <w:pPr>
        <w:pStyle w:val="Zkladntext1"/>
        <w:framePr w:w="9115" w:h="13387" w:hRule="exact" w:wrap="none" w:vAnchor="page" w:hAnchor="page" w:x="1748" w:y="1940"/>
        <w:numPr>
          <w:ilvl w:val="1"/>
          <w:numId w:val="3"/>
        </w:numPr>
        <w:tabs>
          <w:tab w:val="left" w:pos="562"/>
        </w:tabs>
        <w:ind w:left="580" w:hanging="580"/>
        <w:jc w:val="both"/>
      </w:pPr>
      <w:r>
        <w:t>Součinnost dle této Smlouvy, kterou má poskytnout SMP Investorovi, platí ve stejném rozsahu i pro korporace, subjekty či osoby, ve vztahu k nimž je SMP ovládající osobou (např. většinovým společníkem či osobou s rozhodujícím vlivem, včetně Nadace); SMP zajistí, aby tyto korporace (subjekty, osoby) poskytovaly součinnost ve stejném rozsahu a za stejných podmínek, za jakých ji má dle této Smlouvy poskytovat SMP.</w:t>
      </w:r>
    </w:p>
    <w:p w14:paraId="1D86D6F0" w14:textId="77777777" w:rsidR="00EC1C40" w:rsidRDefault="00000000">
      <w:pPr>
        <w:pStyle w:val="Nadpis60"/>
        <w:framePr w:w="9115" w:h="13387" w:hRule="exact" w:wrap="none" w:vAnchor="page" w:hAnchor="page" w:x="1748" w:y="1940"/>
        <w:numPr>
          <w:ilvl w:val="0"/>
          <w:numId w:val="3"/>
        </w:numPr>
        <w:tabs>
          <w:tab w:val="left" w:pos="557"/>
        </w:tabs>
        <w:spacing w:after="220"/>
        <w:jc w:val="both"/>
      </w:pPr>
      <w:bookmarkStart w:id="25" w:name="bookmark50"/>
      <w:r>
        <w:t>Poplatek ze vstupného</w:t>
      </w:r>
      <w:bookmarkEnd w:id="25"/>
    </w:p>
    <w:p w14:paraId="58F06B82" w14:textId="77777777" w:rsidR="00EC1C40" w:rsidRDefault="00000000">
      <w:pPr>
        <w:pStyle w:val="Zkladntext1"/>
        <w:framePr w:w="9115" w:h="13387" w:hRule="exact" w:wrap="none" w:vAnchor="page" w:hAnchor="page" w:x="1748" w:y="1940"/>
        <w:numPr>
          <w:ilvl w:val="1"/>
          <w:numId w:val="3"/>
        </w:numPr>
        <w:tabs>
          <w:tab w:val="left" w:pos="562"/>
        </w:tabs>
        <w:spacing w:after="220"/>
        <w:ind w:left="580" w:hanging="580"/>
        <w:jc w:val="both"/>
      </w:pPr>
      <w:r>
        <w:t>Smluvní strany konstatují, že ke dni uzavření této Smlouvy SMP nemá zaveden poplatek ze vstupného na kulturní a/nebo sportovní akce ve smyslu § 6 zákona č. 565/1990 Sb., o místních poplatcích, ve znění pozdějších předpisů (dále jen „</w:t>
      </w:r>
      <w:r>
        <w:rPr>
          <w:b/>
          <w:bCs/>
        </w:rPr>
        <w:t>Poplatek ze vstupného</w:t>
      </w:r>
      <w:r>
        <w:t>“ a „</w:t>
      </w:r>
      <w:r>
        <w:rPr>
          <w:b/>
          <w:bCs/>
        </w:rPr>
        <w:t>Zákon o místních poplatcích</w:t>
      </w:r>
      <w:r>
        <w:t>“). Smluvní strany jsou si vědomy významu této skutečnosti pro konkurenceschopnost Investičního záměru a jeho přínosy pro rozpočet SMP.</w:t>
      </w:r>
    </w:p>
    <w:p w14:paraId="1A594E85" w14:textId="77777777" w:rsidR="00EC1C40" w:rsidRDefault="00000000">
      <w:pPr>
        <w:pStyle w:val="Zkladntext1"/>
        <w:framePr w:w="9115" w:h="13387" w:hRule="exact" w:wrap="none" w:vAnchor="page" w:hAnchor="page" w:x="1748" w:y="1940"/>
        <w:numPr>
          <w:ilvl w:val="1"/>
          <w:numId w:val="3"/>
        </w:numPr>
        <w:tabs>
          <w:tab w:val="left" w:pos="562"/>
        </w:tabs>
        <w:spacing w:after="220"/>
        <w:ind w:left="580" w:hanging="580"/>
        <w:jc w:val="both"/>
      </w:pPr>
      <w:r>
        <w:t>SMP deklaruje, že v době uzavírání této Smlouvy nemá v úmyslu zavádět Poplatek ze vstupného. Pokud by se v budoucnu SMP rozhodovalo o zavedení Poplatku ze vstupného, zavazuje se předem písemně informovat Investora o tomto záměru a vstoupit s ním do jednání o možnostech řešení této situace.</w:t>
      </w:r>
    </w:p>
    <w:p w14:paraId="6F25F431" w14:textId="77777777" w:rsidR="00EC1C40" w:rsidRDefault="00000000">
      <w:pPr>
        <w:pStyle w:val="Zkladntext1"/>
        <w:framePr w:w="9115" w:h="13387" w:hRule="exact" w:wrap="none" w:vAnchor="page" w:hAnchor="page" w:x="1748" w:y="1940"/>
        <w:numPr>
          <w:ilvl w:val="1"/>
          <w:numId w:val="3"/>
        </w:numPr>
        <w:tabs>
          <w:tab w:val="left" w:pos="562"/>
        </w:tabs>
        <w:spacing w:after="0"/>
        <w:ind w:left="580" w:hanging="580"/>
        <w:jc w:val="both"/>
      </w:pPr>
      <w:r>
        <w:t>Jednání dle čl. 26.2 bude zahájeno nejméně šest (6) měsíců před předpokládaným přijetím příslušného právního aktu zavádějícího Poplatek ze vstupného. Účelem jednání bude projednat: (i) dopady zavedení Poplatku ze vstupného na ekonomiku provozu Investičního záměru a rozpočet SMP, (</w:t>
      </w:r>
      <w:proofErr w:type="spellStart"/>
      <w:r>
        <w:t>ii</w:t>
      </w:r>
      <w:proofErr w:type="spellEnd"/>
      <w:r>
        <w:t>) možnosti uzavření dohody ve smyslu § 6 odst. 3 věta druhá Zákona o místních poplatcích, (</w:t>
      </w:r>
      <w:proofErr w:type="spellStart"/>
      <w:r>
        <w:t>iii</w:t>
      </w:r>
      <w:proofErr w:type="spellEnd"/>
      <w:r>
        <w:t>) případné úpravy vzájemných práv a povinností Smluvních stran s ohledem na</w:t>
      </w:r>
    </w:p>
    <w:p w14:paraId="1E15FEA1" w14:textId="77777777" w:rsidR="00EC1C40" w:rsidRDefault="00000000">
      <w:pPr>
        <w:pStyle w:val="Zhlavnebozpat0"/>
        <w:framePr w:wrap="none" w:vAnchor="page" w:hAnchor="page" w:x="6015" w:y="16085"/>
        <w:rPr>
          <w:sz w:val="22"/>
          <w:szCs w:val="22"/>
        </w:rPr>
      </w:pPr>
      <w:r>
        <w:rPr>
          <w:color w:val="231E20"/>
          <w:sz w:val="22"/>
          <w:szCs w:val="22"/>
        </w:rPr>
        <w:t>57/63</w:t>
      </w:r>
    </w:p>
    <w:p w14:paraId="4CD61FA8"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4D896093" w14:textId="77777777" w:rsidR="00EC1C40" w:rsidRDefault="00000000">
      <w:pPr>
        <w:spacing w:line="1" w:lineRule="exact"/>
      </w:pPr>
      <w:r>
        <w:rPr>
          <w:noProof/>
        </w:rPr>
        <w:lastRenderedPageBreak/>
        <mc:AlternateContent>
          <mc:Choice Requires="wps">
            <w:drawing>
              <wp:anchor distT="0" distB="0" distL="114300" distR="114300" simplePos="0" relativeHeight="251641344" behindDoc="1" locked="0" layoutInCell="1" allowOverlap="1" wp14:anchorId="1E5720CA" wp14:editId="0F9196C4">
                <wp:simplePos x="0" y="0"/>
                <wp:positionH relativeFrom="page">
                  <wp:posOffset>1179830</wp:posOffset>
                </wp:positionH>
                <wp:positionV relativeFrom="page">
                  <wp:posOffset>932180</wp:posOffset>
                </wp:positionV>
                <wp:extent cx="5702300" cy="0"/>
                <wp:effectExtent l="0" t="0" r="0" b="0"/>
                <wp:wrapNone/>
                <wp:docPr id="57" name="Shape 57"/>
                <wp:cNvGraphicFramePr/>
                <a:graphic xmlns:a="http://schemas.openxmlformats.org/drawingml/2006/main">
                  <a:graphicData uri="http://schemas.microsoft.com/office/word/2010/wordprocessingShape">
                    <wps:wsp>
                      <wps:cNvCnPr/>
                      <wps:spPr>
                        <a:xfrm>
                          <a:off x="0" y="0"/>
                          <a:ext cx="5702300" cy="0"/>
                        </a:xfrm>
                        <a:prstGeom prst="straightConnector1">
                          <a:avLst/>
                        </a:prstGeom>
                        <a:ln w="6350">
                          <a:solidFill/>
                        </a:ln>
                      </wps:spPr>
                      <wps:bodyPr/>
                    </wps:wsp>
                  </a:graphicData>
                </a:graphic>
              </wp:anchor>
            </w:drawing>
          </mc:Choice>
          <mc:Fallback>
            <w:pict>
              <v:shape o:spt="32" o:oned="true" path="m,l21600,21600e" style="position:absolute;margin-left:92.900000000000006pt;margin-top:73.400000000000006pt;width:449.pt;height:0;z-index:-251658240;mso-position-horizontal-relative:page;mso-position-vertical-relative:page">
                <v:stroke weight="0.5pt"/>
              </v:shape>
            </w:pict>
          </mc:Fallback>
        </mc:AlternateContent>
      </w:r>
    </w:p>
    <w:p w14:paraId="2A4ABA80" w14:textId="77777777" w:rsidR="00EC1C40" w:rsidRDefault="00000000">
      <w:pPr>
        <w:pStyle w:val="Zhlavnebozpat0"/>
        <w:framePr w:wrap="none" w:vAnchor="page" w:hAnchor="page" w:x="5665" w:y="1186"/>
      </w:pPr>
      <w:r>
        <w:t>Plánovací smlouva</w:t>
      </w:r>
    </w:p>
    <w:p w14:paraId="0FE184D6" w14:textId="77777777" w:rsidR="00EC1C40" w:rsidRDefault="00000000">
      <w:pPr>
        <w:pStyle w:val="Zkladntext1"/>
        <w:framePr w:w="9115" w:h="13454" w:hRule="exact" w:wrap="none" w:vAnchor="page" w:hAnchor="page" w:x="1748" w:y="1940"/>
        <w:spacing w:after="240"/>
        <w:ind w:left="580"/>
        <w:jc w:val="both"/>
      </w:pPr>
      <w:r>
        <w:t>změněné podmínky provozu Investičního záměru a (</w:t>
      </w:r>
      <w:proofErr w:type="spellStart"/>
      <w:r>
        <w:t>iv</w:t>
      </w:r>
      <w:proofErr w:type="spellEnd"/>
      <w:r>
        <w:t>) pokud by Zákon o místních poplatcích umožňoval nastavení výjimek (osvobození) od tohoto místního poplatku ze vstupného, bude předmětem jednání Smluvních stran i možnost implementace tohoto osvobození (nediskriminačním způsobem vůči všem stejným či obdobným daňovým poplatníkům jako je Investor, respektive subjekt, který bude provozovat Investiční záměr). Pokud by kterýkoli právní předpis nařídil SMP Poplatek ze vstupného zavést, nebude lhůta k jednání dle tohoto ustanovení delší, než kolik času uplyne od nabytí platnosti takového právního předpisu ukládajícího povinnost SMP zavést Poplatek ze vstupného do doby, kdy SMP má implementovat tuto povinnost (tedy do doby, od které má SMP nejpozději povinnost takový Poplatek ze vstupného zavést).</w:t>
      </w:r>
    </w:p>
    <w:p w14:paraId="59B1D265" w14:textId="77777777" w:rsidR="00EC1C40" w:rsidRDefault="00000000">
      <w:pPr>
        <w:pStyle w:val="Zkladntext1"/>
        <w:framePr w:w="9115" w:h="13454" w:hRule="exact" w:wrap="none" w:vAnchor="page" w:hAnchor="page" w:x="1748" w:y="1940"/>
        <w:numPr>
          <w:ilvl w:val="1"/>
          <w:numId w:val="3"/>
        </w:numPr>
        <w:tabs>
          <w:tab w:val="left" w:pos="558"/>
        </w:tabs>
        <w:spacing w:after="240"/>
        <w:ind w:left="580" w:hanging="580"/>
        <w:jc w:val="both"/>
      </w:pPr>
      <w:r>
        <w:t>Toto ustanovení neomezuje kompetence SMP dle Zákona o místních poplatcích a nezaručuje Investorovi, že v budoucnu nedojde k zavedení Poplatku ze vstupného, neboť takové ujednání by nebylo právně možné.</w:t>
      </w:r>
    </w:p>
    <w:p w14:paraId="15E13F91" w14:textId="77777777" w:rsidR="00EC1C40" w:rsidRDefault="00000000">
      <w:pPr>
        <w:pStyle w:val="Zkladntext1"/>
        <w:framePr w:w="9115" w:h="13454" w:hRule="exact" w:wrap="none" w:vAnchor="page" w:hAnchor="page" w:x="1748" w:y="1940"/>
        <w:numPr>
          <w:ilvl w:val="1"/>
          <w:numId w:val="3"/>
        </w:numPr>
        <w:tabs>
          <w:tab w:val="left" w:pos="558"/>
        </w:tabs>
        <w:ind w:left="580" w:hanging="580"/>
        <w:jc w:val="both"/>
      </w:pPr>
      <w:r>
        <w:t>Doba trvání čl. 26 Smlouvy se sjednává na období od uzavření této Smlouvy do uplynutí třiceti (30) let od Dokončení Investičního záměru.</w:t>
      </w:r>
    </w:p>
    <w:p w14:paraId="7D504D1A" w14:textId="77777777" w:rsidR="00EC1C40" w:rsidRDefault="00000000">
      <w:pPr>
        <w:pStyle w:val="Nadpis60"/>
        <w:framePr w:w="9115" w:h="13454" w:hRule="exact" w:wrap="none" w:vAnchor="page" w:hAnchor="page" w:x="1748" w:y="1940"/>
        <w:numPr>
          <w:ilvl w:val="0"/>
          <w:numId w:val="3"/>
        </w:numPr>
        <w:tabs>
          <w:tab w:val="left" w:pos="557"/>
        </w:tabs>
        <w:jc w:val="both"/>
      </w:pPr>
      <w:bookmarkStart w:id="26" w:name="bookmark52"/>
      <w:r>
        <w:t>Ochrana důvěrných informací</w:t>
      </w:r>
      <w:bookmarkEnd w:id="26"/>
    </w:p>
    <w:p w14:paraId="0CAADDD4" w14:textId="77777777" w:rsidR="00EC1C40" w:rsidRDefault="00000000">
      <w:pPr>
        <w:pStyle w:val="Zkladntext1"/>
        <w:framePr w:w="9115" w:h="13454" w:hRule="exact" w:wrap="none" w:vAnchor="page" w:hAnchor="page" w:x="1748" w:y="1940"/>
        <w:numPr>
          <w:ilvl w:val="1"/>
          <w:numId w:val="3"/>
        </w:numPr>
        <w:tabs>
          <w:tab w:val="left" w:pos="558"/>
        </w:tabs>
        <w:ind w:left="580" w:hanging="580"/>
        <w:jc w:val="both"/>
      </w:pPr>
      <w:r>
        <w:t>Smluvní strany prohlašují, že skutečnosti uvedené v této Smlouvě nepovažují samy o sobě za obchodní tajemství ve smyslu § 504 Občanského zákoníku a udělují svolení k jejich užití a zveřejnění bez stanovení jakýchkoli dalších podmínek.</w:t>
      </w:r>
    </w:p>
    <w:p w14:paraId="120CB967" w14:textId="77777777" w:rsidR="00EC1C40" w:rsidRDefault="00000000">
      <w:pPr>
        <w:pStyle w:val="Zkladntext1"/>
        <w:framePr w:w="9115" w:h="13454" w:hRule="exact" w:wrap="none" w:vAnchor="page" w:hAnchor="page" w:x="1748" w:y="1940"/>
        <w:numPr>
          <w:ilvl w:val="1"/>
          <w:numId w:val="3"/>
        </w:numPr>
        <w:tabs>
          <w:tab w:val="left" w:pos="558"/>
        </w:tabs>
        <w:ind w:left="580" w:hanging="580"/>
        <w:jc w:val="both"/>
      </w:pPr>
      <w:r>
        <w:t>SMP má jako povinný subjekt dle zákona č. 106/1999 Sb., o svobodném přístupu k informacím, ve znění pozdějších předpisů, povinnost poskytovat informace týkající se této Smlouvy a jejího plnění. SMP je dále povinna zveřejnit tuto Smlouvu v registru smluv v souladu se zákonem č. 340/2015 Sb., o registru smluv, ve znění pozdějších předpisů. Za výjimku z transparentnosti se považují pouze osobní údaje ve smyslu nařízení GDPR a informace vyloučené z poskytování podle zákona č. 106/1999 Sb. Porušením povinnosti transparentnosti dle této Smlouvy není poskytování informací členům zastupitelstva SMP, respektive členům rady SMP, pokud se tak děje v souladu s právními předpisy; tím není dotčen čl. 27.4.</w:t>
      </w:r>
    </w:p>
    <w:p w14:paraId="0D315E6A" w14:textId="77777777" w:rsidR="00EC1C40" w:rsidRDefault="00000000">
      <w:pPr>
        <w:pStyle w:val="Zkladntext1"/>
        <w:framePr w:w="9115" w:h="13454" w:hRule="exact" w:wrap="none" w:vAnchor="page" w:hAnchor="page" w:x="1748" w:y="1940"/>
        <w:numPr>
          <w:ilvl w:val="1"/>
          <w:numId w:val="3"/>
        </w:numPr>
        <w:tabs>
          <w:tab w:val="left" w:pos="558"/>
        </w:tabs>
        <w:ind w:left="580" w:hanging="580"/>
        <w:jc w:val="both"/>
      </w:pPr>
      <w:r>
        <w:t>Povinnost ochrany osobních údajů a informací vyloučených ze zveřejnění dle čl. 27.4 této Smlouvy trvá i po zániku této Smlouvy.</w:t>
      </w:r>
    </w:p>
    <w:p w14:paraId="39FFD29D" w14:textId="77777777" w:rsidR="00EC1C40" w:rsidRDefault="00000000">
      <w:pPr>
        <w:pStyle w:val="Zkladntext1"/>
        <w:framePr w:w="9115" w:h="13454" w:hRule="exact" w:wrap="none" w:vAnchor="page" w:hAnchor="page" w:x="1748" w:y="1940"/>
        <w:numPr>
          <w:ilvl w:val="1"/>
          <w:numId w:val="3"/>
        </w:numPr>
        <w:tabs>
          <w:tab w:val="left" w:pos="558"/>
        </w:tabs>
        <w:spacing w:after="240"/>
        <w:ind w:left="580" w:hanging="580"/>
        <w:jc w:val="both"/>
      </w:pPr>
      <w:r>
        <w:t>Smluvní strany sjednávají následující pravidla pro poskytování jakékoli dokumentace či podkladů SMP, včetně DPZ, na základě této Smlouvy:</w:t>
      </w:r>
    </w:p>
    <w:p w14:paraId="263F9D2A" w14:textId="77777777" w:rsidR="00EC1C40" w:rsidRDefault="00000000">
      <w:pPr>
        <w:pStyle w:val="Zkladntext1"/>
        <w:framePr w:w="9115" w:h="13454" w:hRule="exact" w:wrap="none" w:vAnchor="page" w:hAnchor="page" w:x="1748" w:y="1940"/>
        <w:numPr>
          <w:ilvl w:val="2"/>
          <w:numId w:val="3"/>
        </w:numPr>
        <w:tabs>
          <w:tab w:val="left" w:pos="1324"/>
        </w:tabs>
        <w:spacing w:after="240" w:line="233" w:lineRule="auto"/>
        <w:ind w:left="1320" w:hanging="740"/>
        <w:jc w:val="both"/>
      </w:pPr>
      <w:r>
        <w:t>Poskytnutá dokumentace či jiné podklady se považuje za důvěrnou informaci dle této Smlouvy, pokud Investor nestanoví jinak;</w:t>
      </w:r>
    </w:p>
    <w:p w14:paraId="717D1CB6" w14:textId="77777777" w:rsidR="00EC1C40" w:rsidRDefault="00000000">
      <w:pPr>
        <w:pStyle w:val="Zkladntext1"/>
        <w:framePr w:w="9115" w:h="13454" w:hRule="exact" w:wrap="none" w:vAnchor="page" w:hAnchor="page" w:x="1748" w:y="1940"/>
        <w:numPr>
          <w:ilvl w:val="2"/>
          <w:numId w:val="3"/>
        </w:numPr>
        <w:tabs>
          <w:tab w:val="left" w:pos="1324"/>
        </w:tabs>
        <w:spacing w:after="240"/>
        <w:ind w:left="1320" w:hanging="740"/>
        <w:jc w:val="both"/>
      </w:pPr>
      <w:r>
        <w:t>SMP učiní nezbytná opatření k tomu, aby byl okruh osob, kterým bude dokumentace předkládána, minimalizován;</w:t>
      </w:r>
    </w:p>
    <w:p w14:paraId="67C364C1" w14:textId="77777777" w:rsidR="00EC1C40" w:rsidRDefault="00000000">
      <w:pPr>
        <w:pStyle w:val="Zkladntext1"/>
        <w:framePr w:w="9115" w:h="13454" w:hRule="exact" w:wrap="none" w:vAnchor="page" w:hAnchor="page" w:x="1748" w:y="1940"/>
        <w:numPr>
          <w:ilvl w:val="2"/>
          <w:numId w:val="3"/>
        </w:numPr>
        <w:tabs>
          <w:tab w:val="left" w:pos="1324"/>
        </w:tabs>
        <w:spacing w:after="240"/>
        <w:ind w:left="1320" w:hanging="740"/>
        <w:jc w:val="both"/>
      </w:pPr>
      <w:r>
        <w:t>SMP se zavazuje zajistit, že SMP (a všechny osoby, kterým SMP umožní se s dokumentací seznámit) zachová/zachovají mlčenlivost ve vztahu k poskytnuté dokumentaci či jiným podkladům; a</w:t>
      </w:r>
    </w:p>
    <w:p w14:paraId="4DFD3D05" w14:textId="77777777" w:rsidR="00EC1C40" w:rsidRDefault="00000000">
      <w:pPr>
        <w:pStyle w:val="Zkladntext1"/>
        <w:framePr w:w="9115" w:h="13454" w:hRule="exact" w:wrap="none" w:vAnchor="page" w:hAnchor="page" w:x="1748" w:y="1940"/>
        <w:numPr>
          <w:ilvl w:val="2"/>
          <w:numId w:val="3"/>
        </w:numPr>
        <w:tabs>
          <w:tab w:val="left" w:pos="1324"/>
        </w:tabs>
        <w:ind w:left="1320" w:hanging="740"/>
        <w:jc w:val="both"/>
      </w:pPr>
      <w:r>
        <w:t>SMP bere na vědomí, že účelem čl. 27.4 je nejen zajištění ochrany důvěrných informací co se týče dokumentace Investičního záměru, ale i zajištění bezpečnosti a předcházení nebezpečí teroristického či jiného útoku ve vztahu k Investičnímu záměru.</w:t>
      </w:r>
    </w:p>
    <w:p w14:paraId="071ABACB" w14:textId="77777777" w:rsidR="00EC1C40" w:rsidRDefault="00000000">
      <w:pPr>
        <w:pStyle w:val="Zkladntext1"/>
        <w:framePr w:w="9115" w:h="13454" w:hRule="exact" w:wrap="none" w:vAnchor="page" w:hAnchor="page" w:x="1748" w:y="1940"/>
        <w:numPr>
          <w:ilvl w:val="0"/>
          <w:numId w:val="3"/>
        </w:numPr>
        <w:tabs>
          <w:tab w:val="left" w:pos="557"/>
        </w:tabs>
        <w:spacing w:after="0"/>
        <w:jc w:val="both"/>
      </w:pPr>
      <w:r>
        <w:rPr>
          <w:b/>
          <w:bCs/>
        </w:rPr>
        <w:t>Prohlášení o slabší Smluvní straně</w:t>
      </w:r>
    </w:p>
    <w:p w14:paraId="277CA649" w14:textId="77777777" w:rsidR="00EC1C40" w:rsidRDefault="00000000">
      <w:pPr>
        <w:pStyle w:val="Zhlavnebozpat0"/>
        <w:framePr w:wrap="none" w:vAnchor="page" w:hAnchor="page" w:x="6015" w:y="16085"/>
        <w:rPr>
          <w:sz w:val="22"/>
          <w:szCs w:val="22"/>
        </w:rPr>
      </w:pPr>
      <w:r>
        <w:rPr>
          <w:color w:val="231E20"/>
          <w:sz w:val="22"/>
          <w:szCs w:val="22"/>
        </w:rPr>
        <w:t>58/63</w:t>
      </w:r>
    </w:p>
    <w:p w14:paraId="7403FC42"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57F16397" w14:textId="77777777" w:rsidR="00EC1C40" w:rsidRDefault="00000000">
      <w:pPr>
        <w:spacing w:line="1" w:lineRule="exact"/>
      </w:pPr>
      <w:r>
        <w:rPr>
          <w:noProof/>
        </w:rPr>
        <w:lastRenderedPageBreak/>
        <mc:AlternateContent>
          <mc:Choice Requires="wps">
            <w:drawing>
              <wp:anchor distT="0" distB="0" distL="114300" distR="114300" simplePos="0" relativeHeight="251642368" behindDoc="1" locked="0" layoutInCell="1" allowOverlap="1" wp14:anchorId="5F518537" wp14:editId="557068AB">
                <wp:simplePos x="0" y="0"/>
                <wp:positionH relativeFrom="page">
                  <wp:posOffset>1179830</wp:posOffset>
                </wp:positionH>
                <wp:positionV relativeFrom="page">
                  <wp:posOffset>932180</wp:posOffset>
                </wp:positionV>
                <wp:extent cx="5702300" cy="0"/>
                <wp:effectExtent l="0" t="0" r="0" b="0"/>
                <wp:wrapNone/>
                <wp:docPr id="58" name="Shape 58"/>
                <wp:cNvGraphicFramePr/>
                <a:graphic xmlns:a="http://schemas.openxmlformats.org/drawingml/2006/main">
                  <a:graphicData uri="http://schemas.microsoft.com/office/word/2010/wordprocessingShape">
                    <wps:wsp>
                      <wps:cNvCnPr/>
                      <wps:spPr>
                        <a:xfrm>
                          <a:off x="0" y="0"/>
                          <a:ext cx="5702300" cy="0"/>
                        </a:xfrm>
                        <a:prstGeom prst="straightConnector1">
                          <a:avLst/>
                        </a:prstGeom>
                        <a:ln w="6350">
                          <a:solidFill/>
                        </a:ln>
                      </wps:spPr>
                      <wps:bodyPr/>
                    </wps:wsp>
                  </a:graphicData>
                </a:graphic>
              </wp:anchor>
            </w:drawing>
          </mc:Choice>
          <mc:Fallback>
            <w:pict>
              <v:shape o:spt="32" o:oned="true" path="m,l21600,21600e" style="position:absolute;margin-left:92.900000000000006pt;margin-top:73.400000000000006pt;width:449.pt;height:0;z-index:-251658240;mso-position-horizontal-relative:page;mso-position-vertical-relative:page">
                <v:stroke weight="0.5pt"/>
              </v:shape>
            </w:pict>
          </mc:Fallback>
        </mc:AlternateContent>
      </w:r>
    </w:p>
    <w:p w14:paraId="62867C2F" w14:textId="77777777" w:rsidR="00EC1C40" w:rsidRDefault="00000000">
      <w:pPr>
        <w:pStyle w:val="Zhlavnebozpat0"/>
        <w:framePr w:wrap="none" w:vAnchor="page" w:hAnchor="page" w:x="5665" w:y="1186"/>
      </w:pPr>
      <w:r>
        <w:t>Plánovací smlouva</w:t>
      </w:r>
    </w:p>
    <w:p w14:paraId="5C56F93B" w14:textId="77777777" w:rsidR="00EC1C40" w:rsidRDefault="00000000">
      <w:pPr>
        <w:pStyle w:val="Zkladntext1"/>
        <w:framePr w:w="9115" w:h="13214" w:hRule="exact" w:wrap="none" w:vAnchor="page" w:hAnchor="page" w:x="1748" w:y="1940"/>
        <w:numPr>
          <w:ilvl w:val="1"/>
          <w:numId w:val="3"/>
        </w:numPr>
        <w:tabs>
          <w:tab w:val="left" w:pos="573"/>
        </w:tabs>
        <w:ind w:left="580" w:hanging="580"/>
        <w:jc w:val="both"/>
      </w:pPr>
      <w:r>
        <w:t>Smluvní strany prohlašují, že tato Smlouva je výsledkem komplexních a dlouhotrvajících jednání, v jejichž průběhu měly Smluvní strany dostatečnou možnost konzultovat kterékoli její ujednání se svými právními a jinými odbornými zástupci; z tohoto důvodu každá ze Smluvních stran prohlašuje, že:</w:t>
      </w:r>
    </w:p>
    <w:p w14:paraId="0FA42454" w14:textId="77777777" w:rsidR="00EC1C40" w:rsidRDefault="00000000">
      <w:pPr>
        <w:pStyle w:val="Zkladntext1"/>
        <w:framePr w:w="9115" w:h="13214" w:hRule="exact" w:wrap="none" w:vAnchor="page" w:hAnchor="page" w:x="1748" w:y="1940"/>
        <w:numPr>
          <w:ilvl w:val="2"/>
          <w:numId w:val="3"/>
        </w:numPr>
        <w:tabs>
          <w:tab w:val="left" w:pos="1320"/>
        </w:tabs>
        <w:ind w:left="1320" w:hanging="740"/>
        <w:jc w:val="both"/>
      </w:pPr>
      <w:r>
        <w:t>se s ohledem na své hospodářské postavení a odborné znalosti necítí být na kterékoli ze Smluvních stran závislá; a</w:t>
      </w:r>
    </w:p>
    <w:p w14:paraId="27126077" w14:textId="77777777" w:rsidR="00EC1C40" w:rsidRDefault="00000000">
      <w:pPr>
        <w:pStyle w:val="Zkladntext1"/>
        <w:framePr w:w="9115" w:h="13214" w:hRule="exact" w:wrap="none" w:vAnchor="page" w:hAnchor="page" w:x="1748" w:y="1940"/>
        <w:numPr>
          <w:ilvl w:val="2"/>
          <w:numId w:val="3"/>
        </w:numPr>
        <w:tabs>
          <w:tab w:val="left" w:pos="1320"/>
        </w:tabs>
        <w:ind w:left="1320" w:hanging="740"/>
        <w:jc w:val="both"/>
      </w:pPr>
      <w:r>
        <w:t>tuto Smlouvu neuzavírá v tísni a/nebo za nápadně nevýhodných podmínek; a</w:t>
      </w:r>
    </w:p>
    <w:p w14:paraId="070B86AE" w14:textId="77777777" w:rsidR="00EC1C40" w:rsidRDefault="00000000">
      <w:pPr>
        <w:pStyle w:val="Zkladntext1"/>
        <w:framePr w:w="9115" w:h="13214" w:hRule="exact" w:wrap="none" w:vAnchor="page" w:hAnchor="page" w:x="1748" w:y="1940"/>
        <w:numPr>
          <w:ilvl w:val="2"/>
          <w:numId w:val="3"/>
        </w:numPr>
        <w:tabs>
          <w:tab w:val="left" w:pos="1320"/>
        </w:tabs>
        <w:ind w:left="1320" w:hanging="740"/>
        <w:jc w:val="both"/>
      </w:pPr>
      <w:r>
        <w:t>při jednání s ohledem na roli svých právních a jiných odborných poradců získala veškeré odborné znalosti potřebné k řádnému posouzení obsahu této Smlouvy a jejích právních a ekonomických důsledků.</w:t>
      </w:r>
    </w:p>
    <w:p w14:paraId="603A85B2" w14:textId="77777777" w:rsidR="00EC1C40" w:rsidRDefault="00000000">
      <w:pPr>
        <w:pStyle w:val="Zkladntext1"/>
        <w:framePr w:w="9115" w:h="13214" w:hRule="exact" w:wrap="none" w:vAnchor="page" w:hAnchor="page" w:x="1748" w:y="1940"/>
        <w:numPr>
          <w:ilvl w:val="1"/>
          <w:numId w:val="3"/>
        </w:numPr>
        <w:tabs>
          <w:tab w:val="left" w:pos="573"/>
        </w:tabs>
        <w:ind w:left="580" w:hanging="580"/>
        <w:jc w:val="both"/>
      </w:pPr>
      <w:r>
        <w:t>Smluvní strany konstatují, že SMP jako statutární město vystupuje v této Smlouvě v rámci své samostatné působnosti a má k dispozici odborné zázemí a právní poradenství nezbytné pro vyjednání a uzavření této Smlouvy. Investor je profesionální obchodní společnost s odpovídajícími odbornými znalostmi a zkušenostmi v oblasti developerských projektů a zázemím v podobě odborných poradců.</w:t>
      </w:r>
    </w:p>
    <w:p w14:paraId="4027D841" w14:textId="77777777" w:rsidR="00EC1C40" w:rsidRDefault="00000000">
      <w:pPr>
        <w:pStyle w:val="Zkladntext1"/>
        <w:framePr w:w="9115" w:h="13214" w:hRule="exact" w:wrap="none" w:vAnchor="page" w:hAnchor="page" w:x="1748" w:y="1940"/>
        <w:numPr>
          <w:ilvl w:val="1"/>
          <w:numId w:val="3"/>
        </w:numPr>
        <w:tabs>
          <w:tab w:val="left" w:pos="573"/>
        </w:tabs>
        <w:ind w:left="580" w:hanging="580"/>
        <w:jc w:val="both"/>
      </w:pPr>
      <w:r>
        <w:t>Smluvní strany nespatřují důvod pro použití ustanovení o slabší straně ve smyslu ustanovení § 433 Občanského zákoníku a ustanovení o smlouvách uzavíraných adhezním způsobem ve smyslu § 1799 a § 1800 Občanského zákoníku; aplikaci těchto ustanovení Smluvní strany na právní vztahy založené touto Smlouvou v maximálním možném rozsahu dle platných a účinných právních předpisů vylučují.</w:t>
      </w:r>
    </w:p>
    <w:p w14:paraId="53A0003E" w14:textId="77777777" w:rsidR="00EC1C40" w:rsidRDefault="00000000">
      <w:pPr>
        <w:pStyle w:val="Nadpis60"/>
        <w:framePr w:w="9115" w:h="13214" w:hRule="exact" w:wrap="none" w:vAnchor="page" w:hAnchor="page" w:x="1748" w:y="1940"/>
        <w:numPr>
          <w:ilvl w:val="0"/>
          <w:numId w:val="3"/>
        </w:numPr>
        <w:tabs>
          <w:tab w:val="left" w:pos="561"/>
        </w:tabs>
        <w:jc w:val="both"/>
      </w:pPr>
      <w:bookmarkStart w:id="27" w:name="bookmark54"/>
      <w:r>
        <w:t>Informační povinnost</w:t>
      </w:r>
      <w:bookmarkEnd w:id="27"/>
    </w:p>
    <w:p w14:paraId="3C362111" w14:textId="77777777" w:rsidR="00EC1C40" w:rsidRDefault="00000000">
      <w:pPr>
        <w:pStyle w:val="Zkladntext1"/>
        <w:framePr w:w="9115" w:h="13214" w:hRule="exact" w:wrap="none" w:vAnchor="page" w:hAnchor="page" w:x="1748" w:y="1940"/>
        <w:numPr>
          <w:ilvl w:val="1"/>
          <w:numId w:val="3"/>
        </w:numPr>
        <w:tabs>
          <w:tab w:val="left" w:pos="568"/>
        </w:tabs>
        <w:ind w:left="580" w:hanging="580"/>
        <w:jc w:val="both"/>
      </w:pPr>
      <w:r>
        <w:t>Každá ze Smluvních stran bude neprodleně a bez nutnosti předchozí výzvy informovat ostatní Smluvní strany o:</w:t>
      </w:r>
    </w:p>
    <w:p w14:paraId="039F5B27" w14:textId="77777777" w:rsidR="00EC1C40" w:rsidRDefault="00000000">
      <w:pPr>
        <w:pStyle w:val="Zkladntext1"/>
        <w:framePr w:w="9115" w:h="13214" w:hRule="exact" w:wrap="none" w:vAnchor="page" w:hAnchor="page" w:x="1748" w:y="1940"/>
        <w:numPr>
          <w:ilvl w:val="2"/>
          <w:numId w:val="3"/>
        </w:numPr>
        <w:tabs>
          <w:tab w:val="left" w:pos="1320"/>
        </w:tabs>
        <w:ind w:left="1320" w:hanging="740"/>
        <w:jc w:val="both"/>
      </w:pPr>
      <w:r>
        <w:t>každé okolnosti, jež může být důležitá pro plnění práv a povinností Smluvních stran na základě a/nebo v souvislosti s touto Smlouvou;</w:t>
      </w:r>
    </w:p>
    <w:p w14:paraId="13788FB5" w14:textId="77777777" w:rsidR="00EC1C40" w:rsidRDefault="00000000">
      <w:pPr>
        <w:pStyle w:val="Zkladntext1"/>
        <w:framePr w:w="9115" w:h="13214" w:hRule="exact" w:wrap="none" w:vAnchor="page" w:hAnchor="page" w:x="1748" w:y="1940"/>
        <w:numPr>
          <w:ilvl w:val="2"/>
          <w:numId w:val="3"/>
        </w:numPr>
        <w:tabs>
          <w:tab w:val="left" w:pos="1320"/>
        </w:tabs>
        <w:ind w:left="1320" w:hanging="740"/>
        <w:jc w:val="both"/>
      </w:pPr>
      <w:r>
        <w:t>porušení nebo nesplnění jakékoli povinnosti vyplývající z této Smlouvy;</w:t>
      </w:r>
    </w:p>
    <w:p w14:paraId="132DD07F" w14:textId="77777777" w:rsidR="00EC1C40" w:rsidRDefault="00000000">
      <w:pPr>
        <w:pStyle w:val="Zkladntext1"/>
        <w:framePr w:w="9115" w:h="13214" w:hRule="exact" w:wrap="none" w:vAnchor="page" w:hAnchor="page" w:x="1748" w:y="1940"/>
        <w:numPr>
          <w:ilvl w:val="2"/>
          <w:numId w:val="3"/>
        </w:numPr>
        <w:tabs>
          <w:tab w:val="left" w:pos="1320"/>
        </w:tabs>
        <w:ind w:left="1320" w:hanging="740"/>
        <w:jc w:val="both"/>
      </w:pPr>
      <w:r>
        <w:t>jakémkoli soudním, rozhodčím či správním řízení, popřípadě hrozících sporech a/nebo řízeních a o jakýchkoli nárocích vznesených třetími osobami, které by se jakkoli dotýkaly předmětu této Smlouvy a/nebo ohrožovaly plnění povinností v ní obsažených;</w:t>
      </w:r>
    </w:p>
    <w:p w14:paraId="5FA46563" w14:textId="77777777" w:rsidR="00EC1C40" w:rsidRDefault="00000000">
      <w:pPr>
        <w:pStyle w:val="Zkladntext1"/>
        <w:framePr w:w="9115" w:h="13214" w:hRule="exact" w:wrap="none" w:vAnchor="page" w:hAnchor="page" w:x="1748" w:y="1940"/>
        <w:numPr>
          <w:ilvl w:val="2"/>
          <w:numId w:val="3"/>
        </w:numPr>
        <w:tabs>
          <w:tab w:val="left" w:pos="1320"/>
        </w:tabs>
        <w:ind w:left="1320" w:hanging="740"/>
        <w:jc w:val="both"/>
      </w:pPr>
      <w:r>
        <w:t>tom, že nastala jakákoli skutečnost, na základě které došlo nebo by mohlo dojít k ohrožení a/nebo omezení plnění povinností Smluvních stran z této Smlouvy; a/nebo</w:t>
      </w:r>
    </w:p>
    <w:p w14:paraId="40D26B38" w14:textId="77777777" w:rsidR="00EC1C40" w:rsidRDefault="00000000">
      <w:pPr>
        <w:pStyle w:val="Zkladntext1"/>
        <w:framePr w:w="9115" w:h="13214" w:hRule="exact" w:wrap="none" w:vAnchor="page" w:hAnchor="page" w:x="1748" w:y="1940"/>
        <w:numPr>
          <w:ilvl w:val="2"/>
          <w:numId w:val="3"/>
        </w:numPr>
        <w:tabs>
          <w:tab w:val="left" w:pos="1320"/>
        </w:tabs>
        <w:spacing w:line="233" w:lineRule="auto"/>
        <w:ind w:left="1320" w:hanging="740"/>
        <w:jc w:val="both"/>
      </w:pPr>
      <w:r>
        <w:t>tom, že nastala či hrozí skutečnost, která brání plnění povinnosti kterékoli ze Smluvních stran na základě této Smlouvy.</w:t>
      </w:r>
    </w:p>
    <w:p w14:paraId="63681E88" w14:textId="77777777" w:rsidR="00EC1C40" w:rsidRDefault="00000000">
      <w:pPr>
        <w:pStyle w:val="Zkladntext1"/>
        <w:framePr w:w="9115" w:h="13214" w:hRule="exact" w:wrap="none" w:vAnchor="page" w:hAnchor="page" w:x="1748" w:y="1940"/>
        <w:numPr>
          <w:ilvl w:val="1"/>
          <w:numId w:val="3"/>
        </w:numPr>
        <w:tabs>
          <w:tab w:val="left" w:pos="573"/>
        </w:tabs>
        <w:ind w:left="580" w:hanging="580"/>
        <w:jc w:val="both"/>
      </w:pPr>
      <w:r>
        <w:t>Ujednáními obsaženými v tomto článku není jakkoli dotčena oznamovací povinnost obsažená v ostatních ustanoveních této Smlouvy.</w:t>
      </w:r>
    </w:p>
    <w:p w14:paraId="2C68236B" w14:textId="77777777" w:rsidR="00EC1C40" w:rsidRDefault="00000000">
      <w:pPr>
        <w:pStyle w:val="Nadpis60"/>
        <w:framePr w:w="9115" w:h="13214" w:hRule="exact" w:wrap="none" w:vAnchor="page" w:hAnchor="page" w:x="1748" w:y="1940"/>
        <w:numPr>
          <w:ilvl w:val="0"/>
          <w:numId w:val="3"/>
        </w:numPr>
        <w:tabs>
          <w:tab w:val="left" w:pos="561"/>
        </w:tabs>
        <w:jc w:val="both"/>
      </w:pPr>
      <w:bookmarkStart w:id="28" w:name="bookmark56"/>
      <w:r>
        <w:t>Hodnota plnění</w:t>
      </w:r>
      <w:bookmarkEnd w:id="28"/>
    </w:p>
    <w:p w14:paraId="32239BCF" w14:textId="77777777" w:rsidR="00EC1C40" w:rsidRDefault="00000000">
      <w:pPr>
        <w:pStyle w:val="Zkladntext1"/>
        <w:framePr w:w="9115" w:h="13214" w:hRule="exact" w:wrap="none" w:vAnchor="page" w:hAnchor="page" w:x="1748" w:y="1940"/>
        <w:numPr>
          <w:ilvl w:val="1"/>
          <w:numId w:val="3"/>
        </w:numPr>
        <w:tabs>
          <w:tab w:val="left" w:pos="573"/>
        </w:tabs>
        <w:ind w:left="580" w:hanging="580"/>
        <w:jc w:val="both"/>
      </w:pPr>
      <w:r>
        <w:t xml:space="preserve">S ohledem na zvláštní povahu této Smlouvy jako smlouvy veřejnoprávní a okolnosti jejího uzavření Smluvní strany konstatují, že nemají právo požadovat zrušení této Smlouvy podle § 1794 Občanského zákoníku a pro vyloučení pochybností se výslovně vzdávají práva požadovat zrušení této Smlouvy podle </w:t>
      </w:r>
      <w:proofErr w:type="spellStart"/>
      <w:r>
        <w:t>ust</w:t>
      </w:r>
      <w:proofErr w:type="spellEnd"/>
      <w:r>
        <w:t>. § 1794 odst. 2 Občanského zákoníku, pokud by jim takové právo mělo jinak svědčit.</w:t>
      </w:r>
    </w:p>
    <w:p w14:paraId="1B1D292C" w14:textId="77777777" w:rsidR="00EC1C40" w:rsidRDefault="00000000">
      <w:pPr>
        <w:pStyle w:val="Zkladntext1"/>
        <w:framePr w:w="9115" w:h="13214" w:hRule="exact" w:wrap="none" w:vAnchor="page" w:hAnchor="page" w:x="1748" w:y="1940"/>
        <w:numPr>
          <w:ilvl w:val="0"/>
          <w:numId w:val="3"/>
        </w:numPr>
        <w:tabs>
          <w:tab w:val="left" w:pos="561"/>
        </w:tabs>
        <w:spacing w:after="0"/>
        <w:jc w:val="both"/>
      </w:pPr>
      <w:r>
        <w:rPr>
          <w:b/>
          <w:bCs/>
        </w:rPr>
        <w:t>Vyhotovení</w:t>
      </w:r>
    </w:p>
    <w:p w14:paraId="48C12FB6" w14:textId="77777777" w:rsidR="00EC1C40" w:rsidRDefault="00000000">
      <w:pPr>
        <w:pStyle w:val="Zhlavnebozpat0"/>
        <w:framePr w:wrap="none" w:vAnchor="page" w:hAnchor="page" w:x="6015" w:y="16085"/>
        <w:rPr>
          <w:sz w:val="22"/>
          <w:szCs w:val="22"/>
        </w:rPr>
      </w:pPr>
      <w:r>
        <w:rPr>
          <w:color w:val="231E20"/>
          <w:sz w:val="22"/>
          <w:szCs w:val="22"/>
        </w:rPr>
        <w:t>59/63</w:t>
      </w:r>
    </w:p>
    <w:p w14:paraId="365031D5"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3D94949E" w14:textId="77777777" w:rsidR="00EC1C40" w:rsidRDefault="00000000">
      <w:pPr>
        <w:spacing w:line="1" w:lineRule="exact"/>
      </w:pPr>
      <w:r>
        <w:rPr>
          <w:noProof/>
        </w:rPr>
        <w:lastRenderedPageBreak/>
        <mc:AlternateContent>
          <mc:Choice Requires="wps">
            <w:drawing>
              <wp:anchor distT="0" distB="0" distL="114300" distR="114300" simplePos="0" relativeHeight="251643392" behindDoc="1" locked="0" layoutInCell="1" allowOverlap="1" wp14:anchorId="546C5238" wp14:editId="5A9B0FF9">
                <wp:simplePos x="0" y="0"/>
                <wp:positionH relativeFrom="page">
                  <wp:posOffset>1173480</wp:posOffset>
                </wp:positionH>
                <wp:positionV relativeFrom="page">
                  <wp:posOffset>932180</wp:posOffset>
                </wp:positionV>
                <wp:extent cx="5702935" cy="0"/>
                <wp:effectExtent l="0" t="0" r="0" b="0"/>
                <wp:wrapNone/>
                <wp:docPr id="59" name="Shape 59"/>
                <wp:cNvGraphicFramePr/>
                <a:graphic xmlns:a="http://schemas.openxmlformats.org/drawingml/2006/main">
                  <a:graphicData uri="http://schemas.microsoft.com/office/word/2010/wordprocessingShape">
                    <wps:wsp>
                      <wps:cNvCnPr/>
                      <wps:spPr>
                        <a:xfrm>
                          <a:off x="0" y="0"/>
                          <a:ext cx="5702935" cy="0"/>
                        </a:xfrm>
                        <a:prstGeom prst="straightConnector1">
                          <a:avLst/>
                        </a:prstGeom>
                        <a:ln w="6350">
                          <a:solidFill/>
                        </a:ln>
                      </wps:spPr>
                      <wps:bodyPr/>
                    </wps:wsp>
                  </a:graphicData>
                </a:graphic>
              </wp:anchor>
            </w:drawing>
          </mc:Choice>
          <mc:Fallback>
            <w:pict>
              <v:shape o:spt="32" o:oned="true" path="m,l21600,21600e" style="position:absolute;margin-left:92.400000000000006pt;margin-top:73.400000000000006pt;width:449.05000000000001pt;height:0;z-index:-251658240;mso-position-horizontal-relative:page;mso-position-vertical-relative:page">
                <v:stroke weight="0.5pt"/>
              </v:shape>
            </w:pict>
          </mc:Fallback>
        </mc:AlternateContent>
      </w:r>
    </w:p>
    <w:p w14:paraId="08163BE2" w14:textId="77777777" w:rsidR="00EC1C40" w:rsidRDefault="00000000">
      <w:pPr>
        <w:pStyle w:val="Zhlavnebozpat0"/>
        <w:framePr w:wrap="none" w:vAnchor="page" w:hAnchor="page" w:x="5655" w:y="1186"/>
      </w:pPr>
      <w:r>
        <w:t>Plánovací smlouva</w:t>
      </w:r>
    </w:p>
    <w:p w14:paraId="5803EF58" w14:textId="77777777" w:rsidR="00EC1C40" w:rsidRDefault="00000000">
      <w:pPr>
        <w:pStyle w:val="Zkladntext1"/>
        <w:framePr w:w="9134" w:h="1334" w:hRule="exact" w:wrap="none" w:vAnchor="page" w:hAnchor="page" w:x="1739" w:y="1940"/>
        <w:numPr>
          <w:ilvl w:val="1"/>
          <w:numId w:val="3"/>
        </w:numPr>
        <w:tabs>
          <w:tab w:val="left" w:pos="622"/>
        </w:tabs>
        <w:spacing w:after="120"/>
        <w:ind w:left="560" w:hanging="560"/>
      </w:pPr>
      <w:r>
        <w:t>Tato Smlouva je vyhotovena ve čtyřech (4) vyhotoveních v českém jazyce, přičemž Investor a SMP obdrží každý po dvou (2) vyhotoveních.</w:t>
      </w:r>
    </w:p>
    <w:p w14:paraId="2A01DD2F" w14:textId="77777777" w:rsidR="00EC1C40" w:rsidRDefault="00000000">
      <w:pPr>
        <w:pStyle w:val="Nadpis60"/>
        <w:framePr w:w="9134" w:h="1334" w:hRule="exact" w:wrap="none" w:vAnchor="page" w:hAnchor="page" w:x="1739" w:y="1940"/>
        <w:numPr>
          <w:ilvl w:val="0"/>
          <w:numId w:val="3"/>
        </w:numPr>
        <w:tabs>
          <w:tab w:val="left" w:pos="562"/>
        </w:tabs>
        <w:spacing w:after="120"/>
      </w:pPr>
      <w:bookmarkStart w:id="29" w:name="bookmark58"/>
      <w:r>
        <w:t>Přílohy</w:t>
      </w:r>
      <w:bookmarkEnd w:id="29"/>
    </w:p>
    <w:p w14:paraId="248F223A" w14:textId="77777777" w:rsidR="00EC1C40" w:rsidRDefault="00000000">
      <w:pPr>
        <w:pStyle w:val="Zkladntext1"/>
        <w:framePr w:w="9134" w:h="1334" w:hRule="exact" w:wrap="none" w:vAnchor="page" w:hAnchor="page" w:x="1739" w:y="1940"/>
        <w:numPr>
          <w:ilvl w:val="1"/>
          <w:numId w:val="3"/>
        </w:numPr>
        <w:tabs>
          <w:tab w:val="left" w:pos="622"/>
        </w:tabs>
        <w:spacing w:after="0"/>
      </w:pPr>
      <w:r>
        <w:t>Nedílnou součástí této Smlouvy jsou její přílohy:</w:t>
      </w:r>
    </w:p>
    <w:tbl>
      <w:tblPr>
        <w:tblOverlap w:val="never"/>
        <w:tblW w:w="0" w:type="auto"/>
        <w:tblLayout w:type="fixed"/>
        <w:tblCellMar>
          <w:left w:w="10" w:type="dxa"/>
          <w:right w:w="10" w:type="dxa"/>
        </w:tblCellMar>
        <w:tblLook w:val="0000" w:firstRow="0" w:lastRow="0" w:firstColumn="0" w:lastColumn="0" w:noHBand="0" w:noVBand="0"/>
      </w:tblPr>
      <w:tblGrid>
        <w:gridCol w:w="802"/>
        <w:gridCol w:w="2122"/>
        <w:gridCol w:w="5645"/>
      </w:tblGrid>
      <w:tr w:rsidR="00EC1C40" w14:paraId="2CEEB32D" w14:textId="77777777">
        <w:tblPrEx>
          <w:tblCellMar>
            <w:top w:w="0" w:type="dxa"/>
            <w:bottom w:w="0" w:type="dxa"/>
          </w:tblCellMar>
        </w:tblPrEx>
        <w:trPr>
          <w:trHeight w:hRule="exact" w:val="307"/>
        </w:trPr>
        <w:tc>
          <w:tcPr>
            <w:tcW w:w="802" w:type="dxa"/>
            <w:shd w:val="clear" w:color="auto" w:fill="auto"/>
          </w:tcPr>
          <w:p w14:paraId="2220CFDB" w14:textId="77777777" w:rsidR="00EC1C40" w:rsidRDefault="00000000">
            <w:pPr>
              <w:pStyle w:val="Jin0"/>
              <w:framePr w:w="8568" w:h="11803" w:wrap="none" w:vAnchor="page" w:hAnchor="page" w:x="2305" w:y="3408"/>
              <w:spacing w:after="0"/>
              <w:jc w:val="both"/>
            </w:pPr>
            <w:r>
              <w:t>32.1.1.</w:t>
            </w:r>
          </w:p>
        </w:tc>
        <w:tc>
          <w:tcPr>
            <w:tcW w:w="2122" w:type="dxa"/>
            <w:shd w:val="clear" w:color="auto" w:fill="auto"/>
          </w:tcPr>
          <w:p w14:paraId="5FD2D4A8" w14:textId="77777777" w:rsidR="00EC1C40" w:rsidRDefault="00000000">
            <w:pPr>
              <w:pStyle w:val="Jin0"/>
              <w:framePr w:w="8568" w:h="11803" w:wrap="none" w:vAnchor="page" w:hAnchor="page" w:x="2305" w:y="3408"/>
              <w:spacing w:after="0"/>
            </w:pPr>
            <w:r>
              <w:rPr>
                <w:u w:val="single"/>
              </w:rPr>
              <w:t>Příloha č. 1:</w:t>
            </w:r>
          </w:p>
        </w:tc>
        <w:tc>
          <w:tcPr>
            <w:tcW w:w="5645" w:type="dxa"/>
            <w:shd w:val="clear" w:color="auto" w:fill="auto"/>
          </w:tcPr>
          <w:p w14:paraId="3635118A" w14:textId="77777777" w:rsidR="00EC1C40" w:rsidRDefault="00000000">
            <w:pPr>
              <w:pStyle w:val="Jin0"/>
              <w:framePr w:w="8568" w:h="11803" w:wrap="none" w:vAnchor="page" w:hAnchor="page" w:x="2305" w:y="3408"/>
              <w:spacing w:after="0"/>
            </w:pPr>
            <w:r>
              <w:t>Základní parametry;</w:t>
            </w:r>
          </w:p>
        </w:tc>
      </w:tr>
      <w:tr w:rsidR="00EC1C40" w14:paraId="2E920C21" w14:textId="77777777">
        <w:tblPrEx>
          <w:tblCellMar>
            <w:top w:w="0" w:type="dxa"/>
            <w:bottom w:w="0" w:type="dxa"/>
          </w:tblCellMar>
        </w:tblPrEx>
        <w:trPr>
          <w:trHeight w:hRule="exact" w:val="389"/>
        </w:trPr>
        <w:tc>
          <w:tcPr>
            <w:tcW w:w="802" w:type="dxa"/>
            <w:shd w:val="clear" w:color="auto" w:fill="auto"/>
            <w:vAlign w:val="center"/>
          </w:tcPr>
          <w:p w14:paraId="5C5C893B" w14:textId="77777777" w:rsidR="00EC1C40" w:rsidRDefault="00000000">
            <w:pPr>
              <w:pStyle w:val="Jin0"/>
              <w:framePr w:w="8568" w:h="11803" w:wrap="none" w:vAnchor="page" w:hAnchor="page" w:x="2305" w:y="3408"/>
              <w:spacing w:after="0"/>
              <w:jc w:val="both"/>
            </w:pPr>
            <w:r>
              <w:t>32.1.2.</w:t>
            </w:r>
          </w:p>
        </w:tc>
        <w:tc>
          <w:tcPr>
            <w:tcW w:w="2122" w:type="dxa"/>
            <w:shd w:val="clear" w:color="auto" w:fill="auto"/>
            <w:vAlign w:val="center"/>
          </w:tcPr>
          <w:p w14:paraId="65098C00" w14:textId="77777777" w:rsidR="00EC1C40" w:rsidRDefault="00000000">
            <w:pPr>
              <w:pStyle w:val="Jin0"/>
              <w:framePr w:w="8568" w:h="11803" w:wrap="none" w:vAnchor="page" w:hAnchor="page" w:x="2305" w:y="3408"/>
              <w:spacing w:after="0"/>
            </w:pPr>
            <w:r>
              <w:rPr>
                <w:u w:val="single"/>
              </w:rPr>
              <w:t>Příloha č. 2:</w:t>
            </w:r>
          </w:p>
        </w:tc>
        <w:tc>
          <w:tcPr>
            <w:tcW w:w="5645" w:type="dxa"/>
            <w:shd w:val="clear" w:color="auto" w:fill="auto"/>
            <w:vAlign w:val="center"/>
          </w:tcPr>
          <w:p w14:paraId="3A4CC799" w14:textId="77777777" w:rsidR="00EC1C40" w:rsidRDefault="00000000">
            <w:pPr>
              <w:pStyle w:val="Jin0"/>
              <w:framePr w:w="8568" w:h="11803" w:wrap="none" w:vAnchor="page" w:hAnchor="page" w:x="2305" w:y="3408"/>
              <w:spacing w:after="0"/>
            </w:pPr>
            <w:r>
              <w:t>Adaptační opatření;</w:t>
            </w:r>
          </w:p>
        </w:tc>
      </w:tr>
      <w:tr w:rsidR="00EC1C40" w14:paraId="61B821DF" w14:textId="77777777">
        <w:tblPrEx>
          <w:tblCellMar>
            <w:top w:w="0" w:type="dxa"/>
            <w:bottom w:w="0" w:type="dxa"/>
          </w:tblCellMar>
        </w:tblPrEx>
        <w:trPr>
          <w:trHeight w:hRule="exact" w:val="379"/>
        </w:trPr>
        <w:tc>
          <w:tcPr>
            <w:tcW w:w="802" w:type="dxa"/>
            <w:shd w:val="clear" w:color="auto" w:fill="auto"/>
          </w:tcPr>
          <w:p w14:paraId="33E815C5" w14:textId="77777777" w:rsidR="00EC1C40" w:rsidRDefault="00000000">
            <w:pPr>
              <w:pStyle w:val="Jin0"/>
              <w:framePr w:w="8568" w:h="11803" w:wrap="none" w:vAnchor="page" w:hAnchor="page" w:x="2305" w:y="3408"/>
              <w:spacing w:after="0"/>
              <w:jc w:val="both"/>
            </w:pPr>
            <w:r>
              <w:t>32.1.3.</w:t>
            </w:r>
          </w:p>
        </w:tc>
        <w:tc>
          <w:tcPr>
            <w:tcW w:w="2122" w:type="dxa"/>
            <w:shd w:val="clear" w:color="auto" w:fill="auto"/>
          </w:tcPr>
          <w:p w14:paraId="699800DA" w14:textId="77777777" w:rsidR="00EC1C40" w:rsidRDefault="00000000">
            <w:pPr>
              <w:pStyle w:val="Jin0"/>
              <w:framePr w:w="8568" w:h="11803" w:wrap="none" w:vAnchor="page" w:hAnchor="page" w:x="2305" w:y="3408"/>
              <w:spacing w:after="0"/>
            </w:pPr>
            <w:r>
              <w:rPr>
                <w:u w:val="single"/>
              </w:rPr>
              <w:t>Příloha č. 3:</w:t>
            </w:r>
          </w:p>
        </w:tc>
        <w:tc>
          <w:tcPr>
            <w:tcW w:w="5645" w:type="dxa"/>
            <w:shd w:val="clear" w:color="auto" w:fill="auto"/>
          </w:tcPr>
          <w:p w14:paraId="0765A6AE" w14:textId="77777777" w:rsidR="00EC1C40" w:rsidRDefault="00000000">
            <w:pPr>
              <w:pStyle w:val="Jin0"/>
              <w:framePr w:w="8568" w:h="11803" w:wrap="none" w:vAnchor="page" w:hAnchor="page" w:x="2305" w:y="3408"/>
              <w:spacing w:after="0"/>
            </w:pPr>
            <w:r>
              <w:t>Vzorové znění Dohody o úpravě vztahů;</w:t>
            </w:r>
          </w:p>
        </w:tc>
      </w:tr>
      <w:tr w:rsidR="00EC1C40" w14:paraId="7486F332" w14:textId="77777777">
        <w:tblPrEx>
          <w:tblCellMar>
            <w:top w:w="0" w:type="dxa"/>
            <w:bottom w:w="0" w:type="dxa"/>
          </w:tblCellMar>
        </w:tblPrEx>
        <w:trPr>
          <w:trHeight w:hRule="exact" w:val="398"/>
        </w:trPr>
        <w:tc>
          <w:tcPr>
            <w:tcW w:w="802" w:type="dxa"/>
            <w:shd w:val="clear" w:color="auto" w:fill="auto"/>
            <w:vAlign w:val="center"/>
          </w:tcPr>
          <w:p w14:paraId="6FF85ED8" w14:textId="77777777" w:rsidR="00EC1C40" w:rsidRDefault="00000000">
            <w:pPr>
              <w:pStyle w:val="Jin0"/>
              <w:framePr w:w="8568" w:h="11803" w:wrap="none" w:vAnchor="page" w:hAnchor="page" w:x="2305" w:y="3408"/>
              <w:spacing w:after="0"/>
              <w:jc w:val="both"/>
            </w:pPr>
            <w:r>
              <w:t>32.1.4.</w:t>
            </w:r>
          </w:p>
        </w:tc>
        <w:tc>
          <w:tcPr>
            <w:tcW w:w="2122" w:type="dxa"/>
            <w:shd w:val="clear" w:color="auto" w:fill="auto"/>
            <w:vAlign w:val="center"/>
          </w:tcPr>
          <w:p w14:paraId="265B87D2" w14:textId="77777777" w:rsidR="00EC1C40" w:rsidRDefault="00000000">
            <w:pPr>
              <w:pStyle w:val="Jin0"/>
              <w:framePr w:w="8568" w:h="11803" w:wrap="none" w:vAnchor="page" w:hAnchor="page" w:x="2305" w:y="3408"/>
              <w:spacing w:after="0"/>
            </w:pPr>
            <w:r>
              <w:rPr>
                <w:u w:val="single"/>
              </w:rPr>
              <w:t>Příloha č. 4:</w:t>
            </w:r>
          </w:p>
        </w:tc>
        <w:tc>
          <w:tcPr>
            <w:tcW w:w="5645" w:type="dxa"/>
            <w:shd w:val="clear" w:color="auto" w:fill="auto"/>
            <w:vAlign w:val="center"/>
          </w:tcPr>
          <w:p w14:paraId="207646CD" w14:textId="77777777" w:rsidR="00EC1C40" w:rsidRDefault="00000000">
            <w:pPr>
              <w:pStyle w:val="Jin0"/>
              <w:framePr w:w="8568" w:h="11803" w:wrap="none" w:vAnchor="page" w:hAnchor="page" w:x="2305" w:y="3408"/>
              <w:spacing w:after="0"/>
            </w:pPr>
            <w:r>
              <w:t>Grafické vymezení Pozemků (Katastrální situace);</w:t>
            </w:r>
          </w:p>
        </w:tc>
      </w:tr>
      <w:tr w:rsidR="00EC1C40" w14:paraId="2C01D033" w14:textId="77777777">
        <w:tblPrEx>
          <w:tblCellMar>
            <w:top w:w="0" w:type="dxa"/>
            <w:bottom w:w="0" w:type="dxa"/>
          </w:tblCellMar>
        </w:tblPrEx>
        <w:trPr>
          <w:trHeight w:hRule="exact" w:val="379"/>
        </w:trPr>
        <w:tc>
          <w:tcPr>
            <w:tcW w:w="802" w:type="dxa"/>
            <w:shd w:val="clear" w:color="auto" w:fill="auto"/>
            <w:vAlign w:val="center"/>
          </w:tcPr>
          <w:p w14:paraId="782CC55D" w14:textId="77777777" w:rsidR="00EC1C40" w:rsidRDefault="00000000">
            <w:pPr>
              <w:pStyle w:val="Jin0"/>
              <w:framePr w:w="8568" w:h="11803" w:wrap="none" w:vAnchor="page" w:hAnchor="page" w:x="2305" w:y="3408"/>
              <w:spacing w:after="0"/>
              <w:jc w:val="both"/>
            </w:pPr>
            <w:r>
              <w:t>32.1.5.</w:t>
            </w:r>
          </w:p>
        </w:tc>
        <w:tc>
          <w:tcPr>
            <w:tcW w:w="2122" w:type="dxa"/>
            <w:shd w:val="clear" w:color="auto" w:fill="auto"/>
            <w:vAlign w:val="center"/>
          </w:tcPr>
          <w:p w14:paraId="689C78E5" w14:textId="77777777" w:rsidR="00EC1C40" w:rsidRDefault="00000000">
            <w:pPr>
              <w:pStyle w:val="Jin0"/>
              <w:framePr w:w="8568" w:h="11803" w:wrap="none" w:vAnchor="page" w:hAnchor="page" w:x="2305" w:y="3408"/>
              <w:spacing w:after="0"/>
            </w:pPr>
            <w:r>
              <w:rPr>
                <w:u w:val="single"/>
              </w:rPr>
              <w:t>Příloha č. 5:</w:t>
            </w:r>
          </w:p>
        </w:tc>
        <w:tc>
          <w:tcPr>
            <w:tcW w:w="5645" w:type="dxa"/>
            <w:shd w:val="clear" w:color="auto" w:fill="auto"/>
            <w:vAlign w:val="center"/>
          </w:tcPr>
          <w:p w14:paraId="55D6C9A0" w14:textId="77777777" w:rsidR="00EC1C40" w:rsidRDefault="00000000">
            <w:pPr>
              <w:pStyle w:val="Jin0"/>
              <w:framePr w:w="8568" w:h="11803" w:wrap="none" w:vAnchor="page" w:hAnchor="page" w:x="2305" w:y="3408"/>
              <w:spacing w:after="0"/>
            </w:pPr>
            <w:r>
              <w:t>Vzorové znění Směnné smlouvy 1;</w:t>
            </w:r>
          </w:p>
        </w:tc>
      </w:tr>
      <w:tr w:rsidR="00EC1C40" w14:paraId="06FF632E" w14:textId="77777777">
        <w:tblPrEx>
          <w:tblCellMar>
            <w:top w:w="0" w:type="dxa"/>
            <w:bottom w:w="0" w:type="dxa"/>
          </w:tblCellMar>
        </w:tblPrEx>
        <w:trPr>
          <w:trHeight w:hRule="exact" w:val="389"/>
        </w:trPr>
        <w:tc>
          <w:tcPr>
            <w:tcW w:w="802" w:type="dxa"/>
            <w:shd w:val="clear" w:color="auto" w:fill="auto"/>
            <w:vAlign w:val="center"/>
          </w:tcPr>
          <w:p w14:paraId="5C9CFC88" w14:textId="77777777" w:rsidR="00EC1C40" w:rsidRDefault="00000000">
            <w:pPr>
              <w:pStyle w:val="Jin0"/>
              <w:framePr w:w="8568" w:h="11803" w:wrap="none" w:vAnchor="page" w:hAnchor="page" w:x="2305" w:y="3408"/>
              <w:spacing w:after="0"/>
              <w:jc w:val="both"/>
            </w:pPr>
            <w:r>
              <w:t>32.1.6.</w:t>
            </w:r>
          </w:p>
        </w:tc>
        <w:tc>
          <w:tcPr>
            <w:tcW w:w="2122" w:type="dxa"/>
            <w:shd w:val="clear" w:color="auto" w:fill="auto"/>
            <w:vAlign w:val="center"/>
          </w:tcPr>
          <w:p w14:paraId="0D90DC9A" w14:textId="77777777" w:rsidR="00EC1C40" w:rsidRDefault="00000000">
            <w:pPr>
              <w:pStyle w:val="Jin0"/>
              <w:framePr w:w="8568" w:h="11803" w:wrap="none" w:vAnchor="page" w:hAnchor="page" w:x="2305" w:y="3408"/>
              <w:spacing w:after="0"/>
            </w:pPr>
            <w:r>
              <w:rPr>
                <w:u w:val="single"/>
              </w:rPr>
              <w:t>Příloha č. 6:</w:t>
            </w:r>
          </w:p>
        </w:tc>
        <w:tc>
          <w:tcPr>
            <w:tcW w:w="5645" w:type="dxa"/>
            <w:shd w:val="clear" w:color="auto" w:fill="auto"/>
            <w:vAlign w:val="center"/>
          </w:tcPr>
          <w:p w14:paraId="096BC8B4" w14:textId="77777777" w:rsidR="00EC1C40" w:rsidRDefault="00000000">
            <w:pPr>
              <w:pStyle w:val="Jin0"/>
              <w:framePr w:w="8568" w:h="11803" w:wrap="none" w:vAnchor="page" w:hAnchor="page" w:x="2305" w:y="3408"/>
              <w:spacing w:after="0"/>
            </w:pPr>
            <w:r>
              <w:t>Vzorové znění Smlouvy o smlouvě budoucí směnné;</w:t>
            </w:r>
          </w:p>
        </w:tc>
      </w:tr>
      <w:tr w:rsidR="00EC1C40" w14:paraId="5EAE996B" w14:textId="77777777">
        <w:tblPrEx>
          <w:tblCellMar>
            <w:top w:w="0" w:type="dxa"/>
            <w:bottom w:w="0" w:type="dxa"/>
          </w:tblCellMar>
        </w:tblPrEx>
        <w:trPr>
          <w:trHeight w:hRule="exact" w:val="394"/>
        </w:trPr>
        <w:tc>
          <w:tcPr>
            <w:tcW w:w="802" w:type="dxa"/>
            <w:shd w:val="clear" w:color="auto" w:fill="auto"/>
            <w:vAlign w:val="center"/>
          </w:tcPr>
          <w:p w14:paraId="0E8CA19F" w14:textId="77777777" w:rsidR="00EC1C40" w:rsidRDefault="00000000">
            <w:pPr>
              <w:pStyle w:val="Jin0"/>
              <w:framePr w:w="8568" w:h="11803" w:wrap="none" w:vAnchor="page" w:hAnchor="page" w:x="2305" w:y="3408"/>
              <w:spacing w:after="0"/>
              <w:jc w:val="both"/>
            </w:pPr>
            <w:r>
              <w:t>32.1.7.</w:t>
            </w:r>
          </w:p>
        </w:tc>
        <w:tc>
          <w:tcPr>
            <w:tcW w:w="2122" w:type="dxa"/>
            <w:shd w:val="clear" w:color="auto" w:fill="auto"/>
            <w:vAlign w:val="center"/>
          </w:tcPr>
          <w:p w14:paraId="4421164C" w14:textId="77777777" w:rsidR="00EC1C40" w:rsidRDefault="00000000">
            <w:pPr>
              <w:pStyle w:val="Jin0"/>
              <w:framePr w:w="8568" w:h="11803" w:wrap="none" w:vAnchor="page" w:hAnchor="page" w:x="2305" w:y="3408"/>
              <w:spacing w:after="0"/>
            </w:pPr>
            <w:r>
              <w:rPr>
                <w:u w:val="single"/>
              </w:rPr>
              <w:t>Příloha č. 7:</w:t>
            </w:r>
          </w:p>
        </w:tc>
        <w:tc>
          <w:tcPr>
            <w:tcW w:w="5645" w:type="dxa"/>
            <w:shd w:val="clear" w:color="auto" w:fill="auto"/>
            <w:vAlign w:val="center"/>
          </w:tcPr>
          <w:p w14:paraId="44612AAA" w14:textId="77777777" w:rsidR="00EC1C40" w:rsidRDefault="00000000">
            <w:pPr>
              <w:pStyle w:val="Jin0"/>
              <w:framePr w:w="8568" w:h="11803" w:wrap="none" w:vAnchor="page" w:hAnchor="page" w:x="2305" w:y="3408"/>
              <w:spacing w:after="0"/>
            </w:pPr>
            <w:r>
              <w:t>Vzorové znění Smlouvy o výpůjčce;</w:t>
            </w:r>
          </w:p>
        </w:tc>
      </w:tr>
      <w:tr w:rsidR="00EC1C40" w14:paraId="2E3623E1" w14:textId="77777777">
        <w:tblPrEx>
          <w:tblCellMar>
            <w:top w:w="0" w:type="dxa"/>
            <w:bottom w:w="0" w:type="dxa"/>
          </w:tblCellMar>
        </w:tblPrEx>
        <w:trPr>
          <w:trHeight w:hRule="exact" w:val="658"/>
        </w:trPr>
        <w:tc>
          <w:tcPr>
            <w:tcW w:w="802" w:type="dxa"/>
            <w:shd w:val="clear" w:color="auto" w:fill="auto"/>
          </w:tcPr>
          <w:p w14:paraId="6B4079A8" w14:textId="77777777" w:rsidR="00EC1C40" w:rsidRDefault="00000000">
            <w:pPr>
              <w:pStyle w:val="Jin0"/>
              <w:framePr w:w="8568" w:h="11803" w:wrap="none" w:vAnchor="page" w:hAnchor="page" w:x="2305" w:y="3408"/>
              <w:spacing w:after="0"/>
              <w:jc w:val="both"/>
            </w:pPr>
            <w:r>
              <w:t>32.1.8.</w:t>
            </w:r>
          </w:p>
        </w:tc>
        <w:tc>
          <w:tcPr>
            <w:tcW w:w="2122" w:type="dxa"/>
            <w:shd w:val="clear" w:color="auto" w:fill="auto"/>
            <w:vAlign w:val="bottom"/>
          </w:tcPr>
          <w:p w14:paraId="23880F6E" w14:textId="77777777" w:rsidR="00EC1C40" w:rsidRDefault="00000000">
            <w:pPr>
              <w:pStyle w:val="Jin0"/>
              <w:framePr w:w="8568" w:h="11803" w:wrap="none" w:vAnchor="page" w:hAnchor="page" w:x="2305" w:y="3408"/>
              <w:spacing w:after="0"/>
            </w:pPr>
            <w:r>
              <w:rPr>
                <w:u w:val="single"/>
              </w:rPr>
              <w:t>Příloha č. 8:</w:t>
            </w:r>
          </w:p>
          <w:p w14:paraId="35C4A9EE" w14:textId="77777777" w:rsidR="00EC1C40" w:rsidRDefault="00000000">
            <w:pPr>
              <w:pStyle w:val="Jin0"/>
              <w:framePr w:w="8568" w:h="11803" w:wrap="none" w:vAnchor="page" w:hAnchor="page" w:x="2305" w:y="3408"/>
              <w:spacing w:after="0"/>
            </w:pPr>
            <w:r>
              <w:rPr>
                <w:i/>
                <w:iCs/>
              </w:rPr>
              <w:t>výkres)</w:t>
            </w:r>
            <w:r>
              <w:t xml:space="preserve"> Územní studie;</w:t>
            </w:r>
          </w:p>
        </w:tc>
        <w:tc>
          <w:tcPr>
            <w:tcW w:w="5645" w:type="dxa"/>
            <w:shd w:val="clear" w:color="auto" w:fill="auto"/>
          </w:tcPr>
          <w:p w14:paraId="54B7E76D" w14:textId="77777777" w:rsidR="00EC1C40" w:rsidRDefault="00000000">
            <w:pPr>
              <w:pStyle w:val="Jin0"/>
              <w:framePr w:w="8568" w:h="11803" w:wrap="none" w:vAnchor="page" w:hAnchor="page" w:x="2305" w:y="3408"/>
              <w:spacing w:after="0"/>
            </w:pPr>
            <w:r>
              <w:t xml:space="preserve">Výkresy č. č. 5 </w:t>
            </w:r>
            <w:r>
              <w:rPr>
                <w:i/>
                <w:iCs/>
              </w:rPr>
              <w:t>(Řešení veřejných prostranství)</w:t>
            </w:r>
            <w:r>
              <w:t xml:space="preserve"> a č. 8 </w:t>
            </w:r>
            <w:r>
              <w:rPr>
                <w:i/>
                <w:iCs/>
              </w:rPr>
              <w:t>(Regulační</w:t>
            </w:r>
          </w:p>
        </w:tc>
      </w:tr>
      <w:tr w:rsidR="00EC1C40" w14:paraId="684FD47F" w14:textId="77777777">
        <w:tblPrEx>
          <w:tblCellMar>
            <w:top w:w="0" w:type="dxa"/>
            <w:bottom w:w="0" w:type="dxa"/>
          </w:tblCellMar>
        </w:tblPrEx>
        <w:trPr>
          <w:trHeight w:hRule="exact" w:val="662"/>
        </w:trPr>
        <w:tc>
          <w:tcPr>
            <w:tcW w:w="802" w:type="dxa"/>
            <w:shd w:val="clear" w:color="auto" w:fill="auto"/>
          </w:tcPr>
          <w:p w14:paraId="6E0B3C10" w14:textId="77777777" w:rsidR="00EC1C40" w:rsidRDefault="00000000">
            <w:pPr>
              <w:pStyle w:val="Jin0"/>
              <w:framePr w:w="8568" w:h="11803" w:wrap="none" w:vAnchor="page" w:hAnchor="page" w:x="2305" w:y="3408"/>
              <w:spacing w:after="0"/>
              <w:jc w:val="both"/>
            </w:pPr>
            <w:r>
              <w:t>32.1.9.</w:t>
            </w:r>
          </w:p>
        </w:tc>
        <w:tc>
          <w:tcPr>
            <w:tcW w:w="2122" w:type="dxa"/>
            <w:shd w:val="clear" w:color="auto" w:fill="auto"/>
            <w:vAlign w:val="bottom"/>
          </w:tcPr>
          <w:p w14:paraId="400C1D09" w14:textId="77777777" w:rsidR="00EC1C40" w:rsidRDefault="00000000">
            <w:pPr>
              <w:pStyle w:val="Jin0"/>
              <w:framePr w:w="8568" w:h="11803" w:wrap="none" w:vAnchor="page" w:hAnchor="page" w:x="2305" w:y="3408"/>
              <w:spacing w:after="0"/>
            </w:pPr>
            <w:r>
              <w:rPr>
                <w:u w:val="single"/>
              </w:rPr>
              <w:t xml:space="preserve">Příloha č. 9: </w:t>
            </w:r>
            <w:r>
              <w:t>investory;</w:t>
            </w:r>
          </w:p>
        </w:tc>
        <w:tc>
          <w:tcPr>
            <w:tcW w:w="5645" w:type="dxa"/>
            <w:shd w:val="clear" w:color="auto" w:fill="auto"/>
          </w:tcPr>
          <w:p w14:paraId="2BC2B96A" w14:textId="77777777" w:rsidR="00EC1C40" w:rsidRDefault="00000000">
            <w:pPr>
              <w:pStyle w:val="Jin0"/>
              <w:framePr w:w="8568" w:h="11803" w:wrap="none" w:vAnchor="page" w:hAnchor="page" w:x="2305" w:y="3408"/>
              <w:spacing w:after="0"/>
            </w:pPr>
            <w:r>
              <w:t>Zásady statutárního města Pardubice pro spolupráci s</w:t>
            </w:r>
          </w:p>
        </w:tc>
      </w:tr>
      <w:tr w:rsidR="00EC1C40" w14:paraId="2B6F424C" w14:textId="77777777">
        <w:tblPrEx>
          <w:tblCellMar>
            <w:top w:w="0" w:type="dxa"/>
            <w:bottom w:w="0" w:type="dxa"/>
          </w:tblCellMar>
        </w:tblPrEx>
        <w:trPr>
          <w:trHeight w:hRule="exact" w:val="384"/>
        </w:trPr>
        <w:tc>
          <w:tcPr>
            <w:tcW w:w="802" w:type="dxa"/>
            <w:shd w:val="clear" w:color="auto" w:fill="auto"/>
          </w:tcPr>
          <w:p w14:paraId="599806CB" w14:textId="77777777" w:rsidR="00EC1C40" w:rsidRDefault="00000000">
            <w:pPr>
              <w:pStyle w:val="Jin0"/>
              <w:framePr w:w="8568" w:h="11803" w:wrap="none" w:vAnchor="page" w:hAnchor="page" w:x="2305" w:y="3408"/>
              <w:spacing w:after="0"/>
              <w:jc w:val="both"/>
            </w:pPr>
            <w:r>
              <w:t>32.1.10.</w:t>
            </w:r>
          </w:p>
        </w:tc>
        <w:tc>
          <w:tcPr>
            <w:tcW w:w="2122" w:type="dxa"/>
            <w:shd w:val="clear" w:color="auto" w:fill="auto"/>
          </w:tcPr>
          <w:p w14:paraId="384980D9" w14:textId="77777777" w:rsidR="00EC1C40" w:rsidRDefault="00000000">
            <w:pPr>
              <w:pStyle w:val="Jin0"/>
              <w:framePr w:w="8568" w:h="11803" w:wrap="none" w:vAnchor="page" w:hAnchor="page" w:x="2305" w:y="3408"/>
              <w:spacing w:after="0"/>
            </w:pPr>
            <w:r>
              <w:rPr>
                <w:u w:val="single"/>
              </w:rPr>
              <w:t>Příloha č. 10:</w:t>
            </w:r>
          </w:p>
        </w:tc>
        <w:tc>
          <w:tcPr>
            <w:tcW w:w="5645" w:type="dxa"/>
            <w:shd w:val="clear" w:color="auto" w:fill="auto"/>
          </w:tcPr>
          <w:p w14:paraId="76E0DC45" w14:textId="77777777" w:rsidR="00EC1C40" w:rsidRDefault="00000000">
            <w:pPr>
              <w:pStyle w:val="Jin0"/>
              <w:framePr w:w="8568" w:h="11803" w:wrap="none" w:vAnchor="page" w:hAnchor="page" w:x="2305" w:y="3408"/>
              <w:spacing w:after="0"/>
            </w:pPr>
            <w:r>
              <w:t>Zásady výstavby veřejné infrastruktury;</w:t>
            </w:r>
          </w:p>
        </w:tc>
      </w:tr>
      <w:tr w:rsidR="00EC1C40" w14:paraId="0DC8ADA4" w14:textId="77777777">
        <w:tblPrEx>
          <w:tblCellMar>
            <w:top w:w="0" w:type="dxa"/>
            <w:bottom w:w="0" w:type="dxa"/>
          </w:tblCellMar>
        </w:tblPrEx>
        <w:trPr>
          <w:trHeight w:hRule="exact" w:val="384"/>
        </w:trPr>
        <w:tc>
          <w:tcPr>
            <w:tcW w:w="802" w:type="dxa"/>
            <w:shd w:val="clear" w:color="auto" w:fill="auto"/>
            <w:vAlign w:val="center"/>
          </w:tcPr>
          <w:p w14:paraId="664F2191" w14:textId="77777777" w:rsidR="00EC1C40" w:rsidRDefault="00000000">
            <w:pPr>
              <w:pStyle w:val="Jin0"/>
              <w:framePr w:w="8568" w:h="11803" w:wrap="none" w:vAnchor="page" w:hAnchor="page" w:x="2305" w:y="3408"/>
              <w:spacing w:after="0"/>
              <w:jc w:val="both"/>
            </w:pPr>
            <w:r>
              <w:t>32.1.11.</w:t>
            </w:r>
          </w:p>
        </w:tc>
        <w:tc>
          <w:tcPr>
            <w:tcW w:w="2122" w:type="dxa"/>
            <w:shd w:val="clear" w:color="auto" w:fill="auto"/>
            <w:vAlign w:val="center"/>
          </w:tcPr>
          <w:p w14:paraId="04C7AE37" w14:textId="77777777" w:rsidR="00EC1C40" w:rsidRDefault="00000000">
            <w:pPr>
              <w:pStyle w:val="Jin0"/>
              <w:framePr w:w="8568" w:h="11803" w:wrap="none" w:vAnchor="page" w:hAnchor="page" w:x="2305" w:y="3408"/>
              <w:spacing w:after="0"/>
            </w:pPr>
            <w:r>
              <w:rPr>
                <w:u w:val="single"/>
              </w:rPr>
              <w:t>Příloha č. 11:</w:t>
            </w:r>
          </w:p>
        </w:tc>
        <w:tc>
          <w:tcPr>
            <w:tcW w:w="5645" w:type="dxa"/>
            <w:shd w:val="clear" w:color="auto" w:fill="auto"/>
            <w:vAlign w:val="center"/>
          </w:tcPr>
          <w:p w14:paraId="7B733517" w14:textId="77777777" w:rsidR="00EC1C40" w:rsidRDefault="00000000">
            <w:pPr>
              <w:pStyle w:val="Jin0"/>
              <w:framePr w:w="8568" w:h="11803" w:wrap="none" w:vAnchor="page" w:hAnchor="page" w:x="2305" w:y="3408"/>
              <w:spacing w:after="0"/>
            </w:pPr>
            <w:r>
              <w:t>Tabulka Zpoplatněných HPP;</w:t>
            </w:r>
          </w:p>
        </w:tc>
      </w:tr>
      <w:tr w:rsidR="00EC1C40" w14:paraId="372AF94B" w14:textId="77777777">
        <w:tblPrEx>
          <w:tblCellMar>
            <w:top w:w="0" w:type="dxa"/>
            <w:bottom w:w="0" w:type="dxa"/>
          </w:tblCellMar>
        </w:tblPrEx>
        <w:trPr>
          <w:trHeight w:hRule="exact" w:val="389"/>
        </w:trPr>
        <w:tc>
          <w:tcPr>
            <w:tcW w:w="802" w:type="dxa"/>
            <w:shd w:val="clear" w:color="auto" w:fill="auto"/>
            <w:vAlign w:val="center"/>
          </w:tcPr>
          <w:p w14:paraId="66BA30D6" w14:textId="77777777" w:rsidR="00EC1C40" w:rsidRDefault="00000000">
            <w:pPr>
              <w:pStyle w:val="Jin0"/>
              <w:framePr w:w="8568" w:h="11803" w:wrap="none" w:vAnchor="page" w:hAnchor="page" w:x="2305" w:y="3408"/>
              <w:spacing w:after="0"/>
              <w:jc w:val="both"/>
            </w:pPr>
            <w:r>
              <w:t>32.1.12.</w:t>
            </w:r>
          </w:p>
        </w:tc>
        <w:tc>
          <w:tcPr>
            <w:tcW w:w="2122" w:type="dxa"/>
            <w:shd w:val="clear" w:color="auto" w:fill="auto"/>
            <w:vAlign w:val="center"/>
          </w:tcPr>
          <w:p w14:paraId="0FF06DCB" w14:textId="77777777" w:rsidR="00EC1C40" w:rsidRDefault="00000000">
            <w:pPr>
              <w:pStyle w:val="Jin0"/>
              <w:framePr w:w="8568" w:h="11803" w:wrap="none" w:vAnchor="page" w:hAnchor="page" w:x="2305" w:y="3408"/>
              <w:spacing w:after="0"/>
            </w:pPr>
            <w:r>
              <w:rPr>
                <w:u w:val="single"/>
              </w:rPr>
              <w:t>Příloha č. 12:</w:t>
            </w:r>
          </w:p>
        </w:tc>
        <w:tc>
          <w:tcPr>
            <w:tcW w:w="5645" w:type="dxa"/>
            <w:shd w:val="clear" w:color="auto" w:fill="auto"/>
            <w:vAlign w:val="center"/>
          </w:tcPr>
          <w:p w14:paraId="15B0B561" w14:textId="77777777" w:rsidR="00EC1C40" w:rsidRDefault="00000000">
            <w:pPr>
              <w:pStyle w:val="Jin0"/>
              <w:framePr w:w="8568" w:h="11803" w:wrap="none" w:vAnchor="page" w:hAnchor="page" w:x="2305" w:y="3408"/>
              <w:spacing w:after="0"/>
            </w:pPr>
            <w:r>
              <w:t>Grafické zobrazení Zpoplatněných HPP;</w:t>
            </w:r>
          </w:p>
        </w:tc>
      </w:tr>
      <w:tr w:rsidR="00EC1C40" w14:paraId="29D06F55" w14:textId="77777777">
        <w:tblPrEx>
          <w:tblCellMar>
            <w:top w:w="0" w:type="dxa"/>
            <w:bottom w:w="0" w:type="dxa"/>
          </w:tblCellMar>
        </w:tblPrEx>
        <w:trPr>
          <w:trHeight w:hRule="exact" w:val="379"/>
        </w:trPr>
        <w:tc>
          <w:tcPr>
            <w:tcW w:w="802" w:type="dxa"/>
            <w:shd w:val="clear" w:color="auto" w:fill="auto"/>
            <w:vAlign w:val="center"/>
          </w:tcPr>
          <w:p w14:paraId="06AA8EC9" w14:textId="77777777" w:rsidR="00EC1C40" w:rsidRDefault="00000000">
            <w:pPr>
              <w:pStyle w:val="Jin0"/>
              <w:framePr w:w="8568" w:h="11803" w:wrap="none" w:vAnchor="page" w:hAnchor="page" w:x="2305" w:y="3408"/>
              <w:spacing w:after="0"/>
              <w:jc w:val="both"/>
            </w:pPr>
            <w:r>
              <w:t>32.1.13.</w:t>
            </w:r>
          </w:p>
        </w:tc>
        <w:tc>
          <w:tcPr>
            <w:tcW w:w="2122" w:type="dxa"/>
            <w:shd w:val="clear" w:color="auto" w:fill="auto"/>
            <w:vAlign w:val="center"/>
          </w:tcPr>
          <w:p w14:paraId="58347502" w14:textId="77777777" w:rsidR="00EC1C40" w:rsidRDefault="00000000">
            <w:pPr>
              <w:pStyle w:val="Jin0"/>
              <w:framePr w:w="8568" w:h="11803" w:wrap="none" w:vAnchor="page" w:hAnchor="page" w:x="2305" w:y="3408"/>
              <w:spacing w:after="0"/>
            </w:pPr>
            <w:r>
              <w:rPr>
                <w:u w:val="single"/>
              </w:rPr>
              <w:t>Příloha č. 13:</w:t>
            </w:r>
          </w:p>
        </w:tc>
        <w:tc>
          <w:tcPr>
            <w:tcW w:w="5645" w:type="dxa"/>
            <w:shd w:val="clear" w:color="auto" w:fill="auto"/>
            <w:vAlign w:val="center"/>
          </w:tcPr>
          <w:p w14:paraId="6F79AC35" w14:textId="77777777" w:rsidR="00EC1C40" w:rsidRDefault="00000000">
            <w:pPr>
              <w:pStyle w:val="Jin0"/>
              <w:framePr w:w="8568" w:h="11803" w:wrap="none" w:vAnchor="page" w:hAnchor="page" w:x="2305" w:y="3408"/>
              <w:spacing w:after="0"/>
            </w:pPr>
            <w:r>
              <w:t>Koordinační situační výkres;</w:t>
            </w:r>
          </w:p>
        </w:tc>
      </w:tr>
      <w:tr w:rsidR="00EC1C40" w14:paraId="265CC672" w14:textId="77777777">
        <w:tblPrEx>
          <w:tblCellMar>
            <w:top w:w="0" w:type="dxa"/>
            <w:bottom w:w="0" w:type="dxa"/>
          </w:tblCellMar>
        </w:tblPrEx>
        <w:trPr>
          <w:trHeight w:hRule="exact" w:val="677"/>
        </w:trPr>
        <w:tc>
          <w:tcPr>
            <w:tcW w:w="802" w:type="dxa"/>
            <w:shd w:val="clear" w:color="auto" w:fill="auto"/>
          </w:tcPr>
          <w:p w14:paraId="3C4BCFF1" w14:textId="77777777" w:rsidR="00EC1C40" w:rsidRDefault="00000000">
            <w:pPr>
              <w:pStyle w:val="Jin0"/>
              <w:framePr w:w="8568" w:h="11803" w:wrap="none" w:vAnchor="page" w:hAnchor="page" w:x="2305" w:y="3408"/>
              <w:spacing w:after="0"/>
              <w:jc w:val="both"/>
            </w:pPr>
            <w:r>
              <w:t>32.1.14.</w:t>
            </w:r>
          </w:p>
        </w:tc>
        <w:tc>
          <w:tcPr>
            <w:tcW w:w="2122" w:type="dxa"/>
            <w:shd w:val="clear" w:color="auto" w:fill="auto"/>
            <w:vAlign w:val="bottom"/>
          </w:tcPr>
          <w:p w14:paraId="43753601" w14:textId="77777777" w:rsidR="00EC1C40" w:rsidRDefault="00000000">
            <w:pPr>
              <w:pStyle w:val="Jin0"/>
              <w:framePr w:w="8568" w:h="11803" w:wrap="none" w:vAnchor="page" w:hAnchor="page" w:x="2305" w:y="3408"/>
              <w:spacing w:after="0"/>
            </w:pPr>
            <w:r>
              <w:rPr>
                <w:u w:val="single"/>
              </w:rPr>
              <w:t xml:space="preserve">Příloha č. 14: </w:t>
            </w:r>
            <w:r>
              <w:t>část);</w:t>
            </w:r>
          </w:p>
        </w:tc>
        <w:tc>
          <w:tcPr>
            <w:tcW w:w="5645" w:type="dxa"/>
            <w:shd w:val="clear" w:color="auto" w:fill="auto"/>
          </w:tcPr>
          <w:p w14:paraId="02A59BF5" w14:textId="77777777" w:rsidR="00EC1C40" w:rsidRDefault="00000000">
            <w:pPr>
              <w:pStyle w:val="Jin0"/>
              <w:framePr w:w="8568" w:h="11803" w:wrap="none" w:vAnchor="page" w:hAnchor="page" w:x="2305" w:y="3408"/>
              <w:spacing w:after="0"/>
            </w:pPr>
            <w:r>
              <w:t>Soulad Investičního záměru s Územní studií (textová i grafická</w:t>
            </w:r>
          </w:p>
        </w:tc>
      </w:tr>
      <w:tr w:rsidR="00EC1C40" w14:paraId="6EAAC062" w14:textId="77777777">
        <w:tblPrEx>
          <w:tblCellMar>
            <w:top w:w="0" w:type="dxa"/>
            <w:bottom w:w="0" w:type="dxa"/>
          </w:tblCellMar>
        </w:tblPrEx>
        <w:trPr>
          <w:trHeight w:hRule="exact" w:val="379"/>
        </w:trPr>
        <w:tc>
          <w:tcPr>
            <w:tcW w:w="802" w:type="dxa"/>
            <w:shd w:val="clear" w:color="auto" w:fill="auto"/>
          </w:tcPr>
          <w:p w14:paraId="5035BEFC" w14:textId="77777777" w:rsidR="00EC1C40" w:rsidRDefault="00000000">
            <w:pPr>
              <w:pStyle w:val="Jin0"/>
              <w:framePr w:w="8568" w:h="11803" w:wrap="none" w:vAnchor="page" w:hAnchor="page" w:x="2305" w:y="3408"/>
              <w:spacing w:after="0"/>
              <w:jc w:val="both"/>
            </w:pPr>
            <w:r>
              <w:t>32.1.15.</w:t>
            </w:r>
          </w:p>
        </w:tc>
        <w:tc>
          <w:tcPr>
            <w:tcW w:w="2122" w:type="dxa"/>
            <w:shd w:val="clear" w:color="auto" w:fill="auto"/>
          </w:tcPr>
          <w:p w14:paraId="38ECA389" w14:textId="77777777" w:rsidR="00EC1C40" w:rsidRDefault="00000000">
            <w:pPr>
              <w:pStyle w:val="Jin0"/>
              <w:framePr w:w="8568" w:h="11803" w:wrap="none" w:vAnchor="page" w:hAnchor="page" w:x="2305" w:y="3408"/>
              <w:spacing w:after="0"/>
            </w:pPr>
            <w:r>
              <w:rPr>
                <w:u w:val="single"/>
              </w:rPr>
              <w:t>Příloha č. 15:</w:t>
            </w:r>
          </w:p>
        </w:tc>
        <w:tc>
          <w:tcPr>
            <w:tcW w:w="5645" w:type="dxa"/>
            <w:shd w:val="clear" w:color="auto" w:fill="auto"/>
          </w:tcPr>
          <w:p w14:paraId="694A9E60" w14:textId="77777777" w:rsidR="00EC1C40" w:rsidRDefault="00000000">
            <w:pPr>
              <w:pStyle w:val="Jin0"/>
              <w:framePr w:w="8568" w:h="11803" w:wrap="none" w:vAnchor="page" w:hAnchor="page" w:x="2305" w:y="3408"/>
              <w:spacing w:after="0"/>
            </w:pPr>
            <w:r>
              <w:t>Odůvodnění Investičního záměru jako veřejné stavby;</w:t>
            </w:r>
          </w:p>
        </w:tc>
      </w:tr>
      <w:tr w:rsidR="00EC1C40" w14:paraId="18D4C102" w14:textId="77777777">
        <w:tblPrEx>
          <w:tblCellMar>
            <w:top w:w="0" w:type="dxa"/>
            <w:bottom w:w="0" w:type="dxa"/>
          </w:tblCellMar>
        </w:tblPrEx>
        <w:trPr>
          <w:trHeight w:hRule="exact" w:val="394"/>
        </w:trPr>
        <w:tc>
          <w:tcPr>
            <w:tcW w:w="802" w:type="dxa"/>
            <w:shd w:val="clear" w:color="auto" w:fill="auto"/>
            <w:vAlign w:val="center"/>
          </w:tcPr>
          <w:p w14:paraId="27A364F1" w14:textId="77777777" w:rsidR="00EC1C40" w:rsidRDefault="00000000">
            <w:pPr>
              <w:pStyle w:val="Jin0"/>
              <w:framePr w:w="8568" w:h="11803" w:wrap="none" w:vAnchor="page" w:hAnchor="page" w:x="2305" w:y="3408"/>
              <w:spacing w:after="0"/>
              <w:jc w:val="both"/>
            </w:pPr>
            <w:r>
              <w:t>32.1.16.</w:t>
            </w:r>
          </w:p>
        </w:tc>
        <w:tc>
          <w:tcPr>
            <w:tcW w:w="2122" w:type="dxa"/>
            <w:shd w:val="clear" w:color="auto" w:fill="auto"/>
            <w:vAlign w:val="center"/>
          </w:tcPr>
          <w:p w14:paraId="42643669" w14:textId="77777777" w:rsidR="00EC1C40" w:rsidRDefault="00000000">
            <w:pPr>
              <w:pStyle w:val="Jin0"/>
              <w:framePr w:w="8568" w:h="11803" w:wrap="none" w:vAnchor="page" w:hAnchor="page" w:x="2305" w:y="3408"/>
              <w:spacing w:after="0"/>
            </w:pPr>
            <w:r>
              <w:rPr>
                <w:u w:val="single"/>
              </w:rPr>
              <w:t>Příloha č. 16:</w:t>
            </w:r>
          </w:p>
        </w:tc>
        <w:tc>
          <w:tcPr>
            <w:tcW w:w="5645" w:type="dxa"/>
            <w:shd w:val="clear" w:color="auto" w:fill="auto"/>
            <w:vAlign w:val="center"/>
          </w:tcPr>
          <w:p w14:paraId="19883137" w14:textId="77777777" w:rsidR="00EC1C40" w:rsidRDefault="00000000">
            <w:pPr>
              <w:pStyle w:val="Jin0"/>
              <w:framePr w:w="8568" w:h="11803" w:wrap="none" w:vAnchor="page" w:hAnchor="page" w:x="2305" w:y="3408"/>
              <w:spacing w:after="0"/>
            </w:pPr>
            <w:r>
              <w:t>Předpokládané náklady na Nepeněžní plnění;</w:t>
            </w:r>
          </w:p>
        </w:tc>
      </w:tr>
      <w:tr w:rsidR="00EC1C40" w14:paraId="612179E9" w14:textId="77777777">
        <w:tblPrEx>
          <w:tblCellMar>
            <w:top w:w="0" w:type="dxa"/>
            <w:bottom w:w="0" w:type="dxa"/>
          </w:tblCellMar>
        </w:tblPrEx>
        <w:trPr>
          <w:trHeight w:hRule="exact" w:val="379"/>
        </w:trPr>
        <w:tc>
          <w:tcPr>
            <w:tcW w:w="802" w:type="dxa"/>
            <w:shd w:val="clear" w:color="auto" w:fill="auto"/>
            <w:vAlign w:val="center"/>
          </w:tcPr>
          <w:p w14:paraId="34FD1BC8" w14:textId="77777777" w:rsidR="00EC1C40" w:rsidRDefault="00000000">
            <w:pPr>
              <w:pStyle w:val="Jin0"/>
              <w:framePr w:w="8568" w:h="11803" w:wrap="none" w:vAnchor="page" w:hAnchor="page" w:x="2305" w:y="3408"/>
              <w:spacing w:after="0"/>
              <w:jc w:val="both"/>
            </w:pPr>
            <w:r>
              <w:t>32.1.17.</w:t>
            </w:r>
          </w:p>
        </w:tc>
        <w:tc>
          <w:tcPr>
            <w:tcW w:w="2122" w:type="dxa"/>
            <w:shd w:val="clear" w:color="auto" w:fill="auto"/>
            <w:vAlign w:val="center"/>
          </w:tcPr>
          <w:p w14:paraId="6D1F8804" w14:textId="77777777" w:rsidR="00EC1C40" w:rsidRDefault="00000000">
            <w:pPr>
              <w:pStyle w:val="Jin0"/>
              <w:framePr w:w="8568" w:h="11803" w:wrap="none" w:vAnchor="page" w:hAnchor="page" w:x="2305" w:y="3408"/>
              <w:spacing w:after="0"/>
            </w:pPr>
            <w:r>
              <w:rPr>
                <w:u w:val="single"/>
              </w:rPr>
              <w:t>Příloha č. 17:</w:t>
            </w:r>
          </w:p>
        </w:tc>
        <w:tc>
          <w:tcPr>
            <w:tcW w:w="5645" w:type="dxa"/>
            <w:shd w:val="clear" w:color="auto" w:fill="auto"/>
            <w:vAlign w:val="center"/>
          </w:tcPr>
          <w:p w14:paraId="6DB202C7" w14:textId="77777777" w:rsidR="00EC1C40" w:rsidRDefault="00000000">
            <w:pPr>
              <w:pStyle w:val="Jin0"/>
              <w:framePr w:w="8568" w:h="11803" w:wrap="none" w:vAnchor="page" w:hAnchor="page" w:x="2305" w:y="3408"/>
              <w:spacing w:after="0"/>
            </w:pPr>
            <w:r>
              <w:t>Grafické zobrazení Nepeněžního plnění;</w:t>
            </w:r>
          </w:p>
        </w:tc>
      </w:tr>
      <w:tr w:rsidR="00EC1C40" w14:paraId="0D7A5127" w14:textId="77777777">
        <w:tblPrEx>
          <w:tblCellMar>
            <w:top w:w="0" w:type="dxa"/>
            <w:bottom w:w="0" w:type="dxa"/>
          </w:tblCellMar>
        </w:tblPrEx>
        <w:trPr>
          <w:trHeight w:hRule="exact" w:val="667"/>
        </w:trPr>
        <w:tc>
          <w:tcPr>
            <w:tcW w:w="802" w:type="dxa"/>
            <w:shd w:val="clear" w:color="auto" w:fill="auto"/>
          </w:tcPr>
          <w:p w14:paraId="5C4ED5F4" w14:textId="77777777" w:rsidR="00EC1C40" w:rsidRDefault="00000000">
            <w:pPr>
              <w:pStyle w:val="Jin0"/>
              <w:framePr w:w="8568" w:h="11803" w:wrap="none" w:vAnchor="page" w:hAnchor="page" w:x="2305" w:y="3408"/>
              <w:spacing w:after="0"/>
              <w:jc w:val="both"/>
            </w:pPr>
            <w:r>
              <w:t>32.1.18.</w:t>
            </w:r>
          </w:p>
        </w:tc>
        <w:tc>
          <w:tcPr>
            <w:tcW w:w="2122" w:type="dxa"/>
            <w:shd w:val="clear" w:color="auto" w:fill="auto"/>
            <w:vAlign w:val="bottom"/>
          </w:tcPr>
          <w:p w14:paraId="5772EA93" w14:textId="77777777" w:rsidR="00EC1C40" w:rsidRDefault="00000000">
            <w:pPr>
              <w:pStyle w:val="Jin0"/>
              <w:framePr w:w="8568" w:h="11803" w:wrap="none" w:vAnchor="page" w:hAnchor="page" w:x="2305" w:y="3408"/>
              <w:spacing w:after="0"/>
            </w:pPr>
            <w:r>
              <w:rPr>
                <w:u w:val="single"/>
              </w:rPr>
              <w:t>Příloha č. 18:</w:t>
            </w:r>
          </w:p>
          <w:p w14:paraId="6E9DE9AF" w14:textId="77777777" w:rsidR="00EC1C40" w:rsidRDefault="00000000">
            <w:pPr>
              <w:pStyle w:val="Jin0"/>
              <w:framePr w:w="8568" w:h="11803" w:wrap="none" w:vAnchor="page" w:hAnchor="page" w:x="2305" w:y="3408"/>
              <w:spacing w:after="0"/>
            </w:pPr>
            <w:r>
              <w:t>převáděné na SMP;</w:t>
            </w:r>
          </w:p>
        </w:tc>
        <w:tc>
          <w:tcPr>
            <w:tcW w:w="5645" w:type="dxa"/>
            <w:shd w:val="clear" w:color="auto" w:fill="auto"/>
          </w:tcPr>
          <w:p w14:paraId="3B1AC813" w14:textId="77777777" w:rsidR="00EC1C40" w:rsidRDefault="00000000">
            <w:pPr>
              <w:pStyle w:val="Jin0"/>
              <w:framePr w:w="8568" w:h="11803" w:wrap="none" w:vAnchor="page" w:hAnchor="page" w:x="2305" w:y="3408"/>
              <w:spacing w:after="0"/>
            </w:pPr>
            <w:r>
              <w:t>Přehled Nepeněžního plnění a Související infrastruktury</w:t>
            </w:r>
          </w:p>
        </w:tc>
      </w:tr>
      <w:tr w:rsidR="00EC1C40" w14:paraId="120F2696" w14:textId="77777777">
        <w:tblPrEx>
          <w:tblCellMar>
            <w:top w:w="0" w:type="dxa"/>
            <w:bottom w:w="0" w:type="dxa"/>
          </w:tblCellMar>
        </w:tblPrEx>
        <w:trPr>
          <w:trHeight w:hRule="exact" w:val="384"/>
        </w:trPr>
        <w:tc>
          <w:tcPr>
            <w:tcW w:w="802" w:type="dxa"/>
            <w:shd w:val="clear" w:color="auto" w:fill="auto"/>
          </w:tcPr>
          <w:p w14:paraId="28880D40" w14:textId="77777777" w:rsidR="00EC1C40" w:rsidRDefault="00000000">
            <w:pPr>
              <w:pStyle w:val="Jin0"/>
              <w:framePr w:w="8568" w:h="11803" w:wrap="none" w:vAnchor="page" w:hAnchor="page" w:x="2305" w:y="3408"/>
              <w:spacing w:after="0"/>
              <w:jc w:val="both"/>
            </w:pPr>
            <w:r>
              <w:t>32.1.19.</w:t>
            </w:r>
          </w:p>
        </w:tc>
        <w:tc>
          <w:tcPr>
            <w:tcW w:w="2122" w:type="dxa"/>
            <w:shd w:val="clear" w:color="auto" w:fill="auto"/>
          </w:tcPr>
          <w:p w14:paraId="0671200D" w14:textId="77777777" w:rsidR="00EC1C40" w:rsidRDefault="00000000">
            <w:pPr>
              <w:pStyle w:val="Jin0"/>
              <w:framePr w:w="8568" w:h="11803" w:wrap="none" w:vAnchor="page" w:hAnchor="page" w:x="2305" w:y="3408"/>
              <w:spacing w:after="0"/>
            </w:pPr>
            <w:r>
              <w:rPr>
                <w:u w:val="single"/>
              </w:rPr>
              <w:t>Příloha č. 19:</w:t>
            </w:r>
          </w:p>
        </w:tc>
        <w:tc>
          <w:tcPr>
            <w:tcW w:w="5645" w:type="dxa"/>
            <w:shd w:val="clear" w:color="auto" w:fill="auto"/>
          </w:tcPr>
          <w:p w14:paraId="3CE7575C" w14:textId="77777777" w:rsidR="00EC1C40" w:rsidRDefault="00000000">
            <w:pPr>
              <w:pStyle w:val="Jin0"/>
              <w:framePr w:w="8568" w:h="11803" w:wrap="none" w:vAnchor="page" w:hAnchor="page" w:x="2305" w:y="3408"/>
              <w:spacing w:after="0"/>
            </w:pPr>
            <w:r>
              <w:t>Grafické zobrazení Související infrastruktury;</w:t>
            </w:r>
          </w:p>
        </w:tc>
      </w:tr>
      <w:tr w:rsidR="00EC1C40" w14:paraId="04293FCC" w14:textId="77777777">
        <w:tblPrEx>
          <w:tblCellMar>
            <w:top w:w="0" w:type="dxa"/>
            <w:bottom w:w="0" w:type="dxa"/>
          </w:tblCellMar>
        </w:tblPrEx>
        <w:trPr>
          <w:trHeight w:hRule="exact" w:val="374"/>
        </w:trPr>
        <w:tc>
          <w:tcPr>
            <w:tcW w:w="802" w:type="dxa"/>
            <w:shd w:val="clear" w:color="auto" w:fill="auto"/>
            <w:vAlign w:val="bottom"/>
          </w:tcPr>
          <w:p w14:paraId="6A480AE0" w14:textId="77777777" w:rsidR="00EC1C40" w:rsidRDefault="00000000">
            <w:pPr>
              <w:pStyle w:val="Jin0"/>
              <w:framePr w:w="8568" w:h="11803" w:wrap="none" w:vAnchor="page" w:hAnchor="page" w:x="2305" w:y="3408"/>
              <w:spacing w:after="0"/>
              <w:jc w:val="both"/>
            </w:pPr>
            <w:r>
              <w:t>32.1.20.</w:t>
            </w:r>
          </w:p>
        </w:tc>
        <w:tc>
          <w:tcPr>
            <w:tcW w:w="2122" w:type="dxa"/>
            <w:shd w:val="clear" w:color="auto" w:fill="auto"/>
            <w:vAlign w:val="bottom"/>
          </w:tcPr>
          <w:p w14:paraId="68D63107" w14:textId="77777777" w:rsidR="00EC1C40" w:rsidRDefault="00000000">
            <w:pPr>
              <w:pStyle w:val="Jin0"/>
              <w:framePr w:w="8568" w:h="11803" w:wrap="none" w:vAnchor="page" w:hAnchor="page" w:x="2305" w:y="3408"/>
              <w:spacing w:after="0"/>
            </w:pPr>
            <w:r>
              <w:rPr>
                <w:u w:val="single"/>
              </w:rPr>
              <w:t>Příloha č. 20:</w:t>
            </w:r>
          </w:p>
        </w:tc>
        <w:tc>
          <w:tcPr>
            <w:tcW w:w="5645" w:type="dxa"/>
            <w:shd w:val="clear" w:color="auto" w:fill="auto"/>
            <w:vAlign w:val="bottom"/>
          </w:tcPr>
          <w:p w14:paraId="7C23CAD5" w14:textId="77777777" w:rsidR="00EC1C40" w:rsidRDefault="00000000">
            <w:pPr>
              <w:pStyle w:val="Jin0"/>
              <w:framePr w:w="8568" w:h="11803" w:wrap="none" w:vAnchor="page" w:hAnchor="page" w:x="2305" w:y="3408"/>
              <w:spacing w:after="0"/>
            </w:pPr>
            <w:r>
              <w:t>Vzorové znění dohody o mlčenlivosti;</w:t>
            </w:r>
          </w:p>
        </w:tc>
      </w:tr>
      <w:tr w:rsidR="00EC1C40" w14:paraId="59151CA6" w14:textId="77777777">
        <w:tblPrEx>
          <w:tblCellMar>
            <w:top w:w="0" w:type="dxa"/>
            <w:bottom w:w="0" w:type="dxa"/>
          </w:tblCellMar>
        </w:tblPrEx>
        <w:trPr>
          <w:trHeight w:hRule="exact" w:val="398"/>
        </w:trPr>
        <w:tc>
          <w:tcPr>
            <w:tcW w:w="802" w:type="dxa"/>
            <w:shd w:val="clear" w:color="auto" w:fill="auto"/>
            <w:vAlign w:val="center"/>
          </w:tcPr>
          <w:p w14:paraId="3D8136AC" w14:textId="77777777" w:rsidR="00EC1C40" w:rsidRDefault="00000000">
            <w:pPr>
              <w:pStyle w:val="Jin0"/>
              <w:framePr w:w="8568" w:h="11803" w:wrap="none" w:vAnchor="page" w:hAnchor="page" w:x="2305" w:y="3408"/>
              <w:spacing w:after="0"/>
              <w:jc w:val="both"/>
            </w:pPr>
            <w:r>
              <w:t>32.1.21.</w:t>
            </w:r>
          </w:p>
        </w:tc>
        <w:tc>
          <w:tcPr>
            <w:tcW w:w="2122" w:type="dxa"/>
            <w:shd w:val="clear" w:color="auto" w:fill="auto"/>
            <w:vAlign w:val="center"/>
          </w:tcPr>
          <w:p w14:paraId="211B3BDA" w14:textId="77777777" w:rsidR="00EC1C40" w:rsidRDefault="00000000">
            <w:pPr>
              <w:pStyle w:val="Jin0"/>
              <w:framePr w:w="8568" w:h="11803" w:wrap="none" w:vAnchor="page" w:hAnchor="page" w:x="2305" w:y="3408"/>
              <w:spacing w:after="0"/>
            </w:pPr>
            <w:r>
              <w:rPr>
                <w:u w:val="single"/>
              </w:rPr>
              <w:t>Příloha č. 21:</w:t>
            </w:r>
          </w:p>
        </w:tc>
        <w:tc>
          <w:tcPr>
            <w:tcW w:w="5645" w:type="dxa"/>
            <w:shd w:val="clear" w:color="auto" w:fill="auto"/>
            <w:vAlign w:val="center"/>
          </w:tcPr>
          <w:p w14:paraId="2CD3EC18" w14:textId="77777777" w:rsidR="00EC1C40" w:rsidRDefault="00000000">
            <w:pPr>
              <w:pStyle w:val="Jin0"/>
              <w:framePr w:w="8568" w:h="11803" w:wrap="none" w:vAnchor="page" w:hAnchor="page" w:x="2305" w:y="3408"/>
              <w:spacing w:after="0"/>
            </w:pPr>
            <w:r>
              <w:t>Grafické zobrazení Vypůjčených pozemků;</w:t>
            </w:r>
          </w:p>
        </w:tc>
      </w:tr>
      <w:tr w:rsidR="00EC1C40" w14:paraId="3191C955" w14:textId="77777777">
        <w:tblPrEx>
          <w:tblCellMar>
            <w:top w:w="0" w:type="dxa"/>
            <w:bottom w:w="0" w:type="dxa"/>
          </w:tblCellMar>
        </w:tblPrEx>
        <w:trPr>
          <w:trHeight w:hRule="exact" w:val="379"/>
        </w:trPr>
        <w:tc>
          <w:tcPr>
            <w:tcW w:w="802" w:type="dxa"/>
            <w:shd w:val="clear" w:color="auto" w:fill="auto"/>
            <w:vAlign w:val="bottom"/>
          </w:tcPr>
          <w:p w14:paraId="19F8F488" w14:textId="77777777" w:rsidR="00EC1C40" w:rsidRDefault="00000000">
            <w:pPr>
              <w:pStyle w:val="Jin0"/>
              <w:framePr w:w="8568" w:h="11803" w:wrap="none" w:vAnchor="page" w:hAnchor="page" w:x="2305" w:y="3408"/>
              <w:spacing w:after="0"/>
              <w:jc w:val="both"/>
            </w:pPr>
            <w:r>
              <w:t>32.1.22.</w:t>
            </w:r>
          </w:p>
        </w:tc>
        <w:tc>
          <w:tcPr>
            <w:tcW w:w="2122" w:type="dxa"/>
            <w:shd w:val="clear" w:color="auto" w:fill="auto"/>
            <w:vAlign w:val="bottom"/>
          </w:tcPr>
          <w:p w14:paraId="7EC9D247" w14:textId="77777777" w:rsidR="00EC1C40" w:rsidRDefault="00000000">
            <w:pPr>
              <w:pStyle w:val="Jin0"/>
              <w:framePr w:w="8568" w:h="11803" w:wrap="none" w:vAnchor="page" w:hAnchor="page" w:x="2305" w:y="3408"/>
              <w:spacing w:after="0"/>
            </w:pPr>
            <w:r>
              <w:rPr>
                <w:u w:val="single"/>
              </w:rPr>
              <w:t>Příloha č. 22:</w:t>
            </w:r>
          </w:p>
        </w:tc>
        <w:tc>
          <w:tcPr>
            <w:tcW w:w="5645" w:type="dxa"/>
            <w:shd w:val="clear" w:color="auto" w:fill="auto"/>
            <w:vAlign w:val="bottom"/>
          </w:tcPr>
          <w:p w14:paraId="1F94FBEF" w14:textId="77777777" w:rsidR="00EC1C40" w:rsidRDefault="00000000">
            <w:pPr>
              <w:pStyle w:val="Jin0"/>
              <w:framePr w:w="8568" w:h="11803" w:wrap="none" w:vAnchor="page" w:hAnchor="page" w:x="2305" w:y="3408"/>
              <w:spacing w:after="0"/>
            </w:pPr>
            <w:r>
              <w:t>Smlouva o výpůjčce SMP Hůrka;</w:t>
            </w:r>
          </w:p>
        </w:tc>
      </w:tr>
      <w:tr w:rsidR="00EC1C40" w14:paraId="1C43020C" w14:textId="77777777">
        <w:tblPrEx>
          <w:tblCellMar>
            <w:top w:w="0" w:type="dxa"/>
            <w:bottom w:w="0" w:type="dxa"/>
          </w:tblCellMar>
        </w:tblPrEx>
        <w:trPr>
          <w:trHeight w:hRule="exact" w:val="389"/>
        </w:trPr>
        <w:tc>
          <w:tcPr>
            <w:tcW w:w="802" w:type="dxa"/>
            <w:shd w:val="clear" w:color="auto" w:fill="auto"/>
            <w:vAlign w:val="bottom"/>
          </w:tcPr>
          <w:p w14:paraId="40E57C9F" w14:textId="77777777" w:rsidR="00EC1C40" w:rsidRDefault="00000000">
            <w:pPr>
              <w:pStyle w:val="Jin0"/>
              <w:framePr w:w="8568" w:h="11803" w:wrap="none" w:vAnchor="page" w:hAnchor="page" w:x="2305" w:y="3408"/>
              <w:spacing w:after="0"/>
              <w:jc w:val="both"/>
            </w:pPr>
            <w:r>
              <w:t>32.1.23.</w:t>
            </w:r>
          </w:p>
        </w:tc>
        <w:tc>
          <w:tcPr>
            <w:tcW w:w="2122" w:type="dxa"/>
            <w:shd w:val="clear" w:color="auto" w:fill="auto"/>
            <w:vAlign w:val="bottom"/>
          </w:tcPr>
          <w:p w14:paraId="3EEAC930" w14:textId="77777777" w:rsidR="00EC1C40" w:rsidRDefault="00000000">
            <w:pPr>
              <w:pStyle w:val="Jin0"/>
              <w:framePr w:w="8568" w:h="11803" w:wrap="none" w:vAnchor="page" w:hAnchor="page" w:x="2305" w:y="3408"/>
              <w:spacing w:after="0"/>
            </w:pPr>
            <w:r>
              <w:rPr>
                <w:u w:val="single"/>
              </w:rPr>
              <w:t>Příloha č. 23:</w:t>
            </w:r>
          </w:p>
        </w:tc>
        <w:tc>
          <w:tcPr>
            <w:tcW w:w="5645" w:type="dxa"/>
            <w:shd w:val="clear" w:color="auto" w:fill="auto"/>
            <w:vAlign w:val="bottom"/>
          </w:tcPr>
          <w:p w14:paraId="5034FFB7" w14:textId="77777777" w:rsidR="00EC1C40" w:rsidRDefault="00000000">
            <w:pPr>
              <w:pStyle w:val="Jin0"/>
              <w:framePr w:w="8568" w:h="11803" w:wrap="none" w:vAnchor="page" w:hAnchor="page" w:x="2305" w:y="3408"/>
              <w:spacing w:after="0"/>
            </w:pPr>
            <w:r>
              <w:t>Grafické zobrazení Pozemků Hůrka;</w:t>
            </w:r>
          </w:p>
        </w:tc>
      </w:tr>
      <w:tr w:rsidR="00EC1C40" w14:paraId="2D6A686A" w14:textId="77777777">
        <w:tblPrEx>
          <w:tblCellMar>
            <w:top w:w="0" w:type="dxa"/>
            <w:bottom w:w="0" w:type="dxa"/>
          </w:tblCellMar>
        </w:tblPrEx>
        <w:trPr>
          <w:trHeight w:hRule="exact" w:val="389"/>
        </w:trPr>
        <w:tc>
          <w:tcPr>
            <w:tcW w:w="802" w:type="dxa"/>
            <w:shd w:val="clear" w:color="auto" w:fill="auto"/>
            <w:vAlign w:val="bottom"/>
          </w:tcPr>
          <w:p w14:paraId="51B255C8" w14:textId="77777777" w:rsidR="00EC1C40" w:rsidRDefault="00000000">
            <w:pPr>
              <w:pStyle w:val="Jin0"/>
              <w:framePr w:w="8568" w:h="11803" w:wrap="none" w:vAnchor="page" w:hAnchor="page" w:x="2305" w:y="3408"/>
              <w:spacing w:after="0"/>
              <w:jc w:val="both"/>
            </w:pPr>
            <w:r>
              <w:t>32.1.24.</w:t>
            </w:r>
          </w:p>
        </w:tc>
        <w:tc>
          <w:tcPr>
            <w:tcW w:w="2122" w:type="dxa"/>
            <w:shd w:val="clear" w:color="auto" w:fill="auto"/>
            <w:vAlign w:val="bottom"/>
          </w:tcPr>
          <w:p w14:paraId="4191C82D" w14:textId="77777777" w:rsidR="00EC1C40" w:rsidRDefault="00000000">
            <w:pPr>
              <w:pStyle w:val="Jin0"/>
              <w:framePr w:w="8568" w:h="11803" w:wrap="none" w:vAnchor="page" w:hAnchor="page" w:x="2305" w:y="3408"/>
              <w:spacing w:after="0"/>
            </w:pPr>
            <w:r>
              <w:rPr>
                <w:u w:val="single"/>
              </w:rPr>
              <w:t>Příloha č. 24:</w:t>
            </w:r>
          </w:p>
        </w:tc>
        <w:tc>
          <w:tcPr>
            <w:tcW w:w="5645" w:type="dxa"/>
            <w:shd w:val="clear" w:color="auto" w:fill="auto"/>
            <w:vAlign w:val="bottom"/>
          </w:tcPr>
          <w:p w14:paraId="10B93D1E" w14:textId="77777777" w:rsidR="00EC1C40" w:rsidRDefault="00000000">
            <w:pPr>
              <w:pStyle w:val="Jin0"/>
              <w:framePr w:w="8568" w:h="11803" w:wrap="none" w:vAnchor="page" w:hAnchor="page" w:x="2305" w:y="3408"/>
              <w:spacing w:after="0"/>
            </w:pPr>
            <w:r>
              <w:t>neobsazeno;</w:t>
            </w:r>
          </w:p>
        </w:tc>
      </w:tr>
      <w:tr w:rsidR="00EC1C40" w14:paraId="1C3EEA48" w14:textId="77777777">
        <w:tblPrEx>
          <w:tblCellMar>
            <w:top w:w="0" w:type="dxa"/>
            <w:bottom w:w="0" w:type="dxa"/>
          </w:tblCellMar>
        </w:tblPrEx>
        <w:trPr>
          <w:trHeight w:hRule="exact" w:val="389"/>
        </w:trPr>
        <w:tc>
          <w:tcPr>
            <w:tcW w:w="802" w:type="dxa"/>
            <w:shd w:val="clear" w:color="auto" w:fill="auto"/>
            <w:vAlign w:val="bottom"/>
          </w:tcPr>
          <w:p w14:paraId="66346D0B" w14:textId="77777777" w:rsidR="00EC1C40" w:rsidRDefault="00000000">
            <w:pPr>
              <w:pStyle w:val="Jin0"/>
              <w:framePr w:w="8568" w:h="11803" w:wrap="none" w:vAnchor="page" w:hAnchor="page" w:x="2305" w:y="3408"/>
              <w:spacing w:after="0"/>
              <w:jc w:val="both"/>
            </w:pPr>
            <w:r>
              <w:t>32.1.25.</w:t>
            </w:r>
          </w:p>
        </w:tc>
        <w:tc>
          <w:tcPr>
            <w:tcW w:w="2122" w:type="dxa"/>
            <w:shd w:val="clear" w:color="auto" w:fill="auto"/>
            <w:vAlign w:val="bottom"/>
          </w:tcPr>
          <w:p w14:paraId="0448243A" w14:textId="77777777" w:rsidR="00EC1C40" w:rsidRDefault="00000000">
            <w:pPr>
              <w:pStyle w:val="Jin0"/>
              <w:framePr w:w="8568" w:h="11803" w:wrap="none" w:vAnchor="page" w:hAnchor="page" w:x="2305" w:y="3408"/>
              <w:spacing w:after="0"/>
            </w:pPr>
            <w:r>
              <w:rPr>
                <w:u w:val="single"/>
              </w:rPr>
              <w:t>Příloha č. 25:</w:t>
            </w:r>
          </w:p>
        </w:tc>
        <w:tc>
          <w:tcPr>
            <w:tcW w:w="5645" w:type="dxa"/>
            <w:shd w:val="clear" w:color="auto" w:fill="auto"/>
            <w:vAlign w:val="bottom"/>
          </w:tcPr>
          <w:p w14:paraId="5EA287C1" w14:textId="77777777" w:rsidR="00EC1C40" w:rsidRDefault="00000000">
            <w:pPr>
              <w:pStyle w:val="Jin0"/>
              <w:framePr w:w="8568" w:h="11803" w:wrap="none" w:vAnchor="page" w:hAnchor="page" w:x="2305" w:y="3408"/>
              <w:spacing w:after="0"/>
            </w:pPr>
            <w:proofErr w:type="spellStart"/>
            <w:r>
              <w:t>SoSB</w:t>
            </w:r>
            <w:proofErr w:type="spellEnd"/>
            <w:r>
              <w:t xml:space="preserve"> SMP Hůrka;</w:t>
            </w:r>
          </w:p>
        </w:tc>
      </w:tr>
      <w:tr w:rsidR="00EC1C40" w14:paraId="2E8B6C9F" w14:textId="77777777">
        <w:tblPrEx>
          <w:tblCellMar>
            <w:top w:w="0" w:type="dxa"/>
            <w:bottom w:w="0" w:type="dxa"/>
          </w:tblCellMar>
        </w:tblPrEx>
        <w:trPr>
          <w:trHeight w:hRule="exact" w:val="389"/>
        </w:trPr>
        <w:tc>
          <w:tcPr>
            <w:tcW w:w="802" w:type="dxa"/>
            <w:shd w:val="clear" w:color="auto" w:fill="auto"/>
            <w:vAlign w:val="bottom"/>
          </w:tcPr>
          <w:p w14:paraId="34AE869A" w14:textId="77777777" w:rsidR="00EC1C40" w:rsidRDefault="00000000">
            <w:pPr>
              <w:pStyle w:val="Jin0"/>
              <w:framePr w:w="8568" w:h="11803" w:wrap="none" w:vAnchor="page" w:hAnchor="page" w:x="2305" w:y="3408"/>
              <w:spacing w:after="0"/>
              <w:jc w:val="both"/>
            </w:pPr>
            <w:r>
              <w:t>32.1.26.</w:t>
            </w:r>
          </w:p>
        </w:tc>
        <w:tc>
          <w:tcPr>
            <w:tcW w:w="2122" w:type="dxa"/>
            <w:shd w:val="clear" w:color="auto" w:fill="auto"/>
            <w:vAlign w:val="bottom"/>
          </w:tcPr>
          <w:p w14:paraId="266E8F7F" w14:textId="77777777" w:rsidR="00EC1C40" w:rsidRDefault="00000000">
            <w:pPr>
              <w:pStyle w:val="Jin0"/>
              <w:framePr w:w="8568" w:h="11803" w:wrap="none" w:vAnchor="page" w:hAnchor="page" w:x="2305" w:y="3408"/>
              <w:spacing w:after="0"/>
            </w:pPr>
            <w:r>
              <w:rPr>
                <w:u w:val="single"/>
              </w:rPr>
              <w:t>Příloha č. 26:</w:t>
            </w:r>
          </w:p>
        </w:tc>
        <w:tc>
          <w:tcPr>
            <w:tcW w:w="5645" w:type="dxa"/>
            <w:shd w:val="clear" w:color="auto" w:fill="auto"/>
            <w:vAlign w:val="bottom"/>
          </w:tcPr>
          <w:p w14:paraId="7A83D4E6" w14:textId="77777777" w:rsidR="00EC1C40" w:rsidRDefault="00000000">
            <w:pPr>
              <w:pStyle w:val="Jin0"/>
              <w:framePr w:w="8568" w:h="11803" w:wrap="none" w:vAnchor="page" w:hAnchor="page" w:x="2305" w:y="3408"/>
              <w:spacing w:after="0"/>
            </w:pPr>
            <w:r>
              <w:t>neobsazeno;</w:t>
            </w:r>
          </w:p>
        </w:tc>
      </w:tr>
      <w:tr w:rsidR="00EC1C40" w14:paraId="10A1C5D3" w14:textId="77777777">
        <w:tblPrEx>
          <w:tblCellMar>
            <w:top w:w="0" w:type="dxa"/>
            <w:bottom w:w="0" w:type="dxa"/>
          </w:tblCellMar>
        </w:tblPrEx>
        <w:trPr>
          <w:trHeight w:hRule="exact" w:val="394"/>
        </w:trPr>
        <w:tc>
          <w:tcPr>
            <w:tcW w:w="802" w:type="dxa"/>
            <w:shd w:val="clear" w:color="auto" w:fill="auto"/>
            <w:vAlign w:val="center"/>
          </w:tcPr>
          <w:p w14:paraId="35D2ED59" w14:textId="77777777" w:rsidR="00EC1C40" w:rsidRDefault="00000000">
            <w:pPr>
              <w:pStyle w:val="Jin0"/>
              <w:framePr w:w="8568" w:h="11803" w:wrap="none" w:vAnchor="page" w:hAnchor="page" w:x="2305" w:y="3408"/>
              <w:spacing w:after="0"/>
              <w:jc w:val="both"/>
            </w:pPr>
            <w:r>
              <w:t>32.1.27.</w:t>
            </w:r>
          </w:p>
        </w:tc>
        <w:tc>
          <w:tcPr>
            <w:tcW w:w="2122" w:type="dxa"/>
            <w:shd w:val="clear" w:color="auto" w:fill="auto"/>
            <w:vAlign w:val="center"/>
          </w:tcPr>
          <w:p w14:paraId="77E84426" w14:textId="77777777" w:rsidR="00EC1C40" w:rsidRDefault="00000000">
            <w:pPr>
              <w:pStyle w:val="Jin0"/>
              <w:framePr w:w="8568" w:h="11803" w:wrap="none" w:vAnchor="page" w:hAnchor="page" w:x="2305" w:y="3408"/>
              <w:spacing w:after="0"/>
            </w:pPr>
            <w:r>
              <w:rPr>
                <w:u w:val="single"/>
              </w:rPr>
              <w:t>Příloha č. 27:</w:t>
            </w:r>
          </w:p>
        </w:tc>
        <w:tc>
          <w:tcPr>
            <w:tcW w:w="5645" w:type="dxa"/>
            <w:shd w:val="clear" w:color="auto" w:fill="auto"/>
            <w:vAlign w:val="center"/>
          </w:tcPr>
          <w:p w14:paraId="248B5753" w14:textId="77777777" w:rsidR="00EC1C40" w:rsidRDefault="00000000">
            <w:pPr>
              <w:pStyle w:val="Jin0"/>
              <w:framePr w:w="8568" w:h="11803" w:wrap="none" w:vAnchor="page" w:hAnchor="page" w:x="2305" w:y="3408"/>
              <w:spacing w:after="0"/>
            </w:pPr>
            <w:r>
              <w:t>Grafické zobrazení Lokality stabilizace ÚPD; a</w:t>
            </w:r>
          </w:p>
        </w:tc>
      </w:tr>
      <w:tr w:rsidR="00EC1C40" w14:paraId="01047A91" w14:textId="77777777">
        <w:tblPrEx>
          <w:tblCellMar>
            <w:top w:w="0" w:type="dxa"/>
            <w:bottom w:w="0" w:type="dxa"/>
          </w:tblCellMar>
        </w:tblPrEx>
        <w:trPr>
          <w:trHeight w:hRule="exact" w:val="331"/>
        </w:trPr>
        <w:tc>
          <w:tcPr>
            <w:tcW w:w="802" w:type="dxa"/>
            <w:shd w:val="clear" w:color="auto" w:fill="auto"/>
            <w:vAlign w:val="bottom"/>
          </w:tcPr>
          <w:p w14:paraId="292EEBBF" w14:textId="77777777" w:rsidR="00EC1C40" w:rsidRDefault="00000000">
            <w:pPr>
              <w:pStyle w:val="Jin0"/>
              <w:framePr w:w="8568" w:h="11803" w:wrap="none" w:vAnchor="page" w:hAnchor="page" w:x="2305" w:y="3408"/>
              <w:spacing w:after="0"/>
              <w:jc w:val="both"/>
            </w:pPr>
            <w:r>
              <w:t>32.1.28.</w:t>
            </w:r>
          </w:p>
        </w:tc>
        <w:tc>
          <w:tcPr>
            <w:tcW w:w="2122" w:type="dxa"/>
            <w:tcBorders>
              <w:bottom w:val="single" w:sz="4" w:space="0" w:color="auto"/>
            </w:tcBorders>
            <w:shd w:val="clear" w:color="auto" w:fill="auto"/>
            <w:vAlign w:val="bottom"/>
          </w:tcPr>
          <w:p w14:paraId="0816CBCB" w14:textId="77777777" w:rsidR="00EC1C40" w:rsidRDefault="00000000">
            <w:pPr>
              <w:pStyle w:val="Jin0"/>
              <w:framePr w:w="8568" w:h="11803" w:wrap="none" w:vAnchor="page" w:hAnchor="page" w:x="2305" w:y="3408"/>
              <w:spacing w:after="0"/>
            </w:pPr>
            <w:r>
              <w:rPr>
                <w:u w:val="single"/>
              </w:rPr>
              <w:t>Příloha č. 28:</w:t>
            </w:r>
          </w:p>
        </w:tc>
        <w:tc>
          <w:tcPr>
            <w:tcW w:w="5645" w:type="dxa"/>
            <w:shd w:val="clear" w:color="auto" w:fill="auto"/>
            <w:vAlign w:val="bottom"/>
          </w:tcPr>
          <w:p w14:paraId="6D94D035" w14:textId="77777777" w:rsidR="00EC1C40" w:rsidRDefault="00000000">
            <w:pPr>
              <w:pStyle w:val="Jin0"/>
              <w:framePr w:w="8568" w:h="11803" w:wrap="none" w:vAnchor="page" w:hAnchor="page" w:x="2305" w:y="3408"/>
              <w:spacing w:after="0"/>
            </w:pPr>
            <w:r>
              <w:t>Popis Dopravního záměru.</w:t>
            </w:r>
          </w:p>
        </w:tc>
      </w:tr>
    </w:tbl>
    <w:p w14:paraId="23DEC327" w14:textId="77777777" w:rsidR="00EC1C40" w:rsidRDefault="00000000">
      <w:pPr>
        <w:pStyle w:val="Zhlavnebozpat0"/>
        <w:framePr w:wrap="none" w:vAnchor="page" w:hAnchor="page" w:x="6006" w:y="16085"/>
        <w:rPr>
          <w:sz w:val="22"/>
          <w:szCs w:val="22"/>
        </w:rPr>
      </w:pPr>
      <w:r>
        <w:rPr>
          <w:color w:val="231E20"/>
          <w:sz w:val="22"/>
          <w:szCs w:val="22"/>
        </w:rPr>
        <w:t>60/63</w:t>
      </w:r>
    </w:p>
    <w:p w14:paraId="33F164AB"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4EAFCD9F" w14:textId="77777777" w:rsidR="00EC1C40" w:rsidRDefault="00000000">
      <w:pPr>
        <w:spacing w:line="1" w:lineRule="exact"/>
      </w:pPr>
      <w:r>
        <w:rPr>
          <w:noProof/>
        </w:rPr>
        <w:lastRenderedPageBreak/>
        <mc:AlternateContent>
          <mc:Choice Requires="wps">
            <w:drawing>
              <wp:anchor distT="0" distB="0" distL="114300" distR="114300" simplePos="0" relativeHeight="251644416" behindDoc="1" locked="0" layoutInCell="1" allowOverlap="1" wp14:anchorId="09C0B74D" wp14:editId="4144B168">
                <wp:simplePos x="0" y="0"/>
                <wp:positionH relativeFrom="page">
                  <wp:posOffset>1179830</wp:posOffset>
                </wp:positionH>
                <wp:positionV relativeFrom="page">
                  <wp:posOffset>932180</wp:posOffset>
                </wp:positionV>
                <wp:extent cx="5702300" cy="0"/>
                <wp:effectExtent l="0" t="0" r="0" b="0"/>
                <wp:wrapNone/>
                <wp:docPr id="60" name="Shape 60"/>
                <wp:cNvGraphicFramePr/>
                <a:graphic xmlns:a="http://schemas.openxmlformats.org/drawingml/2006/main">
                  <a:graphicData uri="http://schemas.microsoft.com/office/word/2010/wordprocessingShape">
                    <wps:wsp>
                      <wps:cNvCnPr/>
                      <wps:spPr>
                        <a:xfrm>
                          <a:off x="0" y="0"/>
                          <a:ext cx="5702300" cy="0"/>
                        </a:xfrm>
                        <a:prstGeom prst="straightConnector1">
                          <a:avLst/>
                        </a:prstGeom>
                        <a:ln w="6350">
                          <a:solidFill/>
                        </a:ln>
                      </wps:spPr>
                      <wps:bodyPr/>
                    </wps:wsp>
                  </a:graphicData>
                </a:graphic>
              </wp:anchor>
            </w:drawing>
          </mc:Choice>
          <mc:Fallback>
            <w:pict>
              <v:shape o:spt="32" o:oned="true" path="m,l21600,21600e" style="position:absolute;margin-left:92.900000000000006pt;margin-top:73.400000000000006pt;width:449.pt;height:0;z-index:-251658240;mso-position-horizontal-relative:page;mso-position-vertical-relative:page">
                <v:stroke weight="0.5pt"/>
              </v:shape>
            </w:pict>
          </mc:Fallback>
        </mc:AlternateContent>
      </w:r>
    </w:p>
    <w:p w14:paraId="4970389F" w14:textId="77777777" w:rsidR="00EC1C40" w:rsidRDefault="00000000">
      <w:pPr>
        <w:pStyle w:val="Zhlavnebozpat0"/>
        <w:framePr w:wrap="none" w:vAnchor="page" w:hAnchor="page" w:x="5665" w:y="1186"/>
      </w:pPr>
      <w:r>
        <w:t>Plánovací smlouva</w:t>
      </w:r>
    </w:p>
    <w:p w14:paraId="71390479" w14:textId="77777777" w:rsidR="00EC1C40" w:rsidRDefault="00000000">
      <w:pPr>
        <w:pStyle w:val="Nadpis60"/>
        <w:framePr w:w="9115" w:h="13416" w:hRule="exact" w:wrap="none" w:vAnchor="page" w:hAnchor="page" w:x="1748" w:y="1940"/>
        <w:numPr>
          <w:ilvl w:val="0"/>
          <w:numId w:val="3"/>
        </w:numPr>
        <w:tabs>
          <w:tab w:val="left" w:pos="557"/>
        </w:tabs>
        <w:jc w:val="both"/>
      </w:pPr>
      <w:bookmarkStart w:id="30" w:name="bookmark60"/>
      <w:r>
        <w:t>Veřejnoprávní doložka</w:t>
      </w:r>
      <w:bookmarkEnd w:id="30"/>
    </w:p>
    <w:p w14:paraId="336D988F" w14:textId="77777777" w:rsidR="00EC1C40" w:rsidRDefault="00000000">
      <w:pPr>
        <w:pStyle w:val="Zkladntext1"/>
        <w:framePr w:w="9115" w:h="13416" w:hRule="exact" w:wrap="none" w:vAnchor="page" w:hAnchor="page" w:x="1748" w:y="1940"/>
        <w:numPr>
          <w:ilvl w:val="1"/>
          <w:numId w:val="3"/>
        </w:numPr>
        <w:tabs>
          <w:tab w:val="left" w:pos="562"/>
        </w:tabs>
        <w:ind w:left="580" w:hanging="580"/>
        <w:jc w:val="both"/>
      </w:pPr>
      <w:r>
        <w:t xml:space="preserve">SMP ve smyslu ustanovení § 132 odst. 1 Stavebního zákona ve spojení s § 41 zákona č. 128/2000 Sb., o obcích (obecní zřízení), ve znění pozdějších předpisů, tímto potvrzuje, že uzavření této Smlouvy bylo schváleno Zastupitelstvem SMP na jeho </w:t>
      </w:r>
      <w:r>
        <w:rPr>
          <w:b/>
          <w:bCs/>
        </w:rPr>
        <w:t>38. zasedání konaném dne 25.5.2026 č. usnesení Z/2415/2026</w:t>
      </w:r>
      <w:r>
        <w:t>.</w:t>
      </w:r>
    </w:p>
    <w:p w14:paraId="0E827082" w14:textId="77777777" w:rsidR="00EC1C40" w:rsidRDefault="00000000">
      <w:pPr>
        <w:pStyle w:val="Nadpis60"/>
        <w:framePr w:w="9115" w:h="13416" w:hRule="exact" w:wrap="none" w:vAnchor="page" w:hAnchor="page" w:x="1748" w:y="1940"/>
        <w:numPr>
          <w:ilvl w:val="0"/>
          <w:numId w:val="3"/>
        </w:numPr>
        <w:tabs>
          <w:tab w:val="left" w:pos="557"/>
        </w:tabs>
      </w:pPr>
      <w:bookmarkStart w:id="31" w:name="bookmark62"/>
      <w:r>
        <w:t>Prohlášení o přístupnosti Smlouvy</w:t>
      </w:r>
      <w:bookmarkEnd w:id="31"/>
    </w:p>
    <w:p w14:paraId="3D22D470" w14:textId="77777777" w:rsidR="00EC1C40" w:rsidRDefault="00000000">
      <w:pPr>
        <w:pStyle w:val="Zkladntext1"/>
        <w:framePr w:w="9115" w:h="13416" w:hRule="exact" w:wrap="none" w:vAnchor="page" w:hAnchor="page" w:x="1748" w:y="1940"/>
        <w:numPr>
          <w:ilvl w:val="1"/>
          <w:numId w:val="3"/>
        </w:numPr>
        <w:tabs>
          <w:tab w:val="left" w:pos="562"/>
        </w:tabs>
        <w:spacing w:after="240"/>
        <w:ind w:left="580" w:hanging="580"/>
        <w:jc w:val="both"/>
      </w:pPr>
      <w:r>
        <w:t>Smluvní strany berou na vědomí a souhlasí s tím, aby tato Smlouva včetně jejích příloh byla způsobem požadovaným platnými a účinnými právními předpisy, zejména zákonem č. 340/2015 Sb., o registru smluv, ve znění pozdějších předpisů, zveřejněna v registru smluv.</w:t>
      </w:r>
    </w:p>
    <w:p w14:paraId="7C3CA2C7" w14:textId="77777777" w:rsidR="00EC1C40" w:rsidRDefault="00000000">
      <w:pPr>
        <w:pStyle w:val="Zkladntext1"/>
        <w:framePr w:w="9115" w:h="13416" w:hRule="exact" w:wrap="none" w:vAnchor="page" w:hAnchor="page" w:x="1748" w:y="1940"/>
        <w:numPr>
          <w:ilvl w:val="1"/>
          <w:numId w:val="3"/>
        </w:numPr>
        <w:tabs>
          <w:tab w:val="left" w:pos="562"/>
        </w:tabs>
        <w:ind w:left="580" w:hanging="580"/>
        <w:jc w:val="both"/>
      </w:pPr>
      <w:r>
        <w:t>Zveřejnění této Smlouvy, jakož i smluv souvisejících a uzavíraných v souvislosti s ní, v registru smluv včetně zajištění veškerých kroků a potřebných jednání s tím souvisejících zajistí SMP bez zbytečného odkladu, nejpozději do deseti (10) dnů od okamžiku, kdy si Smluvní strany vzájemně odsouhlasí hodnotu Smlouvy uváděnou jakožto součást metadat zveřejňovaných v registru smluv. Smluvní strany si pro tento účel poskytnou veškerou potřebnou součinnost, přičemž si hodnotu Smlouvy uváděnou jakožto součást metadat zveřejňovaných v registru smluv odsouhlasí do deseti (10) dnů od uzavření této Smlouvy; Smluvní strany si pro tyto účely tohoto ustanovení poskytnou potřebné informace. SMP bude o zveřejnění této Smlouvy v registru smluv bezodkladně, nejpozději do pěti (5) dnů od jejího zveřejnění, informovat Investora. Žádná ze Smluvních stran nenese odpovědnost za správnost informací poskytnutých ke stanovení hodnoty Smlouvy jako součásti metadat zveřejňovaných v registru smluv. V případě, kdy by byla Smlouva z důvodu chybných metadat či chybného zveřejnění v registru smluv zrušena od počátku, budou Smluvní strany postupovat obdobně dle čl. 20.4 Smlouvy.</w:t>
      </w:r>
    </w:p>
    <w:p w14:paraId="3D3DA12E" w14:textId="77777777" w:rsidR="00EC1C40" w:rsidRDefault="00000000">
      <w:pPr>
        <w:pStyle w:val="Zkladntext1"/>
        <w:framePr w:w="9115" w:h="13416" w:hRule="exact" w:wrap="none" w:vAnchor="page" w:hAnchor="page" w:x="1748" w:y="1940"/>
        <w:numPr>
          <w:ilvl w:val="1"/>
          <w:numId w:val="3"/>
        </w:numPr>
        <w:tabs>
          <w:tab w:val="left" w:pos="562"/>
        </w:tabs>
        <w:ind w:left="580" w:hanging="580"/>
        <w:jc w:val="both"/>
      </w:pPr>
      <w:r>
        <w:t>Pro případ, kdy je v této Smlouvě uvedeno rodné číslo, e-mailová adresa, telefonní číslo, číslo bankovního účtu, bydliště, sídlo či podpis kterékoli ze Smluvních stran, se Smluvní strany dohodly, že tato Smlouva bude v registru smluv uveřejněna bez těchto údajů (popřípadě budou tyto údaje anonymizovány).</w:t>
      </w:r>
    </w:p>
    <w:p w14:paraId="005D4957" w14:textId="77777777" w:rsidR="00EC1C40" w:rsidRDefault="00000000">
      <w:pPr>
        <w:pStyle w:val="Nadpis60"/>
        <w:framePr w:w="9115" w:h="13416" w:hRule="exact" w:wrap="none" w:vAnchor="page" w:hAnchor="page" w:x="1748" w:y="1940"/>
        <w:numPr>
          <w:ilvl w:val="0"/>
          <w:numId w:val="3"/>
        </w:numPr>
        <w:tabs>
          <w:tab w:val="left" w:pos="557"/>
        </w:tabs>
        <w:jc w:val="both"/>
      </w:pPr>
      <w:bookmarkStart w:id="32" w:name="bookmark64"/>
      <w:r>
        <w:t>Uzavření Smlouvy a její účinnost</w:t>
      </w:r>
      <w:bookmarkEnd w:id="32"/>
    </w:p>
    <w:p w14:paraId="15D34A1A" w14:textId="77777777" w:rsidR="00EC1C40" w:rsidRDefault="00000000">
      <w:pPr>
        <w:pStyle w:val="Zkladntext1"/>
        <w:framePr w:w="9115" w:h="13416" w:hRule="exact" w:wrap="none" w:vAnchor="page" w:hAnchor="page" w:x="1748" w:y="1940"/>
        <w:numPr>
          <w:ilvl w:val="1"/>
          <w:numId w:val="3"/>
        </w:numPr>
        <w:tabs>
          <w:tab w:val="left" w:pos="562"/>
        </w:tabs>
        <w:jc w:val="both"/>
      </w:pPr>
      <w:r>
        <w:t>Tato Smlouva je uzavřena podpisem poslední ze Smluvních stran.</w:t>
      </w:r>
    </w:p>
    <w:p w14:paraId="65CE8376" w14:textId="77777777" w:rsidR="00EC1C40" w:rsidRDefault="00000000">
      <w:pPr>
        <w:pStyle w:val="Zkladntext1"/>
        <w:framePr w:w="9115" w:h="13416" w:hRule="exact" w:wrap="none" w:vAnchor="page" w:hAnchor="page" w:x="1748" w:y="1940"/>
        <w:numPr>
          <w:ilvl w:val="1"/>
          <w:numId w:val="3"/>
        </w:numPr>
        <w:tabs>
          <w:tab w:val="left" w:pos="562"/>
        </w:tabs>
        <w:jc w:val="both"/>
      </w:pPr>
      <w:r>
        <w:t>Účinnosti tato Smlouva nabývá jejím uveřejněním v registru smluv.</w:t>
      </w:r>
    </w:p>
    <w:p w14:paraId="3E964108" w14:textId="77777777" w:rsidR="00EC1C40" w:rsidRDefault="00000000">
      <w:pPr>
        <w:pStyle w:val="Zkladntext1"/>
        <w:framePr w:w="9115" w:h="13416" w:hRule="exact" w:wrap="none" w:vAnchor="page" w:hAnchor="page" w:x="1748" w:y="1940"/>
        <w:numPr>
          <w:ilvl w:val="1"/>
          <w:numId w:val="3"/>
        </w:numPr>
        <w:tabs>
          <w:tab w:val="left" w:pos="562"/>
        </w:tabs>
        <w:ind w:left="580" w:hanging="580"/>
        <w:jc w:val="both"/>
      </w:pPr>
      <w:r>
        <w:t>Investor tímto prohlašuje, že tuto Smlouvu je připraven uzavřít pouze za následujících předpokladů: (i) tato Smlouva bude ze strany příslušných orgánů SMP schválena a ze strany SMP uzavřena ve znění, které je odsouhlaseno Investorem, a to včetně schválení rozhodnutí o snížení základní výše Investičního příspěvku dle Zásad o 100% z titulu charakteru Investičního záměru jako veřejné stavby (čl. 4.2 a čl. 4.3 této Smlouvy) a dále schválení snížení Investičního příspěvku o 200,- Kč za každý 1 m2 z titulu realizace Adaptačních opatření (čl. 4.4 této Smlouvy), (</w:t>
      </w:r>
      <w:proofErr w:type="spellStart"/>
      <w:r>
        <w:t>ii</w:t>
      </w:r>
      <w:proofErr w:type="spellEnd"/>
      <w:r>
        <w:t xml:space="preserve">) spolu s touto Smlouvou budou ve znění odsouhlaseném Investorem ze strany příslušných orgánů SMP schváleny a ze strany SMP uzavřeny i Dohoda o úpravě vztahů, Směnná smlouva 1, Smlouva o smlouvě budoucí směnné, Smlouva o výpůjčce, Smlouva o výpůjčce SMP Hůrka, </w:t>
      </w:r>
      <w:proofErr w:type="spellStart"/>
      <w:r>
        <w:t>SoSB</w:t>
      </w:r>
      <w:proofErr w:type="spellEnd"/>
      <w:r>
        <w:t xml:space="preserve"> SMP Hůrka, a (</w:t>
      </w:r>
      <w:proofErr w:type="spellStart"/>
      <w:r>
        <w:t>iii</w:t>
      </w:r>
      <w:proofErr w:type="spellEnd"/>
      <w:r>
        <w:t xml:space="preserve">) spolu s touto Smlouvou a ostatními smlouvami uvedenými výše budou ze strany Nadace uzavřeny Smlouva o výpůjčce Nadace Hůrka a </w:t>
      </w:r>
      <w:proofErr w:type="spellStart"/>
      <w:r>
        <w:t>SoSB</w:t>
      </w:r>
      <w:proofErr w:type="spellEnd"/>
      <w:r>
        <w:t xml:space="preserve"> Nadace Hůrka. SMP toto prohlášení Investora plně respektuje.</w:t>
      </w:r>
    </w:p>
    <w:p w14:paraId="2549A2EE" w14:textId="77777777" w:rsidR="00EC1C40" w:rsidRDefault="00000000">
      <w:pPr>
        <w:pStyle w:val="Zkladntext1"/>
        <w:framePr w:w="9115" w:h="13416" w:hRule="exact" w:wrap="none" w:vAnchor="page" w:hAnchor="page" w:x="1748" w:y="1940"/>
        <w:numPr>
          <w:ilvl w:val="1"/>
          <w:numId w:val="3"/>
        </w:numPr>
        <w:tabs>
          <w:tab w:val="left" w:pos="562"/>
        </w:tabs>
        <w:spacing w:after="0"/>
        <w:ind w:left="580" w:hanging="580"/>
        <w:jc w:val="both"/>
      </w:pPr>
      <w:r>
        <w:t>SMP tímto prohlašuje, že tuto Smlouvu je připraveno uzavřít pouze za následujících předpokladů: (i) tato Smlouva bude ze strany Investora uzavřena ve znění, které je schváleno ze strany příslušných orgánů SMP, (</w:t>
      </w:r>
      <w:proofErr w:type="spellStart"/>
      <w:r>
        <w:t>ii</w:t>
      </w:r>
      <w:proofErr w:type="spellEnd"/>
      <w:r>
        <w:t>) spolu s touto Smlouvou budou ve znění schváleném příslušnými orgány SMP ze strany Investora uzavřeny i Dohoda o úpravě vztahů, Směnná</w:t>
      </w:r>
    </w:p>
    <w:p w14:paraId="14FC41D5" w14:textId="77777777" w:rsidR="00EC1C40" w:rsidRDefault="00000000">
      <w:pPr>
        <w:pStyle w:val="Zhlavnebozpat0"/>
        <w:framePr w:wrap="none" w:vAnchor="page" w:hAnchor="page" w:x="6015" w:y="16085"/>
        <w:rPr>
          <w:sz w:val="22"/>
          <w:szCs w:val="22"/>
        </w:rPr>
      </w:pPr>
      <w:r>
        <w:rPr>
          <w:color w:val="231E20"/>
          <w:sz w:val="22"/>
          <w:szCs w:val="22"/>
        </w:rPr>
        <w:t>61/63</w:t>
      </w:r>
    </w:p>
    <w:p w14:paraId="2C7632CA"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4D8741E1" w14:textId="77777777" w:rsidR="00EC1C40" w:rsidRDefault="00000000">
      <w:pPr>
        <w:spacing w:line="1" w:lineRule="exact"/>
      </w:pPr>
      <w:r>
        <w:rPr>
          <w:noProof/>
        </w:rPr>
        <w:lastRenderedPageBreak/>
        <mc:AlternateContent>
          <mc:Choice Requires="wps">
            <w:drawing>
              <wp:anchor distT="0" distB="0" distL="114300" distR="114300" simplePos="0" relativeHeight="251645440" behindDoc="1" locked="0" layoutInCell="1" allowOverlap="1" wp14:anchorId="0356B19C" wp14:editId="2FE86472">
                <wp:simplePos x="0" y="0"/>
                <wp:positionH relativeFrom="page">
                  <wp:posOffset>1182370</wp:posOffset>
                </wp:positionH>
                <wp:positionV relativeFrom="page">
                  <wp:posOffset>932180</wp:posOffset>
                </wp:positionV>
                <wp:extent cx="5702935" cy="0"/>
                <wp:effectExtent l="0" t="0" r="0" b="0"/>
                <wp:wrapNone/>
                <wp:docPr id="61" name="Shape 61"/>
                <wp:cNvGraphicFramePr/>
                <a:graphic xmlns:a="http://schemas.openxmlformats.org/drawingml/2006/main">
                  <a:graphicData uri="http://schemas.microsoft.com/office/word/2010/wordprocessingShape">
                    <wps:wsp>
                      <wps:cNvCnPr/>
                      <wps:spPr>
                        <a:xfrm>
                          <a:off x="0" y="0"/>
                          <a:ext cx="5702935" cy="0"/>
                        </a:xfrm>
                        <a:prstGeom prst="straightConnector1">
                          <a:avLst/>
                        </a:prstGeom>
                        <a:ln w="6350">
                          <a:solidFill/>
                        </a:ln>
                      </wps:spPr>
                      <wps:bodyPr/>
                    </wps:wsp>
                  </a:graphicData>
                </a:graphic>
              </wp:anchor>
            </w:drawing>
          </mc:Choice>
          <mc:Fallback>
            <w:pict>
              <v:shape o:spt="32" o:oned="true" path="m,l21600,21600e" style="position:absolute;margin-left:93.100000000000009pt;margin-top:73.400000000000006pt;width:449.05000000000001pt;height:0;z-index:-251658240;mso-position-horizontal-relative:page;mso-position-vertical-relative:page">
                <v:stroke weight="0.5pt"/>
              </v:shape>
            </w:pict>
          </mc:Fallback>
        </mc:AlternateContent>
      </w:r>
    </w:p>
    <w:p w14:paraId="58F72E0D" w14:textId="77777777" w:rsidR="00EC1C40" w:rsidRDefault="00000000">
      <w:pPr>
        <w:pStyle w:val="Zhlavnebozpat0"/>
        <w:framePr w:wrap="none" w:vAnchor="page" w:hAnchor="page" w:x="5670" w:y="1186"/>
      </w:pPr>
      <w:r>
        <w:t>Plánovací smlouva</w:t>
      </w:r>
    </w:p>
    <w:p w14:paraId="1DAE9658" w14:textId="77777777" w:rsidR="00EC1C40" w:rsidRDefault="00000000">
      <w:pPr>
        <w:pStyle w:val="Zkladntext1"/>
        <w:framePr w:w="9115" w:h="2136" w:hRule="exact" w:wrap="none" w:vAnchor="page" w:hAnchor="page" w:x="1748" w:y="1940"/>
        <w:spacing w:after="120"/>
        <w:ind w:left="580"/>
        <w:jc w:val="both"/>
      </w:pPr>
      <w:r>
        <w:t xml:space="preserve">smlouva 1, Smlouva o smlouvě budoucí směnné, Smlouva o výpůjčce, Smlouva o výpůjčce SMP Hůrka, </w:t>
      </w:r>
      <w:proofErr w:type="spellStart"/>
      <w:r>
        <w:t>SoSB</w:t>
      </w:r>
      <w:proofErr w:type="spellEnd"/>
      <w:r>
        <w:t xml:space="preserve"> SMP Hůrka, Smlouva o výpůjčce Nadace Hůrka a </w:t>
      </w:r>
      <w:proofErr w:type="spellStart"/>
      <w:r>
        <w:t>SoSB</w:t>
      </w:r>
      <w:proofErr w:type="spellEnd"/>
      <w:r>
        <w:t xml:space="preserve"> Nadace Hůrka. Investor toto prohlášení SMP plně respektuje.</w:t>
      </w:r>
    </w:p>
    <w:p w14:paraId="4DCA7DD7" w14:textId="77777777" w:rsidR="00EC1C40" w:rsidRDefault="00000000">
      <w:pPr>
        <w:pStyle w:val="Zkladntext1"/>
        <w:framePr w:w="9115" w:h="2136" w:hRule="exact" w:wrap="none" w:vAnchor="page" w:hAnchor="page" w:x="1748" w:y="1940"/>
        <w:spacing w:after="120"/>
        <w:jc w:val="both"/>
      </w:pPr>
      <w:r>
        <w:rPr>
          <w:i/>
          <w:iCs/>
        </w:rPr>
        <w:t>NA DŮKAZ TOHO Smluvní strany prohlašují, že s obsahem této Smlouvy souhlasí, rozumí jí a zavazují se k jejímu plnění, připojují své podpisy a prohlašují, že tato Smlouva byla uzavřena podle jejich svobodné a vážné vůle prosté tísně, zejména tísně finanční.</w:t>
      </w:r>
    </w:p>
    <w:p w14:paraId="6C4A9312" w14:textId="77777777" w:rsidR="00EC1C40" w:rsidRDefault="00000000">
      <w:pPr>
        <w:pStyle w:val="Zkladntext1"/>
        <w:framePr w:w="9115" w:h="2136" w:hRule="exact" w:wrap="none" w:vAnchor="page" w:hAnchor="page" w:x="1748" w:y="1940"/>
        <w:spacing w:after="0"/>
        <w:jc w:val="both"/>
      </w:pPr>
      <w:r>
        <w:rPr>
          <w:i/>
          <w:iCs/>
        </w:rPr>
        <w:t>PODPISOVÁ STRANA NÁSLEDUJE</w:t>
      </w:r>
    </w:p>
    <w:p w14:paraId="03F8FDF2" w14:textId="77777777" w:rsidR="00EC1C40" w:rsidRDefault="00000000">
      <w:pPr>
        <w:pStyle w:val="Zhlavnebozpat0"/>
        <w:framePr w:wrap="none" w:vAnchor="page" w:hAnchor="page" w:x="6020" w:y="16085"/>
        <w:rPr>
          <w:sz w:val="22"/>
          <w:szCs w:val="22"/>
        </w:rPr>
      </w:pPr>
      <w:r>
        <w:rPr>
          <w:color w:val="231E20"/>
          <w:sz w:val="22"/>
          <w:szCs w:val="22"/>
        </w:rPr>
        <w:t>62/63</w:t>
      </w:r>
    </w:p>
    <w:p w14:paraId="0232EFAE"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7721939D" w14:textId="77777777" w:rsidR="00EC1C40" w:rsidRDefault="00000000">
      <w:pPr>
        <w:spacing w:line="1" w:lineRule="exact"/>
      </w:pPr>
      <w:r>
        <w:rPr>
          <w:noProof/>
        </w:rPr>
        <w:lastRenderedPageBreak/>
        <mc:AlternateContent>
          <mc:Choice Requires="wps">
            <w:drawing>
              <wp:anchor distT="0" distB="0" distL="114300" distR="114300" simplePos="0" relativeHeight="251646464" behindDoc="1" locked="0" layoutInCell="1" allowOverlap="1" wp14:anchorId="01623ACA" wp14:editId="307614E6">
                <wp:simplePos x="0" y="0"/>
                <wp:positionH relativeFrom="page">
                  <wp:posOffset>947420</wp:posOffset>
                </wp:positionH>
                <wp:positionV relativeFrom="page">
                  <wp:posOffset>932180</wp:posOffset>
                </wp:positionV>
                <wp:extent cx="5702935" cy="0"/>
                <wp:effectExtent l="0" t="0" r="0" b="0"/>
                <wp:wrapNone/>
                <wp:docPr id="62" name="Shape 62"/>
                <wp:cNvGraphicFramePr/>
                <a:graphic xmlns:a="http://schemas.openxmlformats.org/drawingml/2006/main">
                  <a:graphicData uri="http://schemas.microsoft.com/office/word/2010/wordprocessingShape">
                    <wps:wsp>
                      <wps:cNvCnPr/>
                      <wps:spPr>
                        <a:xfrm>
                          <a:off x="0" y="0"/>
                          <a:ext cx="5702935" cy="0"/>
                        </a:xfrm>
                        <a:prstGeom prst="straightConnector1">
                          <a:avLst/>
                        </a:prstGeom>
                        <a:ln w="6350">
                          <a:solidFill/>
                        </a:ln>
                      </wps:spPr>
                      <wps:bodyPr/>
                    </wps:wsp>
                  </a:graphicData>
                </a:graphic>
              </wp:anchor>
            </w:drawing>
          </mc:Choice>
          <mc:Fallback>
            <w:pict>
              <v:shape o:spt="32" o:oned="true" path="m,l21600,21600e" style="position:absolute;margin-left:74.600000000000009pt;margin-top:73.400000000000006pt;width:449.05000000000001pt;height:0;z-index:-251658240;mso-position-horizontal-relative:page;mso-position-vertical-relative:page">
                <v:stroke weight="0.5pt"/>
              </v:shape>
            </w:pict>
          </mc:Fallback>
        </mc:AlternateContent>
      </w:r>
    </w:p>
    <w:p w14:paraId="5E28F116" w14:textId="77777777" w:rsidR="00EC1C40" w:rsidRDefault="00000000">
      <w:pPr>
        <w:pStyle w:val="Zhlavnebozpat0"/>
        <w:framePr w:wrap="none" w:vAnchor="page" w:hAnchor="page" w:x="5300" w:y="1186"/>
      </w:pPr>
      <w:r>
        <w:t>Plánovací smlouva</w:t>
      </w:r>
    </w:p>
    <w:p w14:paraId="63B5BDEB" w14:textId="77777777" w:rsidR="00EC1C40" w:rsidRDefault="00000000">
      <w:pPr>
        <w:pStyle w:val="Zkladntext100"/>
        <w:framePr w:w="9115" w:h="288" w:hRule="exact" w:wrap="none" w:vAnchor="page" w:hAnchor="page" w:x="1378" w:y="2328"/>
        <w:spacing w:after="0"/>
        <w:ind w:left="0" w:firstLine="0"/>
        <w:jc w:val="center"/>
      </w:pPr>
      <w:r>
        <w:rPr>
          <w:b/>
          <w:bCs/>
          <w:i/>
          <w:iCs/>
        </w:rPr>
        <w:t>PODPISOVÁ STRANA</w:t>
      </w:r>
    </w:p>
    <w:p w14:paraId="4E43D3E9" w14:textId="77777777" w:rsidR="00EC1C40" w:rsidRDefault="00000000">
      <w:pPr>
        <w:pStyle w:val="Zkladntext100"/>
        <w:framePr w:wrap="none" w:vAnchor="page" w:hAnchor="page" w:x="1484" w:y="3106"/>
        <w:spacing w:after="0"/>
        <w:ind w:left="0" w:firstLine="0"/>
      </w:pPr>
      <w:r>
        <w:t>V dne</w:t>
      </w:r>
    </w:p>
    <w:p w14:paraId="1B256EEF" w14:textId="77777777" w:rsidR="00EC1C40" w:rsidRDefault="00000000">
      <w:pPr>
        <w:pStyle w:val="Zkladntext100"/>
        <w:framePr w:wrap="none" w:vAnchor="page" w:hAnchor="page" w:x="6476" w:y="3106"/>
        <w:spacing w:after="0"/>
        <w:ind w:left="0" w:firstLine="0"/>
        <w:jc w:val="both"/>
      </w:pPr>
      <w:r>
        <w:t>V dne</w:t>
      </w:r>
    </w:p>
    <w:p w14:paraId="061D7FC6" w14:textId="77777777" w:rsidR="00EC1C40" w:rsidRDefault="00000000">
      <w:pPr>
        <w:pStyle w:val="Nadpis30"/>
        <w:framePr w:w="2558" w:h="826" w:hRule="exact" w:wrap="none" w:vAnchor="page" w:hAnchor="page" w:x="2146" w:y="4546"/>
        <w:pBdr>
          <w:top w:val="single" w:sz="4" w:space="0" w:color="auto"/>
        </w:pBdr>
        <w:spacing w:after="0" w:line="240" w:lineRule="auto"/>
        <w:rPr>
          <w:sz w:val="22"/>
          <w:szCs w:val="22"/>
        </w:rPr>
      </w:pPr>
      <w:bookmarkStart w:id="33" w:name="bookmark66"/>
      <w:r>
        <w:rPr>
          <w:sz w:val="22"/>
          <w:szCs w:val="22"/>
        </w:rPr>
        <w:t>Statutární město Pardubice</w:t>
      </w:r>
      <w:bookmarkEnd w:id="33"/>
    </w:p>
    <w:p w14:paraId="34BB8434" w14:textId="77777777" w:rsidR="00EC1C40" w:rsidRDefault="00000000">
      <w:pPr>
        <w:pStyle w:val="Zkladntext100"/>
        <w:framePr w:w="2558" w:h="826" w:hRule="exact" w:wrap="none" w:vAnchor="page" w:hAnchor="page" w:x="2146" w:y="4546"/>
        <w:spacing w:after="0"/>
        <w:ind w:left="0" w:firstLine="0"/>
        <w:jc w:val="center"/>
      </w:pPr>
      <w:r>
        <w:t>Jan Nadrchal</w:t>
      </w:r>
      <w:r>
        <w:br/>
        <w:t>primátor</w:t>
      </w:r>
    </w:p>
    <w:p w14:paraId="18CB9E5A" w14:textId="77777777" w:rsidR="00EC1C40" w:rsidRDefault="00000000">
      <w:pPr>
        <w:pStyle w:val="Zkladntext100"/>
        <w:framePr w:w="1123" w:h="826" w:hRule="exact" w:wrap="none" w:vAnchor="page" w:hAnchor="page" w:x="7978" w:y="4546"/>
        <w:pBdr>
          <w:top w:val="single" w:sz="4" w:space="0" w:color="auto"/>
        </w:pBdr>
        <w:spacing w:after="0"/>
        <w:ind w:left="0" w:firstLine="0"/>
      </w:pPr>
      <w:r>
        <w:rPr>
          <w:b/>
          <w:bCs/>
        </w:rPr>
        <w:t>MHAP s.r.o.</w:t>
      </w:r>
    </w:p>
    <w:p w14:paraId="5686A5E8" w14:textId="77777777" w:rsidR="00EC1C40" w:rsidRDefault="00000000">
      <w:pPr>
        <w:pStyle w:val="Zkladntext100"/>
        <w:framePr w:w="1123" w:h="826" w:hRule="exact" w:wrap="none" w:vAnchor="page" w:hAnchor="page" w:x="7978" w:y="4546"/>
        <w:spacing w:after="0"/>
        <w:ind w:left="0" w:firstLine="0"/>
        <w:jc w:val="center"/>
      </w:pPr>
      <w:r>
        <w:t>Petr Dědek</w:t>
      </w:r>
      <w:r>
        <w:br/>
        <w:t>jednatel</w:t>
      </w:r>
    </w:p>
    <w:p w14:paraId="06978C80" w14:textId="77777777" w:rsidR="00EC1C40" w:rsidRDefault="00000000">
      <w:pPr>
        <w:pStyle w:val="Zhlavnebozpat0"/>
        <w:framePr w:wrap="none" w:vAnchor="page" w:hAnchor="page" w:x="5650" w:y="16085"/>
        <w:rPr>
          <w:sz w:val="22"/>
          <w:szCs w:val="22"/>
        </w:rPr>
      </w:pPr>
      <w:r>
        <w:rPr>
          <w:color w:val="231E20"/>
          <w:sz w:val="22"/>
          <w:szCs w:val="22"/>
        </w:rPr>
        <w:t>63/63</w:t>
      </w:r>
    </w:p>
    <w:p w14:paraId="7EF5CE75"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36FE550B" w14:textId="77777777" w:rsidR="00EC1C40" w:rsidRDefault="00EC1C40">
      <w:pPr>
        <w:spacing w:line="1" w:lineRule="exact"/>
      </w:pPr>
    </w:p>
    <w:p w14:paraId="56114842" w14:textId="77777777" w:rsidR="00EC1C40" w:rsidRDefault="00000000">
      <w:pPr>
        <w:pStyle w:val="Zkladntext80"/>
        <w:framePr w:w="9130" w:h="638" w:hRule="exact" w:wrap="none" w:vAnchor="page" w:hAnchor="page" w:x="1513" w:y="5079"/>
      </w:pPr>
      <w:r>
        <w:t>Příloh</w:t>
      </w:r>
      <w:r>
        <w:rPr>
          <w:rFonts w:ascii="Calibri" w:eastAsia="Calibri" w:hAnsi="Calibri" w:cs="Calibri"/>
          <w:b/>
          <w:bCs/>
          <w:smallCaps/>
          <w:sz w:val="50"/>
          <w:szCs w:val="50"/>
        </w:rPr>
        <w:t>a</w:t>
      </w:r>
      <w:r>
        <w:t xml:space="preserve"> č. 1</w:t>
      </w:r>
    </w:p>
    <w:p w14:paraId="700DEDD5"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6169E6C2" w14:textId="77777777" w:rsidR="00EC1C40" w:rsidRDefault="00EC1C40">
      <w:pPr>
        <w:spacing w:line="1" w:lineRule="exact"/>
      </w:pPr>
    </w:p>
    <w:p w14:paraId="36C68D59" w14:textId="77777777" w:rsidR="00EC1C40" w:rsidRDefault="00000000">
      <w:pPr>
        <w:pStyle w:val="Jin0"/>
        <w:framePr w:w="9130" w:h="4810" w:hRule="exact" w:wrap="none" w:vAnchor="page" w:hAnchor="page" w:x="1513" w:y="1680"/>
        <w:pBdr>
          <w:bottom w:val="single" w:sz="4" w:space="0" w:color="auto"/>
        </w:pBdr>
        <w:spacing w:after="240"/>
        <w:jc w:val="center"/>
        <w:rPr>
          <w:sz w:val="36"/>
          <w:szCs w:val="36"/>
        </w:rPr>
      </w:pPr>
      <w:r>
        <w:rPr>
          <w:b/>
          <w:bCs/>
          <w:sz w:val="36"/>
          <w:szCs w:val="36"/>
        </w:rPr>
        <w:t>Základní parametry Investičního záměru</w:t>
      </w:r>
    </w:p>
    <w:p w14:paraId="7A29663F" w14:textId="77777777" w:rsidR="00EC1C40" w:rsidRDefault="00000000">
      <w:pPr>
        <w:pStyle w:val="Zkladntext1"/>
        <w:framePr w:w="9130" w:h="4810" w:hRule="exact" w:wrap="none" w:vAnchor="page" w:hAnchor="page" w:x="1513" w:y="1680"/>
        <w:spacing w:after="160" w:line="276" w:lineRule="auto"/>
      </w:pPr>
      <w:r>
        <w:t>Tyto základní parametry Investičního záměru nemůže Investor bez souhlasu SMP:</w:t>
      </w:r>
    </w:p>
    <w:p w14:paraId="214473B4" w14:textId="77777777" w:rsidR="00EC1C40" w:rsidRDefault="00000000">
      <w:pPr>
        <w:pStyle w:val="Zkladntext1"/>
        <w:framePr w:w="9130" w:h="4810" w:hRule="exact" w:wrap="none" w:vAnchor="page" w:hAnchor="page" w:x="1513" w:y="1680"/>
        <w:numPr>
          <w:ilvl w:val="0"/>
          <w:numId w:val="7"/>
        </w:numPr>
        <w:tabs>
          <w:tab w:val="left" w:pos="1105"/>
        </w:tabs>
        <w:spacing w:after="0" w:line="276" w:lineRule="auto"/>
        <w:ind w:left="1100" w:hanging="360"/>
        <w:jc w:val="both"/>
      </w:pPr>
      <w:r>
        <w:t>překročit (u parametrů uvedených pod bodem 1. níže), a to o více, než je sjednané povolené navýšení (viz společné ustanovení k bodu 1.); nebo</w:t>
      </w:r>
    </w:p>
    <w:p w14:paraId="5A177AC2" w14:textId="77777777" w:rsidR="00EC1C40" w:rsidRDefault="00000000">
      <w:pPr>
        <w:pStyle w:val="Zkladntext1"/>
        <w:framePr w:w="9130" w:h="4810" w:hRule="exact" w:wrap="none" w:vAnchor="page" w:hAnchor="page" w:x="1513" w:y="1680"/>
        <w:numPr>
          <w:ilvl w:val="0"/>
          <w:numId w:val="7"/>
        </w:numPr>
        <w:tabs>
          <w:tab w:val="left" w:pos="1105"/>
        </w:tabs>
        <w:spacing w:after="160" w:line="276" w:lineRule="auto"/>
        <w:ind w:left="1100" w:hanging="360"/>
        <w:jc w:val="both"/>
      </w:pPr>
      <w:r>
        <w:t>změnit (u parametrů uvedených pod body 2. a 3. níže), pokud by tím byly překročeny uvedené povolené odchylky,</w:t>
      </w:r>
    </w:p>
    <w:p w14:paraId="51CD516C" w14:textId="77777777" w:rsidR="00EC1C40" w:rsidRDefault="00000000">
      <w:pPr>
        <w:pStyle w:val="Zkladntext1"/>
        <w:framePr w:w="9130" w:h="4810" w:hRule="exact" w:wrap="none" w:vAnchor="page" w:hAnchor="page" w:x="1513" w:y="1680"/>
        <w:spacing w:after="160" w:line="271" w:lineRule="auto"/>
        <w:jc w:val="both"/>
      </w:pPr>
      <w:r>
        <w:t>ledaže se jedná o povolené odchylky nebo marginální odchylky ve smyslu čl. 3.4. a čl. 3.5. Plánovací smlouvy.</w:t>
      </w:r>
    </w:p>
    <w:p w14:paraId="4CB97A1E" w14:textId="77777777" w:rsidR="00EC1C40" w:rsidRDefault="00000000">
      <w:pPr>
        <w:pStyle w:val="Nadpis60"/>
        <w:framePr w:w="9130" w:h="4810" w:hRule="exact" w:wrap="none" w:vAnchor="page" w:hAnchor="page" w:x="1513" w:y="1680"/>
        <w:numPr>
          <w:ilvl w:val="0"/>
          <w:numId w:val="8"/>
        </w:numPr>
        <w:tabs>
          <w:tab w:val="left" w:pos="730"/>
        </w:tabs>
        <w:spacing w:after="0" w:line="276" w:lineRule="auto"/>
        <w:ind w:firstLine="380"/>
        <w:jc w:val="both"/>
      </w:pPr>
      <w:bookmarkStart w:id="34" w:name="bookmark68"/>
      <w:r>
        <w:t>Maximální kapacita Investičního záměru:</w:t>
      </w:r>
      <w:bookmarkEnd w:id="34"/>
    </w:p>
    <w:p w14:paraId="028EC198" w14:textId="77777777" w:rsidR="00EC1C40" w:rsidRDefault="00000000">
      <w:pPr>
        <w:pStyle w:val="Zkladntext1"/>
        <w:framePr w:w="9130" w:h="4810" w:hRule="exact" w:wrap="none" w:vAnchor="page" w:hAnchor="page" w:x="1513" w:y="1680"/>
        <w:spacing w:after="160" w:line="276" w:lineRule="auto"/>
        <w:ind w:left="700" w:firstLine="40"/>
        <w:jc w:val="both"/>
      </w:pPr>
      <w:r>
        <w:t>Maximální kapacity jednotlivých objektů jsou definovány zastavěnou plochou a obestavěným prostorem jednotlivých objektů:</w:t>
      </w:r>
    </w:p>
    <w:p w14:paraId="39A59EE3" w14:textId="77777777" w:rsidR="00EC1C40" w:rsidRDefault="00000000">
      <w:pPr>
        <w:pStyle w:val="Zkladntext1"/>
        <w:framePr w:w="9130" w:h="4810" w:hRule="exact" w:wrap="none" w:vAnchor="page" w:hAnchor="page" w:x="1513" w:y="1680"/>
        <w:numPr>
          <w:ilvl w:val="0"/>
          <w:numId w:val="9"/>
        </w:numPr>
        <w:tabs>
          <w:tab w:val="left" w:pos="1450"/>
        </w:tabs>
        <w:spacing w:after="0" w:line="276" w:lineRule="auto"/>
        <w:ind w:left="1100"/>
      </w:pPr>
      <w:r>
        <w:rPr>
          <w:b/>
          <w:bCs/>
        </w:rPr>
        <w:t>Zastavěná plocha</w:t>
      </w:r>
    </w:p>
    <w:tbl>
      <w:tblPr>
        <w:tblOverlap w:val="never"/>
        <w:tblW w:w="0" w:type="auto"/>
        <w:tblLayout w:type="fixed"/>
        <w:tblCellMar>
          <w:left w:w="10" w:type="dxa"/>
          <w:right w:w="10" w:type="dxa"/>
        </w:tblCellMar>
        <w:tblLook w:val="0000" w:firstRow="0" w:lastRow="0" w:firstColumn="0" w:lastColumn="0" w:noHBand="0" w:noVBand="0"/>
      </w:tblPr>
      <w:tblGrid>
        <w:gridCol w:w="4253"/>
        <w:gridCol w:w="2347"/>
      </w:tblGrid>
      <w:tr w:rsidR="00EC1C40" w14:paraId="74B2CDD6" w14:textId="77777777">
        <w:tblPrEx>
          <w:tblCellMar>
            <w:top w:w="0" w:type="dxa"/>
            <w:bottom w:w="0" w:type="dxa"/>
          </w:tblCellMar>
        </w:tblPrEx>
        <w:trPr>
          <w:trHeight w:hRule="exact" w:val="278"/>
        </w:trPr>
        <w:tc>
          <w:tcPr>
            <w:tcW w:w="4253" w:type="dxa"/>
            <w:shd w:val="clear" w:color="auto" w:fill="auto"/>
          </w:tcPr>
          <w:p w14:paraId="21CD4CED" w14:textId="77777777" w:rsidR="00EC1C40" w:rsidRDefault="00000000">
            <w:pPr>
              <w:pStyle w:val="Jin0"/>
              <w:framePr w:w="6600" w:h="1157" w:wrap="none" w:vAnchor="page" w:hAnchor="page" w:x="2237" w:y="6644"/>
              <w:spacing w:after="0"/>
            </w:pPr>
            <w:r>
              <w:t>Aréna + Tréninková hala + Hotel</w:t>
            </w:r>
          </w:p>
        </w:tc>
        <w:tc>
          <w:tcPr>
            <w:tcW w:w="2347" w:type="dxa"/>
            <w:shd w:val="clear" w:color="auto" w:fill="auto"/>
          </w:tcPr>
          <w:p w14:paraId="5C0CDE23" w14:textId="77777777" w:rsidR="00EC1C40" w:rsidRDefault="00000000">
            <w:pPr>
              <w:pStyle w:val="Jin0"/>
              <w:framePr w:w="6600" w:h="1157" w:wrap="none" w:vAnchor="page" w:hAnchor="page" w:x="2237" w:y="6644"/>
              <w:spacing w:after="0"/>
              <w:ind w:left="1420"/>
            </w:pPr>
            <w:r>
              <w:t>34 170 m</w:t>
            </w:r>
            <w:r>
              <w:rPr>
                <w:vertAlign w:val="superscript"/>
              </w:rPr>
              <w:t>2</w:t>
            </w:r>
          </w:p>
        </w:tc>
      </w:tr>
      <w:tr w:rsidR="00EC1C40" w14:paraId="1A698D7B" w14:textId="77777777">
        <w:tblPrEx>
          <w:tblCellMar>
            <w:top w:w="0" w:type="dxa"/>
            <w:bottom w:w="0" w:type="dxa"/>
          </w:tblCellMar>
        </w:tblPrEx>
        <w:trPr>
          <w:trHeight w:hRule="exact" w:val="312"/>
        </w:trPr>
        <w:tc>
          <w:tcPr>
            <w:tcW w:w="4253" w:type="dxa"/>
            <w:shd w:val="clear" w:color="auto" w:fill="auto"/>
          </w:tcPr>
          <w:p w14:paraId="0A8F84E1" w14:textId="77777777" w:rsidR="00EC1C40" w:rsidRDefault="00000000">
            <w:pPr>
              <w:pStyle w:val="Jin0"/>
              <w:framePr w:w="6600" w:h="1157" w:wrap="none" w:vAnchor="page" w:hAnchor="page" w:x="2237" w:y="6644"/>
              <w:spacing w:after="0"/>
            </w:pPr>
            <w:r>
              <w:t>Parkovací dům</w:t>
            </w:r>
          </w:p>
        </w:tc>
        <w:tc>
          <w:tcPr>
            <w:tcW w:w="2347" w:type="dxa"/>
            <w:shd w:val="clear" w:color="auto" w:fill="auto"/>
          </w:tcPr>
          <w:p w14:paraId="3EE96236" w14:textId="77777777" w:rsidR="00EC1C40" w:rsidRDefault="00000000">
            <w:pPr>
              <w:pStyle w:val="Jin0"/>
              <w:framePr w:w="6600" w:h="1157" w:wrap="none" w:vAnchor="page" w:hAnchor="page" w:x="2237" w:y="6644"/>
              <w:spacing w:after="0"/>
              <w:ind w:left="1420"/>
            </w:pPr>
            <w:r>
              <w:t>6 500 m</w:t>
            </w:r>
            <w:r>
              <w:rPr>
                <w:vertAlign w:val="superscript"/>
              </w:rPr>
              <w:t>2</w:t>
            </w:r>
          </w:p>
        </w:tc>
      </w:tr>
      <w:tr w:rsidR="00EC1C40" w14:paraId="15ABD25D" w14:textId="77777777">
        <w:tblPrEx>
          <w:tblCellMar>
            <w:top w:w="0" w:type="dxa"/>
            <w:bottom w:w="0" w:type="dxa"/>
          </w:tblCellMar>
        </w:tblPrEx>
        <w:trPr>
          <w:trHeight w:hRule="exact" w:val="312"/>
        </w:trPr>
        <w:tc>
          <w:tcPr>
            <w:tcW w:w="4253" w:type="dxa"/>
            <w:shd w:val="clear" w:color="auto" w:fill="auto"/>
          </w:tcPr>
          <w:p w14:paraId="5E6575AF" w14:textId="77777777" w:rsidR="00EC1C40" w:rsidRDefault="00000000">
            <w:pPr>
              <w:pStyle w:val="Jin0"/>
              <w:framePr w:w="6600" w:h="1157" w:wrap="none" w:vAnchor="page" w:hAnchor="page" w:x="2237" w:y="6644"/>
              <w:spacing w:after="0"/>
            </w:pPr>
            <w:r>
              <w:t>Showroom</w:t>
            </w:r>
          </w:p>
        </w:tc>
        <w:tc>
          <w:tcPr>
            <w:tcW w:w="2347" w:type="dxa"/>
            <w:shd w:val="clear" w:color="auto" w:fill="auto"/>
          </w:tcPr>
          <w:p w14:paraId="756097C8" w14:textId="77777777" w:rsidR="00EC1C40" w:rsidRDefault="00000000">
            <w:pPr>
              <w:pStyle w:val="Jin0"/>
              <w:framePr w:w="6600" w:h="1157" w:wrap="none" w:vAnchor="page" w:hAnchor="page" w:x="2237" w:y="6644"/>
              <w:spacing w:after="0"/>
              <w:ind w:left="1420"/>
            </w:pPr>
            <w:r>
              <w:t>1 020 m</w:t>
            </w:r>
            <w:r>
              <w:rPr>
                <w:vertAlign w:val="superscript"/>
              </w:rPr>
              <w:t>2</w:t>
            </w:r>
          </w:p>
        </w:tc>
      </w:tr>
      <w:tr w:rsidR="00EC1C40" w14:paraId="1AB064E3" w14:textId="77777777">
        <w:tblPrEx>
          <w:tblCellMar>
            <w:top w:w="0" w:type="dxa"/>
            <w:bottom w:w="0" w:type="dxa"/>
          </w:tblCellMar>
        </w:tblPrEx>
        <w:trPr>
          <w:trHeight w:hRule="exact" w:val="254"/>
        </w:trPr>
        <w:tc>
          <w:tcPr>
            <w:tcW w:w="4253" w:type="dxa"/>
            <w:shd w:val="clear" w:color="auto" w:fill="auto"/>
            <w:vAlign w:val="bottom"/>
          </w:tcPr>
          <w:p w14:paraId="7BB1F340" w14:textId="77777777" w:rsidR="00EC1C40" w:rsidRDefault="00000000">
            <w:pPr>
              <w:pStyle w:val="Jin0"/>
              <w:framePr w:w="6600" w:h="1157" w:wrap="none" w:vAnchor="page" w:hAnchor="page" w:x="2237" w:y="6644"/>
              <w:spacing w:after="0"/>
            </w:pPr>
            <w:r>
              <w:t>Celkem</w:t>
            </w:r>
          </w:p>
        </w:tc>
        <w:tc>
          <w:tcPr>
            <w:tcW w:w="2347" w:type="dxa"/>
            <w:shd w:val="clear" w:color="auto" w:fill="auto"/>
            <w:vAlign w:val="bottom"/>
          </w:tcPr>
          <w:p w14:paraId="74CDEAAA" w14:textId="77777777" w:rsidR="00EC1C40" w:rsidRDefault="00000000">
            <w:pPr>
              <w:pStyle w:val="Jin0"/>
              <w:framePr w:w="6600" w:h="1157" w:wrap="none" w:vAnchor="page" w:hAnchor="page" w:x="2237" w:y="6644"/>
              <w:spacing w:after="0"/>
              <w:ind w:left="1420"/>
            </w:pPr>
            <w:r>
              <w:t>41 690 m</w:t>
            </w:r>
            <w:r>
              <w:rPr>
                <w:vertAlign w:val="superscript"/>
              </w:rPr>
              <w:t>2</w:t>
            </w:r>
          </w:p>
        </w:tc>
      </w:tr>
    </w:tbl>
    <w:p w14:paraId="7C1B05F1" w14:textId="77777777" w:rsidR="00EC1C40" w:rsidRDefault="00000000">
      <w:pPr>
        <w:pStyle w:val="Nadpis60"/>
        <w:framePr w:w="9130" w:h="758" w:hRule="exact" w:wrap="none" w:vAnchor="page" w:hAnchor="page" w:x="1513" w:y="8036"/>
        <w:numPr>
          <w:ilvl w:val="0"/>
          <w:numId w:val="9"/>
        </w:numPr>
        <w:tabs>
          <w:tab w:val="left" w:pos="1450"/>
        </w:tabs>
        <w:spacing w:after="160"/>
        <w:ind w:left="1100"/>
      </w:pPr>
      <w:bookmarkStart w:id="35" w:name="bookmark70"/>
      <w:r>
        <w:t>Obestavěný prostor</w:t>
      </w:r>
      <w:bookmarkEnd w:id="35"/>
    </w:p>
    <w:p w14:paraId="33BFF892" w14:textId="77777777" w:rsidR="00EC1C40" w:rsidRDefault="00000000">
      <w:pPr>
        <w:pStyle w:val="Nadpis60"/>
        <w:framePr w:w="9130" w:h="758" w:hRule="exact" w:wrap="none" w:vAnchor="page" w:hAnchor="page" w:x="1513" w:y="8036"/>
        <w:spacing w:after="0"/>
        <w:ind w:firstLine="700"/>
        <w:jc w:val="both"/>
      </w:pPr>
      <w:r>
        <w:t>Aréna, Tréninková hala, Hotel</w:t>
      </w:r>
    </w:p>
    <w:tbl>
      <w:tblPr>
        <w:tblOverlap w:val="never"/>
        <w:tblW w:w="0" w:type="auto"/>
        <w:tblLayout w:type="fixed"/>
        <w:tblCellMar>
          <w:left w:w="10" w:type="dxa"/>
          <w:right w:w="10" w:type="dxa"/>
        </w:tblCellMar>
        <w:tblLook w:val="0000" w:firstRow="0" w:lastRow="0" w:firstColumn="0" w:lastColumn="0" w:noHBand="0" w:noVBand="0"/>
      </w:tblPr>
      <w:tblGrid>
        <w:gridCol w:w="5088"/>
        <w:gridCol w:w="1920"/>
      </w:tblGrid>
      <w:tr w:rsidR="00EC1C40" w14:paraId="2D208BB7" w14:textId="77777777">
        <w:tblPrEx>
          <w:tblCellMar>
            <w:top w:w="0" w:type="dxa"/>
            <w:bottom w:w="0" w:type="dxa"/>
          </w:tblCellMar>
        </w:tblPrEx>
        <w:trPr>
          <w:trHeight w:hRule="exact" w:val="298"/>
        </w:trPr>
        <w:tc>
          <w:tcPr>
            <w:tcW w:w="5088" w:type="dxa"/>
            <w:shd w:val="clear" w:color="auto" w:fill="auto"/>
          </w:tcPr>
          <w:p w14:paraId="66AFC2FE" w14:textId="77777777" w:rsidR="00EC1C40" w:rsidRDefault="00000000">
            <w:pPr>
              <w:pStyle w:val="Jin0"/>
              <w:framePr w:w="7008" w:h="5256" w:wrap="none" w:vAnchor="page" w:hAnchor="page" w:x="2223" w:y="8986"/>
              <w:spacing w:after="0"/>
              <w:ind w:firstLine="380"/>
            </w:pPr>
            <w:r>
              <w:rPr>
                <w:rFonts w:ascii="Arial" w:eastAsia="Arial" w:hAnsi="Arial" w:cs="Arial"/>
                <w:sz w:val="14"/>
                <w:szCs w:val="14"/>
                <w:vertAlign w:val="superscript"/>
              </w:rPr>
              <w:t>-</w:t>
            </w:r>
            <w:r>
              <w:rPr>
                <w:rFonts w:ascii="Arial" w:eastAsia="Arial" w:hAnsi="Arial" w:cs="Arial"/>
                <w:sz w:val="14"/>
                <w:szCs w:val="14"/>
              </w:rPr>
              <w:t xml:space="preserve"> </w:t>
            </w:r>
            <w:r>
              <w:t>Společná podzemní část (bez základů)</w:t>
            </w:r>
          </w:p>
        </w:tc>
        <w:tc>
          <w:tcPr>
            <w:tcW w:w="1920" w:type="dxa"/>
            <w:shd w:val="clear" w:color="auto" w:fill="auto"/>
          </w:tcPr>
          <w:p w14:paraId="7FD86ED3" w14:textId="77777777" w:rsidR="00EC1C40" w:rsidRDefault="00000000">
            <w:pPr>
              <w:pStyle w:val="Jin0"/>
              <w:framePr w:w="7008" w:h="5256" w:wrap="none" w:vAnchor="page" w:hAnchor="page" w:x="2223" w:y="8986"/>
              <w:spacing w:after="0"/>
              <w:ind w:firstLine="600"/>
              <w:jc w:val="both"/>
            </w:pPr>
            <w:r>
              <w:t>265 600 m</w:t>
            </w:r>
            <w:r>
              <w:rPr>
                <w:vertAlign w:val="superscript"/>
              </w:rPr>
              <w:t>3</w:t>
            </w:r>
          </w:p>
        </w:tc>
      </w:tr>
      <w:tr w:rsidR="00EC1C40" w14:paraId="7F579FAC" w14:textId="77777777">
        <w:tblPrEx>
          <w:tblCellMar>
            <w:top w:w="0" w:type="dxa"/>
            <w:bottom w:w="0" w:type="dxa"/>
          </w:tblCellMar>
        </w:tblPrEx>
        <w:trPr>
          <w:trHeight w:hRule="exact" w:val="610"/>
        </w:trPr>
        <w:tc>
          <w:tcPr>
            <w:tcW w:w="5088" w:type="dxa"/>
            <w:shd w:val="clear" w:color="auto" w:fill="auto"/>
            <w:vAlign w:val="bottom"/>
          </w:tcPr>
          <w:p w14:paraId="549CB715" w14:textId="77777777" w:rsidR="00EC1C40" w:rsidRDefault="00000000">
            <w:pPr>
              <w:pStyle w:val="Jin0"/>
              <w:framePr w:w="7008" w:h="5256" w:wrap="none" w:vAnchor="page" w:hAnchor="page" w:x="2223" w:y="8986"/>
              <w:numPr>
                <w:ilvl w:val="0"/>
                <w:numId w:val="10"/>
              </w:numPr>
              <w:tabs>
                <w:tab w:val="left" w:pos="740"/>
              </w:tabs>
              <w:spacing w:after="0"/>
              <w:ind w:firstLine="380"/>
            </w:pPr>
            <w:r>
              <w:t>Společná nadzemní část (od 1.NP do 2.NP)</w:t>
            </w:r>
          </w:p>
          <w:p w14:paraId="1B288509" w14:textId="77777777" w:rsidR="00EC1C40" w:rsidRDefault="00000000">
            <w:pPr>
              <w:pStyle w:val="Jin0"/>
              <w:framePr w:w="7008" w:h="5256" w:wrap="none" w:vAnchor="page" w:hAnchor="page" w:x="2223" w:y="8986"/>
              <w:numPr>
                <w:ilvl w:val="0"/>
                <w:numId w:val="10"/>
              </w:numPr>
              <w:tabs>
                <w:tab w:val="left" w:pos="740"/>
              </w:tabs>
              <w:spacing w:after="0"/>
              <w:ind w:firstLine="380"/>
            </w:pPr>
            <w:r>
              <w:t>Nadzemní část od 2.NP výše:</w:t>
            </w:r>
          </w:p>
        </w:tc>
        <w:tc>
          <w:tcPr>
            <w:tcW w:w="1920" w:type="dxa"/>
            <w:shd w:val="clear" w:color="auto" w:fill="auto"/>
          </w:tcPr>
          <w:p w14:paraId="7C846D07" w14:textId="77777777" w:rsidR="00EC1C40" w:rsidRDefault="00000000">
            <w:pPr>
              <w:pStyle w:val="Jin0"/>
              <w:framePr w:w="7008" w:h="5256" w:wrap="none" w:vAnchor="page" w:hAnchor="page" w:x="2223" w:y="8986"/>
              <w:spacing w:after="0"/>
              <w:ind w:firstLine="600"/>
              <w:jc w:val="both"/>
            </w:pPr>
            <w:r>
              <w:t>151 620 m</w:t>
            </w:r>
            <w:r>
              <w:rPr>
                <w:vertAlign w:val="superscript"/>
              </w:rPr>
              <w:t>3</w:t>
            </w:r>
          </w:p>
        </w:tc>
      </w:tr>
      <w:tr w:rsidR="00EC1C40" w14:paraId="2E38038F" w14:textId="77777777">
        <w:tblPrEx>
          <w:tblCellMar>
            <w:top w:w="0" w:type="dxa"/>
            <w:bottom w:w="0" w:type="dxa"/>
          </w:tblCellMar>
        </w:tblPrEx>
        <w:trPr>
          <w:trHeight w:hRule="exact" w:val="307"/>
        </w:trPr>
        <w:tc>
          <w:tcPr>
            <w:tcW w:w="5088" w:type="dxa"/>
            <w:shd w:val="clear" w:color="auto" w:fill="auto"/>
          </w:tcPr>
          <w:p w14:paraId="5F958CAF" w14:textId="77777777" w:rsidR="00EC1C40" w:rsidRDefault="00000000">
            <w:pPr>
              <w:pStyle w:val="Jin0"/>
              <w:framePr w:w="7008" w:h="5256" w:wrap="none" w:vAnchor="page" w:hAnchor="page" w:x="2223" w:y="8986"/>
              <w:spacing w:after="0"/>
              <w:ind w:left="1100"/>
            </w:pPr>
            <w:r>
              <w:rPr>
                <w:rFonts w:ascii="Courier New" w:eastAsia="Courier New" w:hAnsi="Courier New" w:cs="Courier New"/>
                <w:smallCaps/>
                <w:sz w:val="20"/>
                <w:szCs w:val="20"/>
              </w:rPr>
              <w:t>o</w:t>
            </w:r>
            <w:r>
              <w:t xml:space="preserve"> Aréna</w:t>
            </w:r>
          </w:p>
        </w:tc>
        <w:tc>
          <w:tcPr>
            <w:tcW w:w="1920" w:type="dxa"/>
            <w:shd w:val="clear" w:color="auto" w:fill="auto"/>
          </w:tcPr>
          <w:p w14:paraId="0742F184" w14:textId="77777777" w:rsidR="00EC1C40" w:rsidRDefault="00000000">
            <w:pPr>
              <w:pStyle w:val="Jin0"/>
              <w:framePr w:w="7008" w:h="5256" w:wrap="none" w:vAnchor="page" w:hAnchor="page" w:x="2223" w:y="8986"/>
              <w:spacing w:after="0"/>
              <w:ind w:firstLine="600"/>
              <w:jc w:val="both"/>
            </w:pPr>
            <w:r>
              <w:t>668 200 m</w:t>
            </w:r>
            <w:r>
              <w:rPr>
                <w:vertAlign w:val="superscript"/>
              </w:rPr>
              <w:t>3</w:t>
            </w:r>
          </w:p>
        </w:tc>
      </w:tr>
      <w:tr w:rsidR="00EC1C40" w14:paraId="4824F892" w14:textId="77777777">
        <w:tblPrEx>
          <w:tblCellMar>
            <w:top w:w="0" w:type="dxa"/>
            <w:bottom w:w="0" w:type="dxa"/>
          </w:tblCellMar>
        </w:tblPrEx>
        <w:trPr>
          <w:trHeight w:hRule="exact" w:val="312"/>
        </w:trPr>
        <w:tc>
          <w:tcPr>
            <w:tcW w:w="5088" w:type="dxa"/>
            <w:shd w:val="clear" w:color="auto" w:fill="auto"/>
            <w:vAlign w:val="bottom"/>
          </w:tcPr>
          <w:p w14:paraId="35ED5E0A" w14:textId="77777777" w:rsidR="00EC1C40" w:rsidRDefault="00000000">
            <w:pPr>
              <w:pStyle w:val="Jin0"/>
              <w:framePr w:w="7008" w:h="5256" w:wrap="none" w:vAnchor="page" w:hAnchor="page" w:x="2223" w:y="8986"/>
              <w:spacing w:after="0"/>
              <w:ind w:left="1100"/>
            </w:pPr>
            <w:r>
              <w:rPr>
                <w:rFonts w:ascii="Courier New" w:eastAsia="Courier New" w:hAnsi="Courier New" w:cs="Courier New"/>
                <w:smallCaps/>
                <w:sz w:val="20"/>
                <w:szCs w:val="20"/>
              </w:rPr>
              <w:t>o</w:t>
            </w:r>
            <w:r>
              <w:t xml:space="preserve"> Tréninková hala</w:t>
            </w:r>
          </w:p>
        </w:tc>
        <w:tc>
          <w:tcPr>
            <w:tcW w:w="1920" w:type="dxa"/>
            <w:shd w:val="clear" w:color="auto" w:fill="auto"/>
            <w:vAlign w:val="bottom"/>
          </w:tcPr>
          <w:p w14:paraId="6E3D7E58" w14:textId="77777777" w:rsidR="00EC1C40" w:rsidRDefault="00000000">
            <w:pPr>
              <w:pStyle w:val="Jin0"/>
              <w:framePr w:w="7008" w:h="5256" w:wrap="none" w:vAnchor="page" w:hAnchor="page" w:x="2223" w:y="8986"/>
              <w:spacing w:after="0"/>
              <w:ind w:firstLine="600"/>
              <w:jc w:val="both"/>
            </w:pPr>
            <w:r>
              <w:t>42 053,4 m</w:t>
            </w:r>
            <w:r>
              <w:rPr>
                <w:vertAlign w:val="superscript"/>
              </w:rPr>
              <w:t>3</w:t>
            </w:r>
          </w:p>
        </w:tc>
      </w:tr>
      <w:tr w:rsidR="00EC1C40" w14:paraId="6D4CDAD6" w14:textId="77777777">
        <w:tblPrEx>
          <w:tblCellMar>
            <w:top w:w="0" w:type="dxa"/>
            <w:bottom w:w="0" w:type="dxa"/>
          </w:tblCellMar>
        </w:tblPrEx>
        <w:trPr>
          <w:trHeight w:hRule="exact" w:val="312"/>
        </w:trPr>
        <w:tc>
          <w:tcPr>
            <w:tcW w:w="5088" w:type="dxa"/>
            <w:shd w:val="clear" w:color="auto" w:fill="auto"/>
            <w:vAlign w:val="bottom"/>
          </w:tcPr>
          <w:p w14:paraId="4D60C398" w14:textId="77777777" w:rsidR="00EC1C40" w:rsidRDefault="00000000">
            <w:pPr>
              <w:pStyle w:val="Jin0"/>
              <w:framePr w:w="7008" w:h="5256" w:wrap="none" w:vAnchor="page" w:hAnchor="page" w:x="2223" w:y="8986"/>
              <w:spacing w:after="0"/>
              <w:ind w:left="1100"/>
            </w:pPr>
            <w:r>
              <w:rPr>
                <w:rFonts w:ascii="Courier New" w:eastAsia="Courier New" w:hAnsi="Courier New" w:cs="Courier New"/>
                <w:smallCaps/>
                <w:sz w:val="20"/>
                <w:szCs w:val="20"/>
              </w:rPr>
              <w:t>o</w:t>
            </w:r>
            <w:r>
              <w:t xml:space="preserve"> Hotel</w:t>
            </w:r>
          </w:p>
        </w:tc>
        <w:tc>
          <w:tcPr>
            <w:tcW w:w="1920" w:type="dxa"/>
            <w:shd w:val="clear" w:color="auto" w:fill="auto"/>
            <w:vAlign w:val="bottom"/>
          </w:tcPr>
          <w:p w14:paraId="143C6DCC" w14:textId="77777777" w:rsidR="00EC1C40" w:rsidRDefault="00000000">
            <w:pPr>
              <w:pStyle w:val="Jin0"/>
              <w:framePr w:w="7008" w:h="5256" w:wrap="none" w:vAnchor="page" w:hAnchor="page" w:x="2223" w:y="8986"/>
              <w:spacing w:after="0"/>
              <w:ind w:firstLine="600"/>
              <w:jc w:val="both"/>
            </w:pPr>
            <w:r>
              <w:t>52 460,9 m</w:t>
            </w:r>
            <w:r>
              <w:rPr>
                <w:vertAlign w:val="superscript"/>
              </w:rPr>
              <w:t>3</w:t>
            </w:r>
          </w:p>
        </w:tc>
      </w:tr>
      <w:tr w:rsidR="00EC1C40" w14:paraId="5F4D1A64" w14:textId="77777777">
        <w:tblPrEx>
          <w:tblCellMar>
            <w:top w:w="0" w:type="dxa"/>
            <w:bottom w:w="0" w:type="dxa"/>
          </w:tblCellMar>
        </w:tblPrEx>
        <w:trPr>
          <w:trHeight w:hRule="exact" w:val="389"/>
        </w:trPr>
        <w:tc>
          <w:tcPr>
            <w:tcW w:w="5088" w:type="dxa"/>
            <w:shd w:val="clear" w:color="auto" w:fill="auto"/>
          </w:tcPr>
          <w:p w14:paraId="387438A2" w14:textId="77777777" w:rsidR="00EC1C40" w:rsidRDefault="00000000">
            <w:pPr>
              <w:pStyle w:val="Jin0"/>
              <w:framePr w:w="7008" w:h="5256" w:wrap="none" w:vAnchor="page" w:hAnchor="page" w:x="2223" w:y="8986"/>
              <w:spacing w:after="0"/>
              <w:ind w:firstLine="380"/>
            </w:pPr>
            <w:r>
              <w:rPr>
                <w:rFonts w:ascii="Arial" w:eastAsia="Arial" w:hAnsi="Arial" w:cs="Arial"/>
              </w:rPr>
              <w:t xml:space="preserve">- </w:t>
            </w:r>
            <w:r>
              <w:rPr>
                <w:b/>
                <w:bCs/>
              </w:rPr>
              <w:t>Celkem</w:t>
            </w:r>
          </w:p>
        </w:tc>
        <w:tc>
          <w:tcPr>
            <w:tcW w:w="1920" w:type="dxa"/>
            <w:shd w:val="clear" w:color="auto" w:fill="auto"/>
          </w:tcPr>
          <w:p w14:paraId="5DAD601D" w14:textId="77777777" w:rsidR="00EC1C40" w:rsidRDefault="00000000">
            <w:pPr>
              <w:pStyle w:val="Jin0"/>
              <w:framePr w:w="7008" w:h="5256" w:wrap="none" w:vAnchor="page" w:hAnchor="page" w:x="2223" w:y="8986"/>
              <w:spacing w:after="0"/>
              <w:ind w:firstLine="600"/>
              <w:jc w:val="both"/>
            </w:pPr>
            <w:r>
              <w:rPr>
                <w:b/>
                <w:bCs/>
              </w:rPr>
              <w:t>1 179 934,3m</w:t>
            </w:r>
            <w:r>
              <w:rPr>
                <w:b/>
                <w:bCs/>
                <w:vertAlign w:val="superscript"/>
              </w:rPr>
              <w:t>3</w:t>
            </w:r>
          </w:p>
        </w:tc>
      </w:tr>
      <w:tr w:rsidR="00EC1C40" w14:paraId="6F0F1D2B" w14:textId="77777777">
        <w:tblPrEx>
          <w:tblCellMar>
            <w:top w:w="0" w:type="dxa"/>
            <w:bottom w:w="0" w:type="dxa"/>
          </w:tblCellMar>
        </w:tblPrEx>
        <w:trPr>
          <w:trHeight w:hRule="exact" w:val="470"/>
        </w:trPr>
        <w:tc>
          <w:tcPr>
            <w:tcW w:w="5088" w:type="dxa"/>
            <w:shd w:val="clear" w:color="auto" w:fill="auto"/>
            <w:vAlign w:val="center"/>
          </w:tcPr>
          <w:p w14:paraId="2BFA50B6" w14:textId="77777777" w:rsidR="00EC1C40" w:rsidRDefault="00000000">
            <w:pPr>
              <w:pStyle w:val="Jin0"/>
              <w:framePr w:w="7008" w:h="5256" w:wrap="none" w:vAnchor="page" w:hAnchor="page" w:x="2223" w:y="8986"/>
              <w:spacing w:after="0"/>
            </w:pPr>
            <w:r>
              <w:rPr>
                <w:b/>
                <w:bCs/>
              </w:rPr>
              <w:t>Parkovací dům</w:t>
            </w:r>
          </w:p>
        </w:tc>
        <w:tc>
          <w:tcPr>
            <w:tcW w:w="1920" w:type="dxa"/>
            <w:shd w:val="clear" w:color="auto" w:fill="auto"/>
          </w:tcPr>
          <w:p w14:paraId="3CF71C8D" w14:textId="77777777" w:rsidR="00EC1C40" w:rsidRDefault="00EC1C40">
            <w:pPr>
              <w:framePr w:w="7008" w:h="5256" w:wrap="none" w:vAnchor="page" w:hAnchor="page" w:x="2223" w:y="8986"/>
              <w:rPr>
                <w:sz w:val="10"/>
                <w:szCs w:val="10"/>
              </w:rPr>
            </w:pPr>
          </w:p>
        </w:tc>
      </w:tr>
      <w:tr w:rsidR="00EC1C40" w14:paraId="16D9E3E4" w14:textId="77777777">
        <w:tblPrEx>
          <w:tblCellMar>
            <w:top w:w="0" w:type="dxa"/>
            <w:bottom w:w="0" w:type="dxa"/>
          </w:tblCellMar>
        </w:tblPrEx>
        <w:trPr>
          <w:trHeight w:hRule="exact" w:val="398"/>
        </w:trPr>
        <w:tc>
          <w:tcPr>
            <w:tcW w:w="5088" w:type="dxa"/>
            <w:shd w:val="clear" w:color="auto" w:fill="auto"/>
            <w:vAlign w:val="bottom"/>
          </w:tcPr>
          <w:p w14:paraId="31DEF38E" w14:textId="77777777" w:rsidR="00EC1C40" w:rsidRDefault="00000000">
            <w:pPr>
              <w:pStyle w:val="Jin0"/>
              <w:framePr w:w="7008" w:h="5256" w:wrap="none" w:vAnchor="page" w:hAnchor="page" w:x="2223" w:y="8986"/>
              <w:spacing w:after="0"/>
              <w:ind w:firstLine="380"/>
            </w:pPr>
            <w:r>
              <w:rPr>
                <w:rFonts w:ascii="Arial" w:eastAsia="Arial" w:hAnsi="Arial" w:cs="Arial"/>
                <w:sz w:val="14"/>
                <w:szCs w:val="14"/>
                <w:vertAlign w:val="superscript"/>
              </w:rPr>
              <w:t>-</w:t>
            </w:r>
            <w:r>
              <w:rPr>
                <w:rFonts w:ascii="Arial" w:eastAsia="Arial" w:hAnsi="Arial" w:cs="Arial"/>
                <w:sz w:val="14"/>
                <w:szCs w:val="14"/>
              </w:rPr>
              <w:t xml:space="preserve"> </w:t>
            </w:r>
            <w:r>
              <w:t>Podzemní část (bez základů)</w:t>
            </w:r>
          </w:p>
        </w:tc>
        <w:tc>
          <w:tcPr>
            <w:tcW w:w="1920" w:type="dxa"/>
            <w:shd w:val="clear" w:color="auto" w:fill="auto"/>
            <w:vAlign w:val="bottom"/>
          </w:tcPr>
          <w:p w14:paraId="51326F05" w14:textId="77777777" w:rsidR="00EC1C40" w:rsidRDefault="00000000">
            <w:pPr>
              <w:pStyle w:val="Jin0"/>
              <w:framePr w:w="7008" w:h="5256" w:wrap="none" w:vAnchor="page" w:hAnchor="page" w:x="2223" w:y="8986"/>
              <w:spacing w:after="0"/>
              <w:ind w:firstLine="600"/>
            </w:pPr>
            <w:r>
              <w:t>48 457,4 m</w:t>
            </w:r>
            <w:r>
              <w:rPr>
                <w:vertAlign w:val="superscript"/>
              </w:rPr>
              <w:t>3</w:t>
            </w:r>
          </w:p>
        </w:tc>
      </w:tr>
      <w:tr w:rsidR="00EC1C40" w14:paraId="75E97328" w14:textId="77777777">
        <w:tblPrEx>
          <w:tblCellMar>
            <w:top w:w="0" w:type="dxa"/>
            <w:bottom w:w="0" w:type="dxa"/>
          </w:tblCellMar>
        </w:tblPrEx>
        <w:trPr>
          <w:trHeight w:hRule="exact" w:val="302"/>
        </w:trPr>
        <w:tc>
          <w:tcPr>
            <w:tcW w:w="5088" w:type="dxa"/>
            <w:shd w:val="clear" w:color="auto" w:fill="auto"/>
          </w:tcPr>
          <w:p w14:paraId="400869D6" w14:textId="77777777" w:rsidR="00EC1C40" w:rsidRDefault="00000000">
            <w:pPr>
              <w:pStyle w:val="Jin0"/>
              <w:framePr w:w="7008" w:h="5256" w:wrap="none" w:vAnchor="page" w:hAnchor="page" w:x="2223" w:y="8986"/>
              <w:spacing w:after="0"/>
              <w:ind w:firstLine="380"/>
            </w:pPr>
            <w:r>
              <w:rPr>
                <w:rFonts w:ascii="Arial" w:eastAsia="Arial" w:hAnsi="Arial" w:cs="Arial"/>
                <w:sz w:val="14"/>
                <w:szCs w:val="14"/>
                <w:vertAlign w:val="superscript"/>
              </w:rPr>
              <w:t>-</w:t>
            </w:r>
            <w:r>
              <w:rPr>
                <w:rFonts w:ascii="Arial" w:eastAsia="Arial" w:hAnsi="Arial" w:cs="Arial"/>
                <w:sz w:val="14"/>
                <w:szCs w:val="14"/>
              </w:rPr>
              <w:t xml:space="preserve"> </w:t>
            </w:r>
            <w:r>
              <w:t>Nadzemní část</w:t>
            </w:r>
          </w:p>
        </w:tc>
        <w:tc>
          <w:tcPr>
            <w:tcW w:w="1920" w:type="dxa"/>
            <w:shd w:val="clear" w:color="auto" w:fill="auto"/>
          </w:tcPr>
          <w:p w14:paraId="1DD0FF93" w14:textId="77777777" w:rsidR="00EC1C40" w:rsidRDefault="00000000">
            <w:pPr>
              <w:pStyle w:val="Jin0"/>
              <w:framePr w:w="7008" w:h="5256" w:wrap="none" w:vAnchor="page" w:hAnchor="page" w:x="2223" w:y="8986"/>
              <w:spacing w:after="0"/>
              <w:ind w:firstLine="600"/>
            </w:pPr>
            <w:r>
              <w:t>201 249,3 m</w:t>
            </w:r>
            <w:r>
              <w:rPr>
                <w:vertAlign w:val="superscript"/>
              </w:rPr>
              <w:t>3</w:t>
            </w:r>
          </w:p>
        </w:tc>
      </w:tr>
      <w:tr w:rsidR="00EC1C40" w14:paraId="0A359253" w14:textId="77777777">
        <w:tblPrEx>
          <w:tblCellMar>
            <w:top w:w="0" w:type="dxa"/>
            <w:bottom w:w="0" w:type="dxa"/>
          </w:tblCellMar>
        </w:tblPrEx>
        <w:trPr>
          <w:trHeight w:hRule="exact" w:val="394"/>
        </w:trPr>
        <w:tc>
          <w:tcPr>
            <w:tcW w:w="5088" w:type="dxa"/>
            <w:shd w:val="clear" w:color="auto" w:fill="auto"/>
          </w:tcPr>
          <w:p w14:paraId="17F3ADAF" w14:textId="77777777" w:rsidR="00EC1C40" w:rsidRDefault="00000000">
            <w:pPr>
              <w:pStyle w:val="Jin0"/>
              <w:framePr w:w="7008" w:h="5256" w:wrap="none" w:vAnchor="page" w:hAnchor="page" w:x="2223" w:y="8986"/>
              <w:spacing w:after="0"/>
              <w:ind w:firstLine="380"/>
            </w:pPr>
            <w:r>
              <w:rPr>
                <w:rFonts w:ascii="Arial" w:eastAsia="Arial" w:hAnsi="Arial" w:cs="Arial"/>
                <w:sz w:val="14"/>
                <w:szCs w:val="14"/>
                <w:vertAlign w:val="superscript"/>
              </w:rPr>
              <w:t>-</w:t>
            </w:r>
            <w:r>
              <w:rPr>
                <w:rFonts w:ascii="Arial" w:eastAsia="Arial" w:hAnsi="Arial" w:cs="Arial"/>
                <w:sz w:val="14"/>
                <w:szCs w:val="14"/>
              </w:rPr>
              <w:t xml:space="preserve"> </w:t>
            </w:r>
            <w:r>
              <w:rPr>
                <w:b/>
                <w:bCs/>
              </w:rPr>
              <w:t>Celkem</w:t>
            </w:r>
          </w:p>
        </w:tc>
        <w:tc>
          <w:tcPr>
            <w:tcW w:w="1920" w:type="dxa"/>
            <w:shd w:val="clear" w:color="auto" w:fill="auto"/>
          </w:tcPr>
          <w:p w14:paraId="7A5AD8A1" w14:textId="77777777" w:rsidR="00EC1C40" w:rsidRDefault="00000000">
            <w:pPr>
              <w:pStyle w:val="Jin0"/>
              <w:framePr w:w="7008" w:h="5256" w:wrap="none" w:vAnchor="page" w:hAnchor="page" w:x="2223" w:y="8986"/>
              <w:spacing w:after="0"/>
              <w:ind w:firstLine="600"/>
            </w:pPr>
            <w:r>
              <w:rPr>
                <w:b/>
                <w:bCs/>
              </w:rPr>
              <w:t>249 706,7 m</w:t>
            </w:r>
            <w:r>
              <w:rPr>
                <w:b/>
                <w:bCs/>
                <w:vertAlign w:val="superscript"/>
              </w:rPr>
              <w:t>3</w:t>
            </w:r>
          </w:p>
        </w:tc>
      </w:tr>
      <w:tr w:rsidR="00EC1C40" w14:paraId="529CB19A" w14:textId="77777777">
        <w:tblPrEx>
          <w:tblCellMar>
            <w:top w:w="0" w:type="dxa"/>
            <w:bottom w:w="0" w:type="dxa"/>
          </w:tblCellMar>
        </w:tblPrEx>
        <w:trPr>
          <w:trHeight w:hRule="exact" w:val="470"/>
        </w:trPr>
        <w:tc>
          <w:tcPr>
            <w:tcW w:w="5088" w:type="dxa"/>
            <w:shd w:val="clear" w:color="auto" w:fill="auto"/>
            <w:vAlign w:val="center"/>
          </w:tcPr>
          <w:p w14:paraId="443B3B1E" w14:textId="77777777" w:rsidR="00EC1C40" w:rsidRDefault="00000000">
            <w:pPr>
              <w:pStyle w:val="Jin0"/>
              <w:framePr w:w="7008" w:h="5256" w:wrap="none" w:vAnchor="page" w:hAnchor="page" w:x="2223" w:y="8986"/>
              <w:spacing w:after="0"/>
            </w:pPr>
            <w:r>
              <w:rPr>
                <w:b/>
                <w:bCs/>
              </w:rPr>
              <w:t>Showroom</w:t>
            </w:r>
          </w:p>
        </w:tc>
        <w:tc>
          <w:tcPr>
            <w:tcW w:w="1920" w:type="dxa"/>
            <w:shd w:val="clear" w:color="auto" w:fill="auto"/>
          </w:tcPr>
          <w:p w14:paraId="2F57B3E2" w14:textId="77777777" w:rsidR="00EC1C40" w:rsidRDefault="00EC1C40">
            <w:pPr>
              <w:framePr w:w="7008" w:h="5256" w:wrap="none" w:vAnchor="page" w:hAnchor="page" w:x="2223" w:y="8986"/>
              <w:rPr>
                <w:sz w:val="10"/>
                <w:szCs w:val="10"/>
              </w:rPr>
            </w:pPr>
          </w:p>
        </w:tc>
      </w:tr>
      <w:tr w:rsidR="00EC1C40" w14:paraId="49FC7A37" w14:textId="77777777">
        <w:tblPrEx>
          <w:tblCellMar>
            <w:top w:w="0" w:type="dxa"/>
            <w:bottom w:w="0" w:type="dxa"/>
          </w:tblCellMar>
        </w:tblPrEx>
        <w:trPr>
          <w:trHeight w:hRule="exact" w:val="398"/>
        </w:trPr>
        <w:tc>
          <w:tcPr>
            <w:tcW w:w="5088" w:type="dxa"/>
            <w:shd w:val="clear" w:color="auto" w:fill="auto"/>
            <w:vAlign w:val="bottom"/>
          </w:tcPr>
          <w:p w14:paraId="60564C3E" w14:textId="77777777" w:rsidR="00EC1C40" w:rsidRDefault="00000000">
            <w:pPr>
              <w:pStyle w:val="Jin0"/>
              <w:framePr w:w="7008" w:h="5256" w:wrap="none" w:vAnchor="page" w:hAnchor="page" w:x="2223" w:y="8986"/>
              <w:spacing w:after="0"/>
              <w:ind w:firstLine="380"/>
            </w:pPr>
            <w:r>
              <w:rPr>
                <w:rFonts w:ascii="Arial" w:eastAsia="Arial" w:hAnsi="Arial" w:cs="Arial"/>
                <w:sz w:val="14"/>
                <w:szCs w:val="14"/>
                <w:vertAlign w:val="superscript"/>
              </w:rPr>
              <w:t>-</w:t>
            </w:r>
            <w:r>
              <w:rPr>
                <w:rFonts w:ascii="Arial" w:eastAsia="Arial" w:hAnsi="Arial" w:cs="Arial"/>
                <w:sz w:val="14"/>
                <w:szCs w:val="14"/>
              </w:rPr>
              <w:t xml:space="preserve"> </w:t>
            </w:r>
            <w:r>
              <w:t>Podzemní část (bez základů)</w:t>
            </w:r>
          </w:p>
        </w:tc>
        <w:tc>
          <w:tcPr>
            <w:tcW w:w="1920" w:type="dxa"/>
            <w:shd w:val="clear" w:color="auto" w:fill="auto"/>
            <w:vAlign w:val="bottom"/>
          </w:tcPr>
          <w:p w14:paraId="69B7C48E" w14:textId="77777777" w:rsidR="00EC1C40" w:rsidRDefault="00000000">
            <w:pPr>
              <w:pStyle w:val="Jin0"/>
              <w:framePr w:w="7008" w:h="5256" w:wrap="none" w:vAnchor="page" w:hAnchor="page" w:x="2223" w:y="8986"/>
              <w:spacing w:after="0"/>
              <w:ind w:firstLine="600"/>
            </w:pPr>
            <w:r>
              <w:t>4 643,00m</w:t>
            </w:r>
            <w:r>
              <w:rPr>
                <w:vertAlign w:val="superscript"/>
              </w:rPr>
              <w:t>3</w:t>
            </w:r>
          </w:p>
        </w:tc>
      </w:tr>
      <w:tr w:rsidR="00EC1C40" w14:paraId="430CE24A" w14:textId="77777777">
        <w:tblPrEx>
          <w:tblCellMar>
            <w:top w:w="0" w:type="dxa"/>
            <w:bottom w:w="0" w:type="dxa"/>
          </w:tblCellMar>
        </w:tblPrEx>
        <w:trPr>
          <w:trHeight w:hRule="exact" w:val="302"/>
        </w:trPr>
        <w:tc>
          <w:tcPr>
            <w:tcW w:w="5088" w:type="dxa"/>
            <w:shd w:val="clear" w:color="auto" w:fill="auto"/>
          </w:tcPr>
          <w:p w14:paraId="75E968C4" w14:textId="77777777" w:rsidR="00EC1C40" w:rsidRDefault="00000000">
            <w:pPr>
              <w:pStyle w:val="Jin0"/>
              <w:framePr w:w="7008" w:h="5256" w:wrap="none" w:vAnchor="page" w:hAnchor="page" w:x="2223" w:y="8986"/>
              <w:spacing w:after="0"/>
              <w:ind w:firstLine="380"/>
            </w:pPr>
            <w:r>
              <w:rPr>
                <w:rFonts w:ascii="Arial" w:eastAsia="Arial" w:hAnsi="Arial" w:cs="Arial"/>
                <w:sz w:val="14"/>
                <w:szCs w:val="14"/>
                <w:vertAlign w:val="superscript"/>
              </w:rPr>
              <w:t>-</w:t>
            </w:r>
            <w:r>
              <w:rPr>
                <w:rFonts w:ascii="Arial" w:eastAsia="Arial" w:hAnsi="Arial" w:cs="Arial"/>
                <w:sz w:val="14"/>
                <w:szCs w:val="14"/>
              </w:rPr>
              <w:t xml:space="preserve"> </w:t>
            </w:r>
            <w:r>
              <w:t>Nadzemní část</w:t>
            </w:r>
          </w:p>
        </w:tc>
        <w:tc>
          <w:tcPr>
            <w:tcW w:w="1920" w:type="dxa"/>
            <w:shd w:val="clear" w:color="auto" w:fill="auto"/>
          </w:tcPr>
          <w:p w14:paraId="166530C6" w14:textId="77777777" w:rsidR="00EC1C40" w:rsidRDefault="00000000">
            <w:pPr>
              <w:pStyle w:val="Jin0"/>
              <w:framePr w:w="7008" w:h="5256" w:wrap="none" w:vAnchor="page" w:hAnchor="page" w:x="2223" w:y="8986"/>
              <w:spacing w:after="0"/>
              <w:ind w:firstLine="600"/>
            </w:pPr>
            <w:r>
              <w:t>13 717,60 m</w:t>
            </w:r>
            <w:r>
              <w:rPr>
                <w:vertAlign w:val="superscript"/>
              </w:rPr>
              <w:t>3</w:t>
            </w:r>
          </w:p>
        </w:tc>
      </w:tr>
      <w:tr w:rsidR="00EC1C40" w14:paraId="394D7BBB" w14:textId="77777777">
        <w:tblPrEx>
          <w:tblCellMar>
            <w:top w:w="0" w:type="dxa"/>
            <w:bottom w:w="0" w:type="dxa"/>
          </w:tblCellMar>
        </w:tblPrEx>
        <w:trPr>
          <w:trHeight w:hRule="exact" w:val="293"/>
        </w:trPr>
        <w:tc>
          <w:tcPr>
            <w:tcW w:w="5088" w:type="dxa"/>
            <w:shd w:val="clear" w:color="auto" w:fill="auto"/>
            <w:vAlign w:val="bottom"/>
          </w:tcPr>
          <w:p w14:paraId="6051F9DC" w14:textId="77777777" w:rsidR="00EC1C40" w:rsidRDefault="00000000">
            <w:pPr>
              <w:pStyle w:val="Jin0"/>
              <w:framePr w:w="7008" w:h="5256" w:wrap="none" w:vAnchor="page" w:hAnchor="page" w:x="2223" w:y="8986"/>
              <w:spacing w:after="0"/>
              <w:ind w:firstLine="380"/>
            </w:pPr>
            <w:r>
              <w:rPr>
                <w:rFonts w:ascii="Arial" w:eastAsia="Arial" w:hAnsi="Arial" w:cs="Arial"/>
                <w:sz w:val="14"/>
                <w:szCs w:val="14"/>
                <w:vertAlign w:val="superscript"/>
              </w:rPr>
              <w:t>-</w:t>
            </w:r>
            <w:r>
              <w:rPr>
                <w:rFonts w:ascii="Arial" w:eastAsia="Arial" w:hAnsi="Arial" w:cs="Arial"/>
                <w:sz w:val="14"/>
                <w:szCs w:val="14"/>
              </w:rPr>
              <w:t xml:space="preserve"> </w:t>
            </w:r>
            <w:r>
              <w:rPr>
                <w:b/>
                <w:bCs/>
              </w:rPr>
              <w:t>Celkem</w:t>
            </w:r>
          </w:p>
        </w:tc>
        <w:tc>
          <w:tcPr>
            <w:tcW w:w="1920" w:type="dxa"/>
            <w:shd w:val="clear" w:color="auto" w:fill="auto"/>
            <w:vAlign w:val="bottom"/>
          </w:tcPr>
          <w:p w14:paraId="43EB69FA" w14:textId="77777777" w:rsidR="00EC1C40" w:rsidRDefault="00000000">
            <w:pPr>
              <w:pStyle w:val="Jin0"/>
              <w:framePr w:w="7008" w:h="5256" w:wrap="none" w:vAnchor="page" w:hAnchor="page" w:x="2223" w:y="8986"/>
              <w:spacing w:after="0"/>
              <w:ind w:firstLine="600"/>
            </w:pPr>
            <w:r>
              <w:rPr>
                <w:b/>
                <w:bCs/>
              </w:rPr>
              <w:t>18 360,60 m</w:t>
            </w:r>
            <w:r>
              <w:rPr>
                <w:b/>
                <w:bCs/>
                <w:vertAlign w:val="superscript"/>
              </w:rPr>
              <w:t>3</w:t>
            </w:r>
          </w:p>
        </w:tc>
      </w:tr>
    </w:tbl>
    <w:p w14:paraId="6C907B97" w14:textId="77777777" w:rsidR="00EC1C40" w:rsidRDefault="00000000">
      <w:pPr>
        <w:pStyle w:val="Zkladntext1"/>
        <w:framePr w:w="9130" w:h="1114" w:hRule="exact" w:wrap="none" w:vAnchor="page" w:hAnchor="page" w:x="1513" w:y="14439"/>
        <w:spacing w:after="160" w:line="276" w:lineRule="auto"/>
        <w:ind w:firstLine="700"/>
        <w:jc w:val="both"/>
      </w:pPr>
      <w:r>
        <w:t>Společné ustanovení k bodu 1. písm. a. a b. výše:</w:t>
      </w:r>
    </w:p>
    <w:p w14:paraId="7DE234B5" w14:textId="77777777" w:rsidR="00EC1C40" w:rsidRDefault="00000000">
      <w:pPr>
        <w:pStyle w:val="Zkladntext1"/>
        <w:framePr w:w="9130" w:h="1114" w:hRule="exact" w:wrap="none" w:vAnchor="page" w:hAnchor="page" w:x="1513" w:y="14439"/>
        <w:spacing w:after="0" w:line="276" w:lineRule="auto"/>
        <w:ind w:left="700" w:firstLine="40"/>
        <w:jc w:val="both"/>
      </w:pPr>
      <w:r>
        <w:t>U Arény, Tréninkové haly, Parkovacího domu, Hotelu a Showroomu je povoleno (u každého z těchto objektů) navýšení zastavěné plochy a/nebo obestavěného prostoru maximálně o 5%</w:t>
      </w:r>
    </w:p>
    <w:p w14:paraId="6A0CF079"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0D724161" w14:textId="77777777" w:rsidR="00EC1C40" w:rsidRDefault="00EC1C40">
      <w:pPr>
        <w:spacing w:line="1" w:lineRule="exact"/>
      </w:pPr>
    </w:p>
    <w:p w14:paraId="7342DD88" w14:textId="1D4ABE97" w:rsidR="00EC1C40" w:rsidRDefault="00000000">
      <w:pPr>
        <w:pStyle w:val="Zkladntext1"/>
        <w:framePr w:w="9130" w:h="12307" w:hRule="exact" w:wrap="none" w:vAnchor="page" w:hAnchor="page" w:x="1513" w:y="1685"/>
        <w:spacing w:after="140" w:line="276" w:lineRule="auto"/>
        <w:ind w:left="700"/>
        <w:jc w:val="both"/>
      </w:pPr>
      <w:r>
        <w:t xml:space="preserve">(u každého z těchto kritérií a u každého z těchto objektů), pokud tím nejsou dotčeny další sjednané základní parametry, zejména v bodě 2 (parametry dle Územní studie). Navýšení kapacity jednotlivých objektů a/nebo </w:t>
      </w:r>
      <w:r w:rsidR="000E05C6">
        <w:t>Investičního</w:t>
      </w:r>
      <w:r>
        <w:t xml:space="preserve"> záměru jako celku nad tyto povolené odchylky vyžaduje souhlas SMP dle Plánovací smlouvy (ledaže se jedná o povolené odchylky nebo marginální odchylky ve smyslu čl. 3.4. a čl. 3.5. Plánovací smlouvy).</w:t>
      </w:r>
    </w:p>
    <w:p w14:paraId="6739AC8E" w14:textId="77777777" w:rsidR="00EC1C40" w:rsidRDefault="00000000">
      <w:pPr>
        <w:pStyle w:val="Nadpis60"/>
        <w:framePr w:w="9130" w:h="12307" w:hRule="exact" w:wrap="none" w:vAnchor="page" w:hAnchor="page" w:x="1513" w:y="1685"/>
        <w:numPr>
          <w:ilvl w:val="0"/>
          <w:numId w:val="8"/>
        </w:numPr>
        <w:tabs>
          <w:tab w:val="left" w:pos="730"/>
        </w:tabs>
        <w:spacing w:after="0" w:line="276" w:lineRule="auto"/>
        <w:ind w:left="720" w:hanging="340"/>
        <w:jc w:val="both"/>
      </w:pPr>
      <w:bookmarkStart w:id="36" w:name="bookmark73"/>
      <w:r>
        <w:t>Investiční záměr jako celek i jednotlivé objekty budou v souladu s Územní studií „Nová Cihelna 2024“, a to v části:</w:t>
      </w:r>
      <w:bookmarkEnd w:id="36"/>
    </w:p>
    <w:p w14:paraId="2A9DB10F" w14:textId="77777777" w:rsidR="00EC1C40" w:rsidRDefault="00000000">
      <w:pPr>
        <w:pStyle w:val="Zkladntext1"/>
        <w:framePr w:w="9130" w:h="12307" w:hRule="exact" w:wrap="none" w:vAnchor="page" w:hAnchor="page" w:x="1513" w:y="1685"/>
        <w:spacing w:after="0" w:line="276" w:lineRule="auto"/>
        <w:ind w:left="1460" w:hanging="360"/>
        <w:jc w:val="both"/>
      </w:pPr>
      <w:r>
        <w:t xml:space="preserve">a. Regulační výkres (příloha 08 Studie a závazné </w:t>
      </w:r>
      <w:proofErr w:type="spellStart"/>
      <w:r>
        <w:t>regulatívy</w:t>
      </w:r>
      <w:proofErr w:type="spellEnd"/>
      <w:r>
        <w:t xml:space="preserve"> dle textu ÚS (str. 10 - 13 textové částí Územní studie, tj. až po definici pojmu „Plovoucí poloha ulice“ včetně)), tj. zejména:</w:t>
      </w:r>
    </w:p>
    <w:p w14:paraId="7E9E4E62" w14:textId="77777777" w:rsidR="00EC1C40" w:rsidRDefault="00000000">
      <w:pPr>
        <w:pStyle w:val="Zkladntext1"/>
        <w:framePr w:w="9130" w:h="12307" w:hRule="exact" w:wrap="none" w:vAnchor="page" w:hAnchor="page" w:x="1513" w:y="1685"/>
        <w:numPr>
          <w:ilvl w:val="0"/>
          <w:numId w:val="11"/>
        </w:numPr>
        <w:tabs>
          <w:tab w:val="left" w:pos="2141"/>
        </w:tabs>
        <w:spacing w:after="0" w:line="276" w:lineRule="auto"/>
        <w:ind w:left="1840"/>
        <w:jc w:val="both"/>
      </w:pPr>
      <w:r>
        <w:t>Polohové a výškové parametry jednotlivých objektů</w:t>
      </w:r>
    </w:p>
    <w:p w14:paraId="1A31FFD0" w14:textId="77777777" w:rsidR="00EC1C40" w:rsidRDefault="00000000">
      <w:pPr>
        <w:pStyle w:val="Zkladntext1"/>
        <w:framePr w:w="9130" w:h="12307" w:hRule="exact" w:wrap="none" w:vAnchor="page" w:hAnchor="page" w:x="1513" w:y="1685"/>
        <w:numPr>
          <w:ilvl w:val="0"/>
          <w:numId w:val="11"/>
        </w:numPr>
        <w:tabs>
          <w:tab w:val="left" w:pos="2153"/>
        </w:tabs>
        <w:spacing w:after="0" w:line="276" w:lineRule="auto"/>
        <w:ind w:left="2180" w:hanging="320"/>
        <w:jc w:val="both"/>
      </w:pPr>
      <w:r>
        <w:t>Základní šířkové parametry uličních profilů včetně požadovaných počtů parkovacích míst a počtu stromů v uličních profilech</w:t>
      </w:r>
    </w:p>
    <w:p w14:paraId="0B2F8BEF" w14:textId="77777777" w:rsidR="00EC1C40" w:rsidRDefault="00000000">
      <w:pPr>
        <w:pStyle w:val="Nadpis60"/>
        <w:framePr w:w="9130" w:h="12307" w:hRule="exact" w:wrap="none" w:vAnchor="page" w:hAnchor="page" w:x="1513" w:y="1685"/>
        <w:numPr>
          <w:ilvl w:val="0"/>
          <w:numId w:val="8"/>
        </w:numPr>
        <w:tabs>
          <w:tab w:val="left" w:pos="730"/>
        </w:tabs>
        <w:spacing w:after="0" w:line="276" w:lineRule="auto"/>
        <w:ind w:left="1100" w:hanging="720"/>
        <w:jc w:val="both"/>
      </w:pPr>
      <w:bookmarkStart w:id="37" w:name="bookmark75"/>
      <w:r>
        <w:t xml:space="preserve">Součásti záměru budou vždy Klíčové objekty, při dodržení všech dále uvedených vlastnosti: </w:t>
      </w:r>
      <w:r>
        <w:rPr>
          <w:b w:val="0"/>
          <w:bCs w:val="0"/>
        </w:rPr>
        <w:t xml:space="preserve">a. </w:t>
      </w:r>
      <w:r>
        <w:t>Aréna</w:t>
      </w:r>
      <w:r>
        <w:rPr>
          <w:b w:val="0"/>
          <w:bCs w:val="0"/>
        </w:rPr>
        <w:t>:</w:t>
      </w:r>
      <w:bookmarkEnd w:id="37"/>
    </w:p>
    <w:p w14:paraId="3A17FA3C" w14:textId="77777777" w:rsidR="00EC1C40" w:rsidRDefault="00000000">
      <w:pPr>
        <w:pStyle w:val="Zkladntext1"/>
        <w:framePr w:w="9130" w:h="12307" w:hRule="exact" w:wrap="none" w:vAnchor="page" w:hAnchor="page" w:x="1513" w:y="1685"/>
        <w:numPr>
          <w:ilvl w:val="0"/>
          <w:numId w:val="12"/>
        </w:numPr>
        <w:tabs>
          <w:tab w:val="left" w:pos="2141"/>
        </w:tabs>
        <w:spacing w:after="0" w:line="276" w:lineRule="auto"/>
        <w:ind w:left="2180" w:hanging="320"/>
        <w:jc w:val="both"/>
      </w:pPr>
      <w:r>
        <w:t xml:space="preserve">Funkce: Aréna určena zejména pro konání kulturních a sportovních akcí (primárně lední hokej), s kapacitou 22 300 diváků pro zápasy ledního hokeje (možná odchylka +/- 1000 diváků) a kapacitou až 25 000 diváků při konání kulturních či sportovních akcí s využitím „ledové plochy“ (možná odchylka </w:t>
      </w:r>
      <w:r>
        <w:rPr>
          <w:lang w:val="en-US" w:eastAsia="en-US" w:bidi="en-US"/>
        </w:rPr>
        <w:t>+/</w:t>
      </w:r>
      <w:r>
        <w:rPr>
          <w:lang w:val="en-US" w:eastAsia="en-US" w:bidi="en-US"/>
        </w:rPr>
        <w:softHyphen/>
        <w:t>1000</w:t>
      </w:r>
      <w:r>
        <w:t xml:space="preserve"> diváků); součástí Arény je dále také bazén s </w:t>
      </w:r>
      <w:r>
        <w:rPr>
          <w:lang w:val="en-US" w:eastAsia="en-US" w:bidi="en-US"/>
        </w:rPr>
        <w:t>wellness</w:t>
      </w:r>
    </w:p>
    <w:p w14:paraId="44E7A24B" w14:textId="77777777" w:rsidR="00EC1C40" w:rsidRDefault="00000000">
      <w:pPr>
        <w:pStyle w:val="Zkladntext1"/>
        <w:framePr w:w="9130" w:h="12307" w:hRule="exact" w:wrap="none" w:vAnchor="page" w:hAnchor="page" w:x="1513" w:y="1685"/>
        <w:numPr>
          <w:ilvl w:val="0"/>
          <w:numId w:val="12"/>
        </w:numPr>
        <w:tabs>
          <w:tab w:val="left" w:pos="2141"/>
        </w:tabs>
        <w:spacing w:after="0" w:line="276" w:lineRule="auto"/>
        <w:ind w:left="1840"/>
        <w:jc w:val="both"/>
      </w:pPr>
      <w:r>
        <w:t xml:space="preserve">Parkovací stání </w:t>
      </w:r>
      <w:r>
        <w:rPr>
          <w:lang w:val="en-US" w:eastAsia="en-US" w:bidi="en-US"/>
        </w:rPr>
        <w:t xml:space="preserve">v </w:t>
      </w:r>
      <w:r>
        <w:t xml:space="preserve">Aréně: </w:t>
      </w:r>
      <w:r>
        <w:rPr>
          <w:lang w:val="en-US" w:eastAsia="en-US" w:bidi="en-US"/>
        </w:rPr>
        <w:t xml:space="preserve">850, </w:t>
      </w:r>
      <w:r>
        <w:t xml:space="preserve">povolená </w:t>
      </w:r>
      <w:proofErr w:type="spellStart"/>
      <w:r>
        <w:rPr>
          <w:lang w:val="en-US" w:eastAsia="en-US" w:bidi="en-US"/>
        </w:rPr>
        <w:t>odchylka</w:t>
      </w:r>
      <w:proofErr w:type="spellEnd"/>
      <w:r>
        <w:rPr>
          <w:lang w:val="en-US" w:eastAsia="en-US" w:bidi="en-US"/>
        </w:rPr>
        <w:t xml:space="preserve"> +/- 20%</w:t>
      </w:r>
    </w:p>
    <w:p w14:paraId="0549F091" w14:textId="77777777" w:rsidR="00EC1C40" w:rsidRDefault="00000000">
      <w:pPr>
        <w:pStyle w:val="Zkladntext1"/>
        <w:framePr w:w="9130" w:h="12307" w:hRule="exact" w:wrap="none" w:vAnchor="page" w:hAnchor="page" w:x="1513" w:y="1685"/>
        <w:numPr>
          <w:ilvl w:val="0"/>
          <w:numId w:val="13"/>
        </w:numPr>
        <w:tabs>
          <w:tab w:val="left" w:pos="1446"/>
        </w:tabs>
        <w:spacing w:after="0" w:line="276" w:lineRule="auto"/>
        <w:ind w:left="1100"/>
        <w:jc w:val="both"/>
      </w:pPr>
      <w:r>
        <w:rPr>
          <w:b/>
          <w:bCs/>
        </w:rPr>
        <w:t xml:space="preserve">Tréninková </w:t>
      </w:r>
      <w:proofErr w:type="spellStart"/>
      <w:r>
        <w:rPr>
          <w:b/>
          <w:bCs/>
          <w:lang w:val="en-US" w:eastAsia="en-US" w:bidi="en-US"/>
        </w:rPr>
        <w:t>hala</w:t>
      </w:r>
      <w:proofErr w:type="spellEnd"/>
      <w:r>
        <w:rPr>
          <w:lang w:val="en-US" w:eastAsia="en-US" w:bidi="en-US"/>
        </w:rPr>
        <w:t>:</w:t>
      </w:r>
    </w:p>
    <w:p w14:paraId="009E8B93" w14:textId="77777777" w:rsidR="00EC1C40" w:rsidRDefault="00000000">
      <w:pPr>
        <w:pStyle w:val="Zkladntext1"/>
        <w:framePr w:w="9130" w:h="12307" w:hRule="exact" w:wrap="none" w:vAnchor="page" w:hAnchor="page" w:x="1513" w:y="1685"/>
        <w:numPr>
          <w:ilvl w:val="0"/>
          <w:numId w:val="14"/>
        </w:numPr>
        <w:tabs>
          <w:tab w:val="left" w:pos="2141"/>
        </w:tabs>
        <w:spacing w:after="0" w:line="276" w:lineRule="auto"/>
        <w:ind w:left="2180" w:hanging="320"/>
        <w:jc w:val="both"/>
      </w:pPr>
      <w:proofErr w:type="spellStart"/>
      <w:r>
        <w:rPr>
          <w:lang w:val="en-US" w:eastAsia="en-US" w:bidi="en-US"/>
        </w:rPr>
        <w:t>Funkce</w:t>
      </w:r>
      <w:proofErr w:type="spellEnd"/>
      <w:r>
        <w:rPr>
          <w:lang w:val="en-US" w:eastAsia="en-US" w:bidi="en-US"/>
        </w:rPr>
        <w:t xml:space="preserve">: </w:t>
      </w:r>
      <w:r>
        <w:t xml:space="preserve">Tréninková </w:t>
      </w:r>
      <w:proofErr w:type="spellStart"/>
      <w:r>
        <w:rPr>
          <w:lang w:val="en-US" w:eastAsia="en-US" w:bidi="en-US"/>
        </w:rPr>
        <w:t>hala</w:t>
      </w:r>
      <w:proofErr w:type="spellEnd"/>
      <w:r>
        <w:rPr>
          <w:lang w:val="en-US" w:eastAsia="en-US" w:bidi="en-US"/>
        </w:rPr>
        <w:t xml:space="preserve"> s </w:t>
      </w:r>
      <w:proofErr w:type="spellStart"/>
      <w:r>
        <w:rPr>
          <w:lang w:val="en-US" w:eastAsia="en-US" w:bidi="en-US"/>
        </w:rPr>
        <w:t>ledovou</w:t>
      </w:r>
      <w:proofErr w:type="spellEnd"/>
      <w:r>
        <w:rPr>
          <w:lang w:val="en-US" w:eastAsia="en-US" w:bidi="en-US"/>
        </w:rPr>
        <w:t xml:space="preserve"> </w:t>
      </w:r>
      <w:proofErr w:type="spellStart"/>
      <w:r>
        <w:rPr>
          <w:lang w:val="en-US" w:eastAsia="en-US" w:bidi="en-US"/>
        </w:rPr>
        <w:t>plochou</w:t>
      </w:r>
      <w:proofErr w:type="spellEnd"/>
      <w:r>
        <w:rPr>
          <w:lang w:val="en-US" w:eastAsia="en-US" w:bidi="en-US"/>
        </w:rPr>
        <w:t xml:space="preserve"> a </w:t>
      </w:r>
      <w:r>
        <w:t xml:space="preserve">zázemím, určena také </w:t>
      </w:r>
      <w:r>
        <w:rPr>
          <w:lang w:val="en-US" w:eastAsia="en-US" w:bidi="en-US"/>
        </w:rPr>
        <w:t xml:space="preserve">pro </w:t>
      </w:r>
      <w:r>
        <w:t xml:space="preserve">pořádní sportovních </w:t>
      </w:r>
      <w:r>
        <w:rPr>
          <w:lang w:val="en-US" w:eastAsia="en-US" w:bidi="en-US"/>
        </w:rPr>
        <w:t xml:space="preserve">a </w:t>
      </w:r>
      <w:r>
        <w:t xml:space="preserve">kulturních akcí, případně </w:t>
      </w:r>
      <w:r>
        <w:rPr>
          <w:lang w:val="en-US" w:eastAsia="en-US" w:bidi="en-US"/>
        </w:rPr>
        <w:t xml:space="preserve">pro </w:t>
      </w:r>
      <w:r>
        <w:t xml:space="preserve">pořádání kongresů, výstav </w:t>
      </w:r>
      <w:r>
        <w:rPr>
          <w:lang w:val="en-US" w:eastAsia="en-US" w:bidi="en-US"/>
        </w:rPr>
        <w:t xml:space="preserve">a </w:t>
      </w:r>
      <w:r>
        <w:t xml:space="preserve">veletrhů </w:t>
      </w:r>
      <w:r>
        <w:rPr>
          <w:lang w:val="en-US" w:eastAsia="en-US" w:bidi="en-US"/>
        </w:rPr>
        <w:t>(</w:t>
      </w:r>
      <w:proofErr w:type="spellStart"/>
      <w:r>
        <w:rPr>
          <w:lang w:val="en-US" w:eastAsia="en-US" w:bidi="en-US"/>
        </w:rPr>
        <w:t>kapacita</w:t>
      </w:r>
      <w:proofErr w:type="spellEnd"/>
      <w:r>
        <w:rPr>
          <w:lang w:val="en-US" w:eastAsia="en-US" w:bidi="en-US"/>
        </w:rPr>
        <w:t xml:space="preserve"> pro </w:t>
      </w:r>
      <w:r>
        <w:t xml:space="preserve">hokejové utkání </w:t>
      </w:r>
      <w:r>
        <w:rPr>
          <w:lang w:val="en-US" w:eastAsia="en-US" w:bidi="en-US"/>
        </w:rPr>
        <w:t xml:space="preserve">1700 </w:t>
      </w:r>
      <w:r>
        <w:t xml:space="preserve">diváků; možná </w:t>
      </w:r>
      <w:proofErr w:type="spellStart"/>
      <w:r>
        <w:rPr>
          <w:lang w:val="en-US" w:eastAsia="en-US" w:bidi="en-US"/>
        </w:rPr>
        <w:t>odchylka</w:t>
      </w:r>
      <w:proofErr w:type="spellEnd"/>
      <w:r>
        <w:rPr>
          <w:lang w:val="en-US" w:eastAsia="en-US" w:bidi="en-US"/>
        </w:rPr>
        <w:t xml:space="preserve"> +/- 300 </w:t>
      </w:r>
      <w:r>
        <w:t>diváků)</w:t>
      </w:r>
    </w:p>
    <w:p w14:paraId="5D5D2FE9" w14:textId="77777777" w:rsidR="00EC1C40" w:rsidRDefault="00000000">
      <w:pPr>
        <w:pStyle w:val="Zkladntext1"/>
        <w:framePr w:w="9130" w:h="12307" w:hRule="exact" w:wrap="none" w:vAnchor="page" w:hAnchor="page" w:x="1513" w:y="1685"/>
        <w:numPr>
          <w:ilvl w:val="0"/>
          <w:numId w:val="14"/>
        </w:numPr>
        <w:tabs>
          <w:tab w:val="left" w:pos="2141"/>
        </w:tabs>
        <w:spacing w:after="0" w:line="276" w:lineRule="auto"/>
        <w:ind w:left="1840"/>
        <w:jc w:val="both"/>
      </w:pPr>
      <w:r>
        <w:t xml:space="preserve">Parkovací stání: </w:t>
      </w:r>
      <w:r>
        <w:rPr>
          <w:lang w:val="en-US" w:eastAsia="en-US" w:bidi="en-US"/>
        </w:rPr>
        <w:t xml:space="preserve">188, </w:t>
      </w:r>
      <w:r>
        <w:t xml:space="preserve">povolená </w:t>
      </w:r>
      <w:proofErr w:type="spellStart"/>
      <w:r>
        <w:rPr>
          <w:lang w:val="en-US" w:eastAsia="en-US" w:bidi="en-US"/>
        </w:rPr>
        <w:t>odchylka</w:t>
      </w:r>
      <w:proofErr w:type="spellEnd"/>
      <w:r>
        <w:rPr>
          <w:lang w:val="en-US" w:eastAsia="en-US" w:bidi="en-US"/>
        </w:rPr>
        <w:t xml:space="preserve"> +/- 20%</w:t>
      </w:r>
    </w:p>
    <w:p w14:paraId="5B03EF9C" w14:textId="77777777" w:rsidR="00EC1C40" w:rsidRDefault="00000000">
      <w:pPr>
        <w:pStyle w:val="Zkladntext1"/>
        <w:framePr w:w="9130" w:h="12307" w:hRule="exact" w:wrap="none" w:vAnchor="page" w:hAnchor="page" w:x="1513" w:y="1685"/>
        <w:numPr>
          <w:ilvl w:val="0"/>
          <w:numId w:val="13"/>
        </w:numPr>
        <w:tabs>
          <w:tab w:val="left" w:pos="1446"/>
        </w:tabs>
        <w:spacing w:after="0" w:line="276" w:lineRule="auto"/>
        <w:ind w:left="1100"/>
        <w:jc w:val="both"/>
      </w:pPr>
      <w:r>
        <w:rPr>
          <w:b/>
          <w:bCs/>
        </w:rPr>
        <w:t>Parkovací dům</w:t>
      </w:r>
      <w:r>
        <w:t>:</w:t>
      </w:r>
    </w:p>
    <w:p w14:paraId="410C238A" w14:textId="25FD394F" w:rsidR="00EC1C40" w:rsidRDefault="00000000">
      <w:pPr>
        <w:pStyle w:val="Zkladntext1"/>
        <w:framePr w:w="9130" w:h="12307" w:hRule="exact" w:wrap="none" w:vAnchor="page" w:hAnchor="page" w:x="1513" w:y="1685"/>
        <w:numPr>
          <w:ilvl w:val="0"/>
          <w:numId w:val="15"/>
        </w:numPr>
        <w:tabs>
          <w:tab w:val="left" w:pos="2141"/>
        </w:tabs>
        <w:spacing w:after="0" w:line="276" w:lineRule="auto"/>
        <w:ind w:left="2180" w:hanging="320"/>
        <w:jc w:val="both"/>
      </w:pPr>
      <w:r>
        <w:t xml:space="preserve">Funkce: Parkovací dům pro potřeby provozu </w:t>
      </w:r>
      <w:r w:rsidR="000E05C6">
        <w:t>Investičního</w:t>
      </w:r>
      <w:r>
        <w:t xml:space="preserve"> záměru, obchodní plochy v přízemí Parkovacího domu, provozní technologie Arény (umístěna zejména na střeše objektu). Parkovací dům je připraven pro využití potenciálně i jako objekt „P+R“, pokud se na tom SMP a Investor dohodnou</w:t>
      </w:r>
    </w:p>
    <w:p w14:paraId="09BC463E" w14:textId="77777777" w:rsidR="00EC1C40" w:rsidRDefault="00000000">
      <w:pPr>
        <w:pStyle w:val="Zkladntext1"/>
        <w:framePr w:w="9130" w:h="12307" w:hRule="exact" w:wrap="none" w:vAnchor="page" w:hAnchor="page" w:x="1513" w:y="1685"/>
        <w:numPr>
          <w:ilvl w:val="0"/>
          <w:numId w:val="15"/>
        </w:numPr>
        <w:tabs>
          <w:tab w:val="left" w:pos="2141"/>
        </w:tabs>
        <w:spacing w:after="0" w:line="276" w:lineRule="auto"/>
        <w:ind w:left="1840"/>
        <w:jc w:val="both"/>
      </w:pPr>
      <w:r>
        <w:t>Počet krytých parkovacích stání: 2 010, povolená odchylka -10%, +20%</w:t>
      </w:r>
    </w:p>
    <w:p w14:paraId="16DF7B96" w14:textId="77777777" w:rsidR="00EC1C40" w:rsidRDefault="00000000">
      <w:pPr>
        <w:pStyle w:val="Zkladntext1"/>
        <w:framePr w:w="9130" w:h="12307" w:hRule="exact" w:wrap="none" w:vAnchor="page" w:hAnchor="page" w:x="1513" w:y="1685"/>
        <w:numPr>
          <w:ilvl w:val="0"/>
          <w:numId w:val="15"/>
        </w:numPr>
        <w:tabs>
          <w:tab w:val="left" w:pos="346"/>
        </w:tabs>
        <w:spacing w:after="0" w:line="276" w:lineRule="auto"/>
        <w:jc w:val="center"/>
      </w:pPr>
      <w:r>
        <w:t xml:space="preserve">Součástí bude i vnitřní </w:t>
      </w:r>
      <w:proofErr w:type="spellStart"/>
      <w:r>
        <w:t>cykloparking</w:t>
      </w:r>
      <w:proofErr w:type="spellEnd"/>
      <w:r>
        <w:t xml:space="preserve"> o ploše min. 200 m</w:t>
      </w:r>
      <w:r>
        <w:rPr>
          <w:vertAlign w:val="superscript"/>
        </w:rPr>
        <w:t>2</w:t>
      </w:r>
    </w:p>
    <w:p w14:paraId="1694F2C6" w14:textId="77777777" w:rsidR="00EC1C40" w:rsidRDefault="00000000">
      <w:pPr>
        <w:pStyle w:val="Zkladntext1"/>
        <w:framePr w:w="9130" w:h="12307" w:hRule="exact" w:wrap="none" w:vAnchor="page" w:hAnchor="page" w:x="1513" w:y="1685"/>
        <w:numPr>
          <w:ilvl w:val="0"/>
          <w:numId w:val="13"/>
        </w:numPr>
        <w:tabs>
          <w:tab w:val="left" w:pos="1446"/>
        </w:tabs>
        <w:spacing w:after="0" w:line="276" w:lineRule="auto"/>
        <w:ind w:left="1100"/>
        <w:jc w:val="both"/>
      </w:pPr>
      <w:r>
        <w:rPr>
          <w:b/>
          <w:bCs/>
        </w:rPr>
        <w:t>Hotel</w:t>
      </w:r>
      <w:r>
        <w:t>:</w:t>
      </w:r>
    </w:p>
    <w:p w14:paraId="6B326221" w14:textId="77777777" w:rsidR="00EC1C40" w:rsidRDefault="00000000">
      <w:pPr>
        <w:pStyle w:val="Zkladntext1"/>
        <w:framePr w:w="9130" w:h="12307" w:hRule="exact" w:wrap="none" w:vAnchor="page" w:hAnchor="page" w:x="1513" w:y="1685"/>
        <w:numPr>
          <w:ilvl w:val="0"/>
          <w:numId w:val="16"/>
        </w:numPr>
        <w:tabs>
          <w:tab w:val="left" w:pos="2141"/>
        </w:tabs>
        <w:spacing w:after="0" w:line="276" w:lineRule="auto"/>
        <w:ind w:left="2180" w:hanging="320"/>
        <w:jc w:val="both"/>
      </w:pPr>
      <w:r>
        <w:t xml:space="preserve">Funkce: Ubytovací zařízení (hotel) s kapacitou 500 lůžek (možná odchylka </w:t>
      </w:r>
      <w:r>
        <w:rPr>
          <w:lang w:val="en-US" w:eastAsia="en-US" w:bidi="en-US"/>
        </w:rPr>
        <w:t>+/</w:t>
      </w:r>
      <w:r>
        <w:rPr>
          <w:lang w:val="en-US" w:eastAsia="en-US" w:bidi="en-US"/>
        </w:rPr>
        <w:softHyphen/>
        <w:t>10%),</w:t>
      </w:r>
      <w:r>
        <w:t xml:space="preserve"> kongresové sály v přízemí s celkovou kapacitou až 1000 osob (zahrnuje minimálně 3 sály o kapacitě 150 osob)</w:t>
      </w:r>
    </w:p>
    <w:p w14:paraId="06EB81C8" w14:textId="77777777" w:rsidR="00EC1C40" w:rsidRDefault="00000000">
      <w:pPr>
        <w:pStyle w:val="Zkladntext1"/>
        <w:framePr w:w="9130" w:h="12307" w:hRule="exact" w:wrap="none" w:vAnchor="page" w:hAnchor="page" w:x="1513" w:y="1685"/>
        <w:numPr>
          <w:ilvl w:val="0"/>
          <w:numId w:val="16"/>
        </w:numPr>
        <w:tabs>
          <w:tab w:val="left" w:pos="2141"/>
        </w:tabs>
        <w:spacing w:after="0" w:line="276" w:lineRule="auto"/>
        <w:ind w:left="1840"/>
        <w:jc w:val="both"/>
      </w:pPr>
      <w:r>
        <w:t>Parkovací stání v hotelu: 124, povolená odchylka: +/- 20%</w:t>
      </w:r>
    </w:p>
    <w:p w14:paraId="13DE7774"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58994D8B" w14:textId="77777777" w:rsidR="00EC1C40" w:rsidRDefault="00EC1C40">
      <w:pPr>
        <w:spacing w:line="1" w:lineRule="exact"/>
      </w:pPr>
    </w:p>
    <w:p w14:paraId="0C40B460" w14:textId="77777777" w:rsidR="00EC1C40" w:rsidRDefault="00000000">
      <w:pPr>
        <w:pStyle w:val="Zkladntext80"/>
        <w:framePr w:w="9130" w:h="638" w:hRule="exact" w:wrap="none" w:vAnchor="page" w:hAnchor="page" w:x="1513" w:y="5079"/>
        <w:rPr>
          <w:sz w:val="50"/>
          <w:szCs w:val="50"/>
        </w:rPr>
      </w:pPr>
      <w:r>
        <w:t>Příloh</w:t>
      </w:r>
      <w:r>
        <w:rPr>
          <w:rFonts w:ascii="Calibri" w:eastAsia="Calibri" w:hAnsi="Calibri" w:cs="Calibri"/>
          <w:b/>
          <w:bCs/>
          <w:smallCaps/>
          <w:sz w:val="50"/>
          <w:szCs w:val="50"/>
        </w:rPr>
        <w:t>a</w:t>
      </w:r>
      <w:r>
        <w:t xml:space="preserve"> č. </w:t>
      </w:r>
      <w:r>
        <w:rPr>
          <w:rFonts w:ascii="Calibri" w:eastAsia="Calibri" w:hAnsi="Calibri" w:cs="Calibri"/>
          <w:b/>
          <w:bCs/>
          <w:smallCaps/>
          <w:sz w:val="50"/>
          <w:szCs w:val="50"/>
        </w:rPr>
        <w:t>2</w:t>
      </w:r>
    </w:p>
    <w:p w14:paraId="2954896A"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2B286660" w14:textId="77777777" w:rsidR="00EC1C40" w:rsidRDefault="00EC1C40">
      <w:pPr>
        <w:spacing w:line="1" w:lineRule="exact"/>
      </w:pPr>
    </w:p>
    <w:p w14:paraId="47EC3390" w14:textId="77777777" w:rsidR="00EC1C40" w:rsidRDefault="00000000">
      <w:pPr>
        <w:pStyle w:val="Nadpis60"/>
        <w:framePr w:w="9115" w:h="739" w:hRule="exact" w:wrap="none" w:vAnchor="page" w:hAnchor="page" w:x="1517" w:y="1685"/>
        <w:spacing w:after="180"/>
      </w:pPr>
      <w:bookmarkStart w:id="38" w:name="bookmark77"/>
      <w:r>
        <w:t>Příloha č. 2 - Adaptační opatření a LEED</w:t>
      </w:r>
      <w:bookmarkEnd w:id="38"/>
    </w:p>
    <w:p w14:paraId="4B82E81D" w14:textId="77777777" w:rsidR="00EC1C40" w:rsidRDefault="00000000">
      <w:pPr>
        <w:pStyle w:val="Zkladntext1"/>
        <w:framePr w:w="9115" w:h="739" w:hRule="exact" w:wrap="none" w:vAnchor="page" w:hAnchor="page" w:x="1517" w:y="1685"/>
        <w:spacing w:after="0"/>
      </w:pPr>
      <w:r>
        <w:t>Realizace projektu v souladu s certifikací LEED</w:t>
      </w:r>
    </w:p>
    <w:p w14:paraId="780F8157" w14:textId="77777777" w:rsidR="00EC1C40" w:rsidRDefault="00000000">
      <w:pPr>
        <w:pStyle w:val="Zkladntext1"/>
        <w:framePr w:w="9115" w:h="12749" w:hRule="exact" w:wrap="none" w:vAnchor="page" w:hAnchor="page" w:x="1517" w:y="2597"/>
        <w:numPr>
          <w:ilvl w:val="0"/>
          <w:numId w:val="17"/>
        </w:numPr>
        <w:tabs>
          <w:tab w:val="left" w:pos="740"/>
        </w:tabs>
        <w:spacing w:after="0"/>
        <w:ind w:firstLine="380"/>
      </w:pPr>
      <w:r>
        <w:rPr>
          <w:color w:val="0069B4"/>
        </w:rPr>
        <w:t xml:space="preserve">certifikace LEED v4-v4.1 na úrovni </w:t>
      </w:r>
      <w:r>
        <w:rPr>
          <w:color w:val="0069B4"/>
          <w:lang w:val="en-US" w:eastAsia="en-US" w:bidi="en-US"/>
        </w:rPr>
        <w:t>GOLD</w:t>
      </w:r>
    </w:p>
    <w:p w14:paraId="05E1DA86" w14:textId="77777777" w:rsidR="00EC1C40" w:rsidRDefault="00000000">
      <w:pPr>
        <w:pStyle w:val="Zkladntext1"/>
        <w:framePr w:w="9115" w:h="12749" w:hRule="exact" w:wrap="none" w:vAnchor="page" w:hAnchor="page" w:x="1517" w:y="2597"/>
        <w:numPr>
          <w:ilvl w:val="0"/>
          <w:numId w:val="17"/>
        </w:numPr>
        <w:tabs>
          <w:tab w:val="left" w:pos="740"/>
        </w:tabs>
        <w:spacing w:after="260"/>
        <w:ind w:firstLine="380"/>
      </w:pPr>
      <w:r>
        <w:rPr>
          <w:color w:val="0069B4"/>
        </w:rPr>
        <w:t>Rozsah certifikace LEED jsou budovy Aréna, Tréninková hala, Hotel a venkovní území LEED</w:t>
      </w:r>
    </w:p>
    <w:p w14:paraId="4488FA28" w14:textId="77777777" w:rsidR="00EC1C40" w:rsidRDefault="00000000">
      <w:pPr>
        <w:pStyle w:val="Zkladntext1"/>
        <w:framePr w:w="9115" w:h="12749" w:hRule="exact" w:wrap="none" w:vAnchor="page" w:hAnchor="page" w:x="1517" w:y="2597"/>
        <w:spacing w:after="180"/>
      </w:pPr>
      <w:r>
        <w:t>Pokryti části spotřeby elektrické energie záměru pomocí vlastní FVE</w:t>
      </w:r>
    </w:p>
    <w:p w14:paraId="55F1A234" w14:textId="77777777" w:rsidR="00EC1C40" w:rsidRDefault="00000000">
      <w:pPr>
        <w:pStyle w:val="Zkladntext1"/>
        <w:framePr w:w="9115" w:h="12749" w:hRule="exact" w:wrap="none" w:vAnchor="page" w:hAnchor="page" w:x="1517" w:y="2597"/>
        <w:numPr>
          <w:ilvl w:val="0"/>
          <w:numId w:val="17"/>
        </w:numPr>
        <w:tabs>
          <w:tab w:val="left" w:pos="740"/>
        </w:tabs>
        <w:spacing w:after="0"/>
        <w:ind w:firstLine="380"/>
      </w:pPr>
      <w:r>
        <w:rPr>
          <w:color w:val="0069B4"/>
        </w:rPr>
        <w:t>Na střeše objektu Arény budou instalovány FVE výrobny</w:t>
      </w:r>
    </w:p>
    <w:p w14:paraId="31E87E48" w14:textId="77777777" w:rsidR="00EC1C40" w:rsidRDefault="00000000">
      <w:pPr>
        <w:pStyle w:val="Zkladntext1"/>
        <w:framePr w:w="9115" w:h="12749" w:hRule="exact" w:wrap="none" w:vAnchor="page" w:hAnchor="page" w:x="1517" w:y="2597"/>
        <w:numPr>
          <w:ilvl w:val="0"/>
          <w:numId w:val="17"/>
        </w:numPr>
        <w:tabs>
          <w:tab w:val="left" w:pos="740"/>
        </w:tabs>
        <w:spacing w:after="0"/>
        <w:ind w:firstLine="380"/>
      </w:pPr>
      <w:r>
        <w:rPr>
          <w:color w:val="0069B4"/>
        </w:rPr>
        <w:t xml:space="preserve">Celkový výkon FVE výrobny je cca 1.0 </w:t>
      </w:r>
      <w:proofErr w:type="spellStart"/>
      <w:r>
        <w:rPr>
          <w:color w:val="0069B4"/>
        </w:rPr>
        <w:t>MWp</w:t>
      </w:r>
      <w:proofErr w:type="spellEnd"/>
    </w:p>
    <w:p w14:paraId="3F415E62" w14:textId="77777777" w:rsidR="00EC1C40" w:rsidRDefault="00000000">
      <w:pPr>
        <w:pStyle w:val="Zkladntext1"/>
        <w:framePr w:w="9115" w:h="12749" w:hRule="exact" w:wrap="none" w:vAnchor="page" w:hAnchor="page" w:x="1517" w:y="2597"/>
        <w:numPr>
          <w:ilvl w:val="0"/>
          <w:numId w:val="17"/>
        </w:numPr>
        <w:tabs>
          <w:tab w:val="left" w:pos="740"/>
        </w:tabs>
        <w:spacing w:after="260"/>
        <w:ind w:firstLine="380"/>
      </w:pPr>
      <w:r>
        <w:rPr>
          <w:color w:val="0069B4"/>
        </w:rPr>
        <w:t xml:space="preserve">Celkový roční energetický výnos je cca 1000 </w:t>
      </w:r>
      <w:proofErr w:type="spellStart"/>
      <w:r>
        <w:rPr>
          <w:color w:val="0069B4"/>
        </w:rPr>
        <w:t>MWh</w:t>
      </w:r>
      <w:proofErr w:type="spellEnd"/>
    </w:p>
    <w:p w14:paraId="49CEA15B" w14:textId="77777777" w:rsidR="00EC1C40" w:rsidRDefault="00000000">
      <w:pPr>
        <w:pStyle w:val="Zkladntext1"/>
        <w:framePr w:w="9115" w:h="12749" w:hRule="exact" w:wrap="none" w:vAnchor="page" w:hAnchor="page" w:x="1517" w:y="2597"/>
        <w:spacing w:after="180"/>
      </w:pPr>
      <w:r>
        <w:t>Snížení energetické náročnosti pomocí zpětného využiti odpadního tepla</w:t>
      </w:r>
    </w:p>
    <w:p w14:paraId="1710EC0A" w14:textId="77777777" w:rsidR="00EC1C40" w:rsidRDefault="00000000">
      <w:pPr>
        <w:pStyle w:val="Zkladntext1"/>
        <w:framePr w:w="9115" w:h="12749" w:hRule="exact" w:wrap="none" w:vAnchor="page" w:hAnchor="page" w:x="1517" w:y="2597"/>
        <w:numPr>
          <w:ilvl w:val="0"/>
          <w:numId w:val="17"/>
        </w:numPr>
        <w:tabs>
          <w:tab w:val="left" w:pos="740"/>
        </w:tabs>
        <w:spacing w:after="0"/>
        <w:ind w:left="720" w:hanging="340"/>
      </w:pPr>
      <w:r>
        <w:rPr>
          <w:color w:val="0069B4"/>
        </w:rPr>
        <w:t>Ledová plocha - Součásti chladicího zařízení bude zařízení pro využiti odpadního tepla z provozu chlazení ledové plochy. Teplo bude využito pro ohřev (předehřev) vody pro rolbu, pro temperaci podloží ledové plochy a dále pro rozpouštění sněhu a ledu ve sněžné jámě. Dále je jedna z kompresorových jednotek navržena pro provozní režim jako „tepelné čerpadlo“, které jako zdroj tepla využívá odpadní kondenzační teplo z chlazení a zajišťuje ohřev vody - toto teplo bude využíváno pro ostatní profese (vytápění, příprava teplé vody)</w:t>
      </w:r>
    </w:p>
    <w:p w14:paraId="7F3BF626" w14:textId="77777777" w:rsidR="00EC1C40" w:rsidRDefault="00000000">
      <w:pPr>
        <w:pStyle w:val="Zkladntext1"/>
        <w:framePr w:w="9115" w:h="12749" w:hRule="exact" w:wrap="none" w:vAnchor="page" w:hAnchor="page" w:x="1517" w:y="2597"/>
        <w:numPr>
          <w:ilvl w:val="0"/>
          <w:numId w:val="17"/>
        </w:numPr>
        <w:tabs>
          <w:tab w:val="left" w:pos="740"/>
        </w:tabs>
        <w:spacing w:after="0"/>
        <w:ind w:left="720" w:hanging="340"/>
      </w:pPr>
      <w:r>
        <w:rPr>
          <w:color w:val="0069B4"/>
        </w:rPr>
        <w:t>Bazénová technologie - je použita technologie ZZV (zpětné získávání vody). Voda není po odtoku z bazénu vypouštěna do kanalizace, ale je jímána v akumulačních nádržích a znovu použita do bazénového okruhu pro maximální zpětný zisk tepla. Tímto dochází k redukci energie pro ohřev. Součásti technologie ZZV je série čisticích a dezinfekčních technologií umožňujících zpětné použiti.</w:t>
      </w:r>
    </w:p>
    <w:p w14:paraId="3A5F0AB0" w14:textId="77777777" w:rsidR="00EC1C40" w:rsidRDefault="00000000">
      <w:pPr>
        <w:pStyle w:val="Zkladntext1"/>
        <w:framePr w:w="9115" w:h="12749" w:hRule="exact" w:wrap="none" w:vAnchor="page" w:hAnchor="page" w:x="1517" w:y="2597"/>
        <w:numPr>
          <w:ilvl w:val="0"/>
          <w:numId w:val="17"/>
        </w:numPr>
        <w:tabs>
          <w:tab w:val="left" w:pos="740"/>
        </w:tabs>
        <w:spacing w:after="0"/>
        <w:ind w:left="720" w:hanging="340"/>
      </w:pPr>
      <w:r>
        <w:rPr>
          <w:color w:val="0069B4"/>
        </w:rPr>
        <w:t>Chlazení gastro - centrální systém chlazení. Jedná se o chladicí technologii, kdy jsou jednotlivé chladicí povinnosti (chladicí boxy, atd) napojeny na jeden společný centrální zdroj chladu. Odvod tepla z centrálního zdroje chladu bude odveden do objektového chladicího (HVAC) zařízení.</w:t>
      </w:r>
    </w:p>
    <w:p w14:paraId="6B29D794" w14:textId="77777777" w:rsidR="00EC1C40" w:rsidRDefault="00000000">
      <w:pPr>
        <w:pStyle w:val="Zkladntext1"/>
        <w:framePr w:w="9115" w:h="12749" w:hRule="exact" w:wrap="none" w:vAnchor="page" w:hAnchor="page" w:x="1517" w:y="2597"/>
        <w:numPr>
          <w:ilvl w:val="0"/>
          <w:numId w:val="17"/>
        </w:numPr>
        <w:tabs>
          <w:tab w:val="left" w:pos="740"/>
        </w:tabs>
        <w:spacing w:after="0"/>
        <w:ind w:left="720" w:hanging="340"/>
      </w:pPr>
      <w:r>
        <w:rPr>
          <w:color w:val="0069B4"/>
        </w:rPr>
        <w:t>Chlazení gastro - samostatná chladící zařízení. Odpadní teplo ze samostatných zařízení bude odváděno do okolního vzduchu. U větších chladicích výkonů bude odpadní teplo, podobně jako u centrálního chlazení odváděno do objektového chladicího (HVAC) zařízení.</w:t>
      </w:r>
    </w:p>
    <w:p w14:paraId="3F403A35" w14:textId="77777777" w:rsidR="00EC1C40" w:rsidRDefault="00000000">
      <w:pPr>
        <w:pStyle w:val="Zkladntext1"/>
        <w:framePr w:w="9115" w:h="12749" w:hRule="exact" w:wrap="none" w:vAnchor="page" w:hAnchor="page" w:x="1517" w:y="2597"/>
        <w:numPr>
          <w:ilvl w:val="0"/>
          <w:numId w:val="17"/>
        </w:numPr>
        <w:tabs>
          <w:tab w:val="left" w:pos="740"/>
        </w:tabs>
        <w:spacing w:after="260"/>
        <w:ind w:left="720" w:hanging="340"/>
      </w:pPr>
      <w:r>
        <w:rPr>
          <w:color w:val="0069B4"/>
        </w:rPr>
        <w:t>Pro větrání Arény Je navržena vzduchotechnika se zpětným získáváním tepla. Je jímáno odpadní teplo z objektových technologií.</w:t>
      </w:r>
    </w:p>
    <w:p w14:paraId="1E05DD65" w14:textId="77777777" w:rsidR="00EC1C40" w:rsidRDefault="00000000">
      <w:pPr>
        <w:pStyle w:val="Zkladntext1"/>
        <w:framePr w:w="9115" w:h="12749" w:hRule="exact" w:wrap="none" w:vAnchor="page" w:hAnchor="page" w:x="1517" w:y="2597"/>
        <w:spacing w:after="180" w:line="257" w:lineRule="auto"/>
      </w:pPr>
      <w:r>
        <w:t>Využiti dešťové vody pro splachování toalet (aréna a hotel) a pro venkovní závlahový systém. Realizace vegetačních střech pro zpomalení povrchového odtoku a možnosti odpařování dešťové vody (zlepšování mikroklima v lokalitě).</w:t>
      </w:r>
    </w:p>
    <w:p w14:paraId="620B32DF" w14:textId="77777777" w:rsidR="00EC1C40" w:rsidRDefault="00000000">
      <w:pPr>
        <w:pStyle w:val="Zkladntext1"/>
        <w:framePr w:w="9115" w:h="12749" w:hRule="exact" w:wrap="none" w:vAnchor="page" w:hAnchor="page" w:x="1517" w:y="2597"/>
        <w:numPr>
          <w:ilvl w:val="0"/>
          <w:numId w:val="17"/>
        </w:numPr>
        <w:tabs>
          <w:tab w:val="left" w:pos="740"/>
        </w:tabs>
        <w:spacing w:after="260"/>
        <w:ind w:left="720" w:hanging="340"/>
      </w:pPr>
      <w:r>
        <w:rPr>
          <w:color w:val="0069B4"/>
        </w:rPr>
        <w:t xml:space="preserve">V objektech SO.01 Aréna, SO.02 Hotel </w:t>
      </w:r>
      <w:r>
        <w:rPr>
          <w:color w:val="0069B4"/>
          <w:lang w:val="en-US" w:eastAsia="en-US" w:bidi="en-US"/>
        </w:rPr>
        <w:t xml:space="preserve">a </w:t>
      </w:r>
      <w:r>
        <w:rPr>
          <w:color w:val="0069B4"/>
        </w:rPr>
        <w:t>SO.03 Malá hala bude zřízeno využívání dešťové vody pro splachování WC a pisoárů. Voda bude jímána v akumulační nádrží umístěné v areálu. Objem nádrže je cca 900 m3. Následně bude voda čištěna v úpravně vody a čerpána do malé akumulační nádrže pro distribuci po objektech. Vzhledem k velkým potřebám vody při akcích v arénách a rovnoměrnému využiti vody v hotelu je předpoklad, že veškerá dešťová voda bude využita.</w:t>
      </w:r>
    </w:p>
    <w:p w14:paraId="62AB8447" w14:textId="78D0A487" w:rsidR="00EC1C40" w:rsidRDefault="00000000">
      <w:pPr>
        <w:pStyle w:val="Zkladntext1"/>
        <w:framePr w:w="9115" w:h="12749" w:hRule="exact" w:wrap="none" w:vAnchor="page" w:hAnchor="page" w:x="1517" w:y="2597"/>
        <w:spacing w:after="180" w:line="254" w:lineRule="auto"/>
      </w:pPr>
      <w:r>
        <w:t xml:space="preserve">Řešení venkovních zpevněných ploch s </w:t>
      </w:r>
      <w:r w:rsidR="000E05C6">
        <w:t>využitím</w:t>
      </w:r>
      <w:r>
        <w:t xml:space="preserve"> vhodné vegetace pro řešení problematiky zasakování vod pomocí prvků modrozelené infrastruktury a </w:t>
      </w:r>
      <w:r w:rsidR="000E05C6">
        <w:t>tím</w:t>
      </w:r>
      <w:r>
        <w:t xml:space="preserve"> zásadní eliminaci odvodu do kanalizace.</w:t>
      </w:r>
    </w:p>
    <w:p w14:paraId="68FE8DE1" w14:textId="77777777" w:rsidR="00EC1C40" w:rsidRDefault="00000000">
      <w:pPr>
        <w:pStyle w:val="Zkladntext1"/>
        <w:framePr w:w="9115" w:h="12749" w:hRule="exact" w:wrap="none" w:vAnchor="page" w:hAnchor="page" w:x="1517" w:y="2597"/>
        <w:numPr>
          <w:ilvl w:val="0"/>
          <w:numId w:val="17"/>
        </w:numPr>
        <w:tabs>
          <w:tab w:val="left" w:pos="740"/>
        </w:tabs>
        <w:spacing w:after="0"/>
        <w:ind w:left="720" w:hanging="340"/>
      </w:pPr>
      <w:r>
        <w:rPr>
          <w:color w:val="0069B4"/>
        </w:rPr>
        <w:t>Cílem projektu je dosáhnout pomocí krajinného řešení optimálního hospodaření s dešťovými vodami. Smyslem je využiti dešťových vod k zásobení vody pro vegetaci vč. dřevin. Likvidace</w:t>
      </w:r>
    </w:p>
    <w:p w14:paraId="0895D4C5"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77104FD9" w14:textId="77777777" w:rsidR="00EC1C40" w:rsidRDefault="00EC1C40">
      <w:pPr>
        <w:spacing w:line="1" w:lineRule="exact"/>
      </w:pPr>
    </w:p>
    <w:p w14:paraId="47D42035" w14:textId="77777777" w:rsidR="00EC1C40" w:rsidRDefault="00000000">
      <w:pPr>
        <w:pStyle w:val="Zkladntext1"/>
        <w:framePr w:w="9115" w:h="2462" w:hRule="exact" w:wrap="none" w:vAnchor="page" w:hAnchor="page" w:x="1517" w:y="1685"/>
        <w:spacing w:after="0"/>
        <w:ind w:left="720" w:firstLine="20"/>
      </w:pPr>
      <w:r>
        <w:rPr>
          <w:color w:val="0069B4"/>
        </w:rPr>
        <w:t>dešťových vod je primárně řešena pomocí vsaku v místě vegetačních ploch a propustných zpevněných ploch</w:t>
      </w:r>
    </w:p>
    <w:p w14:paraId="2FE46C25" w14:textId="77777777" w:rsidR="00EC1C40" w:rsidRDefault="00000000">
      <w:pPr>
        <w:pStyle w:val="Zkladntext1"/>
        <w:framePr w:w="9115" w:h="2462" w:hRule="exact" w:wrap="none" w:vAnchor="page" w:hAnchor="page" w:x="1517" w:y="1685"/>
        <w:numPr>
          <w:ilvl w:val="0"/>
          <w:numId w:val="17"/>
        </w:numPr>
        <w:tabs>
          <w:tab w:val="left" w:pos="740"/>
        </w:tabs>
        <w:spacing w:after="0"/>
        <w:ind w:left="720" w:hanging="340"/>
      </w:pPr>
      <w:r>
        <w:rPr>
          <w:color w:val="0069B4"/>
        </w:rPr>
        <w:t xml:space="preserve">Jedním z prvků modrozelené infrastruktury jsou </w:t>
      </w:r>
      <w:proofErr w:type="spellStart"/>
      <w:r>
        <w:rPr>
          <w:color w:val="0069B4"/>
        </w:rPr>
        <w:t>prokořenitelné</w:t>
      </w:r>
      <w:proofErr w:type="spellEnd"/>
      <w:r>
        <w:rPr>
          <w:color w:val="0069B4"/>
        </w:rPr>
        <w:t xml:space="preserve"> prostory pro stromy ze strukturálního substrátu, které umožňují retenci dešťové vody a zpomalují její odtok do kanalizace.</w:t>
      </w:r>
    </w:p>
    <w:p w14:paraId="69158794" w14:textId="77777777" w:rsidR="00EC1C40" w:rsidRDefault="00000000">
      <w:pPr>
        <w:pStyle w:val="Zkladntext1"/>
        <w:framePr w:w="9115" w:h="2462" w:hRule="exact" w:wrap="none" w:vAnchor="page" w:hAnchor="page" w:x="1517" w:y="1685"/>
        <w:numPr>
          <w:ilvl w:val="0"/>
          <w:numId w:val="17"/>
        </w:numPr>
        <w:tabs>
          <w:tab w:val="left" w:pos="740"/>
        </w:tabs>
        <w:spacing w:after="0"/>
        <w:ind w:left="720" w:hanging="340"/>
      </w:pPr>
      <w:r>
        <w:rPr>
          <w:color w:val="0069B4"/>
        </w:rPr>
        <w:t>V případě, že výškové poměry zpevněných ploch neumožní přímé svedení do zelených ploch jsou vody svedeny do dešťové kanalizace a následně do akumulační nádrže dešťových vod. Nádrž je o objemu cca 1200 m3. Do této nádrže jsou svedeny i dešťové vody ze střech tréninkové arény a hotelu. Voda z této nádrže je užívána pro zálivku zelených ploch</w:t>
      </w:r>
    </w:p>
    <w:p w14:paraId="79FF252F"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4C4275E8" w14:textId="77777777" w:rsidR="00EC1C40" w:rsidRDefault="00EC1C40">
      <w:pPr>
        <w:spacing w:line="1" w:lineRule="exact"/>
      </w:pPr>
    </w:p>
    <w:p w14:paraId="2CB22C9C" w14:textId="77777777" w:rsidR="00EC1C40" w:rsidRDefault="00000000">
      <w:pPr>
        <w:pStyle w:val="Zkladntext80"/>
        <w:framePr w:w="9115" w:h="638" w:hRule="exact" w:wrap="none" w:vAnchor="page" w:hAnchor="page" w:x="1517" w:y="5079"/>
        <w:rPr>
          <w:sz w:val="50"/>
          <w:szCs w:val="50"/>
        </w:rPr>
      </w:pPr>
      <w:r>
        <w:t>Příloh</w:t>
      </w:r>
      <w:r>
        <w:rPr>
          <w:rFonts w:ascii="Calibri" w:eastAsia="Calibri" w:hAnsi="Calibri" w:cs="Calibri"/>
          <w:b/>
          <w:bCs/>
          <w:smallCaps/>
          <w:sz w:val="50"/>
          <w:szCs w:val="50"/>
        </w:rPr>
        <w:t>a</w:t>
      </w:r>
      <w:r>
        <w:t xml:space="preserve"> č. </w:t>
      </w:r>
      <w:r>
        <w:rPr>
          <w:rFonts w:ascii="Calibri" w:eastAsia="Calibri" w:hAnsi="Calibri" w:cs="Calibri"/>
          <w:b/>
          <w:bCs/>
          <w:smallCaps/>
          <w:sz w:val="50"/>
          <w:szCs w:val="50"/>
        </w:rPr>
        <w:t>3</w:t>
      </w:r>
    </w:p>
    <w:p w14:paraId="4A6622A8"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4B4C5388" w14:textId="77777777" w:rsidR="00EC1C40" w:rsidRDefault="00EC1C40">
      <w:pPr>
        <w:spacing w:line="1" w:lineRule="exact"/>
      </w:pPr>
    </w:p>
    <w:p w14:paraId="4A2D73B4" w14:textId="77777777" w:rsidR="00EC1C40" w:rsidRDefault="00000000">
      <w:pPr>
        <w:pStyle w:val="Zkladntext20"/>
        <w:framePr w:w="9115" w:h="566" w:hRule="exact" w:wrap="none" w:vAnchor="page" w:hAnchor="page" w:x="1517" w:y="4181"/>
        <w:pBdr>
          <w:bottom w:val="single" w:sz="4" w:space="0" w:color="auto"/>
        </w:pBdr>
        <w:spacing w:after="0"/>
      </w:pPr>
      <w:r>
        <w:t>Dohoda o úpravě vztahů</w:t>
      </w:r>
    </w:p>
    <w:p w14:paraId="4CBC9E6D" w14:textId="77777777" w:rsidR="00EC1C40" w:rsidRDefault="00000000">
      <w:pPr>
        <w:pStyle w:val="Zkladntext1"/>
        <w:framePr w:w="9115" w:h="1997" w:hRule="exact" w:wrap="none" w:vAnchor="page" w:hAnchor="page" w:x="1517" w:y="5093"/>
        <w:jc w:val="center"/>
      </w:pPr>
      <w:r>
        <w:t>mezi:</w:t>
      </w:r>
    </w:p>
    <w:p w14:paraId="7B1693DC" w14:textId="77777777" w:rsidR="00EC1C40" w:rsidRDefault="00000000">
      <w:pPr>
        <w:pStyle w:val="Zkladntext20"/>
        <w:framePr w:w="9115" w:h="1997" w:hRule="exact" w:wrap="none" w:vAnchor="page" w:hAnchor="page" w:x="1517" w:y="5093"/>
      </w:pPr>
      <w:r>
        <w:t>Statutární město Pardubice</w:t>
      </w:r>
    </w:p>
    <w:p w14:paraId="2C335E14" w14:textId="77777777" w:rsidR="00EC1C40" w:rsidRDefault="00000000">
      <w:pPr>
        <w:pStyle w:val="Zkladntext1"/>
        <w:framePr w:w="9115" w:h="1997" w:hRule="exact" w:wrap="none" w:vAnchor="page" w:hAnchor="page" w:x="1517" w:y="5093"/>
        <w:spacing w:after="160"/>
        <w:jc w:val="center"/>
      </w:pPr>
      <w:r>
        <w:t>a</w:t>
      </w:r>
    </w:p>
    <w:p w14:paraId="49ACE22F" w14:textId="77777777" w:rsidR="00EC1C40" w:rsidRDefault="00000000">
      <w:pPr>
        <w:pStyle w:val="Zkladntext20"/>
        <w:framePr w:w="9115" w:h="1997" w:hRule="exact" w:wrap="none" w:vAnchor="page" w:hAnchor="page" w:x="1517" w:y="5093"/>
        <w:spacing w:after="0"/>
      </w:pPr>
      <w:r>
        <w:t>MHAP s.r.o.</w:t>
      </w:r>
    </w:p>
    <w:p w14:paraId="086DF267"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7CF91E46" w14:textId="77777777" w:rsidR="00EC1C40" w:rsidRDefault="00000000">
      <w:pPr>
        <w:spacing w:line="1" w:lineRule="exact"/>
      </w:pPr>
      <w:r>
        <w:rPr>
          <w:noProof/>
        </w:rPr>
        <w:lastRenderedPageBreak/>
        <mc:AlternateContent>
          <mc:Choice Requires="wps">
            <w:drawing>
              <wp:anchor distT="0" distB="0" distL="114300" distR="114300" simplePos="0" relativeHeight="251647488" behindDoc="1" locked="0" layoutInCell="1" allowOverlap="1" wp14:anchorId="3D0C9A44" wp14:editId="2786F876">
                <wp:simplePos x="0" y="0"/>
                <wp:positionH relativeFrom="page">
                  <wp:posOffset>952500</wp:posOffset>
                </wp:positionH>
                <wp:positionV relativeFrom="page">
                  <wp:posOffset>932180</wp:posOffset>
                </wp:positionV>
                <wp:extent cx="5702300" cy="0"/>
                <wp:effectExtent l="0" t="0" r="0" b="0"/>
                <wp:wrapNone/>
                <wp:docPr id="63" name="Shape 63"/>
                <wp:cNvGraphicFramePr/>
                <a:graphic xmlns:a="http://schemas.openxmlformats.org/drawingml/2006/main">
                  <a:graphicData uri="http://schemas.microsoft.com/office/word/2010/wordprocessingShape">
                    <wps:wsp>
                      <wps:cNvCnPr/>
                      <wps:spPr>
                        <a:xfrm>
                          <a:off x="0" y="0"/>
                          <a:ext cx="5702300" cy="0"/>
                        </a:xfrm>
                        <a:prstGeom prst="straightConnector1">
                          <a:avLst/>
                        </a:prstGeom>
                        <a:ln w="6350">
                          <a:solidFill/>
                        </a:ln>
                      </wps:spPr>
                      <wps:bodyPr/>
                    </wps:wsp>
                  </a:graphicData>
                </a:graphic>
              </wp:anchor>
            </w:drawing>
          </mc:Choice>
          <mc:Fallback>
            <w:pict>
              <v:shape o:spt="32" o:oned="true" path="m,l21600,21600e" style="position:absolute;margin-left:75.pt;margin-top:73.400000000000006pt;width:449.pt;height:0;z-index:-251658240;mso-position-horizontal-relative:page;mso-position-vertical-relative:page">
                <v:stroke weight="0.5pt"/>
              </v:shape>
            </w:pict>
          </mc:Fallback>
        </mc:AlternateContent>
      </w:r>
    </w:p>
    <w:p w14:paraId="7C0B60DB" w14:textId="77777777" w:rsidR="00EC1C40" w:rsidRDefault="00000000">
      <w:pPr>
        <w:pStyle w:val="Zhlavnebozpat0"/>
        <w:framePr w:wrap="none" w:vAnchor="page" w:hAnchor="page" w:x="5091" w:y="1186"/>
      </w:pPr>
      <w:r>
        <w:t>Dohoda o úpravě vztahů</w:t>
      </w:r>
    </w:p>
    <w:p w14:paraId="5B8FB475" w14:textId="77777777" w:rsidR="00EC1C40" w:rsidRDefault="00000000">
      <w:pPr>
        <w:pStyle w:val="Zkladntext1"/>
        <w:framePr w:w="9125" w:h="13426" w:hRule="exact" w:wrap="none" w:vAnchor="page" w:hAnchor="page" w:x="1381" w:y="1940"/>
        <w:spacing w:after="120"/>
        <w:jc w:val="both"/>
      </w:pPr>
      <w:r>
        <w:rPr>
          <w:b/>
          <w:bCs/>
        </w:rPr>
        <w:t>Níže uvedené smluvní strany uzavírají podle § 1746 odst. 2 zákona č. 89/2012 Sb., občanský zákoník, ve znění pozdějších předpisů tuto dohodu o úpravě vztahů (dále jen „Dohoda“):</w:t>
      </w:r>
    </w:p>
    <w:p w14:paraId="330AD2EF" w14:textId="77777777" w:rsidR="00EC1C40" w:rsidRDefault="00000000">
      <w:pPr>
        <w:pStyle w:val="Zkladntext1"/>
        <w:framePr w:w="9125" w:h="13426" w:hRule="exact" w:wrap="none" w:vAnchor="page" w:hAnchor="page" w:x="1381" w:y="1940"/>
        <w:numPr>
          <w:ilvl w:val="0"/>
          <w:numId w:val="18"/>
        </w:numPr>
        <w:tabs>
          <w:tab w:val="left" w:pos="563"/>
        </w:tabs>
        <w:spacing w:after="120"/>
        <w:ind w:left="580" w:hanging="580"/>
        <w:jc w:val="both"/>
      </w:pPr>
      <w:r>
        <w:rPr>
          <w:b/>
          <w:bCs/>
        </w:rPr>
        <w:t>Statutární město Pardubice</w:t>
      </w:r>
      <w:r>
        <w:t xml:space="preserve">, IČ: 002 74 046, se sídlem Pernštýnské náměstí č.p. 1, 530 21 Pardubice, zastoupeno Bc. Janem </w:t>
      </w:r>
      <w:proofErr w:type="spellStart"/>
      <w:r>
        <w:t>Nadrchalem</w:t>
      </w:r>
      <w:proofErr w:type="spellEnd"/>
      <w:r>
        <w:t>, primátorem</w:t>
      </w:r>
    </w:p>
    <w:p w14:paraId="414AD9EA" w14:textId="77777777" w:rsidR="00EC1C40" w:rsidRDefault="00000000">
      <w:pPr>
        <w:pStyle w:val="Zkladntext1"/>
        <w:framePr w:w="9125" w:h="13426" w:hRule="exact" w:wrap="none" w:vAnchor="page" w:hAnchor="page" w:x="1381" w:y="1940"/>
        <w:spacing w:after="220"/>
        <w:ind w:firstLine="580"/>
      </w:pPr>
      <w:r>
        <w:t>(dále jen „</w:t>
      </w:r>
      <w:r>
        <w:rPr>
          <w:b/>
          <w:bCs/>
        </w:rPr>
        <w:t>SMP</w:t>
      </w:r>
      <w:r>
        <w:t>“)</w:t>
      </w:r>
    </w:p>
    <w:p w14:paraId="6F96BD99" w14:textId="77777777" w:rsidR="00EC1C40" w:rsidRDefault="00000000">
      <w:pPr>
        <w:pStyle w:val="Zkladntext1"/>
        <w:framePr w:w="9125" w:h="13426" w:hRule="exact" w:wrap="none" w:vAnchor="page" w:hAnchor="page" w:x="1381" w:y="1940"/>
        <w:spacing w:after="220"/>
        <w:ind w:firstLine="580"/>
      </w:pPr>
      <w:r>
        <w:t>a</w:t>
      </w:r>
    </w:p>
    <w:p w14:paraId="04F47D63" w14:textId="77777777" w:rsidR="00EC1C40" w:rsidRDefault="00000000">
      <w:pPr>
        <w:pStyle w:val="Zkladntext1"/>
        <w:framePr w:w="9125" w:h="13426" w:hRule="exact" w:wrap="none" w:vAnchor="page" w:hAnchor="page" w:x="1381" w:y="1940"/>
        <w:numPr>
          <w:ilvl w:val="0"/>
          <w:numId w:val="18"/>
        </w:numPr>
        <w:tabs>
          <w:tab w:val="left" w:pos="563"/>
        </w:tabs>
        <w:spacing w:after="120"/>
        <w:ind w:left="580" w:hanging="580"/>
        <w:jc w:val="both"/>
      </w:pPr>
      <w:r>
        <w:rPr>
          <w:b/>
          <w:bCs/>
        </w:rPr>
        <w:t>MHAP s.r.o.</w:t>
      </w:r>
      <w:r>
        <w:t xml:space="preserve">, IČ: 175 44 661, se sídlem Olbrachtova 1980/5, Krč, 140 00 Praha 4, zapsaná v obchodním rejstříku vedeném Městským soudem v Praze pod </w:t>
      </w:r>
      <w:proofErr w:type="spellStart"/>
      <w:r>
        <w:t>sp.zn</w:t>
      </w:r>
      <w:proofErr w:type="spellEnd"/>
      <w:r>
        <w:t>. C 372943, zastoupená panem Petrem Dědkem, jednatelem</w:t>
      </w:r>
    </w:p>
    <w:p w14:paraId="327AFA89" w14:textId="77777777" w:rsidR="00EC1C40" w:rsidRDefault="00000000">
      <w:pPr>
        <w:pStyle w:val="Zkladntext1"/>
        <w:framePr w:w="9125" w:h="13426" w:hRule="exact" w:wrap="none" w:vAnchor="page" w:hAnchor="page" w:x="1381" w:y="1940"/>
        <w:spacing w:after="120"/>
        <w:ind w:firstLine="580"/>
        <w:jc w:val="both"/>
      </w:pPr>
      <w:r>
        <w:t>(dále jen „</w:t>
      </w:r>
      <w:r>
        <w:rPr>
          <w:b/>
          <w:bCs/>
        </w:rPr>
        <w:t>Investor</w:t>
      </w:r>
      <w:r>
        <w:t>“)</w:t>
      </w:r>
    </w:p>
    <w:p w14:paraId="32EA1CC2" w14:textId="77777777" w:rsidR="00EC1C40" w:rsidRDefault="00000000">
      <w:pPr>
        <w:pStyle w:val="Zkladntext1"/>
        <w:framePr w:w="9125" w:h="13426" w:hRule="exact" w:wrap="none" w:vAnchor="page" w:hAnchor="page" w:x="1381" w:y="1940"/>
        <w:spacing w:after="120"/>
        <w:ind w:firstLine="580"/>
      </w:pPr>
      <w:r>
        <w:t>(SMP a Investor dále společně jako „</w:t>
      </w:r>
      <w:r>
        <w:rPr>
          <w:b/>
          <w:bCs/>
        </w:rPr>
        <w:t>Smluvní strany</w:t>
      </w:r>
      <w:r>
        <w:t>“ a jednotlivě „</w:t>
      </w:r>
      <w:r>
        <w:rPr>
          <w:b/>
          <w:bCs/>
        </w:rPr>
        <w:t>Smluvní strana</w:t>
      </w:r>
      <w:r>
        <w:t>“)</w:t>
      </w:r>
    </w:p>
    <w:p w14:paraId="5A5E00C9" w14:textId="77777777" w:rsidR="00EC1C40" w:rsidRDefault="00000000">
      <w:pPr>
        <w:pStyle w:val="Zkladntext1"/>
        <w:framePr w:w="9125" w:h="13426" w:hRule="exact" w:wrap="none" w:vAnchor="page" w:hAnchor="page" w:x="1381" w:y="1940"/>
        <w:spacing w:after="120"/>
      </w:pPr>
      <w:r>
        <w:rPr>
          <w:b/>
          <w:bCs/>
        </w:rPr>
        <w:t>VZHLEDEM K TOMU, ŽE:</w:t>
      </w:r>
    </w:p>
    <w:p w14:paraId="635115B4" w14:textId="77777777" w:rsidR="00EC1C40" w:rsidRDefault="00000000">
      <w:pPr>
        <w:pStyle w:val="Zkladntext1"/>
        <w:framePr w:w="9125" w:h="13426" w:hRule="exact" w:wrap="none" w:vAnchor="page" w:hAnchor="page" w:x="1381" w:y="1940"/>
        <w:numPr>
          <w:ilvl w:val="0"/>
          <w:numId w:val="19"/>
        </w:numPr>
        <w:tabs>
          <w:tab w:val="left" w:pos="563"/>
        </w:tabs>
        <w:spacing w:after="120"/>
        <w:ind w:left="580" w:hanging="580"/>
        <w:jc w:val="both"/>
      </w:pPr>
      <w:r>
        <w:t xml:space="preserve">Investor zamýšlí realizovat na území Statutárního města Pardubice Investiční záměr </w:t>
      </w:r>
      <w:r>
        <w:rPr>
          <w:i/>
          <w:iCs/>
        </w:rPr>
        <w:t>(jak je tento pojem definován v této Dohodě)</w:t>
      </w:r>
      <w:r>
        <w:t>, tj. projekt výstavby multifunkční hokejové arény;</w:t>
      </w:r>
    </w:p>
    <w:p w14:paraId="38BA8FCE" w14:textId="77777777" w:rsidR="00EC1C40" w:rsidRDefault="00000000">
      <w:pPr>
        <w:pStyle w:val="Zkladntext1"/>
        <w:framePr w:w="9125" w:h="13426" w:hRule="exact" w:wrap="none" w:vAnchor="page" w:hAnchor="page" w:x="1381" w:y="1940"/>
        <w:numPr>
          <w:ilvl w:val="0"/>
          <w:numId w:val="19"/>
        </w:numPr>
        <w:tabs>
          <w:tab w:val="left" w:pos="563"/>
        </w:tabs>
        <w:spacing w:after="120"/>
        <w:ind w:left="580" w:hanging="580"/>
        <w:jc w:val="both"/>
      </w:pPr>
      <w:r>
        <w:t xml:space="preserve">Smluvní strany spolu s touto Dohodou uzavírají Plánovací smlouvu </w:t>
      </w:r>
      <w:r>
        <w:rPr>
          <w:i/>
          <w:iCs/>
        </w:rPr>
        <w:t>(jak je tento pojem definován v této Dohodě)</w:t>
      </w:r>
      <w:r>
        <w:t>, jejímž předmětem jsou jednotlivé závazky Smluvních stran týkající se jejich spolupráce při výstavbě Investičního záměru;</w:t>
      </w:r>
    </w:p>
    <w:p w14:paraId="682B9D83" w14:textId="77777777" w:rsidR="00EC1C40" w:rsidRDefault="00000000">
      <w:pPr>
        <w:pStyle w:val="Zkladntext1"/>
        <w:framePr w:w="9125" w:h="13426" w:hRule="exact" w:wrap="none" w:vAnchor="page" w:hAnchor="page" w:x="1381" w:y="1940"/>
        <w:numPr>
          <w:ilvl w:val="0"/>
          <w:numId w:val="19"/>
        </w:numPr>
        <w:tabs>
          <w:tab w:val="left" w:pos="563"/>
        </w:tabs>
        <w:spacing w:after="120"/>
        <w:ind w:left="580" w:hanging="580"/>
        <w:jc w:val="both"/>
      </w:pPr>
      <w:r>
        <w:t xml:space="preserve">Jedním z předpokladů pro realizaci Investičního záměru a současně jakékoli výstavby v Lokalitě Nová Cihelna </w:t>
      </w:r>
      <w:r>
        <w:rPr>
          <w:i/>
          <w:iCs/>
        </w:rPr>
        <w:t>(jak je tento pojem definován v této Dohodě)</w:t>
      </w:r>
      <w:r>
        <w:t xml:space="preserve"> je realizace Odstranění odpadů a znečištění </w:t>
      </w:r>
      <w:r>
        <w:rPr>
          <w:i/>
          <w:iCs/>
        </w:rPr>
        <w:t>(jak je tento pojem definován v této Dohodě)</w:t>
      </w:r>
      <w:r>
        <w:t>. Investor dále prohlašuje, že v souvislosti s realizací Investičního záměru může být v rozsahu stanoveném Investorem účelné realizovat Odstranění odpadů a znečištění;</w:t>
      </w:r>
    </w:p>
    <w:p w14:paraId="6C4695F6" w14:textId="77777777" w:rsidR="00EC1C40" w:rsidRDefault="00000000">
      <w:pPr>
        <w:pStyle w:val="Zkladntext1"/>
        <w:framePr w:w="9125" w:h="13426" w:hRule="exact" w:wrap="none" w:vAnchor="page" w:hAnchor="page" w:x="1381" w:y="1940"/>
        <w:numPr>
          <w:ilvl w:val="0"/>
          <w:numId w:val="19"/>
        </w:numPr>
        <w:tabs>
          <w:tab w:val="left" w:pos="563"/>
        </w:tabs>
        <w:spacing w:after="120"/>
        <w:ind w:left="580" w:hanging="580"/>
        <w:jc w:val="both"/>
      </w:pPr>
      <w:r>
        <w:t>Smluvní strany si přejí na základě této Dohody upravit některé otázky týkající se či související s procesem Odstranění odpadů a znečištění;</w:t>
      </w:r>
    </w:p>
    <w:p w14:paraId="6AF3E35E" w14:textId="77777777" w:rsidR="00EC1C40" w:rsidRDefault="00000000">
      <w:pPr>
        <w:pStyle w:val="Zkladntext1"/>
        <w:framePr w:w="9125" w:h="13426" w:hRule="exact" w:wrap="none" w:vAnchor="page" w:hAnchor="page" w:x="1381" w:y="1940"/>
        <w:spacing w:after="120"/>
      </w:pPr>
      <w:r>
        <w:rPr>
          <w:b/>
          <w:bCs/>
        </w:rPr>
        <w:t>DOHODLY SE SMLUVNÍ STRANY NA NÁSLEDUJÍCÍM:</w:t>
      </w:r>
    </w:p>
    <w:p w14:paraId="296687A8" w14:textId="77777777" w:rsidR="00EC1C40" w:rsidRDefault="00000000">
      <w:pPr>
        <w:pStyle w:val="Zkladntext1"/>
        <w:framePr w:w="9125" w:h="13426" w:hRule="exact" w:wrap="none" w:vAnchor="page" w:hAnchor="page" w:x="1381" w:y="1940"/>
        <w:numPr>
          <w:ilvl w:val="0"/>
          <w:numId w:val="20"/>
        </w:numPr>
        <w:tabs>
          <w:tab w:val="left" w:pos="563"/>
        </w:tabs>
        <w:spacing w:after="220"/>
      </w:pPr>
      <w:r>
        <w:rPr>
          <w:b/>
          <w:bCs/>
        </w:rPr>
        <w:t>Úvodní ustanovení</w:t>
      </w:r>
    </w:p>
    <w:p w14:paraId="5D6F1145" w14:textId="77777777" w:rsidR="00EC1C40" w:rsidRDefault="00000000">
      <w:pPr>
        <w:pStyle w:val="Zkladntext1"/>
        <w:framePr w:w="9125" w:h="13426" w:hRule="exact" w:wrap="none" w:vAnchor="page" w:hAnchor="page" w:x="1381" w:y="1940"/>
        <w:numPr>
          <w:ilvl w:val="1"/>
          <w:numId w:val="20"/>
        </w:numPr>
        <w:tabs>
          <w:tab w:val="left" w:pos="563"/>
        </w:tabs>
        <w:spacing w:after="120"/>
      </w:pPr>
      <w:r>
        <w:t>V této Dohodě mají výrazy s počátečními velkými písmeny následující význam:</w:t>
      </w:r>
    </w:p>
    <w:p w14:paraId="08F66AB9" w14:textId="77777777" w:rsidR="00EC1C40" w:rsidRDefault="00000000">
      <w:pPr>
        <w:pStyle w:val="Zkladntext1"/>
        <w:framePr w:w="9125" w:h="13426" w:hRule="exact" w:wrap="none" w:vAnchor="page" w:hAnchor="page" w:x="1381" w:y="1940"/>
        <w:numPr>
          <w:ilvl w:val="2"/>
          <w:numId w:val="20"/>
        </w:numPr>
        <w:tabs>
          <w:tab w:val="left" w:pos="1247"/>
        </w:tabs>
        <w:spacing w:after="120"/>
        <w:ind w:left="1260" w:hanging="680"/>
        <w:jc w:val="both"/>
      </w:pPr>
      <w:r>
        <w:t>„</w:t>
      </w:r>
      <w:r>
        <w:rPr>
          <w:b/>
          <w:bCs/>
        </w:rPr>
        <w:t>Budoucí pozemek SMP 1</w:t>
      </w:r>
      <w:r>
        <w:t xml:space="preserve">“ znamená pozemek </w:t>
      </w:r>
      <w:proofErr w:type="spellStart"/>
      <w:r>
        <w:t>parc</w:t>
      </w:r>
      <w:proofErr w:type="spellEnd"/>
      <w:r>
        <w:t xml:space="preserve">. č. 3684/1, </w:t>
      </w:r>
      <w:proofErr w:type="spellStart"/>
      <w:r>
        <w:t>k.ú</w:t>
      </w:r>
      <w:proofErr w:type="spellEnd"/>
      <w:r>
        <w:t xml:space="preserve">. Pardubice, k němuž má SMP nabýt vlastnické právo na základě Směny 1 </w:t>
      </w:r>
      <w:r>
        <w:rPr>
          <w:i/>
          <w:iCs/>
        </w:rPr>
        <w:t>(jak je tento pojem definován v Plánovací smlouvě)</w:t>
      </w:r>
      <w:r>
        <w:t>;</w:t>
      </w:r>
    </w:p>
    <w:p w14:paraId="7068E8D6" w14:textId="77777777" w:rsidR="00EC1C40" w:rsidRDefault="00000000">
      <w:pPr>
        <w:pStyle w:val="Zkladntext1"/>
        <w:framePr w:w="9125" w:h="13426" w:hRule="exact" w:wrap="none" w:vAnchor="page" w:hAnchor="page" w:x="1381" w:y="1940"/>
        <w:numPr>
          <w:ilvl w:val="2"/>
          <w:numId w:val="20"/>
        </w:numPr>
        <w:tabs>
          <w:tab w:val="left" w:pos="1247"/>
        </w:tabs>
        <w:spacing w:after="120"/>
        <w:ind w:left="1260" w:hanging="680"/>
        <w:jc w:val="both"/>
      </w:pPr>
      <w:r>
        <w:t>„</w:t>
      </w:r>
      <w:r>
        <w:rPr>
          <w:b/>
          <w:bCs/>
        </w:rPr>
        <w:t>Budoucí pozemky SMP 2</w:t>
      </w:r>
      <w:r>
        <w:t xml:space="preserve">“ znamená pozemky (příslušné části pozemků) </w:t>
      </w:r>
      <w:proofErr w:type="spellStart"/>
      <w:r>
        <w:t>parc</w:t>
      </w:r>
      <w:proofErr w:type="spellEnd"/>
      <w:r>
        <w:t xml:space="preserve">. č. 1563/13, </w:t>
      </w:r>
      <w:proofErr w:type="spellStart"/>
      <w:r>
        <w:t>parc</w:t>
      </w:r>
      <w:proofErr w:type="spellEnd"/>
      <w:r>
        <w:t xml:space="preserve">. č. 1574/11, </w:t>
      </w:r>
      <w:proofErr w:type="spellStart"/>
      <w:r>
        <w:t>parc</w:t>
      </w:r>
      <w:proofErr w:type="spellEnd"/>
      <w:r>
        <w:t xml:space="preserve">. č. 1574/12, </w:t>
      </w:r>
      <w:proofErr w:type="spellStart"/>
      <w:r>
        <w:t>parc</w:t>
      </w:r>
      <w:proofErr w:type="spellEnd"/>
      <w:r>
        <w:t xml:space="preserve">. č. 1574/14, </w:t>
      </w:r>
      <w:proofErr w:type="spellStart"/>
      <w:r>
        <w:t>parc</w:t>
      </w:r>
      <w:proofErr w:type="spellEnd"/>
      <w:r>
        <w:t xml:space="preserve">. č. 1582/3, </w:t>
      </w:r>
      <w:proofErr w:type="spellStart"/>
      <w:r>
        <w:t>parc</w:t>
      </w:r>
      <w:proofErr w:type="spellEnd"/>
      <w:r>
        <w:t xml:space="preserve">. č. 1584/7, </w:t>
      </w:r>
      <w:proofErr w:type="spellStart"/>
      <w:r>
        <w:t>parc</w:t>
      </w:r>
      <w:proofErr w:type="spellEnd"/>
      <w:r>
        <w:t xml:space="preserve">. č. 1601/15, všechny </w:t>
      </w:r>
      <w:proofErr w:type="spellStart"/>
      <w:r>
        <w:t>k.ú</w:t>
      </w:r>
      <w:proofErr w:type="spellEnd"/>
      <w:r>
        <w:t xml:space="preserve">. Pardubice, a to v rozsahu graficky vyznačeném v </w:t>
      </w:r>
      <w:r>
        <w:rPr>
          <w:u w:val="single"/>
        </w:rPr>
        <w:t>Příloze č. 2</w:t>
      </w:r>
      <w:r>
        <w:t xml:space="preserve"> této Dohody, k nimž má SMP nabýt vlastnické právo na základě Směny 2 </w:t>
      </w:r>
      <w:r>
        <w:rPr>
          <w:i/>
          <w:iCs/>
        </w:rPr>
        <w:t>(jak je tento pojem definován v Plánovací smlouvě)</w:t>
      </w:r>
      <w:r>
        <w:t>;</w:t>
      </w:r>
    </w:p>
    <w:p w14:paraId="03B94B56" w14:textId="77777777" w:rsidR="00EC1C40" w:rsidRDefault="00000000">
      <w:pPr>
        <w:pStyle w:val="Zkladntext1"/>
        <w:framePr w:w="9125" w:h="13426" w:hRule="exact" w:wrap="none" w:vAnchor="page" w:hAnchor="page" w:x="1381" w:y="1940"/>
        <w:numPr>
          <w:ilvl w:val="2"/>
          <w:numId w:val="20"/>
        </w:numPr>
        <w:tabs>
          <w:tab w:val="left" w:pos="1247"/>
        </w:tabs>
        <w:spacing w:after="120"/>
        <w:ind w:left="1260" w:hanging="680"/>
        <w:jc w:val="both"/>
      </w:pPr>
      <w:r>
        <w:t>„</w:t>
      </w:r>
      <w:r>
        <w:rPr>
          <w:b/>
          <w:bCs/>
        </w:rPr>
        <w:t>Budoucí pozemky SMP</w:t>
      </w:r>
      <w:r>
        <w:t>“ znamená společně Budoucí pozemek SMP 1 a Budoucí pozemek SMP 2;</w:t>
      </w:r>
    </w:p>
    <w:p w14:paraId="768BE3CD" w14:textId="77777777" w:rsidR="00EC1C40" w:rsidRDefault="00000000">
      <w:pPr>
        <w:pStyle w:val="Zkladntext1"/>
        <w:framePr w:w="9125" w:h="13426" w:hRule="exact" w:wrap="none" w:vAnchor="page" w:hAnchor="page" w:x="1381" w:y="1940"/>
        <w:numPr>
          <w:ilvl w:val="2"/>
          <w:numId w:val="20"/>
        </w:numPr>
        <w:tabs>
          <w:tab w:val="left" w:pos="1247"/>
        </w:tabs>
        <w:spacing w:after="0"/>
        <w:ind w:left="1260" w:hanging="680"/>
        <w:jc w:val="both"/>
      </w:pPr>
      <w:r>
        <w:t>„</w:t>
      </w:r>
      <w:r>
        <w:rPr>
          <w:b/>
          <w:bCs/>
        </w:rPr>
        <w:t>Investiční záměr</w:t>
      </w:r>
      <w:r>
        <w:t>“ znamená záměr Investora sestávající z (i) arény, (</w:t>
      </w:r>
      <w:proofErr w:type="spellStart"/>
      <w:r>
        <w:t>ii</w:t>
      </w:r>
      <w:proofErr w:type="spellEnd"/>
      <w:r>
        <w:t>) tréninkové haly, (</w:t>
      </w:r>
      <w:proofErr w:type="spellStart"/>
      <w:r>
        <w:t>iii</w:t>
      </w:r>
      <w:proofErr w:type="spellEnd"/>
      <w:r>
        <w:t>) hotelu, (</w:t>
      </w:r>
      <w:proofErr w:type="spellStart"/>
      <w:r>
        <w:t>iv</w:t>
      </w:r>
      <w:proofErr w:type="spellEnd"/>
      <w:r>
        <w:t>) parkovacího domu, (v) showroomu, případně dalších objektů, to vše včetně příslušné související infrastruktury Investičního záměru, které mají být realizovány mimo jiné na Pozemcích. Investiční záměr zahrnuje vedle vlastní</w:t>
      </w:r>
    </w:p>
    <w:p w14:paraId="6FAF2D33" w14:textId="77777777" w:rsidR="00EC1C40" w:rsidRDefault="00000000">
      <w:pPr>
        <w:pStyle w:val="Zhlavnebozpat0"/>
        <w:framePr w:w="451" w:h="288" w:hRule="exact" w:wrap="none" w:vAnchor="page" w:hAnchor="page" w:x="5720" w:y="16085"/>
        <w:jc w:val="center"/>
        <w:rPr>
          <w:sz w:val="22"/>
          <w:szCs w:val="22"/>
        </w:rPr>
      </w:pPr>
      <w:r>
        <w:rPr>
          <w:color w:val="231E20"/>
          <w:sz w:val="22"/>
          <w:szCs w:val="22"/>
        </w:rPr>
        <w:t>2/22</w:t>
      </w:r>
    </w:p>
    <w:p w14:paraId="2E65F5F0"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1898CE22" w14:textId="77777777" w:rsidR="00EC1C40" w:rsidRDefault="00000000">
      <w:pPr>
        <w:spacing w:line="1" w:lineRule="exact"/>
      </w:pPr>
      <w:r>
        <w:rPr>
          <w:noProof/>
        </w:rPr>
        <w:lastRenderedPageBreak/>
        <mc:AlternateContent>
          <mc:Choice Requires="wps">
            <w:drawing>
              <wp:anchor distT="0" distB="0" distL="114300" distR="114300" simplePos="0" relativeHeight="251648512" behindDoc="1" locked="0" layoutInCell="1" allowOverlap="1" wp14:anchorId="7FF68940" wp14:editId="2FFC59E8">
                <wp:simplePos x="0" y="0"/>
                <wp:positionH relativeFrom="page">
                  <wp:posOffset>952500</wp:posOffset>
                </wp:positionH>
                <wp:positionV relativeFrom="page">
                  <wp:posOffset>932180</wp:posOffset>
                </wp:positionV>
                <wp:extent cx="5702300" cy="0"/>
                <wp:effectExtent l="0" t="0" r="0" b="0"/>
                <wp:wrapNone/>
                <wp:docPr id="64" name="Shape 64"/>
                <wp:cNvGraphicFramePr/>
                <a:graphic xmlns:a="http://schemas.openxmlformats.org/drawingml/2006/main">
                  <a:graphicData uri="http://schemas.microsoft.com/office/word/2010/wordprocessingShape">
                    <wps:wsp>
                      <wps:cNvCnPr/>
                      <wps:spPr>
                        <a:xfrm>
                          <a:off x="0" y="0"/>
                          <a:ext cx="5702300" cy="0"/>
                        </a:xfrm>
                        <a:prstGeom prst="straightConnector1">
                          <a:avLst/>
                        </a:prstGeom>
                        <a:ln w="6350">
                          <a:solidFill/>
                        </a:ln>
                      </wps:spPr>
                      <wps:bodyPr/>
                    </wps:wsp>
                  </a:graphicData>
                </a:graphic>
              </wp:anchor>
            </w:drawing>
          </mc:Choice>
          <mc:Fallback>
            <w:pict>
              <v:shape o:spt="32" o:oned="true" path="m,l21600,21600e" style="position:absolute;margin-left:75.pt;margin-top:73.400000000000006pt;width:449.pt;height:0;z-index:-251658240;mso-position-horizontal-relative:page;mso-position-vertical-relative:page">
                <v:stroke weight="0.5pt"/>
              </v:shape>
            </w:pict>
          </mc:Fallback>
        </mc:AlternateContent>
      </w:r>
    </w:p>
    <w:p w14:paraId="3928AEF1" w14:textId="77777777" w:rsidR="00EC1C40" w:rsidRDefault="00000000">
      <w:pPr>
        <w:pStyle w:val="Zhlavnebozpat0"/>
        <w:framePr w:wrap="none" w:vAnchor="page" w:hAnchor="page" w:x="5091" w:y="1186"/>
      </w:pPr>
      <w:r>
        <w:t>Dohoda o úpravě vztahů</w:t>
      </w:r>
    </w:p>
    <w:p w14:paraId="68CC1D0E" w14:textId="77777777" w:rsidR="00EC1C40" w:rsidRDefault="00000000">
      <w:pPr>
        <w:pStyle w:val="Zkladntext1"/>
        <w:framePr w:w="9125" w:h="13594" w:hRule="exact" w:wrap="none" w:vAnchor="page" w:hAnchor="page" w:x="1381" w:y="1940"/>
        <w:ind w:left="1260"/>
        <w:jc w:val="both"/>
      </w:pPr>
      <w:r>
        <w:t>multifunkční hokejové arény, tréninkových ploch a sportovního zázemí určeného pro veřejnost i restaurační a občerstvovací kapacity, ubytovací kapacity, plochy pro služby, zařízení pro relaxaci a rehabilitaci, jakož i výstavbu parkovacího domu a vnějších parkovacích ploch.</w:t>
      </w:r>
    </w:p>
    <w:p w14:paraId="79838331" w14:textId="77777777" w:rsidR="00EC1C40" w:rsidRDefault="00000000">
      <w:pPr>
        <w:pStyle w:val="Zkladntext1"/>
        <w:framePr w:w="9125" w:h="13594" w:hRule="exact" w:wrap="none" w:vAnchor="page" w:hAnchor="page" w:x="1381" w:y="1940"/>
        <w:numPr>
          <w:ilvl w:val="2"/>
          <w:numId w:val="20"/>
        </w:numPr>
        <w:tabs>
          <w:tab w:val="left" w:pos="1247"/>
        </w:tabs>
        <w:ind w:left="1260" w:hanging="680"/>
        <w:jc w:val="both"/>
      </w:pPr>
      <w:r>
        <w:t>„</w:t>
      </w:r>
      <w:r>
        <w:rPr>
          <w:b/>
          <w:bCs/>
        </w:rPr>
        <w:t>Lokalita Nová Cihelna</w:t>
      </w:r>
      <w:r>
        <w:t xml:space="preserve">“ znamená lokalitu „Nová Cihelna“, v jejíž severní části má být realizován Investiční záměr. Tato lokalitě je vymezena rozsahem řešeného území v rámci územní studie pro lokalitu „Nová Cihelna“ zpracované zpracovatelem Atelier architektury a urbanismu, s.r.o., Lipky 1283, 549 41 Červený Kostelec, schválené dne 15. 5. 2025, která umožní realizaci Investičního záměru v jeho uvažovaných parametrech, která byla zveřejněna v Národním </w:t>
      </w:r>
      <w:proofErr w:type="spellStart"/>
      <w:r>
        <w:t>geoportálu</w:t>
      </w:r>
      <w:proofErr w:type="spellEnd"/>
      <w:r>
        <w:t xml:space="preserve"> územního plánování;</w:t>
      </w:r>
    </w:p>
    <w:p w14:paraId="454CD83A" w14:textId="77777777" w:rsidR="00EC1C40" w:rsidRDefault="00000000">
      <w:pPr>
        <w:pStyle w:val="Zkladntext1"/>
        <w:framePr w:w="9125" w:h="13594" w:hRule="exact" w:wrap="none" w:vAnchor="page" w:hAnchor="page" w:x="1381" w:y="1940"/>
        <w:numPr>
          <w:ilvl w:val="2"/>
          <w:numId w:val="20"/>
        </w:numPr>
        <w:tabs>
          <w:tab w:val="left" w:pos="1247"/>
        </w:tabs>
        <w:spacing w:after="240"/>
        <w:ind w:left="1260" w:hanging="680"/>
        <w:jc w:val="both"/>
      </w:pPr>
      <w:r>
        <w:t>„</w:t>
      </w:r>
      <w:r>
        <w:rPr>
          <w:b/>
          <w:bCs/>
        </w:rPr>
        <w:t>Občanský zákoník</w:t>
      </w:r>
      <w:r>
        <w:t>“ znamená zákon č. 89/2012 Sb., občanský zákoník, ve znění pozdějších předpisů;</w:t>
      </w:r>
    </w:p>
    <w:p w14:paraId="300FF26D" w14:textId="77777777" w:rsidR="00EC1C40" w:rsidRDefault="00000000">
      <w:pPr>
        <w:pStyle w:val="Zkladntext1"/>
        <w:framePr w:w="9125" w:h="13594" w:hRule="exact" w:wrap="none" w:vAnchor="page" w:hAnchor="page" w:x="1381" w:y="1940"/>
        <w:numPr>
          <w:ilvl w:val="2"/>
          <w:numId w:val="20"/>
        </w:numPr>
        <w:tabs>
          <w:tab w:val="left" w:pos="1247"/>
        </w:tabs>
        <w:spacing w:after="240"/>
        <w:ind w:left="1260" w:hanging="680"/>
        <w:jc w:val="both"/>
      </w:pPr>
      <w:r>
        <w:t>„</w:t>
      </w:r>
      <w:r>
        <w:rPr>
          <w:b/>
          <w:bCs/>
        </w:rPr>
        <w:t>Odstranění odpadů a znečištění</w:t>
      </w:r>
      <w:r>
        <w:t>“ znamená proces, v rámci kterého dojde za dále uvedených podmínek k odstranění odpadů a znečištění existujících v Lokalitě Nová Cihelna vzniklých v důsledku umístění Skládky, a to zásadně v rozsahu stanoveném Investorem. K Odstranění odpadů a znečištění je aktuálně ke dni uzavření této Dohody vydáno Rozhodnutí o povolení Odstranění odpadů a znečištění a aktuálně projednávána Změna Rozhodnutí o povolení Odstranění odpadů a znečištění, přičemž tím nejsou dotčeny možné další změny těchto rozhodnutí, či jakékoli další související rozhodnutí či povolení potřebná pro realizaci Odstranění odpadů a znečištění, např. na úseku nakládání s vodami atd. Odstranění odpadů a znečištění je základním předpokladem pro realizaci Investičního záměru a obecně i jakékoli výstavby v Lokalitě Nová Cihelna. Součástí Odstranění odpadů a znečištění je (po nabytí právní moci a účinnosti Změny Rozhodnutí o povolení Odstranění odpadů a znečištění) i realizace mezideponie, která bude využita k vytřídění vytěžené zeminy (materiálu) a následnému odvozu odpadu (ve smyslu definice odpadu dle § 4 Zákona o odpadech) z mezideponie. Součástí Odstranění odpadů a znečištění není realizace činností dle čl. 2.10 této Dohody;</w:t>
      </w:r>
    </w:p>
    <w:p w14:paraId="6ED412C4" w14:textId="77777777" w:rsidR="00EC1C40" w:rsidRDefault="00000000">
      <w:pPr>
        <w:pStyle w:val="Zkladntext1"/>
        <w:framePr w:w="9125" w:h="13594" w:hRule="exact" w:wrap="none" w:vAnchor="page" w:hAnchor="page" w:x="1381" w:y="1940"/>
        <w:numPr>
          <w:ilvl w:val="2"/>
          <w:numId w:val="20"/>
        </w:numPr>
        <w:tabs>
          <w:tab w:val="left" w:pos="1247"/>
        </w:tabs>
        <w:ind w:left="1260" w:hanging="680"/>
        <w:jc w:val="both"/>
      </w:pPr>
      <w:r>
        <w:t>„</w:t>
      </w:r>
      <w:r>
        <w:rPr>
          <w:b/>
          <w:bCs/>
        </w:rPr>
        <w:t>Odstranění odpadu z mezideponie</w:t>
      </w:r>
      <w:r>
        <w:t xml:space="preserve">“ znamená odvoz odpadu (odpadu ve smyslu definice odpadu dle § 4 Zákona o odpadech) vzniklého vytříděním vytěžené zeminy (materiálu) z prostoru Skládky (nikoli jakéhokoli jiného materiálu, znečištění, vytříděné zeminy atd.), a to z mezideponie. Za odpad se nepovažuje vytříděná zemina (materiál), která není odpadem (ve smyslu definice odpadu dle § 4 Zákona o odpadech), a rovněž tak případná skrývka ornice, které mohou být na příslušných pozemcích (v mezideponii) ponechány pro účely terénních úprav Pozemků v souvislosti s realizací Investičního záměru. Mezideponií se pro účely této Dohody rozumí pozemky (jejich části), které jsou </w:t>
      </w:r>
      <w:r>
        <w:rPr>
          <w:i/>
          <w:iCs/>
        </w:rPr>
        <w:t>v</w:t>
      </w:r>
      <w:r>
        <w:t xml:space="preserve"> </w:t>
      </w:r>
      <w:r>
        <w:rPr>
          <w:u w:val="single"/>
        </w:rPr>
        <w:t>Příloze č. 1</w:t>
      </w:r>
      <w:r>
        <w:t xml:space="preserve"> této Dohody vyznačeny jako „plocha mezideponie“. Činnosti dle čl. 2.10 této Dohody nejsou považovány za Odstranění odpadů a znečištění (tedy jejich zahájení či dokončení nemá žádný vliv na Odstranění odpadu z mezideponie). Do Odstranění odpadů a znečištění (tedy ani Odstranění odpadu z mezideponie) nespadají dále monitorovací činnosti;</w:t>
      </w:r>
    </w:p>
    <w:p w14:paraId="58E0DADE" w14:textId="77777777" w:rsidR="00EC1C40" w:rsidRDefault="00000000">
      <w:pPr>
        <w:pStyle w:val="Zkladntext1"/>
        <w:framePr w:w="9125" w:h="13594" w:hRule="exact" w:wrap="none" w:vAnchor="page" w:hAnchor="page" w:x="1381" w:y="1940"/>
        <w:numPr>
          <w:ilvl w:val="2"/>
          <w:numId w:val="20"/>
        </w:numPr>
        <w:tabs>
          <w:tab w:val="left" w:pos="1247"/>
        </w:tabs>
        <w:ind w:left="1260" w:hanging="680"/>
        <w:jc w:val="both"/>
      </w:pPr>
      <w:r>
        <w:t>„</w:t>
      </w:r>
      <w:r>
        <w:rPr>
          <w:b/>
          <w:bCs/>
        </w:rPr>
        <w:t>Plánovací smlouva</w:t>
      </w:r>
      <w:r>
        <w:t>“ znamená plánovací smlouvu, kterou spolu s touto Dohodou uzavírají SMP a Investor, jejímž předmětem jsou jednotlivé závazky Smluvních stran týkající se jejich spolupráce při výstavbě Investičního záměru;</w:t>
      </w:r>
    </w:p>
    <w:p w14:paraId="4539659E" w14:textId="77777777" w:rsidR="00EC1C40" w:rsidRDefault="00000000">
      <w:pPr>
        <w:pStyle w:val="Zkladntext1"/>
        <w:framePr w:w="9125" w:h="13594" w:hRule="exact" w:wrap="none" w:vAnchor="page" w:hAnchor="page" w:x="1381" w:y="1940"/>
        <w:numPr>
          <w:ilvl w:val="2"/>
          <w:numId w:val="20"/>
        </w:numPr>
        <w:tabs>
          <w:tab w:val="left" w:pos="1296"/>
        </w:tabs>
        <w:spacing w:after="0"/>
        <w:ind w:left="1260" w:hanging="680"/>
        <w:jc w:val="both"/>
      </w:pPr>
      <w:r>
        <w:t>„</w:t>
      </w:r>
      <w:r>
        <w:rPr>
          <w:b/>
          <w:bCs/>
        </w:rPr>
        <w:t>Pozemky</w:t>
      </w:r>
      <w:r>
        <w:t>“ znamenají společně (i) pozemky č. 1563/14, 1572/7, 1572/8, 1572/10, 1572/11, 1573/1, 1574/8, 1574/10, 1574/12, 1574/13, 1574/14, 1579/3, 1579/4, 1579/5, 1579/6, 1581/3, 1582/3, 1582/4, 1584/8, 1584/9, 1584/12, 1601/8, 1601/15, 3619/1, 3680/3, 3684/1, 4300, 4359/1, 4359/2, 4359/3, 4359/4, 4360/1, 4360/2,</w:t>
      </w:r>
    </w:p>
    <w:p w14:paraId="45FC389D" w14:textId="77777777" w:rsidR="00EC1C40" w:rsidRDefault="00000000">
      <w:pPr>
        <w:pStyle w:val="Zhlavnebozpat0"/>
        <w:framePr w:w="456" w:h="288" w:hRule="exact" w:wrap="none" w:vAnchor="page" w:hAnchor="page" w:x="5715" w:y="16085"/>
        <w:jc w:val="center"/>
        <w:rPr>
          <w:sz w:val="22"/>
          <w:szCs w:val="22"/>
        </w:rPr>
      </w:pPr>
      <w:r>
        <w:rPr>
          <w:color w:val="231E20"/>
          <w:sz w:val="22"/>
          <w:szCs w:val="22"/>
        </w:rPr>
        <w:t>3/22</w:t>
      </w:r>
    </w:p>
    <w:p w14:paraId="7814AD2F"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4C44CF39" w14:textId="77777777" w:rsidR="00EC1C40" w:rsidRDefault="00000000">
      <w:pPr>
        <w:spacing w:line="1" w:lineRule="exact"/>
      </w:pPr>
      <w:r>
        <w:rPr>
          <w:noProof/>
        </w:rPr>
        <w:lastRenderedPageBreak/>
        <mc:AlternateContent>
          <mc:Choice Requires="wps">
            <w:drawing>
              <wp:anchor distT="0" distB="0" distL="114300" distR="114300" simplePos="0" relativeHeight="251649536" behindDoc="1" locked="0" layoutInCell="1" allowOverlap="1" wp14:anchorId="7F11E448" wp14:editId="6C6F978A">
                <wp:simplePos x="0" y="0"/>
                <wp:positionH relativeFrom="page">
                  <wp:posOffset>952500</wp:posOffset>
                </wp:positionH>
                <wp:positionV relativeFrom="page">
                  <wp:posOffset>932180</wp:posOffset>
                </wp:positionV>
                <wp:extent cx="5702300" cy="0"/>
                <wp:effectExtent l="0" t="0" r="0" b="0"/>
                <wp:wrapNone/>
                <wp:docPr id="65" name="Shape 65"/>
                <wp:cNvGraphicFramePr/>
                <a:graphic xmlns:a="http://schemas.openxmlformats.org/drawingml/2006/main">
                  <a:graphicData uri="http://schemas.microsoft.com/office/word/2010/wordprocessingShape">
                    <wps:wsp>
                      <wps:cNvCnPr/>
                      <wps:spPr>
                        <a:xfrm>
                          <a:off x="0" y="0"/>
                          <a:ext cx="5702300" cy="0"/>
                        </a:xfrm>
                        <a:prstGeom prst="straightConnector1">
                          <a:avLst/>
                        </a:prstGeom>
                        <a:ln w="6350">
                          <a:solidFill/>
                        </a:ln>
                      </wps:spPr>
                      <wps:bodyPr/>
                    </wps:wsp>
                  </a:graphicData>
                </a:graphic>
              </wp:anchor>
            </w:drawing>
          </mc:Choice>
          <mc:Fallback>
            <w:pict>
              <v:shape o:spt="32" o:oned="true" path="m,l21600,21600e" style="position:absolute;margin-left:75.pt;margin-top:73.400000000000006pt;width:449.pt;height:0;z-index:-251658240;mso-position-horizontal-relative:page;mso-position-vertical-relative:page">
                <v:stroke weight="0.5pt"/>
              </v:shape>
            </w:pict>
          </mc:Fallback>
        </mc:AlternateContent>
      </w:r>
    </w:p>
    <w:p w14:paraId="06CE8DF6" w14:textId="77777777" w:rsidR="00EC1C40" w:rsidRDefault="00000000">
      <w:pPr>
        <w:pStyle w:val="Zhlavnebozpat0"/>
        <w:framePr w:wrap="none" w:vAnchor="page" w:hAnchor="page" w:x="5091" w:y="1186"/>
      </w:pPr>
      <w:r>
        <w:t>Dohoda o úpravě vztahů</w:t>
      </w:r>
    </w:p>
    <w:p w14:paraId="3D28B816" w14:textId="77777777" w:rsidR="00EC1C40" w:rsidRDefault="00000000">
      <w:pPr>
        <w:pStyle w:val="Zkladntext1"/>
        <w:framePr w:w="9125" w:h="13594" w:hRule="exact" w:wrap="none" w:vAnchor="page" w:hAnchor="page" w:x="1381" w:y="1940"/>
        <w:ind w:left="1260"/>
        <w:jc w:val="both"/>
      </w:pPr>
      <w:r>
        <w:t xml:space="preserve">4360/3, 4360/4, 4360/5, 4360/6, 4360/7, 4360/8, 4381, 4382/1, 4382/2, 4382/4, 4383/1, 4383/2, 4383/3, 4383/4, 4384/1, 4384/2, </w:t>
      </w:r>
      <w:proofErr w:type="spellStart"/>
      <w:r>
        <w:t>k.ú</w:t>
      </w:r>
      <w:proofErr w:type="spellEnd"/>
      <w:r>
        <w:t xml:space="preserve">. Pardubice, a to v rozsahu graficky vyznačeném v </w:t>
      </w:r>
      <w:r>
        <w:rPr>
          <w:u w:val="single"/>
        </w:rPr>
        <w:t>Příloze č. 1</w:t>
      </w:r>
      <w:r>
        <w:t xml:space="preserve"> této Dohody, (</w:t>
      </w:r>
      <w:proofErr w:type="spellStart"/>
      <w:r>
        <w:t>ii</w:t>
      </w:r>
      <w:proofErr w:type="spellEnd"/>
      <w:r>
        <w:t xml:space="preserve">) pozemky, které jsou předmětem Směny 1 </w:t>
      </w:r>
      <w:r>
        <w:rPr>
          <w:i/>
          <w:iCs/>
        </w:rPr>
        <w:t>(jak je tento pojem definován v Plánovací smlouvě)</w:t>
      </w:r>
      <w:r>
        <w:t xml:space="preserve"> realizované mezi Investorem a SMP, včetně Budoucího pozemku SMP 1 a (</w:t>
      </w:r>
      <w:proofErr w:type="spellStart"/>
      <w:r>
        <w:t>iii</w:t>
      </w:r>
      <w:proofErr w:type="spellEnd"/>
      <w:r>
        <w:t xml:space="preserve">) pozemky (jejich části), které jsou předmětem Směny 2 </w:t>
      </w:r>
      <w:r>
        <w:rPr>
          <w:i/>
          <w:iCs/>
        </w:rPr>
        <w:t>(jak je tento pojem definován v Plánovací smlouvě)</w:t>
      </w:r>
      <w:r>
        <w:t xml:space="preserve"> realizované mezi Investorem a SMP, včetně Budoucích pozemků SMP 2 (tj. v rozsahu směňovaných částí pozemků);</w:t>
      </w:r>
    </w:p>
    <w:p w14:paraId="5E2AF3CA" w14:textId="77777777" w:rsidR="00EC1C40" w:rsidRDefault="00000000">
      <w:pPr>
        <w:pStyle w:val="Zkladntext1"/>
        <w:framePr w:w="9125" w:h="13594" w:hRule="exact" w:wrap="none" w:vAnchor="page" w:hAnchor="page" w:x="1381" w:y="1940"/>
        <w:numPr>
          <w:ilvl w:val="2"/>
          <w:numId w:val="20"/>
        </w:numPr>
        <w:tabs>
          <w:tab w:val="left" w:pos="1296"/>
        </w:tabs>
        <w:ind w:left="1260" w:hanging="680"/>
        <w:jc w:val="both"/>
      </w:pPr>
      <w:r>
        <w:t>„</w:t>
      </w:r>
      <w:r>
        <w:rPr>
          <w:b/>
          <w:bCs/>
        </w:rPr>
        <w:t>Rozhodnutí o povolení Odstranění odpadů a znečištění</w:t>
      </w:r>
      <w:r>
        <w:t>“ znamená rozhodnutí o povolení stavby „</w:t>
      </w:r>
      <w:r>
        <w:rPr>
          <w:i/>
          <w:iCs/>
        </w:rPr>
        <w:t>Odstranění odpadů a znečištění z prostoru bývalé cihelny v Pardubicích pro výstavbu multifunkční haly</w:t>
      </w:r>
      <w:r>
        <w:t xml:space="preserve">“, </w:t>
      </w:r>
      <w:proofErr w:type="spellStart"/>
      <w:r>
        <w:t>sp</w:t>
      </w:r>
      <w:proofErr w:type="spellEnd"/>
      <w:r>
        <w:t xml:space="preserve">. zn.: SÚ 65346/2025/Se, č.j.: </w:t>
      </w:r>
      <w:proofErr w:type="spellStart"/>
      <w:r>
        <w:t>MmP</w:t>
      </w:r>
      <w:proofErr w:type="spellEnd"/>
      <w:r>
        <w:t xml:space="preserve"> 96232/2025, vydané dne 22.7.2025, které nabylo právní moci 22.8.2025;</w:t>
      </w:r>
    </w:p>
    <w:p w14:paraId="30D77762" w14:textId="77777777" w:rsidR="00EC1C40" w:rsidRDefault="00000000">
      <w:pPr>
        <w:pStyle w:val="Zkladntext1"/>
        <w:framePr w:w="9125" w:h="13594" w:hRule="exact" w:wrap="none" w:vAnchor="page" w:hAnchor="page" w:x="1381" w:y="1940"/>
        <w:numPr>
          <w:ilvl w:val="2"/>
          <w:numId w:val="20"/>
        </w:numPr>
        <w:tabs>
          <w:tab w:val="left" w:pos="1296"/>
        </w:tabs>
        <w:ind w:left="1260" w:hanging="680"/>
        <w:jc w:val="both"/>
      </w:pPr>
      <w:r>
        <w:t>„</w:t>
      </w:r>
      <w:r>
        <w:rPr>
          <w:b/>
          <w:bCs/>
        </w:rPr>
        <w:t>Skládka</w:t>
      </w:r>
      <w:r>
        <w:t xml:space="preserve">" znamená jakoukoli (resp. každou) historicky vzniklou skládku odpadů, která se nachází nebo může nacházet v/na Pozemcích, a která pro účely této Dohody zahrnuje zejména historickou a později rekultivovanou skládku komunálního odpadu ukládaného dle dostupných informací přibližně během šedesátých a sedmdesátých let dvacátého století, provozovanou Veřejnými službami města Pardubic/Technickými službami nebo jinou osobou v části Lokality Nová Cihelna, mimo jiné i na/v Pozemcích (jejich části), jak je ke dni uzavření této Dohody evidována v systému evidence kontaminovaných míst (SEKM3) vedeném Ministerstvem životního prostředí ČR (který je veřejně dostupný z: </w:t>
      </w:r>
      <w:hyperlink r:id="rId9" w:history="1">
        <w:r>
          <w:t>https://www.sekm.cz/portal/</w:t>
        </w:r>
      </w:hyperlink>
      <w:r>
        <w:t xml:space="preserve">), a to jako „Areál bývalé cihelny Pardubice", typ lokality: skládka TKO, priorita A2.1, </w:t>
      </w:r>
      <w:proofErr w:type="spellStart"/>
      <w:r>
        <w:t>k.ú</w:t>
      </w:r>
      <w:proofErr w:type="spellEnd"/>
      <w:r>
        <w:t>. Pardubice, mimo jiné i na/v Pozemcích (jejich části), a dále jakoukoliv další skládku nacházející se v/na Pozemcích, bez ohledu na to, zda tato další skládka vznikla v souladu nebo rozporu s právními předpisy a kdo byl původcem na ní uložených odpadů a/nebo kdo byl jejím provozovatelem;</w:t>
      </w:r>
    </w:p>
    <w:p w14:paraId="550BACC3" w14:textId="77777777" w:rsidR="00EC1C40" w:rsidRDefault="00000000">
      <w:pPr>
        <w:pStyle w:val="Zkladntext1"/>
        <w:framePr w:w="9125" w:h="13594" w:hRule="exact" w:wrap="none" w:vAnchor="page" w:hAnchor="page" w:x="1381" w:y="1940"/>
        <w:numPr>
          <w:ilvl w:val="2"/>
          <w:numId w:val="20"/>
        </w:numPr>
        <w:tabs>
          <w:tab w:val="left" w:pos="1296"/>
        </w:tabs>
        <w:ind w:firstLine="580"/>
        <w:jc w:val="both"/>
      </w:pPr>
      <w:r>
        <w:t>„</w:t>
      </w:r>
      <w:r>
        <w:rPr>
          <w:b/>
          <w:bCs/>
        </w:rPr>
        <w:t>Správní řád</w:t>
      </w:r>
      <w:r>
        <w:t>“ znamená zákon č. 500/2004 Sb., správní řád, ve znění pozdějších předpisů;</w:t>
      </w:r>
    </w:p>
    <w:p w14:paraId="3BEF9D97" w14:textId="77777777" w:rsidR="00EC1C40" w:rsidRDefault="00000000">
      <w:pPr>
        <w:pStyle w:val="Zkladntext1"/>
        <w:framePr w:w="9125" w:h="13594" w:hRule="exact" w:wrap="none" w:vAnchor="page" w:hAnchor="page" w:x="1381" w:y="1940"/>
        <w:numPr>
          <w:ilvl w:val="2"/>
          <w:numId w:val="20"/>
        </w:numPr>
        <w:tabs>
          <w:tab w:val="left" w:pos="1296"/>
        </w:tabs>
        <w:spacing w:after="240"/>
        <w:ind w:left="1260" w:hanging="680"/>
        <w:jc w:val="both"/>
      </w:pPr>
      <w:r>
        <w:t>„</w:t>
      </w:r>
      <w:r>
        <w:rPr>
          <w:b/>
          <w:bCs/>
        </w:rPr>
        <w:t>Stavební zákon</w:t>
      </w:r>
      <w:r>
        <w:t>“ znamená zákon č. 283/2021 Sb., stavební zákon, ve znění pozdějších předpisů;</w:t>
      </w:r>
    </w:p>
    <w:p w14:paraId="727D8125" w14:textId="77777777" w:rsidR="00EC1C40" w:rsidRDefault="00000000">
      <w:pPr>
        <w:pStyle w:val="Zkladntext1"/>
        <w:framePr w:w="9125" w:h="13594" w:hRule="exact" w:wrap="none" w:vAnchor="page" w:hAnchor="page" w:x="1381" w:y="1940"/>
        <w:numPr>
          <w:ilvl w:val="2"/>
          <w:numId w:val="20"/>
        </w:numPr>
        <w:tabs>
          <w:tab w:val="left" w:pos="1296"/>
        </w:tabs>
        <w:ind w:left="1260" w:hanging="680"/>
        <w:jc w:val="both"/>
      </w:pPr>
      <w:r>
        <w:t>„</w:t>
      </w:r>
      <w:r>
        <w:rPr>
          <w:b/>
          <w:bCs/>
        </w:rPr>
        <w:t>Zahájení realizace mezideponie</w:t>
      </w:r>
      <w:r>
        <w:t>“ znamená den, kdy je zahájeno navážení (ukládání) odtěžené zeminy (odtěženého materiálu) z prostoru, na kterém probíhá realizace Odstranění odpadů a znečištění, do příslušné mezideponie v souladu se Změnou Rozhodnutí o povolení Odstranění odpadů a znečištění, a to za účelem jejího (jeho) vytřídění; za Zahájení realizace mezideponie se nepovažují přípravné práce, přeložky, příprava staveniště, příprava plochy pro mezideponii (včetně instalace izolační fólie a systému odvodnění), instalace zařízení staveniště, staveništní přípojky, instalace infrastruktury staveniště a další přípravné a pomocné práce, terénní úpravy (nejsou-li tyto realizovány za použití vytěžené kontaminované zeminy, respektive odpadu, jež je následně ponechána na místě realizovaných terénních úprav, naopak terénní úpravy za použití jiného materiálu, např. ornice či jiné nekontaminované zeminy atd., nejsou Zahájením realizace mezideponie), skrývky ornice, realizace přeložek sítí, instalace štětovnic, kotvení štětovnic, práce na zajištění statiky stavební jámy a samotné práce týkající se těžby zeminy (materiálu) z prostor Skládky, realizace kontrolních a čerpacích vrtů, včetně odčerpávání spodních vod;</w:t>
      </w:r>
    </w:p>
    <w:p w14:paraId="53D059BB" w14:textId="77777777" w:rsidR="00EC1C40" w:rsidRDefault="00000000">
      <w:pPr>
        <w:pStyle w:val="Zkladntext1"/>
        <w:framePr w:w="9125" w:h="13594" w:hRule="exact" w:wrap="none" w:vAnchor="page" w:hAnchor="page" w:x="1381" w:y="1940"/>
        <w:numPr>
          <w:ilvl w:val="2"/>
          <w:numId w:val="20"/>
        </w:numPr>
        <w:tabs>
          <w:tab w:val="left" w:pos="1296"/>
        </w:tabs>
        <w:ind w:left="1260" w:hanging="680"/>
        <w:jc w:val="both"/>
      </w:pPr>
      <w:r>
        <w:t>„</w:t>
      </w:r>
      <w:r>
        <w:rPr>
          <w:b/>
          <w:bCs/>
        </w:rPr>
        <w:t>Zákon o odpadech</w:t>
      </w:r>
      <w:r>
        <w:t>“ znamená zákon č. 541/2020 Sb., o odpadech, ve znění pozdějších předpisů;</w:t>
      </w:r>
    </w:p>
    <w:p w14:paraId="7B0F4D59" w14:textId="77777777" w:rsidR="00EC1C40" w:rsidRDefault="00000000">
      <w:pPr>
        <w:pStyle w:val="Zkladntext1"/>
        <w:framePr w:w="9125" w:h="13594" w:hRule="exact" w:wrap="none" w:vAnchor="page" w:hAnchor="page" w:x="1381" w:y="1940"/>
        <w:numPr>
          <w:ilvl w:val="2"/>
          <w:numId w:val="20"/>
        </w:numPr>
        <w:tabs>
          <w:tab w:val="left" w:pos="1296"/>
        </w:tabs>
        <w:spacing w:after="0"/>
        <w:ind w:left="1260" w:hanging="680"/>
        <w:jc w:val="both"/>
      </w:pPr>
      <w:r>
        <w:t>„</w:t>
      </w:r>
      <w:r>
        <w:rPr>
          <w:b/>
          <w:bCs/>
        </w:rPr>
        <w:t>Zásady</w:t>
      </w:r>
      <w:r>
        <w:t>“ znamená Zásady statutárního města Pardubice pro spolupráci s investory, schválené Zastupitelstvem města Pardubice usnesením č. Z/2736/2022 ze dne 20.1.2022.</w:t>
      </w:r>
    </w:p>
    <w:p w14:paraId="15173730" w14:textId="77777777" w:rsidR="00EC1C40" w:rsidRDefault="00000000">
      <w:pPr>
        <w:pStyle w:val="Zhlavnebozpat0"/>
        <w:framePr w:w="461" w:h="288" w:hRule="exact" w:wrap="none" w:vAnchor="page" w:hAnchor="page" w:x="5710" w:y="16085"/>
        <w:jc w:val="center"/>
        <w:rPr>
          <w:sz w:val="22"/>
          <w:szCs w:val="22"/>
        </w:rPr>
      </w:pPr>
      <w:r>
        <w:rPr>
          <w:color w:val="231E20"/>
          <w:sz w:val="22"/>
          <w:szCs w:val="22"/>
        </w:rPr>
        <w:t>4/22</w:t>
      </w:r>
    </w:p>
    <w:p w14:paraId="36ACD69F"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1FB275B8" w14:textId="77777777" w:rsidR="00EC1C40" w:rsidRDefault="00000000">
      <w:pPr>
        <w:spacing w:line="1" w:lineRule="exact"/>
      </w:pPr>
      <w:r>
        <w:rPr>
          <w:noProof/>
        </w:rPr>
        <w:lastRenderedPageBreak/>
        <mc:AlternateContent>
          <mc:Choice Requires="wps">
            <w:drawing>
              <wp:anchor distT="0" distB="0" distL="114300" distR="114300" simplePos="0" relativeHeight="251650560" behindDoc="1" locked="0" layoutInCell="1" allowOverlap="1" wp14:anchorId="10156CDE" wp14:editId="20FE2B23">
                <wp:simplePos x="0" y="0"/>
                <wp:positionH relativeFrom="page">
                  <wp:posOffset>952500</wp:posOffset>
                </wp:positionH>
                <wp:positionV relativeFrom="page">
                  <wp:posOffset>932180</wp:posOffset>
                </wp:positionV>
                <wp:extent cx="5702300" cy="0"/>
                <wp:effectExtent l="0" t="0" r="0" b="0"/>
                <wp:wrapNone/>
                <wp:docPr id="66" name="Shape 66"/>
                <wp:cNvGraphicFramePr/>
                <a:graphic xmlns:a="http://schemas.openxmlformats.org/drawingml/2006/main">
                  <a:graphicData uri="http://schemas.microsoft.com/office/word/2010/wordprocessingShape">
                    <wps:wsp>
                      <wps:cNvCnPr/>
                      <wps:spPr>
                        <a:xfrm>
                          <a:off x="0" y="0"/>
                          <a:ext cx="5702300" cy="0"/>
                        </a:xfrm>
                        <a:prstGeom prst="straightConnector1">
                          <a:avLst/>
                        </a:prstGeom>
                        <a:ln w="6350">
                          <a:solidFill/>
                        </a:ln>
                      </wps:spPr>
                      <wps:bodyPr/>
                    </wps:wsp>
                  </a:graphicData>
                </a:graphic>
              </wp:anchor>
            </w:drawing>
          </mc:Choice>
          <mc:Fallback>
            <w:pict>
              <v:shape o:spt="32" o:oned="true" path="m,l21600,21600e" style="position:absolute;margin-left:75.pt;margin-top:73.400000000000006pt;width:449.pt;height:0;z-index:-251658240;mso-position-horizontal-relative:page;mso-position-vertical-relative:page">
                <v:stroke weight="0.5pt"/>
              </v:shape>
            </w:pict>
          </mc:Fallback>
        </mc:AlternateContent>
      </w:r>
    </w:p>
    <w:p w14:paraId="1C5AD329" w14:textId="77777777" w:rsidR="00EC1C40" w:rsidRDefault="00000000">
      <w:pPr>
        <w:pStyle w:val="Zhlavnebozpat0"/>
        <w:framePr w:wrap="none" w:vAnchor="page" w:hAnchor="page" w:x="5091" w:y="1186"/>
      </w:pPr>
      <w:r>
        <w:t>Dohoda o úpravě vztahů</w:t>
      </w:r>
    </w:p>
    <w:p w14:paraId="63639207" w14:textId="77777777" w:rsidR="00EC1C40" w:rsidRDefault="00000000">
      <w:pPr>
        <w:pStyle w:val="Zkladntext1"/>
        <w:framePr w:w="9125" w:h="13536" w:hRule="exact" w:wrap="none" w:vAnchor="page" w:hAnchor="page" w:x="1381" w:y="1940"/>
        <w:numPr>
          <w:ilvl w:val="2"/>
          <w:numId w:val="20"/>
        </w:numPr>
        <w:tabs>
          <w:tab w:val="left" w:pos="1296"/>
        </w:tabs>
        <w:ind w:left="1260" w:hanging="680"/>
        <w:jc w:val="both"/>
      </w:pPr>
      <w:r>
        <w:t>„</w:t>
      </w:r>
      <w:r>
        <w:rPr>
          <w:b/>
          <w:bCs/>
        </w:rPr>
        <w:t>Změna Rozhodnutí o povolení Odstranění odpadů a znečištění</w:t>
      </w:r>
      <w:r>
        <w:t xml:space="preserve">“ znamená změnu Rozhodnutí o povolení Odstranění odpadů a znečištění, jejímž předmětem je zefektivnění procesu Odstranění odpadů a znečištění v souladu s principy odpadového hospodářství (§ 3 odst. 2 Zákona o odpadech), a jejíž projektová dokumentace byla vyhotovena společností Vodní zdroje </w:t>
      </w:r>
      <w:proofErr w:type="spellStart"/>
      <w:r>
        <w:t>Ekomonitor</w:t>
      </w:r>
      <w:proofErr w:type="spellEnd"/>
      <w:r>
        <w:t xml:space="preserve"> spol. s r.o., </w:t>
      </w:r>
      <w:proofErr w:type="spellStart"/>
      <w:r>
        <w:t>Píšťovy</w:t>
      </w:r>
      <w:proofErr w:type="spellEnd"/>
      <w:r>
        <w:t xml:space="preserve"> 820, 537 01 Chrudim III, prosinec 2025. Změna Rozhodnutí o povolení Odstranění odpadů a znečištění je době uzavření této Dohody projednávána s dotčenými orgány;</w:t>
      </w:r>
    </w:p>
    <w:p w14:paraId="7DE5F0FA" w14:textId="77777777" w:rsidR="00EC1C40" w:rsidRDefault="00000000">
      <w:pPr>
        <w:pStyle w:val="Zkladntext1"/>
        <w:framePr w:w="9125" w:h="13536" w:hRule="exact" w:wrap="none" w:vAnchor="page" w:hAnchor="page" w:x="1381" w:y="1940"/>
        <w:ind w:firstLine="580"/>
        <w:jc w:val="both"/>
      </w:pPr>
      <w:r>
        <w:t>Další zkratky jsou definovány v rámci textu Dohody.</w:t>
      </w:r>
    </w:p>
    <w:p w14:paraId="795AB03C" w14:textId="77777777" w:rsidR="00EC1C40" w:rsidRDefault="00000000">
      <w:pPr>
        <w:pStyle w:val="Zkladntext1"/>
        <w:framePr w:w="9125" w:h="13536" w:hRule="exact" w:wrap="none" w:vAnchor="page" w:hAnchor="page" w:x="1381" w:y="1940"/>
        <w:numPr>
          <w:ilvl w:val="1"/>
          <w:numId w:val="20"/>
        </w:numPr>
        <w:tabs>
          <w:tab w:val="left" w:pos="556"/>
        </w:tabs>
        <w:jc w:val="both"/>
      </w:pPr>
      <w:r>
        <w:t>Preambule a přílohy tvoří nedílnou součást této Dohody.</w:t>
      </w:r>
    </w:p>
    <w:p w14:paraId="2727F319" w14:textId="77777777" w:rsidR="00EC1C40" w:rsidRDefault="00000000">
      <w:pPr>
        <w:pStyle w:val="Zkladntext1"/>
        <w:framePr w:w="9125" w:h="13536" w:hRule="exact" w:wrap="none" w:vAnchor="page" w:hAnchor="page" w:x="1381" w:y="1940"/>
        <w:numPr>
          <w:ilvl w:val="1"/>
          <w:numId w:val="20"/>
        </w:numPr>
        <w:tabs>
          <w:tab w:val="left" w:pos="556"/>
        </w:tabs>
        <w:ind w:left="580" w:hanging="580"/>
        <w:jc w:val="both"/>
      </w:pPr>
      <w:r>
        <w:t>Odkazuje-li tato Dohoda na určitý právní předpis, nebo určité ustanovení v právním předpisu, zahrnuje takový odkaz i odkaz na právní předpis, popřípadě ustanovení právního předpisu, který jej kdykoli v budoucnu nahradí.</w:t>
      </w:r>
    </w:p>
    <w:p w14:paraId="42A5BEF4" w14:textId="77777777" w:rsidR="00EC1C40" w:rsidRDefault="00000000">
      <w:pPr>
        <w:pStyle w:val="Zkladntext1"/>
        <w:framePr w:w="9125" w:h="13536" w:hRule="exact" w:wrap="none" w:vAnchor="page" w:hAnchor="page" w:x="1381" w:y="1940"/>
        <w:numPr>
          <w:ilvl w:val="1"/>
          <w:numId w:val="20"/>
        </w:numPr>
        <w:tabs>
          <w:tab w:val="left" w:pos="556"/>
        </w:tabs>
        <w:ind w:left="580" w:hanging="580"/>
        <w:jc w:val="both"/>
      </w:pPr>
      <w:r>
        <w:t>Smluvní strany prohlašují, že si v rámci probíhajících jednání o této Dohodě v maximální možné míře vyjasnily obsah a význam výrazů a pojmů použitých v této Dohodě, a že v případě jakýchkoli pochybností o přesném významu takového výrazu si Smluvní strany tento nejasný či nepřesný význam výrazu použitého v této Dohodě nechaly náležitým způsobem vysvětlit.</w:t>
      </w:r>
    </w:p>
    <w:p w14:paraId="6B9B6B4F" w14:textId="77777777" w:rsidR="00EC1C40" w:rsidRDefault="00000000">
      <w:pPr>
        <w:pStyle w:val="Zkladntext1"/>
        <w:framePr w:w="9125" w:h="13536" w:hRule="exact" w:wrap="none" w:vAnchor="page" w:hAnchor="page" w:x="1381" w:y="1940"/>
        <w:numPr>
          <w:ilvl w:val="1"/>
          <w:numId w:val="20"/>
        </w:numPr>
        <w:tabs>
          <w:tab w:val="left" w:pos="556"/>
        </w:tabs>
        <w:ind w:left="580" w:hanging="580"/>
        <w:jc w:val="both"/>
      </w:pPr>
      <w:r>
        <w:t>Smluvní strany jsou si vědomy, že veškeré povinnosti, k nimž se SMP zavazuje v rámci této Dohody, se týkají výhradně výkonu samostatné působnosti SMP. Žádné ustanovení této Dohody nesmí být vykládáno takovým způsobem, že zakládá SMP povinnost či jakkoli ovlivňuje činnost SMP v těch oblastech, ve kterých SMP vystupuje v rámci přenesené působnosti.</w:t>
      </w:r>
    </w:p>
    <w:p w14:paraId="44709947" w14:textId="77777777" w:rsidR="00EC1C40" w:rsidRDefault="00000000">
      <w:pPr>
        <w:pStyle w:val="Nadpis60"/>
        <w:framePr w:w="9125" w:h="13536" w:hRule="exact" w:wrap="none" w:vAnchor="page" w:hAnchor="page" w:x="1381" w:y="1940"/>
        <w:numPr>
          <w:ilvl w:val="0"/>
          <w:numId w:val="20"/>
        </w:numPr>
        <w:tabs>
          <w:tab w:val="left" w:pos="556"/>
        </w:tabs>
        <w:jc w:val="both"/>
      </w:pPr>
      <w:bookmarkStart w:id="39" w:name="bookmark79"/>
      <w:r>
        <w:t>Odstranění odpadů a znečištění</w:t>
      </w:r>
      <w:bookmarkEnd w:id="39"/>
    </w:p>
    <w:p w14:paraId="2EB52212" w14:textId="77777777" w:rsidR="00EC1C40" w:rsidRDefault="00000000">
      <w:pPr>
        <w:pStyle w:val="Zkladntext1"/>
        <w:framePr w:w="9125" w:h="13536" w:hRule="exact" w:wrap="none" w:vAnchor="page" w:hAnchor="page" w:x="1381" w:y="1940"/>
        <w:numPr>
          <w:ilvl w:val="1"/>
          <w:numId w:val="20"/>
        </w:numPr>
        <w:tabs>
          <w:tab w:val="left" w:pos="556"/>
        </w:tabs>
        <w:ind w:left="580" w:hanging="580"/>
        <w:jc w:val="both"/>
      </w:pPr>
      <w:r>
        <w:t>Smluvní strany jsou si vědomy, že na/v Pozemcích (některých z nich) nebo jejich částech se nachází Skládka.</w:t>
      </w:r>
    </w:p>
    <w:p w14:paraId="75E8C7E1" w14:textId="77777777" w:rsidR="00EC1C40" w:rsidRDefault="00000000">
      <w:pPr>
        <w:pStyle w:val="Zkladntext1"/>
        <w:framePr w:w="9125" w:h="13536" w:hRule="exact" w:wrap="none" w:vAnchor="page" w:hAnchor="page" w:x="1381" w:y="1940"/>
        <w:numPr>
          <w:ilvl w:val="1"/>
          <w:numId w:val="20"/>
        </w:numPr>
        <w:tabs>
          <w:tab w:val="left" w:pos="556"/>
        </w:tabs>
        <w:ind w:left="580" w:hanging="580"/>
        <w:jc w:val="both"/>
      </w:pPr>
      <w:r>
        <w:t>Smluvní strany dále konstatují, že Odstranění odpadů a znečištění (tj. odstranění Skládky) za podmínek stanovených touto Dohodou je jedním ze základních předpokladů pro realizaci Investičního záměru a obecně i jakékoli výstavby v Lokalitě Nová Cihelna. Smluvní strany jsou si vědomy prospěšnosti Odstranění odpadů a znečištění pro Lokalitu Nová Cihelna, zejména s ohledem na eliminaci rizik pro životní prostředí. Smluvní strany s Odstraněním odpadů a znečištění souhlasí.</w:t>
      </w:r>
    </w:p>
    <w:p w14:paraId="7E48FD8B" w14:textId="77777777" w:rsidR="00EC1C40" w:rsidRDefault="00000000">
      <w:pPr>
        <w:pStyle w:val="Zkladntext1"/>
        <w:framePr w:w="9125" w:h="13536" w:hRule="exact" w:wrap="none" w:vAnchor="page" w:hAnchor="page" w:x="1381" w:y="1940"/>
        <w:numPr>
          <w:ilvl w:val="1"/>
          <w:numId w:val="20"/>
        </w:numPr>
        <w:tabs>
          <w:tab w:val="left" w:pos="556"/>
        </w:tabs>
        <w:ind w:left="580" w:hanging="580"/>
        <w:jc w:val="both"/>
      </w:pPr>
      <w:r>
        <w:t>Investor je připraven za dále stanovených podmínek provést Odstranění odpadů a znečištění. Smluvní strany jsou si vědomy, že Odstranění odpadů a znečištění je podmíněno celou řadou skutečností, zejména existencí a účinností příslušných rozhodnutí, kterými se povoluje realizace Odstranění odpadů a znečištění, poskytnutím příslušné dotace na Odstranění odpadů a znečištění atd. Investor není na základě této Dohody, ani na základě jakékoli jiné smlouvy s SMP povinen realizovat Odstranění odpadů a znečištění. Investor dále prohlašuje, že není ani na základě jiné právní skutečnosti povinen realizovat proces Odstranění odpadů a znečištění.</w:t>
      </w:r>
    </w:p>
    <w:p w14:paraId="5133B29C" w14:textId="77777777" w:rsidR="00EC1C40" w:rsidRDefault="00000000">
      <w:pPr>
        <w:pStyle w:val="Zkladntext1"/>
        <w:framePr w:w="9125" w:h="13536" w:hRule="exact" w:wrap="none" w:vAnchor="page" w:hAnchor="page" w:x="1381" w:y="1940"/>
        <w:ind w:left="580"/>
        <w:jc w:val="both"/>
      </w:pPr>
      <w:r>
        <w:t>Rozsah, průběh, způsob a zahájení Odstranění odpadů a znečištění stanoví výhradně Investor (Investor je tak oprávněn rozhodnout, že Odstranění odpadů a znečištění bude realizovat jen na části Pozemků či některých z nich atd.).</w:t>
      </w:r>
    </w:p>
    <w:p w14:paraId="4757E0EA" w14:textId="77777777" w:rsidR="00EC1C40" w:rsidRDefault="00000000">
      <w:pPr>
        <w:pStyle w:val="Zkladntext1"/>
        <w:framePr w:w="9125" w:h="13536" w:hRule="exact" w:wrap="none" w:vAnchor="page" w:hAnchor="page" w:x="1381" w:y="1940"/>
        <w:ind w:left="580"/>
        <w:jc w:val="both"/>
      </w:pPr>
      <w:r>
        <w:t>Pokud Investor zahájí realizaci Zahájení realizace mezideponie, bude Investor postupovat takovým způsobem, aby Odstranění odpadu z mezideponie nastalo do třiceti dvou (32) měsíců od Zahájení realizace mezideponie (dále jen „</w:t>
      </w:r>
      <w:r>
        <w:rPr>
          <w:b/>
          <w:bCs/>
        </w:rPr>
        <w:t>Milník</w:t>
      </w:r>
      <w:r>
        <w:t>“). Zahájení realizace mezideponie a Odstranění odpadu z mezideponie oznámí Investor SMP.</w:t>
      </w:r>
    </w:p>
    <w:p w14:paraId="115C4D79" w14:textId="77777777" w:rsidR="00EC1C40" w:rsidRDefault="00000000">
      <w:pPr>
        <w:pStyle w:val="Zkladntext1"/>
        <w:framePr w:w="9125" w:h="13536" w:hRule="exact" w:wrap="none" w:vAnchor="page" w:hAnchor="page" w:x="1381" w:y="1940"/>
        <w:spacing w:after="0"/>
        <w:ind w:left="580"/>
        <w:jc w:val="both"/>
      </w:pPr>
      <w:r>
        <w:t>Milník se prodlužuje vždy o dobu trvání objektivních překážek a trvání jejich důsledků, přičemž mezi tyto objektivní překážky patří zejména:</w:t>
      </w:r>
    </w:p>
    <w:p w14:paraId="1D14D3FB" w14:textId="77777777" w:rsidR="00EC1C40" w:rsidRDefault="00000000">
      <w:pPr>
        <w:pStyle w:val="Zhlavnebozpat0"/>
        <w:framePr w:w="456" w:h="288" w:hRule="exact" w:wrap="none" w:vAnchor="page" w:hAnchor="page" w:x="5715" w:y="16085"/>
        <w:jc w:val="center"/>
        <w:rPr>
          <w:sz w:val="22"/>
          <w:szCs w:val="22"/>
        </w:rPr>
      </w:pPr>
      <w:r>
        <w:rPr>
          <w:color w:val="231E20"/>
          <w:sz w:val="22"/>
          <w:szCs w:val="22"/>
        </w:rPr>
        <w:t>5/22</w:t>
      </w:r>
    </w:p>
    <w:p w14:paraId="4315006D"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17BE30F0" w14:textId="77777777" w:rsidR="00EC1C40" w:rsidRDefault="00000000">
      <w:pPr>
        <w:spacing w:line="1" w:lineRule="exact"/>
      </w:pPr>
      <w:r>
        <w:rPr>
          <w:noProof/>
        </w:rPr>
        <w:lastRenderedPageBreak/>
        <mc:AlternateContent>
          <mc:Choice Requires="wps">
            <w:drawing>
              <wp:anchor distT="0" distB="0" distL="114300" distR="114300" simplePos="0" relativeHeight="251651584" behindDoc="1" locked="0" layoutInCell="1" allowOverlap="1" wp14:anchorId="51C990D1" wp14:editId="3CC5771F">
                <wp:simplePos x="0" y="0"/>
                <wp:positionH relativeFrom="page">
                  <wp:posOffset>952500</wp:posOffset>
                </wp:positionH>
                <wp:positionV relativeFrom="page">
                  <wp:posOffset>932180</wp:posOffset>
                </wp:positionV>
                <wp:extent cx="5702300" cy="0"/>
                <wp:effectExtent l="0" t="0" r="0" b="0"/>
                <wp:wrapNone/>
                <wp:docPr id="67" name="Shape 67"/>
                <wp:cNvGraphicFramePr/>
                <a:graphic xmlns:a="http://schemas.openxmlformats.org/drawingml/2006/main">
                  <a:graphicData uri="http://schemas.microsoft.com/office/word/2010/wordprocessingShape">
                    <wps:wsp>
                      <wps:cNvCnPr/>
                      <wps:spPr>
                        <a:xfrm>
                          <a:off x="0" y="0"/>
                          <a:ext cx="5702300" cy="0"/>
                        </a:xfrm>
                        <a:prstGeom prst="straightConnector1">
                          <a:avLst/>
                        </a:prstGeom>
                        <a:ln w="6350">
                          <a:solidFill/>
                        </a:ln>
                      </wps:spPr>
                      <wps:bodyPr/>
                    </wps:wsp>
                  </a:graphicData>
                </a:graphic>
              </wp:anchor>
            </w:drawing>
          </mc:Choice>
          <mc:Fallback>
            <w:pict>
              <v:shape o:spt="32" o:oned="true" path="m,l21600,21600e" style="position:absolute;margin-left:75.pt;margin-top:73.400000000000006pt;width:449.pt;height:0;z-index:-251658240;mso-position-horizontal-relative:page;mso-position-vertical-relative:page">
                <v:stroke weight="0.5pt"/>
              </v:shape>
            </w:pict>
          </mc:Fallback>
        </mc:AlternateContent>
      </w:r>
    </w:p>
    <w:p w14:paraId="76682AC5" w14:textId="77777777" w:rsidR="00EC1C40" w:rsidRDefault="00000000">
      <w:pPr>
        <w:pStyle w:val="Zhlavnebozpat0"/>
        <w:framePr w:wrap="none" w:vAnchor="page" w:hAnchor="page" w:x="5091" w:y="1186"/>
      </w:pPr>
      <w:r>
        <w:t>Dohoda o úpravě vztahů</w:t>
      </w:r>
    </w:p>
    <w:p w14:paraId="153DC1A1" w14:textId="77777777" w:rsidR="00EC1C40" w:rsidRDefault="00000000">
      <w:pPr>
        <w:pStyle w:val="Zkladntext1"/>
        <w:framePr w:w="9125" w:h="13445" w:hRule="exact" w:wrap="none" w:vAnchor="page" w:hAnchor="page" w:x="1381" w:y="1940"/>
        <w:numPr>
          <w:ilvl w:val="0"/>
          <w:numId w:val="21"/>
        </w:numPr>
        <w:tabs>
          <w:tab w:val="left" w:pos="883"/>
        </w:tabs>
        <w:ind w:left="580"/>
        <w:jc w:val="both"/>
      </w:pPr>
      <w:r>
        <w:t>prodlení orgánů veřejné moci s vydáním rozhodnutí či jiných správních aktů (včetně závazných stanovisek atp.) nezbytných pro povolení a realizaci Odstranění odpadů a znečištění (včetně změn těchto rozhodnutí či jiných správních aktů), a to oproti právními předpisy stanoveným lhůtám, pokud toto prodlení není zaviněno Investorem (pro účely tohoto bodu se právními předpisy stanovené lhůtě rozumí taková lhůta, ve které má příslušný orgán vydat v souladu s právními předpisy rozhodnutí, stanovisko, závazné stanovisko, vyjádření atd., přičemž pokud právní předpisy umožňují správnímu orgánu prodloužení takové lhůty, je pro účely tohoto ustanovení relevantní takto prodloužená lhůta, maximálně však prodloužená o tři (3) měsíce, tj. vše nad tuto lhůtu se již počítá do prodlení orgánů veřejné moci dle tohoto ustanovení),</w:t>
      </w:r>
    </w:p>
    <w:p w14:paraId="7D39ECEA" w14:textId="77777777" w:rsidR="00EC1C40" w:rsidRDefault="00000000">
      <w:pPr>
        <w:pStyle w:val="Zkladntext1"/>
        <w:framePr w:w="9125" w:h="13445" w:hRule="exact" w:wrap="none" w:vAnchor="page" w:hAnchor="page" w:x="1381" w:y="1940"/>
        <w:numPr>
          <w:ilvl w:val="0"/>
          <w:numId w:val="21"/>
        </w:numPr>
        <w:tabs>
          <w:tab w:val="left" w:pos="946"/>
        </w:tabs>
        <w:ind w:left="580"/>
        <w:jc w:val="both"/>
      </w:pPr>
      <w:r>
        <w:t>doba, o kterou je vydání a nabytí právní moci (a právních účinků) příslušných rozhodnutí či jiných správních aktů (včetně závazných stanovisek atp.) nezbytných pro realizaci Odstranění odpadů a znečištění (včetně Rozhodnutí o povolení Odstranění odpadů a znečištění a jeho změn) prodloužena v důsledku uplatnění opravného prostředku (řádného, mimořádného či dozorčího) ze strany účastníků řízení, ze strany třetích osob nebo ze strany orgánů veřejné moci (včetně podání odvolání, podnětu k provedení přezkumného řízení a přezkumného řízení zahájeného na jeho základě, přezkumného řízení zahájeného ex offo atd.), tj. doba trvání takovýchto řízení,</w:t>
      </w:r>
    </w:p>
    <w:p w14:paraId="3242CC63" w14:textId="77777777" w:rsidR="00EC1C40" w:rsidRDefault="00000000">
      <w:pPr>
        <w:pStyle w:val="Zkladntext1"/>
        <w:framePr w:w="9125" w:h="13445" w:hRule="exact" w:wrap="none" w:vAnchor="page" w:hAnchor="page" w:x="1381" w:y="1940"/>
        <w:numPr>
          <w:ilvl w:val="0"/>
          <w:numId w:val="21"/>
        </w:numPr>
        <w:tabs>
          <w:tab w:val="left" w:pos="974"/>
        </w:tabs>
        <w:ind w:left="580"/>
        <w:jc w:val="both"/>
      </w:pPr>
      <w:r>
        <w:t>absence poskytnutí součinnosti ze strany SMP a osob (subjektů) ovládaných SMP potřebné k realizaci Odstranění odpadů a znečištění,</w:t>
      </w:r>
    </w:p>
    <w:p w14:paraId="47A7C3B6" w14:textId="77777777" w:rsidR="00EC1C40" w:rsidRDefault="00000000">
      <w:pPr>
        <w:pStyle w:val="Zkladntext1"/>
        <w:framePr w:w="9125" w:h="13445" w:hRule="exact" w:wrap="none" w:vAnchor="page" w:hAnchor="page" w:x="1381" w:y="1940"/>
        <w:numPr>
          <w:ilvl w:val="0"/>
          <w:numId w:val="21"/>
        </w:numPr>
        <w:tabs>
          <w:tab w:val="left" w:pos="984"/>
        </w:tabs>
        <w:ind w:left="580"/>
        <w:jc w:val="both"/>
      </w:pPr>
      <w:r>
        <w:t>doba trvání řízení zahájeného na základě žaloby či jiného obdobného procesního prostředku podané proti Rozhodnutí o povolení Odstranění odpadů a znečištění a jeho změnám (včetně Změny Rozhodnutí o povolení Odstranění odpadů a znečištění) či proti jiným rozhodnutím a/nebo správním aktům nezbytným pro realizaci Odstranění odpadů a znečištění, či doba trvání přezkumného řízení,</w:t>
      </w:r>
    </w:p>
    <w:p w14:paraId="0A0BFD7B" w14:textId="77777777" w:rsidR="00EC1C40" w:rsidRDefault="00000000">
      <w:pPr>
        <w:pStyle w:val="Zkladntext1"/>
        <w:framePr w:w="9125" w:h="13445" w:hRule="exact" w:wrap="none" w:vAnchor="page" w:hAnchor="page" w:x="1381" w:y="1940"/>
        <w:numPr>
          <w:ilvl w:val="0"/>
          <w:numId w:val="21"/>
        </w:numPr>
        <w:tabs>
          <w:tab w:val="left" w:pos="931"/>
        </w:tabs>
        <w:ind w:left="580"/>
        <w:jc w:val="both"/>
      </w:pPr>
      <w:r>
        <w:t>doba trvání řízení zahájeného na základě kasační stížnosti podané proti rozhodnutí soudu o podané žalobě proti Rozhodnutí o povolení Odstranění odpadů a znečištění a jeho změnám či proti jiným rozhodnutím a/nebo správním aktům nezbytným pro realizaci Odstranění odpadů a znečištění, popřípadě doba trvání řízení o ústavní stížnosti,</w:t>
      </w:r>
    </w:p>
    <w:p w14:paraId="0907FB6E" w14:textId="77777777" w:rsidR="00EC1C40" w:rsidRDefault="00000000">
      <w:pPr>
        <w:pStyle w:val="Zkladntext1"/>
        <w:framePr w:w="9125" w:h="13445" w:hRule="exact" w:wrap="none" w:vAnchor="page" w:hAnchor="page" w:x="1381" w:y="1940"/>
        <w:numPr>
          <w:ilvl w:val="0"/>
          <w:numId w:val="21"/>
        </w:numPr>
        <w:tabs>
          <w:tab w:val="left" w:pos="979"/>
        </w:tabs>
        <w:ind w:left="580"/>
        <w:jc w:val="both"/>
      </w:pPr>
      <w:r>
        <w:t>doba, po kterou trvá překážka nastalá v souvislosti s financováním Odstranění odpadů a znečištění nezaviněná Investorem (např. zrušení titulu pro poskytnutí financování nezaviněné Investorem, neposkytnutí či zrušení dotace na Odstranění odpadů a znečištění, podstatné snížení objemu poskytovaných úvěrů na úvěrovém trhu např. v důsledku podstatného navýšení úrokových sazeb či následkem vnější události (např. hospodářská krize, popřípadě jiný vnější šok atd.),</w:t>
      </w:r>
    </w:p>
    <w:p w14:paraId="124550BA" w14:textId="77777777" w:rsidR="00EC1C40" w:rsidRDefault="00000000">
      <w:pPr>
        <w:pStyle w:val="Zkladntext1"/>
        <w:framePr w:w="9125" w:h="13445" w:hRule="exact" w:wrap="none" w:vAnchor="page" w:hAnchor="page" w:x="1381" w:y="1940"/>
        <w:numPr>
          <w:ilvl w:val="0"/>
          <w:numId w:val="21"/>
        </w:numPr>
        <w:tabs>
          <w:tab w:val="left" w:pos="1037"/>
        </w:tabs>
        <w:ind w:left="580"/>
        <w:jc w:val="both"/>
      </w:pPr>
      <w:r>
        <w:t xml:space="preserve">neposkytnutí rozumně </w:t>
      </w:r>
      <w:proofErr w:type="spellStart"/>
      <w:r>
        <w:t>požadovatelné</w:t>
      </w:r>
      <w:proofErr w:type="spellEnd"/>
      <w:r>
        <w:t xml:space="preserve"> součinnosti ze strany investorů či jiných osob, v Lokalitě Nová Cihelna potřebné pro realizaci Odstranění odpadů a znečištění (např. převod vlastnického práva k pozemkům potřebným pro Odstranění odpadů a znečištění na Investora atp.),</w:t>
      </w:r>
    </w:p>
    <w:p w14:paraId="0836B808" w14:textId="77777777" w:rsidR="00EC1C40" w:rsidRDefault="00000000">
      <w:pPr>
        <w:pStyle w:val="Zkladntext1"/>
        <w:framePr w:w="9125" w:h="13445" w:hRule="exact" w:wrap="none" w:vAnchor="page" w:hAnchor="page" w:x="1381" w:y="1940"/>
        <w:numPr>
          <w:ilvl w:val="0"/>
          <w:numId w:val="21"/>
        </w:numPr>
        <w:tabs>
          <w:tab w:val="left" w:pos="1075"/>
        </w:tabs>
        <w:ind w:firstLine="580"/>
        <w:jc w:val="both"/>
      </w:pPr>
      <w:r>
        <w:t>doba, po kterou trvá překážka vyšší moci a její následky ve smyslu čl. 14 této Dohody,</w:t>
      </w:r>
    </w:p>
    <w:p w14:paraId="363EB0D2" w14:textId="77777777" w:rsidR="00EC1C40" w:rsidRDefault="00000000">
      <w:pPr>
        <w:pStyle w:val="Zkladntext1"/>
        <w:framePr w:w="9125" w:h="13445" w:hRule="exact" w:wrap="none" w:vAnchor="page" w:hAnchor="page" w:x="1381" w:y="1940"/>
        <w:numPr>
          <w:ilvl w:val="0"/>
          <w:numId w:val="21"/>
        </w:numPr>
        <w:tabs>
          <w:tab w:val="left" w:pos="1014"/>
        </w:tabs>
        <w:ind w:left="580"/>
        <w:jc w:val="both"/>
      </w:pPr>
      <w:r>
        <w:t>doba, po kterou trvají nepříznivé povětrnostní či klimatické podmínky (např. mráz, déšť, vichřice/silný vítr) znemožňující realizaci Odstranění odpadů a znečištění (včetně třídění vytěženého materiálu v prostorách mezideponie);</w:t>
      </w:r>
    </w:p>
    <w:p w14:paraId="1E123EAF" w14:textId="77777777" w:rsidR="00EC1C40" w:rsidRDefault="00000000">
      <w:pPr>
        <w:pStyle w:val="Zkladntext1"/>
        <w:framePr w:w="9125" w:h="13445" w:hRule="exact" w:wrap="none" w:vAnchor="page" w:hAnchor="page" w:x="1381" w:y="1940"/>
        <w:numPr>
          <w:ilvl w:val="0"/>
          <w:numId w:val="21"/>
        </w:numPr>
        <w:tabs>
          <w:tab w:val="left" w:pos="941"/>
        </w:tabs>
        <w:spacing w:after="0"/>
        <w:ind w:left="580"/>
        <w:jc w:val="both"/>
      </w:pPr>
      <w:r>
        <w:t>kterákoli z následujících skutečností: (a) doba, po kterou probíhá zadávací řízení, jehož předmětem je výběr dodavatele, který bude realizovat Odstranění odpadů a znečištění či kteroukoli jeho část (včetně třídění vytěženého materiálu či odvozu odpadu z mezideponie) (dále jen „</w:t>
      </w:r>
      <w:r>
        <w:rPr>
          <w:b/>
          <w:bCs/>
        </w:rPr>
        <w:t>Zadávací řízení</w:t>
      </w:r>
      <w:r>
        <w:t>“), dle zákona č. 134/2016 Sb., o zadávání veřejných zakázek, ve znění pozdějších předpisů, déle jak šest (6) měsíců (tj. doba trvání Zadávacího řízení v délce maximálně</w:t>
      </w:r>
    </w:p>
    <w:p w14:paraId="3CFB839C" w14:textId="77777777" w:rsidR="00EC1C40" w:rsidRDefault="00000000">
      <w:pPr>
        <w:pStyle w:val="Zhlavnebozpat0"/>
        <w:framePr w:w="456" w:h="288" w:hRule="exact" w:wrap="none" w:vAnchor="page" w:hAnchor="page" w:x="5715" w:y="16085"/>
        <w:jc w:val="center"/>
        <w:rPr>
          <w:sz w:val="22"/>
          <w:szCs w:val="22"/>
        </w:rPr>
      </w:pPr>
      <w:r>
        <w:rPr>
          <w:color w:val="231E20"/>
          <w:sz w:val="22"/>
          <w:szCs w:val="22"/>
        </w:rPr>
        <w:t>6/22</w:t>
      </w:r>
    </w:p>
    <w:p w14:paraId="17F4CED1"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25AEE4EB" w14:textId="77777777" w:rsidR="00EC1C40" w:rsidRDefault="00000000">
      <w:pPr>
        <w:spacing w:line="1" w:lineRule="exact"/>
      </w:pPr>
      <w:r>
        <w:rPr>
          <w:noProof/>
        </w:rPr>
        <w:lastRenderedPageBreak/>
        <mc:AlternateContent>
          <mc:Choice Requires="wps">
            <w:drawing>
              <wp:anchor distT="0" distB="0" distL="114300" distR="114300" simplePos="0" relativeHeight="251652608" behindDoc="1" locked="0" layoutInCell="1" allowOverlap="1" wp14:anchorId="7E77A7E4" wp14:editId="4F70C88B">
                <wp:simplePos x="0" y="0"/>
                <wp:positionH relativeFrom="page">
                  <wp:posOffset>946150</wp:posOffset>
                </wp:positionH>
                <wp:positionV relativeFrom="page">
                  <wp:posOffset>932180</wp:posOffset>
                </wp:positionV>
                <wp:extent cx="5702935" cy="0"/>
                <wp:effectExtent l="0" t="0" r="0" b="0"/>
                <wp:wrapNone/>
                <wp:docPr id="68" name="Shape 68"/>
                <wp:cNvGraphicFramePr/>
                <a:graphic xmlns:a="http://schemas.openxmlformats.org/drawingml/2006/main">
                  <a:graphicData uri="http://schemas.microsoft.com/office/word/2010/wordprocessingShape">
                    <wps:wsp>
                      <wps:cNvCnPr/>
                      <wps:spPr>
                        <a:xfrm>
                          <a:off x="0" y="0"/>
                          <a:ext cx="5702935" cy="0"/>
                        </a:xfrm>
                        <a:prstGeom prst="straightConnector1">
                          <a:avLst/>
                        </a:prstGeom>
                        <a:ln w="6350">
                          <a:solidFill/>
                        </a:ln>
                      </wps:spPr>
                      <wps:bodyPr/>
                    </wps:wsp>
                  </a:graphicData>
                </a:graphic>
              </wp:anchor>
            </w:drawing>
          </mc:Choice>
          <mc:Fallback>
            <w:pict>
              <v:shape o:spt="32" o:oned="true" path="m,l21600,21600e" style="position:absolute;margin-left:74.5pt;margin-top:73.400000000000006pt;width:449.05000000000001pt;height:0;z-index:-251658240;mso-position-horizontal-relative:page;mso-position-vertical-relative:page">
                <v:stroke weight="0.5pt"/>
              </v:shape>
            </w:pict>
          </mc:Fallback>
        </mc:AlternateContent>
      </w:r>
    </w:p>
    <w:p w14:paraId="4190DFAA" w14:textId="77777777" w:rsidR="00EC1C40" w:rsidRDefault="00000000">
      <w:pPr>
        <w:pStyle w:val="Zhlavnebozpat0"/>
        <w:framePr w:wrap="none" w:vAnchor="page" w:hAnchor="page" w:x="5081" w:y="1186"/>
      </w:pPr>
      <w:r>
        <w:t>Dohoda o úpravě vztahů</w:t>
      </w:r>
    </w:p>
    <w:tbl>
      <w:tblPr>
        <w:tblOverlap w:val="never"/>
        <w:tblW w:w="0" w:type="auto"/>
        <w:tblLayout w:type="fixed"/>
        <w:tblCellMar>
          <w:left w:w="10" w:type="dxa"/>
          <w:right w:w="10" w:type="dxa"/>
        </w:tblCellMar>
        <w:tblLook w:val="0000" w:firstRow="0" w:lastRow="0" w:firstColumn="0" w:lastColumn="0" w:noHBand="0" w:noVBand="0"/>
      </w:tblPr>
      <w:tblGrid>
        <w:gridCol w:w="451"/>
        <w:gridCol w:w="8664"/>
      </w:tblGrid>
      <w:tr w:rsidR="00EC1C40" w14:paraId="6986087D" w14:textId="77777777">
        <w:tblPrEx>
          <w:tblCellMar>
            <w:top w:w="0" w:type="dxa"/>
            <w:bottom w:w="0" w:type="dxa"/>
          </w:tblCellMar>
        </w:tblPrEx>
        <w:trPr>
          <w:trHeight w:hRule="exact" w:val="9509"/>
        </w:trPr>
        <w:tc>
          <w:tcPr>
            <w:tcW w:w="451" w:type="dxa"/>
            <w:shd w:val="clear" w:color="auto" w:fill="auto"/>
          </w:tcPr>
          <w:p w14:paraId="6DE163DB" w14:textId="77777777" w:rsidR="00EC1C40" w:rsidRDefault="00EC1C40">
            <w:pPr>
              <w:framePr w:w="9115" w:h="13286" w:wrap="none" w:vAnchor="page" w:hAnchor="page" w:x="1385" w:y="1968"/>
              <w:rPr>
                <w:sz w:val="10"/>
                <w:szCs w:val="10"/>
              </w:rPr>
            </w:pPr>
          </w:p>
        </w:tc>
        <w:tc>
          <w:tcPr>
            <w:tcW w:w="8664" w:type="dxa"/>
            <w:shd w:val="clear" w:color="auto" w:fill="auto"/>
          </w:tcPr>
          <w:p w14:paraId="7AC0C65C" w14:textId="77777777" w:rsidR="00EC1C40" w:rsidRDefault="00000000">
            <w:pPr>
              <w:pStyle w:val="Jin0"/>
              <w:framePr w:w="9115" w:h="13286" w:wrap="none" w:vAnchor="page" w:hAnchor="page" w:x="1385" w:y="1968"/>
              <w:spacing w:after="120"/>
              <w:jc w:val="both"/>
            </w:pPr>
            <w:r>
              <w:t>6 měsíců Milník sama o sobě neprodlužuje), dále (b) doba, po kterou se bude rozhodovat o případných námitkách či jiných úkonech účastníků zadávacího řízení či jiných osob (např. vyloučených účastníků atd.), dále (c) doba trvání řízení o přezkoumání úkonů zadavatele vedeného ze strany Úřadu na ochranu hospodářské soutěže, a dále (d) doba trvání řízení zahájeného na základě případné žaloby či jiného obdobného procesního prostředku podaného proti rozhodnutí či úkonům Úřadu na ochranu hospodářské soutěže, pokud se jakýmkoli způsobem týkají Zadávacích řízení, včetně případných řízení o podaných kasačních stížnostech v těchto věcech.</w:t>
            </w:r>
          </w:p>
          <w:p w14:paraId="5086B6B9" w14:textId="77777777" w:rsidR="00EC1C40" w:rsidRDefault="00000000">
            <w:pPr>
              <w:pStyle w:val="Jin0"/>
              <w:framePr w:w="9115" w:h="13286" w:wrap="none" w:vAnchor="page" w:hAnchor="page" w:x="1385" w:y="1968"/>
              <w:spacing w:after="120"/>
              <w:jc w:val="both"/>
            </w:pPr>
            <w:r>
              <w:t>Maximální délka prodloužení Milníku je dva (2) roky a šest měsíců.</w:t>
            </w:r>
          </w:p>
          <w:p w14:paraId="5B1CC86C" w14:textId="77777777" w:rsidR="00EC1C40" w:rsidRDefault="00000000">
            <w:pPr>
              <w:pStyle w:val="Jin0"/>
              <w:framePr w:w="9115" w:h="13286" w:wrap="none" w:vAnchor="page" w:hAnchor="page" w:x="1385" w:y="1968"/>
              <w:spacing w:after="120"/>
              <w:jc w:val="both"/>
            </w:pPr>
            <w:r>
              <w:t>Pro účely překážky dle bodu (</w:t>
            </w:r>
            <w:proofErr w:type="spellStart"/>
            <w:r>
              <w:t>iv</w:t>
            </w:r>
            <w:proofErr w:type="spellEnd"/>
            <w:r>
              <w:t>) a (v) výše platí, že pokud příslušný orgán veřejné moci v rámci takového řízení zruší Rozhodnutí o povolení Odstranění odpadů a znečištění či jiné rozhodnutí a/nebo správní akt nezbytný pro realizaci a Odstranění odpadů a znečištění, trvá takováto překážka i po dobu následného nového řízení vedeného u orgánu veřejné moci o příslušné žádosti. Pro účely překážky dle bodu (x) výše platí, že pokud příslušný orgán veřejné moci v rámci řízení zruší rozhodnutí a/nebo jiný úkon týkající se Zadávacího řízení, trvá takováto překážka i po dobu následného průběhu Zadávacího řízení (či nového Zadávacího řízení).</w:t>
            </w:r>
          </w:p>
          <w:p w14:paraId="7A41C2AE" w14:textId="77777777" w:rsidR="00EC1C40" w:rsidRDefault="00000000">
            <w:pPr>
              <w:pStyle w:val="Jin0"/>
              <w:framePr w:w="9115" w:h="13286" w:wrap="none" w:vAnchor="page" w:hAnchor="page" w:x="1385" w:y="1968"/>
              <w:spacing w:after="120"/>
              <w:jc w:val="both"/>
            </w:pPr>
            <w:r>
              <w:t>Investor je povinen SMP informovat o posunu Milníku a jeho důvodech, a to tři (3) měsíce předtím, než má uplynout Milník a uvede konkrétní skutečnosti dle tohoto článku Dohody, kterých se dovolává; nesplnění této povinnosti však nemá žádný vliv na posun Milníku.</w:t>
            </w:r>
          </w:p>
          <w:p w14:paraId="47D6792F" w14:textId="77777777" w:rsidR="00EC1C40" w:rsidRDefault="00000000">
            <w:pPr>
              <w:pStyle w:val="Jin0"/>
              <w:framePr w:w="9115" w:h="13286" w:wrap="none" w:vAnchor="page" w:hAnchor="page" w:x="1385" w:y="1968"/>
              <w:spacing w:after="120"/>
              <w:jc w:val="both"/>
            </w:pPr>
            <w:r>
              <w:t>Investor je povinen SMP předložit podklady nezbytné k prokázání nastalé překážky dle bodu (</w:t>
            </w:r>
            <w:proofErr w:type="spellStart"/>
            <w:r>
              <w:t>vi</w:t>
            </w:r>
            <w:proofErr w:type="spellEnd"/>
            <w:r>
              <w:t>) tohoto článku Dohody. O nastání této překážky bude Investor informovat SMP průběžně, a to do jednoho (1) měsíce od nastání této překážky; nesplnění této povinnosti však nemá žádný vliv na posun Milníku.</w:t>
            </w:r>
          </w:p>
          <w:p w14:paraId="09F3D02D" w14:textId="77777777" w:rsidR="00EC1C40" w:rsidRDefault="00000000">
            <w:pPr>
              <w:pStyle w:val="Jin0"/>
              <w:framePr w:w="9115" w:h="13286" w:wrap="none" w:vAnchor="page" w:hAnchor="page" w:x="1385" w:y="1968"/>
              <w:spacing w:after="120"/>
              <w:jc w:val="both"/>
            </w:pPr>
            <w:r>
              <w:t>Pro odstranění jakýchkoli pochybností Smluvní strany sjednávají, že je-li v rámci jakýchkoli veřejnoprávních rozhodnutí, kterými se povoluje Odstranění odpadů a znečištění nebo v rozhodnutích či jiných správních aktech (včetně závazných stanovisek) s nimi souvisejících, uveden (např. v rámci výroku rozhodnutí či v rámci podmínek daného rozhodnutí) termín dokončení Odstranění odpadů a znečištění či jakýkoli jiný podobný termín (i termín pro dílčí etapu, např. Odstranění odpadu z mezideponie), nemá takový termín žádný vliv na práva a povinnosti Smluvních stran dle této Dohody či jiné smlouvy uzavřené mezi Smluvními stranami, zejména na práva a povinnosti (respektive ustanovení) týkající se Milníku, přičemž případné porušení takového termínu nezakládá porušení Milníku či porušení této Dohody nebo jiné smlouvy mezi Investorem a SMP (a to s ohledem na speciální úpravu obsaženou v této Dohodě).</w:t>
            </w:r>
          </w:p>
        </w:tc>
      </w:tr>
      <w:tr w:rsidR="00EC1C40" w14:paraId="6B4290DF" w14:textId="77777777">
        <w:tblPrEx>
          <w:tblCellMar>
            <w:top w:w="0" w:type="dxa"/>
            <w:bottom w:w="0" w:type="dxa"/>
          </w:tblCellMar>
        </w:tblPrEx>
        <w:trPr>
          <w:trHeight w:hRule="exact" w:val="2654"/>
        </w:trPr>
        <w:tc>
          <w:tcPr>
            <w:tcW w:w="451" w:type="dxa"/>
            <w:shd w:val="clear" w:color="auto" w:fill="auto"/>
          </w:tcPr>
          <w:p w14:paraId="5600A1D0" w14:textId="77777777" w:rsidR="00EC1C40" w:rsidRDefault="00000000">
            <w:pPr>
              <w:pStyle w:val="Jin0"/>
              <w:framePr w:w="9115" w:h="13286" w:wrap="none" w:vAnchor="page" w:hAnchor="page" w:x="1385" w:y="1968"/>
              <w:spacing w:after="0"/>
            </w:pPr>
            <w:r>
              <w:t>2.4.</w:t>
            </w:r>
          </w:p>
        </w:tc>
        <w:tc>
          <w:tcPr>
            <w:tcW w:w="8664" w:type="dxa"/>
            <w:shd w:val="clear" w:color="auto" w:fill="auto"/>
            <w:vAlign w:val="bottom"/>
          </w:tcPr>
          <w:p w14:paraId="714C92CF" w14:textId="77777777" w:rsidR="00EC1C40" w:rsidRDefault="00000000">
            <w:pPr>
              <w:pStyle w:val="Jin0"/>
              <w:framePr w:w="9115" w:h="13286" w:wrap="none" w:vAnchor="page" w:hAnchor="page" w:x="1385" w:y="1968"/>
              <w:spacing w:after="120"/>
              <w:jc w:val="both"/>
            </w:pPr>
            <w:r>
              <w:t>Práce spojené s Odstraněním odpadů a znečištění bude Investor provádět v souladu s právními předpisy a v souladu s podmínkami stanovenými v příslušných veřejnoprávních rozhodnutích, kterými se povoluje Odstranění odpadů a znečištění.</w:t>
            </w:r>
          </w:p>
          <w:p w14:paraId="21A8FEC5" w14:textId="77777777" w:rsidR="00EC1C40" w:rsidRDefault="00000000">
            <w:pPr>
              <w:pStyle w:val="Jin0"/>
              <w:framePr w:w="9115" w:h="13286" w:wrap="none" w:vAnchor="page" w:hAnchor="page" w:x="1385" w:y="1968"/>
              <w:spacing w:after="0"/>
              <w:jc w:val="both"/>
            </w:pPr>
            <w:r>
              <w:t>S jakýmikoli předměty odtěženými v rámci procesu Odstranění odpadů a znečištění, ať již se bude jednat o odtěžený odpad či jakékoli součásti Pozemků (vč. případně odtěžených zemin), naloží Investor v souladu s právními předpisy, a pokud se bude jednat o odpad, naloží s ním dle Zákona o odpadech. Kontrolu prací týkajících se Odstranění odpadů a znečištění budou realizovat v souladu s právními předpisy výhradně příslušné dozorové orgány; tím není dotčen čl. 2.10 této Dohody.</w:t>
            </w:r>
          </w:p>
        </w:tc>
      </w:tr>
      <w:tr w:rsidR="00EC1C40" w14:paraId="2CBDDF26" w14:textId="77777777">
        <w:tblPrEx>
          <w:tblCellMar>
            <w:top w:w="0" w:type="dxa"/>
            <w:bottom w:w="0" w:type="dxa"/>
          </w:tblCellMar>
        </w:tblPrEx>
        <w:trPr>
          <w:trHeight w:hRule="exact" w:val="1123"/>
        </w:trPr>
        <w:tc>
          <w:tcPr>
            <w:tcW w:w="451" w:type="dxa"/>
            <w:shd w:val="clear" w:color="auto" w:fill="auto"/>
          </w:tcPr>
          <w:p w14:paraId="73BCBBE3" w14:textId="77777777" w:rsidR="00EC1C40" w:rsidRDefault="00000000">
            <w:pPr>
              <w:pStyle w:val="Jin0"/>
              <w:framePr w:w="9115" w:h="13286" w:wrap="none" w:vAnchor="page" w:hAnchor="page" w:x="1385" w:y="1968"/>
              <w:spacing w:after="0"/>
            </w:pPr>
            <w:r>
              <w:t>2.5.</w:t>
            </w:r>
          </w:p>
        </w:tc>
        <w:tc>
          <w:tcPr>
            <w:tcW w:w="8664" w:type="dxa"/>
            <w:shd w:val="clear" w:color="auto" w:fill="auto"/>
            <w:vAlign w:val="bottom"/>
          </w:tcPr>
          <w:p w14:paraId="2A80DD7D" w14:textId="77777777" w:rsidR="00EC1C40" w:rsidRDefault="00000000">
            <w:pPr>
              <w:pStyle w:val="Jin0"/>
              <w:framePr w:w="9115" w:h="13286" w:wrap="none" w:vAnchor="page" w:hAnchor="page" w:x="1385" w:y="1968"/>
              <w:spacing w:after="0"/>
              <w:jc w:val="both"/>
            </w:pPr>
            <w:r>
              <w:t>Investor se zavazuje při realizaci procesu Odstranění odpadů a znečištění postupovat v souladu s podmínkami, které jsou obsaženy v souhlasu k záměru „Odstranění odpadů a znečištění z prostoru bývalé cihelny v Pardubicích pro účely výstavby multifunkční haly“ přijatého radou SMP v rámci usnesení č. R/7032/2026 dne 28.1.2026 (dále jen „</w:t>
            </w:r>
            <w:r>
              <w:rPr>
                <w:b/>
                <w:bCs/>
              </w:rPr>
              <w:t>Souhlas</w:t>
            </w:r>
            <w:r>
              <w:t>“).</w:t>
            </w:r>
          </w:p>
        </w:tc>
      </w:tr>
    </w:tbl>
    <w:p w14:paraId="0B268D60" w14:textId="77777777" w:rsidR="00EC1C40" w:rsidRDefault="00000000">
      <w:pPr>
        <w:pStyle w:val="Zhlavnebozpat0"/>
        <w:framePr w:w="456" w:h="288" w:hRule="exact" w:wrap="none" w:vAnchor="page" w:hAnchor="page" w:x="5705" w:y="16085"/>
        <w:jc w:val="center"/>
        <w:rPr>
          <w:sz w:val="22"/>
          <w:szCs w:val="22"/>
        </w:rPr>
      </w:pPr>
      <w:r>
        <w:rPr>
          <w:color w:val="231E20"/>
          <w:sz w:val="22"/>
          <w:szCs w:val="22"/>
        </w:rPr>
        <w:t>7/22</w:t>
      </w:r>
    </w:p>
    <w:p w14:paraId="610A43CF"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61D85548" w14:textId="77777777" w:rsidR="00EC1C40" w:rsidRDefault="00000000">
      <w:pPr>
        <w:spacing w:line="1" w:lineRule="exact"/>
      </w:pPr>
      <w:r>
        <w:rPr>
          <w:noProof/>
        </w:rPr>
        <w:lastRenderedPageBreak/>
        <mc:AlternateContent>
          <mc:Choice Requires="wps">
            <w:drawing>
              <wp:anchor distT="0" distB="0" distL="114300" distR="114300" simplePos="0" relativeHeight="251653632" behindDoc="1" locked="0" layoutInCell="1" allowOverlap="1" wp14:anchorId="34CA59EF" wp14:editId="51E8ECB5">
                <wp:simplePos x="0" y="0"/>
                <wp:positionH relativeFrom="page">
                  <wp:posOffset>941705</wp:posOffset>
                </wp:positionH>
                <wp:positionV relativeFrom="page">
                  <wp:posOffset>932180</wp:posOffset>
                </wp:positionV>
                <wp:extent cx="5702935" cy="0"/>
                <wp:effectExtent l="0" t="0" r="0" b="0"/>
                <wp:wrapNone/>
                <wp:docPr id="69" name="Shape 69"/>
                <wp:cNvGraphicFramePr/>
                <a:graphic xmlns:a="http://schemas.openxmlformats.org/drawingml/2006/main">
                  <a:graphicData uri="http://schemas.microsoft.com/office/word/2010/wordprocessingShape">
                    <wps:wsp>
                      <wps:cNvCnPr/>
                      <wps:spPr>
                        <a:xfrm>
                          <a:off x="0" y="0"/>
                          <a:ext cx="5702935" cy="0"/>
                        </a:xfrm>
                        <a:prstGeom prst="straightConnector1">
                          <a:avLst/>
                        </a:prstGeom>
                        <a:ln w="6350">
                          <a:solidFill/>
                        </a:ln>
                      </wps:spPr>
                      <wps:bodyPr/>
                    </wps:wsp>
                  </a:graphicData>
                </a:graphic>
              </wp:anchor>
            </w:drawing>
          </mc:Choice>
          <mc:Fallback>
            <w:pict>
              <v:shape o:spt="32" o:oned="true" path="m,l21600,21600e" style="position:absolute;margin-left:74.150000000000006pt;margin-top:73.400000000000006pt;width:449.05000000000001pt;height:0;z-index:-251658240;mso-position-horizontal-relative:page;mso-position-vertical-relative:page">
                <v:stroke weight="0.5pt"/>
              </v:shape>
            </w:pict>
          </mc:Fallback>
        </mc:AlternateContent>
      </w:r>
    </w:p>
    <w:p w14:paraId="434C9960" w14:textId="77777777" w:rsidR="00EC1C40" w:rsidRDefault="00000000">
      <w:pPr>
        <w:pStyle w:val="Zhlavnebozpat0"/>
        <w:framePr w:wrap="none" w:vAnchor="page" w:hAnchor="page" w:x="5074" w:y="1186"/>
      </w:pPr>
      <w:r>
        <w:t>Dohoda o úpravě vztahů</w:t>
      </w:r>
    </w:p>
    <w:p w14:paraId="6CA4D921" w14:textId="77777777" w:rsidR="00EC1C40" w:rsidRDefault="00000000">
      <w:pPr>
        <w:pStyle w:val="Zkladntext1"/>
        <w:framePr w:w="9130" w:h="13114" w:hRule="exact" w:wrap="none" w:vAnchor="page" w:hAnchor="page" w:x="1378" w:y="1940"/>
        <w:ind w:left="580"/>
        <w:jc w:val="both"/>
      </w:pPr>
      <w:r>
        <w:t>Smluvní strany nicméně sjednávají, že ta část podmínky č. 10 obsažená v Souhlasu, která se týká lhůty pro odstranění odpadů z mezideponie, se na práva a povinnosti z této Dohody nepoužije, a to s ohledem na to, že tato Dohoda má vlastní komplexní úpravu stran termínu Odstranění odpadu z mezideponie. Smluvní strany dále sjednávají, že pozemky dotčené mezideponií nemusí být uváděny do původního stavu, pokud (i) se jedná o dočasné (nejdéle však kolaudace Investičního záměru) ponechání vytříděné zeminy (či ornice) (nikoli však odpadu ve smyslu § 4 Zákona o odpadech, který má být odvezen v rámci procesu Odstranění odpadu z mezideponie), nebo pokud (</w:t>
      </w:r>
      <w:proofErr w:type="spellStart"/>
      <w:r>
        <w:t>ii</w:t>
      </w:r>
      <w:proofErr w:type="spellEnd"/>
      <w:r>
        <w:t>) bude v mezidobí (do Odstranění odpadu z mezideponie) vydáno jakékoli rozhodnutí či jiný správní akt, kterým se povolí realizace jiného stavebního záměru na pozemcích dotčených mezideponií, a to výhradně v rozsahu pozemků dotčených tímto stavebním záměrem, nebo pokud (</w:t>
      </w:r>
      <w:proofErr w:type="spellStart"/>
      <w:r>
        <w:t>iii</w:t>
      </w:r>
      <w:proofErr w:type="spellEnd"/>
      <w:r>
        <w:t>) dojde ke změně této podmínky stanovené ve Změně Rozhodnutí o povolení Odstranění odpadů a znečištění (v takovém případě musí Investor postupovat v souladu s takto změněnou podmínkou) nebo (</w:t>
      </w:r>
      <w:proofErr w:type="spellStart"/>
      <w:r>
        <w:t>iv</w:t>
      </w:r>
      <w:proofErr w:type="spellEnd"/>
      <w:r>
        <w:t>) v rozsahu, v jakém se příslušných pozemků bude týkat rozhodnutí o povolení Investičního záměru. Po dobu neuvedení pozemků dotčených mezideponií do původního stavu Investor odpovídá za škody vzniklé v důsledku neuvedení pozemků dotčených mezideponií do původního stavu dle právních předpisů.</w:t>
      </w:r>
    </w:p>
    <w:p w14:paraId="0B2ABE5A" w14:textId="77777777" w:rsidR="00EC1C40" w:rsidRDefault="00000000">
      <w:pPr>
        <w:pStyle w:val="Zkladntext1"/>
        <w:framePr w:w="9130" w:h="13114" w:hRule="exact" w:wrap="none" w:vAnchor="page" w:hAnchor="page" w:x="1378" w:y="1940"/>
        <w:numPr>
          <w:ilvl w:val="1"/>
          <w:numId w:val="22"/>
        </w:numPr>
        <w:tabs>
          <w:tab w:val="left" w:pos="557"/>
        </w:tabs>
        <w:ind w:left="580" w:hanging="580"/>
        <w:jc w:val="both"/>
      </w:pPr>
      <w:r>
        <w:t xml:space="preserve">Smluvní strany si poskytnou rozumně </w:t>
      </w:r>
      <w:proofErr w:type="spellStart"/>
      <w:r>
        <w:t>požadovatelnou</w:t>
      </w:r>
      <w:proofErr w:type="spellEnd"/>
      <w:r>
        <w:t xml:space="preserve"> součinnost potřebnou pro realizaci Odstranění odpadů a znečištění. Tato součinnost zahrnuje na straně SMP zejména povinnost:</w:t>
      </w:r>
    </w:p>
    <w:p w14:paraId="01D543D0" w14:textId="77777777" w:rsidR="00EC1C40" w:rsidRDefault="00000000">
      <w:pPr>
        <w:pStyle w:val="Zkladntext1"/>
        <w:framePr w:w="9130" w:h="13114" w:hRule="exact" w:wrap="none" w:vAnchor="page" w:hAnchor="page" w:x="1378" w:y="1940"/>
        <w:numPr>
          <w:ilvl w:val="0"/>
          <w:numId w:val="23"/>
        </w:numPr>
        <w:tabs>
          <w:tab w:val="left" w:pos="902"/>
        </w:tabs>
        <w:ind w:left="580"/>
        <w:jc w:val="both"/>
      </w:pPr>
      <w:r>
        <w:t>součinnosti v rámci příslušných povolovacích procesů a postupů vedoucích k získání potřebných veřejnoprávních či jiných povolení, souhlasů, rozhodnutí, stanovisek či závazných stanovisek a/nebo jiných správních aktů, včetně jejich změn, nezbytných pro realizaci Odstranění odpadů a znečištění, přičemž SMP již poskytlo před uzavřením této Dohody souhlas s Rozhodnutím o povolení Odstranění odpadů a znečištění a se Změnou Rozhodnutí o povolení Odstranění odpadů a znečištění; co se týče případných dalších budoucích změn Rozhodnutí o povolení Odstranění odpadů a znečištění (odlišných od Změny Rozhodnutí o povolení Odstranění odpadů a znečištění) či vydání jiných rozhodnutí či správních aktů potřebných pro realizaci Odstranění odpadů a znečištění, nebude SMP bez vážného důvodu odpírat udělení souhlasu s těmito změnami či dalšími rozhodnutími, přičemž tento souhlas nebude odepřen zejména tehdy, pokud by takováto změna byla (a) vyvolána požadavky orgánů veřejné moci včetně dotčených orgánů anebo kontrolních orgánů a SMP mělo možnost se jako účastník řízení či dotčený orgán k takovým požadavkům orgánů veřejné moci vyjádřit nebo uplatnit námitky či připomínky, nebo (b) pokud by takováto změna byla vyvolána požadavky poskytovatele dotace na Odstranění odpadů a znečištění, nebo (c) pokud by takováto změna byla vyvolána závazkem Investora dle čl. 2.10 této Dohody; a dále</w:t>
      </w:r>
    </w:p>
    <w:p w14:paraId="6D97301E" w14:textId="77777777" w:rsidR="00EC1C40" w:rsidRDefault="00000000">
      <w:pPr>
        <w:pStyle w:val="Zkladntext1"/>
        <w:framePr w:w="9130" w:h="13114" w:hRule="exact" w:wrap="none" w:vAnchor="page" w:hAnchor="page" w:x="1378" w:y="1940"/>
        <w:numPr>
          <w:ilvl w:val="0"/>
          <w:numId w:val="23"/>
        </w:numPr>
        <w:tabs>
          <w:tab w:val="left" w:pos="931"/>
        </w:tabs>
        <w:ind w:left="580"/>
        <w:jc w:val="both"/>
      </w:pPr>
      <w:r>
        <w:t>v rozsahu, v jakém SMP není oprávněno odmítnout udělení souhlasu dle bodu (i) čl. 2.6 této Dohody, povinnost SMP neuplatňovat návrhy, vyjádření, námitky, opravné prostředky (řádné či mimořádné) či jiné procesní prostředky, včetně žalob, kasačních stížností a/nebo podnětů k provedení přezkumného řízení, a to proti rozhodnutí či povolení anebo jinému správnímu aktu (včetně závazných stanovisek a jiných podkladových rozhodnutí), kterými se povoluje Odstranění odpadů a znečištění (včetně Rozhodnutí o povolení Odstranění odpadů a znečištění a jeho změn) či které s nimi souvisí; a dále</w:t>
      </w:r>
    </w:p>
    <w:p w14:paraId="5C1DD986" w14:textId="77777777" w:rsidR="00EC1C40" w:rsidRDefault="00000000">
      <w:pPr>
        <w:pStyle w:val="Zkladntext1"/>
        <w:framePr w:w="9130" w:h="13114" w:hRule="exact" w:wrap="none" w:vAnchor="page" w:hAnchor="page" w:x="1378" w:y="1940"/>
        <w:numPr>
          <w:ilvl w:val="0"/>
          <w:numId w:val="23"/>
        </w:numPr>
        <w:tabs>
          <w:tab w:val="left" w:pos="984"/>
        </w:tabs>
        <w:spacing w:after="0"/>
        <w:ind w:left="580"/>
        <w:jc w:val="both"/>
      </w:pPr>
      <w:r>
        <w:t>v rozsahu, v jakém SMP není oprávněno odmítnout udělení souhlasu dle bodu (i) čl. 2.6 této Dohody, povinnost SMP nepodávat (nečinit) jakékoli podněty, návrhy či jakékoli jiné úkony a/nebo jednání, ať vůči orgánům veřejné moci či jakýmkoli jiným subjektům, pokud by směřovala k uložení jakýchkoli opatření (např. preventivních či nápravných) či jiných povinností, a to buď Investorovi či jiným osobám, pokud by se tato opatření či povinnosti týkala jakýmkoli způsobem Skládky, zásahů do Skládky či Odstranění odpadů a znečištění či jejich vlivů na okolí. Smluvní</w:t>
      </w:r>
    </w:p>
    <w:p w14:paraId="002EC65F" w14:textId="77777777" w:rsidR="00EC1C40" w:rsidRDefault="00000000">
      <w:pPr>
        <w:pStyle w:val="Zhlavnebozpat0"/>
        <w:framePr w:w="456" w:h="288" w:hRule="exact" w:wrap="none" w:vAnchor="page" w:hAnchor="page" w:x="5698" w:y="16085"/>
        <w:jc w:val="center"/>
        <w:rPr>
          <w:sz w:val="22"/>
          <w:szCs w:val="22"/>
        </w:rPr>
      </w:pPr>
      <w:r>
        <w:rPr>
          <w:color w:val="231E20"/>
          <w:sz w:val="22"/>
          <w:szCs w:val="22"/>
        </w:rPr>
        <w:t>8/22</w:t>
      </w:r>
    </w:p>
    <w:p w14:paraId="1D7CD214"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5893F925" w14:textId="77777777" w:rsidR="00EC1C40" w:rsidRDefault="00000000">
      <w:pPr>
        <w:spacing w:line="1" w:lineRule="exact"/>
      </w:pPr>
      <w:r>
        <w:rPr>
          <w:noProof/>
        </w:rPr>
        <w:lastRenderedPageBreak/>
        <mc:AlternateContent>
          <mc:Choice Requires="wps">
            <w:drawing>
              <wp:anchor distT="0" distB="0" distL="114300" distR="114300" simplePos="0" relativeHeight="251654656" behindDoc="1" locked="0" layoutInCell="1" allowOverlap="1" wp14:anchorId="6FCDAF26" wp14:editId="40C52503">
                <wp:simplePos x="0" y="0"/>
                <wp:positionH relativeFrom="page">
                  <wp:posOffset>946150</wp:posOffset>
                </wp:positionH>
                <wp:positionV relativeFrom="page">
                  <wp:posOffset>932180</wp:posOffset>
                </wp:positionV>
                <wp:extent cx="5702935" cy="0"/>
                <wp:effectExtent l="0" t="0" r="0" b="0"/>
                <wp:wrapNone/>
                <wp:docPr id="70" name="Shape 70"/>
                <wp:cNvGraphicFramePr/>
                <a:graphic xmlns:a="http://schemas.openxmlformats.org/drawingml/2006/main">
                  <a:graphicData uri="http://schemas.microsoft.com/office/word/2010/wordprocessingShape">
                    <wps:wsp>
                      <wps:cNvCnPr/>
                      <wps:spPr>
                        <a:xfrm>
                          <a:off x="0" y="0"/>
                          <a:ext cx="5702935" cy="0"/>
                        </a:xfrm>
                        <a:prstGeom prst="straightConnector1">
                          <a:avLst/>
                        </a:prstGeom>
                        <a:ln w="6350">
                          <a:solidFill/>
                        </a:ln>
                      </wps:spPr>
                      <wps:bodyPr/>
                    </wps:wsp>
                  </a:graphicData>
                </a:graphic>
              </wp:anchor>
            </w:drawing>
          </mc:Choice>
          <mc:Fallback>
            <w:pict>
              <v:shape o:spt="32" o:oned="true" path="m,l21600,21600e" style="position:absolute;margin-left:74.5pt;margin-top:73.400000000000006pt;width:449.05000000000001pt;height:0;z-index:-251658240;mso-position-horizontal-relative:page;mso-position-vertical-relative:page">
                <v:stroke weight="0.5pt"/>
              </v:shape>
            </w:pict>
          </mc:Fallback>
        </mc:AlternateContent>
      </w:r>
    </w:p>
    <w:p w14:paraId="3FC9EB4A" w14:textId="77777777" w:rsidR="00EC1C40" w:rsidRDefault="00000000">
      <w:pPr>
        <w:pStyle w:val="Zhlavnebozpat0"/>
        <w:framePr w:wrap="none" w:vAnchor="page" w:hAnchor="page" w:x="5081" w:y="1186"/>
      </w:pPr>
      <w:r>
        <w:t>Dohoda o úpravě vztahů</w:t>
      </w:r>
    </w:p>
    <w:p w14:paraId="40545079" w14:textId="77777777" w:rsidR="00EC1C40" w:rsidRDefault="00000000">
      <w:pPr>
        <w:pStyle w:val="Zkladntext1"/>
        <w:framePr w:w="9115" w:h="13594" w:hRule="exact" w:wrap="none" w:vAnchor="page" w:hAnchor="page" w:x="1385" w:y="1940"/>
        <w:ind w:left="580" w:firstLine="20"/>
        <w:jc w:val="both"/>
      </w:pPr>
      <w:r>
        <w:t xml:space="preserve">strany jsou si vědomy, že pro realizaci Odstranění odpadů a znečištění má důležitý význam i uzavření a realizace Směny 1 a Výpůjčky </w:t>
      </w:r>
      <w:r>
        <w:rPr>
          <w:i/>
          <w:iCs/>
        </w:rPr>
        <w:t>(jak jsou tyto pojmy definovány v Plánovací smlouvě)</w:t>
      </w:r>
      <w:r>
        <w:t>.</w:t>
      </w:r>
    </w:p>
    <w:p w14:paraId="7D9FFC95" w14:textId="77777777" w:rsidR="00EC1C40" w:rsidRDefault="00000000">
      <w:pPr>
        <w:pStyle w:val="Zkladntext1"/>
        <w:framePr w:w="9115" w:h="13594" w:hRule="exact" w:wrap="none" w:vAnchor="page" w:hAnchor="page" w:x="1385" w:y="1940"/>
        <w:ind w:left="560" w:firstLine="20"/>
        <w:jc w:val="both"/>
      </w:pPr>
      <w:r>
        <w:t>SMP zajistí součinnost a plnění závazků dle tohoto čl. 2.6 Dohody i ve vztahu k subjektům (organizacím atd.) uvedeným v čl. 13.3 Dohody.</w:t>
      </w:r>
    </w:p>
    <w:p w14:paraId="7DA9DD08" w14:textId="77777777" w:rsidR="00EC1C40" w:rsidRDefault="00000000">
      <w:pPr>
        <w:pStyle w:val="Zkladntext1"/>
        <w:framePr w:w="9115" w:h="13594" w:hRule="exact" w:wrap="none" w:vAnchor="page" w:hAnchor="page" w:x="1385" w:y="1940"/>
        <w:numPr>
          <w:ilvl w:val="1"/>
          <w:numId w:val="22"/>
        </w:numPr>
        <w:tabs>
          <w:tab w:val="left" w:pos="557"/>
        </w:tabs>
        <w:ind w:left="560" w:hanging="560"/>
        <w:jc w:val="both"/>
      </w:pPr>
      <w:r>
        <w:t>Investor tímto prohlašuje a zavazuje se, že nebude vznášet ani uplatňovat jakékoli nároky vůči SMP, jeho právním nástupcům, subjektům majetkově ovládaným SMP, ani jeho příspěvkovým organizacím, a to v souvislosti s umístěním Skládky na/v Pozemcích a/nebo v souvislosti s realizací procesu Odstranění odpadů a znečištění na Pozemcích, ať již se bude jednat o odtěžené odpady či odtěžené části Pozemků nebo nakládání s odpady ze Skládky podle Zákona o odpadech, včetně jejich odklizení či předání do zařízení pro nakládání s odpady, a to zejména, nikoli však výlučně, jakékoli nároky na náhradu škody, nároky na vydání bezdůvodného obohacení, nároky z nepřikázaného jednatelství, nároky na náhradu nákladů podle Zákona o odpadech vzniklých Investorovi, či jakékoli jiné podobné nároky Investora na platbu ze strany SMP, jako jsou například pokuty či sankce podle Zákona o odpadech (pokud by takovéto sankce Investor požadoval uhradit po SMP); takovýchto nároků (pokud existují nebo by měly vzniknout v budoucnosti v rámci zásahu do Skládky či v rámci procesu Odstranění odpadů a znečištění a/nebo v důsledku rozhodnutí správního orgánu nebo rozhodnutí soudu) se Investor přímo na základě této Dohody vzdává. Toto ustanovení se vztahuje výhradně na soukromoprávní nároky, naopak se nevztahuje na nároky a skutečnosti uvedené v čl. 2.9 této Dohody (kde je upraven samostatný režim pro tam uvedené situace). Za „Pozemky“ pro účely tohoto čl. 2.7 Dohody se považují i jiné pozemky, které Investor v Lokalitě Nová Cihelna v době uzavření této Dohody vlastní a dále na pozemky, jejichž vlastnictví Investor nabude v Lokalitě Nová Cihelna po uzavření Dohody.</w:t>
      </w:r>
    </w:p>
    <w:p w14:paraId="78917450" w14:textId="77777777" w:rsidR="00EC1C40" w:rsidRDefault="00000000">
      <w:pPr>
        <w:pStyle w:val="Zkladntext1"/>
        <w:framePr w:w="9115" w:h="13594" w:hRule="exact" w:wrap="none" w:vAnchor="page" w:hAnchor="page" w:x="1385" w:y="1940"/>
        <w:numPr>
          <w:ilvl w:val="1"/>
          <w:numId w:val="22"/>
        </w:numPr>
        <w:tabs>
          <w:tab w:val="left" w:pos="557"/>
        </w:tabs>
        <w:ind w:left="560" w:hanging="560"/>
        <w:jc w:val="both"/>
      </w:pPr>
      <w:r>
        <w:t>Pokud by v souvislosti se Skládkou a/nebo Odstraněním odpadů a znečištění uplatnil kterýkoli orgán veřejné moci vůči SMP nárok spočívající v povinnosti uhradit poplatek za ukládání odpadů či jiný obdobný poplatek spojený s uložením odpadů do koncového zařízení (např. z titulu postavení SMP jako poplatníka takového poplatku), zavazuje se Investor nahradit SMP částku, kterou SMP na takovéto nároky uhradí (ve lhůtě šesti měsíců od doručení výzvy SMP k takové úhradě), přičemž bude-li to právně možné, může Investor jiným způsobem zajistit, aby SMP tyto nároky nemuselo hradit. Pro odstranění jakýchkoli pochybností se výslovně sjednává, že tento čl. 2.8 Dohody se týká výhradně nároků spojených se Skládkou umístěné na/v Pozemcích (tedy i nároků spojených se zásahem do Skládky), respektive Odstraněním odpadů a znečištění z Pozemků (tj. takových nároků, které se týkají Skládky v rozsahu, v jakém je příslušný odpad uložen na/v Pozemcích), tj. netýká se v žádném ohledu nároků spojených se Skládkou či Odstraněním odpadů a znečištění, pokud by se týkaly jiných nemovitých věcí, než Pozemků, respektive pokud by se týkaly Skládky či Odstranění odpadů a znečištění z jiných nemovitých věcí, než Pozemků. Za „Pozemky“ pro účely tohoto čl. 2.8 Dohody se považují i jiné pozemky, které Investor v Lokalitě Nová Cihelna v době uzavření této Dohody vlastní a dále na pozemky, jejichž vlastnictví Investor nabude v Lokalitě Nová Cihelna po uzavření Dohody.</w:t>
      </w:r>
    </w:p>
    <w:p w14:paraId="7F281D5D" w14:textId="77777777" w:rsidR="00EC1C40" w:rsidRDefault="00000000">
      <w:pPr>
        <w:pStyle w:val="Zkladntext1"/>
        <w:framePr w:w="9115" w:h="13594" w:hRule="exact" w:wrap="none" w:vAnchor="page" w:hAnchor="page" w:x="1385" w:y="1940"/>
        <w:numPr>
          <w:ilvl w:val="1"/>
          <w:numId w:val="22"/>
        </w:numPr>
        <w:tabs>
          <w:tab w:val="left" w:pos="557"/>
        </w:tabs>
        <w:spacing w:after="240"/>
        <w:ind w:left="560" w:hanging="560"/>
        <w:jc w:val="both"/>
      </w:pPr>
      <w:r>
        <w:t>Smluvní strany dále sjednávají, že pokud by byla SMP v souvislosti s realizací procesu Odstranění odpadů a znečištění Investorem na Pozemcích uložena příslušným správním orgánem na základě pravomocného, vykonatelného a účinného rozhodnutí:</w:t>
      </w:r>
    </w:p>
    <w:p w14:paraId="40FB862D" w14:textId="77777777" w:rsidR="00EC1C40" w:rsidRDefault="00000000">
      <w:pPr>
        <w:pStyle w:val="Zkladntext1"/>
        <w:framePr w:w="9115" w:h="13594" w:hRule="exact" w:wrap="none" w:vAnchor="page" w:hAnchor="page" w:x="1385" w:y="1940"/>
        <w:numPr>
          <w:ilvl w:val="2"/>
          <w:numId w:val="22"/>
        </w:numPr>
        <w:tabs>
          <w:tab w:val="left" w:pos="1266"/>
        </w:tabs>
        <w:spacing w:after="240"/>
        <w:ind w:left="1240" w:hanging="660"/>
        <w:jc w:val="both"/>
      </w:pPr>
      <w:r>
        <w:t>povinnost provést opatření k nápravě spočívající v odstranění následků závadného stavu ve smyslu § 42 odst. 1 zákona č. 254/2001 Sb., o vodách, ve znění pozdějších předpisů (dále jen „</w:t>
      </w:r>
      <w:proofErr w:type="spellStart"/>
      <w:r>
        <w:rPr>
          <w:b/>
          <w:bCs/>
        </w:rPr>
        <w:t>VodZ</w:t>
      </w:r>
      <w:proofErr w:type="spellEnd"/>
      <w:r>
        <w:t>“);</w:t>
      </w:r>
    </w:p>
    <w:p w14:paraId="0C573CE6" w14:textId="77777777" w:rsidR="00EC1C40" w:rsidRDefault="00000000">
      <w:pPr>
        <w:pStyle w:val="Zkladntext1"/>
        <w:framePr w:w="9115" w:h="13594" w:hRule="exact" w:wrap="none" w:vAnchor="page" w:hAnchor="page" w:x="1385" w:y="1940"/>
        <w:numPr>
          <w:ilvl w:val="2"/>
          <w:numId w:val="22"/>
        </w:numPr>
        <w:tabs>
          <w:tab w:val="left" w:pos="1266"/>
        </w:tabs>
        <w:spacing w:after="0"/>
        <w:ind w:left="1240" w:hanging="660"/>
        <w:jc w:val="both"/>
      </w:pPr>
      <w:r>
        <w:t xml:space="preserve">povinnost ve smyslu § 42 odst. 1 </w:t>
      </w:r>
      <w:proofErr w:type="spellStart"/>
      <w:r>
        <w:t>VodZ</w:t>
      </w:r>
      <w:proofErr w:type="spellEnd"/>
      <w:r>
        <w:t xml:space="preserve"> nahradit náklady na provedení opatření k nápravě, jehož provedení zabezpečil příslušný orgán veřejné moci;</w:t>
      </w:r>
    </w:p>
    <w:p w14:paraId="09C80126" w14:textId="77777777" w:rsidR="00EC1C40" w:rsidRDefault="00000000">
      <w:pPr>
        <w:pStyle w:val="Zhlavnebozpat0"/>
        <w:framePr w:w="456" w:h="288" w:hRule="exact" w:wrap="none" w:vAnchor="page" w:hAnchor="page" w:x="5705" w:y="16085"/>
        <w:jc w:val="center"/>
        <w:rPr>
          <w:sz w:val="22"/>
          <w:szCs w:val="22"/>
        </w:rPr>
      </w:pPr>
      <w:r>
        <w:rPr>
          <w:color w:val="231E20"/>
          <w:sz w:val="22"/>
          <w:szCs w:val="22"/>
        </w:rPr>
        <w:t>9/22</w:t>
      </w:r>
    </w:p>
    <w:p w14:paraId="58E0CE1E"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43504165" w14:textId="77777777" w:rsidR="00EC1C40" w:rsidRDefault="00000000">
      <w:pPr>
        <w:spacing w:line="1" w:lineRule="exact"/>
      </w:pPr>
      <w:r>
        <w:rPr>
          <w:noProof/>
        </w:rPr>
        <w:lastRenderedPageBreak/>
        <mc:AlternateContent>
          <mc:Choice Requires="wps">
            <w:drawing>
              <wp:anchor distT="0" distB="0" distL="114300" distR="114300" simplePos="0" relativeHeight="251655680" behindDoc="1" locked="0" layoutInCell="1" allowOverlap="1" wp14:anchorId="6629C69E" wp14:editId="6BB59621">
                <wp:simplePos x="0" y="0"/>
                <wp:positionH relativeFrom="page">
                  <wp:posOffset>946150</wp:posOffset>
                </wp:positionH>
                <wp:positionV relativeFrom="page">
                  <wp:posOffset>932180</wp:posOffset>
                </wp:positionV>
                <wp:extent cx="5702935" cy="0"/>
                <wp:effectExtent l="0" t="0" r="0" b="0"/>
                <wp:wrapNone/>
                <wp:docPr id="71" name="Shape 71"/>
                <wp:cNvGraphicFramePr/>
                <a:graphic xmlns:a="http://schemas.openxmlformats.org/drawingml/2006/main">
                  <a:graphicData uri="http://schemas.microsoft.com/office/word/2010/wordprocessingShape">
                    <wps:wsp>
                      <wps:cNvCnPr/>
                      <wps:spPr>
                        <a:xfrm>
                          <a:off x="0" y="0"/>
                          <a:ext cx="5702935" cy="0"/>
                        </a:xfrm>
                        <a:prstGeom prst="straightConnector1">
                          <a:avLst/>
                        </a:prstGeom>
                        <a:ln w="6350">
                          <a:solidFill/>
                        </a:ln>
                      </wps:spPr>
                      <wps:bodyPr/>
                    </wps:wsp>
                  </a:graphicData>
                </a:graphic>
              </wp:anchor>
            </w:drawing>
          </mc:Choice>
          <mc:Fallback>
            <w:pict>
              <v:shape o:spt="32" o:oned="true" path="m,l21600,21600e" style="position:absolute;margin-left:74.5pt;margin-top:73.400000000000006pt;width:449.05000000000001pt;height:0;z-index:-251658240;mso-position-horizontal-relative:page;mso-position-vertical-relative:page">
                <v:stroke weight="0.5pt"/>
              </v:shape>
            </w:pict>
          </mc:Fallback>
        </mc:AlternateContent>
      </w:r>
    </w:p>
    <w:p w14:paraId="78E99A20" w14:textId="77777777" w:rsidR="00EC1C40" w:rsidRDefault="00000000">
      <w:pPr>
        <w:pStyle w:val="Zhlavnebozpat0"/>
        <w:framePr w:wrap="none" w:vAnchor="page" w:hAnchor="page" w:x="5081" w:y="1186"/>
      </w:pPr>
      <w:r>
        <w:t>Dohoda o úpravě vztahů</w:t>
      </w:r>
    </w:p>
    <w:p w14:paraId="34CAC70B" w14:textId="77777777" w:rsidR="00EC1C40" w:rsidRDefault="00000000">
      <w:pPr>
        <w:pStyle w:val="Zkladntext1"/>
        <w:framePr w:w="9115" w:h="13032" w:hRule="exact" w:wrap="none" w:vAnchor="page" w:hAnchor="page" w:x="1385" w:y="1940"/>
        <w:numPr>
          <w:ilvl w:val="2"/>
          <w:numId w:val="22"/>
        </w:numPr>
        <w:tabs>
          <w:tab w:val="left" w:pos="1266"/>
        </w:tabs>
        <w:spacing w:after="220"/>
        <w:ind w:left="1260" w:hanging="680"/>
        <w:jc w:val="both"/>
      </w:pPr>
      <w:r>
        <w:t>povinnost k nápravě uložené orgánem ochrany zemědělského půdního fondu podle § 3c odst. 3 zákona č. 334/1992 Sb., o ochraně zemědělského půdního fondu, ve znění pozdějších předpisů; nebo</w:t>
      </w:r>
    </w:p>
    <w:p w14:paraId="6242CFEE" w14:textId="77777777" w:rsidR="00EC1C40" w:rsidRDefault="00000000">
      <w:pPr>
        <w:pStyle w:val="Zkladntext1"/>
        <w:framePr w:w="9115" w:h="13032" w:hRule="exact" w:wrap="none" w:vAnchor="page" w:hAnchor="page" w:x="1385" w:y="1940"/>
        <w:numPr>
          <w:ilvl w:val="2"/>
          <w:numId w:val="22"/>
        </w:numPr>
        <w:tabs>
          <w:tab w:val="left" w:pos="1266"/>
        </w:tabs>
        <w:spacing w:after="120"/>
        <w:ind w:left="1260" w:hanging="680"/>
        <w:jc w:val="both"/>
      </w:pPr>
      <w:r>
        <w:t>povinnost obnovit přirozené funkce narušeného ekosystému nebo jeho části a/nebo nahradit ekologickou újmu jiným způsobem (náhradní plnění) a/nebo v penězích podle § 27 zákona č. 17/1992 Sb., o životním prostředí, ve znění pozdějších předpisů,</w:t>
      </w:r>
    </w:p>
    <w:p w14:paraId="382FBC9F" w14:textId="77777777" w:rsidR="00EC1C40" w:rsidRDefault="00000000">
      <w:pPr>
        <w:pStyle w:val="Zkladntext1"/>
        <w:framePr w:w="9115" w:h="13032" w:hRule="exact" w:wrap="none" w:vAnchor="page" w:hAnchor="page" w:x="1385" w:y="1940"/>
        <w:spacing w:after="120"/>
        <w:ind w:left="560" w:firstLine="20"/>
        <w:jc w:val="both"/>
      </w:pPr>
      <w:r>
        <w:t>zavazuje se Investor takováto výše uvedená opatření realizovat, respektive takovéto výše uvedené náklady, které SMP zaplatilo správnímu orgánu, SMP uhradit, a to za podmínek dále stanovených v tomto čl. 2.9 Dohody.</w:t>
      </w:r>
    </w:p>
    <w:p w14:paraId="1A63ED77" w14:textId="77777777" w:rsidR="00EC1C40" w:rsidRDefault="00000000">
      <w:pPr>
        <w:pStyle w:val="Zkladntext1"/>
        <w:framePr w:w="9115" w:h="13032" w:hRule="exact" w:wrap="none" w:vAnchor="page" w:hAnchor="page" w:x="1385" w:y="1940"/>
        <w:spacing w:after="120"/>
        <w:ind w:left="560" w:firstLine="20"/>
        <w:jc w:val="both"/>
      </w:pPr>
      <w:r>
        <w:t>Podmínkou pro vznik povinnosti Investora dle tohoto ustanovení čl. 2.9 Dohody je využití ze strany SMP veškerých prostředků obrany proti takto uloženým opatřením (povinnostem), včetně využití všech řádných i mimořádných opravných prostředků, dozorčích prostředků (např. podnět k provedení přezkumného řízení), a využití žalob či jiných návrhů na soudní přezkum příslušných rozhodnutí, včetně podání kasační stížnosti, a to vždy v úzké koordinaci s Investorem a při plném zohlednění pokynů Investora, které se týkají hmotněprávní či procesní obrany; náklady na využití těchto prostředků obrany nese SMP. Podmínkou pro vznik povinnosti Investora dle tohoto ustanovení čl. 2.9 Dohody je dále ta skutečnost, že SMP nedá podnět k uložení jakýchkoli opatření či povinností upravených v tomto ustanovení čl. 2.9 Dohody či jakýchkoli jiných opatření (preventivních či nápravných) či povinností. SMP je povinno Investora bezodkladně informovat o všech skutečnostech důležitých pro plnění tohoto ustanovení, zejména o tom, že kterýkoli příslušný orgán vůči SMP uplatnil (uložil) jakékoli opatření či povinnost dle tohoto ustanovení.</w:t>
      </w:r>
    </w:p>
    <w:p w14:paraId="0699AF92" w14:textId="77777777" w:rsidR="00EC1C40" w:rsidRDefault="00000000">
      <w:pPr>
        <w:pStyle w:val="Zkladntext1"/>
        <w:framePr w:w="9115" w:h="13032" w:hRule="exact" w:wrap="none" w:vAnchor="page" w:hAnchor="page" w:x="1385" w:y="1940"/>
        <w:spacing w:after="120"/>
        <w:ind w:left="560" w:firstLine="20"/>
        <w:jc w:val="both"/>
      </w:pPr>
      <w:r>
        <w:t>Pro odstranění jakýchkoli pochybností se výslovně sjednává, že tento čl. 2.9 Dohody se týká výhradně případných nároků spojených s Odstraněním odpadů a znečištění z Pozemků (tj. takových nároků, které se týkají Odstranění odpadů a znečištění v rozsahu, v jakém se týkají Pozemků), a to výhradně jen v rozsahu, v jakém se týkají Pozemků; tento čl. 2.9 Dohody se v žádném ohledu netýká nároků spojených s Odstraněním odpadů a znečištění, pokud by se týkaly jiných nemovitých věcí, než Pozemků. Toto ustanovení se dále týká výhradně nároků spojených s procesem Odstranění odpadů a znečištění, a nikoli se samotnou Skládkou.</w:t>
      </w:r>
    </w:p>
    <w:p w14:paraId="50F13680" w14:textId="77777777" w:rsidR="00EC1C40" w:rsidRDefault="00000000">
      <w:pPr>
        <w:pStyle w:val="Zkladntext1"/>
        <w:framePr w:w="9115" w:h="13032" w:hRule="exact" w:wrap="none" w:vAnchor="page" w:hAnchor="page" w:x="1385" w:y="1940"/>
        <w:spacing w:after="220"/>
        <w:ind w:left="560" w:firstLine="20"/>
        <w:jc w:val="both"/>
      </w:pPr>
      <w:r>
        <w:t>Pokud by se Odstranění odpadů a znečištění rozšířilo (např. na základě příslušné změny Rozhodnutí o povolení Odstranění odpadů a znečištění) i na jiné pozemky ve vlastnictví Investora než „Pozemky“, vztahují se práva a povinnosti Smluvních stran dle tohoto čl. 2.9 Dohody i na tyto jiné pozemky ve vlastnictví Investora.</w:t>
      </w:r>
    </w:p>
    <w:p w14:paraId="50C4AAC2" w14:textId="77777777" w:rsidR="00EC1C40" w:rsidRDefault="00000000">
      <w:pPr>
        <w:pStyle w:val="Zkladntext1"/>
        <w:framePr w:w="9115" w:h="13032" w:hRule="exact" w:wrap="none" w:vAnchor="page" w:hAnchor="page" w:x="1385" w:y="1940"/>
        <w:numPr>
          <w:ilvl w:val="1"/>
          <w:numId w:val="22"/>
        </w:numPr>
        <w:tabs>
          <w:tab w:val="left" w:pos="558"/>
        </w:tabs>
        <w:spacing w:after="220"/>
        <w:ind w:left="560" w:hanging="560"/>
        <w:jc w:val="both"/>
      </w:pPr>
      <w:r>
        <w:t>Pokud by Investor v rámci stavební realizace Investičního záměru (včetně realizace Nepeněžního plnění) zjistil, že Budoucí pozemky SMP jsou zatíženy odpady (ve smyslu definice odpadu dle § 4 Zákona o odpadech) a/nebo znečištěním, budou Smluvní strany postupovat následujícím způsobem:</w:t>
      </w:r>
    </w:p>
    <w:p w14:paraId="23D7C1A6" w14:textId="77777777" w:rsidR="00EC1C40" w:rsidRDefault="00000000">
      <w:pPr>
        <w:pStyle w:val="Zkladntext1"/>
        <w:framePr w:w="9115" w:h="13032" w:hRule="exact" w:wrap="none" w:vAnchor="page" w:hAnchor="page" w:x="1385" w:y="1940"/>
        <w:numPr>
          <w:ilvl w:val="2"/>
          <w:numId w:val="22"/>
        </w:numPr>
        <w:tabs>
          <w:tab w:val="left" w:pos="1306"/>
        </w:tabs>
        <w:spacing w:after="0"/>
        <w:ind w:left="1260" w:hanging="680"/>
        <w:jc w:val="both"/>
      </w:pPr>
      <w:r>
        <w:t>pokud by kterýkoli z těchto Budoucích pozemků SMP byl zatížen odpadem a/nebo znečištěním, je Investor povinen realizovat odstranění takového odpadu a/nebo znečištění z Budoucího pozemku SMP, a to v rozsahu, v jakém je takovýto Budoucí pozemek SMP zatížen odpadem a/nebo znečištěním (tj. výhradně v rozsahu zatížení takového Budoucího pozemku SMP odpadem a/nebo znečištěním), není-li dále stanoveno jinak nebo pokud se Smluvní strany nedohodnou jinak (např. s ohledem na účelnost odstranění odpadu anebo znečištění z takového Budoucího pozemku SMP atd.);</w:t>
      </w:r>
    </w:p>
    <w:p w14:paraId="272CC9BC" w14:textId="77777777" w:rsidR="00EC1C40" w:rsidRDefault="00000000">
      <w:pPr>
        <w:pStyle w:val="Zhlavnebozpat0"/>
        <w:framePr w:wrap="none" w:vAnchor="page" w:hAnchor="page" w:x="5657" w:y="16085"/>
        <w:rPr>
          <w:sz w:val="22"/>
          <w:szCs w:val="22"/>
        </w:rPr>
      </w:pPr>
      <w:r>
        <w:rPr>
          <w:color w:val="231E20"/>
          <w:sz w:val="22"/>
          <w:szCs w:val="22"/>
        </w:rPr>
        <w:t>10/22</w:t>
      </w:r>
    </w:p>
    <w:p w14:paraId="7C43EF42"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553EBF7F" w14:textId="77777777" w:rsidR="00EC1C40" w:rsidRDefault="00000000">
      <w:pPr>
        <w:spacing w:line="1" w:lineRule="exact"/>
      </w:pPr>
      <w:r>
        <w:rPr>
          <w:noProof/>
        </w:rPr>
        <w:lastRenderedPageBreak/>
        <mc:AlternateContent>
          <mc:Choice Requires="wps">
            <w:drawing>
              <wp:anchor distT="0" distB="0" distL="114300" distR="114300" simplePos="0" relativeHeight="251656704" behindDoc="1" locked="0" layoutInCell="1" allowOverlap="1" wp14:anchorId="304D5E0F" wp14:editId="231E38D9">
                <wp:simplePos x="0" y="0"/>
                <wp:positionH relativeFrom="page">
                  <wp:posOffset>946150</wp:posOffset>
                </wp:positionH>
                <wp:positionV relativeFrom="page">
                  <wp:posOffset>932180</wp:posOffset>
                </wp:positionV>
                <wp:extent cx="5702935" cy="0"/>
                <wp:effectExtent l="0" t="0" r="0" b="0"/>
                <wp:wrapNone/>
                <wp:docPr id="72" name="Shape 72"/>
                <wp:cNvGraphicFramePr/>
                <a:graphic xmlns:a="http://schemas.openxmlformats.org/drawingml/2006/main">
                  <a:graphicData uri="http://schemas.microsoft.com/office/word/2010/wordprocessingShape">
                    <wps:wsp>
                      <wps:cNvCnPr/>
                      <wps:spPr>
                        <a:xfrm>
                          <a:off x="0" y="0"/>
                          <a:ext cx="5702935" cy="0"/>
                        </a:xfrm>
                        <a:prstGeom prst="straightConnector1">
                          <a:avLst/>
                        </a:prstGeom>
                        <a:ln w="6350">
                          <a:solidFill/>
                        </a:ln>
                      </wps:spPr>
                      <wps:bodyPr/>
                    </wps:wsp>
                  </a:graphicData>
                </a:graphic>
              </wp:anchor>
            </w:drawing>
          </mc:Choice>
          <mc:Fallback>
            <w:pict>
              <v:shape o:spt="32" o:oned="true" path="m,l21600,21600e" style="position:absolute;margin-left:74.5pt;margin-top:73.400000000000006pt;width:449.05000000000001pt;height:0;z-index:-251658240;mso-position-horizontal-relative:page;mso-position-vertical-relative:page">
                <v:stroke weight="0.5pt"/>
              </v:shape>
            </w:pict>
          </mc:Fallback>
        </mc:AlternateContent>
      </w:r>
    </w:p>
    <w:p w14:paraId="6345432D" w14:textId="77777777" w:rsidR="00EC1C40" w:rsidRDefault="00000000">
      <w:pPr>
        <w:pStyle w:val="Zhlavnebozpat0"/>
        <w:framePr w:wrap="none" w:vAnchor="page" w:hAnchor="page" w:x="5081" w:y="1186"/>
      </w:pPr>
      <w:r>
        <w:t>Dohoda o úpravě vztahů</w:t>
      </w:r>
    </w:p>
    <w:p w14:paraId="732EFF98" w14:textId="77777777" w:rsidR="00EC1C40" w:rsidRDefault="00000000">
      <w:pPr>
        <w:pStyle w:val="Zkladntext1"/>
        <w:framePr w:w="9115" w:h="13536" w:hRule="exact" w:wrap="none" w:vAnchor="page" w:hAnchor="page" w:x="1385" w:y="1940"/>
        <w:numPr>
          <w:ilvl w:val="2"/>
          <w:numId w:val="22"/>
        </w:numPr>
        <w:tabs>
          <w:tab w:val="left" w:pos="1306"/>
        </w:tabs>
        <w:spacing w:after="220"/>
        <w:ind w:left="1240" w:hanging="660"/>
        <w:jc w:val="both"/>
      </w:pPr>
      <w:r>
        <w:t xml:space="preserve">Investor je oprávněn učinit na/v Budoucích pozemcích SMP veškerá opatření, úpravy, činnosti a kroky, která jsou nezbytná pro realizaci odstranění odpadu a/nebo znečištění, jakož i navazující výstavbu Nepeněžního plnění či Související infrastruktury </w:t>
      </w:r>
      <w:r>
        <w:rPr>
          <w:i/>
          <w:iCs/>
        </w:rPr>
        <w:t>(jak jsou tyto pojmy definovány v Plánovací smlouvě)</w:t>
      </w:r>
      <w:r>
        <w:t xml:space="preserve"> a Investičního záměru (např. zasypání stavební jámy po odtěžení odpadu, opatření na úseku nakládání s vodami atd.);</w:t>
      </w:r>
    </w:p>
    <w:p w14:paraId="6D1059C9" w14:textId="77777777" w:rsidR="00EC1C40" w:rsidRDefault="00000000">
      <w:pPr>
        <w:pStyle w:val="Zkladntext1"/>
        <w:framePr w:w="9115" w:h="13536" w:hRule="exact" w:wrap="none" w:vAnchor="page" w:hAnchor="page" w:x="1385" w:y="1940"/>
        <w:numPr>
          <w:ilvl w:val="2"/>
          <w:numId w:val="22"/>
        </w:numPr>
        <w:tabs>
          <w:tab w:val="left" w:pos="1306"/>
        </w:tabs>
        <w:spacing w:after="220"/>
        <w:ind w:left="1240" w:hanging="660"/>
        <w:jc w:val="both"/>
      </w:pPr>
      <w:r>
        <w:t>SMP souhlasí s odstraněním odpadů a/nebo znečištění z Budoucích pozemků SMP (a to výslovně i po nabytí vlastnického práva k nim), strpí jej a poskytne Investorovi veškerou potřebnou součinnost pro odstranění odpadů a/nebo znečištění z Budoucích pozemků SMP, včetně součinnosti v povolovacích procesech, a to v rozsahu definovaném v čl. 2.6 Dohody (včetně souhlasu s případnou změnou Rozhodnutí o povolení Odstranění odpadů a znečištění či s jiným rozhodnutím atd.). Tato součinnost zahrnuje pro případ upravený v tomto čl. 2.10 Dohody i poskytnutí přístupu a dalších činností, a to i v rozsahu pozemků, které jsou předmětem smlouvy o výpůjčce uzavírané mezi Smluvními stranami spolu s touto Dohodou;</w:t>
      </w:r>
    </w:p>
    <w:p w14:paraId="27515FB1" w14:textId="77777777" w:rsidR="00EC1C40" w:rsidRDefault="00000000">
      <w:pPr>
        <w:pStyle w:val="Zkladntext1"/>
        <w:framePr w:w="9115" w:h="13536" w:hRule="exact" w:wrap="none" w:vAnchor="page" w:hAnchor="page" w:x="1385" w:y="1940"/>
        <w:numPr>
          <w:ilvl w:val="2"/>
          <w:numId w:val="22"/>
        </w:numPr>
        <w:tabs>
          <w:tab w:val="left" w:pos="1306"/>
        </w:tabs>
        <w:spacing w:after="220"/>
        <w:ind w:left="1240" w:hanging="660"/>
        <w:jc w:val="both"/>
      </w:pPr>
      <w:r>
        <w:t>harmonogram postupu prací a jeho konkrétní průběh odstranění odpadů a znečištění dle tohoto čl. 2.10 stanoví Investor, a to v návaznosti na postup prací při výstavbě Investičního záměru (daného Nepeněžního plnění či Související infrastruktury, respektive jejich stavebním dokončením);</w:t>
      </w:r>
    </w:p>
    <w:p w14:paraId="77D0E3E3" w14:textId="77777777" w:rsidR="00EC1C40" w:rsidRDefault="00000000">
      <w:pPr>
        <w:pStyle w:val="Zkladntext1"/>
        <w:framePr w:w="9115" w:h="13536" w:hRule="exact" w:wrap="none" w:vAnchor="page" w:hAnchor="page" w:x="1385" w:y="1940"/>
        <w:numPr>
          <w:ilvl w:val="2"/>
          <w:numId w:val="22"/>
        </w:numPr>
        <w:tabs>
          <w:tab w:val="left" w:pos="1306"/>
        </w:tabs>
        <w:spacing w:after="220"/>
        <w:ind w:left="1240" w:hanging="660"/>
        <w:jc w:val="both"/>
      </w:pPr>
      <w:r>
        <w:t>SMP je oprávněno prostřednictvím určené osoby - Koordinátora ve smyslu čl. 18.1.1. Plánovací smlouvy - kontrolovat relevantní skutečnosti týkající se případného zjištění odpadů a/nebo znečištění na Budoucích pozemcích SMP a jejich odstranění. Smluvní strany budou v takovém případě postupovat obdobně dle čl. 7.13. a čl. 7.14. Plánovací smlouvy a za tam uvedených podmínek;</w:t>
      </w:r>
    </w:p>
    <w:p w14:paraId="23C36C75" w14:textId="77777777" w:rsidR="00EC1C40" w:rsidRDefault="00000000">
      <w:pPr>
        <w:pStyle w:val="Zkladntext1"/>
        <w:framePr w:w="9115" w:h="13536" w:hRule="exact" w:wrap="none" w:vAnchor="page" w:hAnchor="page" w:x="1385" w:y="1940"/>
        <w:numPr>
          <w:ilvl w:val="2"/>
          <w:numId w:val="22"/>
        </w:numPr>
        <w:tabs>
          <w:tab w:val="left" w:pos="1306"/>
        </w:tabs>
        <w:spacing w:after="220"/>
        <w:ind w:left="1240" w:hanging="660"/>
        <w:jc w:val="both"/>
      </w:pPr>
      <w:r>
        <w:t xml:space="preserve">Investor poskytne SMP rozumně </w:t>
      </w:r>
      <w:proofErr w:type="spellStart"/>
      <w:r>
        <w:t>požadovatelné</w:t>
      </w:r>
      <w:proofErr w:type="spellEnd"/>
      <w:r>
        <w:t xml:space="preserve"> informace ohledně rozsahu odstranění odpadů anebo znečištění z Budoucích pozemků SMP, včetně informací o tom, že odpady anebo znečištění případně nebyly na určitých Budoucích pozemcích SMP zjištěny;</w:t>
      </w:r>
    </w:p>
    <w:p w14:paraId="1B249B0C" w14:textId="77777777" w:rsidR="00EC1C40" w:rsidRDefault="00000000">
      <w:pPr>
        <w:pStyle w:val="Zkladntext1"/>
        <w:framePr w:w="9115" w:h="13536" w:hRule="exact" w:wrap="none" w:vAnchor="page" w:hAnchor="page" w:x="1385" w:y="1940"/>
        <w:numPr>
          <w:ilvl w:val="2"/>
          <w:numId w:val="22"/>
        </w:numPr>
        <w:tabs>
          <w:tab w:val="left" w:pos="1306"/>
        </w:tabs>
        <w:spacing w:after="220"/>
        <w:ind w:left="1240" w:hanging="660"/>
        <w:jc w:val="both"/>
      </w:pPr>
      <w:r>
        <w:t xml:space="preserve">tento čl. 2.10 Dohody nabývá účinnosti ve vztahu k Budoucímu pozemku SMP 1 až nabytím vlastnického práva k němu ze strany SMP. V případě zániku (zrušení) Směnné smlouvy 1 </w:t>
      </w:r>
      <w:r>
        <w:rPr>
          <w:i/>
          <w:iCs/>
        </w:rPr>
        <w:t>(jak je tento pojem definován v Plánovací smlouvě)</w:t>
      </w:r>
      <w:r>
        <w:t xml:space="preserve"> zaniká ve vztahu k Budoucímu pozemku SMP 1 i závazek Investora dle tohoto čl. 2.10 Dohody. V případě zániku (zrušení) Smlouvy o smlouvě budoucí směnné (bez ohledu na to z jakých důvodů) zaniká ve vztahu k Budoucím pozemkům SMP 2 i závazek Investora dle tohoto čl. 2.10 Dohody; a</w:t>
      </w:r>
    </w:p>
    <w:p w14:paraId="665CED54" w14:textId="77777777" w:rsidR="00EC1C40" w:rsidRDefault="00000000">
      <w:pPr>
        <w:pStyle w:val="Zkladntext1"/>
        <w:framePr w:w="9115" w:h="13536" w:hRule="exact" w:wrap="none" w:vAnchor="page" w:hAnchor="page" w:x="1385" w:y="1940"/>
        <w:numPr>
          <w:ilvl w:val="2"/>
          <w:numId w:val="22"/>
        </w:numPr>
        <w:tabs>
          <w:tab w:val="left" w:pos="1306"/>
        </w:tabs>
        <w:spacing w:after="0"/>
        <w:ind w:left="1240" w:hanging="660"/>
        <w:jc w:val="both"/>
      </w:pPr>
      <w:r>
        <w:t xml:space="preserve">Smluvní strany sjednávají, že pro účely tohoto čl. 2.10 Dohody se „znečištěním“ rozumí výhradně (i) nevytěžená kontaminovaná zemina in </w:t>
      </w:r>
      <w:proofErr w:type="spellStart"/>
      <w:r>
        <w:t>situ</w:t>
      </w:r>
      <w:proofErr w:type="spellEnd"/>
      <w:r>
        <w:t xml:space="preserve"> a (</w:t>
      </w:r>
      <w:proofErr w:type="spellStart"/>
      <w:r>
        <w:t>ii</w:t>
      </w:r>
      <w:proofErr w:type="spellEnd"/>
      <w:r>
        <w:t>) odpadní vody ve smyslu § 38 Zákona o vodách, a to výhradně v rozsahu, v jakém zjištěné hodnoty tohoto znečištění dle bodu (i) a (</w:t>
      </w:r>
      <w:proofErr w:type="spellStart"/>
      <w:r>
        <w:t>ii</w:t>
      </w:r>
      <w:proofErr w:type="spellEnd"/>
      <w:r>
        <w:t>) čl. 2.10.8 Dohody přesahují maximální přípustné limity stanovené v účinných právních předpisech (jde zejména o nadlimitní hodnoty a koncentrace znečišťujících látek (škodlivin)). Co se týče odstranění případného „znečištění“ v podobě odpadních vod (či jakýchkoli jiných znečištěných vod) na Budoucích pozemcích SMP, platí a Smluvní strany sjednávají, že toto znečištění bude sanováno a řešeno (v rozsahu přesahujícím maximální limity stanovené v účinných právních předpisech) výhradně s ohledem na jeho technickou proveditelnost a nezbytnost. Pro vyloučení jakýchkoliv pochybností pojem „znečištění“ dle čl. 2.10.8 nezahrnuje Odpad ve smyslu § 4 Zákona o odpadech.</w:t>
      </w:r>
    </w:p>
    <w:p w14:paraId="1609A4C8" w14:textId="77777777" w:rsidR="00EC1C40" w:rsidRDefault="00000000">
      <w:pPr>
        <w:pStyle w:val="Zhlavnebozpat0"/>
        <w:framePr w:wrap="none" w:vAnchor="page" w:hAnchor="page" w:x="5657" w:y="16085"/>
        <w:rPr>
          <w:sz w:val="22"/>
          <w:szCs w:val="22"/>
        </w:rPr>
      </w:pPr>
      <w:r>
        <w:rPr>
          <w:color w:val="231E20"/>
          <w:sz w:val="22"/>
          <w:szCs w:val="22"/>
        </w:rPr>
        <w:t>11/22</w:t>
      </w:r>
    </w:p>
    <w:p w14:paraId="0B034A67"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1849F84F" w14:textId="77777777" w:rsidR="00EC1C40" w:rsidRDefault="00000000">
      <w:pPr>
        <w:spacing w:line="1" w:lineRule="exact"/>
      </w:pPr>
      <w:r>
        <w:rPr>
          <w:noProof/>
        </w:rPr>
        <w:lastRenderedPageBreak/>
        <mc:AlternateContent>
          <mc:Choice Requires="wps">
            <w:drawing>
              <wp:anchor distT="0" distB="0" distL="114300" distR="114300" simplePos="0" relativeHeight="251657728" behindDoc="1" locked="0" layoutInCell="1" allowOverlap="1" wp14:anchorId="597796AD" wp14:editId="5BDC4D61">
                <wp:simplePos x="0" y="0"/>
                <wp:positionH relativeFrom="page">
                  <wp:posOffset>947420</wp:posOffset>
                </wp:positionH>
                <wp:positionV relativeFrom="page">
                  <wp:posOffset>932180</wp:posOffset>
                </wp:positionV>
                <wp:extent cx="5702935" cy="0"/>
                <wp:effectExtent l="0" t="0" r="0" b="0"/>
                <wp:wrapNone/>
                <wp:docPr id="73" name="Shape 73"/>
                <wp:cNvGraphicFramePr/>
                <a:graphic xmlns:a="http://schemas.openxmlformats.org/drawingml/2006/main">
                  <a:graphicData uri="http://schemas.microsoft.com/office/word/2010/wordprocessingShape">
                    <wps:wsp>
                      <wps:cNvCnPr/>
                      <wps:spPr>
                        <a:xfrm>
                          <a:off x="0" y="0"/>
                          <a:ext cx="5702935" cy="0"/>
                        </a:xfrm>
                        <a:prstGeom prst="straightConnector1">
                          <a:avLst/>
                        </a:prstGeom>
                        <a:ln w="6350">
                          <a:solidFill/>
                        </a:ln>
                      </wps:spPr>
                      <wps:bodyPr/>
                    </wps:wsp>
                  </a:graphicData>
                </a:graphic>
              </wp:anchor>
            </w:drawing>
          </mc:Choice>
          <mc:Fallback>
            <w:pict>
              <v:shape o:spt="32" o:oned="true" path="m,l21600,21600e" style="position:absolute;margin-left:74.600000000000009pt;margin-top:73.400000000000006pt;width:449.05000000000001pt;height:0;z-index:-251658240;mso-position-horizontal-relative:page;mso-position-vertical-relative:page">
                <v:stroke weight="0.5pt"/>
              </v:shape>
            </w:pict>
          </mc:Fallback>
        </mc:AlternateContent>
      </w:r>
    </w:p>
    <w:p w14:paraId="68C7AC96" w14:textId="77777777" w:rsidR="00EC1C40" w:rsidRDefault="00000000">
      <w:pPr>
        <w:pStyle w:val="Zhlavnebozpat0"/>
        <w:framePr w:wrap="none" w:vAnchor="page" w:hAnchor="page" w:x="5084" w:y="1186"/>
      </w:pPr>
      <w:r>
        <w:t>Dohoda o úpravě vztahů</w:t>
      </w:r>
    </w:p>
    <w:p w14:paraId="4F34F80B" w14:textId="77777777" w:rsidR="00EC1C40" w:rsidRDefault="00000000">
      <w:pPr>
        <w:pStyle w:val="Zkladntext1"/>
        <w:framePr w:w="9120" w:h="13392" w:hRule="exact" w:wrap="none" w:vAnchor="page" w:hAnchor="page" w:x="1383" w:y="1940"/>
        <w:numPr>
          <w:ilvl w:val="1"/>
          <w:numId w:val="22"/>
        </w:numPr>
        <w:tabs>
          <w:tab w:val="left" w:pos="562"/>
        </w:tabs>
        <w:spacing w:after="240"/>
        <w:ind w:left="580" w:hanging="580"/>
        <w:jc w:val="both"/>
      </w:pPr>
      <w:r>
        <w:t>SMP strpí realizaci Odstranění odpadů a znečištění a souhlasí s ním za podmínek uvedených v této Dohodě.</w:t>
      </w:r>
    </w:p>
    <w:p w14:paraId="3E1C9A02" w14:textId="77777777" w:rsidR="00EC1C40" w:rsidRDefault="00000000">
      <w:pPr>
        <w:pStyle w:val="Zkladntext1"/>
        <w:framePr w:w="9120" w:h="13392" w:hRule="exact" w:wrap="none" w:vAnchor="page" w:hAnchor="page" w:x="1383" w:y="1940"/>
        <w:numPr>
          <w:ilvl w:val="1"/>
          <w:numId w:val="22"/>
        </w:numPr>
        <w:tabs>
          <w:tab w:val="left" w:pos="562"/>
        </w:tabs>
        <w:spacing w:after="240"/>
        <w:ind w:left="580" w:hanging="580"/>
        <w:jc w:val="both"/>
      </w:pPr>
      <w:r>
        <w:t>Investor prohlašuje, že na základě této Dohody Investor v žádném ohledu nepřijímá jakoukoli odpovědnost za (i) existenci Skládky, (</w:t>
      </w:r>
      <w:proofErr w:type="spellStart"/>
      <w:r>
        <w:t>ii</w:t>
      </w:r>
      <w:proofErr w:type="spellEnd"/>
      <w:r>
        <w:t>) umístění Skládky na/v Lokalitě Nová Cihelna, (</w:t>
      </w:r>
      <w:proofErr w:type="spellStart"/>
      <w:r>
        <w:t>iii</w:t>
      </w:r>
      <w:proofErr w:type="spellEnd"/>
      <w:r>
        <w:t>) jakékoli vlivy či následky, které Skládka vyvolá či vyvolala v Lokalitě Nová Cihelna, ani za (</w:t>
      </w:r>
      <w:proofErr w:type="spellStart"/>
      <w:r>
        <w:t>iv</w:t>
      </w:r>
      <w:proofErr w:type="spellEnd"/>
      <w:r>
        <w:t>) Odstranění odpadů a znečištění, neboť Investor existenci Skládky na/v Pozemcích v žádném ohledu nezapříčinil. Tato Dohoda tak řeší výhradně vztahy Investora a SMP a netýká se tak postavení Investora ve vztahu k dalším subjektům, není-li v této Dohodě výslovně stanoveno jinak.</w:t>
      </w:r>
    </w:p>
    <w:p w14:paraId="6A4D1AA9" w14:textId="77777777" w:rsidR="00EC1C40" w:rsidRDefault="00000000">
      <w:pPr>
        <w:pStyle w:val="Zkladntext1"/>
        <w:framePr w:w="9120" w:h="13392" w:hRule="exact" w:wrap="none" w:vAnchor="page" w:hAnchor="page" w:x="1383" w:y="1940"/>
        <w:numPr>
          <w:ilvl w:val="1"/>
          <w:numId w:val="22"/>
        </w:numPr>
        <w:tabs>
          <w:tab w:val="left" w:pos="562"/>
        </w:tabs>
        <w:spacing w:after="120"/>
        <w:ind w:left="580" w:hanging="580"/>
        <w:jc w:val="both"/>
      </w:pPr>
      <w:r>
        <w:t>SMP prohlašuje, že na základě této Dohody SMP v žádném ohledu nepřijímá jakoukoli odpovědnost za (i) existenci Skládky, (</w:t>
      </w:r>
      <w:proofErr w:type="spellStart"/>
      <w:r>
        <w:t>ii</w:t>
      </w:r>
      <w:proofErr w:type="spellEnd"/>
      <w:r>
        <w:t>) umístění Skládky na/v Lokalitě Nová Cihelna, (</w:t>
      </w:r>
      <w:proofErr w:type="spellStart"/>
      <w:r>
        <w:t>iii</w:t>
      </w:r>
      <w:proofErr w:type="spellEnd"/>
      <w:r>
        <w:t>) jakékoli vlivy či následky, které Skládka vyvolá či vyvolala v Lokalitě Nová Cihelna, ani za (</w:t>
      </w:r>
      <w:proofErr w:type="spellStart"/>
      <w:r>
        <w:t>iv</w:t>
      </w:r>
      <w:proofErr w:type="spellEnd"/>
      <w:r>
        <w:t>) Odstranění odpadů a znečištění, neboť SMP existenci Skládky na/v Pozemcích v žádném ohledu nezapříčinilo. Tato Dohoda tak řeší výhradně vztahy Investora a SMP a netýká se tak postavení SMP ve vztahu k dalším subjektům, není-li v této Dohodě výslovně stanoveno jinak.</w:t>
      </w:r>
    </w:p>
    <w:p w14:paraId="2B04C0BA" w14:textId="77777777" w:rsidR="00EC1C40" w:rsidRDefault="00000000">
      <w:pPr>
        <w:pStyle w:val="Nadpis60"/>
        <w:framePr w:w="9120" w:h="13392" w:hRule="exact" w:wrap="none" w:vAnchor="page" w:hAnchor="page" w:x="1383" w:y="1940"/>
        <w:numPr>
          <w:ilvl w:val="0"/>
          <w:numId w:val="22"/>
        </w:numPr>
        <w:tabs>
          <w:tab w:val="left" w:pos="560"/>
        </w:tabs>
        <w:spacing w:after="120"/>
        <w:jc w:val="both"/>
      </w:pPr>
      <w:bookmarkStart w:id="40" w:name="bookmark81"/>
      <w:r>
        <w:t>Odstoupení od Dohody</w:t>
      </w:r>
      <w:bookmarkEnd w:id="40"/>
    </w:p>
    <w:p w14:paraId="706278A8" w14:textId="77777777" w:rsidR="00EC1C40" w:rsidRDefault="00000000">
      <w:pPr>
        <w:pStyle w:val="Zkladntext1"/>
        <w:framePr w:w="9120" w:h="13392" w:hRule="exact" w:wrap="none" w:vAnchor="page" w:hAnchor="page" w:x="1383" w:y="1940"/>
        <w:numPr>
          <w:ilvl w:val="1"/>
          <w:numId w:val="24"/>
        </w:numPr>
        <w:tabs>
          <w:tab w:val="left" w:pos="560"/>
        </w:tabs>
        <w:spacing w:after="120"/>
        <w:jc w:val="both"/>
      </w:pPr>
      <w:r>
        <w:t>SMP může od této Dohody odstoupit výhradně v případě, kdy:</w:t>
      </w:r>
    </w:p>
    <w:p w14:paraId="0CBBC41D" w14:textId="77777777" w:rsidR="00EC1C40" w:rsidRDefault="00000000">
      <w:pPr>
        <w:pStyle w:val="Zkladntext1"/>
        <w:framePr w:w="9120" w:h="13392" w:hRule="exact" w:wrap="none" w:vAnchor="page" w:hAnchor="page" w:x="1383" w:y="1940"/>
        <w:numPr>
          <w:ilvl w:val="2"/>
          <w:numId w:val="24"/>
        </w:numPr>
        <w:tabs>
          <w:tab w:val="left" w:pos="1257"/>
        </w:tabs>
        <w:spacing w:after="240"/>
        <w:ind w:left="1260" w:hanging="680"/>
        <w:jc w:val="both"/>
      </w:pPr>
      <w:r>
        <w:t xml:space="preserve">SMP doručí Investorovi oprávněnou výpověď Plánovací smlouvy, přičemž důvod takové výpovědi bude spočívat v podstatném porušení Plánovací smlouvy ze strany Investora dle čl. 16.2.2 Plánovací smlouvy nebo v doručení Oznámení Investora </w:t>
      </w:r>
      <w:r>
        <w:rPr>
          <w:i/>
          <w:iCs/>
        </w:rPr>
        <w:t>(jak je tento pojem definován v Plánovací smlouvě)</w:t>
      </w:r>
      <w:r>
        <w:t xml:space="preserve"> SMP;</w:t>
      </w:r>
    </w:p>
    <w:p w14:paraId="1A5F4269" w14:textId="77777777" w:rsidR="00EC1C40" w:rsidRDefault="00000000">
      <w:pPr>
        <w:pStyle w:val="Zkladntext1"/>
        <w:framePr w:w="9120" w:h="13392" w:hRule="exact" w:wrap="none" w:vAnchor="page" w:hAnchor="page" w:x="1383" w:y="1940"/>
        <w:numPr>
          <w:ilvl w:val="2"/>
          <w:numId w:val="24"/>
        </w:numPr>
        <w:tabs>
          <w:tab w:val="left" w:pos="1257"/>
        </w:tabs>
        <w:spacing w:after="120"/>
        <w:ind w:left="1260" w:hanging="680"/>
        <w:jc w:val="both"/>
      </w:pPr>
      <w:r>
        <w:t>Investor poruší tuto Dohodu podstatným způsobem, přičemž za podstatné porušení této Dohody se považuje výhradně: (i) porušení povinností Investora dle čl. 2.7 Dohody a/nebo (</w:t>
      </w:r>
      <w:proofErr w:type="spellStart"/>
      <w:r>
        <w:t>ii</w:t>
      </w:r>
      <w:proofErr w:type="spellEnd"/>
      <w:r>
        <w:t>) porušení povinností Investora dle čl. 2.8 této Dohody a/nebo (</w:t>
      </w:r>
      <w:proofErr w:type="spellStart"/>
      <w:r>
        <w:t>iii</w:t>
      </w:r>
      <w:proofErr w:type="spellEnd"/>
      <w:r>
        <w:t>) porušení povinností Investora dle čl. 2.9 této Dohody, a to pokud není dosaženo nápravy příslušného porušení Dohody ani do tří (3) měsíců od doručení výzvy k nápravě ze strany SMP Investorovi a v případě porušení bodu (</w:t>
      </w:r>
      <w:proofErr w:type="spellStart"/>
      <w:r>
        <w:t>iii</w:t>
      </w:r>
      <w:proofErr w:type="spellEnd"/>
      <w:r>
        <w:t>) (tj. porušení povinností dle čl. 2.9 této Dohody) ve lhůtě šesti (6) měsíců od doručení výzvy k nápravě ze strany SMP Investorovi. Tuto výzvu k nápravě je SMP oprávněno zaslat Investorovi nejdříve 1. dnem porušení příslušné smluvní povinnosti, přičemž v ní SMP adekvátním způsobem specifikuje porušení Dohody, k jehož nápravě vyzývá.</w:t>
      </w:r>
    </w:p>
    <w:p w14:paraId="5383809F" w14:textId="77777777" w:rsidR="00EC1C40" w:rsidRDefault="00000000">
      <w:pPr>
        <w:pStyle w:val="Zkladntext1"/>
        <w:framePr w:w="9120" w:h="13392" w:hRule="exact" w:wrap="none" w:vAnchor="page" w:hAnchor="page" w:x="1383" w:y="1940"/>
        <w:numPr>
          <w:ilvl w:val="1"/>
          <w:numId w:val="24"/>
        </w:numPr>
        <w:tabs>
          <w:tab w:val="left" w:pos="560"/>
        </w:tabs>
        <w:spacing w:after="120"/>
        <w:jc w:val="both"/>
      </w:pPr>
      <w:r>
        <w:t>Investor může od této Dohody odstoupit výhradně v případě, kdy:</w:t>
      </w:r>
    </w:p>
    <w:p w14:paraId="76EA42BA" w14:textId="77777777" w:rsidR="00EC1C40" w:rsidRDefault="00000000">
      <w:pPr>
        <w:pStyle w:val="Zkladntext1"/>
        <w:framePr w:w="9120" w:h="13392" w:hRule="exact" w:wrap="none" w:vAnchor="page" w:hAnchor="page" w:x="1383" w:y="1940"/>
        <w:numPr>
          <w:ilvl w:val="2"/>
          <w:numId w:val="24"/>
        </w:numPr>
        <w:tabs>
          <w:tab w:val="left" w:pos="1257"/>
        </w:tabs>
        <w:spacing w:after="120"/>
        <w:ind w:left="1260" w:hanging="680"/>
        <w:jc w:val="both"/>
      </w:pPr>
      <w:r>
        <w:t>SMP poruší kteroukoli z povinností dle čl. 2.6 této Dohody (včetně jejich porušení ze strany subjektů uvedených v čl. 13.3 Dohody), pokud brání či stěžují (včetně prodlužování) nikoli jen nepodstatným způsobem realizaci záměru Odstranění odpadů a znečištění; nebo</w:t>
      </w:r>
    </w:p>
    <w:p w14:paraId="140EDA26" w14:textId="77777777" w:rsidR="00EC1C40" w:rsidRDefault="00000000">
      <w:pPr>
        <w:pStyle w:val="Zkladntext1"/>
        <w:framePr w:w="9120" w:h="13392" w:hRule="exact" w:wrap="none" w:vAnchor="page" w:hAnchor="page" w:x="1383" w:y="1940"/>
        <w:numPr>
          <w:ilvl w:val="2"/>
          <w:numId w:val="24"/>
        </w:numPr>
        <w:tabs>
          <w:tab w:val="left" w:pos="1257"/>
        </w:tabs>
        <w:spacing w:after="120"/>
        <w:ind w:left="1260" w:hanging="680"/>
        <w:jc w:val="both"/>
      </w:pPr>
      <w:r>
        <w:t>dojde k zániku a/nebo zrušení (i) Plánovací smlouvy (bez ohledu na to, z jakých důvodů či jakým způsobem, mimo zánik Plánovací smlouvy výpovědí kteroukoli ze Smluvních stran), přičemž nedojde k uzavření nové Plánovací smlouvy z důvodů na straně SMP, zejména v důsledku porušení kterékoli z povinností SMP sjednaných v čl. 20. Plánovací smlouvy a/nebo čl. 9 této Dohody; nebo</w:t>
      </w:r>
    </w:p>
    <w:p w14:paraId="18D3B1F5" w14:textId="77777777" w:rsidR="00EC1C40" w:rsidRDefault="00000000">
      <w:pPr>
        <w:pStyle w:val="Zkladntext1"/>
        <w:framePr w:w="9120" w:h="13392" w:hRule="exact" w:wrap="none" w:vAnchor="page" w:hAnchor="page" w:x="1383" w:y="1940"/>
        <w:numPr>
          <w:ilvl w:val="2"/>
          <w:numId w:val="24"/>
        </w:numPr>
        <w:tabs>
          <w:tab w:val="left" w:pos="1257"/>
        </w:tabs>
        <w:spacing w:after="0"/>
        <w:ind w:left="1260" w:hanging="680"/>
        <w:jc w:val="both"/>
      </w:pPr>
      <w:r>
        <w:t>Investor doručí SMP oprávněnou výpověď Plánovací smlouvy, přičemž důvod takové výpovědi bude spočívat v podstatném porušení Plánovací smlouvy ze strany SMP dle čl. 16.3.2. Plánovací smlouvy nebo na důvodech dle čl. 16.3.3. nebo čl. 16.3.4. Plánovací smlouvy;</w:t>
      </w:r>
    </w:p>
    <w:p w14:paraId="0C5EC8CB" w14:textId="77777777" w:rsidR="00EC1C40" w:rsidRDefault="00000000">
      <w:pPr>
        <w:pStyle w:val="Zhlavnebozpat0"/>
        <w:framePr w:wrap="none" w:vAnchor="page" w:hAnchor="page" w:x="5660" w:y="16085"/>
        <w:rPr>
          <w:sz w:val="22"/>
          <w:szCs w:val="22"/>
        </w:rPr>
      </w:pPr>
      <w:r>
        <w:rPr>
          <w:color w:val="231E20"/>
          <w:sz w:val="22"/>
          <w:szCs w:val="22"/>
        </w:rPr>
        <w:t>12/22</w:t>
      </w:r>
    </w:p>
    <w:p w14:paraId="2B49BD7C"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46F6F831" w14:textId="77777777" w:rsidR="00EC1C40" w:rsidRDefault="00000000">
      <w:pPr>
        <w:spacing w:line="1" w:lineRule="exact"/>
      </w:pPr>
      <w:r>
        <w:rPr>
          <w:noProof/>
        </w:rPr>
        <w:lastRenderedPageBreak/>
        <mc:AlternateContent>
          <mc:Choice Requires="wps">
            <w:drawing>
              <wp:anchor distT="0" distB="0" distL="114300" distR="114300" simplePos="0" relativeHeight="251658752" behindDoc="1" locked="0" layoutInCell="1" allowOverlap="1" wp14:anchorId="2D91569C" wp14:editId="3BB46661">
                <wp:simplePos x="0" y="0"/>
                <wp:positionH relativeFrom="page">
                  <wp:posOffset>949325</wp:posOffset>
                </wp:positionH>
                <wp:positionV relativeFrom="page">
                  <wp:posOffset>932180</wp:posOffset>
                </wp:positionV>
                <wp:extent cx="5702935" cy="0"/>
                <wp:effectExtent l="0" t="0" r="0" b="0"/>
                <wp:wrapNone/>
                <wp:docPr id="74" name="Shape 74"/>
                <wp:cNvGraphicFramePr/>
                <a:graphic xmlns:a="http://schemas.openxmlformats.org/drawingml/2006/main">
                  <a:graphicData uri="http://schemas.microsoft.com/office/word/2010/wordprocessingShape">
                    <wps:wsp>
                      <wps:cNvCnPr/>
                      <wps:spPr>
                        <a:xfrm>
                          <a:off x="0" y="0"/>
                          <a:ext cx="5702935" cy="0"/>
                        </a:xfrm>
                        <a:prstGeom prst="straightConnector1">
                          <a:avLst/>
                        </a:prstGeom>
                        <a:ln w="6350">
                          <a:solidFill/>
                        </a:ln>
                      </wps:spPr>
                      <wps:bodyPr/>
                    </wps:wsp>
                  </a:graphicData>
                </a:graphic>
              </wp:anchor>
            </w:drawing>
          </mc:Choice>
          <mc:Fallback>
            <w:pict>
              <v:shape o:spt="32" o:oned="true" path="m,l21600,21600e" style="position:absolute;margin-left:74.75pt;margin-top:73.400000000000006pt;width:449.05000000000001pt;height:0;z-index:-251658240;mso-position-horizontal-relative:page;mso-position-vertical-relative:page">
                <v:stroke weight="0.5pt"/>
              </v:shape>
            </w:pict>
          </mc:Fallback>
        </mc:AlternateContent>
      </w:r>
    </w:p>
    <w:p w14:paraId="0B9C47D8" w14:textId="77777777" w:rsidR="00EC1C40" w:rsidRDefault="00000000">
      <w:pPr>
        <w:pStyle w:val="Zhlavnebozpat0"/>
        <w:framePr w:wrap="none" w:vAnchor="page" w:hAnchor="page" w:x="5086" w:y="1186"/>
      </w:pPr>
      <w:r>
        <w:t>Dohoda o úpravě vztahů</w:t>
      </w:r>
    </w:p>
    <w:p w14:paraId="057CED5C" w14:textId="77777777" w:rsidR="00EC1C40" w:rsidRDefault="00000000">
      <w:pPr>
        <w:pStyle w:val="Zkladntext1"/>
        <w:framePr w:w="9115" w:h="13483" w:hRule="exact" w:wrap="none" w:vAnchor="page" w:hAnchor="page" w:x="1385" w:y="1940"/>
        <w:ind w:left="580"/>
        <w:jc w:val="both"/>
      </w:pPr>
      <w:r>
        <w:t>a to pokud není v případech dle čl. 3.2.1 a čl. 3.2.2 této Dohody dosaženo nápravy ani do tří (3) měsíců od doručení výzvy k nápravě ze strany Investora SMP. Tuto výzvu k nápravě je Investor oprávněn zaslat SMP nejdříve 1. dnem porušení příslušné smluvní povinnosti. Nápravou ve smyslu čl. 3.2.2 se rozumí zejména uzavření nové Plánovací smlouvy. V případě čl. 3.2.3 Dohody se lhůta k nápravě (ani povinnost zaslat výzvu k nápravě) neuplatní.</w:t>
      </w:r>
    </w:p>
    <w:p w14:paraId="24AA8544" w14:textId="77777777" w:rsidR="00EC1C40" w:rsidRDefault="00000000">
      <w:pPr>
        <w:pStyle w:val="Zkladntext1"/>
        <w:framePr w:w="9115" w:h="13483" w:hRule="exact" w:wrap="none" w:vAnchor="page" w:hAnchor="page" w:x="1385" w:y="1940"/>
        <w:numPr>
          <w:ilvl w:val="1"/>
          <w:numId w:val="24"/>
        </w:numPr>
        <w:tabs>
          <w:tab w:val="left" w:pos="562"/>
        </w:tabs>
        <w:jc w:val="both"/>
      </w:pPr>
      <w:r>
        <w:t xml:space="preserve">Odstoupí-li kterákoli ze Smluvních stran od této Dohody, zaniká tato Dohoda s účinky ex </w:t>
      </w:r>
      <w:proofErr w:type="spellStart"/>
      <w:r>
        <w:t>tunc</w:t>
      </w:r>
      <w:proofErr w:type="spellEnd"/>
      <w:r>
        <w:t>.</w:t>
      </w:r>
    </w:p>
    <w:p w14:paraId="3CC746F0" w14:textId="77777777" w:rsidR="00EC1C40" w:rsidRDefault="00000000">
      <w:pPr>
        <w:pStyle w:val="Zkladntext1"/>
        <w:framePr w:w="9115" w:h="13483" w:hRule="exact" w:wrap="none" w:vAnchor="page" w:hAnchor="page" w:x="1385" w:y="1940"/>
        <w:numPr>
          <w:ilvl w:val="1"/>
          <w:numId w:val="24"/>
        </w:numPr>
        <w:tabs>
          <w:tab w:val="left" w:pos="562"/>
        </w:tabs>
        <w:spacing w:after="220"/>
        <w:ind w:left="580" w:hanging="580"/>
        <w:jc w:val="both"/>
      </w:pPr>
      <w:r>
        <w:t>Smluvní strany dále sjednávají, že Investor je dále oprávněn odstoupit od této Dohody, pokud ani do 31.12.2027:</w:t>
      </w:r>
    </w:p>
    <w:p w14:paraId="43F938BC" w14:textId="77777777" w:rsidR="00EC1C40" w:rsidRDefault="00000000">
      <w:pPr>
        <w:pStyle w:val="Zkladntext1"/>
        <w:framePr w:w="9115" w:h="13483" w:hRule="exact" w:wrap="none" w:vAnchor="page" w:hAnchor="page" w:x="1385" w:y="1940"/>
        <w:numPr>
          <w:ilvl w:val="2"/>
          <w:numId w:val="24"/>
        </w:numPr>
        <w:tabs>
          <w:tab w:val="left" w:pos="1269"/>
        </w:tabs>
        <w:spacing w:after="220"/>
        <w:ind w:left="1260" w:hanging="680"/>
        <w:jc w:val="both"/>
      </w:pPr>
      <w:r>
        <w:t xml:space="preserve">nebude dosaženo Změny ÚP Hůrka </w:t>
      </w:r>
      <w:r>
        <w:rPr>
          <w:i/>
          <w:iCs/>
        </w:rPr>
        <w:t>(jak je tento pojem definován v Plánovací smlouvě)</w:t>
      </w:r>
      <w:r>
        <w:t>, tj. nebude dosaženo stavu (výsledku), ve kterém nabylo platnosti a účinnosti (právních účinků) příslušné opatření obecné povahy, kterým je schválena Změna ÚP Hůrka (bez ohledu na to, z jakých důvodů); nebo</w:t>
      </w:r>
    </w:p>
    <w:p w14:paraId="4B024C14" w14:textId="77777777" w:rsidR="00EC1C40" w:rsidRDefault="00000000">
      <w:pPr>
        <w:pStyle w:val="Zkladntext1"/>
        <w:framePr w:w="9115" w:h="13483" w:hRule="exact" w:wrap="none" w:vAnchor="page" w:hAnchor="page" w:x="1385" w:y="1940"/>
        <w:numPr>
          <w:ilvl w:val="2"/>
          <w:numId w:val="24"/>
        </w:numPr>
        <w:tabs>
          <w:tab w:val="left" w:pos="1269"/>
        </w:tabs>
        <w:spacing w:after="220"/>
        <w:ind w:left="1260" w:hanging="680"/>
        <w:jc w:val="both"/>
      </w:pPr>
      <w:r>
        <w:t xml:space="preserve">nebude dosaženo Změny ÚS Hůrka </w:t>
      </w:r>
      <w:r>
        <w:rPr>
          <w:i/>
          <w:iCs/>
        </w:rPr>
        <w:t>(jak je tento pojem definován v Plánovací smlouvě)</w:t>
      </w:r>
      <w:r>
        <w:t>, tj. nebude dosaženo stavu (výsledku), ve kterém nabyla účinnosti a účinků (včetně příslušné registrace) příslušná Změna ÚS Hůrka (bez ohledu na to, z jakých důvodů).</w:t>
      </w:r>
    </w:p>
    <w:p w14:paraId="322D758E" w14:textId="77777777" w:rsidR="00EC1C40" w:rsidRDefault="00000000">
      <w:pPr>
        <w:pStyle w:val="Zkladntext1"/>
        <w:framePr w:w="9115" w:h="13483" w:hRule="exact" w:wrap="none" w:vAnchor="page" w:hAnchor="page" w:x="1385" w:y="1940"/>
        <w:ind w:left="1260"/>
        <w:jc w:val="both"/>
      </w:pPr>
      <w:r>
        <w:t>Bez zbytečného odkladu poté, co bude splněn předpoklad pro odstoupení od této Dohody Investorem dle čl. 3.4.1 nebo čl. 3.4.2 Dohody vstoupí Smluvní strany v dobré víře do vzájemných jednání za účelem projednání nastalé situace a nalezení dalšího efektivního postupu s tím, že pokud se Smluvní strany nedohodnou ve lhůtě tří (3) měsíců od splnění předpokladu pro odstoupení od této Dohody Investorem dle čl. 3.4.1 nebo čl. 3.4.2 Dohody na dodatku k Plánovací smlouvě, je Investor teprve oprávněn uplatnit právo na odstoupení od této Dohody dle tohoto čl. 3.4 Dohody.</w:t>
      </w:r>
    </w:p>
    <w:p w14:paraId="15039DB5" w14:textId="77777777" w:rsidR="00EC1C40" w:rsidRDefault="00000000">
      <w:pPr>
        <w:pStyle w:val="Zkladntext1"/>
        <w:framePr w:w="9115" w:h="13483" w:hRule="exact" w:wrap="none" w:vAnchor="page" w:hAnchor="page" w:x="1385" w:y="1940"/>
        <w:numPr>
          <w:ilvl w:val="1"/>
          <w:numId w:val="24"/>
        </w:numPr>
        <w:tabs>
          <w:tab w:val="left" w:pos="562"/>
        </w:tabs>
        <w:spacing w:after="220"/>
        <w:jc w:val="both"/>
      </w:pPr>
      <w:r>
        <w:t>Investor je dále oprávněn odstoupit od této Dohody, pokud ani do 31.12.2028:</w:t>
      </w:r>
    </w:p>
    <w:p w14:paraId="46C5E96B" w14:textId="77777777" w:rsidR="00EC1C40" w:rsidRDefault="00000000">
      <w:pPr>
        <w:pStyle w:val="Zkladntext1"/>
        <w:framePr w:w="9115" w:h="13483" w:hRule="exact" w:wrap="none" w:vAnchor="page" w:hAnchor="page" w:x="1385" w:y="1940"/>
        <w:numPr>
          <w:ilvl w:val="2"/>
          <w:numId w:val="24"/>
        </w:numPr>
        <w:tabs>
          <w:tab w:val="left" w:pos="1269"/>
        </w:tabs>
        <w:spacing w:after="220"/>
        <w:ind w:left="1260" w:hanging="680"/>
        <w:jc w:val="both"/>
      </w:pPr>
      <w:r>
        <w:t xml:space="preserve">Investor nenabyde vlastnické právo k Pozemkům SMP pro převod </w:t>
      </w:r>
      <w:r>
        <w:rPr>
          <w:i/>
          <w:iCs/>
        </w:rPr>
        <w:t>(jak je tento pojem definován v Plánovací smlouvě)</w:t>
      </w:r>
      <w:r>
        <w:t xml:space="preserve"> a k Pozemkům Nadace pro převod </w:t>
      </w:r>
      <w:r>
        <w:rPr>
          <w:i/>
          <w:iCs/>
        </w:rPr>
        <w:t>(jak je tento pojem definován v Plánovací smlouvě)</w:t>
      </w:r>
      <w:r>
        <w:t xml:space="preserve"> (bez ohledu na to, z jakých důvodů, vyjma situace, kdy důvody pro nenabytí vlastnického práva leží čistě na straně Investora); nebo</w:t>
      </w:r>
    </w:p>
    <w:p w14:paraId="31987E58" w14:textId="77777777" w:rsidR="00EC1C40" w:rsidRDefault="00000000">
      <w:pPr>
        <w:pStyle w:val="Zkladntext1"/>
        <w:framePr w:w="9115" w:h="13483" w:hRule="exact" w:wrap="none" w:vAnchor="page" w:hAnchor="page" w:x="1385" w:y="1940"/>
        <w:numPr>
          <w:ilvl w:val="2"/>
          <w:numId w:val="24"/>
        </w:numPr>
        <w:tabs>
          <w:tab w:val="left" w:pos="1269"/>
        </w:tabs>
        <w:spacing w:after="220"/>
        <w:ind w:left="1260" w:hanging="680"/>
        <w:jc w:val="both"/>
      </w:pPr>
      <w:r>
        <w:t xml:space="preserve">Investor nenabyde právo užívat na základě výpůjčky Pozemky SMP pro výpůjčku Hůrka </w:t>
      </w:r>
      <w:r>
        <w:rPr>
          <w:i/>
          <w:iCs/>
        </w:rPr>
        <w:t>(jak je tento pojem definován v Plánovací smlouvě)</w:t>
      </w:r>
      <w:r>
        <w:t xml:space="preserve"> a právo užívat na základě výpůjčky Pozemky Nadace pro výpůjčku Hůrka </w:t>
      </w:r>
      <w:r>
        <w:rPr>
          <w:i/>
          <w:iCs/>
        </w:rPr>
        <w:t>(jak je tento pojem definován v Plánovací smlouvě)</w:t>
      </w:r>
      <w:r>
        <w:t>.</w:t>
      </w:r>
    </w:p>
    <w:p w14:paraId="4233D2F4" w14:textId="77777777" w:rsidR="00EC1C40" w:rsidRDefault="00000000">
      <w:pPr>
        <w:pStyle w:val="Zkladntext1"/>
        <w:framePr w:w="9115" w:h="13483" w:hRule="exact" w:wrap="none" w:vAnchor="page" w:hAnchor="page" w:x="1385" w:y="1940"/>
        <w:ind w:left="580"/>
        <w:jc w:val="both"/>
      </w:pPr>
      <w:r>
        <w:t>Bez zbytečného odkladu poté, co bude splněn předpoklad pro odstoupení od této Dohody Investorem dle čl. 3.5.1 nebo čl. 3.5.2 Dohody vstoupí Smluvní strany v dobré víře do vzájemných jednání za účelem projednání nastalé situace a nalezení dalšího efektivního postupu s tím, že pokud se Smluvní strany nedohodnou ve lhůtě tří (3) měsíců od splnění předpokladu pro odstoupení od této Dohody Investorem dle čl. 3.5.1 nebo čl. 3.5.2 Dohody na dodatku k Plánovací smlouvě, je Investor teprve oprávněn uplatnit právo na odstoupení od této Dohody dle tohoto čl. 3.4 Dohody.</w:t>
      </w:r>
    </w:p>
    <w:p w14:paraId="5930C470" w14:textId="77777777" w:rsidR="00EC1C40" w:rsidRDefault="00000000">
      <w:pPr>
        <w:pStyle w:val="Zkladntext1"/>
        <w:framePr w:w="9115" w:h="13483" w:hRule="exact" w:wrap="none" w:vAnchor="page" w:hAnchor="page" w:x="1385" w:y="1940"/>
        <w:numPr>
          <w:ilvl w:val="1"/>
          <w:numId w:val="24"/>
        </w:numPr>
        <w:tabs>
          <w:tab w:val="left" w:pos="562"/>
        </w:tabs>
        <w:spacing w:after="0"/>
        <w:ind w:left="580" w:hanging="580"/>
        <w:jc w:val="both"/>
      </w:pPr>
      <w:r>
        <w:t xml:space="preserve">Smluvní strany dále sjednávají, že v případě vzniku práva Investora odstoupit od této Dohody dle čl. 3.4 a/nebo čl. 3.5 této Dohody (pro odstranění pochybností až po uplynutí lhůty 3 měsíců, ve které se nepodaří Smluvním stranám dohodnout dodatek k Plánovací smlouvě) je Investor oprávněn přímo na základě této Dohody (i) odstoupit i od </w:t>
      </w:r>
      <w:proofErr w:type="spellStart"/>
      <w:r>
        <w:t>SoSB</w:t>
      </w:r>
      <w:proofErr w:type="spellEnd"/>
      <w:r>
        <w:t xml:space="preserve"> SMP Hůrka </w:t>
      </w:r>
      <w:r>
        <w:rPr>
          <w:i/>
          <w:iCs/>
        </w:rPr>
        <w:t>(jak je tento pojem definován v Plánovací smlouvě)</w:t>
      </w:r>
      <w:r>
        <w:t xml:space="preserve"> (včetně realizační kupní smlouvy uzavřené na základě </w:t>
      </w:r>
      <w:proofErr w:type="spellStart"/>
      <w:r>
        <w:t>SoSB</w:t>
      </w:r>
      <w:proofErr w:type="spellEnd"/>
      <w:r>
        <w:t xml:space="preserve"> SMP Hůrka, pokud již byla v mezidobí uzavřena) a (</w:t>
      </w:r>
      <w:proofErr w:type="spellStart"/>
      <w:r>
        <w:t>ii</w:t>
      </w:r>
      <w:proofErr w:type="spellEnd"/>
      <w:r>
        <w:t>) vypovědět s tří měsíční výpovědní dobou,</w:t>
      </w:r>
    </w:p>
    <w:p w14:paraId="3EECE8CF" w14:textId="77777777" w:rsidR="00EC1C40" w:rsidRDefault="00000000">
      <w:pPr>
        <w:pStyle w:val="Zhlavnebozpat0"/>
        <w:framePr w:wrap="none" w:vAnchor="page" w:hAnchor="page" w:x="5662" w:y="16085"/>
        <w:rPr>
          <w:sz w:val="22"/>
          <w:szCs w:val="22"/>
        </w:rPr>
      </w:pPr>
      <w:r>
        <w:rPr>
          <w:color w:val="231E20"/>
          <w:sz w:val="22"/>
          <w:szCs w:val="22"/>
        </w:rPr>
        <w:t>13/22</w:t>
      </w:r>
    </w:p>
    <w:p w14:paraId="21AC2B29"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65009531" w14:textId="77777777" w:rsidR="00EC1C40" w:rsidRDefault="00000000">
      <w:pPr>
        <w:spacing w:line="1" w:lineRule="exact"/>
      </w:pPr>
      <w:r>
        <w:rPr>
          <w:noProof/>
        </w:rPr>
        <w:lastRenderedPageBreak/>
        <mc:AlternateContent>
          <mc:Choice Requires="wps">
            <w:drawing>
              <wp:anchor distT="0" distB="0" distL="114300" distR="114300" simplePos="0" relativeHeight="251659776" behindDoc="1" locked="0" layoutInCell="1" allowOverlap="1" wp14:anchorId="12C86A90" wp14:editId="2DACC931">
                <wp:simplePos x="0" y="0"/>
                <wp:positionH relativeFrom="page">
                  <wp:posOffset>946150</wp:posOffset>
                </wp:positionH>
                <wp:positionV relativeFrom="page">
                  <wp:posOffset>932180</wp:posOffset>
                </wp:positionV>
                <wp:extent cx="5702935" cy="0"/>
                <wp:effectExtent l="0" t="0" r="0" b="0"/>
                <wp:wrapNone/>
                <wp:docPr id="75" name="Shape 75"/>
                <wp:cNvGraphicFramePr/>
                <a:graphic xmlns:a="http://schemas.openxmlformats.org/drawingml/2006/main">
                  <a:graphicData uri="http://schemas.microsoft.com/office/word/2010/wordprocessingShape">
                    <wps:wsp>
                      <wps:cNvCnPr/>
                      <wps:spPr>
                        <a:xfrm>
                          <a:off x="0" y="0"/>
                          <a:ext cx="5702935" cy="0"/>
                        </a:xfrm>
                        <a:prstGeom prst="straightConnector1">
                          <a:avLst/>
                        </a:prstGeom>
                        <a:ln w="6350">
                          <a:solidFill/>
                        </a:ln>
                      </wps:spPr>
                      <wps:bodyPr/>
                    </wps:wsp>
                  </a:graphicData>
                </a:graphic>
              </wp:anchor>
            </w:drawing>
          </mc:Choice>
          <mc:Fallback>
            <w:pict>
              <v:shape o:spt="32" o:oned="true" path="m,l21600,21600e" style="position:absolute;margin-left:74.5pt;margin-top:73.400000000000006pt;width:449.05000000000001pt;height:0;z-index:-251658240;mso-position-horizontal-relative:page;mso-position-vertical-relative:page">
                <v:stroke weight="0.5pt"/>
              </v:shape>
            </w:pict>
          </mc:Fallback>
        </mc:AlternateContent>
      </w:r>
    </w:p>
    <w:p w14:paraId="626855B6" w14:textId="77777777" w:rsidR="00EC1C40" w:rsidRDefault="00000000">
      <w:pPr>
        <w:pStyle w:val="Zhlavnebozpat0"/>
        <w:framePr w:wrap="none" w:vAnchor="page" w:hAnchor="page" w:x="5081" w:y="1186"/>
      </w:pPr>
      <w:r>
        <w:t>Dohoda o úpravě vztahů</w:t>
      </w:r>
    </w:p>
    <w:p w14:paraId="57AD09F2" w14:textId="77777777" w:rsidR="00EC1C40" w:rsidRDefault="00000000">
      <w:pPr>
        <w:pStyle w:val="Zkladntext1"/>
        <w:framePr w:w="9134" w:h="13565" w:hRule="exact" w:wrap="none" w:vAnchor="page" w:hAnchor="page" w:x="1376" w:y="1940"/>
        <w:ind w:left="580"/>
        <w:jc w:val="both"/>
      </w:pPr>
      <w:r>
        <w:t xml:space="preserve">nedohodnou-li se Smluvní strany na jiné výpovědní době, Smlouvu o výpůjčce SMP Hůrka </w:t>
      </w:r>
      <w:r>
        <w:rPr>
          <w:i/>
          <w:iCs/>
        </w:rPr>
        <w:t>(jak je tento pojem definován v Plánovací smlouvě)</w:t>
      </w:r>
      <w:r>
        <w:t xml:space="preserve">. Toto právo na odstoupení (respektive výpověď) je sjednáno a vzniká přímo na základě této Dohody a uplatní se bez dalšího na právní vztah založený </w:t>
      </w:r>
      <w:proofErr w:type="spellStart"/>
      <w:r>
        <w:t>SoSB</w:t>
      </w:r>
      <w:proofErr w:type="spellEnd"/>
      <w:r>
        <w:t xml:space="preserve"> SMP Hůrka a Smlouvou o výpůjčce SMP Hůrka (bez ohledu na to, že toto právo není výslovně upraveno v těchto smlouvách).</w:t>
      </w:r>
    </w:p>
    <w:p w14:paraId="24637929" w14:textId="77777777" w:rsidR="00EC1C40" w:rsidRDefault="00000000">
      <w:pPr>
        <w:pStyle w:val="Zkladntext1"/>
        <w:framePr w:w="9134" w:h="13565" w:hRule="exact" w:wrap="none" w:vAnchor="page" w:hAnchor="page" w:x="1376" w:y="1940"/>
        <w:ind w:left="580"/>
        <w:jc w:val="both"/>
      </w:pPr>
      <w:r>
        <w:t xml:space="preserve">Pro odstranění pochybností se výslovně sjednává, že Směna 1, Plánovací smlouva, Smlouva o smlouvě budoucí směnné a Smlouva o výpůjčce </w:t>
      </w:r>
      <w:r>
        <w:rPr>
          <w:i/>
          <w:iCs/>
        </w:rPr>
        <w:t>(jak jsou tyto pojmy definovány v Plánovací smlouvě)</w:t>
      </w:r>
      <w:r>
        <w:t xml:space="preserve"> nejsou uplatněním tohoto práva Investora nijak dotčena.</w:t>
      </w:r>
    </w:p>
    <w:p w14:paraId="172BD11F" w14:textId="77777777" w:rsidR="00EC1C40" w:rsidRDefault="00000000">
      <w:pPr>
        <w:pStyle w:val="Zkladntext1"/>
        <w:framePr w:w="9134" w:h="13565" w:hRule="exact" w:wrap="none" w:vAnchor="page" w:hAnchor="page" w:x="1376" w:y="1940"/>
        <w:ind w:left="580"/>
        <w:jc w:val="both"/>
      </w:pPr>
      <w:r>
        <w:t>Pro odstranění pochybností se výslovně sjednává, že SMP není oprávněno ve vztahu k Investorovi v případě nastání skutečností dle tohoto čl. 3.4 až čl. 3.6 Dohody uplatnit jakákoli práva či nároky. SMP nemá právo z tohoto důvodu ukončit tuto Dohodu či jiné smlouvy a dohody.</w:t>
      </w:r>
    </w:p>
    <w:p w14:paraId="070240B9" w14:textId="77777777" w:rsidR="00EC1C40" w:rsidRDefault="00000000">
      <w:pPr>
        <w:pStyle w:val="Zkladntext1"/>
        <w:framePr w:w="9134" w:h="13565" w:hRule="exact" w:wrap="none" w:vAnchor="page" w:hAnchor="page" w:x="1376" w:y="1940"/>
        <w:ind w:left="580"/>
        <w:jc w:val="both"/>
      </w:pPr>
      <w:r>
        <w:t xml:space="preserve">Smluvní strany dále berou na vědomí, že v případě vzniku práva Investora odstoupit od této Dohody je v rámci Smlouvy o výpůjčce Nadace Hůrka sjednáno právo Investora Smlouvu o výpůjčce Nadace Hůrka vypovědět s tří (3) měsíční výpovědní lhůtou, nedohodnou-li se Smluvní strany na jiné výpovědní lhůtě, a v rámci </w:t>
      </w:r>
      <w:proofErr w:type="spellStart"/>
      <w:r>
        <w:t>SoSB</w:t>
      </w:r>
      <w:proofErr w:type="spellEnd"/>
      <w:r>
        <w:t xml:space="preserve"> Nadace Hůrka právo odstoupit od </w:t>
      </w:r>
      <w:proofErr w:type="spellStart"/>
      <w:r>
        <w:t>SoSB</w:t>
      </w:r>
      <w:proofErr w:type="spellEnd"/>
      <w:r>
        <w:t xml:space="preserve"> Nadace Hůrka.</w:t>
      </w:r>
    </w:p>
    <w:p w14:paraId="7C799DFE" w14:textId="77777777" w:rsidR="00EC1C40" w:rsidRDefault="00000000">
      <w:pPr>
        <w:pStyle w:val="Zkladntext1"/>
        <w:framePr w:w="9134" w:h="13565" w:hRule="exact" w:wrap="none" w:vAnchor="page" w:hAnchor="page" w:x="1376" w:y="1940"/>
        <w:ind w:left="580"/>
        <w:jc w:val="both"/>
      </w:pPr>
      <w:r>
        <w:t xml:space="preserve">Smluvní strany dále sjednávají, že Investor nemá právo odstoupit od (i) realizační kupní smlouvy uzavřené na základě </w:t>
      </w:r>
      <w:proofErr w:type="spellStart"/>
      <w:r>
        <w:t>SoSB</w:t>
      </w:r>
      <w:proofErr w:type="spellEnd"/>
      <w:r>
        <w:t xml:space="preserve"> SMP Hůrka a (</w:t>
      </w:r>
      <w:proofErr w:type="spellStart"/>
      <w:r>
        <w:t>ii</w:t>
      </w:r>
      <w:proofErr w:type="spellEnd"/>
      <w:r>
        <w:t xml:space="preserve">) realizační kupní smlouvy uzavřené na základě </w:t>
      </w:r>
      <w:proofErr w:type="spellStart"/>
      <w:r>
        <w:t>SoSB</w:t>
      </w:r>
      <w:proofErr w:type="spellEnd"/>
      <w:r>
        <w:t xml:space="preserve"> Nadace Hůrka, pokud již byla zahájena výstavba Parkovacího domu; tím nicméně není dotčeno právo Investora odstoupit či vypovědět ostatní Smlouvy dle čl. 3.6 této Dohody.</w:t>
      </w:r>
    </w:p>
    <w:p w14:paraId="60AF2098" w14:textId="77777777" w:rsidR="00EC1C40" w:rsidRDefault="00000000">
      <w:pPr>
        <w:pStyle w:val="Zkladntext1"/>
        <w:framePr w:w="9134" w:h="13565" w:hRule="exact" w:wrap="none" w:vAnchor="page" w:hAnchor="page" w:x="1376" w:y="1940"/>
        <w:ind w:left="580"/>
        <w:jc w:val="both"/>
      </w:pPr>
      <w:r>
        <w:t>Pokud by se ukázalo, ať z jakéhokoli důvodu, že právo odstoupit či vypovědět kteroukoli smlouvu (dohodu) uvedenou v čl. 3.6 této Dohody nelze uplatnit (např. z toho důvodu, že právo ji ukončit nebylo sjednáno platně), není takováto skutečnost překážkou pro výkon práva Investora dle tohoto čl. 3.6 této Dohody ve vztahu k ostatním smlouvám a dohodám čl. 3.6 této Dohody.</w:t>
      </w:r>
    </w:p>
    <w:p w14:paraId="398242DB" w14:textId="77777777" w:rsidR="00EC1C40" w:rsidRDefault="00000000">
      <w:pPr>
        <w:pStyle w:val="Zkladntext1"/>
        <w:framePr w:w="9134" w:h="13565" w:hRule="exact" w:wrap="none" w:vAnchor="page" w:hAnchor="page" w:x="1376" w:y="1940"/>
        <w:numPr>
          <w:ilvl w:val="1"/>
          <w:numId w:val="24"/>
        </w:numPr>
        <w:tabs>
          <w:tab w:val="left" w:pos="572"/>
        </w:tabs>
        <w:ind w:left="580" w:hanging="580"/>
        <w:jc w:val="both"/>
      </w:pPr>
      <w:r>
        <w:t>Zánikem této Dohody se obnovují práva a nároky Smluvních stran, které na základě této Dohody či v jejím důsledku zanikly, respektive vůbec nevznikly (respektive nemohly být uplatněny), přičemž Smluvní strany si rovněž vrátí plnění, které případně kterákoli ze Smluvních stran poskytla druhé Smluvní straně na základě této Dohody. Smluvní strany dále sjednávají ve vztahu k takovýmto právům a nárokům uvedeným v tomto ustanovení, že promlčecí doba se u takovýchto práv a nároků prodlužuje takovým způsobem, že neskončí dříve, než dva (2) roky od zániku této Dohody, maximálně se však promlčecí lhůta prodlužuje na patnáct (15) let od doby, kdy právo mohlo být uplatněno poprvé. Toto ustanovení se použije obdobně i pro případ odstoupení Investora dle čl. 3.4 až čl. 3.6 Dohody.</w:t>
      </w:r>
    </w:p>
    <w:p w14:paraId="554BAB04" w14:textId="77777777" w:rsidR="00EC1C40" w:rsidRDefault="00000000">
      <w:pPr>
        <w:pStyle w:val="Nadpis60"/>
        <w:framePr w:w="9134" w:h="13565" w:hRule="exact" w:wrap="none" w:vAnchor="page" w:hAnchor="page" w:x="1376" w:y="1940"/>
        <w:numPr>
          <w:ilvl w:val="0"/>
          <w:numId w:val="24"/>
        </w:numPr>
        <w:tabs>
          <w:tab w:val="left" w:pos="572"/>
        </w:tabs>
        <w:jc w:val="both"/>
      </w:pPr>
      <w:bookmarkStart w:id="41" w:name="bookmark83"/>
      <w:r>
        <w:t>Sankce</w:t>
      </w:r>
      <w:bookmarkEnd w:id="41"/>
    </w:p>
    <w:p w14:paraId="52ECA207" w14:textId="77777777" w:rsidR="00EC1C40" w:rsidRDefault="00000000">
      <w:pPr>
        <w:pStyle w:val="Zkladntext1"/>
        <w:framePr w:w="9134" w:h="13565" w:hRule="exact" w:wrap="none" w:vAnchor="page" w:hAnchor="page" w:x="1376" w:y="1940"/>
        <w:numPr>
          <w:ilvl w:val="1"/>
          <w:numId w:val="24"/>
        </w:numPr>
        <w:tabs>
          <w:tab w:val="left" w:pos="572"/>
        </w:tabs>
        <w:spacing w:after="240"/>
        <w:ind w:left="580" w:hanging="580"/>
        <w:jc w:val="both"/>
      </w:pPr>
      <w:r>
        <w:t>Investor se zavazuje uhradit SMP smluvní pokutu ve výši 100.000,- Kč (slovy: jedno sto tisíc korun českých) za každý i započatý kalendářní měsíc porušení povinnosti dle čl. 2.10.1 této Dohody, maximálně však za období šesti (6) měsíců, a to počínaje marným uplynutím dodatečné lhůty k nápravě v délce tří (3) měsíců od doručení výzvy k nápravě ze strany SMP Investorovi. Výzva k nápravě musí vymezit, v čem toto porušení spočívá. Výzvu k nápravě dle tohoto ustanovení může SMP zaslat Investorovi nejdříve 1. dnem porušení povinnosti Investora dle čl. 2.10.1 této Dohody.</w:t>
      </w:r>
    </w:p>
    <w:p w14:paraId="5B10BDC2" w14:textId="77777777" w:rsidR="00EC1C40" w:rsidRDefault="00000000">
      <w:pPr>
        <w:pStyle w:val="Zkladntext1"/>
        <w:framePr w:w="9134" w:h="13565" w:hRule="exact" w:wrap="none" w:vAnchor="page" w:hAnchor="page" w:x="1376" w:y="1940"/>
        <w:numPr>
          <w:ilvl w:val="1"/>
          <w:numId w:val="24"/>
        </w:numPr>
        <w:tabs>
          <w:tab w:val="left" w:pos="572"/>
        </w:tabs>
        <w:spacing w:after="0"/>
        <w:ind w:left="580" w:hanging="580"/>
        <w:jc w:val="both"/>
      </w:pPr>
      <w:r>
        <w:t>Investor se zavazuje uhradit SMP smluvní pokutu ve výši 2.000.000,- Kč (slovy: dva miliony korun českých) pro případ porušení povinnosti postupovat takovým způsobem, aby Odstranění odpadu z mezideponie nastalo do uplynutí Milníku (prodlouženého v souladu s ustanoveními této Dohody), pokud nedojde k nápravě tohoto prodlení Investora ani do uplynutí dodatečné</w:t>
      </w:r>
    </w:p>
    <w:p w14:paraId="2C4CA5CD" w14:textId="77777777" w:rsidR="00EC1C40" w:rsidRDefault="00000000">
      <w:pPr>
        <w:pStyle w:val="Zhlavnebozpat0"/>
        <w:framePr w:wrap="none" w:vAnchor="page" w:hAnchor="page" w:x="5657" w:y="16085"/>
        <w:rPr>
          <w:sz w:val="22"/>
          <w:szCs w:val="22"/>
        </w:rPr>
      </w:pPr>
      <w:r>
        <w:rPr>
          <w:color w:val="231E20"/>
          <w:sz w:val="22"/>
          <w:szCs w:val="22"/>
        </w:rPr>
        <w:t>14/22</w:t>
      </w:r>
    </w:p>
    <w:p w14:paraId="138179A6"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6924966A" w14:textId="77777777" w:rsidR="00EC1C40" w:rsidRDefault="00000000">
      <w:pPr>
        <w:spacing w:line="1" w:lineRule="exact"/>
      </w:pPr>
      <w:r>
        <w:rPr>
          <w:noProof/>
        </w:rPr>
        <w:lastRenderedPageBreak/>
        <mc:AlternateContent>
          <mc:Choice Requires="wps">
            <w:drawing>
              <wp:anchor distT="0" distB="0" distL="114300" distR="114300" simplePos="0" relativeHeight="251660800" behindDoc="1" locked="0" layoutInCell="1" allowOverlap="1" wp14:anchorId="58AF1D17" wp14:editId="50FBCF59">
                <wp:simplePos x="0" y="0"/>
                <wp:positionH relativeFrom="page">
                  <wp:posOffset>946150</wp:posOffset>
                </wp:positionH>
                <wp:positionV relativeFrom="page">
                  <wp:posOffset>932180</wp:posOffset>
                </wp:positionV>
                <wp:extent cx="5702935" cy="0"/>
                <wp:effectExtent l="0" t="0" r="0" b="0"/>
                <wp:wrapNone/>
                <wp:docPr id="76" name="Shape 76"/>
                <wp:cNvGraphicFramePr/>
                <a:graphic xmlns:a="http://schemas.openxmlformats.org/drawingml/2006/main">
                  <a:graphicData uri="http://schemas.microsoft.com/office/word/2010/wordprocessingShape">
                    <wps:wsp>
                      <wps:cNvCnPr/>
                      <wps:spPr>
                        <a:xfrm>
                          <a:off x="0" y="0"/>
                          <a:ext cx="5702935" cy="0"/>
                        </a:xfrm>
                        <a:prstGeom prst="straightConnector1">
                          <a:avLst/>
                        </a:prstGeom>
                        <a:ln w="6350">
                          <a:solidFill/>
                        </a:ln>
                      </wps:spPr>
                      <wps:bodyPr/>
                    </wps:wsp>
                  </a:graphicData>
                </a:graphic>
              </wp:anchor>
            </w:drawing>
          </mc:Choice>
          <mc:Fallback>
            <w:pict>
              <v:shape o:spt="32" o:oned="true" path="m,l21600,21600e" style="position:absolute;margin-left:74.5pt;margin-top:73.400000000000006pt;width:449.05000000000001pt;height:0;z-index:-251658240;mso-position-horizontal-relative:page;mso-position-vertical-relative:page">
                <v:stroke weight="0.5pt"/>
              </v:shape>
            </w:pict>
          </mc:Fallback>
        </mc:AlternateContent>
      </w:r>
    </w:p>
    <w:p w14:paraId="3BAB5ACB" w14:textId="77777777" w:rsidR="00EC1C40" w:rsidRDefault="00000000">
      <w:pPr>
        <w:pStyle w:val="Zhlavnebozpat0"/>
        <w:framePr w:wrap="none" w:vAnchor="page" w:hAnchor="page" w:x="5081" w:y="1186"/>
      </w:pPr>
      <w:r>
        <w:t>Dohoda o úpravě vztahů</w:t>
      </w:r>
    </w:p>
    <w:p w14:paraId="37C6E202" w14:textId="77777777" w:rsidR="00EC1C40" w:rsidRDefault="00000000">
      <w:pPr>
        <w:pStyle w:val="Zkladntext1"/>
        <w:framePr w:w="9134" w:h="13507" w:hRule="exact" w:wrap="none" w:vAnchor="page" w:hAnchor="page" w:x="1376" w:y="1940"/>
        <w:spacing w:after="240"/>
        <w:ind w:left="580"/>
        <w:jc w:val="both"/>
      </w:pPr>
      <w:r>
        <w:t>lhůty šesti (6) měsíců od doručení výzvy k nápravě ze strany SMP Investorovi. Výzvu k nápravě dle tohoto ustanovení může SMP zaslat Investorovi nejdříve 1. dnem prodlení Investora se splněním Milníku.</w:t>
      </w:r>
    </w:p>
    <w:p w14:paraId="63D92C68" w14:textId="77777777" w:rsidR="00EC1C40" w:rsidRDefault="00000000">
      <w:pPr>
        <w:pStyle w:val="Zkladntext1"/>
        <w:framePr w:w="9134" w:h="13507" w:hRule="exact" w:wrap="none" w:vAnchor="page" w:hAnchor="page" w:x="1376" w:y="1940"/>
        <w:numPr>
          <w:ilvl w:val="1"/>
          <w:numId w:val="24"/>
        </w:numPr>
        <w:tabs>
          <w:tab w:val="left" w:pos="566"/>
        </w:tabs>
        <w:ind w:left="580" w:hanging="580"/>
        <w:jc w:val="both"/>
      </w:pPr>
      <w:r>
        <w:t>Investor se zavazuje uhradit SMP (namísto smluvní pokuty dle čl. 4.2 Dohody) smluvní pokutu ve výši 1.000.000,- Kč (slovy: jeden milion korun českých) v případě, kdy poruší svoji povinnost realizovat Odstranění odpadu z mezideponie dle čl. 9.5 této Dohody, pokud nedojde k nápravě tohoto prodlení Investora ani do uplynutí dodatečné lhůty šesti (6) měsíců od doručení výzvy k nápravě ze strany SMP Investorovi. Výzvu k nápravě dle tohoto ustanovení může SMP zaslat Investorovi nejdříve 1. dnem prodlení Investora se splněním Milníku.</w:t>
      </w:r>
    </w:p>
    <w:p w14:paraId="1D898F24" w14:textId="77777777" w:rsidR="00EC1C40" w:rsidRDefault="00000000">
      <w:pPr>
        <w:pStyle w:val="Zkladntext1"/>
        <w:framePr w:w="9134" w:h="13507" w:hRule="exact" w:wrap="none" w:vAnchor="page" w:hAnchor="page" w:x="1376" w:y="1940"/>
        <w:numPr>
          <w:ilvl w:val="1"/>
          <w:numId w:val="24"/>
        </w:numPr>
        <w:tabs>
          <w:tab w:val="left" w:pos="566"/>
        </w:tabs>
        <w:ind w:left="580" w:hanging="580"/>
        <w:jc w:val="both"/>
      </w:pPr>
      <w:r>
        <w:t>Smluvní pokutou dle této Dohody není nijak dotčeno právo Smluvní strany na náhradu škody ve výši přesahující smluvní pokutu, a/nebo jiná práva, která Smluvní straně v souvislosti s porušením této Dohody vzniknou. Smluvních pokut dle této Dohody, ani náhrady škody se nemohou domáhat třetí osoby.</w:t>
      </w:r>
    </w:p>
    <w:p w14:paraId="41450722" w14:textId="77777777" w:rsidR="00EC1C40" w:rsidRDefault="00000000">
      <w:pPr>
        <w:pStyle w:val="Zkladntext1"/>
        <w:framePr w:w="9134" w:h="13507" w:hRule="exact" w:wrap="none" w:vAnchor="page" w:hAnchor="page" w:x="1376" w:y="1940"/>
        <w:numPr>
          <w:ilvl w:val="1"/>
          <w:numId w:val="24"/>
        </w:numPr>
        <w:tabs>
          <w:tab w:val="left" w:pos="566"/>
        </w:tabs>
        <w:ind w:left="580" w:hanging="580"/>
        <w:jc w:val="both"/>
      </w:pPr>
      <w:r>
        <w:t>Vznik práva na smluvní pokutu, ani její úhrada, nezbavuje Smluvní stranu, která danou povinnost porušila, povinnosti tuto porušenou povinnost splnit.</w:t>
      </w:r>
    </w:p>
    <w:p w14:paraId="102F7FE4" w14:textId="77777777" w:rsidR="00EC1C40" w:rsidRDefault="00000000">
      <w:pPr>
        <w:pStyle w:val="Zkladntext1"/>
        <w:framePr w:w="9134" w:h="13507" w:hRule="exact" w:wrap="none" w:vAnchor="page" w:hAnchor="page" w:x="1376" w:y="1940"/>
        <w:numPr>
          <w:ilvl w:val="1"/>
          <w:numId w:val="24"/>
        </w:numPr>
        <w:tabs>
          <w:tab w:val="left" w:pos="566"/>
        </w:tabs>
        <w:jc w:val="both"/>
      </w:pPr>
      <w:r>
        <w:t>Smluvní pokuty jsou splatné do třiceti (30) dnů od doručení písemné výzvy k jejich úhradě.</w:t>
      </w:r>
    </w:p>
    <w:p w14:paraId="094A0DD2" w14:textId="77777777" w:rsidR="00EC1C40" w:rsidRDefault="00000000">
      <w:pPr>
        <w:pStyle w:val="Nadpis60"/>
        <w:framePr w:w="9134" w:h="13507" w:hRule="exact" w:wrap="none" w:vAnchor="page" w:hAnchor="page" w:x="1376" w:y="1940"/>
        <w:numPr>
          <w:ilvl w:val="0"/>
          <w:numId w:val="24"/>
        </w:numPr>
        <w:tabs>
          <w:tab w:val="left" w:pos="566"/>
        </w:tabs>
        <w:jc w:val="both"/>
      </w:pPr>
      <w:bookmarkStart w:id="42" w:name="bookmark85"/>
      <w:r>
        <w:t>Trvání Dohody</w:t>
      </w:r>
      <w:bookmarkEnd w:id="42"/>
    </w:p>
    <w:p w14:paraId="7900E968" w14:textId="77777777" w:rsidR="00EC1C40" w:rsidRDefault="00000000">
      <w:pPr>
        <w:pStyle w:val="Zkladntext1"/>
        <w:framePr w:w="9134" w:h="13507" w:hRule="exact" w:wrap="none" w:vAnchor="page" w:hAnchor="page" w:x="1376" w:y="1940"/>
        <w:numPr>
          <w:ilvl w:val="1"/>
          <w:numId w:val="24"/>
        </w:numPr>
        <w:tabs>
          <w:tab w:val="left" w:pos="566"/>
        </w:tabs>
        <w:jc w:val="both"/>
      </w:pPr>
      <w:r>
        <w:t>Tato Dohoda se uzavírá na dobu určitou, a to na dobu třiceti (30) let od jejího uzavření.</w:t>
      </w:r>
    </w:p>
    <w:p w14:paraId="33073CDC" w14:textId="77777777" w:rsidR="00EC1C40" w:rsidRDefault="00000000">
      <w:pPr>
        <w:pStyle w:val="Zkladntext1"/>
        <w:framePr w:w="9134" w:h="13507" w:hRule="exact" w:wrap="none" w:vAnchor="page" w:hAnchor="page" w:x="1376" w:y="1940"/>
        <w:numPr>
          <w:ilvl w:val="1"/>
          <w:numId w:val="24"/>
        </w:numPr>
        <w:tabs>
          <w:tab w:val="left" w:pos="566"/>
        </w:tabs>
        <w:ind w:left="580" w:hanging="580"/>
        <w:jc w:val="both"/>
      </w:pPr>
      <w:r>
        <w:t>Smluvní strany použijí ustanovení pro vypořádání Smluvních stran pro případ zániku této Dohody odstoupením i na jiné způsoby zániku této Dohody.</w:t>
      </w:r>
    </w:p>
    <w:p w14:paraId="37B683FD" w14:textId="77777777" w:rsidR="00EC1C40" w:rsidRDefault="00000000">
      <w:pPr>
        <w:pStyle w:val="Zkladntext1"/>
        <w:framePr w:w="9134" w:h="13507" w:hRule="exact" w:wrap="none" w:vAnchor="page" w:hAnchor="page" w:x="1376" w:y="1940"/>
        <w:numPr>
          <w:ilvl w:val="1"/>
          <w:numId w:val="24"/>
        </w:numPr>
        <w:tabs>
          <w:tab w:val="left" w:pos="566"/>
        </w:tabs>
        <w:ind w:left="580" w:hanging="580"/>
        <w:jc w:val="both"/>
      </w:pPr>
      <w:r>
        <w:t xml:space="preserve">Ustanovení čl. 3.4 až čl. 3.6, čl. 3.7 Dohody, čl. 10 </w:t>
      </w:r>
      <w:r>
        <w:rPr>
          <w:i/>
          <w:iCs/>
        </w:rPr>
        <w:t>(Právní povaha Dohody a rozhodné právo)</w:t>
      </w:r>
      <w:r>
        <w:t xml:space="preserve">, čl. 11 </w:t>
      </w:r>
      <w:r>
        <w:rPr>
          <w:i/>
          <w:iCs/>
        </w:rPr>
        <w:t>(Řešení sporů)</w:t>
      </w:r>
      <w:r>
        <w:t xml:space="preserve">, čl. 14 </w:t>
      </w:r>
      <w:r>
        <w:rPr>
          <w:i/>
          <w:iCs/>
        </w:rPr>
        <w:t>(Ochrana důvěrných informací)</w:t>
      </w:r>
      <w:r>
        <w:t>, jakož i dalších ustanovení této Dohody, která mají vzhledem ke své povaze a účelu zavazovat Smluvní strany i po zániku této Dohody (např. z toho důvodu, že obsahují úpravu pro vypořádání Smluvních stran při zániku této Dohody, např. čl. 9.5 a na tento článek navazující úprava), zůstávají v platnosti a účinnosti i po odstoupení od této Dohody nebo jakémkoli jiném jejím ukončení či zániku, nevyplývá-li z dohody Smluvních stran jinak. Výrazy a ustanovení z Plánovací smlouvy, na které se tato Dohoda odkazuje, se použijí i tehdy, pokud by Plánovací smlouva z jakéhokoli důvodu zanikla.</w:t>
      </w:r>
    </w:p>
    <w:p w14:paraId="6FF23FFF" w14:textId="77777777" w:rsidR="00EC1C40" w:rsidRDefault="00000000">
      <w:pPr>
        <w:pStyle w:val="Nadpis60"/>
        <w:framePr w:w="9134" w:h="13507" w:hRule="exact" w:wrap="none" w:vAnchor="page" w:hAnchor="page" w:x="1376" w:y="1940"/>
        <w:numPr>
          <w:ilvl w:val="0"/>
          <w:numId w:val="24"/>
        </w:numPr>
        <w:tabs>
          <w:tab w:val="left" w:pos="566"/>
        </w:tabs>
        <w:jc w:val="both"/>
      </w:pPr>
      <w:bookmarkStart w:id="43" w:name="bookmark87"/>
      <w:r>
        <w:t>Vztah k jiným smlouvám či dohodám</w:t>
      </w:r>
      <w:bookmarkEnd w:id="43"/>
    </w:p>
    <w:p w14:paraId="3B8E1797" w14:textId="77777777" w:rsidR="00EC1C40" w:rsidRDefault="00000000">
      <w:pPr>
        <w:pStyle w:val="Zkladntext1"/>
        <w:framePr w:w="9134" w:h="13507" w:hRule="exact" w:wrap="none" w:vAnchor="page" w:hAnchor="page" w:x="1376" w:y="1940"/>
        <w:numPr>
          <w:ilvl w:val="1"/>
          <w:numId w:val="24"/>
        </w:numPr>
        <w:tabs>
          <w:tab w:val="left" w:pos="566"/>
        </w:tabs>
        <w:ind w:left="580" w:hanging="580"/>
        <w:jc w:val="both"/>
      </w:pPr>
      <w:r>
        <w:t>Tato Dohoda je nezávislá na jakýchkoli jiných smlouvách či dohodách, včetně Plánovací smlouvy, není-li v této Dohodě či v těchto jiných smlouvách či dohodách výslovně stanoveno jinak; i v takovém případě je tato Dohoda závislá na těchto jiných smlouvách či dohodách, včetně Plánovací smlouvy, výhradně tím způsobem, kterým tato Dohoda či tyto jiné smlouvy či dohody výslovně stanoví.</w:t>
      </w:r>
    </w:p>
    <w:p w14:paraId="552BE2BB" w14:textId="77777777" w:rsidR="00EC1C40" w:rsidRDefault="00000000">
      <w:pPr>
        <w:pStyle w:val="Nadpis60"/>
        <w:framePr w:w="9134" w:h="13507" w:hRule="exact" w:wrap="none" w:vAnchor="page" w:hAnchor="page" w:x="1376" w:y="1940"/>
        <w:numPr>
          <w:ilvl w:val="0"/>
          <w:numId w:val="24"/>
        </w:numPr>
        <w:tabs>
          <w:tab w:val="left" w:pos="566"/>
        </w:tabs>
        <w:jc w:val="both"/>
      </w:pPr>
      <w:bookmarkStart w:id="44" w:name="bookmark89"/>
      <w:r>
        <w:t>Postoupení</w:t>
      </w:r>
      <w:bookmarkEnd w:id="44"/>
    </w:p>
    <w:p w14:paraId="0FA608D6" w14:textId="77777777" w:rsidR="00EC1C40" w:rsidRDefault="00000000">
      <w:pPr>
        <w:pStyle w:val="Zkladntext1"/>
        <w:framePr w:w="9134" w:h="13507" w:hRule="exact" w:wrap="none" w:vAnchor="page" w:hAnchor="page" w:x="1376" w:y="1940"/>
        <w:numPr>
          <w:ilvl w:val="1"/>
          <w:numId w:val="24"/>
        </w:numPr>
        <w:tabs>
          <w:tab w:val="left" w:pos="566"/>
        </w:tabs>
        <w:ind w:left="580" w:hanging="580"/>
        <w:jc w:val="both"/>
      </w:pPr>
      <w:r>
        <w:t>Žádná ze Smluvních stran není oprávněna postoupit tuto Dohodu nebo její kteroukoli část včetně jakýchkoli práv a/nebo povinností z ní vyplývajících na třetí osobu/třetí osoby bez předchozího písemného souhlasu druhé ze Smluvních stran.</w:t>
      </w:r>
    </w:p>
    <w:p w14:paraId="6FADB89B" w14:textId="77777777" w:rsidR="00EC1C40" w:rsidRDefault="00000000">
      <w:pPr>
        <w:pStyle w:val="Zkladntext1"/>
        <w:framePr w:w="9134" w:h="13507" w:hRule="exact" w:wrap="none" w:vAnchor="page" w:hAnchor="page" w:x="1376" w:y="1940"/>
        <w:numPr>
          <w:ilvl w:val="1"/>
          <w:numId w:val="24"/>
        </w:numPr>
        <w:tabs>
          <w:tab w:val="left" w:pos="566"/>
        </w:tabs>
        <w:spacing w:after="0"/>
        <w:ind w:left="580" w:hanging="580"/>
        <w:jc w:val="both"/>
      </w:pPr>
      <w:r>
        <w:t>Investor se zavazuje nepřevést jakékoli Pozemky, které ke dni uzavření této Dohody vlastní, na třetí osobu předtím, než takovýto budoucí nabyvatel vlastnického práva k Pozemkům buď (i) vystaví a SMP doručí prohlášení, na základě kterého bude budoucí nabyvatel garantovat SMP práva SMP ve stejném rozsahu, v jakém jsou sjednány v čl. 2.7, čl. 2.8 a čl. 2.10 Dohody (aniž by Investor přestal být zavázaným z této Dohody, pokud se SMP a Investor nedohodnou jinak), nebo (</w:t>
      </w:r>
      <w:proofErr w:type="spellStart"/>
      <w:r>
        <w:t>ii</w:t>
      </w:r>
      <w:proofErr w:type="spellEnd"/>
      <w:r>
        <w:t>) bude na tohoto budoucího nabyvatele vlastnického práva k Pozemkům tato Dohoda (se</w:t>
      </w:r>
    </w:p>
    <w:p w14:paraId="768FFB5B" w14:textId="77777777" w:rsidR="00EC1C40" w:rsidRDefault="00000000">
      <w:pPr>
        <w:pStyle w:val="Zhlavnebozpat0"/>
        <w:framePr w:wrap="none" w:vAnchor="page" w:hAnchor="page" w:x="5657" w:y="16085"/>
        <w:rPr>
          <w:sz w:val="22"/>
          <w:szCs w:val="22"/>
        </w:rPr>
      </w:pPr>
      <w:r>
        <w:rPr>
          <w:color w:val="231E20"/>
          <w:sz w:val="22"/>
          <w:szCs w:val="22"/>
        </w:rPr>
        <w:t>15/22</w:t>
      </w:r>
    </w:p>
    <w:p w14:paraId="0CAAC560"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0E62BC56" w14:textId="77777777" w:rsidR="00EC1C40" w:rsidRDefault="00000000">
      <w:pPr>
        <w:spacing w:line="1" w:lineRule="exact"/>
      </w:pPr>
      <w:r>
        <w:rPr>
          <w:noProof/>
        </w:rPr>
        <w:lastRenderedPageBreak/>
        <mc:AlternateContent>
          <mc:Choice Requires="wps">
            <w:drawing>
              <wp:anchor distT="0" distB="0" distL="114300" distR="114300" simplePos="0" relativeHeight="251661824" behindDoc="1" locked="0" layoutInCell="1" allowOverlap="1" wp14:anchorId="674E7AEC" wp14:editId="48CE97A9">
                <wp:simplePos x="0" y="0"/>
                <wp:positionH relativeFrom="page">
                  <wp:posOffset>950595</wp:posOffset>
                </wp:positionH>
                <wp:positionV relativeFrom="page">
                  <wp:posOffset>932180</wp:posOffset>
                </wp:positionV>
                <wp:extent cx="5702935" cy="0"/>
                <wp:effectExtent l="0" t="0" r="0" b="0"/>
                <wp:wrapNone/>
                <wp:docPr id="77" name="Shape 77"/>
                <wp:cNvGraphicFramePr/>
                <a:graphic xmlns:a="http://schemas.openxmlformats.org/drawingml/2006/main">
                  <a:graphicData uri="http://schemas.microsoft.com/office/word/2010/wordprocessingShape">
                    <wps:wsp>
                      <wps:cNvCnPr/>
                      <wps:spPr>
                        <a:xfrm>
                          <a:off x="0" y="0"/>
                          <a:ext cx="5702935" cy="0"/>
                        </a:xfrm>
                        <a:prstGeom prst="straightConnector1">
                          <a:avLst/>
                        </a:prstGeom>
                        <a:ln w="6350">
                          <a:solidFill/>
                        </a:ln>
                      </wps:spPr>
                      <wps:bodyPr/>
                    </wps:wsp>
                  </a:graphicData>
                </a:graphic>
              </wp:anchor>
            </w:drawing>
          </mc:Choice>
          <mc:Fallback>
            <w:pict>
              <v:shape o:spt="32" o:oned="true" path="m,l21600,21600e" style="position:absolute;margin-left:74.850000000000009pt;margin-top:73.400000000000006pt;width:449.05000000000001pt;height:0;z-index:-251658240;mso-position-horizontal-relative:page;mso-position-vertical-relative:page">
                <v:stroke weight="0.5pt"/>
              </v:shape>
            </w:pict>
          </mc:Fallback>
        </mc:AlternateContent>
      </w:r>
    </w:p>
    <w:p w14:paraId="7CDFD527" w14:textId="77777777" w:rsidR="00EC1C40" w:rsidRDefault="00000000">
      <w:pPr>
        <w:pStyle w:val="Zhlavnebozpat0"/>
        <w:framePr w:wrap="none" w:vAnchor="page" w:hAnchor="page" w:x="5089" w:y="1186"/>
      </w:pPr>
      <w:r>
        <w:t>Dohoda o úpravě vztahů</w:t>
      </w:r>
    </w:p>
    <w:p w14:paraId="320135ED" w14:textId="77777777" w:rsidR="00EC1C40" w:rsidRDefault="00000000">
      <w:pPr>
        <w:pStyle w:val="Zkladntext1"/>
        <w:framePr w:w="9120" w:h="13085" w:hRule="exact" w:wrap="none" w:vAnchor="page" w:hAnchor="page" w:x="1383" w:y="1940"/>
        <w:spacing w:after="120"/>
        <w:ind w:left="580"/>
        <w:jc w:val="both"/>
      </w:pPr>
      <w:r>
        <w:t>souhlasem SMP) postoupena (Investor tedy přestane být Smluvní stranou této Dohody, jelikož ji jako postupitel postoupí na nabyvatele jako postupníka), nebo (</w:t>
      </w:r>
      <w:proofErr w:type="spellStart"/>
      <w:r>
        <w:t>iii</w:t>
      </w:r>
      <w:proofErr w:type="spellEnd"/>
      <w:r>
        <w:t>) SMP udělí Investorovi písemný souhlas s převodem Pozemků i bez splnění podmínek dle bodu (i) a (</w:t>
      </w:r>
      <w:proofErr w:type="spellStart"/>
      <w:r>
        <w:t>ii</w:t>
      </w:r>
      <w:proofErr w:type="spellEnd"/>
      <w:r>
        <w:t xml:space="preserve">) tohoto článku Dohody. Tento čl. 7.2 Dohody výše se neuplatní na (i) technický převod vlastnického práva k Pozemkům (jejich částem) v Lokalitě Nová Cihelna, na základě kterých dochází např. ke sjednocení vlastnické struktury pozemků jednotlivých investorů v Lokalitě Nová Cihelna za účelem zefektivnění výstavby (např. směna částí pozemků mezi Investorem a společností K2 </w:t>
      </w:r>
      <w:proofErr w:type="spellStart"/>
      <w:r>
        <w:t>invest</w:t>
      </w:r>
      <w:proofErr w:type="spellEnd"/>
      <w:r>
        <w:t xml:space="preserve"> s.r.o., IČ: 260 08 921, se sídlem Chrudim - Chrudim IV, Palackého třída 314, PSČ 53701, se kterou SMP již vyslovilo souhlas), a to maximálně do 15 % (slovy: patnácti procent) výměry Pozemků, (</w:t>
      </w:r>
      <w:proofErr w:type="spellStart"/>
      <w:r>
        <w:t>ii</w:t>
      </w:r>
      <w:proofErr w:type="spellEnd"/>
      <w:r>
        <w:t>) převod vlastnického práva k Pozemkům (jejich částem) na SMP, (</w:t>
      </w:r>
      <w:proofErr w:type="spellStart"/>
      <w:r>
        <w:t>iii</w:t>
      </w:r>
      <w:proofErr w:type="spellEnd"/>
      <w:r>
        <w:t>) převod vlastnického práva k Pozemkům (jejich částem) spojeným s převodem Nepeněžního plnění či Související infrastruktury (výslovně včetně převodu Pozemků na vlastníky/provozovatele technické či dopravní infrastruktury), nebo (</w:t>
      </w:r>
      <w:proofErr w:type="spellStart"/>
      <w:r>
        <w:t>iv</w:t>
      </w:r>
      <w:proofErr w:type="spellEnd"/>
      <w:r>
        <w:t>) převod vlastnického práva k Pozemkům (jejich částem) na kteroukoli obec či jiný veřejnoprávní subjekt (včetně České republiky). Trvání toto ustanovení čl. 7.2 této Dohody je časově omezeno na dobu jednoho (1) roku od dokončení Odstranění odpadu z mezideponie , maximálně však na patnáct (15) let od uzavření této Dohody. Tento čl. 7.2 Dohody se neuplatní na pozemky, ke kterým Investor nabyde vlastnické právo po uzavření této Dohody.</w:t>
      </w:r>
    </w:p>
    <w:p w14:paraId="737E8934" w14:textId="77777777" w:rsidR="00EC1C40" w:rsidRDefault="00000000">
      <w:pPr>
        <w:pStyle w:val="Zkladntext1"/>
        <w:framePr w:w="9120" w:h="13085" w:hRule="exact" w:wrap="none" w:vAnchor="page" w:hAnchor="page" w:x="1383" w:y="1940"/>
        <w:spacing w:after="120"/>
        <w:ind w:left="580"/>
        <w:jc w:val="both"/>
      </w:pPr>
      <w:r>
        <w:t>Pro odstranění jakýchkoli pochybností se výslovně sjednává, že toto ustanovení čl. 7.2 Dohody, ani tato Dohoda jako celek nijak neomezuje Investora v majetkových dispozicích s Pozemky (zejména jejich zatěžování, včetně zřízení zástavních právo pro financující subjekty, či jejich převod).</w:t>
      </w:r>
    </w:p>
    <w:p w14:paraId="5862945D" w14:textId="77777777" w:rsidR="00EC1C40" w:rsidRDefault="00000000">
      <w:pPr>
        <w:pStyle w:val="Nadpis60"/>
        <w:framePr w:w="9120" w:h="13085" w:hRule="exact" w:wrap="none" w:vAnchor="page" w:hAnchor="page" w:x="1383" w:y="1940"/>
        <w:numPr>
          <w:ilvl w:val="0"/>
          <w:numId w:val="24"/>
        </w:numPr>
        <w:tabs>
          <w:tab w:val="left" w:pos="564"/>
        </w:tabs>
        <w:spacing w:after="120"/>
        <w:jc w:val="both"/>
      </w:pPr>
      <w:bookmarkStart w:id="45" w:name="bookmark91"/>
      <w:r>
        <w:t>Oddělitelnost ustanovení Dohody a postup Smluvních stran pro případ zrušení této Dohody</w:t>
      </w:r>
      <w:bookmarkEnd w:id="45"/>
    </w:p>
    <w:p w14:paraId="58E29305" w14:textId="77777777" w:rsidR="00EC1C40" w:rsidRDefault="00000000">
      <w:pPr>
        <w:pStyle w:val="Zkladntext1"/>
        <w:framePr w:w="9120" w:h="13085" w:hRule="exact" w:wrap="none" w:vAnchor="page" w:hAnchor="page" w:x="1383" w:y="1940"/>
        <w:numPr>
          <w:ilvl w:val="1"/>
          <w:numId w:val="24"/>
        </w:numPr>
        <w:tabs>
          <w:tab w:val="left" w:pos="564"/>
        </w:tabs>
        <w:spacing w:after="120"/>
        <w:ind w:left="580" w:hanging="580"/>
        <w:jc w:val="both"/>
      </w:pPr>
      <w:r>
        <w:t>Stane-li se kterékoli ustanovení této Dohody neplatným, neúčinným, zdánlivým nebo nevymahatelným, zůstává platnost, účinnost a vymahatelnost ostatních ustanovení této Dohody neovlivněna a nedotčena, nevyplývá-li z povahy daného ustanovení, obsahu Dohody nebo okolností, za nichž bylo toto ustanovení vytvořeno, že toto ustanovení nelze oddělit od ostatního obsahu Dohody. V případě takové neplatnosti, neúčinnosti, zdánlivosti nebo nevymahatelnosti se Smluvní strany zavazují bezodkladně, nejpozději však do tří (3) měsíců od doručení výzvy jedné Smluvní strany druhé ze Smluvních stran, v dobré víře napravit takto vzniklý stav tím způsobem, že se dohodnou na změnách, respektive doplněních této Dohody, které jsou s ohledem na tuto neplatnost, neúčinnost, zdánlivost nebo nevymahatelnost pro splnění účelů a cílů této Dohody nezbytná. Za tímto účelem Smluvní strany zejména uzavřou příslušný dodatek k této Dohodě, kterým neplatné, neúčinné, zdánlivé nebo nevymahatelné ustanovení nahradí při maximálním respektu k právům a povinnostem, které mají být příslušným dodatkem či doplněním této Dohody nahrazeny.</w:t>
      </w:r>
    </w:p>
    <w:p w14:paraId="072EFB7D" w14:textId="77777777" w:rsidR="00EC1C40" w:rsidRDefault="00000000">
      <w:pPr>
        <w:pStyle w:val="Zkladntext1"/>
        <w:framePr w:w="9120" w:h="13085" w:hRule="exact" w:wrap="none" w:vAnchor="page" w:hAnchor="page" w:x="1383" w:y="1940"/>
        <w:numPr>
          <w:ilvl w:val="1"/>
          <w:numId w:val="24"/>
        </w:numPr>
        <w:tabs>
          <w:tab w:val="left" w:pos="564"/>
        </w:tabs>
        <w:spacing w:after="120"/>
        <w:ind w:left="580" w:hanging="580"/>
        <w:jc w:val="both"/>
      </w:pPr>
      <w:r>
        <w:t>Stane-li se tato Dohoda jako celek neplatnou, neúčinnou, zdánlivou nebo nevymahatelnou, zavazují se Smluvní strany bezodkladně, nejpozději však do šedesáti (60) dnů od doručení výzvy kterékoli ze Smluvních stran druhé Smluvní straně, uzavřít novou smlouvu, která se bude svým obsahem v maximální možné míře dovolené platnými a účinnými právními předpisy blížit právům a povinnostem Smluvních stran upravených v této Dohodě, a to při zachování jejího smyslu a účelu.</w:t>
      </w:r>
    </w:p>
    <w:p w14:paraId="3072A7A1" w14:textId="77777777" w:rsidR="00EC1C40" w:rsidRDefault="00000000">
      <w:pPr>
        <w:pStyle w:val="Zkladntext1"/>
        <w:framePr w:w="9120" w:h="13085" w:hRule="exact" w:wrap="none" w:vAnchor="page" w:hAnchor="page" w:x="1383" w:y="1940"/>
        <w:numPr>
          <w:ilvl w:val="1"/>
          <w:numId w:val="24"/>
        </w:numPr>
        <w:tabs>
          <w:tab w:val="left" w:pos="564"/>
        </w:tabs>
        <w:spacing w:after="120"/>
        <w:ind w:left="580" w:hanging="580"/>
        <w:jc w:val="both"/>
      </w:pPr>
      <w:r>
        <w:t>Tento čl. 8 Dohody a práva a povinnosti v něm sjednaná se použijí stejně i pro případ zániku této Dohody či její části z jiných důvodů, než výslovně uvedených v tomto čl. 8 Dohody (vyjma oprávněného odstoupení od této Dohody učiněné v souladu s čl. 3 této Dohody).</w:t>
      </w:r>
    </w:p>
    <w:p w14:paraId="39958E53" w14:textId="77777777" w:rsidR="00EC1C40" w:rsidRDefault="00000000">
      <w:pPr>
        <w:pStyle w:val="Zkladntext1"/>
        <w:framePr w:w="9120" w:h="13085" w:hRule="exact" w:wrap="none" w:vAnchor="page" w:hAnchor="page" w:x="1383" w:y="1940"/>
        <w:numPr>
          <w:ilvl w:val="0"/>
          <w:numId w:val="24"/>
        </w:numPr>
        <w:tabs>
          <w:tab w:val="left" w:pos="564"/>
        </w:tabs>
        <w:spacing w:after="0"/>
        <w:jc w:val="both"/>
      </w:pPr>
      <w:r>
        <w:rPr>
          <w:b/>
          <w:bCs/>
        </w:rPr>
        <w:t>Postup Smluvních stran pro případ zrušení či jiného zániku Plánovací smlouvy</w:t>
      </w:r>
    </w:p>
    <w:p w14:paraId="3981E0E4" w14:textId="77777777" w:rsidR="00EC1C40" w:rsidRDefault="00000000">
      <w:pPr>
        <w:pStyle w:val="Zhlavnebozpat0"/>
        <w:framePr w:wrap="none" w:vAnchor="page" w:hAnchor="page" w:x="5665" w:y="16085"/>
        <w:rPr>
          <w:sz w:val="22"/>
          <w:szCs w:val="22"/>
        </w:rPr>
      </w:pPr>
      <w:r>
        <w:rPr>
          <w:color w:val="231E20"/>
          <w:sz w:val="22"/>
          <w:szCs w:val="22"/>
        </w:rPr>
        <w:t>16/22</w:t>
      </w:r>
    </w:p>
    <w:p w14:paraId="469D6365"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1EFAE7FE" w14:textId="77777777" w:rsidR="00EC1C40" w:rsidRDefault="00000000">
      <w:pPr>
        <w:spacing w:line="1" w:lineRule="exact"/>
      </w:pPr>
      <w:r>
        <w:rPr>
          <w:noProof/>
        </w:rPr>
        <w:lastRenderedPageBreak/>
        <mc:AlternateContent>
          <mc:Choice Requires="wps">
            <w:drawing>
              <wp:anchor distT="0" distB="0" distL="114300" distR="114300" simplePos="0" relativeHeight="251662848" behindDoc="1" locked="0" layoutInCell="1" allowOverlap="1" wp14:anchorId="389D05C3" wp14:editId="7AF2DBBC">
                <wp:simplePos x="0" y="0"/>
                <wp:positionH relativeFrom="page">
                  <wp:posOffset>947420</wp:posOffset>
                </wp:positionH>
                <wp:positionV relativeFrom="page">
                  <wp:posOffset>932180</wp:posOffset>
                </wp:positionV>
                <wp:extent cx="5702935" cy="0"/>
                <wp:effectExtent l="0" t="0" r="0" b="0"/>
                <wp:wrapNone/>
                <wp:docPr id="78" name="Shape 78"/>
                <wp:cNvGraphicFramePr/>
                <a:graphic xmlns:a="http://schemas.openxmlformats.org/drawingml/2006/main">
                  <a:graphicData uri="http://schemas.microsoft.com/office/word/2010/wordprocessingShape">
                    <wps:wsp>
                      <wps:cNvCnPr/>
                      <wps:spPr>
                        <a:xfrm>
                          <a:off x="0" y="0"/>
                          <a:ext cx="5702935" cy="0"/>
                        </a:xfrm>
                        <a:prstGeom prst="straightConnector1">
                          <a:avLst/>
                        </a:prstGeom>
                        <a:ln w="6350">
                          <a:solidFill/>
                        </a:ln>
                      </wps:spPr>
                      <wps:bodyPr/>
                    </wps:wsp>
                  </a:graphicData>
                </a:graphic>
              </wp:anchor>
            </w:drawing>
          </mc:Choice>
          <mc:Fallback>
            <w:pict>
              <v:shape o:spt="32" o:oned="true" path="m,l21600,21600e" style="position:absolute;margin-left:74.600000000000009pt;margin-top:73.400000000000006pt;width:449.05000000000001pt;height:0;z-index:-251658240;mso-position-horizontal-relative:page;mso-position-vertical-relative:page">
                <v:stroke weight="0.5pt"/>
              </v:shape>
            </w:pict>
          </mc:Fallback>
        </mc:AlternateContent>
      </w:r>
    </w:p>
    <w:p w14:paraId="1AA2CDFF" w14:textId="77777777" w:rsidR="00EC1C40" w:rsidRDefault="00000000">
      <w:pPr>
        <w:pStyle w:val="Zhlavnebozpat0"/>
        <w:framePr w:wrap="none" w:vAnchor="page" w:hAnchor="page" w:x="5084" w:y="1186"/>
      </w:pPr>
      <w:r>
        <w:t>Dohoda o úpravě vztahů</w:t>
      </w:r>
    </w:p>
    <w:p w14:paraId="72C5777D" w14:textId="77777777" w:rsidR="00EC1C40" w:rsidRDefault="00000000">
      <w:pPr>
        <w:pStyle w:val="Zkladntext1"/>
        <w:framePr w:w="9120" w:h="13234" w:hRule="exact" w:wrap="none" w:vAnchor="page" w:hAnchor="page" w:x="1383" w:y="1940"/>
        <w:numPr>
          <w:ilvl w:val="1"/>
          <w:numId w:val="24"/>
        </w:numPr>
        <w:tabs>
          <w:tab w:val="left" w:pos="574"/>
        </w:tabs>
        <w:spacing w:after="120"/>
        <w:ind w:left="580" w:hanging="580"/>
        <w:jc w:val="both"/>
      </w:pPr>
      <w:r>
        <w:t>Pokud dojde ke zrušení Plánovací smlouvy či její části (bez ohledu na to z jakých důvodů či jakým postupem, včetně postupu dle § 165 nebo § 167 Správního řádu), zavazují se Smluvní strany bezodkladně, nejpozději však do šedesáti (60) dnů od doručení výzvy kterékoli ze Smluvních stran druhé Smluvní straně, uzavřít novou smlouvu, která se bude svým obsahem v maximální možné míře dovolené platnými a účinnými právními předpisy blížit právům a povinnostem Smluvních stran upravených v Plánovací smlouvě, a to při zachování jejího smyslu a účelu.</w:t>
      </w:r>
    </w:p>
    <w:p w14:paraId="1C85FE08" w14:textId="77777777" w:rsidR="00EC1C40" w:rsidRDefault="00000000">
      <w:pPr>
        <w:pStyle w:val="Zkladntext1"/>
        <w:framePr w:w="9120" w:h="13234" w:hRule="exact" w:wrap="none" w:vAnchor="page" w:hAnchor="page" w:x="1383" w:y="1940"/>
        <w:numPr>
          <w:ilvl w:val="1"/>
          <w:numId w:val="24"/>
        </w:numPr>
        <w:tabs>
          <w:tab w:val="left" w:pos="574"/>
        </w:tabs>
        <w:spacing w:after="120"/>
        <w:ind w:left="580" w:hanging="580"/>
        <w:jc w:val="both"/>
      </w:pPr>
      <w:r>
        <w:t>Tento čl. 9 Dohody a práva a povinnosti v něm sjednaná se použijí stejně i pro případ zániku Plánovací smlouvy či její části z jiných důvodů, než výslovně uvedených v 9.1 této Dohody; tento čl. 9 Dohody se však nepoužije pro případ zániku Plánovací smlouvy uplynutím doby jejího trvání či v případě zániku Plánovací smlouvy z důvodu oprávněné výpovědi kteroukoli ze Smluvních stran.</w:t>
      </w:r>
    </w:p>
    <w:p w14:paraId="5B6F4A0D" w14:textId="77777777" w:rsidR="00EC1C40" w:rsidRDefault="00000000">
      <w:pPr>
        <w:pStyle w:val="Zkladntext1"/>
        <w:framePr w:w="9120" w:h="13234" w:hRule="exact" w:wrap="none" w:vAnchor="page" w:hAnchor="page" w:x="1383" w:y="1940"/>
        <w:numPr>
          <w:ilvl w:val="1"/>
          <w:numId w:val="24"/>
        </w:numPr>
        <w:tabs>
          <w:tab w:val="left" w:pos="574"/>
        </w:tabs>
        <w:spacing w:after="120"/>
        <w:ind w:left="580" w:hanging="580"/>
        <w:jc w:val="both"/>
      </w:pPr>
      <w:r>
        <w:t>Smluvní strany sjednávají, že pro případ zániku Plánovací smlouvy dle čl. 9.1 nebo čl. 9.2 této Dohody budou do doby nalezení odpovídajícího řešení a uzavření příslušného dodatku k Plánovací smlouvě (či uzavření nové smlouvy) postupovat ve vzájemné koordinaci a součinnosti tak, aby neohrozily účel Plánovací smlouvy a možnost jejího naplnění, včetně jejího nahrazení novou smlouvou dle tohoto čl. 9 Smlouvy, a dále takovým způsobem, aby neohrozily realizaci Investičního záměru. Vypořádání Smluvních stran pro případ zániku Plánovací smlouvy</w:t>
      </w:r>
    </w:p>
    <w:p w14:paraId="5778CA0F" w14:textId="77777777" w:rsidR="00EC1C40" w:rsidRDefault="00000000">
      <w:pPr>
        <w:pStyle w:val="Zkladntext1"/>
        <w:framePr w:w="9120" w:h="13234" w:hRule="exact" w:wrap="none" w:vAnchor="page" w:hAnchor="page" w:x="1383" w:y="1940"/>
        <w:numPr>
          <w:ilvl w:val="1"/>
          <w:numId w:val="24"/>
        </w:numPr>
        <w:tabs>
          <w:tab w:val="left" w:pos="574"/>
        </w:tabs>
        <w:spacing w:after="120"/>
        <w:ind w:left="580" w:hanging="580"/>
        <w:jc w:val="both"/>
      </w:pPr>
      <w:r>
        <w:t>Aniž by byly jakkoli dotčeny povinnosti Smluvních stran dle čl. 9.1 až čl. 9.3 této Dohody (respektive čl. 20. Plánovací smlouvy), budou Smluvní strany pro případ zániku Plánovací smlouvy postupovat dle Plánovací smlouvy a vypořádají se způsobem dohodnutým pro tyto případy v Plánovací smlouvě (zejména čl. 16.4. Plánovací smlouvy, respektive čl. 15.1. Plánovací smlouvy). Pro případ, že by z jakéhokoli důvodu bylo dovozeno, že v důsledku zániku Plánovací smlouvy (včetně jejího zrušení) nelze pro vypořádání Smluvních stran Plánovací smlouvu použít, sjednávají Smluvní strany a vyjadřují tímto svoji vůli, aby pravidla sjednaná pro vypořádání Smluvních stran v Plánovací smlouvě byla považována za pravidla pro vypořádání sjednaná na základě této Dohody, tj. aby tato pravidla pro jejich vzájemné vypořádání sjednaná v Plánovací smlouvě byla pro jejich vypořádání použita na základě této Dohody, a to výslovně včetně práv a povinností sjednaných v čl. 16.4. Plánovací smlouvy.</w:t>
      </w:r>
    </w:p>
    <w:p w14:paraId="4FEC8C85" w14:textId="77777777" w:rsidR="00EC1C40" w:rsidRDefault="00000000">
      <w:pPr>
        <w:pStyle w:val="Zkladntext1"/>
        <w:framePr w:w="9120" w:h="13234" w:hRule="exact" w:wrap="none" w:vAnchor="page" w:hAnchor="page" w:x="1383" w:y="1940"/>
        <w:numPr>
          <w:ilvl w:val="1"/>
          <w:numId w:val="24"/>
        </w:numPr>
        <w:tabs>
          <w:tab w:val="left" w:pos="574"/>
        </w:tabs>
        <w:spacing w:after="120"/>
        <w:ind w:left="580" w:hanging="580"/>
        <w:jc w:val="both"/>
      </w:pPr>
      <w:r>
        <w:t>Pokud dojde k zániku této Dohody dle čl. 3.1 této Dohody a ze strany Investora již došlo k Zahájení realizace mezideponie, je Investor povinen zajistit Odstranění odpadu z mezideponie ve lhůtě stanové v této Dohodě (tj. v rámci Milníku, prodlouženého případně v souladu s ustanoveními této Dohody), přičemž SMP k tomu poskytne potřebnou součinnost (např. výpůjčku potřebných pozemků atd.). Dokončení Odstranění mezideponie oznámí Investor SMP bez zbytečného odkladu. Pokud se uplatní toto ustanovení (tj. pokud dojde k zániku této Dohody dle čl. 3.1 této Dohody a ze strany Investora již došlo k Zahájení realizace mezideponie) a Investor Odstranění odpadu z mezideponie ve lhůtě stanové v této Dohodě (tj. v rámci Milníku, prodlouženého případně v souladu s ustanoveními této Dohody) nedokončí, a to ani v náhradní lhůtě šesti (6) měsíců, je SMP oprávněno výhradně pro tento případ Odstranění odpadu z mezideponie provést samo nebo prostřednictvím třetí osoby, a to výhradně v souladu s vydanými veřejnoprávními povoleními týkajícími se Odstranění odpadu a znečištění, včetně Změny Rozhodnutí o povolení Odstranění odpadů a znečištění, tj. včetně řádného vytřídění odpadů v rámci mezideponie, a plně v souladu s právními předpisy a zásadou minimalizace ukládání odpadů do koncových zařízení a na své riziko; Investor je povinen v takovém případě uhradit SMP účelně vynaložené náklady na provedení těchto prací, přičemž je taktéž povinen strpět za tímto účelem vstup SMP nebo jím pověřených osob na příslušné pozemky a umožnit provedení nezbytných prací.</w:t>
      </w:r>
    </w:p>
    <w:p w14:paraId="40D7B9CF" w14:textId="77777777" w:rsidR="00EC1C40" w:rsidRDefault="00000000">
      <w:pPr>
        <w:pStyle w:val="Zkladntext1"/>
        <w:framePr w:w="9120" w:h="13234" w:hRule="exact" w:wrap="none" w:vAnchor="page" w:hAnchor="page" w:x="1383" w:y="1940"/>
        <w:numPr>
          <w:ilvl w:val="0"/>
          <w:numId w:val="24"/>
        </w:numPr>
        <w:tabs>
          <w:tab w:val="left" w:pos="574"/>
        </w:tabs>
        <w:spacing w:after="0"/>
        <w:jc w:val="both"/>
      </w:pPr>
      <w:r>
        <w:rPr>
          <w:b/>
          <w:bCs/>
        </w:rPr>
        <w:t>Právní povaha Dohody a rozhodné právo</w:t>
      </w:r>
    </w:p>
    <w:p w14:paraId="2F001ED4" w14:textId="77777777" w:rsidR="00EC1C40" w:rsidRDefault="00000000">
      <w:pPr>
        <w:pStyle w:val="Zhlavnebozpat0"/>
        <w:framePr w:wrap="none" w:vAnchor="page" w:hAnchor="page" w:x="5660" w:y="16085"/>
        <w:rPr>
          <w:sz w:val="22"/>
          <w:szCs w:val="22"/>
        </w:rPr>
      </w:pPr>
      <w:r>
        <w:rPr>
          <w:color w:val="231E20"/>
          <w:sz w:val="22"/>
          <w:szCs w:val="22"/>
        </w:rPr>
        <w:t>17/22</w:t>
      </w:r>
    </w:p>
    <w:p w14:paraId="32AB82AF"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78C13AFA" w14:textId="77777777" w:rsidR="00EC1C40" w:rsidRDefault="00000000">
      <w:pPr>
        <w:spacing w:line="1" w:lineRule="exact"/>
      </w:pPr>
      <w:r>
        <w:rPr>
          <w:noProof/>
        </w:rPr>
        <w:lastRenderedPageBreak/>
        <mc:AlternateContent>
          <mc:Choice Requires="wps">
            <w:drawing>
              <wp:anchor distT="0" distB="0" distL="114300" distR="114300" simplePos="0" relativeHeight="251663872" behindDoc="1" locked="0" layoutInCell="1" allowOverlap="1" wp14:anchorId="51E4A997" wp14:editId="4C4AEE15">
                <wp:simplePos x="0" y="0"/>
                <wp:positionH relativeFrom="page">
                  <wp:posOffset>944880</wp:posOffset>
                </wp:positionH>
                <wp:positionV relativeFrom="page">
                  <wp:posOffset>932180</wp:posOffset>
                </wp:positionV>
                <wp:extent cx="5702300" cy="0"/>
                <wp:effectExtent l="0" t="0" r="0" b="0"/>
                <wp:wrapNone/>
                <wp:docPr id="79" name="Shape 79"/>
                <wp:cNvGraphicFramePr/>
                <a:graphic xmlns:a="http://schemas.openxmlformats.org/drawingml/2006/main">
                  <a:graphicData uri="http://schemas.microsoft.com/office/word/2010/wordprocessingShape">
                    <wps:wsp>
                      <wps:cNvCnPr/>
                      <wps:spPr>
                        <a:xfrm>
                          <a:off x="0" y="0"/>
                          <a:ext cx="5702300" cy="0"/>
                        </a:xfrm>
                        <a:prstGeom prst="straightConnector1">
                          <a:avLst/>
                        </a:prstGeom>
                        <a:ln w="6350">
                          <a:solidFill/>
                        </a:ln>
                      </wps:spPr>
                      <wps:bodyPr/>
                    </wps:wsp>
                  </a:graphicData>
                </a:graphic>
              </wp:anchor>
            </w:drawing>
          </mc:Choice>
          <mc:Fallback>
            <w:pict>
              <v:shape o:spt="32" o:oned="true" path="m,l21600,21600e" style="position:absolute;margin-left:74.400000000000006pt;margin-top:73.400000000000006pt;width:449.pt;height:0;z-index:-251658240;mso-position-horizontal-relative:page;mso-position-vertical-relative:page">
                <v:stroke weight="0.5pt"/>
              </v:shape>
            </w:pict>
          </mc:Fallback>
        </mc:AlternateContent>
      </w:r>
    </w:p>
    <w:p w14:paraId="28008CFF" w14:textId="77777777" w:rsidR="00EC1C40" w:rsidRDefault="00000000">
      <w:pPr>
        <w:pStyle w:val="Zhlavnebozpat0"/>
        <w:framePr w:wrap="none" w:vAnchor="page" w:hAnchor="page" w:x="5079" w:y="1186"/>
      </w:pPr>
      <w:r>
        <w:t>Dohoda o úpravě vztahů</w:t>
      </w:r>
    </w:p>
    <w:p w14:paraId="382DD600" w14:textId="77777777" w:rsidR="00EC1C40" w:rsidRDefault="00000000">
      <w:pPr>
        <w:pStyle w:val="Zkladntext1"/>
        <w:framePr w:w="9110" w:h="13536" w:hRule="exact" w:wrap="none" w:vAnchor="page" w:hAnchor="page" w:x="1388" w:y="1940"/>
        <w:numPr>
          <w:ilvl w:val="1"/>
          <w:numId w:val="24"/>
        </w:numPr>
        <w:tabs>
          <w:tab w:val="left" w:pos="555"/>
        </w:tabs>
        <w:jc w:val="both"/>
      </w:pPr>
      <w:r>
        <w:t>Tato Dohoda se řídí právními předpisy České republiky a je vykládána v souladu s nimi.</w:t>
      </w:r>
    </w:p>
    <w:p w14:paraId="51777CCA" w14:textId="77777777" w:rsidR="00EC1C40" w:rsidRDefault="00000000">
      <w:pPr>
        <w:pStyle w:val="Zkladntext1"/>
        <w:framePr w:w="9110" w:h="13536" w:hRule="exact" w:wrap="none" w:vAnchor="page" w:hAnchor="page" w:x="1388" w:y="1940"/>
        <w:numPr>
          <w:ilvl w:val="1"/>
          <w:numId w:val="24"/>
        </w:numPr>
        <w:tabs>
          <w:tab w:val="left" w:pos="555"/>
        </w:tabs>
        <w:ind w:left="560" w:hanging="560"/>
        <w:jc w:val="both"/>
      </w:pPr>
      <w:r>
        <w:t>Smluvní strany vycházejí z toho, že tato Dohoda je svojí právní povahou soukromoprávní smlouvou.</w:t>
      </w:r>
    </w:p>
    <w:p w14:paraId="6FFB3376" w14:textId="77777777" w:rsidR="00EC1C40" w:rsidRDefault="00000000">
      <w:pPr>
        <w:pStyle w:val="Zkladntext1"/>
        <w:framePr w:w="9110" w:h="13536" w:hRule="exact" w:wrap="none" w:vAnchor="page" w:hAnchor="page" w:x="1388" w:y="1940"/>
        <w:numPr>
          <w:ilvl w:val="1"/>
          <w:numId w:val="24"/>
        </w:numPr>
        <w:tabs>
          <w:tab w:val="left" w:pos="555"/>
        </w:tabs>
        <w:ind w:left="560" w:hanging="560"/>
        <w:jc w:val="both"/>
      </w:pPr>
      <w:r>
        <w:t>Smluvní strany vylučují aplikaci ustanovení § 558 odst. 2 (v rozsahu, v jakém stanoví, že obchodní zvyklost má přednost před ustanovením zákona, jež nemá donucující účinky), § 1727, § 1735, § 1737, § 1740 odst. 3, § 1748, § 1765 odst. 1, § 1766, § 1788, § 1995 odst. 2, § 2004 Občanského zákoníku na tuto Dohodu a na veškerá práva a povinnosti Smluvních stran vzniklá na základě této Dohody. Tím není jakkoli dotčeno vyloučení jiných ustanovení právních předpisů, pokud tak tato Dohoda v jiných ustanoveních stanoví.</w:t>
      </w:r>
    </w:p>
    <w:p w14:paraId="12F22D28" w14:textId="77777777" w:rsidR="00EC1C40" w:rsidRDefault="00000000">
      <w:pPr>
        <w:pStyle w:val="Zkladntext1"/>
        <w:framePr w:w="9110" w:h="13536" w:hRule="exact" w:wrap="none" w:vAnchor="page" w:hAnchor="page" w:x="1388" w:y="1940"/>
        <w:numPr>
          <w:ilvl w:val="1"/>
          <w:numId w:val="24"/>
        </w:numPr>
        <w:tabs>
          <w:tab w:val="left" w:pos="555"/>
        </w:tabs>
        <w:jc w:val="both"/>
      </w:pPr>
      <w:r>
        <w:t>Smluvní strany (každá ze Smluvních stran) na sebe přebírají nebezpečí změny okolností.</w:t>
      </w:r>
    </w:p>
    <w:p w14:paraId="6FBB1199" w14:textId="77777777" w:rsidR="00EC1C40" w:rsidRDefault="00000000">
      <w:pPr>
        <w:pStyle w:val="Nadpis60"/>
        <w:framePr w:w="9110" w:h="13536" w:hRule="exact" w:wrap="none" w:vAnchor="page" w:hAnchor="page" w:x="1388" w:y="1940"/>
        <w:numPr>
          <w:ilvl w:val="0"/>
          <w:numId w:val="24"/>
        </w:numPr>
        <w:tabs>
          <w:tab w:val="left" w:pos="555"/>
        </w:tabs>
        <w:jc w:val="both"/>
      </w:pPr>
      <w:bookmarkStart w:id="46" w:name="bookmark93"/>
      <w:r>
        <w:t>Řešení sporů</w:t>
      </w:r>
      <w:bookmarkEnd w:id="46"/>
    </w:p>
    <w:p w14:paraId="769F1204" w14:textId="77777777" w:rsidR="00EC1C40" w:rsidRDefault="00000000">
      <w:pPr>
        <w:pStyle w:val="Zkladntext1"/>
        <w:framePr w:w="9110" w:h="13536" w:hRule="exact" w:wrap="none" w:vAnchor="page" w:hAnchor="page" w:x="1388" w:y="1940"/>
        <w:numPr>
          <w:ilvl w:val="1"/>
          <w:numId w:val="24"/>
        </w:numPr>
        <w:tabs>
          <w:tab w:val="left" w:pos="555"/>
        </w:tabs>
        <w:ind w:left="560" w:hanging="560"/>
        <w:jc w:val="both"/>
      </w:pPr>
      <w:r>
        <w:t xml:space="preserve">Veškeré spory vyplývající z této Dohody nebo vzniklé v souvislosti s ní se pokusí Smluvní strany nejprve vyřešit v dobré víře smírnou cestou v dohodovacím řízení, ze kterého pořídí zápis s uvedením důvodů sporu obou Smluvních stran, navržených řešeních a shodě na dalším postupu, a to s cílem vyřešit či alespoň eliminovat sporné otázky, k čemuž Smluvní strany vyvinou veškeré rozumně </w:t>
      </w:r>
      <w:proofErr w:type="spellStart"/>
      <w:r>
        <w:t>požadovatelné</w:t>
      </w:r>
      <w:proofErr w:type="spellEnd"/>
      <w:r>
        <w:t xml:space="preserve"> úsilí; tak tomu bude i v případech eventuálních stížností veřejnosti vznesených v souvislosti s Odstraněním odpadů a znečištění dle této Dohody, a/nebo v případech možných porušení smluvních povinností některé ze Smluvních stran plynoucích z této Dohody. Pokud se Smluvní strany nedohodnou na smírném řešení ani do šedesáti (60) dní ode dne doručení písemné výzvy jedné smluvní strany k zahájení dohodovacího řízení druhé Smluvní straně, může se kterákoli z nich obrátit na soud či jiný příslušný orgán a podat příslušný návrh na zahájení řízení.</w:t>
      </w:r>
    </w:p>
    <w:p w14:paraId="4F8311F9" w14:textId="77777777" w:rsidR="00EC1C40" w:rsidRDefault="00000000">
      <w:pPr>
        <w:pStyle w:val="Nadpis60"/>
        <w:framePr w:w="9110" w:h="13536" w:hRule="exact" w:wrap="none" w:vAnchor="page" w:hAnchor="page" w:x="1388" w:y="1940"/>
        <w:numPr>
          <w:ilvl w:val="0"/>
          <w:numId w:val="24"/>
        </w:numPr>
        <w:tabs>
          <w:tab w:val="left" w:pos="555"/>
        </w:tabs>
        <w:jc w:val="both"/>
      </w:pPr>
      <w:bookmarkStart w:id="47" w:name="bookmark95"/>
      <w:r>
        <w:t>Změny Dohody</w:t>
      </w:r>
      <w:bookmarkEnd w:id="47"/>
    </w:p>
    <w:p w14:paraId="7255544C" w14:textId="77777777" w:rsidR="00EC1C40" w:rsidRDefault="00000000">
      <w:pPr>
        <w:pStyle w:val="Zkladntext1"/>
        <w:framePr w:w="9110" w:h="13536" w:hRule="exact" w:wrap="none" w:vAnchor="page" w:hAnchor="page" w:x="1388" w:y="1940"/>
        <w:numPr>
          <w:ilvl w:val="1"/>
          <w:numId w:val="24"/>
        </w:numPr>
        <w:tabs>
          <w:tab w:val="left" w:pos="555"/>
        </w:tabs>
        <w:ind w:left="560" w:hanging="560"/>
        <w:jc w:val="both"/>
      </w:pPr>
      <w:r>
        <w:t>Změny nebo doplňky této Dohody včetně jejích příloh musejí být vyhotoveny písemně a podepsány všemi Smluvními stranami. Změna této Dohody v jiné, než písemné formě je tímto vyloučena. Pro tyto účely nebude Smluvními stranami za písemnou formu uznána výměna jakýchkoliv e-mailových zpráv. Smluvní strany se dále pro vyloučení jakýchkoliv pochybností dohodly, že také změna tohoto ustanovení (čl. 12.1 této Dohody) jinou než písemnou formou se tímto vylučuje.</w:t>
      </w:r>
    </w:p>
    <w:p w14:paraId="4E8FD574" w14:textId="77777777" w:rsidR="00EC1C40" w:rsidRDefault="00000000">
      <w:pPr>
        <w:pStyle w:val="Nadpis60"/>
        <w:framePr w:w="9110" w:h="13536" w:hRule="exact" w:wrap="none" w:vAnchor="page" w:hAnchor="page" w:x="1388" w:y="1940"/>
        <w:numPr>
          <w:ilvl w:val="0"/>
          <w:numId w:val="24"/>
        </w:numPr>
        <w:tabs>
          <w:tab w:val="left" w:pos="555"/>
        </w:tabs>
        <w:jc w:val="both"/>
      </w:pPr>
      <w:bookmarkStart w:id="48" w:name="bookmark97"/>
      <w:r>
        <w:t>Závěrečná ustanovení</w:t>
      </w:r>
      <w:bookmarkEnd w:id="48"/>
    </w:p>
    <w:p w14:paraId="7EFCA811" w14:textId="77777777" w:rsidR="00EC1C40" w:rsidRDefault="00000000">
      <w:pPr>
        <w:pStyle w:val="Zkladntext1"/>
        <w:framePr w:w="9110" w:h="13536" w:hRule="exact" w:wrap="none" w:vAnchor="page" w:hAnchor="page" w:x="1388" w:y="1940"/>
        <w:numPr>
          <w:ilvl w:val="1"/>
          <w:numId w:val="24"/>
        </w:numPr>
        <w:tabs>
          <w:tab w:val="left" w:pos="555"/>
        </w:tabs>
        <w:ind w:left="560" w:hanging="560"/>
        <w:jc w:val="both"/>
      </w:pPr>
      <w:r>
        <w:t>Smluvní strany se zavazují, že nebudou činit žádná jednání, která by jakkoli ohrozila či mohla ohrozit plnění této Dohody a/nebo dosažení cílů stanovených v této Dohodě a/nebo naplnění účelů této Dohody.</w:t>
      </w:r>
    </w:p>
    <w:p w14:paraId="3DC887B7" w14:textId="77777777" w:rsidR="00EC1C40" w:rsidRDefault="00000000">
      <w:pPr>
        <w:pStyle w:val="Zkladntext1"/>
        <w:framePr w:w="9110" w:h="13536" w:hRule="exact" w:wrap="none" w:vAnchor="page" w:hAnchor="page" w:x="1388" w:y="1940"/>
        <w:numPr>
          <w:ilvl w:val="1"/>
          <w:numId w:val="24"/>
        </w:numPr>
        <w:tabs>
          <w:tab w:val="left" w:pos="555"/>
        </w:tabs>
        <w:ind w:left="560" w:hanging="560"/>
        <w:jc w:val="both"/>
      </w:pPr>
      <w:r>
        <w:t>Je-li v této Dohodě ujednáno, že Smluvní strana něco „zajistí“ nebo zajistí, aby třetí osoba plnila nebo jednala určitým způsobem, bude takové ujednání vykládáno tak, že příslušná Smluvní strana (i) se na jeho základě ve smyslu § 1769 druhá věta Občanského zákoníku zavazuje k tomu, že třetí osoba splní, co bylo ujednáno, (</w:t>
      </w:r>
      <w:proofErr w:type="spellStart"/>
      <w:r>
        <w:t>ii</w:t>
      </w:r>
      <w:proofErr w:type="spellEnd"/>
      <w:r>
        <w:t>) je odpovědná za to, že se zamýšlený výsledek nastane, bez ohledu na jakákoli subjektivní či objektivní omezení v možnostech Smluvní strany kontrolovat či ovlivňovat třetí osoby, či jiné subjektivní či objektivní skutečnosti, které jsou nezbytné k tomu, aby byl zamýšlený výsledek dosáhnut a (</w:t>
      </w:r>
      <w:proofErr w:type="spellStart"/>
      <w:r>
        <w:t>iii</w:t>
      </w:r>
      <w:proofErr w:type="spellEnd"/>
      <w:r>
        <w:t>) nahradí škodu, kterou druhá Smluvní strana utrpí, pokud ke splnění nedojde.</w:t>
      </w:r>
    </w:p>
    <w:p w14:paraId="510B54EA" w14:textId="77777777" w:rsidR="00EC1C40" w:rsidRDefault="00000000">
      <w:pPr>
        <w:pStyle w:val="Zkladntext1"/>
        <w:framePr w:w="9110" w:h="13536" w:hRule="exact" w:wrap="none" w:vAnchor="page" w:hAnchor="page" w:x="1388" w:y="1940"/>
        <w:numPr>
          <w:ilvl w:val="1"/>
          <w:numId w:val="24"/>
        </w:numPr>
        <w:tabs>
          <w:tab w:val="left" w:pos="555"/>
        </w:tabs>
        <w:ind w:left="560" w:hanging="560"/>
        <w:jc w:val="both"/>
      </w:pPr>
      <w:r>
        <w:t>SMP zajistí součinnost subjektů, ve vztahu k nimž vystupuje v postavení osoby ovládající či osoby vlivné, pokud je potřebná pro naplnění účelu této Dohody (včetně součinnosti a závazků v rozsahu dle čl. 2.6 Dohody).</w:t>
      </w:r>
    </w:p>
    <w:p w14:paraId="3AC58241" w14:textId="77777777" w:rsidR="00EC1C40" w:rsidRDefault="00000000">
      <w:pPr>
        <w:pStyle w:val="Zkladntext1"/>
        <w:framePr w:w="9110" w:h="13536" w:hRule="exact" w:wrap="none" w:vAnchor="page" w:hAnchor="page" w:x="1388" w:y="1940"/>
        <w:numPr>
          <w:ilvl w:val="0"/>
          <w:numId w:val="24"/>
        </w:numPr>
        <w:tabs>
          <w:tab w:val="left" w:pos="555"/>
        </w:tabs>
        <w:spacing w:after="0"/>
        <w:jc w:val="both"/>
      </w:pPr>
      <w:r>
        <w:rPr>
          <w:b/>
          <w:bCs/>
        </w:rPr>
        <w:t>Vyšší moc</w:t>
      </w:r>
    </w:p>
    <w:p w14:paraId="4622CB02" w14:textId="77777777" w:rsidR="00EC1C40" w:rsidRDefault="00000000">
      <w:pPr>
        <w:pStyle w:val="Zhlavnebozpat0"/>
        <w:framePr w:wrap="none" w:vAnchor="page" w:hAnchor="page" w:x="5655" w:y="16085"/>
        <w:rPr>
          <w:sz w:val="22"/>
          <w:szCs w:val="22"/>
        </w:rPr>
      </w:pPr>
      <w:r>
        <w:rPr>
          <w:color w:val="231E20"/>
          <w:sz w:val="22"/>
          <w:szCs w:val="22"/>
        </w:rPr>
        <w:t>18/22</w:t>
      </w:r>
    </w:p>
    <w:p w14:paraId="3FD2EBEF"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19B2125C" w14:textId="77777777" w:rsidR="00EC1C40" w:rsidRDefault="00000000">
      <w:pPr>
        <w:spacing w:line="1" w:lineRule="exact"/>
      </w:pPr>
      <w:r>
        <w:rPr>
          <w:noProof/>
        </w:rPr>
        <w:lastRenderedPageBreak/>
        <mc:AlternateContent>
          <mc:Choice Requires="wps">
            <w:drawing>
              <wp:anchor distT="0" distB="0" distL="114300" distR="114300" simplePos="0" relativeHeight="251664896" behindDoc="1" locked="0" layoutInCell="1" allowOverlap="1" wp14:anchorId="719C6881" wp14:editId="186204A4">
                <wp:simplePos x="0" y="0"/>
                <wp:positionH relativeFrom="page">
                  <wp:posOffset>946150</wp:posOffset>
                </wp:positionH>
                <wp:positionV relativeFrom="page">
                  <wp:posOffset>932180</wp:posOffset>
                </wp:positionV>
                <wp:extent cx="5702935" cy="0"/>
                <wp:effectExtent l="0" t="0" r="0" b="0"/>
                <wp:wrapNone/>
                <wp:docPr id="80" name="Shape 80"/>
                <wp:cNvGraphicFramePr/>
                <a:graphic xmlns:a="http://schemas.openxmlformats.org/drawingml/2006/main">
                  <a:graphicData uri="http://schemas.microsoft.com/office/word/2010/wordprocessingShape">
                    <wps:wsp>
                      <wps:cNvCnPr/>
                      <wps:spPr>
                        <a:xfrm>
                          <a:off x="0" y="0"/>
                          <a:ext cx="5702935" cy="0"/>
                        </a:xfrm>
                        <a:prstGeom prst="straightConnector1">
                          <a:avLst/>
                        </a:prstGeom>
                        <a:ln w="6350">
                          <a:solidFill/>
                        </a:ln>
                      </wps:spPr>
                      <wps:bodyPr/>
                    </wps:wsp>
                  </a:graphicData>
                </a:graphic>
              </wp:anchor>
            </w:drawing>
          </mc:Choice>
          <mc:Fallback>
            <w:pict>
              <v:shape o:spt="32" o:oned="true" path="m,l21600,21600e" style="position:absolute;margin-left:74.5pt;margin-top:73.400000000000006pt;width:449.05000000000001pt;height:0;z-index:-251658240;mso-position-horizontal-relative:page;mso-position-vertical-relative:page">
                <v:stroke weight="0.5pt"/>
              </v:shape>
            </w:pict>
          </mc:Fallback>
        </mc:AlternateContent>
      </w:r>
    </w:p>
    <w:p w14:paraId="5F77016D" w14:textId="77777777" w:rsidR="00EC1C40" w:rsidRDefault="00000000">
      <w:pPr>
        <w:pStyle w:val="Zhlavnebozpat0"/>
        <w:framePr w:wrap="none" w:vAnchor="page" w:hAnchor="page" w:x="5081" w:y="1186"/>
      </w:pPr>
      <w:r>
        <w:t>Dohoda o úpravě vztahů</w:t>
      </w:r>
    </w:p>
    <w:p w14:paraId="737EA0AA" w14:textId="77777777" w:rsidR="00EC1C40" w:rsidRDefault="00000000">
      <w:pPr>
        <w:pStyle w:val="Zkladntext1"/>
        <w:framePr w:w="9106" w:h="13205" w:hRule="exact" w:wrap="none" w:vAnchor="page" w:hAnchor="page" w:x="1390" w:y="1940"/>
        <w:numPr>
          <w:ilvl w:val="1"/>
          <w:numId w:val="24"/>
        </w:numPr>
        <w:tabs>
          <w:tab w:val="left" w:pos="556"/>
        </w:tabs>
        <w:ind w:left="560" w:hanging="560"/>
        <w:jc w:val="both"/>
      </w:pPr>
      <w:r>
        <w:t>Za vyšší moc se pro účely této Dohody považuje kvalifikovaný případ vyšší moci, kterým se rozumí situace, kdy je, nikoli pouze na krátkou dobu, zcela či z podstatné části znemožněna příprava nebo realizace Odstranění odpadů a znečištění (např. je zrušena či v podstatné míře omezena stavební činnost na dobu delší než dva (2) měsíce, došlo k přerušení stavební činnosti na dobu delší než dva (2) měsíce, je omezen či znemožněn zcela nebo z podstatné části přístup na staveniště, nastání právních překážek atp.), a to působením objektivních příčin nezávislých na jednání Investora a současně nepředvídatelných a mimořádných (např. v důsledku nastání epidemie, pandemie, vyhlášené epidemiologické či pandemické situace, válečného stavu, nouzového stavu, embarga, blokády, přírodní katastrofy včetně např. požáru na staveništi, vzpoury, stávky, výluky). Za vyšší moc se nepovažují běžné provozní nebo technické problémy při výstavbě. Kvalifikovaný případ vyšší moci může nastat jak na základě faktických skutečností, tak i na základě právních skutečností. Kvalifikovaný případ vyšší moci trvá po dobu trvání situace popsané v tomto ustanovení.</w:t>
      </w:r>
    </w:p>
    <w:p w14:paraId="5BE69371" w14:textId="77777777" w:rsidR="00EC1C40" w:rsidRDefault="00000000">
      <w:pPr>
        <w:pStyle w:val="Zkladntext1"/>
        <w:framePr w:w="9106" w:h="13205" w:hRule="exact" w:wrap="none" w:vAnchor="page" w:hAnchor="page" w:x="1390" w:y="1940"/>
        <w:numPr>
          <w:ilvl w:val="1"/>
          <w:numId w:val="24"/>
        </w:numPr>
        <w:tabs>
          <w:tab w:val="left" w:pos="556"/>
        </w:tabs>
        <w:ind w:left="560" w:hanging="560"/>
        <w:jc w:val="both"/>
      </w:pPr>
      <w:r>
        <w:t>Smluvní strana postižená vyšší mocí je povinna druhou Smluvní stranu o této skutečnosti neprodleně písemně informovat a doložit příslušnými doklady rozsah a dobu trvání překážky. Po dobu trvání vyšší moci není Investor odpovědný zejména za prodlení splněním Milníku či realizaci Odstranění odpadů a znečištění, pokud vyšší moc brání či podstatně ztěžuje splnění Milníku či plnění jiných povinností souvisejících s Odstraněním odpadů a nečištění, a to pouze v rozsahu, v jakém je toto prodlení v příčinné souvislosti s danou vyšší mocí.</w:t>
      </w:r>
    </w:p>
    <w:p w14:paraId="37B32F4B" w14:textId="77777777" w:rsidR="00EC1C40" w:rsidRDefault="00000000">
      <w:pPr>
        <w:pStyle w:val="Zkladntext1"/>
        <w:framePr w:w="9106" w:h="13205" w:hRule="exact" w:wrap="none" w:vAnchor="page" w:hAnchor="page" w:x="1390" w:y="1940"/>
        <w:numPr>
          <w:ilvl w:val="1"/>
          <w:numId w:val="24"/>
        </w:numPr>
        <w:tabs>
          <w:tab w:val="left" w:pos="556"/>
        </w:tabs>
        <w:ind w:left="560" w:hanging="560"/>
        <w:jc w:val="both"/>
      </w:pPr>
      <w:r>
        <w:t>Smluvní strany sjednávají, že v případě nastání kteréhokoli z případů vyšší moci či jakékoli jiné překážky vynaloží veškeré úsilí, které po nich lze spravedlivě požadovat, k tomu, aby byla nadále umožněna realizace Odstranění odpadů a Znečištění v jeho plánovaných parametrech, a to za obdobných podmínek sjednaných v této Dohodě. Za tímto účelem Smluvní strany v dobré víře projednají a po vzájemné dohodě přijmou příslušná opatření a učiní další potřebné kroky a jednání, včetně uzavření dodatku k této Dohodě, jakož i smlouvám uzavřeným na základě či v souvislosti s touto Dohodou, bude-li to nezbytné; čl. 8 této Dohody se pro tento případ použije obdobně.</w:t>
      </w:r>
    </w:p>
    <w:p w14:paraId="702A1088" w14:textId="77777777" w:rsidR="00EC1C40" w:rsidRDefault="00000000">
      <w:pPr>
        <w:pStyle w:val="Nadpis60"/>
        <w:framePr w:w="9106" w:h="13205" w:hRule="exact" w:wrap="none" w:vAnchor="page" w:hAnchor="page" w:x="1390" w:y="1940"/>
        <w:numPr>
          <w:ilvl w:val="0"/>
          <w:numId w:val="24"/>
        </w:numPr>
        <w:tabs>
          <w:tab w:val="left" w:pos="556"/>
        </w:tabs>
        <w:jc w:val="both"/>
      </w:pPr>
      <w:bookmarkStart w:id="49" w:name="bookmark99"/>
      <w:r>
        <w:t>Ochrana důvěrných informací</w:t>
      </w:r>
      <w:bookmarkEnd w:id="49"/>
    </w:p>
    <w:p w14:paraId="18C92BC4" w14:textId="77777777" w:rsidR="00EC1C40" w:rsidRDefault="00000000">
      <w:pPr>
        <w:pStyle w:val="Zkladntext1"/>
        <w:framePr w:w="9106" w:h="13205" w:hRule="exact" w:wrap="none" w:vAnchor="page" w:hAnchor="page" w:x="1390" w:y="1940"/>
        <w:numPr>
          <w:ilvl w:val="1"/>
          <w:numId w:val="24"/>
        </w:numPr>
        <w:tabs>
          <w:tab w:val="left" w:pos="556"/>
        </w:tabs>
        <w:ind w:left="560" w:hanging="560"/>
        <w:jc w:val="both"/>
      </w:pPr>
      <w:r>
        <w:t>Smluvní strany prohlašují, že skutečnosti uvedené v této Dohodě nepovažují samy o sobě za obchodní tajemství ve smyslu § 504 Občanského zákoníku a udělují svolení k jejich užití a zveřejnění bez stanovení jakýchkoli dalších podmínek.</w:t>
      </w:r>
    </w:p>
    <w:p w14:paraId="78A0C981" w14:textId="77777777" w:rsidR="00EC1C40" w:rsidRDefault="00000000">
      <w:pPr>
        <w:pStyle w:val="Zkladntext1"/>
        <w:framePr w:w="9106" w:h="13205" w:hRule="exact" w:wrap="none" w:vAnchor="page" w:hAnchor="page" w:x="1390" w:y="1940"/>
        <w:numPr>
          <w:ilvl w:val="1"/>
          <w:numId w:val="24"/>
        </w:numPr>
        <w:tabs>
          <w:tab w:val="left" w:pos="556"/>
        </w:tabs>
        <w:ind w:left="560" w:hanging="560"/>
        <w:jc w:val="both"/>
      </w:pPr>
      <w:r>
        <w:t>SMP má jako povinný subjekt dle zákona č. 106/1999 Sb., o svobodném přístupu k informacím, ve znění pozdějších předpisů, povinnost poskytovat informace týkající se této Dohody a jejího plnění. SMP je dále povinna zveřejnit tuto Dohodu v registru smluv v souladu se zákonem č. 340/2015 Sb., o registru smluv, ve znění pozdějších předpisů. Za výjimku z transparentnosti se považují pouze osobní údaje ve smyslu nařízení GDPR a informace vyloučené z poskytování podle zákona č. 106/1999 Sb. Porušením povinnosti transparentnosti dle této Dohody není poskytování informací členům zastupitelstva SMP, respektive členům rady SMP, pokud se tak děje v souladu s právními předpisy; tím není dotčen čl. 15.3 této Dohody.</w:t>
      </w:r>
    </w:p>
    <w:p w14:paraId="4B5F48C2" w14:textId="77777777" w:rsidR="00EC1C40" w:rsidRDefault="00000000">
      <w:pPr>
        <w:pStyle w:val="Zkladntext1"/>
        <w:framePr w:w="9106" w:h="13205" w:hRule="exact" w:wrap="none" w:vAnchor="page" w:hAnchor="page" w:x="1390" w:y="1940"/>
        <w:numPr>
          <w:ilvl w:val="1"/>
          <w:numId w:val="24"/>
        </w:numPr>
        <w:tabs>
          <w:tab w:val="left" w:pos="556"/>
        </w:tabs>
        <w:ind w:left="560" w:hanging="560"/>
        <w:jc w:val="both"/>
      </w:pPr>
      <w:r>
        <w:t>SMP bude zachovávat mlčenlivost ohledně informací předaných ze strany Investora SMP na základě či v souvislosti s touto Dohodou, bez ohledu na to, zda se jedná o informace předané před či po uzavření této Dohody, pokud se týkají Odstranění odpadů a znečištění, a zajistí zachovávání mlčenlivosti ohledně těchto informací ze strany všech osob, kterým SMP takovéto informace zpřístupní, ledaže se jedná o informace, které jsou veřejně přístupné nebo Investor stanoví jinak.</w:t>
      </w:r>
    </w:p>
    <w:p w14:paraId="21770DB9" w14:textId="77777777" w:rsidR="00EC1C40" w:rsidRDefault="00000000">
      <w:pPr>
        <w:pStyle w:val="Zkladntext1"/>
        <w:framePr w:w="9106" w:h="13205" w:hRule="exact" w:wrap="none" w:vAnchor="page" w:hAnchor="page" w:x="1390" w:y="1940"/>
        <w:numPr>
          <w:ilvl w:val="0"/>
          <w:numId w:val="24"/>
        </w:numPr>
        <w:tabs>
          <w:tab w:val="left" w:pos="556"/>
        </w:tabs>
        <w:spacing w:after="0"/>
        <w:jc w:val="both"/>
      </w:pPr>
      <w:r>
        <w:rPr>
          <w:b/>
          <w:bCs/>
        </w:rPr>
        <w:t>Vyhotovení</w:t>
      </w:r>
    </w:p>
    <w:p w14:paraId="6F56447A" w14:textId="77777777" w:rsidR="00EC1C40" w:rsidRDefault="00000000">
      <w:pPr>
        <w:pStyle w:val="Zhlavnebozpat0"/>
        <w:framePr w:wrap="none" w:vAnchor="page" w:hAnchor="page" w:x="5657" w:y="16085"/>
        <w:rPr>
          <w:sz w:val="22"/>
          <w:szCs w:val="22"/>
        </w:rPr>
      </w:pPr>
      <w:r>
        <w:rPr>
          <w:color w:val="231E20"/>
          <w:sz w:val="22"/>
          <w:szCs w:val="22"/>
        </w:rPr>
        <w:t>19/22</w:t>
      </w:r>
    </w:p>
    <w:p w14:paraId="5B8DE717"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6DE75769" w14:textId="77777777" w:rsidR="00EC1C40" w:rsidRDefault="00000000">
      <w:pPr>
        <w:spacing w:line="1" w:lineRule="exact"/>
      </w:pPr>
      <w:r>
        <w:rPr>
          <w:noProof/>
        </w:rPr>
        <w:lastRenderedPageBreak/>
        <mc:AlternateContent>
          <mc:Choice Requires="wps">
            <w:drawing>
              <wp:anchor distT="0" distB="0" distL="114300" distR="114300" simplePos="0" relativeHeight="251665920" behindDoc="1" locked="0" layoutInCell="1" allowOverlap="1" wp14:anchorId="0358D116" wp14:editId="0159F3BD">
                <wp:simplePos x="0" y="0"/>
                <wp:positionH relativeFrom="page">
                  <wp:posOffset>942975</wp:posOffset>
                </wp:positionH>
                <wp:positionV relativeFrom="page">
                  <wp:posOffset>932180</wp:posOffset>
                </wp:positionV>
                <wp:extent cx="5702935" cy="0"/>
                <wp:effectExtent l="0" t="0" r="0" b="0"/>
                <wp:wrapNone/>
                <wp:docPr id="81" name="Shape 81"/>
                <wp:cNvGraphicFramePr/>
                <a:graphic xmlns:a="http://schemas.openxmlformats.org/drawingml/2006/main">
                  <a:graphicData uri="http://schemas.microsoft.com/office/word/2010/wordprocessingShape">
                    <wps:wsp>
                      <wps:cNvCnPr/>
                      <wps:spPr>
                        <a:xfrm>
                          <a:off x="0" y="0"/>
                          <a:ext cx="5702935" cy="0"/>
                        </a:xfrm>
                        <a:prstGeom prst="straightConnector1">
                          <a:avLst/>
                        </a:prstGeom>
                        <a:ln w="6350">
                          <a:solidFill/>
                        </a:ln>
                      </wps:spPr>
                      <wps:bodyPr/>
                    </wps:wsp>
                  </a:graphicData>
                </a:graphic>
              </wp:anchor>
            </w:drawing>
          </mc:Choice>
          <mc:Fallback>
            <w:pict>
              <v:shape o:spt="32" o:oned="true" path="m,l21600,21600e" style="position:absolute;margin-left:74.25pt;margin-top:73.400000000000006pt;width:449.05000000000001pt;height:0;z-index:-251658240;mso-position-horizontal-relative:page;mso-position-vertical-relative:page">
                <v:stroke weight="0.5pt"/>
              </v:shape>
            </w:pict>
          </mc:Fallback>
        </mc:AlternateContent>
      </w:r>
    </w:p>
    <w:p w14:paraId="5F115339" w14:textId="77777777" w:rsidR="00EC1C40" w:rsidRDefault="00000000">
      <w:pPr>
        <w:pStyle w:val="Zhlavnebozpat0"/>
        <w:framePr w:wrap="none" w:vAnchor="page" w:hAnchor="page" w:x="5077" w:y="1186"/>
      </w:pPr>
      <w:r>
        <w:t>Dohoda o úpravě vztahů</w:t>
      </w:r>
    </w:p>
    <w:p w14:paraId="36B2AA1E" w14:textId="77777777" w:rsidR="00EC1C40" w:rsidRDefault="00000000">
      <w:pPr>
        <w:pStyle w:val="Zkladntext1"/>
        <w:framePr w:w="9134" w:h="13363" w:hRule="exact" w:wrap="none" w:vAnchor="page" w:hAnchor="page" w:x="1376" w:y="1940"/>
        <w:numPr>
          <w:ilvl w:val="1"/>
          <w:numId w:val="24"/>
        </w:numPr>
        <w:tabs>
          <w:tab w:val="left" w:pos="555"/>
        </w:tabs>
        <w:ind w:left="580" w:hanging="580"/>
        <w:jc w:val="both"/>
      </w:pPr>
      <w:r>
        <w:t>Tato Dohoda je vyhotovena ve čtyřech (4) vyhotoveních v českém jazyce, přičemž Investor a SMP obdrží každý po dvou (2) vyhotoveních.</w:t>
      </w:r>
    </w:p>
    <w:p w14:paraId="7F3516C3" w14:textId="77777777" w:rsidR="00EC1C40" w:rsidRDefault="00000000">
      <w:pPr>
        <w:pStyle w:val="Nadpis60"/>
        <w:framePr w:w="9134" w:h="13363" w:hRule="exact" w:wrap="none" w:vAnchor="page" w:hAnchor="page" w:x="1376" w:y="1940"/>
        <w:numPr>
          <w:ilvl w:val="0"/>
          <w:numId w:val="24"/>
        </w:numPr>
        <w:tabs>
          <w:tab w:val="left" w:pos="555"/>
        </w:tabs>
        <w:jc w:val="both"/>
      </w:pPr>
      <w:bookmarkStart w:id="50" w:name="bookmark101"/>
      <w:r>
        <w:t>Veřejnoprávní doložka</w:t>
      </w:r>
      <w:bookmarkEnd w:id="50"/>
    </w:p>
    <w:p w14:paraId="32B73D30" w14:textId="77777777" w:rsidR="00EC1C40" w:rsidRDefault="00000000">
      <w:pPr>
        <w:pStyle w:val="Zkladntext1"/>
        <w:framePr w:w="9134" w:h="13363" w:hRule="exact" w:wrap="none" w:vAnchor="page" w:hAnchor="page" w:x="1376" w:y="1940"/>
        <w:numPr>
          <w:ilvl w:val="1"/>
          <w:numId w:val="24"/>
        </w:numPr>
        <w:tabs>
          <w:tab w:val="left" w:pos="555"/>
        </w:tabs>
        <w:ind w:left="580" w:hanging="580"/>
        <w:jc w:val="both"/>
      </w:pPr>
      <w:r>
        <w:t xml:space="preserve">SMP v souladu s § 41 zákona č. 128/2000 Sb., o obcích (obecní zřízení), ve znění pozdějších předpisů, tímto potvrzuje, že uzavření této Dohody bylo schváleno Zastupitelstvem SMP na jeho [•] </w:t>
      </w:r>
      <w:r>
        <w:rPr>
          <w:b/>
          <w:bCs/>
        </w:rPr>
        <w:t xml:space="preserve">zasedání konaném dne </w:t>
      </w:r>
      <w:r>
        <w:t xml:space="preserve">[•] </w:t>
      </w:r>
      <w:r>
        <w:rPr>
          <w:b/>
          <w:bCs/>
        </w:rPr>
        <w:t xml:space="preserve">č. usnesení </w:t>
      </w:r>
      <w:r>
        <w:t>[•].</w:t>
      </w:r>
    </w:p>
    <w:p w14:paraId="3AB32824" w14:textId="77777777" w:rsidR="00EC1C40" w:rsidRDefault="00000000">
      <w:pPr>
        <w:pStyle w:val="Nadpis60"/>
        <w:framePr w:w="9134" w:h="13363" w:hRule="exact" w:wrap="none" w:vAnchor="page" w:hAnchor="page" w:x="1376" w:y="1940"/>
        <w:numPr>
          <w:ilvl w:val="0"/>
          <w:numId w:val="24"/>
        </w:numPr>
        <w:tabs>
          <w:tab w:val="left" w:pos="555"/>
        </w:tabs>
        <w:jc w:val="both"/>
      </w:pPr>
      <w:bookmarkStart w:id="51" w:name="bookmark103"/>
      <w:r>
        <w:t>Přílohy</w:t>
      </w:r>
      <w:bookmarkEnd w:id="51"/>
    </w:p>
    <w:p w14:paraId="0617AE6B" w14:textId="77777777" w:rsidR="00EC1C40" w:rsidRDefault="00000000">
      <w:pPr>
        <w:pStyle w:val="Zkladntext1"/>
        <w:framePr w:w="9134" w:h="13363" w:hRule="exact" w:wrap="none" w:vAnchor="page" w:hAnchor="page" w:x="1376" w:y="1940"/>
        <w:numPr>
          <w:ilvl w:val="1"/>
          <w:numId w:val="24"/>
        </w:numPr>
        <w:tabs>
          <w:tab w:val="left" w:pos="555"/>
        </w:tabs>
        <w:spacing w:after="240"/>
        <w:jc w:val="both"/>
      </w:pPr>
      <w:r>
        <w:t>Nedílnou součástí této Dohody jsou i její přílohy:</w:t>
      </w:r>
    </w:p>
    <w:p w14:paraId="558B0155" w14:textId="77777777" w:rsidR="00EC1C40" w:rsidRDefault="00000000">
      <w:pPr>
        <w:pStyle w:val="Zkladntext1"/>
        <w:framePr w:w="9134" w:h="13363" w:hRule="exact" w:wrap="none" w:vAnchor="page" w:hAnchor="page" w:x="1376" w:y="1940"/>
        <w:numPr>
          <w:ilvl w:val="2"/>
          <w:numId w:val="24"/>
        </w:numPr>
        <w:tabs>
          <w:tab w:val="left" w:pos="1296"/>
          <w:tab w:val="left" w:pos="2836"/>
        </w:tabs>
        <w:spacing w:after="240"/>
        <w:ind w:firstLine="580"/>
        <w:jc w:val="both"/>
      </w:pPr>
      <w:r>
        <w:rPr>
          <w:u w:val="single"/>
        </w:rPr>
        <w:t>Příloha č. 1:</w:t>
      </w:r>
      <w:r>
        <w:tab/>
        <w:t>Koordinační situační výkres; a</w:t>
      </w:r>
    </w:p>
    <w:p w14:paraId="50BEF823" w14:textId="77777777" w:rsidR="00EC1C40" w:rsidRDefault="00000000">
      <w:pPr>
        <w:pStyle w:val="Zkladntext1"/>
        <w:framePr w:w="9134" w:h="13363" w:hRule="exact" w:wrap="none" w:vAnchor="page" w:hAnchor="page" w:x="1376" w:y="1940"/>
        <w:numPr>
          <w:ilvl w:val="2"/>
          <w:numId w:val="24"/>
        </w:numPr>
        <w:tabs>
          <w:tab w:val="left" w:pos="1296"/>
          <w:tab w:val="left" w:pos="2836"/>
        </w:tabs>
        <w:ind w:firstLine="580"/>
        <w:jc w:val="both"/>
      </w:pPr>
      <w:r>
        <w:rPr>
          <w:u w:val="single"/>
        </w:rPr>
        <w:t>Příloha č. 2:</w:t>
      </w:r>
      <w:r>
        <w:tab/>
        <w:t>Grafické vyznačení části Pozemků 2.</w:t>
      </w:r>
    </w:p>
    <w:p w14:paraId="494243E3" w14:textId="77777777" w:rsidR="00EC1C40" w:rsidRDefault="00000000">
      <w:pPr>
        <w:pStyle w:val="Nadpis60"/>
        <w:framePr w:w="9134" w:h="13363" w:hRule="exact" w:wrap="none" w:vAnchor="page" w:hAnchor="page" w:x="1376" w:y="1940"/>
        <w:numPr>
          <w:ilvl w:val="0"/>
          <w:numId w:val="24"/>
        </w:numPr>
        <w:tabs>
          <w:tab w:val="left" w:pos="555"/>
        </w:tabs>
      </w:pPr>
      <w:bookmarkStart w:id="52" w:name="bookmark105"/>
      <w:r>
        <w:t>Prohlášení o přístupnosti Dohody</w:t>
      </w:r>
      <w:bookmarkEnd w:id="52"/>
    </w:p>
    <w:p w14:paraId="0E3327E5" w14:textId="77777777" w:rsidR="00EC1C40" w:rsidRDefault="00000000">
      <w:pPr>
        <w:pStyle w:val="Zkladntext1"/>
        <w:framePr w:w="9134" w:h="13363" w:hRule="exact" w:wrap="none" w:vAnchor="page" w:hAnchor="page" w:x="1376" w:y="1940"/>
        <w:numPr>
          <w:ilvl w:val="1"/>
          <w:numId w:val="24"/>
        </w:numPr>
        <w:tabs>
          <w:tab w:val="left" w:pos="555"/>
        </w:tabs>
        <w:ind w:left="580" w:hanging="580"/>
        <w:jc w:val="both"/>
      </w:pPr>
      <w:r>
        <w:t>Smluvní strany berou na vědomí a souhlasí s tím, aby tato Dohoda včetně jejích příloh byla způsobem požadovaným platnými a účinnými právními předpisy, zejména zákonem č. 340/2015 Sb., o registru smluv, ve znění pozdějších předpisů (dále jen „</w:t>
      </w:r>
      <w:r>
        <w:rPr>
          <w:b/>
          <w:bCs/>
        </w:rPr>
        <w:t>Zákon o registru smluv</w:t>
      </w:r>
      <w:r>
        <w:t>“) zveřejněna v registru smluv vedeném Digitální informační agenturou.</w:t>
      </w:r>
    </w:p>
    <w:p w14:paraId="5B8E3A28" w14:textId="77777777" w:rsidR="00EC1C40" w:rsidRDefault="00000000">
      <w:pPr>
        <w:pStyle w:val="Zkladntext1"/>
        <w:framePr w:w="9134" w:h="13363" w:hRule="exact" w:wrap="none" w:vAnchor="page" w:hAnchor="page" w:x="1376" w:y="1940"/>
        <w:numPr>
          <w:ilvl w:val="1"/>
          <w:numId w:val="24"/>
        </w:numPr>
        <w:tabs>
          <w:tab w:val="left" w:pos="555"/>
        </w:tabs>
        <w:ind w:left="580" w:hanging="580"/>
        <w:jc w:val="both"/>
      </w:pPr>
      <w:r>
        <w:t>Zveřejnění této Dohody, jakož i smluv souvisejících a uzavíraných v souvislosti s ní, v registru smluv, včetně zajištění veškerých kroků a potřebných jednání s tím souvisejících, zajistí SMP, a to do deseti (10) dnů od okamžiku, kdy si Smluvní strany potvrdí metadata zveřejňovaná v rámci registru smluv dle Zákona o registru smluv, přičemž bude o tomto zveřejnění informovat bezodkladně, nejpozději do pěti (5) dnů od jejího, respektive jejich zveřejnění, Investora. Smluvní strany si v dobré víře poskytnou veškerou potřebnou součinnost pro stanovení metadat nezbytných pro řádné uveřejnění této Dohody v registru smluv, a to tak, aby si metadata pro účely uveřejnění této Dohody v registru smluv potvrdily nejpozději do deseti (10) dnů od uzavření této Dohody. Žádná ze Smluvních stran nebude odpovědná za to, že metadata nebudou případně odpovídat zákonným požadavkům, pokud Smluvní strana poskytne druhé Smluvní straně v dobré víře informace či poklady ke stanovení těchto metadat. V případě, kdy by byla Smlouva z důvodu chybných metadat či chybného zveřejnění v registru smluv zrušena od počátku, budou Smluvní strany postupovat obdobně dle čl. 8 Smlouvy.</w:t>
      </w:r>
    </w:p>
    <w:p w14:paraId="7A59F2AF" w14:textId="77777777" w:rsidR="00EC1C40" w:rsidRDefault="00000000">
      <w:pPr>
        <w:pStyle w:val="Zkladntext1"/>
        <w:framePr w:w="9134" w:h="13363" w:hRule="exact" w:wrap="none" w:vAnchor="page" w:hAnchor="page" w:x="1376" w:y="1940"/>
        <w:numPr>
          <w:ilvl w:val="1"/>
          <w:numId w:val="24"/>
        </w:numPr>
        <w:tabs>
          <w:tab w:val="left" w:pos="555"/>
        </w:tabs>
        <w:ind w:left="580" w:hanging="580"/>
        <w:jc w:val="both"/>
      </w:pPr>
      <w:r>
        <w:t>Pro případ, kdy je v této Dohodě uvedeno rodné číslo, e-mailová adresa, telefonní číslo, číslo bankovního účtu, bydliště, sídlo či podpis kterékoli ze Smluvních stran, se Smluvní strany dohodly, že tato Dohoda bude v Registru smluv uveřejněna bez těchto údajů (popřípadě budou tyto údaje anonymizovány).</w:t>
      </w:r>
    </w:p>
    <w:p w14:paraId="67C021D4" w14:textId="77777777" w:rsidR="00EC1C40" w:rsidRDefault="00000000">
      <w:pPr>
        <w:pStyle w:val="Nadpis60"/>
        <w:framePr w:w="9134" w:h="13363" w:hRule="exact" w:wrap="none" w:vAnchor="page" w:hAnchor="page" w:x="1376" w:y="1940"/>
        <w:numPr>
          <w:ilvl w:val="0"/>
          <w:numId w:val="24"/>
        </w:numPr>
        <w:tabs>
          <w:tab w:val="left" w:pos="555"/>
          <w:tab w:val="left" w:pos="566"/>
        </w:tabs>
      </w:pPr>
      <w:bookmarkStart w:id="53" w:name="bookmark107"/>
      <w:r>
        <w:t>Uzavření Dohody a její účinnost</w:t>
      </w:r>
      <w:bookmarkEnd w:id="53"/>
    </w:p>
    <w:p w14:paraId="50DE9E67" w14:textId="77777777" w:rsidR="00EC1C40" w:rsidRDefault="00000000">
      <w:pPr>
        <w:pStyle w:val="Zkladntext1"/>
        <w:framePr w:w="9134" w:h="13363" w:hRule="exact" w:wrap="none" w:vAnchor="page" w:hAnchor="page" w:x="1376" w:y="1940"/>
        <w:numPr>
          <w:ilvl w:val="1"/>
          <w:numId w:val="24"/>
        </w:numPr>
        <w:tabs>
          <w:tab w:val="left" w:pos="558"/>
        </w:tabs>
        <w:ind w:left="580" w:hanging="580"/>
        <w:jc w:val="both"/>
      </w:pPr>
      <w:r>
        <w:t>Tato Dohoda je uzavřena podpisem poslední ze Smluvních stran. Účinností nabývá tato Dohoda (i) zveřejněním této Dohody v registru smluv a (</w:t>
      </w:r>
      <w:proofErr w:type="spellStart"/>
      <w:r>
        <w:t>ii</w:t>
      </w:r>
      <w:proofErr w:type="spellEnd"/>
      <w:r>
        <w:t>) nabytím účinnosti Plánovací smlouvy (tyto podmínky musí být splněny kumulativně).</w:t>
      </w:r>
    </w:p>
    <w:p w14:paraId="076FADD6" w14:textId="77777777" w:rsidR="00EC1C40" w:rsidRDefault="00000000">
      <w:pPr>
        <w:pStyle w:val="Zkladntext1"/>
        <w:framePr w:w="9134" w:h="13363" w:hRule="exact" w:wrap="none" w:vAnchor="page" w:hAnchor="page" w:x="1376" w:y="1940"/>
        <w:numPr>
          <w:ilvl w:val="1"/>
          <w:numId w:val="24"/>
        </w:numPr>
        <w:tabs>
          <w:tab w:val="left" w:pos="558"/>
        </w:tabs>
        <w:spacing w:after="0"/>
        <w:ind w:left="580" w:hanging="580"/>
        <w:jc w:val="both"/>
      </w:pPr>
      <w:r>
        <w:t>Investor tímto prohlašuje, že tuto Dohodu je připraven uzavřít pouze za následujících předpokladů: (i) tato Dohoda bude ze strany příslušných orgánů SMP schválena a ze strany SMP uzavřena ve znění, které je odsouhlaseno Investorem, (</w:t>
      </w:r>
      <w:proofErr w:type="spellStart"/>
      <w:r>
        <w:t>ii</w:t>
      </w:r>
      <w:proofErr w:type="spellEnd"/>
      <w:r>
        <w:t xml:space="preserve">) spolu s touto Dohodou budou ve znění odsouhlaseném Investorem ze strany příslušných orgánů SMP schváleny a ze strany SMP uzavřeny i Směnná smlouva 1, Smlouva o smlouvě budoucí směnné, Smlouva o výpůjčce, Smlouva o výpůjčce SMP Hůrka, </w:t>
      </w:r>
      <w:proofErr w:type="spellStart"/>
      <w:r>
        <w:t>SoSB</w:t>
      </w:r>
      <w:proofErr w:type="spellEnd"/>
      <w:r>
        <w:t xml:space="preserve"> SMP Hůrka </w:t>
      </w:r>
      <w:r>
        <w:rPr>
          <w:i/>
          <w:iCs/>
        </w:rPr>
        <w:t>(jak jsou tyto pojmy definovány v Plánovací smlouvě)</w:t>
      </w:r>
      <w:r>
        <w:t xml:space="preserve"> a Plánovací smlouva, a to včetně schválení rozhodnutí o snížení základní výše</w:t>
      </w:r>
    </w:p>
    <w:p w14:paraId="626CAB1B" w14:textId="77777777" w:rsidR="00EC1C40" w:rsidRDefault="00000000">
      <w:pPr>
        <w:pStyle w:val="Zhlavnebozpat0"/>
        <w:framePr w:wrap="none" w:vAnchor="page" w:hAnchor="page" w:x="5648" w:y="16085"/>
        <w:rPr>
          <w:sz w:val="22"/>
          <w:szCs w:val="22"/>
        </w:rPr>
      </w:pPr>
      <w:r>
        <w:rPr>
          <w:color w:val="231E20"/>
          <w:sz w:val="22"/>
          <w:szCs w:val="22"/>
        </w:rPr>
        <w:t>20/22</w:t>
      </w:r>
    </w:p>
    <w:p w14:paraId="7DED05C5"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0903440A" w14:textId="77777777" w:rsidR="00EC1C40" w:rsidRDefault="00000000">
      <w:pPr>
        <w:spacing w:line="1" w:lineRule="exact"/>
      </w:pPr>
      <w:r>
        <w:rPr>
          <w:noProof/>
        </w:rPr>
        <w:lastRenderedPageBreak/>
        <mc:AlternateContent>
          <mc:Choice Requires="wps">
            <w:drawing>
              <wp:anchor distT="0" distB="0" distL="114300" distR="114300" simplePos="0" relativeHeight="251666944" behindDoc="1" locked="0" layoutInCell="1" allowOverlap="1" wp14:anchorId="72E85CB8" wp14:editId="5739EE7D">
                <wp:simplePos x="0" y="0"/>
                <wp:positionH relativeFrom="page">
                  <wp:posOffset>946150</wp:posOffset>
                </wp:positionH>
                <wp:positionV relativeFrom="page">
                  <wp:posOffset>932180</wp:posOffset>
                </wp:positionV>
                <wp:extent cx="5702935" cy="0"/>
                <wp:effectExtent l="0" t="0" r="0" b="0"/>
                <wp:wrapNone/>
                <wp:docPr id="82" name="Shape 82"/>
                <wp:cNvGraphicFramePr/>
                <a:graphic xmlns:a="http://schemas.openxmlformats.org/drawingml/2006/main">
                  <a:graphicData uri="http://schemas.microsoft.com/office/word/2010/wordprocessingShape">
                    <wps:wsp>
                      <wps:cNvCnPr/>
                      <wps:spPr>
                        <a:xfrm>
                          <a:off x="0" y="0"/>
                          <a:ext cx="5702935" cy="0"/>
                        </a:xfrm>
                        <a:prstGeom prst="straightConnector1">
                          <a:avLst/>
                        </a:prstGeom>
                        <a:ln w="6350">
                          <a:solidFill/>
                        </a:ln>
                      </wps:spPr>
                      <wps:bodyPr/>
                    </wps:wsp>
                  </a:graphicData>
                </a:graphic>
              </wp:anchor>
            </w:drawing>
          </mc:Choice>
          <mc:Fallback>
            <w:pict>
              <v:shape o:spt="32" o:oned="true" path="m,l21600,21600e" style="position:absolute;margin-left:74.5pt;margin-top:73.400000000000006pt;width:449.05000000000001pt;height:0;z-index:-251658240;mso-position-horizontal-relative:page;mso-position-vertical-relative:page">
                <v:stroke weight="0.5pt"/>
              </v:shape>
            </w:pict>
          </mc:Fallback>
        </mc:AlternateContent>
      </w:r>
    </w:p>
    <w:p w14:paraId="5D55F5A5" w14:textId="77777777" w:rsidR="00EC1C40" w:rsidRDefault="00000000">
      <w:pPr>
        <w:pStyle w:val="Zhlavnebozpat0"/>
        <w:framePr w:wrap="none" w:vAnchor="page" w:hAnchor="page" w:x="5081" w:y="1186"/>
      </w:pPr>
      <w:r>
        <w:t>Dohoda o úpravě vztahů</w:t>
      </w:r>
    </w:p>
    <w:p w14:paraId="45BD95C1" w14:textId="77777777" w:rsidR="00EC1C40" w:rsidRDefault="00000000">
      <w:pPr>
        <w:pStyle w:val="Zkladntext1"/>
        <w:framePr w:w="9134" w:h="5477" w:hRule="exact" w:wrap="none" w:vAnchor="page" w:hAnchor="page" w:x="1376" w:y="1940"/>
        <w:ind w:left="580"/>
        <w:jc w:val="both"/>
      </w:pPr>
      <w:r>
        <w:t>Investičního příspěvku dle Zásad o 100% z titulu charakteru Investičního záměru jako veřejné stavby (čl. 4.2. a 4.3. Plánovací smlouvy) a dále schválení snížení Investičního příspěvku o 200,- Kč za každý 1 m2 z titulu realizace Adaptačních opatření (čl. 4.4. Plánovací smlouvy) a (</w:t>
      </w:r>
      <w:proofErr w:type="spellStart"/>
      <w:r>
        <w:t>iii</w:t>
      </w:r>
      <w:proofErr w:type="spellEnd"/>
      <w:r>
        <w:t xml:space="preserve">) ze strany </w:t>
      </w:r>
      <w:r>
        <w:rPr>
          <w:b/>
          <w:bCs/>
        </w:rPr>
        <w:t>Nadace pro rozvoj města Pardubic</w:t>
      </w:r>
      <w:r>
        <w:t xml:space="preserve">, IČ: 464 95 801, se sídlem Pernštýnské náměstí 1, Pardubice-Staré Město, 530 02 Pardubice, zapsaná v nadačním rejstříku vedeném u Krajského soudu v Hradci Králové pod </w:t>
      </w:r>
      <w:proofErr w:type="spellStart"/>
      <w:r>
        <w:t>sp</w:t>
      </w:r>
      <w:proofErr w:type="spellEnd"/>
      <w:r>
        <w:t>. zn. N 87 (dále jen "</w:t>
      </w:r>
      <w:r>
        <w:rPr>
          <w:b/>
          <w:bCs/>
        </w:rPr>
        <w:t>Nadace</w:t>
      </w:r>
      <w:r>
        <w:t xml:space="preserve">") uzavřeny Smlouva o výpůjčce Nadace Hůrka a </w:t>
      </w:r>
      <w:proofErr w:type="spellStart"/>
      <w:r>
        <w:t>SoSB</w:t>
      </w:r>
      <w:proofErr w:type="spellEnd"/>
      <w:r>
        <w:t xml:space="preserve"> Nadace Hůrka </w:t>
      </w:r>
      <w:r>
        <w:rPr>
          <w:i/>
          <w:iCs/>
        </w:rPr>
        <w:t>(jak jsou tyto pojmy definovány v Plánovací smlouvě),</w:t>
      </w:r>
      <w:r>
        <w:t xml:space="preserve"> a to ve znění odsouhlaseném Investorem. SMP toto prohlášení Investora plně respektuje.</w:t>
      </w:r>
    </w:p>
    <w:p w14:paraId="1526ECA6" w14:textId="77777777" w:rsidR="00EC1C40" w:rsidRDefault="00000000">
      <w:pPr>
        <w:pStyle w:val="Zkladntext1"/>
        <w:framePr w:w="9134" w:h="5477" w:hRule="exact" w:wrap="none" w:vAnchor="page" w:hAnchor="page" w:x="1376" w:y="1940"/>
        <w:numPr>
          <w:ilvl w:val="1"/>
          <w:numId w:val="24"/>
        </w:numPr>
        <w:tabs>
          <w:tab w:val="left" w:pos="562"/>
        </w:tabs>
        <w:ind w:left="580" w:hanging="580"/>
        <w:jc w:val="both"/>
      </w:pPr>
      <w:r>
        <w:t>SMP tímto prohlašuje, že tuto Dohodu je připraveno uzavřít pouze za následujících předpokladů: (i) tato Dohoda bude ze strany příslušných orgánů SMP schválena a ze strany SMP uzavřena ve znění, které je odsouhlaseno příslušnými orgány SMP, (</w:t>
      </w:r>
      <w:proofErr w:type="spellStart"/>
      <w:r>
        <w:t>ii</w:t>
      </w:r>
      <w:proofErr w:type="spellEnd"/>
      <w:r>
        <w:t xml:space="preserve">) spolu s touto Dohodou budou ze strany Investora uzavřeny i Směnná smlouva 1, Smlouva o smlouvě budoucí směnné, Smlouva o výpůjčce, Smlouva o výpůjčce SMP Hůrka, </w:t>
      </w:r>
      <w:proofErr w:type="spellStart"/>
      <w:r>
        <w:t>SoSB</w:t>
      </w:r>
      <w:proofErr w:type="spellEnd"/>
      <w:r>
        <w:t xml:space="preserve"> SMP Hůrka, Smlouva o výpůjčce Nadace Hůrka a </w:t>
      </w:r>
      <w:proofErr w:type="spellStart"/>
      <w:r>
        <w:t>SoSB</w:t>
      </w:r>
      <w:proofErr w:type="spellEnd"/>
      <w:r>
        <w:t xml:space="preserve"> Nadace Hůrka </w:t>
      </w:r>
      <w:r>
        <w:rPr>
          <w:i/>
          <w:iCs/>
        </w:rPr>
        <w:t>(jak jsou tyto pojmy definovány v Plánovací smlouvě)</w:t>
      </w:r>
      <w:r>
        <w:t xml:space="preserve"> a Plánovací smlouva. Investor toto prohlášení SMP plně respektuje.</w:t>
      </w:r>
    </w:p>
    <w:p w14:paraId="1151667D" w14:textId="77777777" w:rsidR="00EC1C40" w:rsidRDefault="00000000">
      <w:pPr>
        <w:pStyle w:val="Zkladntext1"/>
        <w:framePr w:w="9134" w:h="5477" w:hRule="exact" w:wrap="none" w:vAnchor="page" w:hAnchor="page" w:x="1376" w:y="1940"/>
        <w:jc w:val="both"/>
      </w:pPr>
      <w:r>
        <w:rPr>
          <w:i/>
          <w:iCs/>
        </w:rPr>
        <w:t>NA DŮKAZ TOHO Smluvní strany prohlašují, že s obsahem této Dohody souhlasí, rozumí jí a zavazují se k jejímu plnění, připojují své podpisy a prohlašují, že tato Dohoda byla uzavřena podle jejich svobodné a vážné vůle prosté tísně, zejména tísně finanční.</w:t>
      </w:r>
    </w:p>
    <w:p w14:paraId="7AD57624" w14:textId="77777777" w:rsidR="00EC1C40" w:rsidRDefault="00000000">
      <w:pPr>
        <w:pStyle w:val="Zkladntext1"/>
        <w:framePr w:w="9134" w:h="5477" w:hRule="exact" w:wrap="none" w:vAnchor="page" w:hAnchor="page" w:x="1376" w:y="1940"/>
        <w:spacing w:after="0"/>
        <w:jc w:val="both"/>
      </w:pPr>
      <w:r>
        <w:rPr>
          <w:i/>
          <w:iCs/>
        </w:rPr>
        <w:t>PODPISOVÁ STRANA NÁSLEDUJE</w:t>
      </w:r>
    </w:p>
    <w:p w14:paraId="6A222DC6" w14:textId="77777777" w:rsidR="00EC1C40" w:rsidRDefault="00000000">
      <w:pPr>
        <w:pStyle w:val="Zhlavnebozpat0"/>
        <w:framePr w:wrap="none" w:vAnchor="page" w:hAnchor="page" w:x="5653" w:y="16085"/>
        <w:rPr>
          <w:sz w:val="22"/>
          <w:szCs w:val="22"/>
        </w:rPr>
      </w:pPr>
      <w:r>
        <w:rPr>
          <w:color w:val="231E20"/>
          <w:sz w:val="22"/>
          <w:szCs w:val="22"/>
        </w:rPr>
        <w:t>21/22</w:t>
      </w:r>
    </w:p>
    <w:p w14:paraId="3C42F7F2"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702ED1C8" w14:textId="77777777" w:rsidR="00EC1C40" w:rsidRDefault="00000000">
      <w:pPr>
        <w:spacing w:line="1" w:lineRule="exact"/>
      </w:pPr>
      <w:r>
        <w:rPr>
          <w:noProof/>
        </w:rPr>
        <w:lastRenderedPageBreak/>
        <mc:AlternateContent>
          <mc:Choice Requires="wps">
            <w:drawing>
              <wp:anchor distT="0" distB="0" distL="114300" distR="114300" simplePos="0" relativeHeight="251667968" behindDoc="1" locked="0" layoutInCell="1" allowOverlap="1" wp14:anchorId="647F0926" wp14:editId="788EEB8A">
                <wp:simplePos x="0" y="0"/>
                <wp:positionH relativeFrom="page">
                  <wp:posOffset>947420</wp:posOffset>
                </wp:positionH>
                <wp:positionV relativeFrom="page">
                  <wp:posOffset>932180</wp:posOffset>
                </wp:positionV>
                <wp:extent cx="5702935" cy="0"/>
                <wp:effectExtent l="0" t="0" r="0" b="0"/>
                <wp:wrapNone/>
                <wp:docPr id="83" name="Shape 83"/>
                <wp:cNvGraphicFramePr/>
                <a:graphic xmlns:a="http://schemas.openxmlformats.org/drawingml/2006/main">
                  <a:graphicData uri="http://schemas.microsoft.com/office/word/2010/wordprocessingShape">
                    <wps:wsp>
                      <wps:cNvCnPr/>
                      <wps:spPr>
                        <a:xfrm>
                          <a:off x="0" y="0"/>
                          <a:ext cx="5702935" cy="0"/>
                        </a:xfrm>
                        <a:prstGeom prst="straightConnector1">
                          <a:avLst/>
                        </a:prstGeom>
                        <a:ln w="6350">
                          <a:solidFill/>
                        </a:ln>
                      </wps:spPr>
                      <wps:bodyPr/>
                    </wps:wsp>
                  </a:graphicData>
                </a:graphic>
              </wp:anchor>
            </w:drawing>
          </mc:Choice>
          <mc:Fallback>
            <w:pict>
              <v:shape o:spt="32" o:oned="true" path="m,l21600,21600e" style="position:absolute;margin-left:74.600000000000009pt;margin-top:73.400000000000006pt;width:449.05000000000001pt;height:0;z-index:-251658240;mso-position-horizontal-relative:page;mso-position-vertical-relative:page">
                <v:stroke weight="0.5pt"/>
              </v:shape>
            </w:pict>
          </mc:Fallback>
        </mc:AlternateContent>
      </w:r>
    </w:p>
    <w:p w14:paraId="4F32E1D0" w14:textId="77777777" w:rsidR="00EC1C40" w:rsidRDefault="00000000">
      <w:pPr>
        <w:pStyle w:val="Zhlavnebozpat0"/>
        <w:framePr w:wrap="none" w:vAnchor="page" w:hAnchor="page" w:x="5084" w:y="1186"/>
      </w:pPr>
      <w:r>
        <w:t>Dohoda o úpravě vztahů</w:t>
      </w:r>
    </w:p>
    <w:p w14:paraId="6E0DC1A6" w14:textId="77777777" w:rsidR="00EC1C40" w:rsidRDefault="00000000">
      <w:pPr>
        <w:pStyle w:val="Zkladntext1"/>
        <w:framePr w:w="5414" w:h="288" w:hRule="exact" w:wrap="none" w:vAnchor="page" w:hAnchor="page" w:x="1484" w:y="2328"/>
        <w:spacing w:after="0"/>
        <w:jc w:val="right"/>
      </w:pPr>
      <w:r>
        <w:rPr>
          <w:b/>
          <w:bCs/>
          <w:i/>
          <w:iCs/>
        </w:rPr>
        <w:t>PODPISOVÁ STRANA</w:t>
      </w:r>
    </w:p>
    <w:p w14:paraId="20CAFC63" w14:textId="77777777" w:rsidR="00EC1C40" w:rsidRDefault="00000000">
      <w:pPr>
        <w:pStyle w:val="Zkladntext1"/>
        <w:framePr w:wrap="none" w:vAnchor="page" w:hAnchor="page" w:x="1484" w:y="3087"/>
        <w:spacing w:after="0"/>
      </w:pPr>
      <w:r>
        <w:t>V [•] dne [•]</w:t>
      </w:r>
    </w:p>
    <w:p w14:paraId="264117D7" w14:textId="77777777" w:rsidR="00EC1C40" w:rsidRDefault="00000000">
      <w:pPr>
        <w:pStyle w:val="Zkladntext1"/>
        <w:framePr w:wrap="none" w:vAnchor="page" w:hAnchor="page" w:x="6476" w:y="3087"/>
        <w:spacing w:after="0"/>
      </w:pPr>
      <w:r>
        <w:t>V [•] dne [•]</w:t>
      </w:r>
    </w:p>
    <w:p w14:paraId="2A3C5D96" w14:textId="77777777" w:rsidR="00EC1C40" w:rsidRDefault="00000000">
      <w:pPr>
        <w:pStyle w:val="Nadpis60"/>
        <w:framePr w:w="3216" w:h="826" w:hRule="exact" w:wrap="none" w:vAnchor="page" w:hAnchor="page" w:x="1484" w:y="4935"/>
        <w:pBdr>
          <w:top w:val="single" w:sz="4" w:space="0" w:color="auto"/>
        </w:pBdr>
        <w:spacing w:after="0"/>
        <w:ind w:firstLine="680"/>
        <w:jc w:val="both"/>
      </w:pPr>
      <w:bookmarkStart w:id="54" w:name="bookmark109"/>
      <w:r>
        <w:t>Statutární město Pardubice</w:t>
      </w:r>
      <w:bookmarkEnd w:id="54"/>
    </w:p>
    <w:p w14:paraId="68DF0C18" w14:textId="77777777" w:rsidR="00EC1C40" w:rsidRDefault="00000000">
      <w:pPr>
        <w:pStyle w:val="Zkladntext1"/>
        <w:framePr w:w="3216" w:h="826" w:hRule="exact" w:wrap="none" w:vAnchor="page" w:hAnchor="page" w:x="1484" w:y="4935"/>
        <w:spacing w:after="0"/>
        <w:jc w:val="center"/>
      </w:pPr>
      <w:r>
        <w:t>Jan Nadrchal</w:t>
      </w:r>
      <w:r>
        <w:br/>
        <w:t>primátor</w:t>
      </w:r>
    </w:p>
    <w:p w14:paraId="4FDFF54C" w14:textId="77777777" w:rsidR="00EC1C40" w:rsidRDefault="00000000">
      <w:pPr>
        <w:pStyle w:val="Zkladntext1"/>
        <w:framePr w:w="1123" w:h="826" w:hRule="exact" w:wrap="none" w:vAnchor="page" w:hAnchor="page" w:x="7978" w:y="4935"/>
        <w:pBdr>
          <w:top w:val="single" w:sz="4" w:space="0" w:color="auto"/>
        </w:pBdr>
        <w:spacing w:after="0"/>
        <w:jc w:val="center"/>
      </w:pPr>
      <w:r>
        <w:rPr>
          <w:b/>
          <w:bCs/>
        </w:rPr>
        <w:t>MHAP s.r.o.</w:t>
      </w:r>
      <w:r>
        <w:rPr>
          <w:b/>
          <w:bCs/>
        </w:rPr>
        <w:br/>
      </w:r>
      <w:r>
        <w:t>Petr Dědek</w:t>
      </w:r>
      <w:r>
        <w:br/>
        <w:t>jednatel</w:t>
      </w:r>
    </w:p>
    <w:p w14:paraId="5DD232C2" w14:textId="77777777" w:rsidR="00EC1C40" w:rsidRDefault="00000000">
      <w:pPr>
        <w:pStyle w:val="Zhlavnebozpat0"/>
        <w:framePr w:wrap="none" w:vAnchor="page" w:hAnchor="page" w:x="5655" w:y="16085"/>
        <w:rPr>
          <w:sz w:val="22"/>
          <w:szCs w:val="22"/>
        </w:rPr>
      </w:pPr>
      <w:r>
        <w:rPr>
          <w:color w:val="231E20"/>
          <w:sz w:val="22"/>
          <w:szCs w:val="22"/>
        </w:rPr>
        <w:t>22/22</w:t>
      </w:r>
    </w:p>
    <w:p w14:paraId="63F2279F"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5BE6F539" w14:textId="77777777" w:rsidR="00EC1C40" w:rsidRDefault="00EC1C40">
      <w:pPr>
        <w:spacing w:line="1" w:lineRule="exact"/>
      </w:pPr>
    </w:p>
    <w:p w14:paraId="465A6C37" w14:textId="77777777" w:rsidR="00EC1C40" w:rsidRDefault="00000000">
      <w:pPr>
        <w:pStyle w:val="Zkladntext80"/>
        <w:framePr w:w="11899" w:h="638" w:hRule="exact" w:wrap="none" w:vAnchor="page" w:hAnchor="page" w:x="125" w:y="4979"/>
        <w:rPr>
          <w:sz w:val="50"/>
          <w:szCs w:val="50"/>
        </w:rPr>
      </w:pPr>
      <w:r>
        <w:t>Příloh</w:t>
      </w:r>
      <w:r>
        <w:rPr>
          <w:rFonts w:ascii="Calibri" w:eastAsia="Calibri" w:hAnsi="Calibri" w:cs="Calibri"/>
          <w:b/>
          <w:bCs/>
          <w:smallCaps/>
          <w:sz w:val="50"/>
          <w:szCs w:val="50"/>
        </w:rPr>
        <w:t>a</w:t>
      </w:r>
      <w:r>
        <w:t xml:space="preserve"> č. </w:t>
      </w:r>
      <w:r>
        <w:rPr>
          <w:rFonts w:ascii="Calibri" w:eastAsia="Calibri" w:hAnsi="Calibri" w:cs="Calibri"/>
          <w:b/>
          <w:bCs/>
          <w:smallCaps/>
          <w:sz w:val="50"/>
          <w:szCs w:val="50"/>
        </w:rPr>
        <w:t>4</w:t>
      </w:r>
    </w:p>
    <w:p w14:paraId="15F65206"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25B57411" w14:textId="77777777" w:rsidR="00EC1C40" w:rsidRDefault="00EC1C40">
      <w:pPr>
        <w:spacing w:line="1" w:lineRule="exact"/>
      </w:pPr>
    </w:p>
    <w:p w14:paraId="3D327962" w14:textId="77777777" w:rsidR="00EC1C40" w:rsidRDefault="00000000">
      <w:pPr>
        <w:framePr w:wrap="none" w:vAnchor="page" w:hAnchor="page" w:x="125" w:y="169"/>
        <w:rPr>
          <w:sz w:val="2"/>
          <w:szCs w:val="2"/>
        </w:rPr>
      </w:pPr>
      <w:r>
        <w:rPr>
          <w:noProof/>
        </w:rPr>
        <w:drawing>
          <wp:inline distT="0" distB="0" distL="0" distR="0" wp14:anchorId="1DEF0D30" wp14:editId="76D9AE3F">
            <wp:extent cx="7559040" cy="7699375"/>
            <wp:effectExtent l="0" t="0" r="0" b="0"/>
            <wp:docPr id="84" name="Picutre 84"/>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10"/>
                    <a:stretch/>
                  </pic:blipFill>
                  <pic:spPr>
                    <a:xfrm>
                      <a:off x="0" y="0"/>
                      <a:ext cx="7559040" cy="7699375"/>
                    </a:xfrm>
                    <a:prstGeom prst="rect">
                      <a:avLst/>
                    </a:prstGeom>
                  </pic:spPr>
                </pic:pic>
              </a:graphicData>
            </a:graphic>
          </wp:inline>
        </w:drawing>
      </w:r>
    </w:p>
    <w:p w14:paraId="546769D6" w14:textId="77777777" w:rsidR="00EC1C40" w:rsidRDefault="00000000">
      <w:pPr>
        <w:framePr w:wrap="none" w:vAnchor="page" w:hAnchor="page" w:x="125" w:y="12284"/>
        <w:rPr>
          <w:sz w:val="2"/>
          <w:szCs w:val="2"/>
        </w:rPr>
      </w:pPr>
      <w:r>
        <w:rPr>
          <w:noProof/>
        </w:rPr>
        <w:drawing>
          <wp:inline distT="0" distB="0" distL="0" distR="0" wp14:anchorId="17FE8F7D" wp14:editId="1BD377C4">
            <wp:extent cx="7559040" cy="2999105"/>
            <wp:effectExtent l="0" t="0" r="0" b="0"/>
            <wp:docPr id="85" name="Picutre 85"/>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11"/>
                    <a:stretch/>
                  </pic:blipFill>
                  <pic:spPr>
                    <a:xfrm>
                      <a:off x="0" y="0"/>
                      <a:ext cx="7559040" cy="2999105"/>
                    </a:xfrm>
                    <a:prstGeom prst="rect">
                      <a:avLst/>
                    </a:prstGeom>
                  </pic:spPr>
                </pic:pic>
              </a:graphicData>
            </a:graphic>
          </wp:inline>
        </w:drawing>
      </w:r>
    </w:p>
    <w:p w14:paraId="1E540A4A"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191B80AB" w14:textId="77777777" w:rsidR="00EC1C40" w:rsidRDefault="00EC1C40">
      <w:pPr>
        <w:spacing w:line="1" w:lineRule="exact"/>
      </w:pPr>
    </w:p>
    <w:p w14:paraId="4F23D40C" w14:textId="77777777" w:rsidR="00EC1C40" w:rsidRDefault="00000000">
      <w:pPr>
        <w:pStyle w:val="Zkladntext80"/>
        <w:framePr w:w="5035" w:h="638" w:hRule="exact" w:wrap="none" w:vAnchor="page" w:hAnchor="page" w:x="3418" w:y="5079"/>
        <w:rPr>
          <w:sz w:val="50"/>
          <w:szCs w:val="50"/>
        </w:rPr>
      </w:pPr>
      <w:r>
        <w:t>Příloh</w:t>
      </w:r>
      <w:r>
        <w:rPr>
          <w:rFonts w:ascii="Calibri" w:eastAsia="Calibri" w:hAnsi="Calibri" w:cs="Calibri"/>
          <w:b/>
          <w:bCs/>
          <w:smallCaps/>
          <w:sz w:val="50"/>
          <w:szCs w:val="50"/>
        </w:rPr>
        <w:t>a</w:t>
      </w:r>
      <w:r>
        <w:t xml:space="preserve"> č. </w:t>
      </w:r>
      <w:r>
        <w:rPr>
          <w:rFonts w:ascii="Calibri" w:eastAsia="Calibri" w:hAnsi="Calibri" w:cs="Calibri"/>
          <w:b/>
          <w:bCs/>
          <w:smallCaps/>
          <w:sz w:val="50"/>
          <w:szCs w:val="50"/>
        </w:rPr>
        <w:t>5</w:t>
      </w:r>
    </w:p>
    <w:p w14:paraId="2C8AA57B"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5DFB2058" w14:textId="77777777" w:rsidR="00EC1C40" w:rsidRDefault="00EC1C40">
      <w:pPr>
        <w:spacing w:line="1" w:lineRule="exact"/>
      </w:pPr>
    </w:p>
    <w:p w14:paraId="0614C6CF" w14:textId="77777777" w:rsidR="00EC1C40" w:rsidRDefault="00000000">
      <w:pPr>
        <w:pStyle w:val="Zkladntext20"/>
        <w:framePr w:w="9120" w:h="566" w:hRule="exact" w:wrap="none" w:vAnchor="page" w:hAnchor="page" w:x="1373" w:y="3975"/>
        <w:pBdr>
          <w:bottom w:val="single" w:sz="4" w:space="0" w:color="auto"/>
        </w:pBdr>
        <w:spacing w:after="0"/>
      </w:pPr>
      <w:r>
        <w:t>Směnná smlouva</w:t>
      </w:r>
    </w:p>
    <w:p w14:paraId="661BA9D2" w14:textId="77777777" w:rsidR="00EC1C40" w:rsidRDefault="00000000">
      <w:pPr>
        <w:pStyle w:val="Zkladntext1"/>
        <w:framePr w:w="9120" w:h="1997" w:hRule="exact" w:wrap="none" w:vAnchor="page" w:hAnchor="page" w:x="1373" w:y="4887"/>
        <w:jc w:val="center"/>
      </w:pPr>
      <w:r>
        <w:t>mezi:</w:t>
      </w:r>
    </w:p>
    <w:p w14:paraId="4E4EC716" w14:textId="77777777" w:rsidR="00EC1C40" w:rsidRDefault="00000000">
      <w:pPr>
        <w:pStyle w:val="Zkladntext20"/>
        <w:framePr w:w="9120" w:h="1997" w:hRule="exact" w:wrap="none" w:vAnchor="page" w:hAnchor="page" w:x="1373" w:y="4887"/>
      </w:pPr>
      <w:r>
        <w:t>Statutární město Pardubice</w:t>
      </w:r>
    </w:p>
    <w:p w14:paraId="3F38831D" w14:textId="77777777" w:rsidR="00EC1C40" w:rsidRDefault="00000000">
      <w:pPr>
        <w:pStyle w:val="Zkladntext1"/>
        <w:framePr w:w="9120" w:h="1997" w:hRule="exact" w:wrap="none" w:vAnchor="page" w:hAnchor="page" w:x="1373" w:y="4887"/>
        <w:spacing w:after="160"/>
        <w:jc w:val="center"/>
      </w:pPr>
      <w:r>
        <w:t>a</w:t>
      </w:r>
    </w:p>
    <w:p w14:paraId="760ACD7E" w14:textId="77777777" w:rsidR="00EC1C40" w:rsidRDefault="00000000">
      <w:pPr>
        <w:pStyle w:val="Zkladntext20"/>
        <w:framePr w:w="9120" w:h="1997" w:hRule="exact" w:wrap="none" w:vAnchor="page" w:hAnchor="page" w:x="1373" w:y="4887"/>
        <w:spacing w:after="0"/>
      </w:pPr>
      <w:r>
        <w:t>MHAP s.r.o.</w:t>
      </w:r>
    </w:p>
    <w:p w14:paraId="177A5270"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4AB9494F" w14:textId="77777777" w:rsidR="00EC1C40" w:rsidRDefault="00000000">
      <w:pPr>
        <w:spacing w:line="1" w:lineRule="exact"/>
      </w:pPr>
      <w:r>
        <w:rPr>
          <w:noProof/>
        </w:rPr>
        <w:lastRenderedPageBreak/>
        <mc:AlternateContent>
          <mc:Choice Requires="wps">
            <w:drawing>
              <wp:anchor distT="0" distB="0" distL="114300" distR="114300" simplePos="0" relativeHeight="251668992" behindDoc="1" locked="0" layoutInCell="1" allowOverlap="1" wp14:anchorId="1AA66D60" wp14:editId="7DBEC72D">
                <wp:simplePos x="0" y="0"/>
                <wp:positionH relativeFrom="page">
                  <wp:posOffset>950595</wp:posOffset>
                </wp:positionH>
                <wp:positionV relativeFrom="page">
                  <wp:posOffset>932180</wp:posOffset>
                </wp:positionV>
                <wp:extent cx="5702935" cy="0"/>
                <wp:effectExtent l="0" t="0" r="0" b="0"/>
                <wp:wrapNone/>
                <wp:docPr id="86" name="Shape 86"/>
                <wp:cNvGraphicFramePr/>
                <a:graphic xmlns:a="http://schemas.openxmlformats.org/drawingml/2006/main">
                  <a:graphicData uri="http://schemas.microsoft.com/office/word/2010/wordprocessingShape">
                    <wps:wsp>
                      <wps:cNvCnPr/>
                      <wps:spPr>
                        <a:xfrm>
                          <a:off x="0" y="0"/>
                          <a:ext cx="5702935" cy="0"/>
                        </a:xfrm>
                        <a:prstGeom prst="straightConnector1">
                          <a:avLst/>
                        </a:prstGeom>
                        <a:ln w="6350">
                          <a:solidFill/>
                        </a:ln>
                      </wps:spPr>
                      <wps:bodyPr/>
                    </wps:wsp>
                  </a:graphicData>
                </a:graphic>
              </wp:anchor>
            </w:drawing>
          </mc:Choice>
          <mc:Fallback>
            <w:pict>
              <v:shape o:spt="32" o:oned="true" path="m,l21600,21600e" style="position:absolute;margin-left:74.850000000000009pt;margin-top:73.400000000000006pt;width:449.05000000000001pt;height:0;z-index:-251658240;mso-position-horizontal-relative:page;mso-position-vertical-relative:page">
                <v:stroke weight="0.5pt"/>
              </v:shape>
            </w:pict>
          </mc:Fallback>
        </mc:AlternateContent>
      </w:r>
    </w:p>
    <w:p w14:paraId="413E4580" w14:textId="77777777" w:rsidR="00EC1C40" w:rsidRDefault="00000000">
      <w:pPr>
        <w:pStyle w:val="Zhlavnebozpat0"/>
        <w:framePr w:w="1286" w:h="240" w:hRule="exact" w:wrap="none" w:vAnchor="page" w:hAnchor="page" w:x="5348" w:y="1186"/>
        <w:jc w:val="center"/>
      </w:pPr>
      <w:r>
        <w:t>Směnná smlouva</w:t>
      </w:r>
    </w:p>
    <w:p w14:paraId="0CFD0543" w14:textId="77777777" w:rsidR="00EC1C40" w:rsidRDefault="00000000">
      <w:pPr>
        <w:pStyle w:val="Zkladntext1"/>
        <w:framePr w:w="9120" w:h="13546" w:hRule="exact" w:wrap="none" w:vAnchor="page" w:hAnchor="page" w:x="1378" w:y="1940"/>
        <w:spacing w:after="120"/>
        <w:jc w:val="both"/>
      </w:pPr>
      <w:r>
        <w:rPr>
          <w:b/>
          <w:bCs/>
        </w:rPr>
        <w:t>Tuto směnnou smlouvu uzavírají v souladu s příslušnými ustanoveními zákona č. 89/2012 Sb., občanský zákoník, ve znění pozdějších předpisů (dále jen „Občanský zákoník“ ), níže uvedeného dne, měsíce a roku následující smluvní strany (dále jen „Smlouva“):</w:t>
      </w:r>
    </w:p>
    <w:p w14:paraId="61BF92EF" w14:textId="77777777" w:rsidR="00EC1C40" w:rsidRDefault="00000000">
      <w:pPr>
        <w:pStyle w:val="Zkladntext1"/>
        <w:framePr w:w="9120" w:h="13546" w:hRule="exact" w:wrap="none" w:vAnchor="page" w:hAnchor="page" w:x="1378" w:y="1940"/>
        <w:numPr>
          <w:ilvl w:val="0"/>
          <w:numId w:val="25"/>
        </w:numPr>
        <w:tabs>
          <w:tab w:val="left" w:pos="557"/>
        </w:tabs>
        <w:spacing w:after="120" w:line="233" w:lineRule="auto"/>
        <w:ind w:left="580" w:hanging="580"/>
        <w:jc w:val="both"/>
      </w:pPr>
      <w:r>
        <w:rPr>
          <w:b/>
          <w:bCs/>
        </w:rPr>
        <w:t>Statutární město Pardubice</w:t>
      </w:r>
      <w:r>
        <w:t xml:space="preserve">, IČ: 002 74 046, se sídlem Pernštýnské náměstí 1, Pardubice-Staré Město, 530 02 Pardubice, zastoupeno Bc. Janem </w:t>
      </w:r>
      <w:proofErr w:type="spellStart"/>
      <w:r>
        <w:t>Nadrchalem</w:t>
      </w:r>
      <w:proofErr w:type="spellEnd"/>
      <w:r>
        <w:t>, primátorem</w:t>
      </w:r>
    </w:p>
    <w:p w14:paraId="0D74D27D" w14:textId="77777777" w:rsidR="00EC1C40" w:rsidRDefault="00000000">
      <w:pPr>
        <w:pStyle w:val="Zkladntext1"/>
        <w:framePr w:w="9120" w:h="13546" w:hRule="exact" w:wrap="none" w:vAnchor="page" w:hAnchor="page" w:x="1378" w:y="1940"/>
        <w:spacing w:after="200"/>
        <w:ind w:firstLine="580"/>
      </w:pPr>
      <w:r>
        <w:t>(dále jen „</w:t>
      </w:r>
      <w:r>
        <w:rPr>
          <w:b/>
          <w:bCs/>
        </w:rPr>
        <w:t>SMP</w:t>
      </w:r>
      <w:r>
        <w:t>“)</w:t>
      </w:r>
    </w:p>
    <w:p w14:paraId="55BBBBF5" w14:textId="77777777" w:rsidR="00EC1C40" w:rsidRDefault="00000000">
      <w:pPr>
        <w:pStyle w:val="Zkladntext1"/>
        <w:framePr w:w="9120" w:h="13546" w:hRule="exact" w:wrap="none" w:vAnchor="page" w:hAnchor="page" w:x="1378" w:y="1940"/>
        <w:spacing w:after="200"/>
        <w:ind w:firstLine="580"/>
      </w:pPr>
      <w:r>
        <w:t>a</w:t>
      </w:r>
    </w:p>
    <w:p w14:paraId="1E2688D6" w14:textId="77777777" w:rsidR="00EC1C40" w:rsidRDefault="00000000">
      <w:pPr>
        <w:pStyle w:val="Zkladntext1"/>
        <w:framePr w:w="9120" w:h="13546" w:hRule="exact" w:wrap="none" w:vAnchor="page" w:hAnchor="page" w:x="1378" w:y="1940"/>
        <w:numPr>
          <w:ilvl w:val="0"/>
          <w:numId w:val="25"/>
        </w:numPr>
        <w:tabs>
          <w:tab w:val="left" w:pos="557"/>
        </w:tabs>
        <w:spacing w:after="120"/>
        <w:ind w:left="580" w:hanging="580"/>
        <w:jc w:val="both"/>
      </w:pPr>
      <w:r>
        <w:rPr>
          <w:b/>
          <w:bCs/>
        </w:rPr>
        <w:t>MHAP s.r.o.</w:t>
      </w:r>
      <w:r>
        <w:t xml:space="preserve">, IČ: 175 44 661, se sídlem Olbrachtova 1980/5, Krč, 140 00 Praha 4, zapsaná v obchodním rejstříku vedeném Městským soudem v Praze pod </w:t>
      </w:r>
      <w:proofErr w:type="spellStart"/>
      <w:r>
        <w:t>sp</w:t>
      </w:r>
      <w:proofErr w:type="spellEnd"/>
      <w:r>
        <w:t>. zn. C 372943, zastoupená panem Petrem Dědkem, jednatelem</w:t>
      </w:r>
    </w:p>
    <w:p w14:paraId="475C439F" w14:textId="77777777" w:rsidR="00EC1C40" w:rsidRDefault="00000000">
      <w:pPr>
        <w:pStyle w:val="Zkladntext1"/>
        <w:framePr w:w="9120" w:h="13546" w:hRule="exact" w:wrap="none" w:vAnchor="page" w:hAnchor="page" w:x="1378" w:y="1940"/>
        <w:spacing w:after="120"/>
        <w:ind w:firstLine="580"/>
        <w:jc w:val="both"/>
      </w:pPr>
      <w:r>
        <w:t>(dále jen „</w:t>
      </w:r>
      <w:r>
        <w:rPr>
          <w:b/>
          <w:bCs/>
        </w:rPr>
        <w:t>Investor</w:t>
      </w:r>
      <w:r>
        <w:t>“)</w:t>
      </w:r>
    </w:p>
    <w:p w14:paraId="399B0859" w14:textId="77777777" w:rsidR="00EC1C40" w:rsidRDefault="00000000">
      <w:pPr>
        <w:pStyle w:val="Zkladntext1"/>
        <w:framePr w:w="9120" w:h="13546" w:hRule="exact" w:wrap="none" w:vAnchor="page" w:hAnchor="page" w:x="1378" w:y="1940"/>
        <w:spacing w:after="120"/>
        <w:ind w:firstLine="580"/>
      </w:pPr>
      <w:r>
        <w:t>(SMP a Investor dále společně jako „</w:t>
      </w:r>
      <w:r>
        <w:rPr>
          <w:b/>
          <w:bCs/>
        </w:rPr>
        <w:t>Smluvní strany</w:t>
      </w:r>
      <w:r>
        <w:t>“ a jednotlivě „</w:t>
      </w:r>
      <w:r>
        <w:rPr>
          <w:b/>
          <w:bCs/>
        </w:rPr>
        <w:t>Smluvní strana</w:t>
      </w:r>
      <w:r>
        <w:t>“)</w:t>
      </w:r>
    </w:p>
    <w:p w14:paraId="0B9C1328" w14:textId="77777777" w:rsidR="00EC1C40" w:rsidRDefault="00000000">
      <w:pPr>
        <w:pStyle w:val="Nadpis60"/>
        <w:framePr w:w="9120" w:h="13546" w:hRule="exact" w:wrap="none" w:vAnchor="page" w:hAnchor="page" w:x="1378" w:y="1940"/>
        <w:spacing w:after="120"/>
      </w:pPr>
      <w:bookmarkStart w:id="55" w:name="bookmark111"/>
      <w:r>
        <w:t>VZHLEDEM K TOMU, ŽE:</w:t>
      </w:r>
      <w:bookmarkEnd w:id="55"/>
    </w:p>
    <w:p w14:paraId="7D978A51" w14:textId="77777777" w:rsidR="00EC1C40" w:rsidRDefault="00000000">
      <w:pPr>
        <w:pStyle w:val="Zkladntext1"/>
        <w:framePr w:w="9120" w:h="13546" w:hRule="exact" w:wrap="none" w:vAnchor="page" w:hAnchor="page" w:x="1378" w:y="1940"/>
        <w:numPr>
          <w:ilvl w:val="0"/>
          <w:numId w:val="26"/>
        </w:numPr>
        <w:tabs>
          <w:tab w:val="left" w:pos="557"/>
        </w:tabs>
        <w:spacing w:after="120"/>
      </w:pPr>
      <w:r>
        <w:t xml:space="preserve">Smluvní strany jsou výlučnými vlastníky Pozemků </w:t>
      </w:r>
      <w:r>
        <w:rPr>
          <w:i/>
          <w:iCs/>
        </w:rPr>
        <w:t>(jak je tento pojem definován níže)</w:t>
      </w:r>
      <w:r>
        <w:t>;</w:t>
      </w:r>
    </w:p>
    <w:p w14:paraId="39A24CBF" w14:textId="77777777" w:rsidR="00EC1C40" w:rsidRDefault="00000000">
      <w:pPr>
        <w:pStyle w:val="Zkladntext1"/>
        <w:framePr w:w="9120" w:h="13546" w:hRule="exact" w:wrap="none" w:vAnchor="page" w:hAnchor="page" w:x="1378" w:y="1940"/>
        <w:numPr>
          <w:ilvl w:val="0"/>
          <w:numId w:val="26"/>
        </w:numPr>
        <w:tabs>
          <w:tab w:val="left" w:pos="557"/>
        </w:tabs>
        <w:spacing w:after="120"/>
        <w:ind w:left="580" w:hanging="580"/>
        <w:jc w:val="both"/>
      </w:pPr>
      <w:r>
        <w:t xml:space="preserve">Smluvní strany mají zájem touto Smlouvou směnit Pozemky </w:t>
      </w:r>
      <w:r>
        <w:rPr>
          <w:i/>
          <w:iCs/>
        </w:rPr>
        <w:t xml:space="preserve">(jak je tento pojem definován níže) </w:t>
      </w:r>
      <w:r>
        <w:t>za podmínek stanovených v této Smlouvě;</w:t>
      </w:r>
    </w:p>
    <w:p w14:paraId="22671707" w14:textId="77777777" w:rsidR="00EC1C40" w:rsidRDefault="00000000">
      <w:pPr>
        <w:pStyle w:val="Zkladntext1"/>
        <w:framePr w:w="9120" w:h="13546" w:hRule="exact" w:wrap="none" w:vAnchor="page" w:hAnchor="page" w:x="1378" w:y="1940"/>
        <w:numPr>
          <w:ilvl w:val="0"/>
          <w:numId w:val="26"/>
        </w:numPr>
        <w:tabs>
          <w:tab w:val="left" w:pos="557"/>
        </w:tabs>
        <w:spacing w:after="120"/>
        <w:ind w:left="580" w:hanging="580"/>
        <w:jc w:val="both"/>
      </w:pPr>
      <w:r>
        <w:t xml:space="preserve">Smluvní strany </w:t>
      </w:r>
      <w:r>
        <w:rPr>
          <w:b/>
          <w:bCs/>
        </w:rPr>
        <w:t xml:space="preserve">hodlají </w:t>
      </w:r>
      <w:r>
        <w:t>spolu s touto Smlouvou mezi sebou uzavřít plánovací smlouvu (dále jen „</w:t>
      </w:r>
      <w:r>
        <w:rPr>
          <w:b/>
          <w:bCs/>
        </w:rPr>
        <w:t>Plánovací smlouva</w:t>
      </w:r>
      <w:r>
        <w:t>“), na základě které se Smluvní strany zavážou vzájemně spolupracovat za podmínek dohodnutých v rámci Plánovací smlouvy při výstavbě projektu multifunkční hokejové arény (dále jen „</w:t>
      </w:r>
      <w:r>
        <w:rPr>
          <w:b/>
          <w:bCs/>
        </w:rPr>
        <w:t>Investiční záměr</w:t>
      </w:r>
      <w:r>
        <w:t>“), který hodlá v lokalitě „Nová Cihelna“ realizovat Investor;</w:t>
      </w:r>
    </w:p>
    <w:p w14:paraId="67EB20A3" w14:textId="77777777" w:rsidR="00EC1C40" w:rsidRDefault="00000000">
      <w:pPr>
        <w:pStyle w:val="Zkladntext1"/>
        <w:framePr w:w="9120" w:h="13546" w:hRule="exact" w:wrap="none" w:vAnchor="page" w:hAnchor="page" w:x="1378" w:y="1940"/>
        <w:numPr>
          <w:ilvl w:val="0"/>
          <w:numId w:val="26"/>
        </w:numPr>
        <w:tabs>
          <w:tab w:val="left" w:pos="557"/>
        </w:tabs>
        <w:spacing w:after="120"/>
        <w:ind w:left="580" w:hanging="580"/>
        <w:jc w:val="both"/>
      </w:pPr>
      <w:r>
        <w:t>K efektivní realizaci Investičního záměru uvedeného v písm. (C) preambule je nezbytné směnit Pozemky, a to v souladu s podmínkami sjednanými v této Smlouvě;</w:t>
      </w:r>
    </w:p>
    <w:p w14:paraId="424FF6CA" w14:textId="77777777" w:rsidR="00EC1C40" w:rsidRDefault="00000000">
      <w:pPr>
        <w:pStyle w:val="Zkladntext1"/>
        <w:framePr w:w="9120" w:h="13546" w:hRule="exact" w:wrap="none" w:vAnchor="page" w:hAnchor="page" w:x="1378" w:y="1940"/>
        <w:numPr>
          <w:ilvl w:val="0"/>
          <w:numId w:val="26"/>
        </w:numPr>
        <w:tabs>
          <w:tab w:val="left" w:pos="557"/>
          <w:tab w:val="left" w:pos="557"/>
        </w:tabs>
        <w:spacing w:after="0"/>
      </w:pPr>
      <w:r>
        <w:t>Smluvní strany uzavírají spolu s touto Smlouvou mezi sebou dále dohodu o úpravě vztahů (dále</w:t>
      </w:r>
    </w:p>
    <w:p w14:paraId="10BB7A9A" w14:textId="77777777" w:rsidR="00EC1C40" w:rsidRDefault="00000000">
      <w:pPr>
        <w:pStyle w:val="Zkladntext1"/>
        <w:framePr w:w="9120" w:h="13546" w:hRule="exact" w:wrap="none" w:vAnchor="page" w:hAnchor="page" w:x="1378" w:y="1940"/>
        <w:spacing w:after="120"/>
        <w:ind w:left="580"/>
        <w:jc w:val="both"/>
      </w:pPr>
      <w:r>
        <w:t>jen „</w:t>
      </w:r>
      <w:r>
        <w:rPr>
          <w:b/>
          <w:bCs/>
        </w:rPr>
        <w:t>Dohoda o úpravě vztahů</w:t>
      </w:r>
      <w:r>
        <w:t xml:space="preserve">“), v rámci které Smluvní strany sjednávají práva a povinnosti týkající se (i) Skládky </w:t>
      </w:r>
      <w:r>
        <w:rPr>
          <w:i/>
          <w:iCs/>
        </w:rPr>
        <w:t>(jak je tento pojem definován v Plánovací smlouvě)</w:t>
      </w:r>
      <w:r>
        <w:t xml:space="preserve"> nacházející se v lokalitě „Nová Cihelna“ a dále (</w:t>
      </w:r>
      <w:proofErr w:type="spellStart"/>
      <w:r>
        <w:t>ii</w:t>
      </w:r>
      <w:proofErr w:type="spellEnd"/>
      <w:r>
        <w:t xml:space="preserve">) procesu Odstranění odpadů a znečištění </w:t>
      </w:r>
      <w:r>
        <w:rPr>
          <w:i/>
          <w:iCs/>
        </w:rPr>
        <w:t>(jak je tento pojem definován v Plánovací smlouvě)</w:t>
      </w:r>
      <w:r>
        <w:t>;</w:t>
      </w:r>
    </w:p>
    <w:p w14:paraId="035B29E9" w14:textId="77777777" w:rsidR="00EC1C40" w:rsidRDefault="00000000">
      <w:pPr>
        <w:pStyle w:val="Zkladntext1"/>
        <w:framePr w:w="9120" w:h="13546" w:hRule="exact" w:wrap="none" w:vAnchor="page" w:hAnchor="page" w:x="1378" w:y="1940"/>
        <w:spacing w:after="120"/>
      </w:pPr>
      <w:r>
        <w:rPr>
          <w:b/>
          <w:bCs/>
        </w:rPr>
        <w:t>DOHODLY SE SMLUVNÍ STRANY NA NÁSLEDUJÍCÍM:</w:t>
      </w:r>
    </w:p>
    <w:p w14:paraId="5B637974" w14:textId="77777777" w:rsidR="00EC1C40" w:rsidRDefault="00000000">
      <w:pPr>
        <w:pStyle w:val="Nadpis60"/>
        <w:framePr w:w="9120" w:h="13546" w:hRule="exact" w:wrap="none" w:vAnchor="page" w:hAnchor="page" w:x="1378" w:y="1940"/>
        <w:numPr>
          <w:ilvl w:val="0"/>
          <w:numId w:val="27"/>
        </w:numPr>
        <w:tabs>
          <w:tab w:val="left" w:pos="557"/>
        </w:tabs>
        <w:spacing w:after="120"/>
      </w:pPr>
      <w:bookmarkStart w:id="56" w:name="bookmark113"/>
      <w:r>
        <w:t>Úvodní ustanovení</w:t>
      </w:r>
      <w:bookmarkEnd w:id="56"/>
    </w:p>
    <w:p w14:paraId="12373E9F" w14:textId="77777777" w:rsidR="00EC1C40" w:rsidRDefault="00000000">
      <w:pPr>
        <w:pStyle w:val="Zkladntext1"/>
        <w:framePr w:w="9120" w:h="13546" w:hRule="exact" w:wrap="none" w:vAnchor="page" w:hAnchor="page" w:x="1378" w:y="1940"/>
        <w:numPr>
          <w:ilvl w:val="1"/>
          <w:numId w:val="27"/>
        </w:numPr>
        <w:tabs>
          <w:tab w:val="left" w:pos="557"/>
        </w:tabs>
        <w:spacing w:after="120"/>
      </w:pPr>
      <w:r>
        <w:t>Preambule a přílohy tvoří nedílnou součást této Smlouvy.</w:t>
      </w:r>
    </w:p>
    <w:p w14:paraId="6C6A0751" w14:textId="77777777" w:rsidR="00EC1C40" w:rsidRDefault="00000000">
      <w:pPr>
        <w:pStyle w:val="Zkladntext1"/>
        <w:framePr w:w="9120" w:h="13546" w:hRule="exact" w:wrap="none" w:vAnchor="page" w:hAnchor="page" w:x="1378" w:y="1940"/>
        <w:numPr>
          <w:ilvl w:val="1"/>
          <w:numId w:val="27"/>
        </w:numPr>
        <w:tabs>
          <w:tab w:val="left" w:pos="557"/>
        </w:tabs>
        <w:spacing w:after="120"/>
        <w:ind w:left="580" w:hanging="580"/>
        <w:jc w:val="both"/>
      </w:pPr>
      <w:r>
        <w:t>Odkazuje-li tato Smlouva na určitý právní předpis, nebo určité ustanovení v právním předpisu, zahrnuje takový odkaz i odkaz na právní předpis, popřípadě ustanovení právního předpisu, který jej kdykoli v budoucnu nahradí.</w:t>
      </w:r>
    </w:p>
    <w:p w14:paraId="3AA7990D" w14:textId="77777777" w:rsidR="00EC1C40" w:rsidRDefault="00000000">
      <w:pPr>
        <w:pStyle w:val="Zkladntext1"/>
        <w:framePr w:w="9120" w:h="13546" w:hRule="exact" w:wrap="none" w:vAnchor="page" w:hAnchor="page" w:x="1378" w:y="1940"/>
        <w:numPr>
          <w:ilvl w:val="1"/>
          <w:numId w:val="27"/>
        </w:numPr>
        <w:tabs>
          <w:tab w:val="left" w:pos="557"/>
        </w:tabs>
        <w:spacing w:after="120"/>
        <w:ind w:left="580" w:hanging="580"/>
        <w:jc w:val="both"/>
      </w:pPr>
      <w:r>
        <w:t>Smluvní strany prohlašují, že si v rámci probíhajících jednání o této Smlouvě v maximální možné míře vyjasnily obsah a význam výrazů a pojmů použitých v této Smlouvě, a že v případě jakýchkoli pochybností o přesném významu takového výrazu si Smluvní strany tento nejasný či nepřesný význam výrazu použitého v této Smlouvě nechaly náležitým způsobem vysvětlit.</w:t>
      </w:r>
    </w:p>
    <w:p w14:paraId="4AA74D7B" w14:textId="77777777" w:rsidR="00EC1C40" w:rsidRDefault="00000000">
      <w:pPr>
        <w:pStyle w:val="Zkladntext1"/>
        <w:framePr w:w="9120" w:h="13546" w:hRule="exact" w:wrap="none" w:vAnchor="page" w:hAnchor="page" w:x="1378" w:y="1940"/>
        <w:numPr>
          <w:ilvl w:val="1"/>
          <w:numId w:val="27"/>
        </w:numPr>
        <w:tabs>
          <w:tab w:val="left" w:pos="557"/>
        </w:tabs>
        <w:spacing w:after="120"/>
        <w:ind w:left="580" w:hanging="580"/>
        <w:jc w:val="both"/>
      </w:pPr>
      <w:r>
        <w:t>Kdekoli se v této Smlouvě stanoví právo či povinnost některé ze Smluvních stran, má se tím na mysli i její právní nástupce (nástupci), ať na základě singulární či univerzální sukcese.</w:t>
      </w:r>
    </w:p>
    <w:p w14:paraId="0F5445A6" w14:textId="77777777" w:rsidR="00EC1C40" w:rsidRDefault="00000000">
      <w:pPr>
        <w:pStyle w:val="Nadpis60"/>
        <w:framePr w:w="9120" w:h="13546" w:hRule="exact" w:wrap="none" w:vAnchor="page" w:hAnchor="page" w:x="1378" w:y="1940"/>
        <w:numPr>
          <w:ilvl w:val="0"/>
          <w:numId w:val="27"/>
        </w:numPr>
        <w:tabs>
          <w:tab w:val="left" w:pos="557"/>
        </w:tabs>
        <w:spacing w:after="120"/>
      </w:pPr>
      <w:bookmarkStart w:id="57" w:name="bookmark115"/>
      <w:r>
        <w:t>Předmět Smlouvy</w:t>
      </w:r>
      <w:bookmarkEnd w:id="57"/>
    </w:p>
    <w:p w14:paraId="2F009C3D" w14:textId="77777777" w:rsidR="00EC1C40" w:rsidRDefault="00000000">
      <w:pPr>
        <w:pStyle w:val="Zkladntext1"/>
        <w:framePr w:w="9120" w:h="13546" w:hRule="exact" w:wrap="none" w:vAnchor="page" w:hAnchor="page" w:x="1378" w:y="1940"/>
        <w:numPr>
          <w:ilvl w:val="1"/>
          <w:numId w:val="27"/>
        </w:numPr>
        <w:tabs>
          <w:tab w:val="left" w:pos="557"/>
        </w:tabs>
        <w:spacing w:after="0"/>
      </w:pPr>
      <w:r>
        <w:t>Investor prohlašuje, že je výlučným vlastníkem následující nemovité věci:</w:t>
      </w:r>
    </w:p>
    <w:p w14:paraId="4576AD12" w14:textId="77777777" w:rsidR="00EC1C40" w:rsidRDefault="00000000">
      <w:pPr>
        <w:pStyle w:val="Zhlavnebozpat0"/>
        <w:framePr w:w="451" w:h="288" w:hRule="exact" w:wrap="none" w:vAnchor="page" w:hAnchor="page" w:x="5717" w:y="16085"/>
        <w:jc w:val="center"/>
        <w:rPr>
          <w:sz w:val="22"/>
          <w:szCs w:val="22"/>
        </w:rPr>
      </w:pPr>
      <w:r>
        <w:rPr>
          <w:color w:val="231E20"/>
          <w:sz w:val="22"/>
          <w:szCs w:val="22"/>
        </w:rPr>
        <w:t>2/12</w:t>
      </w:r>
    </w:p>
    <w:p w14:paraId="74DA6E5E"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7AC8FC63" w14:textId="77777777" w:rsidR="00EC1C40" w:rsidRDefault="00000000">
      <w:pPr>
        <w:spacing w:line="1" w:lineRule="exact"/>
      </w:pPr>
      <w:r>
        <w:rPr>
          <w:noProof/>
        </w:rPr>
        <w:lastRenderedPageBreak/>
        <mc:AlternateContent>
          <mc:Choice Requires="wps">
            <w:drawing>
              <wp:anchor distT="0" distB="0" distL="114300" distR="114300" simplePos="0" relativeHeight="251670016" behindDoc="1" locked="0" layoutInCell="1" allowOverlap="1" wp14:anchorId="1AEBF83E" wp14:editId="699F35C4">
                <wp:simplePos x="0" y="0"/>
                <wp:positionH relativeFrom="page">
                  <wp:posOffset>944880</wp:posOffset>
                </wp:positionH>
                <wp:positionV relativeFrom="page">
                  <wp:posOffset>932180</wp:posOffset>
                </wp:positionV>
                <wp:extent cx="5702300" cy="0"/>
                <wp:effectExtent l="0" t="0" r="0" b="0"/>
                <wp:wrapNone/>
                <wp:docPr id="87" name="Shape 87"/>
                <wp:cNvGraphicFramePr/>
                <a:graphic xmlns:a="http://schemas.openxmlformats.org/drawingml/2006/main">
                  <a:graphicData uri="http://schemas.microsoft.com/office/word/2010/wordprocessingShape">
                    <wps:wsp>
                      <wps:cNvCnPr/>
                      <wps:spPr>
                        <a:xfrm>
                          <a:off x="0" y="0"/>
                          <a:ext cx="5702300" cy="0"/>
                        </a:xfrm>
                        <a:prstGeom prst="straightConnector1">
                          <a:avLst/>
                        </a:prstGeom>
                        <a:ln w="6350">
                          <a:solidFill/>
                        </a:ln>
                      </wps:spPr>
                      <wps:bodyPr/>
                    </wps:wsp>
                  </a:graphicData>
                </a:graphic>
              </wp:anchor>
            </w:drawing>
          </mc:Choice>
          <mc:Fallback>
            <w:pict>
              <v:shape o:spt="32" o:oned="true" path="m,l21600,21600e" style="position:absolute;margin-left:74.400000000000006pt;margin-top:73.400000000000006pt;width:449.pt;height:0;z-index:-251658240;mso-position-horizontal-relative:page;mso-position-vertical-relative:page">
                <v:stroke weight="0.5pt"/>
              </v:shape>
            </w:pict>
          </mc:Fallback>
        </mc:AlternateContent>
      </w:r>
    </w:p>
    <w:p w14:paraId="0B876611" w14:textId="77777777" w:rsidR="00EC1C40" w:rsidRDefault="00000000">
      <w:pPr>
        <w:pStyle w:val="Zhlavnebozpat0"/>
        <w:framePr w:w="1286" w:h="240" w:hRule="exact" w:wrap="none" w:vAnchor="page" w:hAnchor="page" w:x="5338" w:y="1186"/>
        <w:jc w:val="center"/>
      </w:pPr>
      <w:r>
        <w:t>Směnná smlouva</w:t>
      </w:r>
    </w:p>
    <w:p w14:paraId="646356A4" w14:textId="77777777" w:rsidR="00EC1C40" w:rsidRDefault="00000000">
      <w:pPr>
        <w:pStyle w:val="Zkladntext1"/>
        <w:framePr w:w="9120" w:h="13214" w:hRule="exact" w:wrap="none" w:vAnchor="page" w:hAnchor="page" w:x="1378" w:y="1940"/>
        <w:numPr>
          <w:ilvl w:val="2"/>
          <w:numId w:val="27"/>
        </w:numPr>
        <w:tabs>
          <w:tab w:val="left" w:pos="1291"/>
        </w:tabs>
        <w:ind w:firstLine="580"/>
        <w:jc w:val="both"/>
      </w:pPr>
      <w:r>
        <w:t xml:space="preserve">pozemku </w:t>
      </w:r>
      <w:proofErr w:type="spellStart"/>
      <w:r>
        <w:t>parc</w:t>
      </w:r>
      <w:proofErr w:type="spellEnd"/>
      <w:r>
        <w:t>. č. 3684/1, o výměře 1496 m</w:t>
      </w:r>
      <w:r>
        <w:rPr>
          <w:vertAlign w:val="superscript"/>
        </w:rPr>
        <w:t>2</w:t>
      </w:r>
      <w:r>
        <w:t>, druh pozemku orná půda,</w:t>
      </w:r>
    </w:p>
    <w:p w14:paraId="51FFC1D2" w14:textId="77777777" w:rsidR="00EC1C40" w:rsidRDefault="00000000">
      <w:pPr>
        <w:pStyle w:val="Zkladntext1"/>
        <w:framePr w:w="9120" w:h="13214" w:hRule="exact" w:wrap="none" w:vAnchor="page" w:hAnchor="page" w:x="1378" w:y="1940"/>
        <w:ind w:firstLine="580"/>
        <w:jc w:val="both"/>
      </w:pPr>
      <w:r>
        <w:t xml:space="preserve">umístěného v </w:t>
      </w:r>
      <w:proofErr w:type="spellStart"/>
      <w:r>
        <w:t>k.ú</w:t>
      </w:r>
      <w:proofErr w:type="spellEnd"/>
      <w:r>
        <w:t>. Pardubice (dále jen „</w:t>
      </w:r>
      <w:r>
        <w:rPr>
          <w:b/>
          <w:bCs/>
        </w:rPr>
        <w:t>Pozemek Investora</w:t>
      </w:r>
      <w:r>
        <w:t>“).</w:t>
      </w:r>
    </w:p>
    <w:p w14:paraId="5BBB72E0" w14:textId="77777777" w:rsidR="00EC1C40" w:rsidRDefault="00000000">
      <w:pPr>
        <w:pStyle w:val="Zkladntext1"/>
        <w:framePr w:w="9120" w:h="13214" w:hRule="exact" w:wrap="none" w:vAnchor="page" w:hAnchor="page" w:x="1378" w:y="1940"/>
        <w:numPr>
          <w:ilvl w:val="1"/>
          <w:numId w:val="27"/>
        </w:numPr>
        <w:tabs>
          <w:tab w:val="left" w:pos="567"/>
        </w:tabs>
        <w:jc w:val="both"/>
      </w:pPr>
      <w:r>
        <w:t>SMP prohlašuje, že je výlučným vlastníkem následujících nemovitých věcí:</w:t>
      </w:r>
    </w:p>
    <w:p w14:paraId="4132D032" w14:textId="77777777" w:rsidR="00EC1C40" w:rsidRDefault="00000000">
      <w:pPr>
        <w:pStyle w:val="Zkladntext1"/>
        <w:framePr w:w="9120" w:h="13214" w:hRule="exact" w:wrap="none" w:vAnchor="page" w:hAnchor="page" w:x="1378" w:y="1940"/>
        <w:numPr>
          <w:ilvl w:val="2"/>
          <w:numId w:val="27"/>
        </w:numPr>
        <w:tabs>
          <w:tab w:val="left" w:pos="1291"/>
        </w:tabs>
        <w:ind w:firstLine="580"/>
        <w:jc w:val="both"/>
      </w:pPr>
      <w:r>
        <w:t xml:space="preserve">pozemku </w:t>
      </w:r>
      <w:proofErr w:type="spellStart"/>
      <w:r>
        <w:t>parc</w:t>
      </w:r>
      <w:proofErr w:type="spellEnd"/>
      <w:r>
        <w:t>. č. 1572/8, o výměře 46 m</w:t>
      </w:r>
      <w:r>
        <w:rPr>
          <w:vertAlign w:val="superscript"/>
        </w:rPr>
        <w:t>2</w:t>
      </w:r>
      <w:r>
        <w:t>, druh pozemku trvalý travní porost;</w:t>
      </w:r>
    </w:p>
    <w:p w14:paraId="5569D951" w14:textId="77777777" w:rsidR="00EC1C40" w:rsidRDefault="00000000">
      <w:pPr>
        <w:pStyle w:val="Zkladntext1"/>
        <w:framePr w:w="9120" w:h="13214" w:hRule="exact" w:wrap="none" w:vAnchor="page" w:hAnchor="page" w:x="1378" w:y="1940"/>
        <w:numPr>
          <w:ilvl w:val="2"/>
          <w:numId w:val="27"/>
        </w:numPr>
        <w:tabs>
          <w:tab w:val="left" w:pos="1291"/>
        </w:tabs>
        <w:ind w:firstLine="580"/>
        <w:jc w:val="both"/>
      </w:pPr>
      <w:r>
        <w:t xml:space="preserve">pozemku </w:t>
      </w:r>
      <w:proofErr w:type="spellStart"/>
      <w:r>
        <w:t>parc</w:t>
      </w:r>
      <w:proofErr w:type="spellEnd"/>
      <w:r>
        <w:t>. č. 1584/8, o výměře 1362 m</w:t>
      </w:r>
      <w:r>
        <w:rPr>
          <w:vertAlign w:val="superscript"/>
        </w:rPr>
        <w:t>2</w:t>
      </w:r>
      <w:r>
        <w:t>, druh pozemku trvalý travní porost;</w:t>
      </w:r>
    </w:p>
    <w:p w14:paraId="58C2D962" w14:textId="77777777" w:rsidR="00EC1C40" w:rsidRDefault="00000000">
      <w:pPr>
        <w:pStyle w:val="Zkladntext1"/>
        <w:framePr w:w="9120" w:h="13214" w:hRule="exact" w:wrap="none" w:vAnchor="page" w:hAnchor="page" w:x="1378" w:y="1940"/>
        <w:ind w:left="580"/>
        <w:jc w:val="both"/>
      </w:pPr>
      <w:r>
        <w:t xml:space="preserve">vše umístěno v </w:t>
      </w:r>
      <w:proofErr w:type="spellStart"/>
      <w:r>
        <w:t>k.ú</w:t>
      </w:r>
      <w:proofErr w:type="spellEnd"/>
      <w:r>
        <w:t>. Pardubice (dále jen „</w:t>
      </w:r>
      <w:r>
        <w:rPr>
          <w:b/>
          <w:bCs/>
        </w:rPr>
        <w:t>Pozemky SMP</w:t>
      </w:r>
      <w:r>
        <w:t>“; Pozemek Investora a Pozemky SMP společně dále jen „</w:t>
      </w:r>
      <w:r>
        <w:rPr>
          <w:b/>
          <w:bCs/>
        </w:rPr>
        <w:t>Pozemky</w:t>
      </w:r>
      <w:r>
        <w:t>“).</w:t>
      </w:r>
    </w:p>
    <w:p w14:paraId="461A6017" w14:textId="77777777" w:rsidR="00EC1C40" w:rsidRDefault="00000000">
      <w:pPr>
        <w:pStyle w:val="Zkladntext1"/>
        <w:framePr w:w="9120" w:h="13214" w:hRule="exact" w:wrap="none" w:vAnchor="page" w:hAnchor="page" w:x="1378" w:y="1940"/>
        <w:numPr>
          <w:ilvl w:val="1"/>
          <w:numId w:val="27"/>
        </w:numPr>
        <w:tabs>
          <w:tab w:val="left" w:pos="567"/>
        </w:tabs>
        <w:ind w:left="580" w:hanging="580"/>
        <w:jc w:val="both"/>
      </w:pPr>
      <w:r>
        <w:t>Smluvní strany touto Smlouvou vzájemně převádějí formou směny vlastnické právo k Pozemkům, a to následovně:</w:t>
      </w:r>
    </w:p>
    <w:p w14:paraId="7CE523E0" w14:textId="77777777" w:rsidR="00EC1C40" w:rsidRDefault="00000000">
      <w:pPr>
        <w:pStyle w:val="Zkladntext1"/>
        <w:framePr w:w="9120" w:h="13214" w:hRule="exact" w:wrap="none" w:vAnchor="page" w:hAnchor="page" w:x="1378" w:y="1940"/>
        <w:numPr>
          <w:ilvl w:val="2"/>
          <w:numId w:val="27"/>
        </w:numPr>
        <w:tabs>
          <w:tab w:val="left" w:pos="1291"/>
        </w:tabs>
        <w:ind w:left="1280" w:hanging="700"/>
        <w:jc w:val="both"/>
      </w:pPr>
      <w:r>
        <w:t>SMP za podmínek uvedených v této Smlouvě převádí na Investora vlastnické právo k Pozemkům SMP včetně všech jejich součástí a příslušenství a Investor za podmínek v této Smlouvě uvedených Pozemky SMP včetně všech jejich součástí a příslušenství přijímá a nabývá je do svého výlučného vlastnictví; a</w:t>
      </w:r>
    </w:p>
    <w:p w14:paraId="7D9E3A30" w14:textId="77777777" w:rsidR="00EC1C40" w:rsidRDefault="00000000">
      <w:pPr>
        <w:pStyle w:val="Zkladntext1"/>
        <w:framePr w:w="9120" w:h="13214" w:hRule="exact" w:wrap="none" w:vAnchor="page" w:hAnchor="page" w:x="1378" w:y="1940"/>
        <w:numPr>
          <w:ilvl w:val="2"/>
          <w:numId w:val="27"/>
        </w:numPr>
        <w:tabs>
          <w:tab w:val="left" w:pos="1291"/>
        </w:tabs>
        <w:ind w:left="1280" w:hanging="700"/>
        <w:jc w:val="both"/>
      </w:pPr>
      <w:r>
        <w:t>Investor za podmínek uvedených v této Smlouvě převádí na SMP vlastnické právo k Pozemku Investora včetně všech jeho součástí a příslušenství a SMP za podmínek v této Smlouvě uvedených Pozemek Investora včetně všech jeho součástí a příslušenství přijímá a nabývá jej do svého výlučného vlastnictví</w:t>
      </w:r>
    </w:p>
    <w:p w14:paraId="3A2B4058" w14:textId="77777777" w:rsidR="00EC1C40" w:rsidRDefault="00000000">
      <w:pPr>
        <w:pStyle w:val="Zkladntext1"/>
        <w:framePr w:w="9120" w:h="13214" w:hRule="exact" w:wrap="none" w:vAnchor="page" w:hAnchor="page" w:x="1378" w:y="1940"/>
        <w:ind w:firstLine="580"/>
        <w:jc w:val="both"/>
      </w:pPr>
      <w:r>
        <w:t>(společně dále jen „</w:t>
      </w:r>
      <w:r>
        <w:rPr>
          <w:b/>
          <w:bCs/>
        </w:rPr>
        <w:t>Směna</w:t>
      </w:r>
      <w:r>
        <w:t>“).</w:t>
      </w:r>
    </w:p>
    <w:p w14:paraId="28504204" w14:textId="77777777" w:rsidR="00EC1C40" w:rsidRDefault="00000000">
      <w:pPr>
        <w:pStyle w:val="Zkladntext1"/>
        <w:framePr w:w="9120" w:h="13214" w:hRule="exact" w:wrap="none" w:vAnchor="page" w:hAnchor="page" w:x="1378" w:y="1940"/>
        <w:numPr>
          <w:ilvl w:val="1"/>
          <w:numId w:val="27"/>
        </w:numPr>
        <w:tabs>
          <w:tab w:val="left" w:pos="567"/>
        </w:tabs>
        <w:ind w:left="580" w:hanging="580"/>
        <w:jc w:val="both"/>
      </w:pPr>
      <w:r>
        <w:t>Pozemky, které vstupují do Směny, byly oceněny na základě znaleckého posudku č. 010150/2025 (číslo posudku v evidenci znalce: 12/999/25) zpracovaného Ing. Michalem Koláčkem, znalcem, ze dne 3. 2. 2025 (dále jen „</w:t>
      </w:r>
      <w:r>
        <w:rPr>
          <w:b/>
          <w:bCs/>
        </w:rPr>
        <w:t>Znalecký posudek</w:t>
      </w:r>
      <w:r>
        <w:t>“), ze kterého vyplývá, že obvyklá cena Pozemku Investora činí 2.992.000,- Kč (slovy: dva miliony devět set devadesát dva tisíc korun českých). Obvyklá cena Pozemků SMP dle Znaleckého posudku činí 3.238.400,- Kč (slovy: tři miliony dvě stě třicet osm tisíc čtyři sta korun českých).</w:t>
      </w:r>
    </w:p>
    <w:p w14:paraId="2A016953" w14:textId="77777777" w:rsidR="00EC1C40" w:rsidRDefault="00000000">
      <w:pPr>
        <w:pStyle w:val="Zkladntext1"/>
        <w:framePr w:w="9120" w:h="13214" w:hRule="exact" w:wrap="none" w:vAnchor="page" w:hAnchor="page" w:x="1378" w:y="1940"/>
        <w:numPr>
          <w:ilvl w:val="1"/>
          <w:numId w:val="27"/>
        </w:numPr>
        <w:tabs>
          <w:tab w:val="left" w:pos="567"/>
        </w:tabs>
        <w:ind w:left="580" w:hanging="580"/>
        <w:jc w:val="both"/>
      </w:pPr>
      <w:r>
        <w:t>Smluvní strany vycházejí z toho, že Pozemky jsou předmětem DPH dle zákona č. 235/2004 Sb., o dani z přidané hodnoty, v platném znění. S ohledem na to bude činit finální výše hodnoty Pozemku Investora 3.620.320,- Kč vč. DPH a finální hodnota Pozemků SMP 3.918.464,- Kč vč. DPH. Rozdíl mezi těmito finálními hodnotami Pozemků ve výši 298.144,- Kč (dále jen „</w:t>
      </w:r>
      <w:r>
        <w:rPr>
          <w:b/>
          <w:bCs/>
        </w:rPr>
        <w:t>Doplatek</w:t>
      </w:r>
      <w:r>
        <w:t>“) uhradí Investor SMP, a to do jednoho (1) měsíce od podání návrhu na vklad vlastnického práva dle této Smlouvy do katastru nemovitostí. Smluvní strany vystaví a zašlou druhé Smluvní straně příslušné daňové doklady.</w:t>
      </w:r>
    </w:p>
    <w:p w14:paraId="13324EC6" w14:textId="77777777" w:rsidR="00EC1C40" w:rsidRDefault="00000000">
      <w:pPr>
        <w:pStyle w:val="Zkladntext1"/>
        <w:framePr w:w="9120" w:h="13214" w:hRule="exact" w:wrap="none" w:vAnchor="page" w:hAnchor="page" w:x="1378" w:y="1940"/>
        <w:numPr>
          <w:ilvl w:val="1"/>
          <w:numId w:val="27"/>
        </w:numPr>
        <w:tabs>
          <w:tab w:val="left" w:pos="567"/>
        </w:tabs>
        <w:spacing w:line="233" w:lineRule="auto"/>
        <w:ind w:left="580" w:hanging="580"/>
        <w:jc w:val="both"/>
      </w:pPr>
      <w:r>
        <w:t>V případě prodlení Investora s úhradou Doplatku vzniká SMP nárok na úrok z prodlení ve výši 0,05 % z dlužné částky za každý den prodlení.</w:t>
      </w:r>
    </w:p>
    <w:p w14:paraId="0C04CF8F" w14:textId="77777777" w:rsidR="00EC1C40" w:rsidRDefault="00000000">
      <w:pPr>
        <w:pStyle w:val="Nadpis60"/>
        <w:framePr w:w="9120" w:h="13214" w:hRule="exact" w:wrap="none" w:vAnchor="page" w:hAnchor="page" w:x="1378" w:y="1940"/>
        <w:numPr>
          <w:ilvl w:val="0"/>
          <w:numId w:val="27"/>
        </w:numPr>
        <w:tabs>
          <w:tab w:val="left" w:pos="567"/>
        </w:tabs>
        <w:jc w:val="both"/>
      </w:pPr>
      <w:bookmarkStart w:id="58" w:name="bookmark117"/>
      <w:r>
        <w:t>Vklad vlastnických práv do katastru u nemovitostí</w:t>
      </w:r>
      <w:bookmarkEnd w:id="58"/>
    </w:p>
    <w:p w14:paraId="2F9B5B52" w14:textId="77777777" w:rsidR="00EC1C40" w:rsidRDefault="00000000">
      <w:pPr>
        <w:pStyle w:val="Zkladntext1"/>
        <w:framePr w:w="9120" w:h="13214" w:hRule="exact" w:wrap="none" w:vAnchor="page" w:hAnchor="page" w:x="1378" w:y="1940"/>
        <w:numPr>
          <w:ilvl w:val="1"/>
          <w:numId w:val="27"/>
        </w:numPr>
        <w:tabs>
          <w:tab w:val="left" w:pos="567"/>
        </w:tabs>
        <w:ind w:left="580" w:hanging="580"/>
        <w:jc w:val="both"/>
      </w:pPr>
      <w:r>
        <w:t>Smluvní strany nabydou vlastnické právo k příslušným Pozemkům vkladem vlastnického práva do katastru nemovitostí.</w:t>
      </w:r>
    </w:p>
    <w:p w14:paraId="760B1F5E" w14:textId="77777777" w:rsidR="00EC1C40" w:rsidRDefault="00000000">
      <w:pPr>
        <w:pStyle w:val="Zkladntext1"/>
        <w:framePr w:w="9120" w:h="13214" w:hRule="exact" w:wrap="none" w:vAnchor="page" w:hAnchor="page" w:x="1378" w:y="1940"/>
        <w:numPr>
          <w:ilvl w:val="1"/>
          <w:numId w:val="27"/>
        </w:numPr>
        <w:tabs>
          <w:tab w:val="left" w:pos="567"/>
        </w:tabs>
        <w:ind w:left="580" w:hanging="580"/>
        <w:jc w:val="both"/>
      </w:pPr>
      <w:r>
        <w:t>Smluvní strany se dohodly, že náklady související s vkladem práv Smluvních stran do katastru nemovitostí (správní poplatek) nese Investor.</w:t>
      </w:r>
    </w:p>
    <w:p w14:paraId="23BF5D66" w14:textId="77777777" w:rsidR="00EC1C40" w:rsidRDefault="00000000">
      <w:pPr>
        <w:pStyle w:val="Zkladntext1"/>
        <w:framePr w:w="9120" w:h="13214" w:hRule="exact" w:wrap="none" w:vAnchor="page" w:hAnchor="page" w:x="1378" w:y="1940"/>
        <w:numPr>
          <w:ilvl w:val="1"/>
          <w:numId w:val="27"/>
        </w:numPr>
        <w:tabs>
          <w:tab w:val="left" w:pos="567"/>
        </w:tabs>
        <w:spacing w:after="0"/>
        <w:ind w:left="580" w:hanging="580"/>
        <w:jc w:val="both"/>
      </w:pPr>
      <w:r>
        <w:t>Návrh na vklad práv Smluvních stran k Pozemkům dle této Smlouvy společně s jedním (1) vyhotovením této Smlouvy bude na příslušný katastrální úřad podán Investorem, a to nejpozději do patnácti (15) dnů od nabytí účinnosti této Smlouvy. O podání návrhu na vklad do katastru nemovitostí dle tohoto článku Investor vyrozumí SMP.</w:t>
      </w:r>
    </w:p>
    <w:p w14:paraId="7F6EDC74" w14:textId="77777777" w:rsidR="00EC1C40" w:rsidRDefault="00000000">
      <w:pPr>
        <w:pStyle w:val="Zhlavnebozpat0"/>
        <w:framePr w:w="456" w:h="288" w:hRule="exact" w:wrap="none" w:vAnchor="page" w:hAnchor="page" w:x="5703" w:y="16085"/>
        <w:jc w:val="center"/>
        <w:rPr>
          <w:sz w:val="22"/>
          <w:szCs w:val="22"/>
        </w:rPr>
      </w:pPr>
      <w:r>
        <w:rPr>
          <w:color w:val="231E20"/>
          <w:sz w:val="22"/>
          <w:szCs w:val="22"/>
        </w:rPr>
        <w:t>3/12</w:t>
      </w:r>
    </w:p>
    <w:p w14:paraId="5B0C5C81"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04459F34" w14:textId="77777777" w:rsidR="00EC1C40" w:rsidRDefault="00000000">
      <w:pPr>
        <w:spacing w:line="1" w:lineRule="exact"/>
      </w:pPr>
      <w:r>
        <w:rPr>
          <w:noProof/>
        </w:rPr>
        <w:lastRenderedPageBreak/>
        <mc:AlternateContent>
          <mc:Choice Requires="wps">
            <w:drawing>
              <wp:anchor distT="0" distB="0" distL="114300" distR="114300" simplePos="0" relativeHeight="251671040" behindDoc="1" locked="0" layoutInCell="1" allowOverlap="1" wp14:anchorId="1BDE98D7" wp14:editId="459A3484">
                <wp:simplePos x="0" y="0"/>
                <wp:positionH relativeFrom="page">
                  <wp:posOffset>947420</wp:posOffset>
                </wp:positionH>
                <wp:positionV relativeFrom="page">
                  <wp:posOffset>932180</wp:posOffset>
                </wp:positionV>
                <wp:extent cx="5702935" cy="0"/>
                <wp:effectExtent l="0" t="0" r="0" b="0"/>
                <wp:wrapNone/>
                <wp:docPr id="88" name="Shape 88"/>
                <wp:cNvGraphicFramePr/>
                <a:graphic xmlns:a="http://schemas.openxmlformats.org/drawingml/2006/main">
                  <a:graphicData uri="http://schemas.microsoft.com/office/word/2010/wordprocessingShape">
                    <wps:wsp>
                      <wps:cNvCnPr/>
                      <wps:spPr>
                        <a:xfrm>
                          <a:off x="0" y="0"/>
                          <a:ext cx="5702935" cy="0"/>
                        </a:xfrm>
                        <a:prstGeom prst="straightConnector1">
                          <a:avLst/>
                        </a:prstGeom>
                        <a:ln w="6350">
                          <a:solidFill/>
                        </a:ln>
                      </wps:spPr>
                      <wps:bodyPr/>
                    </wps:wsp>
                  </a:graphicData>
                </a:graphic>
              </wp:anchor>
            </w:drawing>
          </mc:Choice>
          <mc:Fallback>
            <w:pict>
              <v:shape o:spt="32" o:oned="true" path="m,l21600,21600e" style="position:absolute;margin-left:74.600000000000009pt;margin-top:73.400000000000006pt;width:449.05000000000001pt;height:0;z-index:-251658240;mso-position-horizontal-relative:page;mso-position-vertical-relative:page">
                <v:stroke weight="0.5pt"/>
              </v:shape>
            </w:pict>
          </mc:Fallback>
        </mc:AlternateContent>
      </w:r>
    </w:p>
    <w:p w14:paraId="7DF9354D" w14:textId="77777777" w:rsidR="00EC1C40" w:rsidRDefault="00000000">
      <w:pPr>
        <w:pStyle w:val="Zhlavnebozpat0"/>
        <w:framePr w:w="1286" w:h="240" w:hRule="exact" w:wrap="none" w:vAnchor="page" w:hAnchor="page" w:x="5343" w:y="1186"/>
        <w:jc w:val="center"/>
      </w:pPr>
      <w:r>
        <w:t>Směnná smlouva</w:t>
      </w:r>
    </w:p>
    <w:p w14:paraId="5C7EB9A4" w14:textId="77777777" w:rsidR="00EC1C40" w:rsidRDefault="00000000">
      <w:pPr>
        <w:pStyle w:val="Zkladntext1"/>
        <w:framePr w:w="9120" w:h="13416" w:hRule="exact" w:wrap="none" w:vAnchor="page" w:hAnchor="page" w:x="1378" w:y="1940"/>
        <w:numPr>
          <w:ilvl w:val="1"/>
          <w:numId w:val="27"/>
        </w:numPr>
        <w:tabs>
          <w:tab w:val="left" w:pos="567"/>
        </w:tabs>
        <w:spacing w:after="120"/>
        <w:ind w:left="580" w:hanging="580"/>
        <w:jc w:val="both"/>
      </w:pPr>
      <w:r>
        <w:t xml:space="preserve">Smluvní strany se zavazují vynaložit veškeré rozumně </w:t>
      </w:r>
      <w:proofErr w:type="spellStart"/>
      <w:r>
        <w:t>požadovatelné</w:t>
      </w:r>
      <w:proofErr w:type="spellEnd"/>
      <w:r>
        <w:t xml:space="preserve"> úsilí a poskytnout si potřebnou součinnost s cílem zajistit povolení vkladu vlastnického práva Smluvních stran k Pozemkům dle této Smlouvy do katastru nemovitostí. Pokud by katastrálním úřadem byl návrh zamítnut, odmítnut či bylo řízení o něm zastaveno či přerušeno, popřípadě pokud bude kterékoli ze Smluvních stran doručena výzva k jeho opravě či doplnění (popřípadě opravě či doplnění této Smlouvy), zavazují se Smluvní strany, v závislosti na nastalé situaci, nejpozději do deseti (10) dnů od doručení takového rozhodnutí či výzvy katastrálního úřadu kterékoli Smluvní straně (i) uzavřít novou Smlouvu, která bude odpovídat plně účelu této Smlouvy a současně v maximální možné míře i obsahu a ujednáním obsaženým v této Smlouvě, pouze se zohledněním požadavků příslušného katastrálního úřadu pro provedení vkladu vlastnického práva dle této Smlouvy do katastru nemovitostí, popřípadě (</w:t>
      </w:r>
      <w:proofErr w:type="spellStart"/>
      <w:r>
        <w:t>ii</w:t>
      </w:r>
      <w:proofErr w:type="spellEnd"/>
      <w:r>
        <w:t>) k výzvě katastrálního úřadu tuto Smlouvu či návrh na vklad náležitě doplnit či opravit, a to vždy tak, aby vklad vlastnického práva k Pozemkům dle této Smlouvy do katastru nemovitostí byl řádně a co nejrychleji proveden.</w:t>
      </w:r>
    </w:p>
    <w:p w14:paraId="04A4AD5C" w14:textId="77777777" w:rsidR="00EC1C40" w:rsidRDefault="00000000">
      <w:pPr>
        <w:pStyle w:val="Nadpis60"/>
        <w:framePr w:w="9120" w:h="13416" w:hRule="exact" w:wrap="none" w:vAnchor="page" w:hAnchor="page" w:x="1378" w:y="1940"/>
        <w:numPr>
          <w:ilvl w:val="0"/>
          <w:numId w:val="27"/>
        </w:numPr>
        <w:tabs>
          <w:tab w:val="left" w:pos="567"/>
        </w:tabs>
        <w:spacing w:after="120"/>
        <w:jc w:val="both"/>
      </w:pPr>
      <w:bookmarkStart w:id="59" w:name="bookmark119"/>
      <w:r>
        <w:t>Předání Pozemků</w:t>
      </w:r>
      <w:bookmarkEnd w:id="59"/>
    </w:p>
    <w:p w14:paraId="3C9B61A9" w14:textId="77777777" w:rsidR="00EC1C40" w:rsidRDefault="00000000">
      <w:pPr>
        <w:pStyle w:val="Zkladntext1"/>
        <w:framePr w:w="9120" w:h="13416" w:hRule="exact" w:wrap="none" w:vAnchor="page" w:hAnchor="page" w:x="1378" w:y="1940"/>
        <w:numPr>
          <w:ilvl w:val="1"/>
          <w:numId w:val="27"/>
        </w:numPr>
        <w:tabs>
          <w:tab w:val="left" w:pos="567"/>
        </w:tabs>
        <w:spacing w:after="120" w:line="233" w:lineRule="auto"/>
        <w:ind w:left="580" w:hanging="580"/>
        <w:jc w:val="both"/>
      </w:pPr>
      <w:r>
        <w:t>Smluvní strany se dohodly, že k předání a převzetí Pozemků mezi Smluvními stranami dojde automaticky bez dalšího (tj. bez nutnosti sepisovat předávací protokol) následovně:</w:t>
      </w:r>
    </w:p>
    <w:p w14:paraId="2FFE75EC" w14:textId="77777777" w:rsidR="00EC1C40" w:rsidRDefault="00000000">
      <w:pPr>
        <w:pStyle w:val="Zkladntext1"/>
        <w:framePr w:w="9120" w:h="13416" w:hRule="exact" w:wrap="none" w:vAnchor="page" w:hAnchor="page" w:x="1378" w:y="1940"/>
        <w:numPr>
          <w:ilvl w:val="2"/>
          <w:numId w:val="27"/>
        </w:numPr>
        <w:tabs>
          <w:tab w:val="left" w:pos="1281"/>
        </w:tabs>
        <w:spacing w:after="120"/>
        <w:ind w:left="1280" w:hanging="700"/>
        <w:jc w:val="both"/>
      </w:pPr>
      <w:r>
        <w:t>SMP předá Pozemky SMP Investorovi k okamžiku podání návrhu na vklad vlastnického práva k Pozemkům SMP dle této Smlouvy do katastru nemovitostí;</w:t>
      </w:r>
    </w:p>
    <w:p w14:paraId="4FFEBD4B" w14:textId="77777777" w:rsidR="00EC1C40" w:rsidRDefault="00000000">
      <w:pPr>
        <w:pStyle w:val="Zkladntext1"/>
        <w:framePr w:w="9120" w:h="13416" w:hRule="exact" w:wrap="none" w:vAnchor="page" w:hAnchor="page" w:x="1378" w:y="1940"/>
        <w:numPr>
          <w:ilvl w:val="2"/>
          <w:numId w:val="27"/>
        </w:numPr>
        <w:tabs>
          <w:tab w:val="left" w:pos="1281"/>
        </w:tabs>
        <w:spacing w:after="120"/>
        <w:ind w:left="1280" w:hanging="700"/>
        <w:jc w:val="both"/>
      </w:pPr>
      <w:r>
        <w:t>Investor předá Pozemek Investora SMP okamžikem, kdy vznikne Investorovi právo užívat Pozemek Investora na základě výpůjčky zřízené na základě smlouvy o výpůjčce (či dodatku k ní) uzavřené mezi Investorem a SMP. Užívání Pozemku Investora na základě této Smlouvy a užívání Pozemku Investora na základě výpůjčky tak musí na sebe bezprostředně navazovat.</w:t>
      </w:r>
    </w:p>
    <w:p w14:paraId="7AB0C8EC" w14:textId="77777777" w:rsidR="00EC1C40" w:rsidRDefault="00000000">
      <w:pPr>
        <w:pStyle w:val="Zkladntext1"/>
        <w:framePr w:w="9120" w:h="13416" w:hRule="exact" w:wrap="none" w:vAnchor="page" w:hAnchor="page" w:x="1378" w:y="1940"/>
        <w:spacing w:after="120"/>
        <w:ind w:left="580"/>
        <w:jc w:val="both"/>
      </w:pPr>
      <w:r>
        <w:t>Od předání jednotlivých Pozemků dle tohoto čl. 4.1 Smlouvy jsou Smluvní strany oprávněny příslušné Pozemky užívat a na Smluvní strany rovněž přechází nebezpečí škody na věci a právo na plody a užitky. O předání a převzetí Pozemků mohou Smluvní strany sepsat předávací protokol, dohodnou-li se na tom.</w:t>
      </w:r>
    </w:p>
    <w:p w14:paraId="6B190E67" w14:textId="77777777" w:rsidR="00EC1C40" w:rsidRDefault="00000000">
      <w:pPr>
        <w:pStyle w:val="Nadpis60"/>
        <w:framePr w:w="9120" w:h="13416" w:hRule="exact" w:wrap="none" w:vAnchor="page" w:hAnchor="page" w:x="1378" w:y="1940"/>
        <w:numPr>
          <w:ilvl w:val="0"/>
          <w:numId w:val="27"/>
        </w:numPr>
        <w:tabs>
          <w:tab w:val="left" w:pos="567"/>
        </w:tabs>
        <w:spacing w:after="120"/>
        <w:jc w:val="both"/>
      </w:pPr>
      <w:bookmarkStart w:id="60" w:name="bookmark121"/>
      <w:r>
        <w:t>Prohlášení a záruky Smluvních stran</w:t>
      </w:r>
      <w:bookmarkEnd w:id="60"/>
    </w:p>
    <w:p w14:paraId="3B4A6B3F" w14:textId="77777777" w:rsidR="00EC1C40" w:rsidRDefault="00000000">
      <w:pPr>
        <w:pStyle w:val="Zkladntext1"/>
        <w:framePr w:w="9120" w:h="13416" w:hRule="exact" w:wrap="none" w:vAnchor="page" w:hAnchor="page" w:x="1378" w:y="1940"/>
        <w:numPr>
          <w:ilvl w:val="1"/>
          <w:numId w:val="27"/>
        </w:numPr>
        <w:tabs>
          <w:tab w:val="left" w:pos="567"/>
        </w:tabs>
        <w:spacing w:after="120"/>
        <w:jc w:val="both"/>
      </w:pPr>
      <w:r>
        <w:t>Investor tímto prohlašuje a ujišťuje SMP, že:</w:t>
      </w:r>
    </w:p>
    <w:p w14:paraId="31012408" w14:textId="77777777" w:rsidR="00EC1C40" w:rsidRDefault="00000000">
      <w:pPr>
        <w:pStyle w:val="Zkladntext1"/>
        <w:framePr w:w="9120" w:h="13416" w:hRule="exact" w:wrap="none" w:vAnchor="page" w:hAnchor="page" w:x="1378" w:y="1940"/>
        <w:numPr>
          <w:ilvl w:val="2"/>
          <w:numId w:val="27"/>
        </w:numPr>
        <w:tabs>
          <w:tab w:val="left" w:pos="1281"/>
        </w:tabs>
        <w:spacing w:after="120"/>
        <w:ind w:left="1280" w:hanging="700"/>
        <w:jc w:val="both"/>
      </w:pPr>
      <w:r>
        <w:t>je oprávněn k uzavření této Smlouvy a jakýchkoli dokumentů uzavíraných na základě této Smlouvy či v souvislosti s ní, jakož i k výkonu práv a plnění závazků vyplývajících z této Smlouvy nebo jakýchkoli dokumentů uzavíraných na základě či v souvislosti s ní, přičemž současně učinil veškeré úkony a přijal veškerá opatření nezbytná k tomu, aby mohl platně uzavřít a plnit tuto Smlouvu;</w:t>
      </w:r>
    </w:p>
    <w:p w14:paraId="13D02013" w14:textId="77777777" w:rsidR="00EC1C40" w:rsidRDefault="00000000">
      <w:pPr>
        <w:pStyle w:val="Zkladntext1"/>
        <w:framePr w:w="9120" w:h="13416" w:hRule="exact" w:wrap="none" w:vAnchor="page" w:hAnchor="page" w:x="1378" w:y="1940"/>
        <w:numPr>
          <w:ilvl w:val="2"/>
          <w:numId w:val="27"/>
        </w:numPr>
        <w:tabs>
          <w:tab w:val="left" w:pos="1281"/>
        </w:tabs>
        <w:spacing w:after="120"/>
        <w:ind w:left="1280" w:hanging="700"/>
        <w:jc w:val="both"/>
      </w:pPr>
      <w:r>
        <w:t>k uzavření a plnění této Smlouvy z jeho strany se nevyžaduje souhlas žádného orgánu veřejné moci, třetí osoby nebo jiného orgánu;</w:t>
      </w:r>
    </w:p>
    <w:p w14:paraId="326B3239" w14:textId="77777777" w:rsidR="00EC1C40" w:rsidRDefault="00000000">
      <w:pPr>
        <w:pStyle w:val="Zkladntext1"/>
        <w:framePr w:w="9120" w:h="13416" w:hRule="exact" w:wrap="none" w:vAnchor="page" w:hAnchor="page" w:x="1378" w:y="1940"/>
        <w:numPr>
          <w:ilvl w:val="2"/>
          <w:numId w:val="27"/>
        </w:numPr>
        <w:tabs>
          <w:tab w:val="left" w:pos="1281"/>
        </w:tabs>
        <w:spacing w:after="120"/>
        <w:ind w:left="1280" w:hanging="700"/>
        <w:jc w:val="both"/>
      </w:pPr>
      <w:r>
        <w:t>je výlučným vlastníkem Pozemku Investora včetně všech jeho součástí a příslušenství, jeho vlastnické právo není dotčeno žádnou změnou a nejsou mu ani známy žádné okolnosti, které by měly nebo mohly mít na existenci jeho vlastnického práva vliv, včetně zápisu poznámky spornosti či rozepře ve vztahu k Pozemku Investora, např. dle ustanovení § 985 a § 986 Občanského zákoníku. Vlastnické právo k Pozemku Investora není zpochybněno a ani takovéto zpochybnění nehrozí;</w:t>
      </w:r>
    </w:p>
    <w:p w14:paraId="55728CD2" w14:textId="77777777" w:rsidR="00EC1C40" w:rsidRDefault="00000000">
      <w:pPr>
        <w:pStyle w:val="Zkladntext1"/>
        <w:framePr w:w="9120" w:h="13416" w:hRule="exact" w:wrap="none" w:vAnchor="page" w:hAnchor="page" w:x="1378" w:y="1940"/>
        <w:numPr>
          <w:ilvl w:val="2"/>
          <w:numId w:val="27"/>
        </w:numPr>
        <w:tabs>
          <w:tab w:val="left" w:pos="1281"/>
        </w:tabs>
        <w:spacing w:after="0"/>
        <w:ind w:left="1280" w:hanging="700"/>
        <w:jc w:val="both"/>
      </w:pPr>
      <w:r>
        <w:t>není v úpadku ani hrozícím úpadku, nebylo proti němu zahájeno exekuční řízení, nebylo vůči němu vyhlášeno všeobecné moratorium či individuální moratorium dle zákona č. 284/2023 Sb., o preventivní restrukturalizaci, ve znění pozdějších předpisů, nebyl vůči</w:t>
      </w:r>
    </w:p>
    <w:p w14:paraId="26914582" w14:textId="77777777" w:rsidR="00EC1C40" w:rsidRDefault="00000000">
      <w:pPr>
        <w:pStyle w:val="Zhlavnebozpat0"/>
        <w:framePr w:w="461" w:h="288" w:hRule="exact" w:wrap="none" w:vAnchor="page" w:hAnchor="page" w:x="5703" w:y="16085"/>
        <w:jc w:val="center"/>
        <w:rPr>
          <w:sz w:val="22"/>
          <w:szCs w:val="22"/>
        </w:rPr>
      </w:pPr>
      <w:r>
        <w:rPr>
          <w:color w:val="231E20"/>
          <w:sz w:val="22"/>
          <w:szCs w:val="22"/>
        </w:rPr>
        <w:t>4/12</w:t>
      </w:r>
    </w:p>
    <w:p w14:paraId="2E245150"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42502FAC" w14:textId="77777777" w:rsidR="00EC1C40" w:rsidRDefault="00000000">
      <w:pPr>
        <w:spacing w:line="1" w:lineRule="exact"/>
      </w:pPr>
      <w:r>
        <w:rPr>
          <w:noProof/>
        </w:rPr>
        <w:lastRenderedPageBreak/>
        <mc:AlternateContent>
          <mc:Choice Requires="wps">
            <w:drawing>
              <wp:anchor distT="0" distB="0" distL="114300" distR="114300" simplePos="0" relativeHeight="251672064" behindDoc="1" locked="0" layoutInCell="1" allowOverlap="1" wp14:anchorId="47DD7F93" wp14:editId="1773F928">
                <wp:simplePos x="0" y="0"/>
                <wp:positionH relativeFrom="page">
                  <wp:posOffset>947420</wp:posOffset>
                </wp:positionH>
                <wp:positionV relativeFrom="page">
                  <wp:posOffset>932180</wp:posOffset>
                </wp:positionV>
                <wp:extent cx="5702935" cy="0"/>
                <wp:effectExtent l="0" t="0" r="0" b="0"/>
                <wp:wrapNone/>
                <wp:docPr id="89" name="Shape 89"/>
                <wp:cNvGraphicFramePr/>
                <a:graphic xmlns:a="http://schemas.openxmlformats.org/drawingml/2006/main">
                  <a:graphicData uri="http://schemas.microsoft.com/office/word/2010/wordprocessingShape">
                    <wps:wsp>
                      <wps:cNvCnPr/>
                      <wps:spPr>
                        <a:xfrm>
                          <a:off x="0" y="0"/>
                          <a:ext cx="5702935" cy="0"/>
                        </a:xfrm>
                        <a:prstGeom prst="straightConnector1">
                          <a:avLst/>
                        </a:prstGeom>
                        <a:ln w="6350">
                          <a:solidFill/>
                        </a:ln>
                      </wps:spPr>
                      <wps:bodyPr/>
                    </wps:wsp>
                  </a:graphicData>
                </a:graphic>
              </wp:anchor>
            </w:drawing>
          </mc:Choice>
          <mc:Fallback>
            <w:pict>
              <v:shape o:spt="32" o:oned="true" path="m,l21600,21600e" style="position:absolute;margin-left:74.600000000000009pt;margin-top:73.400000000000006pt;width:449.05000000000001pt;height:0;z-index:-251658240;mso-position-horizontal-relative:page;mso-position-vertical-relative:page">
                <v:stroke weight="0.5pt"/>
              </v:shape>
            </w:pict>
          </mc:Fallback>
        </mc:AlternateContent>
      </w:r>
    </w:p>
    <w:p w14:paraId="1941A983" w14:textId="77777777" w:rsidR="00EC1C40" w:rsidRDefault="00000000">
      <w:pPr>
        <w:pStyle w:val="Zhlavnebozpat0"/>
        <w:framePr w:w="1286" w:h="240" w:hRule="exact" w:wrap="none" w:vAnchor="page" w:hAnchor="page" w:x="5343" w:y="1186"/>
        <w:jc w:val="center"/>
      </w:pPr>
      <w:r>
        <w:t>Směnná smlouva</w:t>
      </w:r>
    </w:p>
    <w:p w14:paraId="0710B9C5" w14:textId="77777777" w:rsidR="00EC1C40" w:rsidRDefault="00000000">
      <w:pPr>
        <w:pStyle w:val="Zkladntext1"/>
        <w:framePr w:w="9120" w:h="13445" w:hRule="exact" w:wrap="none" w:vAnchor="page" w:hAnchor="page" w:x="1378" w:y="1940"/>
        <w:ind w:left="1280" w:firstLine="20"/>
        <w:jc w:val="both"/>
      </w:pPr>
      <w:r>
        <w:t>němu zahájen postup dle zákona č. 284/2023 Sb., o preventivní restrukturalizaci, ve znění pozdějších předpisů (např. zahájení preventivní restrukturalizace, zahájení restrukturalizačního řízení atp.), nebyl proti němu podán návrh na výkon rozhodnutí nebo jiný návrh s obdobnými účinky;</w:t>
      </w:r>
    </w:p>
    <w:p w14:paraId="27B3705E" w14:textId="77777777" w:rsidR="00EC1C40" w:rsidRDefault="00000000">
      <w:pPr>
        <w:pStyle w:val="Zkladntext1"/>
        <w:framePr w:w="9120" w:h="13445" w:hRule="exact" w:wrap="none" w:vAnchor="page" w:hAnchor="page" w:x="1378" w:y="1940"/>
        <w:numPr>
          <w:ilvl w:val="2"/>
          <w:numId w:val="27"/>
        </w:numPr>
        <w:tabs>
          <w:tab w:val="left" w:pos="1276"/>
        </w:tabs>
        <w:ind w:left="1280" w:hanging="700"/>
        <w:jc w:val="both"/>
      </w:pPr>
      <w:r>
        <w:t>Pozemek Investora není zatížen jakýmikoli věcnými či obligačními právy třetích osob, zejména ne právy zástavními, služebnostmi či věcnými břemeny, právy předkupními a nájemními, pachtovními či obdobnými právy a ani neexistují žádné smlouvy ani jiné skutečnosti, které by jakákoli práva třetích osob k těmto Pozemku Investora zakládaly. Spolu s převodem vlastnického práva k Pozemku Investora na SMP nepřejdou na SMP žádné dluhy; a</w:t>
      </w:r>
    </w:p>
    <w:p w14:paraId="29EA89A9" w14:textId="77777777" w:rsidR="00EC1C40" w:rsidRDefault="00000000">
      <w:pPr>
        <w:pStyle w:val="Zkladntext1"/>
        <w:framePr w:w="9120" w:h="13445" w:hRule="exact" w:wrap="none" w:vAnchor="page" w:hAnchor="page" w:x="1378" w:y="1940"/>
        <w:numPr>
          <w:ilvl w:val="2"/>
          <w:numId w:val="27"/>
        </w:numPr>
        <w:tabs>
          <w:tab w:val="left" w:pos="1276"/>
        </w:tabs>
        <w:ind w:left="1280" w:hanging="700"/>
        <w:jc w:val="both"/>
      </w:pPr>
      <w:r>
        <w:t>neprobíhají žádná řízení, zejména exekuční, správní či soudní, a to včetně trestního řízení, restitučního řízení, sporů před rozhodci nebo rozhodčími soudy, vztahující se jakkoli k Pozemku Investora, vyjma správních řízení a postupů týkajících se Investičního záměru a/nebo záměru sanace bývalé skládky komunálního odpadu na/v Pozemcích.</w:t>
      </w:r>
    </w:p>
    <w:p w14:paraId="25AFE51F" w14:textId="77777777" w:rsidR="00EC1C40" w:rsidRDefault="00000000">
      <w:pPr>
        <w:pStyle w:val="Zkladntext1"/>
        <w:framePr w:w="9120" w:h="13445" w:hRule="exact" w:wrap="none" w:vAnchor="page" w:hAnchor="page" w:x="1378" w:y="1940"/>
        <w:numPr>
          <w:ilvl w:val="1"/>
          <w:numId w:val="27"/>
        </w:numPr>
        <w:tabs>
          <w:tab w:val="left" w:pos="576"/>
        </w:tabs>
        <w:jc w:val="both"/>
      </w:pPr>
      <w:r>
        <w:t>SMP tímto prohlašuje a ujišťuje Investora, že:</w:t>
      </w:r>
    </w:p>
    <w:p w14:paraId="67F5B019" w14:textId="77777777" w:rsidR="00EC1C40" w:rsidRDefault="00000000">
      <w:pPr>
        <w:pStyle w:val="Zkladntext1"/>
        <w:framePr w:w="9120" w:h="13445" w:hRule="exact" w:wrap="none" w:vAnchor="page" w:hAnchor="page" w:x="1378" w:y="1940"/>
        <w:numPr>
          <w:ilvl w:val="2"/>
          <w:numId w:val="27"/>
        </w:numPr>
        <w:tabs>
          <w:tab w:val="left" w:pos="1276"/>
        </w:tabs>
        <w:ind w:left="1280" w:hanging="700"/>
        <w:jc w:val="both"/>
      </w:pPr>
      <w:r>
        <w:t>je oprávněno k uzavření této Smlouvy a jakýchkoli dokumentů uzavíraných na základě této Smlouvy či v souvislosti s ní, jakož i k výkonu práv a plnění závazků vyplývajících z této Smlouvy nebo jakýchkoli dokumentů uzavíraných na základě či v souvislosti s ní, přičemž současně učinilo veškeré úkony a přijalo veškerá opatření nezbytná k tomu, aby mohlo platně uzavřít a plnit tuto Smlouvu, včetně řádného zveřejnění záměru dle § 39 zákona č. 128/2000 Sb., o obcích (obecní zřízení), ve znění pozdějších předpisů a schválení uzavření a plnění této Smlouvy zastupitelstvem;</w:t>
      </w:r>
    </w:p>
    <w:p w14:paraId="5771A71E" w14:textId="77777777" w:rsidR="00EC1C40" w:rsidRDefault="00000000">
      <w:pPr>
        <w:pStyle w:val="Zkladntext1"/>
        <w:framePr w:w="9120" w:h="13445" w:hRule="exact" w:wrap="none" w:vAnchor="page" w:hAnchor="page" w:x="1378" w:y="1940"/>
        <w:numPr>
          <w:ilvl w:val="2"/>
          <w:numId w:val="27"/>
        </w:numPr>
        <w:tabs>
          <w:tab w:val="left" w:pos="1276"/>
        </w:tabs>
        <w:ind w:left="1280" w:hanging="700"/>
        <w:jc w:val="both"/>
      </w:pPr>
      <w:r>
        <w:t>v důsledku uzavření a plnění této Smlouvy nedojde k porušení či neplnění jakýchkoliv ujednání, dohod, rozhodnutí či právních předpisů, která se na něj nebo jakoukoli část jeho majetku vztahují;</w:t>
      </w:r>
    </w:p>
    <w:p w14:paraId="3E25034A" w14:textId="77777777" w:rsidR="00EC1C40" w:rsidRDefault="00000000">
      <w:pPr>
        <w:pStyle w:val="Zkladntext1"/>
        <w:framePr w:w="9120" w:h="13445" w:hRule="exact" w:wrap="none" w:vAnchor="page" w:hAnchor="page" w:x="1378" w:y="1940"/>
        <w:numPr>
          <w:ilvl w:val="2"/>
          <w:numId w:val="27"/>
        </w:numPr>
        <w:tabs>
          <w:tab w:val="left" w:pos="1276"/>
        </w:tabs>
        <w:ind w:left="1280" w:hanging="700"/>
        <w:jc w:val="both"/>
      </w:pPr>
      <w:r>
        <w:t>je výlučným vlastníkem Pozemků SMP včetně všech jejich součástí a příslušenství, jeho vlastnické právo není dotčeno žádnou změnou a nejsou mu ani známy žádné okolnosti, které by měly nebo mohly mít na existenci jeho vlastnického práva vliv, včetně zápisu poznámky spornosti či rozepře ve vztahu k Pozemkům SMP, např. dle ustanovení § 985 a § 986 Občanského zákoníku. Vlastnické právo není zpochybněno a ani takovéto zpochybnění nehrozí;</w:t>
      </w:r>
    </w:p>
    <w:p w14:paraId="2CFBFC1C" w14:textId="77777777" w:rsidR="00EC1C40" w:rsidRDefault="00000000">
      <w:pPr>
        <w:pStyle w:val="Zkladntext1"/>
        <w:framePr w:w="9120" w:h="13445" w:hRule="exact" w:wrap="none" w:vAnchor="page" w:hAnchor="page" w:x="1378" w:y="1940"/>
        <w:numPr>
          <w:ilvl w:val="2"/>
          <w:numId w:val="27"/>
        </w:numPr>
        <w:tabs>
          <w:tab w:val="left" w:pos="1276"/>
        </w:tabs>
        <w:ind w:left="1280" w:hanging="700"/>
        <w:jc w:val="both"/>
      </w:pPr>
      <w:r>
        <w:t>Pozemky SMP nejsou zatíženy jakýmikoli věcnými či obligačními právy třetích osob ani SMP, zejména ne právy zástavními, služebnostmi či věcnými břemeny, právy předkupními a nájemními, pachtovními či obdobnými právy a ani neexistují žádné smlouvy ani jiné skutečnosti, které by jakákoli věcná, závazková nebo jiná práva třetích osob k Pozemkům SMP zakládaly, a to vyjma:</w:t>
      </w:r>
    </w:p>
    <w:p w14:paraId="5A0389EC" w14:textId="77777777" w:rsidR="00EC1C40" w:rsidRDefault="00000000">
      <w:pPr>
        <w:pStyle w:val="Zkladntext1"/>
        <w:framePr w:w="9120" w:h="13445" w:hRule="exact" w:wrap="none" w:vAnchor="page" w:hAnchor="page" w:x="1378" w:y="1940"/>
        <w:ind w:left="1720" w:hanging="360"/>
        <w:jc w:val="both"/>
      </w:pPr>
      <w:r>
        <w:t xml:space="preserve">a. věcného břemene (podle listiny) zřizování a provozování zařízení distribuční soustavy, přetínání pozemku vodiči a umisťováním v něm vedení v rozsahu vymezeném geometrickým plánem č. 6896-194/2010, zřízeného na základě smlouvy o zřízení věcného břemene - úplatné ze dne 3. 9. 2013, ve prospěch společnosti ČEZ Distribuce, a. s., IČO: 247 29 035, se sídlem Teplická 874/8, Děčín IV-Podmokly, 405 02 Děčín, a do katastru nemovitostí zapsaného v rámci řízení vedeném Katastrálním úřadem pro Pardubický kraj, Katastrální pracoviště Pardubice, pod </w:t>
      </w:r>
      <w:proofErr w:type="spellStart"/>
      <w:r>
        <w:t>sp</w:t>
      </w:r>
      <w:proofErr w:type="spellEnd"/>
      <w:r>
        <w:t>. zn. V-6589/2013-606.</w:t>
      </w:r>
    </w:p>
    <w:p w14:paraId="54CF1513" w14:textId="77777777" w:rsidR="00EC1C40" w:rsidRDefault="00000000">
      <w:pPr>
        <w:pStyle w:val="Zkladntext1"/>
        <w:framePr w:w="9120" w:h="13445" w:hRule="exact" w:wrap="none" w:vAnchor="page" w:hAnchor="page" w:x="1378" w:y="1940"/>
        <w:numPr>
          <w:ilvl w:val="2"/>
          <w:numId w:val="27"/>
        </w:numPr>
        <w:tabs>
          <w:tab w:val="left" w:pos="1276"/>
        </w:tabs>
        <w:spacing w:after="0"/>
        <w:ind w:left="1280" w:hanging="700"/>
        <w:jc w:val="both"/>
      </w:pPr>
      <w:r>
        <w:t>Spolu s převodem vlastnického práva k Pozemkům SMP na Investora nepřejdou na Investora žádné dluhy; a</w:t>
      </w:r>
    </w:p>
    <w:p w14:paraId="27685AC9" w14:textId="77777777" w:rsidR="00EC1C40" w:rsidRDefault="00000000">
      <w:pPr>
        <w:pStyle w:val="Zhlavnebozpat0"/>
        <w:framePr w:w="456" w:h="288" w:hRule="exact" w:wrap="none" w:vAnchor="page" w:hAnchor="page" w:x="5708" w:y="16085"/>
        <w:jc w:val="center"/>
        <w:rPr>
          <w:sz w:val="22"/>
          <w:szCs w:val="22"/>
        </w:rPr>
      </w:pPr>
      <w:r>
        <w:rPr>
          <w:color w:val="231E20"/>
          <w:sz w:val="22"/>
          <w:szCs w:val="22"/>
        </w:rPr>
        <w:t>5/12</w:t>
      </w:r>
    </w:p>
    <w:p w14:paraId="696FA589"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7B2E74C6" w14:textId="77777777" w:rsidR="00EC1C40" w:rsidRDefault="00000000">
      <w:pPr>
        <w:spacing w:line="1" w:lineRule="exact"/>
      </w:pPr>
      <w:r>
        <w:rPr>
          <w:noProof/>
        </w:rPr>
        <w:lastRenderedPageBreak/>
        <mc:AlternateContent>
          <mc:Choice Requires="wps">
            <w:drawing>
              <wp:anchor distT="0" distB="0" distL="114300" distR="114300" simplePos="0" relativeHeight="251673088" behindDoc="1" locked="0" layoutInCell="1" allowOverlap="1" wp14:anchorId="572A2356" wp14:editId="069A6FBD">
                <wp:simplePos x="0" y="0"/>
                <wp:positionH relativeFrom="page">
                  <wp:posOffset>947420</wp:posOffset>
                </wp:positionH>
                <wp:positionV relativeFrom="page">
                  <wp:posOffset>932180</wp:posOffset>
                </wp:positionV>
                <wp:extent cx="5702935" cy="0"/>
                <wp:effectExtent l="0" t="0" r="0" b="0"/>
                <wp:wrapNone/>
                <wp:docPr id="90" name="Shape 90"/>
                <wp:cNvGraphicFramePr/>
                <a:graphic xmlns:a="http://schemas.openxmlformats.org/drawingml/2006/main">
                  <a:graphicData uri="http://schemas.microsoft.com/office/word/2010/wordprocessingShape">
                    <wps:wsp>
                      <wps:cNvCnPr/>
                      <wps:spPr>
                        <a:xfrm>
                          <a:off x="0" y="0"/>
                          <a:ext cx="5702935" cy="0"/>
                        </a:xfrm>
                        <a:prstGeom prst="straightConnector1">
                          <a:avLst/>
                        </a:prstGeom>
                        <a:ln w="6350">
                          <a:solidFill/>
                        </a:ln>
                      </wps:spPr>
                      <wps:bodyPr/>
                    </wps:wsp>
                  </a:graphicData>
                </a:graphic>
              </wp:anchor>
            </w:drawing>
          </mc:Choice>
          <mc:Fallback>
            <w:pict>
              <v:shape o:spt="32" o:oned="true" path="m,l21600,21600e" style="position:absolute;margin-left:74.600000000000009pt;margin-top:73.400000000000006pt;width:449.05000000000001pt;height:0;z-index:-251658240;mso-position-horizontal-relative:page;mso-position-vertical-relative:page">
                <v:stroke weight="0.5pt"/>
              </v:shape>
            </w:pict>
          </mc:Fallback>
        </mc:AlternateContent>
      </w:r>
    </w:p>
    <w:p w14:paraId="4042C15F" w14:textId="77777777" w:rsidR="00EC1C40" w:rsidRDefault="00000000">
      <w:pPr>
        <w:pStyle w:val="Zhlavnebozpat0"/>
        <w:framePr w:w="1286" w:h="240" w:hRule="exact" w:wrap="none" w:vAnchor="page" w:hAnchor="page" w:x="5343" w:y="1186"/>
        <w:jc w:val="center"/>
      </w:pPr>
      <w:r>
        <w:t>Směnná smlouva</w:t>
      </w:r>
    </w:p>
    <w:p w14:paraId="5C0133A6" w14:textId="77777777" w:rsidR="00EC1C40" w:rsidRDefault="00000000">
      <w:pPr>
        <w:pStyle w:val="Zkladntext1"/>
        <w:framePr w:w="9120" w:h="13416" w:hRule="exact" w:wrap="none" w:vAnchor="page" w:hAnchor="page" w:x="1378" w:y="1940"/>
        <w:numPr>
          <w:ilvl w:val="2"/>
          <w:numId w:val="27"/>
        </w:numPr>
        <w:tabs>
          <w:tab w:val="left" w:pos="1286"/>
        </w:tabs>
        <w:spacing w:after="120"/>
        <w:ind w:left="1300" w:hanging="720"/>
        <w:jc w:val="both"/>
      </w:pPr>
      <w:r>
        <w:t>neprobíhají žádná řízení, zejména, nikoli však výlučně, exekuční, správní či soudní, a to včetně trestního řízení, restitučního řízení, sporů před rozhodci nebo rozhodčími soudy, vztahující se jakkoli k Pozemkům SMP, vyjma správních řízení a postupů týkajících se Investičního záměru a/nebo záměru sanace bývalé skládky komunálního odpadu na/v Pozemcích zahájených ze strany Investora.</w:t>
      </w:r>
    </w:p>
    <w:p w14:paraId="352754DA" w14:textId="77777777" w:rsidR="00EC1C40" w:rsidRDefault="00000000">
      <w:pPr>
        <w:pStyle w:val="Zkladntext1"/>
        <w:framePr w:w="9120" w:h="13416" w:hRule="exact" w:wrap="none" w:vAnchor="page" w:hAnchor="page" w:x="1378" w:y="1940"/>
        <w:numPr>
          <w:ilvl w:val="1"/>
          <w:numId w:val="27"/>
        </w:numPr>
        <w:tabs>
          <w:tab w:val="left" w:pos="576"/>
        </w:tabs>
        <w:spacing w:after="120"/>
        <w:ind w:left="580" w:hanging="580"/>
        <w:jc w:val="both"/>
      </w:pPr>
      <w:r>
        <w:t>Smluvní strany prohlašují, že se seznámily se stavem směňovaných Pozemků, včetně skutečností uvedených ve výpisech z listů vlastnictví a/nebo uvedených v této Smlouvě, takto s ním souhlasí; tím nejsou dotčena prohlášení uvedená v této Smlouvě.</w:t>
      </w:r>
    </w:p>
    <w:p w14:paraId="40EEF81A" w14:textId="77777777" w:rsidR="00EC1C40" w:rsidRDefault="00000000">
      <w:pPr>
        <w:pStyle w:val="Zkladntext1"/>
        <w:framePr w:w="9120" w:h="13416" w:hRule="exact" w:wrap="none" w:vAnchor="page" w:hAnchor="page" w:x="1378" w:y="1940"/>
        <w:numPr>
          <w:ilvl w:val="1"/>
          <w:numId w:val="27"/>
        </w:numPr>
        <w:tabs>
          <w:tab w:val="left" w:pos="576"/>
        </w:tabs>
        <w:spacing w:after="120"/>
        <w:ind w:left="580" w:hanging="580"/>
        <w:jc w:val="both"/>
      </w:pPr>
      <w:r>
        <w:t>Smluvní strany se zavazují, že od okamžiku uzavření této Smlouvy do okamžiku povolení vkladu vlastnických práv k Pozemkům dle této Smlouvy do katastru nemovitostí bez předchozího souhlasu druhé Smluvní strany Pozemky (či jejich kteroukoli část):</w:t>
      </w:r>
    </w:p>
    <w:p w14:paraId="2AB0CD2C" w14:textId="77777777" w:rsidR="00EC1C40" w:rsidRDefault="00000000">
      <w:pPr>
        <w:pStyle w:val="Zkladntext1"/>
        <w:framePr w:w="9120" w:h="13416" w:hRule="exact" w:wrap="none" w:vAnchor="page" w:hAnchor="page" w:x="1378" w:y="1940"/>
        <w:numPr>
          <w:ilvl w:val="2"/>
          <w:numId w:val="27"/>
        </w:numPr>
        <w:tabs>
          <w:tab w:val="left" w:pos="1286"/>
        </w:tabs>
        <w:spacing w:after="120"/>
        <w:ind w:left="1300" w:hanging="720"/>
        <w:jc w:val="both"/>
      </w:pPr>
      <w:r>
        <w:t>nezcizí (tj. nepřevedou k nim vlastnické právo), bez ohledu na to, zda se jedná o úplatné či bezúplatné zcizení;</w:t>
      </w:r>
    </w:p>
    <w:p w14:paraId="5BBBCEA6" w14:textId="77777777" w:rsidR="00EC1C40" w:rsidRDefault="00000000">
      <w:pPr>
        <w:pStyle w:val="Zkladntext1"/>
        <w:framePr w:w="9120" w:h="13416" w:hRule="exact" w:wrap="none" w:vAnchor="page" w:hAnchor="page" w:x="1378" w:y="1940"/>
        <w:numPr>
          <w:ilvl w:val="2"/>
          <w:numId w:val="27"/>
        </w:numPr>
        <w:tabs>
          <w:tab w:val="left" w:pos="1286"/>
        </w:tabs>
        <w:spacing w:after="120"/>
        <w:ind w:left="1300" w:hanging="720"/>
        <w:jc w:val="both"/>
      </w:pPr>
      <w:r>
        <w:t>nezatíží jakýmkoli právním zatížením, zejména jakýmkoli právem, ať právem věcným či závazkovým, ledaže se jedná o zřízení výpůjčky k Pozemku Investora ve prospěch Investora, na základě smlouvy o výpůjčce (či dodatku k ní); a</w:t>
      </w:r>
    </w:p>
    <w:p w14:paraId="4EF3A2F3" w14:textId="77777777" w:rsidR="00EC1C40" w:rsidRDefault="00000000">
      <w:pPr>
        <w:pStyle w:val="Zkladntext1"/>
        <w:framePr w:w="9120" w:h="13416" w:hRule="exact" w:wrap="none" w:vAnchor="page" w:hAnchor="page" w:x="1378" w:y="1940"/>
        <w:numPr>
          <w:ilvl w:val="2"/>
          <w:numId w:val="27"/>
        </w:numPr>
        <w:tabs>
          <w:tab w:val="left" w:pos="1286"/>
        </w:tabs>
        <w:spacing w:after="120"/>
        <w:ind w:firstLine="580"/>
        <w:jc w:val="both"/>
      </w:pPr>
      <w:r>
        <w:t>se zdrží úkonů, které by byly způsobilé zmařit účel této Smlouvy.</w:t>
      </w:r>
    </w:p>
    <w:p w14:paraId="73BF2CA6" w14:textId="77777777" w:rsidR="00EC1C40" w:rsidRDefault="00000000">
      <w:pPr>
        <w:pStyle w:val="Zkladntext1"/>
        <w:framePr w:w="9120" w:h="13416" w:hRule="exact" w:wrap="none" w:vAnchor="page" w:hAnchor="page" w:x="1378" w:y="1940"/>
        <w:numPr>
          <w:ilvl w:val="1"/>
          <w:numId w:val="27"/>
        </w:numPr>
        <w:tabs>
          <w:tab w:val="left" w:pos="576"/>
        </w:tabs>
        <w:spacing w:after="120"/>
        <w:jc w:val="both"/>
      </w:pPr>
      <w:r>
        <w:t>Smluvní strany prohlašují a potvrzují si, že:</w:t>
      </w:r>
    </w:p>
    <w:p w14:paraId="0820DD7C" w14:textId="77777777" w:rsidR="00EC1C40" w:rsidRDefault="00000000">
      <w:pPr>
        <w:pStyle w:val="Zkladntext1"/>
        <w:framePr w:w="9120" w:h="13416" w:hRule="exact" w:wrap="none" w:vAnchor="page" w:hAnchor="page" w:x="1378" w:y="1940"/>
        <w:numPr>
          <w:ilvl w:val="2"/>
          <w:numId w:val="27"/>
        </w:numPr>
        <w:tabs>
          <w:tab w:val="left" w:pos="1286"/>
        </w:tabs>
        <w:spacing w:after="120"/>
        <w:ind w:left="1300" w:hanging="720"/>
        <w:jc w:val="both"/>
      </w:pPr>
      <w:r>
        <w:t xml:space="preserve">jsou si plně vědomy skutečnosti, že Pozemky jsou (mohou být) zatíženy historickou ekologickou zátěží v podobě Skládky </w:t>
      </w:r>
      <w:r>
        <w:rPr>
          <w:i/>
          <w:iCs/>
        </w:rPr>
        <w:t>(jak je tento pojem definován v Plánovací smlouvě)</w:t>
      </w:r>
      <w:r>
        <w:t>; a</w:t>
      </w:r>
    </w:p>
    <w:p w14:paraId="6FDD9737" w14:textId="77777777" w:rsidR="00EC1C40" w:rsidRDefault="00000000">
      <w:pPr>
        <w:pStyle w:val="Zkladntext1"/>
        <w:framePr w:w="9120" w:h="13416" w:hRule="exact" w:wrap="none" w:vAnchor="page" w:hAnchor="page" w:x="1378" w:y="1940"/>
        <w:numPr>
          <w:ilvl w:val="2"/>
          <w:numId w:val="27"/>
        </w:numPr>
        <w:tabs>
          <w:tab w:val="left" w:pos="1286"/>
        </w:tabs>
        <w:spacing w:after="120"/>
        <w:ind w:left="1300" w:hanging="720"/>
        <w:jc w:val="both"/>
      </w:pPr>
      <w:r>
        <w:t>byly řádně seznámeny s charakterem této ekologické zátěže a možnými riziky s ní spojenými.</w:t>
      </w:r>
    </w:p>
    <w:p w14:paraId="22FF0986" w14:textId="77777777" w:rsidR="00EC1C40" w:rsidRDefault="00000000">
      <w:pPr>
        <w:pStyle w:val="Zkladntext1"/>
        <w:framePr w:w="9120" w:h="13416" w:hRule="exact" w:wrap="none" w:vAnchor="page" w:hAnchor="page" w:x="1378" w:y="1940"/>
        <w:numPr>
          <w:ilvl w:val="1"/>
          <w:numId w:val="27"/>
        </w:numPr>
        <w:tabs>
          <w:tab w:val="left" w:pos="576"/>
        </w:tabs>
        <w:spacing w:after="240"/>
        <w:ind w:left="580" w:hanging="580"/>
        <w:jc w:val="both"/>
      </w:pPr>
      <w:r>
        <w:t xml:space="preserve">Smluvní strany tímto sjednávají, že SMP neponese vůči Investorovi jakoukoli odpovědnost za případnou existenci či odstranění jakýchkoli ekologických či jiných obdobných faktických zátěží existujících na/v Pozemcích, včetně případné zátěže v podobě umístění či sanace Skládky </w:t>
      </w:r>
      <w:r>
        <w:rPr>
          <w:i/>
          <w:iCs/>
        </w:rPr>
        <w:t>(jak je tento pojem definován v Plánovací smlouvě)</w:t>
      </w:r>
      <w:r>
        <w:t xml:space="preserve"> na/v Pozemcích. V této souvislosti Smluvní strany sjednávají, že Investor nebude vůči SMP uplatňovat jakékoli nároky týkající se případné existence těchto ekologických či jiných zátěží na/v Pozemcích, včetně umístění či sanace Skládky </w:t>
      </w:r>
      <w:r>
        <w:rPr>
          <w:i/>
          <w:iCs/>
        </w:rPr>
        <w:t>(jak je tento pojem definován v Plánovací smlouvě)</w:t>
      </w:r>
      <w:r>
        <w:t xml:space="preserve"> na/v Pozemcích, přičemž se Investor výslovně vzdává jakýchkoli nároků z titulu odpovědnosti za vady, jakož i práva na slevu z ceny, náhradu škody, bezdůvodné obohacení či odstoupení od Smlouvy z tohoto důvodu. Pro odstranění pochybností se toto ustanovení čl. 5.6 Smlouvy a práva a povinnosti v něm sjednaná uplatní pouze ve vztahu k Pozemkům (tj. v rozsahu Pozemků), nikoli ve vztahu k jakýmkoli jiným nemovitým věcem.</w:t>
      </w:r>
    </w:p>
    <w:p w14:paraId="2D1D2CED" w14:textId="77777777" w:rsidR="00EC1C40" w:rsidRDefault="00000000">
      <w:pPr>
        <w:pStyle w:val="Zkladntext1"/>
        <w:framePr w:w="9120" w:h="13416" w:hRule="exact" w:wrap="none" w:vAnchor="page" w:hAnchor="page" w:x="1378" w:y="1940"/>
        <w:numPr>
          <w:ilvl w:val="1"/>
          <w:numId w:val="27"/>
        </w:numPr>
        <w:tabs>
          <w:tab w:val="left" w:pos="576"/>
        </w:tabs>
        <w:spacing w:after="0"/>
        <w:ind w:left="580" w:hanging="580"/>
        <w:jc w:val="both"/>
      </w:pPr>
      <w:r>
        <w:t xml:space="preserve">Smluvní strany tímto sjednávají, že Investor neponese vůči SMP jakoukoli odpovědnost za případnou existenci či odstranění jakýchkoli ekologických či jiných obdobných faktických zátěží existujících na/v Pozemcích, včetně případné zátěže v podobě umístění či sanace Skládky </w:t>
      </w:r>
      <w:r>
        <w:rPr>
          <w:i/>
          <w:iCs/>
        </w:rPr>
        <w:t>(jak je tento pojem definován v Plánovací smlouvě)</w:t>
      </w:r>
      <w:r>
        <w:t xml:space="preserve"> na/v Pozemcích. V této souvislosti Smluvní strany sjednávají, že SMP nebude vůči Investorovi uplatňovat jakékoli nároky týkající se případné existence těchto ekologických či jiných zátěží na/v Pozemcích, včetně umístění či sanace Skládky </w:t>
      </w:r>
      <w:r>
        <w:rPr>
          <w:i/>
          <w:iCs/>
        </w:rPr>
        <w:t>(jak je tento pojem definován v Plánovací smlouvě)</w:t>
      </w:r>
      <w:r>
        <w:t xml:space="preserve"> na/v Pozemcích, přičemž se SMP výslovně vzdává jakýchkoli nároků z titulu odpovědnosti za vady, jakož i práva na slevu z ceny, náhradu škody, bezdůvodné obohacení či odstoupení od smlouvy z tohoto důvodu. Pro odstranění pochybností se toto ustanovení čl. 5.7 Smlouvy a práva a povinnosti v něm sjednaná uplatní</w:t>
      </w:r>
    </w:p>
    <w:p w14:paraId="5351525E" w14:textId="77777777" w:rsidR="00EC1C40" w:rsidRDefault="00000000">
      <w:pPr>
        <w:pStyle w:val="Zhlavnebozpat0"/>
        <w:framePr w:w="456" w:h="288" w:hRule="exact" w:wrap="none" w:vAnchor="page" w:hAnchor="page" w:x="5708" w:y="16085"/>
        <w:jc w:val="center"/>
        <w:rPr>
          <w:sz w:val="22"/>
          <w:szCs w:val="22"/>
        </w:rPr>
      </w:pPr>
      <w:r>
        <w:rPr>
          <w:color w:val="231E20"/>
          <w:sz w:val="22"/>
          <w:szCs w:val="22"/>
        </w:rPr>
        <w:t>6/12</w:t>
      </w:r>
    </w:p>
    <w:p w14:paraId="71D1CAEB"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1862935B" w14:textId="77777777" w:rsidR="00EC1C40" w:rsidRDefault="00000000">
      <w:pPr>
        <w:spacing w:line="1" w:lineRule="exact"/>
      </w:pPr>
      <w:r>
        <w:rPr>
          <w:noProof/>
        </w:rPr>
        <w:lastRenderedPageBreak/>
        <mc:AlternateContent>
          <mc:Choice Requires="wps">
            <w:drawing>
              <wp:anchor distT="0" distB="0" distL="114300" distR="114300" simplePos="0" relativeHeight="251674112" behindDoc="1" locked="0" layoutInCell="1" allowOverlap="1" wp14:anchorId="6DBD62CD" wp14:editId="158434B5">
                <wp:simplePos x="0" y="0"/>
                <wp:positionH relativeFrom="page">
                  <wp:posOffset>947420</wp:posOffset>
                </wp:positionH>
                <wp:positionV relativeFrom="page">
                  <wp:posOffset>932180</wp:posOffset>
                </wp:positionV>
                <wp:extent cx="5702935" cy="0"/>
                <wp:effectExtent l="0" t="0" r="0" b="0"/>
                <wp:wrapNone/>
                <wp:docPr id="91" name="Shape 91"/>
                <wp:cNvGraphicFramePr/>
                <a:graphic xmlns:a="http://schemas.openxmlformats.org/drawingml/2006/main">
                  <a:graphicData uri="http://schemas.microsoft.com/office/word/2010/wordprocessingShape">
                    <wps:wsp>
                      <wps:cNvCnPr/>
                      <wps:spPr>
                        <a:xfrm>
                          <a:off x="0" y="0"/>
                          <a:ext cx="5702935" cy="0"/>
                        </a:xfrm>
                        <a:prstGeom prst="straightConnector1">
                          <a:avLst/>
                        </a:prstGeom>
                        <a:ln w="6350">
                          <a:solidFill/>
                        </a:ln>
                      </wps:spPr>
                      <wps:bodyPr/>
                    </wps:wsp>
                  </a:graphicData>
                </a:graphic>
              </wp:anchor>
            </w:drawing>
          </mc:Choice>
          <mc:Fallback>
            <w:pict>
              <v:shape o:spt="32" o:oned="true" path="m,l21600,21600e" style="position:absolute;margin-left:74.600000000000009pt;margin-top:73.400000000000006pt;width:449.05000000000001pt;height:0;z-index:-251658240;mso-position-horizontal-relative:page;mso-position-vertical-relative:page">
                <v:stroke weight="0.5pt"/>
              </v:shape>
            </w:pict>
          </mc:Fallback>
        </mc:AlternateContent>
      </w:r>
    </w:p>
    <w:p w14:paraId="18BBD8D0" w14:textId="77777777" w:rsidR="00EC1C40" w:rsidRDefault="00000000">
      <w:pPr>
        <w:pStyle w:val="Zhlavnebozpat0"/>
        <w:framePr w:w="1286" w:h="240" w:hRule="exact" w:wrap="none" w:vAnchor="page" w:hAnchor="page" w:x="5343" w:y="1186"/>
        <w:jc w:val="center"/>
      </w:pPr>
      <w:r>
        <w:t>Směnná smlouva</w:t>
      </w:r>
    </w:p>
    <w:p w14:paraId="7979535D" w14:textId="77777777" w:rsidR="00EC1C40" w:rsidRDefault="00000000">
      <w:pPr>
        <w:pStyle w:val="Zkladntext1"/>
        <w:framePr w:w="9120" w:h="13502" w:hRule="exact" w:wrap="none" w:vAnchor="page" w:hAnchor="page" w:x="1378" w:y="1940"/>
        <w:ind w:left="580"/>
        <w:jc w:val="both"/>
      </w:pPr>
      <w:r>
        <w:t>pouze ve vztahu k Pozemkům (tj. v rozsahu Pozemků), nikoli ve vztahu k jakýmkoli jiným nemovitým věcem. Tímto čl. 5.7 Smlouvy nejsou dotčeny závazky Investora, které jsou dohodnuty v čl. 2.10. Dohody o úpravě vztahů, a s nimi související práva a povinnosti, která budou plněna za podmínek sjednaných v čl. 2.10. Dohody o úpravě vztahů.</w:t>
      </w:r>
    </w:p>
    <w:p w14:paraId="3E8012A4" w14:textId="77777777" w:rsidR="00EC1C40" w:rsidRDefault="00000000">
      <w:pPr>
        <w:pStyle w:val="Zkladntext1"/>
        <w:framePr w:w="9120" w:h="13502" w:hRule="exact" w:wrap="none" w:vAnchor="page" w:hAnchor="page" w:x="1378" w:y="1940"/>
        <w:numPr>
          <w:ilvl w:val="1"/>
          <w:numId w:val="27"/>
        </w:numPr>
        <w:tabs>
          <w:tab w:val="left" w:pos="571"/>
        </w:tabs>
        <w:ind w:left="580" w:hanging="580"/>
        <w:jc w:val="both"/>
      </w:pPr>
      <w:r>
        <w:t>Smluvní strany jsou si vědomy, že Investor na sebe na základě čl. 2.10. Dohody o úpravě vztahů přejímá závazky definované v tomto ustanovení Dohody o úpravě vztahů. Smluvní strany v této souvislosti sjednávají, že tyto závazky Investora dle čl. 2.10. Dohody o úpravě vztahů ve vztahu k Pozemkům (tj. výhradně v rozsahu, v jakém se týkají Pozemků) zůstanou v platnosti a účinnosti i po případném zániku Dohody o úpravě vztahů, maximálně však do sjednané doby jejich trvání.</w:t>
      </w:r>
    </w:p>
    <w:p w14:paraId="52580128" w14:textId="77777777" w:rsidR="00EC1C40" w:rsidRDefault="00000000">
      <w:pPr>
        <w:pStyle w:val="Zkladntext1"/>
        <w:framePr w:w="9120" w:h="13502" w:hRule="exact" w:wrap="none" w:vAnchor="page" w:hAnchor="page" w:x="1378" w:y="1940"/>
        <w:numPr>
          <w:ilvl w:val="1"/>
          <w:numId w:val="27"/>
        </w:numPr>
        <w:tabs>
          <w:tab w:val="left" w:pos="571"/>
        </w:tabs>
        <w:ind w:left="580" w:hanging="580"/>
        <w:jc w:val="both"/>
      </w:pPr>
      <w:r>
        <w:t>Práva a povinnosti sjednaná v rámci čl. 5.6 a čl. 5.7 této Smlouvy přetrvají i v případě budoucího převodu Pozemků třetí osobě a Smluvní strany se je zavazují smluvně převést na nabyvatele Pozemků a k této povinnosti zavázat i nabyvatele Pozemků, a to prostřednictvím postoupení části Smlouvy v rozsahu čl. 5.6 až čl. 5.7 této Smlouvy na tohoto nabyvatele (a to Investor ve vztahu k Pozemkům SMP a SMP ve vztahu k Pozemku Investora). Smluvní strany mohou dostát těmto svým povinnostem uvedeným v tomto čl. 5.9 Smlouvy i tím způsobem, že nabyvatel příslušného Pozemku vystaví a druhé Smluvní straně doručí prohlášení nabyvatele, ve kterém bude nabyvatel garantovat druhé Smluvní straně práva a povinnosti ve stejném rozsahu, v jakém jsou sjednány v příslušných ustanoveních čl. 5.6 a čl. 5.7 této Smlouvy (aniž by příslušná Smluvní strana přestala být zavázána z práv a povinností uvedených v čl. 5.6 až čl. 5.7 této Smlouvy, pokud se SMP a Investor nedohodnou jinak). Tento čl. 5.9 Smlouvy výše se neuplatní na (i) technický převod vlastnického práva k Pozemkům (jejich částem) v lokalitě „Nová Cihelna“, na základě kterých dochází např. ke sjednocení vlastnické struktury pozemků jednotlivých investorů v Lokalitě Nová Cihelna za účelem zefektivnění výstavby, a to v rozsahu maximálně 15 % výměry Pozemků, (</w:t>
      </w:r>
      <w:proofErr w:type="spellStart"/>
      <w:r>
        <w:t>ii</w:t>
      </w:r>
      <w:proofErr w:type="spellEnd"/>
      <w:r>
        <w:t>) převod vlastnického práva k Pozemkům (jejich částem) na SMP, (</w:t>
      </w:r>
      <w:proofErr w:type="spellStart"/>
      <w:r>
        <w:t>iii</w:t>
      </w:r>
      <w:proofErr w:type="spellEnd"/>
      <w:r>
        <w:t xml:space="preserve">) převod vlastnického práva k Pozemkům (jejich částem) spojeným s převodem Nepeněžního plnění či Související infrastruktury </w:t>
      </w:r>
      <w:r>
        <w:rPr>
          <w:i/>
          <w:iCs/>
        </w:rPr>
        <w:t>(jak jsou tyto pojmy definovány v Plánovací smlouvě)</w:t>
      </w:r>
      <w:r>
        <w:t>, výslovně včetně převodu Pozemků na vlastníky/provozovatele technické či dopravní infrastruktury, nebo (</w:t>
      </w:r>
      <w:proofErr w:type="spellStart"/>
      <w:r>
        <w:t>iv</w:t>
      </w:r>
      <w:proofErr w:type="spellEnd"/>
      <w:r>
        <w:t xml:space="preserve">) převod vlastnického práva k Pozemkům (jejich částem) na kteroukoli obec či jiný veřejnoprávní subjekt (včetně České republiky). Smluvní strany sjednávají omezení trvání tohoto ustanovení čl. 5.9 Smlouvy a práv a povinností v něm sjednaných na dobu od nabytí účinnosti této Smlouvy do uplynutí jednoho (1) roku od dokončení procesu Odstranění odpadu z mezideponie </w:t>
      </w:r>
      <w:r>
        <w:rPr>
          <w:i/>
          <w:iCs/>
        </w:rPr>
        <w:t>(jak je tento pojem definován v Dohodě o úpravě vztahů)</w:t>
      </w:r>
      <w:r>
        <w:t>, nejdéle však na dobu patnácti (15) let od uzavření této Smlouvy, přičemž uplynutím této doby (podle toho, která uplyne dříve) toto ustanovení čl. 5.9 Smlouvy bez dalšího zaniká.</w:t>
      </w:r>
    </w:p>
    <w:p w14:paraId="153144BC" w14:textId="77777777" w:rsidR="00EC1C40" w:rsidRDefault="00000000">
      <w:pPr>
        <w:pStyle w:val="Zkladntext1"/>
        <w:framePr w:w="9120" w:h="13502" w:hRule="exact" w:wrap="none" w:vAnchor="page" w:hAnchor="page" w:x="1378" w:y="1940"/>
        <w:numPr>
          <w:ilvl w:val="1"/>
          <w:numId w:val="27"/>
        </w:numPr>
        <w:tabs>
          <w:tab w:val="left" w:pos="571"/>
        </w:tabs>
        <w:ind w:left="580" w:hanging="580"/>
        <w:jc w:val="both"/>
      </w:pPr>
      <w:r>
        <w:t xml:space="preserve">SMP se zavazuje neučinit ve vztahu k Pozemku Investora (po nabytí vlastnického práva k němu) žádné kroky či jednání, kterými by ohrozila, znemožnila či časově oddálila realizaci Investičního záměru a/nebo záměru sanace Skládky </w:t>
      </w:r>
      <w:r>
        <w:rPr>
          <w:i/>
          <w:iCs/>
        </w:rPr>
        <w:t>(jak je tento pojem definován v Plánovací smlouvě)</w:t>
      </w:r>
      <w:r>
        <w:t xml:space="preserve">, respektive Odstranění odpadů a znečištění </w:t>
      </w:r>
      <w:r>
        <w:rPr>
          <w:i/>
          <w:iCs/>
        </w:rPr>
        <w:t xml:space="preserve">(jak je tento pojem definován v Plánovací smlouvě) </w:t>
      </w:r>
      <w:r>
        <w:t>na/v Pozemku Investora.</w:t>
      </w:r>
    </w:p>
    <w:p w14:paraId="1E2694AD" w14:textId="77777777" w:rsidR="00EC1C40" w:rsidRDefault="00000000">
      <w:pPr>
        <w:pStyle w:val="Nadpis60"/>
        <w:framePr w:w="9120" w:h="13502" w:hRule="exact" w:wrap="none" w:vAnchor="page" w:hAnchor="page" w:x="1378" w:y="1940"/>
        <w:numPr>
          <w:ilvl w:val="0"/>
          <w:numId w:val="27"/>
        </w:numPr>
        <w:tabs>
          <w:tab w:val="left" w:pos="571"/>
        </w:tabs>
        <w:jc w:val="both"/>
      </w:pPr>
      <w:bookmarkStart w:id="61" w:name="bookmark123"/>
      <w:r>
        <w:t>Ukončení Smlouvy</w:t>
      </w:r>
      <w:bookmarkEnd w:id="61"/>
    </w:p>
    <w:p w14:paraId="4922630D" w14:textId="77777777" w:rsidR="00EC1C40" w:rsidRDefault="00000000">
      <w:pPr>
        <w:pStyle w:val="Zkladntext1"/>
        <w:framePr w:w="9120" w:h="13502" w:hRule="exact" w:wrap="none" w:vAnchor="page" w:hAnchor="page" w:x="1378" w:y="1940"/>
        <w:numPr>
          <w:ilvl w:val="1"/>
          <w:numId w:val="27"/>
        </w:numPr>
        <w:tabs>
          <w:tab w:val="left" w:pos="571"/>
        </w:tabs>
        <w:spacing w:after="0"/>
        <w:ind w:left="580" w:hanging="580"/>
        <w:jc w:val="both"/>
      </w:pPr>
      <w:r>
        <w:t>Smluvní strany shodně prohlašují, že k uzavření této Smlouvy přistupují s úmyslem vytvořit co nejstabilnější uspořádání svých vzájemných vztahů, přičemž je pro Smluvní strany důležité, aby tato Smlouva nezanikla žádným jiným způsobem, než jaký výslovně stanoví tato Smlouva, tj. (i) výslovně si přejí jakákoli porušení jednotlivých práv a povinností jednotlivých Smluvních stran z této Smlouvy vyplývajících řešit právě a pouze způsoby, které tato Smlouva výslovně uvádí, a (</w:t>
      </w:r>
      <w:proofErr w:type="spellStart"/>
      <w:r>
        <w:t>ii</w:t>
      </w:r>
      <w:proofErr w:type="spellEnd"/>
      <w:r>
        <w:t>) v maximální možné míře přípustné dle právních předpisů eliminovat a vyloučit jakákoli práva Smluvních stran od této Smlouvy odstoupit, vypovědět ji a/nebo ji jiným způsobem ukončit (včetně požadování jejího ukončení či zrušení). Smluvní strany výslovně vylučují ustanovení</w:t>
      </w:r>
    </w:p>
    <w:p w14:paraId="473EB806" w14:textId="77777777" w:rsidR="00EC1C40" w:rsidRDefault="00000000">
      <w:pPr>
        <w:pStyle w:val="Zhlavnebozpat0"/>
        <w:framePr w:w="456" w:h="288" w:hRule="exact" w:wrap="none" w:vAnchor="page" w:hAnchor="page" w:x="5708" w:y="16085"/>
        <w:jc w:val="center"/>
        <w:rPr>
          <w:sz w:val="22"/>
          <w:szCs w:val="22"/>
        </w:rPr>
      </w:pPr>
      <w:r>
        <w:rPr>
          <w:color w:val="231E20"/>
          <w:sz w:val="22"/>
          <w:szCs w:val="22"/>
        </w:rPr>
        <w:t>7/12</w:t>
      </w:r>
    </w:p>
    <w:p w14:paraId="4C2690E6"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7E91B5C5" w14:textId="77777777" w:rsidR="00EC1C40" w:rsidRDefault="00000000">
      <w:pPr>
        <w:spacing w:line="1" w:lineRule="exact"/>
      </w:pPr>
      <w:r>
        <w:rPr>
          <w:noProof/>
        </w:rPr>
        <w:lastRenderedPageBreak/>
        <mc:AlternateContent>
          <mc:Choice Requires="wps">
            <w:drawing>
              <wp:anchor distT="0" distB="0" distL="114300" distR="114300" simplePos="0" relativeHeight="251675136" behindDoc="1" locked="0" layoutInCell="1" allowOverlap="1" wp14:anchorId="0BE6BC54" wp14:editId="2DD39B50">
                <wp:simplePos x="0" y="0"/>
                <wp:positionH relativeFrom="page">
                  <wp:posOffset>946150</wp:posOffset>
                </wp:positionH>
                <wp:positionV relativeFrom="page">
                  <wp:posOffset>932180</wp:posOffset>
                </wp:positionV>
                <wp:extent cx="5702935" cy="0"/>
                <wp:effectExtent l="0" t="0" r="0" b="0"/>
                <wp:wrapNone/>
                <wp:docPr id="92" name="Shape 92"/>
                <wp:cNvGraphicFramePr/>
                <a:graphic xmlns:a="http://schemas.openxmlformats.org/drawingml/2006/main">
                  <a:graphicData uri="http://schemas.microsoft.com/office/word/2010/wordprocessingShape">
                    <wps:wsp>
                      <wps:cNvCnPr/>
                      <wps:spPr>
                        <a:xfrm>
                          <a:off x="0" y="0"/>
                          <a:ext cx="5702935" cy="0"/>
                        </a:xfrm>
                        <a:prstGeom prst="straightConnector1">
                          <a:avLst/>
                        </a:prstGeom>
                        <a:ln w="6350">
                          <a:solidFill/>
                        </a:ln>
                      </wps:spPr>
                      <wps:bodyPr/>
                    </wps:wsp>
                  </a:graphicData>
                </a:graphic>
              </wp:anchor>
            </w:drawing>
          </mc:Choice>
          <mc:Fallback>
            <w:pict>
              <v:shape o:spt="32" o:oned="true" path="m,l21600,21600e" style="position:absolute;margin-left:74.5pt;margin-top:73.400000000000006pt;width:449.05000000000001pt;height:0;z-index:-251658240;mso-position-horizontal-relative:page;mso-position-vertical-relative:page">
                <v:stroke weight="0.5pt"/>
              </v:shape>
            </w:pict>
          </mc:Fallback>
        </mc:AlternateContent>
      </w:r>
    </w:p>
    <w:p w14:paraId="36F74E30" w14:textId="77777777" w:rsidR="00EC1C40" w:rsidRDefault="00000000">
      <w:pPr>
        <w:pStyle w:val="Zhlavnebozpat0"/>
        <w:framePr w:w="1286" w:h="240" w:hRule="exact" w:wrap="none" w:vAnchor="page" w:hAnchor="page" w:x="5341" w:y="1186"/>
        <w:jc w:val="center"/>
      </w:pPr>
      <w:r>
        <w:t>Směnná smlouva</w:t>
      </w:r>
    </w:p>
    <w:p w14:paraId="487F5896" w14:textId="77777777" w:rsidR="00EC1C40" w:rsidRDefault="00000000">
      <w:pPr>
        <w:pStyle w:val="Zkladntext1"/>
        <w:framePr w:w="9115" w:h="13296" w:hRule="exact" w:wrap="none" w:vAnchor="page" w:hAnchor="page" w:x="1381" w:y="1940"/>
        <w:ind w:left="580"/>
        <w:jc w:val="both"/>
      </w:pPr>
      <w:r>
        <w:t>následujících právních předpisů: § 1977, § 1978, § 1979, § 1980, § 2002 a § 2003 Občanského zákoníku. Smluvní strany se vzdávají práva domáhat se zrušení závazku dle § 2000 Občanského zákoníku, a to s ohledem na účel této Smlouvy uvedený v tomto ustanovení. Podstatným porušením této Smlouvy, respektive porušením této Smlouvy podstatným způsobem, se v této Smlouvě rozumí výhradně taková porušení Smlouvy, která jsou jako její podstatné porušení definována v této Smlouvě.</w:t>
      </w:r>
    </w:p>
    <w:p w14:paraId="58764177" w14:textId="77777777" w:rsidR="00EC1C40" w:rsidRDefault="00000000">
      <w:pPr>
        <w:pStyle w:val="Zkladntext1"/>
        <w:framePr w:w="9115" w:h="13296" w:hRule="exact" w:wrap="none" w:vAnchor="page" w:hAnchor="page" w:x="1381" w:y="1940"/>
        <w:numPr>
          <w:ilvl w:val="1"/>
          <w:numId w:val="27"/>
        </w:numPr>
        <w:tabs>
          <w:tab w:val="left" w:pos="562"/>
        </w:tabs>
        <w:ind w:left="580" w:hanging="580"/>
        <w:jc w:val="both"/>
      </w:pPr>
      <w:r>
        <w:t>SMP je oprávněno tuto Smlouvu ukončit výhradně odstoupením od této Smlouvy, a to výhradně v případě, kdy:</w:t>
      </w:r>
    </w:p>
    <w:p w14:paraId="4BBA5D4D" w14:textId="77777777" w:rsidR="00EC1C40" w:rsidRDefault="00000000">
      <w:pPr>
        <w:pStyle w:val="Zkladntext1"/>
        <w:framePr w:w="9115" w:h="13296" w:hRule="exact" w:wrap="none" w:vAnchor="page" w:hAnchor="page" w:x="1381" w:y="1940"/>
        <w:numPr>
          <w:ilvl w:val="2"/>
          <w:numId w:val="27"/>
        </w:numPr>
        <w:tabs>
          <w:tab w:val="left" w:pos="1298"/>
        </w:tabs>
        <w:ind w:left="1280" w:hanging="700"/>
        <w:jc w:val="both"/>
      </w:pPr>
      <w:r>
        <w:t>Investor neuhradí SMP Doplatek ve lhůtě sjednané v této Smlouvě, pokud Investor nezjedná nápravu takového porušení ani v dodatečné lhůtě patnácti (15) dnů od doručení písemné výzvy k nápravě ze strany SMP; a/nebo</w:t>
      </w:r>
    </w:p>
    <w:p w14:paraId="479A4277" w14:textId="77777777" w:rsidR="00EC1C40" w:rsidRDefault="00000000">
      <w:pPr>
        <w:pStyle w:val="Zkladntext1"/>
        <w:framePr w:w="9115" w:h="13296" w:hRule="exact" w:wrap="none" w:vAnchor="page" w:hAnchor="page" w:x="1381" w:y="1940"/>
        <w:numPr>
          <w:ilvl w:val="2"/>
          <w:numId w:val="27"/>
        </w:numPr>
        <w:tabs>
          <w:tab w:val="left" w:pos="1298"/>
        </w:tabs>
        <w:ind w:left="1280" w:hanging="700"/>
        <w:jc w:val="both"/>
      </w:pPr>
      <w:r>
        <w:t>nedojde k převodu vlastnického práva k Pozemku Investora na SMP ani do šesti (6) měsíců od uzavření této Smlouvy, pokud se tak stalo z důvodů na straně Investora.</w:t>
      </w:r>
    </w:p>
    <w:p w14:paraId="03F4B3DD" w14:textId="77777777" w:rsidR="00EC1C40" w:rsidRDefault="00000000">
      <w:pPr>
        <w:pStyle w:val="Zkladntext1"/>
        <w:framePr w:w="9115" w:h="13296" w:hRule="exact" w:wrap="none" w:vAnchor="page" w:hAnchor="page" w:x="1381" w:y="1940"/>
        <w:numPr>
          <w:ilvl w:val="1"/>
          <w:numId w:val="27"/>
        </w:numPr>
        <w:tabs>
          <w:tab w:val="left" w:pos="562"/>
        </w:tabs>
        <w:spacing w:line="233" w:lineRule="auto"/>
        <w:ind w:left="580" w:hanging="580"/>
        <w:jc w:val="both"/>
      </w:pPr>
      <w:r>
        <w:t>Investor je oprávněn tuto Smlouvu ukončit výhradně odstoupením od této Smlouvy, a to výhradně v případě, kdy:</w:t>
      </w:r>
    </w:p>
    <w:p w14:paraId="5DA4D696" w14:textId="77777777" w:rsidR="00EC1C40" w:rsidRDefault="00000000">
      <w:pPr>
        <w:pStyle w:val="Zkladntext1"/>
        <w:framePr w:w="9115" w:h="13296" w:hRule="exact" w:wrap="none" w:vAnchor="page" w:hAnchor="page" w:x="1381" w:y="1940"/>
        <w:numPr>
          <w:ilvl w:val="2"/>
          <w:numId w:val="27"/>
        </w:numPr>
        <w:tabs>
          <w:tab w:val="left" w:pos="1298"/>
        </w:tabs>
        <w:ind w:left="1280" w:hanging="700"/>
        <w:jc w:val="both"/>
      </w:pPr>
      <w:r>
        <w:t>nedojde k převodu vlastnického práva k Pozemkům SMP na Investora ani do šesti (6) měsíců od uzavření této Smlouvy, pokud se tak stalo z důvodů na straně SMP.</w:t>
      </w:r>
    </w:p>
    <w:p w14:paraId="17C92644" w14:textId="77777777" w:rsidR="00EC1C40" w:rsidRDefault="00000000">
      <w:pPr>
        <w:pStyle w:val="Zkladntext1"/>
        <w:framePr w:w="9115" w:h="13296" w:hRule="exact" w:wrap="none" w:vAnchor="page" w:hAnchor="page" w:x="1381" w:y="1940"/>
        <w:numPr>
          <w:ilvl w:val="1"/>
          <w:numId w:val="27"/>
        </w:numPr>
        <w:tabs>
          <w:tab w:val="left" w:pos="562"/>
        </w:tabs>
        <w:ind w:left="580" w:hanging="580"/>
        <w:jc w:val="both"/>
      </w:pPr>
      <w:r>
        <w:t xml:space="preserve">Odstoupí-li kterákoli ze Smluvních stran oprávněně od této Smlouvy, zanikají všechna práva a povinnosti Smluvních stran z této Smlouvy s účinky ex </w:t>
      </w:r>
      <w:proofErr w:type="spellStart"/>
      <w:r>
        <w:t>tunc</w:t>
      </w:r>
      <w:proofErr w:type="spellEnd"/>
      <w:r>
        <w:t>. Smluvní strany se dohodly, že odstoupení od Smlouvy musí být vždy učiněno v písemné formě, a že v něm musí být vždy uveden konkrétní důvod takového odstoupení a zároveň odkaz na článek této Smlouvy, na kterém je odstoupení založeno.</w:t>
      </w:r>
    </w:p>
    <w:p w14:paraId="1ACDB627" w14:textId="77777777" w:rsidR="00EC1C40" w:rsidRDefault="00000000">
      <w:pPr>
        <w:pStyle w:val="Zkladntext1"/>
        <w:framePr w:w="9115" w:h="13296" w:hRule="exact" w:wrap="none" w:vAnchor="page" w:hAnchor="page" w:x="1381" w:y="1940"/>
        <w:numPr>
          <w:ilvl w:val="1"/>
          <w:numId w:val="27"/>
        </w:numPr>
        <w:tabs>
          <w:tab w:val="left" w:pos="562"/>
        </w:tabs>
        <w:ind w:left="580" w:hanging="580"/>
        <w:jc w:val="both"/>
      </w:pPr>
      <w:r>
        <w:t>Smluvní strany sjednávají, že jakékoliv vady Pozemků (kteréhokoli z Pozemků) a související nároky z vadného plnění budou řešeny výlučně prostřednictvím odstranění takové vady či prostřednictvím slevy (nikoli tedy odstoupením od této Smlouvy).</w:t>
      </w:r>
    </w:p>
    <w:p w14:paraId="60D1B987" w14:textId="77777777" w:rsidR="00EC1C40" w:rsidRDefault="00000000">
      <w:pPr>
        <w:pStyle w:val="Zkladntext1"/>
        <w:framePr w:w="9115" w:h="13296" w:hRule="exact" w:wrap="none" w:vAnchor="page" w:hAnchor="page" w:x="1381" w:y="1940"/>
        <w:numPr>
          <w:ilvl w:val="1"/>
          <w:numId w:val="27"/>
        </w:numPr>
        <w:tabs>
          <w:tab w:val="left" w:pos="562"/>
        </w:tabs>
        <w:ind w:left="580" w:hanging="580"/>
        <w:jc w:val="both"/>
      </w:pPr>
      <w:r>
        <w:t>Smluvní strany dále pro odstranění jakýchkoli pochybností výslovně sjednávají, že případný zánik Plánovací smlouvy či jakékoli jiné smlouvy či dohody uzavírané na jejím základě či v souvislosti s ní (bez ohledu na to z jakých důvodů, včetně jejich zrušení, jednostranného ukončení atd.) nemá žádný vliv na tuto Smlouvu a převod vlastnického práva k Pozemkům realizovaným na jejím základě (Směna Pozemků je tedy nevratná). Pro odstranění jakýchkoli pochybností se dále výslovně sjednává, že případné porušení kterékoli z povinností sjednaných v čl. 5.6 až čl. 5.10 této Smlouvy nezakládá právo kterékoli ze Smluvních stran odstoupit od této Smlouvy či ji jinak jednostranně ukončit.</w:t>
      </w:r>
    </w:p>
    <w:p w14:paraId="68C75532" w14:textId="77777777" w:rsidR="00EC1C40" w:rsidRDefault="00000000">
      <w:pPr>
        <w:pStyle w:val="Nadpis60"/>
        <w:framePr w:w="9115" w:h="13296" w:hRule="exact" w:wrap="none" w:vAnchor="page" w:hAnchor="page" w:x="1381" w:y="1940"/>
        <w:numPr>
          <w:ilvl w:val="0"/>
          <w:numId w:val="27"/>
        </w:numPr>
        <w:tabs>
          <w:tab w:val="left" w:pos="562"/>
        </w:tabs>
        <w:jc w:val="both"/>
      </w:pPr>
      <w:bookmarkStart w:id="62" w:name="bookmark125"/>
      <w:r>
        <w:t>Oddělitelnost</w:t>
      </w:r>
      <w:bookmarkEnd w:id="62"/>
    </w:p>
    <w:p w14:paraId="421C413F" w14:textId="77777777" w:rsidR="00EC1C40" w:rsidRDefault="00000000">
      <w:pPr>
        <w:pStyle w:val="Zkladntext1"/>
        <w:framePr w:w="9115" w:h="13296" w:hRule="exact" w:wrap="none" w:vAnchor="page" w:hAnchor="page" w:x="1381" w:y="1940"/>
        <w:numPr>
          <w:ilvl w:val="1"/>
          <w:numId w:val="27"/>
        </w:numPr>
        <w:tabs>
          <w:tab w:val="left" w:pos="562"/>
        </w:tabs>
        <w:spacing w:after="0"/>
        <w:ind w:left="580" w:hanging="580"/>
        <w:jc w:val="both"/>
      </w:pPr>
      <w:r>
        <w:t>Stane-li se kterékoli ustanovení této Smlouvy neplatným, neúčinným, zdánlivým nebo nevymahatelným, zůstává platnost, účinnost a vymahatelnost ostatních ustanovení této Smlouvy neovlivněna a nedotčena, nevyplývá-li z povahy daného ustanovení, obsahu Smlouvy nebo okolností, za nichž bylo toto ustanovení vytvořeno, že toto ustanovení nelze oddělit od ostatního obsahu Smlouvy. V případě takové neplatnosti, neúčinnosti, zdánlivosti nebo nevymahatelnosti se Smluvní strany zavazují bezodkladně, nejpozději však do třiceti (30) dnů od doručení výzvy jedné Smluvní strany druhé ze Smluvních stran, v dobré víře napravit takto vzniklý stav tím způsobem, že se dohodnou na změnách, respektive doplněních této Smlouvy, které jsou s ohledem na tuto neplatnost, neúčinnost, zdánlivost nebo nevymahatelnost pro splnění účelů a cílů této Smlouvy nezbytná. Za tímto účelem Smluvní strany zejména uzavřou příslušný dodatek k této Smlouvě, kterým neplatné, neúčinné, zdánlivé nebo nevymahatelné</w:t>
      </w:r>
    </w:p>
    <w:p w14:paraId="50FFDECF" w14:textId="77777777" w:rsidR="00EC1C40" w:rsidRDefault="00000000">
      <w:pPr>
        <w:pStyle w:val="Zhlavnebozpat0"/>
        <w:framePr w:w="456" w:h="288" w:hRule="exact" w:wrap="none" w:vAnchor="page" w:hAnchor="page" w:x="5705" w:y="16085"/>
        <w:jc w:val="center"/>
        <w:rPr>
          <w:sz w:val="22"/>
          <w:szCs w:val="22"/>
        </w:rPr>
      </w:pPr>
      <w:r>
        <w:rPr>
          <w:color w:val="231E20"/>
          <w:sz w:val="22"/>
          <w:szCs w:val="22"/>
        </w:rPr>
        <w:t>8/12</w:t>
      </w:r>
    </w:p>
    <w:p w14:paraId="03138BA3"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1FE096ED" w14:textId="77777777" w:rsidR="00EC1C40" w:rsidRDefault="00000000">
      <w:pPr>
        <w:spacing w:line="1" w:lineRule="exact"/>
      </w:pPr>
      <w:r>
        <w:rPr>
          <w:noProof/>
        </w:rPr>
        <w:lastRenderedPageBreak/>
        <mc:AlternateContent>
          <mc:Choice Requires="wps">
            <w:drawing>
              <wp:anchor distT="0" distB="0" distL="114300" distR="114300" simplePos="0" relativeHeight="251676160" behindDoc="1" locked="0" layoutInCell="1" allowOverlap="1" wp14:anchorId="29FA19C4" wp14:editId="7ABB358A">
                <wp:simplePos x="0" y="0"/>
                <wp:positionH relativeFrom="page">
                  <wp:posOffset>949325</wp:posOffset>
                </wp:positionH>
                <wp:positionV relativeFrom="page">
                  <wp:posOffset>932180</wp:posOffset>
                </wp:positionV>
                <wp:extent cx="5702935" cy="0"/>
                <wp:effectExtent l="0" t="0" r="0" b="0"/>
                <wp:wrapNone/>
                <wp:docPr id="93" name="Shape 93"/>
                <wp:cNvGraphicFramePr/>
                <a:graphic xmlns:a="http://schemas.openxmlformats.org/drawingml/2006/main">
                  <a:graphicData uri="http://schemas.microsoft.com/office/word/2010/wordprocessingShape">
                    <wps:wsp>
                      <wps:cNvCnPr/>
                      <wps:spPr>
                        <a:xfrm>
                          <a:off x="0" y="0"/>
                          <a:ext cx="5702935" cy="0"/>
                        </a:xfrm>
                        <a:prstGeom prst="straightConnector1">
                          <a:avLst/>
                        </a:prstGeom>
                        <a:ln w="6350">
                          <a:solidFill/>
                        </a:ln>
                      </wps:spPr>
                      <wps:bodyPr/>
                    </wps:wsp>
                  </a:graphicData>
                </a:graphic>
              </wp:anchor>
            </w:drawing>
          </mc:Choice>
          <mc:Fallback>
            <w:pict>
              <v:shape o:spt="32" o:oned="true" path="m,l21600,21600e" style="position:absolute;margin-left:74.75pt;margin-top:73.400000000000006pt;width:449.05000000000001pt;height:0;z-index:-251658240;mso-position-horizontal-relative:page;mso-position-vertical-relative:page">
                <v:stroke weight="0.5pt"/>
              </v:shape>
            </w:pict>
          </mc:Fallback>
        </mc:AlternateContent>
      </w:r>
    </w:p>
    <w:p w14:paraId="060ACA1C" w14:textId="77777777" w:rsidR="00EC1C40" w:rsidRDefault="00000000">
      <w:pPr>
        <w:pStyle w:val="Zhlavnebozpat0"/>
        <w:framePr w:w="1286" w:h="240" w:hRule="exact" w:wrap="none" w:vAnchor="page" w:hAnchor="page" w:x="5345" w:y="1186"/>
        <w:jc w:val="center"/>
      </w:pPr>
      <w:r>
        <w:t>Směnná smlouva</w:t>
      </w:r>
    </w:p>
    <w:p w14:paraId="66F84DA4" w14:textId="77777777" w:rsidR="00EC1C40" w:rsidRDefault="00000000">
      <w:pPr>
        <w:pStyle w:val="Zkladntext1"/>
        <w:framePr w:w="9115" w:h="13536" w:hRule="exact" w:wrap="none" w:vAnchor="page" w:hAnchor="page" w:x="1381" w:y="1940"/>
        <w:spacing w:after="120"/>
        <w:ind w:left="580"/>
        <w:jc w:val="both"/>
      </w:pPr>
      <w:r>
        <w:t>ustanovení nahradí při maximálním respektu k právům a povinnostem, které mají být příslušným dodatkem či doplněním této Smlouvy nahrazeny.</w:t>
      </w:r>
    </w:p>
    <w:p w14:paraId="5EC772A1" w14:textId="77777777" w:rsidR="00EC1C40" w:rsidRDefault="00000000">
      <w:pPr>
        <w:pStyle w:val="Zkladntext1"/>
        <w:framePr w:w="9115" w:h="13536" w:hRule="exact" w:wrap="none" w:vAnchor="page" w:hAnchor="page" w:x="1381" w:y="1940"/>
        <w:numPr>
          <w:ilvl w:val="1"/>
          <w:numId w:val="27"/>
        </w:numPr>
        <w:tabs>
          <w:tab w:val="left" w:pos="557"/>
        </w:tabs>
        <w:spacing w:after="120"/>
        <w:ind w:left="580" w:hanging="580"/>
        <w:jc w:val="both"/>
      </w:pPr>
      <w:r>
        <w:t>Stane-li se tato Smlouva jako celek neplatnou, neúčinnou, zdánlivou nebo nevymahatelnou, zavazují se Smluvní strany bezodkladně, nejpozději však do třiceti (30) dnů, uzavřít novou smlouvu, která se bude svými ustanoveními v maximální možné míře dovolené platnými a účinnými právními předpisy blížit právům a povinnostem Smluvních stran upravených v této Smlouvě.</w:t>
      </w:r>
    </w:p>
    <w:p w14:paraId="24857377" w14:textId="77777777" w:rsidR="00EC1C40" w:rsidRDefault="00000000">
      <w:pPr>
        <w:pStyle w:val="Nadpis60"/>
        <w:framePr w:w="9115" w:h="13536" w:hRule="exact" w:wrap="none" w:vAnchor="page" w:hAnchor="page" w:x="1381" w:y="1940"/>
        <w:numPr>
          <w:ilvl w:val="0"/>
          <w:numId w:val="27"/>
        </w:numPr>
        <w:tabs>
          <w:tab w:val="left" w:pos="557"/>
        </w:tabs>
        <w:spacing w:after="120"/>
        <w:jc w:val="both"/>
      </w:pPr>
      <w:bookmarkStart w:id="63" w:name="bookmark127"/>
      <w:r>
        <w:t>Veřejnoprávní doložka</w:t>
      </w:r>
      <w:bookmarkEnd w:id="63"/>
    </w:p>
    <w:p w14:paraId="2EAB6211" w14:textId="77777777" w:rsidR="00EC1C40" w:rsidRDefault="00000000">
      <w:pPr>
        <w:pStyle w:val="Zkladntext1"/>
        <w:framePr w:w="9115" w:h="13536" w:hRule="exact" w:wrap="none" w:vAnchor="page" w:hAnchor="page" w:x="1381" w:y="1940"/>
        <w:numPr>
          <w:ilvl w:val="1"/>
          <w:numId w:val="27"/>
        </w:numPr>
        <w:tabs>
          <w:tab w:val="left" w:pos="557"/>
        </w:tabs>
        <w:spacing w:after="120"/>
        <w:ind w:left="580" w:hanging="580"/>
        <w:jc w:val="both"/>
      </w:pPr>
      <w:r>
        <w:t xml:space="preserve">Záměr právního jednání, jak je sjednáno v této Smlouvě, byl zveřejněn na úřední desce SMP pod č.j. </w:t>
      </w:r>
      <w:proofErr w:type="spellStart"/>
      <w:r>
        <w:t>MmP</w:t>
      </w:r>
      <w:proofErr w:type="spellEnd"/>
      <w:r>
        <w:t xml:space="preserve"> 52618/2025 dne 16.4.2025 do 2.5.2025. SMP ve smyslu ustanovení § 41 zákona č. 128/2000 Sb., o obcích (obecní zřízení), ve znění pozdějších předpisů, tímto potvrzuje, že uzavření této Smlouvy bylo schváleno Zastupitelstvem SMP na jeho 31. zasedání konaném dne 20.10.2025 č. usnesení Z/2044/2025, a opětovně schváleno ve znění revokovaného usnesení Zastupitelstva SMP na jeho [•] zasedání konaném dne [•] č. usnesení [•].</w:t>
      </w:r>
    </w:p>
    <w:p w14:paraId="7FDDE4BD" w14:textId="77777777" w:rsidR="00EC1C40" w:rsidRDefault="00000000">
      <w:pPr>
        <w:pStyle w:val="Nadpis60"/>
        <w:framePr w:w="9115" w:h="13536" w:hRule="exact" w:wrap="none" w:vAnchor="page" w:hAnchor="page" w:x="1381" w:y="1940"/>
        <w:numPr>
          <w:ilvl w:val="0"/>
          <w:numId w:val="27"/>
        </w:numPr>
        <w:tabs>
          <w:tab w:val="left" w:pos="557"/>
        </w:tabs>
        <w:spacing w:after="120"/>
        <w:jc w:val="both"/>
      </w:pPr>
      <w:bookmarkStart w:id="64" w:name="bookmark129"/>
      <w:r>
        <w:t>Prohlášení o přístupnosti Smlouvy</w:t>
      </w:r>
      <w:bookmarkEnd w:id="64"/>
    </w:p>
    <w:p w14:paraId="7E9D1A32" w14:textId="77777777" w:rsidR="00EC1C40" w:rsidRDefault="00000000">
      <w:pPr>
        <w:pStyle w:val="Zkladntext1"/>
        <w:framePr w:w="9115" w:h="13536" w:hRule="exact" w:wrap="none" w:vAnchor="page" w:hAnchor="page" w:x="1381" w:y="1940"/>
        <w:numPr>
          <w:ilvl w:val="1"/>
          <w:numId w:val="27"/>
        </w:numPr>
        <w:tabs>
          <w:tab w:val="left" w:pos="557"/>
        </w:tabs>
        <w:spacing w:after="120"/>
        <w:ind w:left="580" w:hanging="580"/>
        <w:jc w:val="both"/>
      </w:pPr>
      <w:r>
        <w:t>Smluvní strany berou na vědomí a souhlasí s tím, aby tato Smlouva včetně jejích příloh byla způsobem požadovaným platnými a účinnými právními předpisy, zejména zákonem č. 340/2015 Sb., o zvláštních podmínkách účinnosti některých smluv, uveřejňování těchto smluv a o registru smluv (zákon o registru smluv), ve znění pozdějších předpisů, zveřejněna v registru smluv.</w:t>
      </w:r>
    </w:p>
    <w:p w14:paraId="6C02F3F6" w14:textId="77777777" w:rsidR="00EC1C40" w:rsidRDefault="00000000">
      <w:pPr>
        <w:pStyle w:val="Zkladntext1"/>
        <w:framePr w:w="9115" w:h="13536" w:hRule="exact" w:wrap="none" w:vAnchor="page" w:hAnchor="page" w:x="1381" w:y="1940"/>
        <w:numPr>
          <w:ilvl w:val="1"/>
          <w:numId w:val="27"/>
        </w:numPr>
        <w:tabs>
          <w:tab w:val="left" w:pos="557"/>
        </w:tabs>
        <w:spacing w:after="120"/>
        <w:ind w:left="580" w:hanging="580"/>
        <w:jc w:val="both"/>
      </w:pPr>
      <w:r>
        <w:t>Zveřejnění této Smlouvy, jakož i smluv souvisejících a uzavíraných v souvislosti s ní, v registru smluv včetně zajištění veškerých kroků a potřebných jednání s tím souvisejících zajistí SMP bez zbytečného odkladu, nejpozději do deseti (10) dnů od okamžiku, kdy si Smluvní strany vzájemně odsouhlasí hodnotu Smlouvy uváděnou jakožto součást metadat zveřejňovaných v registru smluv. Smluvní strany si pro tento účel poskytnou veškerou potřebnou součinnost, přičemž si hodnotu Smlouvy uváděnou jakožto součást metadat zveřejňovaných v registru smluv odsouhlasí do deseti (10) dnů od uzavření této Smlouvy; Smluvní strany si pro tyto účely poskytnou potřebné informace. SMP bude o zveřejnění této Smlouvy v registru smluv bezodkladně, nejpozději do pěti (5) dnů od jejího zveřejnění, informovat Investora. Žádná ze Smluvních stran nenese odpovědnost za správnost informací poskytnutých ke stanovení hodnoty Smlouvy jako součásti metadat zveřejňovaných v registru smluv. V případě, kdy by byla Smlouva z důvodu chybných metadat či chybného zveřejnění v registru smluv zrušena od počátku, budou Smluvní strany postupovat obdobně dle čl. 7 této Smlouvy.</w:t>
      </w:r>
    </w:p>
    <w:p w14:paraId="485611B0" w14:textId="77777777" w:rsidR="00EC1C40" w:rsidRDefault="00000000">
      <w:pPr>
        <w:pStyle w:val="Nadpis60"/>
        <w:framePr w:w="9115" w:h="13536" w:hRule="exact" w:wrap="none" w:vAnchor="page" w:hAnchor="page" w:x="1381" w:y="1940"/>
        <w:numPr>
          <w:ilvl w:val="0"/>
          <w:numId w:val="27"/>
        </w:numPr>
        <w:tabs>
          <w:tab w:val="left" w:pos="557"/>
        </w:tabs>
        <w:spacing w:after="120"/>
        <w:jc w:val="both"/>
      </w:pPr>
      <w:bookmarkStart w:id="65" w:name="bookmark131"/>
      <w:r>
        <w:t>Závěrečná ustanovení</w:t>
      </w:r>
      <w:bookmarkEnd w:id="65"/>
    </w:p>
    <w:p w14:paraId="28F16761" w14:textId="77777777" w:rsidR="00EC1C40" w:rsidRDefault="00000000">
      <w:pPr>
        <w:pStyle w:val="Zkladntext1"/>
        <w:framePr w:w="9115" w:h="13536" w:hRule="exact" w:wrap="none" w:vAnchor="page" w:hAnchor="page" w:x="1381" w:y="1940"/>
        <w:numPr>
          <w:ilvl w:val="1"/>
          <w:numId w:val="27"/>
        </w:numPr>
        <w:tabs>
          <w:tab w:val="left" w:pos="557"/>
        </w:tabs>
        <w:spacing w:after="120" w:line="233" w:lineRule="auto"/>
        <w:ind w:left="580" w:hanging="580"/>
        <w:jc w:val="both"/>
      </w:pPr>
      <w:r>
        <w:t>Tato Smlouva a veškeré mimosmluvní závazky vzniklé z ní nebo v souvislosti s ní se řídí právními předpisy České republiky.</w:t>
      </w:r>
    </w:p>
    <w:p w14:paraId="5017B0EE" w14:textId="77777777" w:rsidR="00EC1C40" w:rsidRDefault="00000000">
      <w:pPr>
        <w:pStyle w:val="Zkladntext1"/>
        <w:framePr w:w="9115" w:h="13536" w:hRule="exact" w:wrap="none" w:vAnchor="page" w:hAnchor="page" w:x="1381" w:y="1940"/>
        <w:numPr>
          <w:ilvl w:val="1"/>
          <w:numId w:val="27"/>
        </w:numPr>
        <w:tabs>
          <w:tab w:val="left" w:pos="557"/>
        </w:tabs>
        <w:spacing w:after="120"/>
        <w:ind w:left="580" w:hanging="580"/>
        <w:jc w:val="both"/>
      </w:pPr>
      <w:r>
        <w:t>Smluvní strany se tímto výslovně dohodly, že ustanovení § 557, § 558 odst. 2 (v rozsahu, v jakém stanoví, že obchodní zvyklost má přednost před ustanovením zákona, jež nemá donucující účinky), § 1727, § 1765 odst. 1, § 1766, § 2185, § 2187 Občanského zákoníku se na vztahy vzniklé na základě této Smlouvy nepoužijí.</w:t>
      </w:r>
    </w:p>
    <w:p w14:paraId="37EB793F" w14:textId="77777777" w:rsidR="00EC1C40" w:rsidRDefault="00000000">
      <w:pPr>
        <w:pStyle w:val="Zkladntext1"/>
        <w:framePr w:w="9115" w:h="13536" w:hRule="exact" w:wrap="none" w:vAnchor="page" w:hAnchor="page" w:x="1381" w:y="1940"/>
        <w:numPr>
          <w:ilvl w:val="1"/>
          <w:numId w:val="27"/>
        </w:numPr>
        <w:tabs>
          <w:tab w:val="left" w:pos="557"/>
        </w:tabs>
        <w:spacing w:after="120"/>
        <w:jc w:val="both"/>
      </w:pPr>
      <w:r>
        <w:t>Tato Smlouva je smlouvou soukromoprávní povahy.</w:t>
      </w:r>
    </w:p>
    <w:p w14:paraId="5F97371B" w14:textId="77777777" w:rsidR="00EC1C40" w:rsidRDefault="00000000">
      <w:pPr>
        <w:pStyle w:val="Zkladntext1"/>
        <w:framePr w:w="9115" w:h="13536" w:hRule="exact" w:wrap="none" w:vAnchor="page" w:hAnchor="page" w:x="1381" w:y="1940"/>
        <w:numPr>
          <w:ilvl w:val="1"/>
          <w:numId w:val="27"/>
        </w:numPr>
        <w:tabs>
          <w:tab w:val="left" w:pos="557"/>
        </w:tabs>
        <w:spacing w:after="120"/>
        <w:ind w:left="580" w:hanging="580"/>
        <w:jc w:val="both"/>
      </w:pPr>
      <w:r>
        <w:t>Smluvní strany se zavazují, že nebudou činit žádná jednání, která by jakkoli ohrozila či mohla ohrozit plnění této Smlouvy a/nebo naplnění účelů této Smlouvy.</w:t>
      </w:r>
    </w:p>
    <w:p w14:paraId="472A031D" w14:textId="77777777" w:rsidR="00EC1C40" w:rsidRDefault="00000000">
      <w:pPr>
        <w:pStyle w:val="Zkladntext1"/>
        <w:framePr w:w="9115" w:h="13536" w:hRule="exact" w:wrap="none" w:vAnchor="page" w:hAnchor="page" w:x="1381" w:y="1940"/>
        <w:numPr>
          <w:ilvl w:val="1"/>
          <w:numId w:val="27"/>
        </w:numPr>
        <w:tabs>
          <w:tab w:val="left" w:pos="557"/>
        </w:tabs>
        <w:spacing w:after="0"/>
        <w:ind w:left="580" w:hanging="580"/>
        <w:jc w:val="both"/>
      </w:pPr>
      <w:r>
        <w:t>Tato Smlouva je zcela nezávislá na jiných smlouvách, dohodách či prohlášeních, byť by byly uzavřeny současně a/nebo v souvislosti s touto Smlouvou, není-li v nich a/nebo v této Smlouvě výslovně stanoveno jinak; i v takovém případě je však tato Smlouva závislá na jiných takových</w:t>
      </w:r>
    </w:p>
    <w:p w14:paraId="31C6567D" w14:textId="77777777" w:rsidR="00EC1C40" w:rsidRDefault="00000000">
      <w:pPr>
        <w:pStyle w:val="Zhlavnebozpat0"/>
        <w:framePr w:w="456" w:h="288" w:hRule="exact" w:wrap="none" w:vAnchor="page" w:hAnchor="page" w:x="5710" w:y="16085"/>
        <w:jc w:val="center"/>
        <w:rPr>
          <w:sz w:val="22"/>
          <w:szCs w:val="22"/>
        </w:rPr>
      </w:pPr>
      <w:r>
        <w:rPr>
          <w:color w:val="231E20"/>
          <w:sz w:val="22"/>
          <w:szCs w:val="22"/>
        </w:rPr>
        <w:t>9/12</w:t>
      </w:r>
    </w:p>
    <w:p w14:paraId="20F0C2EB"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4F726C1D" w14:textId="77777777" w:rsidR="00EC1C40" w:rsidRDefault="00000000">
      <w:pPr>
        <w:spacing w:line="1" w:lineRule="exact"/>
      </w:pPr>
      <w:r>
        <w:rPr>
          <w:noProof/>
        </w:rPr>
        <w:lastRenderedPageBreak/>
        <mc:AlternateContent>
          <mc:Choice Requires="wps">
            <w:drawing>
              <wp:anchor distT="0" distB="0" distL="114300" distR="114300" simplePos="0" relativeHeight="251677184" behindDoc="1" locked="0" layoutInCell="1" allowOverlap="1" wp14:anchorId="7B01D7F4" wp14:editId="10C6B058">
                <wp:simplePos x="0" y="0"/>
                <wp:positionH relativeFrom="page">
                  <wp:posOffset>947420</wp:posOffset>
                </wp:positionH>
                <wp:positionV relativeFrom="page">
                  <wp:posOffset>932180</wp:posOffset>
                </wp:positionV>
                <wp:extent cx="5702935" cy="0"/>
                <wp:effectExtent l="0" t="0" r="0" b="0"/>
                <wp:wrapNone/>
                <wp:docPr id="94" name="Shape 94"/>
                <wp:cNvGraphicFramePr/>
                <a:graphic xmlns:a="http://schemas.openxmlformats.org/drawingml/2006/main">
                  <a:graphicData uri="http://schemas.microsoft.com/office/word/2010/wordprocessingShape">
                    <wps:wsp>
                      <wps:cNvCnPr/>
                      <wps:spPr>
                        <a:xfrm>
                          <a:off x="0" y="0"/>
                          <a:ext cx="5702935" cy="0"/>
                        </a:xfrm>
                        <a:prstGeom prst="straightConnector1">
                          <a:avLst/>
                        </a:prstGeom>
                        <a:ln w="6350">
                          <a:solidFill/>
                        </a:ln>
                      </wps:spPr>
                      <wps:bodyPr/>
                    </wps:wsp>
                  </a:graphicData>
                </a:graphic>
              </wp:anchor>
            </w:drawing>
          </mc:Choice>
          <mc:Fallback>
            <w:pict>
              <v:shape o:spt="32" o:oned="true" path="m,l21600,21600e" style="position:absolute;margin-left:74.600000000000009pt;margin-top:73.400000000000006pt;width:449.05000000000001pt;height:0;z-index:-251658240;mso-position-horizontal-relative:page;mso-position-vertical-relative:page">
                <v:stroke weight="0.5pt"/>
              </v:shape>
            </w:pict>
          </mc:Fallback>
        </mc:AlternateContent>
      </w:r>
    </w:p>
    <w:p w14:paraId="73AA7DF5" w14:textId="77777777" w:rsidR="00EC1C40" w:rsidRDefault="00000000">
      <w:pPr>
        <w:pStyle w:val="Zhlavnebozpat0"/>
        <w:framePr w:w="1286" w:h="240" w:hRule="exact" w:wrap="none" w:vAnchor="page" w:hAnchor="page" w:x="5343" w:y="1186"/>
        <w:jc w:val="center"/>
      </w:pPr>
      <w:r>
        <w:t>Směnná smlouva</w:t>
      </w:r>
    </w:p>
    <w:p w14:paraId="6EAF0FA5" w14:textId="77777777" w:rsidR="00EC1C40" w:rsidRDefault="00000000">
      <w:pPr>
        <w:pStyle w:val="Zkladntext1"/>
        <w:framePr w:w="9120" w:h="13507" w:hRule="exact" w:wrap="none" w:vAnchor="page" w:hAnchor="page" w:x="1378" w:y="1940"/>
        <w:ind w:left="580"/>
        <w:jc w:val="both"/>
      </w:pPr>
      <w:r>
        <w:t>dohodách, smlouvách a prohlášeních výhradně způsobem v nich a/nebo v této Smlouvě uvedeným.</w:t>
      </w:r>
    </w:p>
    <w:p w14:paraId="4CF81FA8" w14:textId="77777777" w:rsidR="00EC1C40" w:rsidRDefault="00000000">
      <w:pPr>
        <w:pStyle w:val="Zkladntext1"/>
        <w:framePr w:w="9120" w:h="13507" w:hRule="exact" w:wrap="none" w:vAnchor="page" w:hAnchor="page" w:x="1378" w:y="1940"/>
        <w:numPr>
          <w:ilvl w:val="1"/>
          <w:numId w:val="27"/>
        </w:numPr>
        <w:tabs>
          <w:tab w:val="left" w:pos="553"/>
        </w:tabs>
        <w:ind w:left="580" w:hanging="580"/>
        <w:jc w:val="both"/>
      </w:pPr>
      <w:r>
        <w:t xml:space="preserve">Smluvní strany prohlašují, že si jsou vědomy povahy a hodnoty plnění, která si mají poskytnout podle této Smlouvy, a prohlašují, že jde o plnění, která nejsou vůči sobě v hrubém nepoměru, na základě čehož se vzdávají práva požadovat zrušení této Smlouvy podle </w:t>
      </w:r>
      <w:proofErr w:type="spellStart"/>
      <w:r>
        <w:t>ust</w:t>
      </w:r>
      <w:proofErr w:type="spellEnd"/>
      <w:r>
        <w:t>. § 1794 odst. 2 Občanského zákoníku.</w:t>
      </w:r>
    </w:p>
    <w:p w14:paraId="65E34D77" w14:textId="77777777" w:rsidR="00EC1C40" w:rsidRDefault="00000000">
      <w:pPr>
        <w:pStyle w:val="Zkladntext1"/>
        <w:framePr w:w="9120" w:h="13507" w:hRule="exact" w:wrap="none" w:vAnchor="page" w:hAnchor="page" w:x="1378" w:y="1940"/>
        <w:numPr>
          <w:ilvl w:val="1"/>
          <w:numId w:val="27"/>
        </w:numPr>
        <w:tabs>
          <w:tab w:val="left" w:pos="553"/>
        </w:tabs>
        <w:ind w:left="580" w:hanging="580"/>
        <w:jc w:val="both"/>
      </w:pPr>
      <w:r>
        <w:t>Veškeré spory vyplývající z této Smlouvy nebo vzniklé v souvislosti s ní se pokusí Smluvní strany nejprve vyřešit smírnou cestou. Pokud se Smluvní strany nedohodnou na smírném řešení, může se kterákoli z nich obrátit na příslušný orgán a podat příslušný návrh na zahájení řízení.</w:t>
      </w:r>
    </w:p>
    <w:p w14:paraId="5C1FBB79" w14:textId="77777777" w:rsidR="00EC1C40" w:rsidRDefault="00000000">
      <w:pPr>
        <w:pStyle w:val="Zkladntext1"/>
        <w:framePr w:w="9120" w:h="13507" w:hRule="exact" w:wrap="none" w:vAnchor="page" w:hAnchor="page" w:x="1378" w:y="1940"/>
        <w:numPr>
          <w:ilvl w:val="1"/>
          <w:numId w:val="27"/>
        </w:numPr>
        <w:tabs>
          <w:tab w:val="left" w:pos="553"/>
        </w:tabs>
        <w:ind w:left="580" w:hanging="580"/>
        <w:jc w:val="both"/>
      </w:pPr>
      <w:r>
        <w:t>Změny nebo doplňky této Smlouvy včetně jejích příloh musejí být vyhotoveny písemně a podepsány všemi Smluvními stranami. Změna této Smlouvy v jiné, než písemné formě je tímto vyloučena. Pro tyto účely nebude Smluvními stranami za písemnou formu uznána výměna jakýchkoliv e-mailových zpráv. Smluvní strany se dále pro vyloučení jakýchkoliv pochybností dohodly, že také změna tohoto ustanovení (čl. 10.8 této Smlouvy) jinou než písemnou formou se tímto vylučuje.</w:t>
      </w:r>
    </w:p>
    <w:p w14:paraId="48680AB7" w14:textId="77777777" w:rsidR="00EC1C40" w:rsidRDefault="00000000">
      <w:pPr>
        <w:pStyle w:val="Zkladntext1"/>
        <w:framePr w:w="9120" w:h="13507" w:hRule="exact" w:wrap="none" w:vAnchor="page" w:hAnchor="page" w:x="1378" w:y="1940"/>
        <w:numPr>
          <w:ilvl w:val="1"/>
          <w:numId w:val="27"/>
        </w:numPr>
        <w:tabs>
          <w:tab w:val="left" w:pos="553"/>
        </w:tabs>
        <w:ind w:left="580" w:hanging="580"/>
        <w:jc w:val="both"/>
      </w:pPr>
      <w:r>
        <w:t>Je-li v této Smlouvě ujednáno, že Smluvní strana něco „zajistí“ nebo “zajistí, aby třetí osoba plnila nebo jednala určitým způsobem”, bude takové ujednání vykládáno tak, že příslušná Smluvní strana (i) se na jeho základě ve smyslu § 1769 druhá věta Občanského zákoníku zavazuje k tomu, že třetí osoba splní, co bylo ujednáno, (</w:t>
      </w:r>
      <w:proofErr w:type="spellStart"/>
      <w:r>
        <w:t>ii</w:t>
      </w:r>
      <w:proofErr w:type="spellEnd"/>
      <w:r>
        <w:t>) je odpovědná za to, že zamýšlený výsledek nastane, bez ohledu na jakákoli subjektivní či objektivní omezení v možnostech Smluvní strany kontrolovat či ovlivňovat třetí osoby, či jiné subjektivní či objektivní skutečnosti, které jsou nezbytné k tomu, aby bylo zamýšleného výsledku dosaženo a (</w:t>
      </w:r>
      <w:proofErr w:type="spellStart"/>
      <w:r>
        <w:t>iii</w:t>
      </w:r>
      <w:proofErr w:type="spellEnd"/>
      <w:r>
        <w:t>) nahradí škodu, kterou druhá Smluvní strana utrpí, pokud ke splnění nedojde.</w:t>
      </w:r>
    </w:p>
    <w:p w14:paraId="5A6FEEB0" w14:textId="77777777" w:rsidR="00EC1C40" w:rsidRDefault="00000000">
      <w:pPr>
        <w:pStyle w:val="Zkladntext1"/>
        <w:framePr w:w="9120" w:h="13507" w:hRule="exact" w:wrap="none" w:vAnchor="page" w:hAnchor="page" w:x="1378" w:y="1940"/>
        <w:numPr>
          <w:ilvl w:val="1"/>
          <w:numId w:val="27"/>
        </w:numPr>
        <w:tabs>
          <w:tab w:val="left" w:pos="663"/>
        </w:tabs>
        <w:jc w:val="both"/>
      </w:pPr>
      <w:r>
        <w:t>Smluvní strany (každá ze Smluvních stran) na sebe přebírají nebezpečí změny okolností.</w:t>
      </w:r>
    </w:p>
    <w:p w14:paraId="1324B879" w14:textId="77777777" w:rsidR="00EC1C40" w:rsidRDefault="00000000">
      <w:pPr>
        <w:pStyle w:val="Zkladntext1"/>
        <w:framePr w:w="9120" w:h="13507" w:hRule="exact" w:wrap="none" w:vAnchor="page" w:hAnchor="page" w:x="1378" w:y="1940"/>
        <w:numPr>
          <w:ilvl w:val="1"/>
          <w:numId w:val="27"/>
        </w:numPr>
        <w:tabs>
          <w:tab w:val="left" w:pos="663"/>
        </w:tabs>
        <w:ind w:left="580" w:hanging="580"/>
        <w:jc w:val="both"/>
      </w:pPr>
      <w:r>
        <w:t>Tato Smlouva je vyhotovena ve třech (3) vyhotoveních v českém jazyce, přičemž Investor a SMP obdrží každý po jednom (1) vyhotovení a jedno (1) vyhotovení je určeno pro katastrální řízení; toto vyhotovení bude předáno Investorovi.</w:t>
      </w:r>
    </w:p>
    <w:p w14:paraId="02C5A7F8" w14:textId="77777777" w:rsidR="00EC1C40" w:rsidRDefault="00000000">
      <w:pPr>
        <w:pStyle w:val="Zkladntext1"/>
        <w:framePr w:w="9120" w:h="13507" w:hRule="exact" w:wrap="none" w:vAnchor="page" w:hAnchor="page" w:x="1378" w:y="1940"/>
        <w:numPr>
          <w:ilvl w:val="1"/>
          <w:numId w:val="27"/>
        </w:numPr>
        <w:tabs>
          <w:tab w:val="left" w:pos="663"/>
        </w:tabs>
        <w:ind w:left="580" w:hanging="580"/>
        <w:jc w:val="both"/>
      </w:pPr>
      <w:r>
        <w:t>Smluvní strany prohlašují, že tato Smlouva je výsledkem komplexních a dlouhotrvajících jednání, v jejichž průběhu měly Smluvní strany dostatečnou možnost konzultovat kterékoli její ujednání se svými právními a jinými odbornými zástupci; z tohoto důvodu každá ze Smluvních stran prohlašuje, že:</w:t>
      </w:r>
    </w:p>
    <w:p w14:paraId="73C9766F" w14:textId="77777777" w:rsidR="00EC1C40" w:rsidRDefault="00000000">
      <w:pPr>
        <w:pStyle w:val="Zkladntext1"/>
        <w:framePr w:w="9120" w:h="13507" w:hRule="exact" w:wrap="none" w:vAnchor="page" w:hAnchor="page" w:x="1378" w:y="1940"/>
        <w:numPr>
          <w:ilvl w:val="2"/>
          <w:numId w:val="27"/>
        </w:numPr>
        <w:tabs>
          <w:tab w:val="left" w:pos="1420"/>
        </w:tabs>
        <w:ind w:left="1440" w:hanging="860"/>
        <w:jc w:val="both"/>
      </w:pPr>
      <w:r>
        <w:t>se s ohledem na své hospodářské postavení necítí být na kterékoli ze Smluvních stran závislá; a</w:t>
      </w:r>
    </w:p>
    <w:p w14:paraId="12D17A03" w14:textId="77777777" w:rsidR="00EC1C40" w:rsidRDefault="00000000">
      <w:pPr>
        <w:pStyle w:val="Zkladntext1"/>
        <w:framePr w:w="9120" w:h="13507" w:hRule="exact" w:wrap="none" w:vAnchor="page" w:hAnchor="page" w:x="1378" w:y="1940"/>
        <w:numPr>
          <w:ilvl w:val="2"/>
          <w:numId w:val="27"/>
        </w:numPr>
        <w:tabs>
          <w:tab w:val="left" w:pos="1420"/>
        </w:tabs>
        <w:ind w:firstLine="580"/>
        <w:jc w:val="both"/>
      </w:pPr>
      <w:r>
        <w:t>tuto Smlouvu neuzavírá v tísni a/nebo za nápadně nevýhodných podmínek; a</w:t>
      </w:r>
    </w:p>
    <w:p w14:paraId="09428F0C" w14:textId="77777777" w:rsidR="00EC1C40" w:rsidRDefault="00000000">
      <w:pPr>
        <w:pStyle w:val="Zkladntext1"/>
        <w:framePr w:w="9120" w:h="13507" w:hRule="exact" w:wrap="none" w:vAnchor="page" w:hAnchor="page" w:x="1378" w:y="1940"/>
        <w:numPr>
          <w:ilvl w:val="2"/>
          <w:numId w:val="27"/>
        </w:numPr>
        <w:tabs>
          <w:tab w:val="left" w:pos="1420"/>
        </w:tabs>
        <w:ind w:left="1440" w:hanging="860"/>
        <w:jc w:val="both"/>
      </w:pPr>
      <w:r>
        <w:t>při jednání s ohledem na roli svých právních a jiných odborných poradců získala veškeré odborné znalosti potřebné k řádnému posouzení obsahu této Smlouvy.</w:t>
      </w:r>
    </w:p>
    <w:p w14:paraId="59767D8C" w14:textId="77777777" w:rsidR="00EC1C40" w:rsidRDefault="00000000">
      <w:pPr>
        <w:pStyle w:val="Zkladntext1"/>
        <w:framePr w:w="9120" w:h="13507" w:hRule="exact" w:wrap="none" w:vAnchor="page" w:hAnchor="page" w:x="1378" w:y="1940"/>
        <w:numPr>
          <w:ilvl w:val="1"/>
          <w:numId w:val="27"/>
        </w:numPr>
        <w:tabs>
          <w:tab w:val="left" w:pos="663"/>
        </w:tabs>
        <w:ind w:left="580" w:hanging="580"/>
        <w:jc w:val="both"/>
      </w:pPr>
      <w:r>
        <w:t>Smluvní strany nespatřují důvod pro použití ustanovení o slabší straně ve smyslu ustanovení § 433 Občanského zákoníku a ustanovení o smlouvách uzavíraných adhezním způsobem ve smyslu § 1799 a § 1800 Občanského zákoníku; aplikaci těchto ustanovení Smluvní strany na právní vztahy založené touto Smlouvou v maximálním možném rozsahu dle platných a účinných právních předpisů vylučují.</w:t>
      </w:r>
    </w:p>
    <w:p w14:paraId="31BB5AEC" w14:textId="77777777" w:rsidR="00EC1C40" w:rsidRDefault="00000000">
      <w:pPr>
        <w:pStyle w:val="Nadpis60"/>
        <w:framePr w:w="9120" w:h="13507" w:hRule="exact" w:wrap="none" w:vAnchor="page" w:hAnchor="page" w:x="1378" w:y="1940"/>
        <w:numPr>
          <w:ilvl w:val="0"/>
          <w:numId w:val="27"/>
        </w:numPr>
        <w:tabs>
          <w:tab w:val="left" w:pos="549"/>
        </w:tabs>
        <w:jc w:val="both"/>
      </w:pPr>
      <w:bookmarkStart w:id="66" w:name="bookmark133"/>
      <w:r>
        <w:t>Uzavření Smlouvy a její účinnost</w:t>
      </w:r>
      <w:bookmarkEnd w:id="66"/>
    </w:p>
    <w:p w14:paraId="7B9BDB42" w14:textId="77777777" w:rsidR="00EC1C40" w:rsidRDefault="00000000">
      <w:pPr>
        <w:pStyle w:val="Zkladntext1"/>
        <w:framePr w:w="9120" w:h="13507" w:hRule="exact" w:wrap="none" w:vAnchor="page" w:hAnchor="page" w:x="1378" w:y="1940"/>
        <w:numPr>
          <w:ilvl w:val="1"/>
          <w:numId w:val="27"/>
        </w:numPr>
        <w:tabs>
          <w:tab w:val="left" w:pos="553"/>
        </w:tabs>
        <w:jc w:val="both"/>
      </w:pPr>
      <w:r>
        <w:t>Tato Smlouva je uzavřena podpisem poslední ze Smluvních stran.</w:t>
      </w:r>
    </w:p>
    <w:p w14:paraId="253776C7" w14:textId="77777777" w:rsidR="00EC1C40" w:rsidRDefault="00000000">
      <w:pPr>
        <w:pStyle w:val="Zkladntext1"/>
        <w:framePr w:w="9120" w:h="13507" w:hRule="exact" w:wrap="none" w:vAnchor="page" w:hAnchor="page" w:x="1378" w:y="1940"/>
        <w:numPr>
          <w:ilvl w:val="1"/>
          <w:numId w:val="27"/>
        </w:numPr>
        <w:tabs>
          <w:tab w:val="left" w:pos="553"/>
        </w:tabs>
        <w:spacing w:after="0"/>
        <w:jc w:val="both"/>
      </w:pPr>
      <w:r>
        <w:t>Tato Smlouva nabývá účinnosti dnem jejího uveřejnění v registru smluv.</w:t>
      </w:r>
    </w:p>
    <w:p w14:paraId="5BD47740" w14:textId="77777777" w:rsidR="00EC1C40" w:rsidRDefault="00000000">
      <w:pPr>
        <w:pStyle w:val="Zhlavnebozpat0"/>
        <w:framePr w:wrap="none" w:vAnchor="page" w:hAnchor="page" w:x="5660" w:y="16085"/>
        <w:rPr>
          <w:sz w:val="22"/>
          <w:szCs w:val="22"/>
        </w:rPr>
      </w:pPr>
      <w:r>
        <w:rPr>
          <w:color w:val="231E20"/>
          <w:sz w:val="22"/>
          <w:szCs w:val="22"/>
        </w:rPr>
        <w:t>10/12</w:t>
      </w:r>
    </w:p>
    <w:p w14:paraId="00EFAC9E"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05BDDF20" w14:textId="77777777" w:rsidR="00EC1C40" w:rsidRDefault="00000000">
      <w:pPr>
        <w:spacing w:line="1" w:lineRule="exact"/>
      </w:pPr>
      <w:r>
        <w:rPr>
          <w:noProof/>
        </w:rPr>
        <w:lastRenderedPageBreak/>
        <mc:AlternateContent>
          <mc:Choice Requires="wps">
            <w:drawing>
              <wp:anchor distT="0" distB="0" distL="114300" distR="114300" simplePos="0" relativeHeight="251678208" behindDoc="1" locked="0" layoutInCell="1" allowOverlap="1" wp14:anchorId="3167C775" wp14:editId="755BA2C6">
                <wp:simplePos x="0" y="0"/>
                <wp:positionH relativeFrom="page">
                  <wp:posOffset>947420</wp:posOffset>
                </wp:positionH>
                <wp:positionV relativeFrom="page">
                  <wp:posOffset>932180</wp:posOffset>
                </wp:positionV>
                <wp:extent cx="5702935" cy="0"/>
                <wp:effectExtent l="0" t="0" r="0" b="0"/>
                <wp:wrapNone/>
                <wp:docPr id="95" name="Shape 95"/>
                <wp:cNvGraphicFramePr/>
                <a:graphic xmlns:a="http://schemas.openxmlformats.org/drawingml/2006/main">
                  <a:graphicData uri="http://schemas.microsoft.com/office/word/2010/wordprocessingShape">
                    <wps:wsp>
                      <wps:cNvCnPr/>
                      <wps:spPr>
                        <a:xfrm>
                          <a:off x="0" y="0"/>
                          <a:ext cx="5702935" cy="0"/>
                        </a:xfrm>
                        <a:prstGeom prst="straightConnector1">
                          <a:avLst/>
                        </a:prstGeom>
                        <a:ln w="6350">
                          <a:solidFill/>
                        </a:ln>
                      </wps:spPr>
                      <wps:bodyPr/>
                    </wps:wsp>
                  </a:graphicData>
                </a:graphic>
              </wp:anchor>
            </w:drawing>
          </mc:Choice>
          <mc:Fallback>
            <w:pict>
              <v:shape o:spt="32" o:oned="true" path="m,l21600,21600e" style="position:absolute;margin-left:74.600000000000009pt;margin-top:73.400000000000006pt;width:449.05000000000001pt;height:0;z-index:-251658240;mso-position-horizontal-relative:page;mso-position-vertical-relative:page">
                <v:stroke weight="0.5pt"/>
              </v:shape>
            </w:pict>
          </mc:Fallback>
        </mc:AlternateContent>
      </w:r>
    </w:p>
    <w:p w14:paraId="60258B2B" w14:textId="77777777" w:rsidR="00EC1C40" w:rsidRDefault="00000000">
      <w:pPr>
        <w:pStyle w:val="Zhlavnebozpat0"/>
        <w:framePr w:w="1286" w:h="240" w:hRule="exact" w:wrap="none" w:vAnchor="page" w:hAnchor="page" w:x="5343" w:y="1186"/>
        <w:jc w:val="center"/>
      </w:pPr>
      <w:r>
        <w:t>Směnná smlouva</w:t>
      </w:r>
    </w:p>
    <w:p w14:paraId="1B58CCF8" w14:textId="77777777" w:rsidR="00EC1C40" w:rsidRDefault="00000000">
      <w:pPr>
        <w:pStyle w:val="Zkladntext1"/>
        <w:framePr w:w="9120" w:h="7358" w:hRule="exact" w:wrap="none" w:vAnchor="page" w:hAnchor="page" w:x="1378" w:y="1940"/>
        <w:numPr>
          <w:ilvl w:val="1"/>
          <w:numId w:val="27"/>
        </w:numPr>
        <w:tabs>
          <w:tab w:val="left" w:pos="553"/>
        </w:tabs>
        <w:spacing w:after="120"/>
        <w:ind w:left="580" w:hanging="580"/>
        <w:jc w:val="both"/>
      </w:pPr>
      <w:r>
        <w:t>Investor tímto prohlašuje, že tuto Smlouvu je připraven uzavřít pouze za následujících předpokladů: (i) tato Smlouva bude ze strany příslušných orgánů SMP schválena a ze strany SMP uzavřena ve znění, které je odsouhlaseno Investorem, (</w:t>
      </w:r>
      <w:proofErr w:type="spellStart"/>
      <w:r>
        <w:t>ii</w:t>
      </w:r>
      <w:proofErr w:type="spellEnd"/>
      <w:r>
        <w:t xml:space="preserve">) spolu s touto Smlouvou budou ve znění odsouhlaseném Investorem ze strany příslušných orgánů SMP schváleny a ze strany SMP uzavřeny i Smlouva o výpůjčce, Smlouva o smlouvě budoucí směnné, Smlouva o výpůjčce SMP Hůrka, </w:t>
      </w:r>
      <w:proofErr w:type="spellStart"/>
      <w:r>
        <w:t>SoSB</w:t>
      </w:r>
      <w:proofErr w:type="spellEnd"/>
      <w:r>
        <w:t xml:space="preserve"> SMP Hůrka </w:t>
      </w:r>
      <w:r>
        <w:rPr>
          <w:i/>
          <w:iCs/>
        </w:rPr>
        <w:t>(jak jsou tyto pojmy definovány v Plánovací smlouvě)</w:t>
      </w:r>
      <w:r>
        <w:t>, Dohoda o úpravě vztahů a Plánovací smlouva, a to včetně schválení rozhodnutí o snížení základní výše Investičního příspěvku dle Zásad o 100% z titulu charakteru Investičního záměru jako veřejné stavby (čl. 4.2. a 4.3. Plánovací smlouvy) a dále schválení snížení Investičního příspěvku o 200,- Kč za každý 1 m2 z titulu realizace Adaptačních opatření (čl. 4.4. Plánovací smlouvy) a (</w:t>
      </w:r>
      <w:proofErr w:type="spellStart"/>
      <w:r>
        <w:t>iii</w:t>
      </w:r>
      <w:proofErr w:type="spellEnd"/>
      <w:r>
        <w:t xml:space="preserve">) ze strany Nadace pro rozvoj města Pardubic, IČ: 464 95 801, se sídlem Pernštýnské náměstí 1, Pardubice-Staré Město, 530 02 Pardubice, zapsaná v nadačním rejstříku vedeném u Krajského soudu v Hradci Králové pod </w:t>
      </w:r>
      <w:proofErr w:type="spellStart"/>
      <w:r>
        <w:t>sp</w:t>
      </w:r>
      <w:proofErr w:type="spellEnd"/>
      <w:r>
        <w:t>. zn. N 87 (dále jen "</w:t>
      </w:r>
      <w:r>
        <w:rPr>
          <w:b/>
          <w:bCs/>
        </w:rPr>
        <w:t>Nadace</w:t>
      </w:r>
      <w:r>
        <w:t xml:space="preserve">") budou uzavřeny Smlouva o výpůjčce Nadace Hůrka a </w:t>
      </w:r>
      <w:proofErr w:type="spellStart"/>
      <w:r>
        <w:t>SoSB</w:t>
      </w:r>
      <w:proofErr w:type="spellEnd"/>
      <w:r>
        <w:t xml:space="preserve"> Nadace Hůrka </w:t>
      </w:r>
      <w:r>
        <w:rPr>
          <w:i/>
          <w:iCs/>
        </w:rPr>
        <w:t>(jak jsou tyto pojmy definovány v Plánovací smlouvě)</w:t>
      </w:r>
      <w:r>
        <w:t>, a to ve znění odsouhlaseném Investorem. SMP toto prohlášení Investora plně respektuje.</w:t>
      </w:r>
    </w:p>
    <w:p w14:paraId="38BC003D" w14:textId="77777777" w:rsidR="00EC1C40" w:rsidRDefault="00000000">
      <w:pPr>
        <w:pStyle w:val="Zkladntext1"/>
        <w:framePr w:w="9120" w:h="7358" w:hRule="exact" w:wrap="none" w:vAnchor="page" w:hAnchor="page" w:x="1378" w:y="1940"/>
        <w:numPr>
          <w:ilvl w:val="1"/>
          <w:numId w:val="27"/>
        </w:numPr>
        <w:tabs>
          <w:tab w:val="left" w:pos="553"/>
        </w:tabs>
        <w:spacing w:after="120"/>
        <w:ind w:left="580" w:hanging="580"/>
        <w:jc w:val="both"/>
      </w:pPr>
      <w:r>
        <w:t>SMP tímto prohlašuje, že tuto Smlouvu je připraveno uzavřít pouze za následujících předpokladů: (i) tato Smlouva bude ze strany příslušných orgánů SMP schválena a ze strany SMP uzavřena ve znění, které je odsouhlaseno příslušnými orgány SMP, (</w:t>
      </w:r>
      <w:proofErr w:type="spellStart"/>
      <w:r>
        <w:t>ii</w:t>
      </w:r>
      <w:proofErr w:type="spellEnd"/>
      <w:r>
        <w:t xml:space="preserve">) spolu s touto Smlouvou budou ze strany Investora uzavřeny i Smlouva o výpůjčce, Smlouva o smlouvě budoucí směnné, Smlouva o výpůjčce SMP Hůrka, </w:t>
      </w:r>
      <w:proofErr w:type="spellStart"/>
      <w:r>
        <w:t>SoSB</w:t>
      </w:r>
      <w:proofErr w:type="spellEnd"/>
      <w:r>
        <w:t xml:space="preserve"> SMP Hůrka, Smlouva o výpůjčce Nadace Hůrka a </w:t>
      </w:r>
      <w:proofErr w:type="spellStart"/>
      <w:r>
        <w:t>SoSB</w:t>
      </w:r>
      <w:proofErr w:type="spellEnd"/>
      <w:r>
        <w:t xml:space="preserve"> Nadace Hůrka </w:t>
      </w:r>
      <w:r>
        <w:rPr>
          <w:i/>
          <w:iCs/>
        </w:rPr>
        <w:t>(jak jsou tyto pojmy definovány v Plánovací smlouvě)</w:t>
      </w:r>
      <w:r>
        <w:t>, Dohoda o úpravě vztahů a Plánovací smlouva. Investor toto prohlášení SMP plně respektuje.</w:t>
      </w:r>
    </w:p>
    <w:p w14:paraId="1F61FC34" w14:textId="77777777" w:rsidR="00EC1C40" w:rsidRDefault="00000000">
      <w:pPr>
        <w:pStyle w:val="Zkladntext1"/>
        <w:framePr w:w="9120" w:h="7358" w:hRule="exact" w:wrap="none" w:vAnchor="page" w:hAnchor="page" w:x="1378" w:y="1940"/>
        <w:spacing w:after="120"/>
        <w:jc w:val="both"/>
      </w:pPr>
      <w:r>
        <w:rPr>
          <w:i/>
          <w:iCs/>
        </w:rPr>
        <w:t>NA DŮKAZ TOHO Smluvní strany prohlašují, že s obsahem této Smlouvy souhlasí, rozumí jí a zavazují se k jejímu plnění, připojují své podpisy a prohlašují, že tato Smlouva byla uzavřena podle jejich svobodné a vážné vůle prosté tísně, zejména tísně finanční.</w:t>
      </w:r>
    </w:p>
    <w:p w14:paraId="0D151AC7" w14:textId="77777777" w:rsidR="00EC1C40" w:rsidRDefault="00000000">
      <w:pPr>
        <w:pStyle w:val="Zkladntext1"/>
        <w:framePr w:w="9120" w:h="7358" w:hRule="exact" w:wrap="none" w:vAnchor="page" w:hAnchor="page" w:x="1378" w:y="1940"/>
        <w:spacing w:after="0"/>
        <w:jc w:val="center"/>
      </w:pPr>
      <w:r>
        <w:rPr>
          <w:i/>
          <w:iCs/>
        </w:rPr>
        <w:t>PODPISOVÁ STRANA NÁSLEDUJE</w:t>
      </w:r>
    </w:p>
    <w:p w14:paraId="7DB10D7F" w14:textId="77777777" w:rsidR="00EC1C40" w:rsidRDefault="00000000">
      <w:pPr>
        <w:pStyle w:val="Zhlavnebozpat0"/>
        <w:framePr w:wrap="none" w:vAnchor="page" w:hAnchor="page" w:x="5660" w:y="16085"/>
        <w:rPr>
          <w:sz w:val="22"/>
          <w:szCs w:val="22"/>
        </w:rPr>
      </w:pPr>
      <w:r>
        <w:rPr>
          <w:color w:val="231E20"/>
          <w:sz w:val="22"/>
          <w:szCs w:val="22"/>
        </w:rPr>
        <w:t>11/12</w:t>
      </w:r>
    </w:p>
    <w:p w14:paraId="0C5FACBD"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4D727BD7" w14:textId="77777777" w:rsidR="00EC1C40" w:rsidRDefault="00000000">
      <w:pPr>
        <w:spacing w:line="1" w:lineRule="exact"/>
      </w:pPr>
      <w:r>
        <w:rPr>
          <w:noProof/>
        </w:rPr>
        <w:lastRenderedPageBreak/>
        <mc:AlternateContent>
          <mc:Choice Requires="wps">
            <w:drawing>
              <wp:anchor distT="0" distB="0" distL="114300" distR="114300" simplePos="0" relativeHeight="251679232" behindDoc="1" locked="0" layoutInCell="1" allowOverlap="1" wp14:anchorId="57808CE0" wp14:editId="79A94C75">
                <wp:simplePos x="0" y="0"/>
                <wp:positionH relativeFrom="page">
                  <wp:posOffset>947420</wp:posOffset>
                </wp:positionH>
                <wp:positionV relativeFrom="page">
                  <wp:posOffset>932180</wp:posOffset>
                </wp:positionV>
                <wp:extent cx="5702935" cy="0"/>
                <wp:effectExtent l="0" t="0" r="0" b="0"/>
                <wp:wrapNone/>
                <wp:docPr id="96" name="Shape 96"/>
                <wp:cNvGraphicFramePr/>
                <a:graphic xmlns:a="http://schemas.openxmlformats.org/drawingml/2006/main">
                  <a:graphicData uri="http://schemas.microsoft.com/office/word/2010/wordprocessingShape">
                    <wps:wsp>
                      <wps:cNvCnPr/>
                      <wps:spPr>
                        <a:xfrm>
                          <a:off x="0" y="0"/>
                          <a:ext cx="5702935" cy="0"/>
                        </a:xfrm>
                        <a:prstGeom prst="straightConnector1">
                          <a:avLst/>
                        </a:prstGeom>
                        <a:ln w="6350">
                          <a:solidFill/>
                        </a:ln>
                      </wps:spPr>
                      <wps:bodyPr/>
                    </wps:wsp>
                  </a:graphicData>
                </a:graphic>
              </wp:anchor>
            </w:drawing>
          </mc:Choice>
          <mc:Fallback>
            <w:pict>
              <v:shape o:spt="32" o:oned="true" path="m,l21600,21600e" style="position:absolute;margin-left:74.600000000000009pt;margin-top:73.400000000000006pt;width:449.05000000000001pt;height:0;z-index:-251658240;mso-position-horizontal-relative:page;mso-position-vertical-relative:page">
                <v:stroke weight="0.5pt"/>
              </v:shape>
            </w:pict>
          </mc:Fallback>
        </mc:AlternateContent>
      </w:r>
    </w:p>
    <w:p w14:paraId="3C05D540" w14:textId="77777777" w:rsidR="00EC1C40" w:rsidRDefault="00000000">
      <w:pPr>
        <w:pStyle w:val="Zhlavnebozpat0"/>
        <w:framePr w:w="1286" w:h="240" w:hRule="exact" w:wrap="none" w:vAnchor="page" w:hAnchor="page" w:x="5343" w:y="1186"/>
        <w:jc w:val="center"/>
      </w:pPr>
      <w:r>
        <w:t>Směnná smlouva</w:t>
      </w:r>
    </w:p>
    <w:p w14:paraId="46D2D28A" w14:textId="77777777" w:rsidR="00EC1C40" w:rsidRDefault="00000000">
      <w:pPr>
        <w:pStyle w:val="Zkladntext1"/>
        <w:framePr w:w="1867" w:h="288" w:hRule="exact" w:wrap="none" w:vAnchor="page" w:hAnchor="page" w:x="5002" w:y="3106"/>
        <w:spacing w:after="0"/>
        <w:jc w:val="center"/>
      </w:pPr>
      <w:r>
        <w:rPr>
          <w:i/>
          <w:iCs/>
        </w:rPr>
        <w:t>PODPISOVÁ STRANA</w:t>
      </w:r>
    </w:p>
    <w:p w14:paraId="20E3CD41" w14:textId="77777777" w:rsidR="00EC1C40" w:rsidRDefault="00000000">
      <w:pPr>
        <w:pStyle w:val="Zkladntext1"/>
        <w:framePr w:wrap="none" w:vAnchor="page" w:hAnchor="page" w:x="1484" w:y="3860"/>
        <w:spacing w:after="0"/>
        <w:jc w:val="both"/>
      </w:pPr>
      <w:r>
        <w:t>V [•] dne [•]</w:t>
      </w:r>
    </w:p>
    <w:p w14:paraId="5E45F746" w14:textId="77777777" w:rsidR="00EC1C40" w:rsidRDefault="00000000">
      <w:pPr>
        <w:pStyle w:val="Zkladntext1"/>
        <w:framePr w:wrap="none" w:vAnchor="page" w:hAnchor="page" w:x="6476" w:y="3860"/>
        <w:spacing w:after="0"/>
      </w:pPr>
      <w:r>
        <w:t>V [•] dne [•]</w:t>
      </w:r>
    </w:p>
    <w:p w14:paraId="3D2C2F44" w14:textId="77777777" w:rsidR="00EC1C40" w:rsidRDefault="00000000">
      <w:pPr>
        <w:pStyle w:val="Zkladntext1"/>
        <w:framePr w:w="3216" w:h="826" w:hRule="exact" w:wrap="none" w:vAnchor="page" w:hAnchor="page" w:x="1484" w:y="5712"/>
        <w:pBdr>
          <w:top w:val="single" w:sz="4" w:space="0" w:color="auto"/>
        </w:pBdr>
        <w:spacing w:after="0"/>
        <w:jc w:val="center"/>
      </w:pPr>
      <w:r>
        <w:rPr>
          <w:b/>
          <w:bCs/>
        </w:rPr>
        <w:t>Statutární město Pardubice</w:t>
      </w:r>
      <w:r>
        <w:rPr>
          <w:b/>
          <w:bCs/>
        </w:rPr>
        <w:br/>
      </w:r>
      <w:r>
        <w:t>Bc. Jan Nadrchal</w:t>
      </w:r>
      <w:r>
        <w:br/>
        <w:t>primátor</w:t>
      </w:r>
    </w:p>
    <w:p w14:paraId="631E20B0" w14:textId="77777777" w:rsidR="00EC1C40" w:rsidRDefault="00000000">
      <w:pPr>
        <w:pStyle w:val="Zkladntext1"/>
        <w:framePr w:w="1123" w:h="826" w:hRule="exact" w:wrap="none" w:vAnchor="page" w:hAnchor="page" w:x="7978" w:y="5712"/>
        <w:pBdr>
          <w:top w:val="single" w:sz="4" w:space="0" w:color="auto"/>
        </w:pBdr>
        <w:spacing w:after="0"/>
        <w:jc w:val="center"/>
      </w:pPr>
      <w:r>
        <w:rPr>
          <w:b/>
          <w:bCs/>
        </w:rPr>
        <w:t>MHAP s.r.o.</w:t>
      </w:r>
      <w:r>
        <w:rPr>
          <w:b/>
          <w:bCs/>
        </w:rPr>
        <w:br/>
      </w:r>
      <w:r>
        <w:t>Petr Dědek</w:t>
      </w:r>
      <w:r>
        <w:br/>
        <w:t>jednatel</w:t>
      </w:r>
    </w:p>
    <w:p w14:paraId="15D8E9BD" w14:textId="77777777" w:rsidR="00EC1C40" w:rsidRDefault="00000000">
      <w:pPr>
        <w:pStyle w:val="Zhlavnebozpat0"/>
        <w:framePr w:wrap="none" w:vAnchor="page" w:hAnchor="page" w:x="5660" w:y="16085"/>
        <w:rPr>
          <w:sz w:val="22"/>
          <w:szCs w:val="22"/>
        </w:rPr>
      </w:pPr>
      <w:r>
        <w:rPr>
          <w:color w:val="231E20"/>
          <w:sz w:val="22"/>
          <w:szCs w:val="22"/>
        </w:rPr>
        <w:t>12/12</w:t>
      </w:r>
    </w:p>
    <w:p w14:paraId="3D8BBD6B"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34EE8FD5" w14:textId="77777777" w:rsidR="00EC1C40" w:rsidRDefault="00EC1C40">
      <w:pPr>
        <w:spacing w:line="1" w:lineRule="exact"/>
      </w:pPr>
    </w:p>
    <w:p w14:paraId="3F10AFAD" w14:textId="77777777" w:rsidR="00EC1C40" w:rsidRDefault="00000000">
      <w:pPr>
        <w:pStyle w:val="Zkladntext80"/>
        <w:framePr w:w="6701" w:h="547" w:hRule="exact" w:wrap="none" w:vAnchor="page" w:hAnchor="page" w:x="2727" w:y="5132"/>
      </w:pPr>
      <w:r>
        <w:t>Příloha č. 6</w:t>
      </w:r>
    </w:p>
    <w:p w14:paraId="7E305CC1"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2063614F" w14:textId="77777777" w:rsidR="00EC1C40" w:rsidRDefault="00EC1C40">
      <w:pPr>
        <w:spacing w:line="1" w:lineRule="exact"/>
      </w:pPr>
    </w:p>
    <w:p w14:paraId="1F98DDA8" w14:textId="77777777" w:rsidR="00EC1C40" w:rsidRDefault="00000000">
      <w:pPr>
        <w:pStyle w:val="Zkladntext20"/>
        <w:framePr w:w="9134" w:h="566" w:hRule="exact" w:wrap="none" w:vAnchor="page" w:hAnchor="page" w:x="1513" w:y="4210"/>
        <w:pBdr>
          <w:bottom w:val="single" w:sz="4" w:space="0" w:color="auto"/>
        </w:pBdr>
        <w:spacing w:after="0"/>
      </w:pPr>
      <w:r>
        <w:t>Smlouva o smlouvě budoucí směnné</w:t>
      </w:r>
    </w:p>
    <w:p w14:paraId="467C3439" w14:textId="77777777" w:rsidR="00EC1C40" w:rsidRDefault="00000000">
      <w:pPr>
        <w:pStyle w:val="Zkladntext1"/>
        <w:framePr w:w="9134" w:h="1968" w:hRule="exact" w:wrap="none" w:vAnchor="page" w:hAnchor="page" w:x="1513" w:y="5007"/>
        <w:jc w:val="center"/>
      </w:pPr>
      <w:r>
        <w:t>mezi</w:t>
      </w:r>
    </w:p>
    <w:p w14:paraId="25EC3F68" w14:textId="77777777" w:rsidR="00EC1C40" w:rsidRDefault="00000000">
      <w:pPr>
        <w:pStyle w:val="Zkladntext20"/>
        <w:framePr w:w="9134" w:h="1968" w:hRule="exact" w:wrap="none" w:vAnchor="page" w:hAnchor="page" w:x="1513" w:y="5007"/>
        <w:spacing w:line="262" w:lineRule="auto"/>
        <w:rPr>
          <w:sz w:val="22"/>
          <w:szCs w:val="22"/>
        </w:rPr>
      </w:pPr>
      <w:r>
        <w:rPr>
          <w:b w:val="0"/>
          <w:bCs w:val="0"/>
        </w:rPr>
        <w:t>Statutární město Pardubice</w:t>
      </w:r>
      <w:r>
        <w:rPr>
          <w:b w:val="0"/>
          <w:bCs w:val="0"/>
        </w:rPr>
        <w:br/>
      </w:r>
      <w:r>
        <w:rPr>
          <w:b w:val="0"/>
          <w:bCs w:val="0"/>
          <w:sz w:val="22"/>
          <w:szCs w:val="22"/>
        </w:rPr>
        <w:t>a</w:t>
      </w:r>
    </w:p>
    <w:p w14:paraId="7349444E" w14:textId="77777777" w:rsidR="00EC1C40" w:rsidRDefault="00000000">
      <w:pPr>
        <w:pStyle w:val="Zkladntext20"/>
        <w:framePr w:w="9134" w:h="1968" w:hRule="exact" w:wrap="none" w:vAnchor="page" w:hAnchor="page" w:x="1513" w:y="5007"/>
        <w:spacing w:after="0" w:line="197" w:lineRule="auto"/>
      </w:pPr>
      <w:r>
        <w:rPr>
          <w:b w:val="0"/>
          <w:bCs w:val="0"/>
        </w:rPr>
        <w:t>MHAP s.r.o.</w:t>
      </w:r>
    </w:p>
    <w:p w14:paraId="5CCE6822"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757DCDAB" w14:textId="77777777" w:rsidR="00EC1C40" w:rsidRDefault="00000000">
      <w:pPr>
        <w:spacing w:line="1" w:lineRule="exact"/>
      </w:pPr>
      <w:r>
        <w:rPr>
          <w:noProof/>
        </w:rPr>
        <w:lastRenderedPageBreak/>
        <mc:AlternateContent>
          <mc:Choice Requires="wps">
            <w:drawing>
              <wp:anchor distT="0" distB="0" distL="114300" distR="114300" simplePos="0" relativeHeight="251680256" behindDoc="1" locked="0" layoutInCell="1" allowOverlap="1" wp14:anchorId="6EE71199" wp14:editId="319B0668">
                <wp:simplePos x="0" y="0"/>
                <wp:positionH relativeFrom="page">
                  <wp:posOffset>956945</wp:posOffset>
                </wp:positionH>
                <wp:positionV relativeFrom="page">
                  <wp:posOffset>941705</wp:posOffset>
                </wp:positionV>
                <wp:extent cx="5800725" cy="0"/>
                <wp:effectExtent l="0" t="0" r="0" b="0"/>
                <wp:wrapNone/>
                <wp:docPr id="97" name="Shape 97"/>
                <wp:cNvGraphicFramePr/>
                <a:graphic xmlns:a="http://schemas.openxmlformats.org/drawingml/2006/main">
                  <a:graphicData uri="http://schemas.microsoft.com/office/word/2010/wordprocessingShape">
                    <wps:wsp>
                      <wps:cNvCnPr/>
                      <wps:spPr>
                        <a:xfrm>
                          <a:off x="0" y="0"/>
                          <a:ext cx="5800725" cy="0"/>
                        </a:xfrm>
                        <a:prstGeom prst="straightConnector1">
                          <a:avLst/>
                        </a:prstGeom>
                        <a:ln w="8890">
                          <a:solidFill/>
                        </a:ln>
                      </wps:spPr>
                      <wps:bodyPr/>
                    </wps:wsp>
                  </a:graphicData>
                </a:graphic>
              </wp:anchor>
            </w:drawing>
          </mc:Choice>
          <mc:Fallback>
            <w:pict>
              <v:shape o:spt="32" o:oned="true" path="m,l21600,21600e" style="position:absolute;margin-left:75.350000000000009pt;margin-top:74.150000000000006pt;width:456.75pt;height:0;z-index:-251658240;mso-position-horizontal-relative:page;mso-position-vertical-relative:page">
                <v:stroke weight="0.70000000000000007pt"/>
              </v:shape>
            </w:pict>
          </mc:Fallback>
        </mc:AlternateContent>
      </w:r>
    </w:p>
    <w:p w14:paraId="764819D8" w14:textId="77777777" w:rsidR="00EC1C40" w:rsidRDefault="00000000">
      <w:pPr>
        <w:pStyle w:val="Zhlavnebozpat0"/>
        <w:framePr w:wrap="none" w:vAnchor="page" w:hAnchor="page" w:x="4566" w:y="1248"/>
        <w:rPr>
          <w:sz w:val="17"/>
          <w:szCs w:val="17"/>
        </w:rPr>
      </w:pPr>
      <w:r>
        <w:rPr>
          <w:rFonts w:ascii="Arial" w:eastAsia="Arial" w:hAnsi="Arial" w:cs="Arial"/>
          <w:color w:val="231E20"/>
          <w:sz w:val="17"/>
          <w:szCs w:val="17"/>
        </w:rPr>
        <w:t>Smlouva o smlouvě budoucí směnné</w:t>
      </w:r>
    </w:p>
    <w:p w14:paraId="47147612" w14:textId="77777777" w:rsidR="00EC1C40" w:rsidRDefault="00000000">
      <w:pPr>
        <w:pStyle w:val="Zkladntext1"/>
        <w:framePr w:w="9134" w:h="13901" w:hRule="exact" w:wrap="none" w:vAnchor="page" w:hAnchor="page" w:x="1513" w:y="1685"/>
        <w:jc w:val="both"/>
      </w:pPr>
      <w:r>
        <w:rPr>
          <w:b/>
          <w:bCs/>
        </w:rPr>
        <w:t>Tuto smlouvu o smlouvě budoucí směnné uzavírají v souladu s příslušnými ustanoveními zákona č. 89/2012 Sb., občanský zákoník, ve znění pozdějších předpisů (dále jen „Občanský zákoník“), níže uvedeného dne, měsíce a roku následující smluvní strany (dále jen „Smlouva“):</w:t>
      </w:r>
    </w:p>
    <w:p w14:paraId="77025B17" w14:textId="77777777" w:rsidR="00EC1C40" w:rsidRDefault="00000000">
      <w:pPr>
        <w:pStyle w:val="Zkladntext1"/>
        <w:framePr w:w="9134" w:h="13901" w:hRule="exact" w:wrap="none" w:vAnchor="page" w:hAnchor="page" w:x="1513" w:y="1685"/>
        <w:numPr>
          <w:ilvl w:val="0"/>
          <w:numId w:val="28"/>
        </w:numPr>
        <w:tabs>
          <w:tab w:val="left" w:pos="544"/>
          <w:tab w:val="left" w:pos="557"/>
        </w:tabs>
        <w:spacing w:after="0"/>
        <w:jc w:val="both"/>
      </w:pPr>
      <w:r>
        <w:rPr>
          <w:b/>
          <w:bCs/>
        </w:rPr>
        <w:t>Statutární město Pardubice</w:t>
      </w:r>
      <w:r>
        <w:t>, IČO: 002 74 046, se sídlem Pernštýnské náměstí 1, Pardubice-Staré</w:t>
      </w:r>
    </w:p>
    <w:p w14:paraId="306D774B" w14:textId="77777777" w:rsidR="00EC1C40" w:rsidRDefault="00000000">
      <w:pPr>
        <w:pStyle w:val="Zkladntext1"/>
        <w:framePr w:w="9134" w:h="13901" w:hRule="exact" w:wrap="none" w:vAnchor="page" w:hAnchor="page" w:x="1513" w:y="1685"/>
        <w:ind w:firstLine="580"/>
        <w:jc w:val="both"/>
      </w:pPr>
      <w:r>
        <w:t xml:space="preserve">Město, 530 02 Pardubice, zastoupené Bc. Janem </w:t>
      </w:r>
      <w:proofErr w:type="spellStart"/>
      <w:r>
        <w:t>Nadrchalem</w:t>
      </w:r>
      <w:proofErr w:type="spellEnd"/>
      <w:r>
        <w:t>, primátorem</w:t>
      </w:r>
    </w:p>
    <w:p w14:paraId="72864E7C" w14:textId="77777777" w:rsidR="00EC1C40" w:rsidRDefault="00000000">
      <w:pPr>
        <w:pStyle w:val="Zkladntext1"/>
        <w:framePr w:w="9134" w:h="13901" w:hRule="exact" w:wrap="none" w:vAnchor="page" w:hAnchor="page" w:x="1513" w:y="1685"/>
        <w:spacing w:after="160"/>
        <w:ind w:firstLine="580"/>
      </w:pPr>
      <w:r>
        <w:t>(dále jen „</w:t>
      </w:r>
      <w:r>
        <w:rPr>
          <w:b/>
          <w:bCs/>
        </w:rPr>
        <w:t>SMP</w:t>
      </w:r>
      <w:r>
        <w:t>“)</w:t>
      </w:r>
    </w:p>
    <w:p w14:paraId="257DEDE0" w14:textId="77777777" w:rsidR="00EC1C40" w:rsidRDefault="00000000">
      <w:pPr>
        <w:pStyle w:val="Zkladntext1"/>
        <w:framePr w:w="9134" w:h="13901" w:hRule="exact" w:wrap="none" w:vAnchor="page" w:hAnchor="page" w:x="1513" w:y="1685"/>
        <w:spacing w:after="160"/>
        <w:ind w:firstLine="580"/>
      </w:pPr>
      <w:r>
        <w:t>a</w:t>
      </w:r>
    </w:p>
    <w:p w14:paraId="6B1B638B" w14:textId="77777777" w:rsidR="00EC1C40" w:rsidRDefault="00000000">
      <w:pPr>
        <w:pStyle w:val="Zkladntext1"/>
        <w:framePr w:w="9134" w:h="13901" w:hRule="exact" w:wrap="none" w:vAnchor="page" w:hAnchor="page" w:x="1513" w:y="1685"/>
        <w:numPr>
          <w:ilvl w:val="0"/>
          <w:numId w:val="28"/>
        </w:numPr>
        <w:tabs>
          <w:tab w:val="left" w:pos="544"/>
        </w:tabs>
        <w:ind w:left="580" w:hanging="580"/>
        <w:jc w:val="both"/>
      </w:pPr>
      <w:r>
        <w:rPr>
          <w:b/>
          <w:bCs/>
        </w:rPr>
        <w:t>MHAP s.r.o.</w:t>
      </w:r>
      <w:r>
        <w:t xml:space="preserve">, IČO: 175 44 661, se sídlem Olbrachtova 1980/5, Krč, 140 00 Praha 4, zapsaná v obchodním rejstříku vedeném Městským soudem v Praze pod </w:t>
      </w:r>
      <w:proofErr w:type="spellStart"/>
      <w:r>
        <w:t>sp</w:t>
      </w:r>
      <w:proofErr w:type="spellEnd"/>
      <w:r>
        <w:t>. zn. C 372943, zastoupená panem Petrem Dědkem, jednatelem</w:t>
      </w:r>
    </w:p>
    <w:p w14:paraId="14C6BC0B" w14:textId="77777777" w:rsidR="00EC1C40" w:rsidRDefault="00000000">
      <w:pPr>
        <w:pStyle w:val="Zkladntext1"/>
        <w:framePr w:w="9134" w:h="13901" w:hRule="exact" w:wrap="none" w:vAnchor="page" w:hAnchor="page" w:x="1513" w:y="1685"/>
        <w:ind w:firstLine="580"/>
        <w:jc w:val="both"/>
      </w:pPr>
      <w:r>
        <w:t>(dále jen „</w:t>
      </w:r>
      <w:r>
        <w:rPr>
          <w:b/>
          <w:bCs/>
        </w:rPr>
        <w:t>Investor</w:t>
      </w:r>
      <w:r>
        <w:t>“)</w:t>
      </w:r>
    </w:p>
    <w:p w14:paraId="27289EE1" w14:textId="77777777" w:rsidR="00EC1C40" w:rsidRDefault="00000000">
      <w:pPr>
        <w:pStyle w:val="Zkladntext1"/>
        <w:framePr w:w="9134" w:h="13901" w:hRule="exact" w:wrap="none" w:vAnchor="page" w:hAnchor="page" w:x="1513" w:y="1685"/>
        <w:ind w:firstLine="580"/>
      </w:pPr>
      <w:r>
        <w:t>(SMP a Investor společně dále jen „</w:t>
      </w:r>
      <w:r>
        <w:rPr>
          <w:b/>
          <w:bCs/>
        </w:rPr>
        <w:t>Smluvní strany</w:t>
      </w:r>
      <w:r>
        <w:t>“ a každý jednotlivě jen „</w:t>
      </w:r>
      <w:r>
        <w:rPr>
          <w:b/>
          <w:bCs/>
        </w:rPr>
        <w:t>Smluvní strana</w:t>
      </w:r>
      <w:r>
        <w:t>“).</w:t>
      </w:r>
    </w:p>
    <w:p w14:paraId="5C63F002" w14:textId="77777777" w:rsidR="00EC1C40" w:rsidRDefault="00000000">
      <w:pPr>
        <w:pStyle w:val="Zkladntext1"/>
        <w:framePr w:w="9134" w:h="13901" w:hRule="exact" w:wrap="none" w:vAnchor="page" w:hAnchor="page" w:x="1513" w:y="1685"/>
        <w:jc w:val="both"/>
      </w:pPr>
      <w:r>
        <w:rPr>
          <w:b/>
          <w:bCs/>
        </w:rPr>
        <w:t>VZHLEDEM K TOMU, ŽE:</w:t>
      </w:r>
    </w:p>
    <w:p w14:paraId="00FB6781" w14:textId="77777777" w:rsidR="00EC1C40" w:rsidRDefault="00000000">
      <w:pPr>
        <w:pStyle w:val="Zkladntext1"/>
        <w:framePr w:w="9134" w:h="13901" w:hRule="exact" w:wrap="none" w:vAnchor="page" w:hAnchor="page" w:x="1513" w:y="1685"/>
        <w:numPr>
          <w:ilvl w:val="0"/>
          <w:numId w:val="29"/>
        </w:numPr>
        <w:tabs>
          <w:tab w:val="left" w:pos="544"/>
          <w:tab w:val="left" w:pos="557"/>
        </w:tabs>
        <w:jc w:val="both"/>
      </w:pPr>
      <w:r>
        <w:t xml:space="preserve">Smluvní strany jsou výlučnými vlastníky Pozemků </w:t>
      </w:r>
      <w:r>
        <w:rPr>
          <w:i/>
          <w:iCs/>
        </w:rPr>
        <w:t>(jak je tento pojem definován níže)</w:t>
      </w:r>
      <w:r>
        <w:t>;</w:t>
      </w:r>
    </w:p>
    <w:p w14:paraId="47BE6D1F" w14:textId="77777777" w:rsidR="00EC1C40" w:rsidRDefault="00000000">
      <w:pPr>
        <w:pStyle w:val="Zkladntext1"/>
        <w:framePr w:w="9134" w:h="13901" w:hRule="exact" w:wrap="none" w:vAnchor="page" w:hAnchor="page" w:x="1513" w:y="1685"/>
        <w:numPr>
          <w:ilvl w:val="0"/>
          <w:numId w:val="29"/>
        </w:numPr>
        <w:tabs>
          <w:tab w:val="left" w:pos="544"/>
          <w:tab w:val="left" w:pos="557"/>
        </w:tabs>
        <w:spacing w:after="0"/>
        <w:jc w:val="both"/>
      </w:pPr>
      <w:r>
        <w:t xml:space="preserve">Investor má zájem realizovat v lokalitě „Nová Cihelna“ Investiční záměr </w:t>
      </w:r>
      <w:r>
        <w:rPr>
          <w:i/>
          <w:iCs/>
        </w:rPr>
        <w:t>(jak je tento pojem</w:t>
      </w:r>
    </w:p>
    <w:p w14:paraId="6F6D0D03" w14:textId="77777777" w:rsidR="00EC1C40" w:rsidRDefault="00000000">
      <w:pPr>
        <w:pStyle w:val="Zkladntext1"/>
        <w:framePr w:w="9134" w:h="13901" w:hRule="exact" w:wrap="none" w:vAnchor="page" w:hAnchor="page" w:x="1513" w:y="1685"/>
        <w:ind w:firstLine="580"/>
        <w:jc w:val="both"/>
      </w:pPr>
      <w:r>
        <w:rPr>
          <w:i/>
          <w:iCs/>
        </w:rPr>
        <w:t>definován níže)</w:t>
      </w:r>
      <w:r>
        <w:t>;</w:t>
      </w:r>
    </w:p>
    <w:p w14:paraId="45990DB9" w14:textId="77777777" w:rsidR="00EC1C40" w:rsidRDefault="00000000">
      <w:pPr>
        <w:pStyle w:val="Zkladntext1"/>
        <w:framePr w:w="9134" w:h="13901" w:hRule="exact" w:wrap="none" w:vAnchor="page" w:hAnchor="page" w:x="1513" w:y="1685"/>
        <w:numPr>
          <w:ilvl w:val="0"/>
          <w:numId w:val="29"/>
        </w:numPr>
        <w:tabs>
          <w:tab w:val="left" w:pos="544"/>
        </w:tabs>
        <w:ind w:left="580" w:hanging="580"/>
        <w:jc w:val="both"/>
      </w:pPr>
      <w:r>
        <w:t xml:space="preserve">Smluvní strany mají zájem spolu v budoucnu uzavřít Směnnou smlouvu </w:t>
      </w:r>
      <w:r>
        <w:rPr>
          <w:i/>
          <w:iCs/>
        </w:rPr>
        <w:t>(jak je tento pojem definován níže)</w:t>
      </w:r>
      <w:r>
        <w:t xml:space="preserve">, na základě které bude realizována Směna </w:t>
      </w:r>
      <w:r>
        <w:rPr>
          <w:i/>
          <w:iCs/>
        </w:rPr>
        <w:t>(jak je tento pojem definován níže)</w:t>
      </w:r>
      <w:r>
        <w:t>, a to za podmínek sjednaných v této Smlouvě;</w:t>
      </w:r>
    </w:p>
    <w:p w14:paraId="1BB03FC3" w14:textId="77777777" w:rsidR="00EC1C40" w:rsidRDefault="00000000">
      <w:pPr>
        <w:pStyle w:val="Zkladntext1"/>
        <w:framePr w:w="9134" w:h="13901" w:hRule="exact" w:wrap="none" w:vAnchor="page" w:hAnchor="page" w:x="1513" w:y="1685"/>
        <w:numPr>
          <w:ilvl w:val="0"/>
          <w:numId w:val="29"/>
        </w:numPr>
        <w:tabs>
          <w:tab w:val="left" w:pos="544"/>
        </w:tabs>
        <w:ind w:left="580" w:hanging="580"/>
        <w:jc w:val="both"/>
      </w:pPr>
      <w:r>
        <w:t>Společně s touto Smlouvou Smluvní strany uzavírají plánovací smlouvu (dále jen „</w:t>
      </w:r>
      <w:r>
        <w:rPr>
          <w:b/>
          <w:bCs/>
        </w:rPr>
        <w:t>Plánovací smlouva</w:t>
      </w:r>
      <w:r>
        <w:t xml:space="preserve">“), na základě které se Smluvní strany zavazují vzájemně spolupracovat při realizaci Investičního záměru </w:t>
      </w:r>
      <w:r>
        <w:rPr>
          <w:i/>
          <w:iCs/>
        </w:rPr>
        <w:t>(jak je tento pojem definován níže)</w:t>
      </w:r>
      <w:r>
        <w:t>, a to způsobem dohodnutým v rámci Plánovací smlouvy;</w:t>
      </w:r>
    </w:p>
    <w:p w14:paraId="538ACF3D" w14:textId="77777777" w:rsidR="00EC1C40" w:rsidRDefault="00000000">
      <w:pPr>
        <w:pStyle w:val="Zkladntext1"/>
        <w:framePr w:w="9134" w:h="13901" w:hRule="exact" w:wrap="none" w:vAnchor="page" w:hAnchor="page" w:x="1513" w:y="1685"/>
        <w:numPr>
          <w:ilvl w:val="0"/>
          <w:numId w:val="29"/>
        </w:numPr>
        <w:tabs>
          <w:tab w:val="left" w:pos="544"/>
        </w:tabs>
        <w:ind w:left="580" w:hanging="580"/>
        <w:jc w:val="both"/>
      </w:pPr>
      <w:r>
        <w:t xml:space="preserve">Na Pozemcích </w:t>
      </w:r>
      <w:r>
        <w:rPr>
          <w:i/>
          <w:iCs/>
        </w:rPr>
        <w:t>(jak je tento pojem definován níže)</w:t>
      </w:r>
      <w:r>
        <w:t xml:space="preserve"> či jejich částech se nachází (může nacházet) historická ekologická zátěž v podobě Skládky </w:t>
      </w:r>
      <w:r>
        <w:rPr>
          <w:i/>
          <w:iCs/>
        </w:rPr>
        <w:t>(jak je tento pojem definován v Dohodě o úpravě vztahů)</w:t>
      </w:r>
      <w:r>
        <w:t>;</w:t>
      </w:r>
    </w:p>
    <w:p w14:paraId="0F3D483B" w14:textId="77777777" w:rsidR="00EC1C40" w:rsidRDefault="00000000">
      <w:pPr>
        <w:pStyle w:val="Zkladntext1"/>
        <w:framePr w:w="9134" w:h="13901" w:hRule="exact" w:wrap="none" w:vAnchor="page" w:hAnchor="page" w:x="1513" w:y="1685"/>
        <w:numPr>
          <w:ilvl w:val="0"/>
          <w:numId w:val="29"/>
        </w:numPr>
        <w:tabs>
          <w:tab w:val="left" w:pos="544"/>
        </w:tabs>
        <w:ind w:left="580" w:hanging="580"/>
        <w:jc w:val="both"/>
      </w:pPr>
      <w:r>
        <w:t xml:space="preserve">Pozemky nebo jejich část jsou nebo mohou být dotčeny procesem Odstranění odpadů a znečištění </w:t>
      </w:r>
      <w:r>
        <w:rPr>
          <w:i/>
          <w:iCs/>
        </w:rPr>
        <w:t>(jak je tento pojem definován v Dohodě o úpravě vztahů)</w:t>
      </w:r>
      <w:r>
        <w:t>, který zamýšlí realizovat za podmínek stanovených v Dohodě o úpravě vztahů Investor;</w:t>
      </w:r>
    </w:p>
    <w:p w14:paraId="3D08B695" w14:textId="77777777" w:rsidR="00EC1C40" w:rsidRDefault="00000000">
      <w:pPr>
        <w:pStyle w:val="Zkladntext1"/>
        <w:framePr w:w="9134" w:h="13901" w:hRule="exact" w:wrap="none" w:vAnchor="page" w:hAnchor="page" w:x="1513" w:y="1685"/>
        <w:numPr>
          <w:ilvl w:val="0"/>
          <w:numId w:val="29"/>
        </w:numPr>
        <w:tabs>
          <w:tab w:val="left" w:pos="544"/>
        </w:tabs>
        <w:ind w:left="580" w:hanging="580"/>
        <w:jc w:val="both"/>
      </w:pPr>
      <w:r>
        <w:t>S ohledem na skutečnosti uvedené výše pod písm. (E) a (F) preambule uzavírají Smluvní strany současně s touto Smlouvou a Plánovací smlouvou rovněž dohodu o úpravě vztahů (dále jen „</w:t>
      </w:r>
      <w:r>
        <w:rPr>
          <w:b/>
          <w:bCs/>
        </w:rPr>
        <w:t>Dohoda o úpravě vztahů</w:t>
      </w:r>
      <w:r>
        <w:t xml:space="preserve">“), v rámci které Smluvní strany sjednávají práva a povinnosti týkající se Skládky a dále procesu Odstranění odpadů a znečištění </w:t>
      </w:r>
      <w:r>
        <w:rPr>
          <w:i/>
          <w:iCs/>
        </w:rPr>
        <w:t>(jak je tento pojem definován v Dohodě o úpravě vztahů)</w:t>
      </w:r>
      <w:r>
        <w:t>;</w:t>
      </w:r>
    </w:p>
    <w:p w14:paraId="12513FFC" w14:textId="77777777" w:rsidR="00EC1C40" w:rsidRDefault="00000000">
      <w:pPr>
        <w:pStyle w:val="Zkladntext1"/>
        <w:framePr w:w="9134" w:h="13901" w:hRule="exact" w:wrap="none" w:vAnchor="page" w:hAnchor="page" w:x="1513" w:y="1685"/>
        <w:numPr>
          <w:ilvl w:val="0"/>
          <w:numId w:val="29"/>
        </w:numPr>
        <w:tabs>
          <w:tab w:val="left" w:pos="544"/>
        </w:tabs>
        <w:spacing w:after="0"/>
        <w:ind w:left="580" w:hanging="580"/>
        <w:jc w:val="both"/>
      </w:pPr>
      <w:r>
        <w:t>Směna Pozemků je ve veřejném zájmu a představuje jiný důležitý zájem SMP ve smyslu § 38 odst. 1 zákona č. 128/2000 Sb., o obcích (obecní zřízení), v platném znění, neboť umožňuje realizaci Investičního záměru, který svou převažující funkcí představuje veřejnou stavbu pro sport a občanské vybavení ve smyslu Zásad statutárního města Pardubice pro spolupráci s investory a který přináší zásadní přínosy pro rozvoj lokality Nová Cihelna a celého Statutárního města Pardubice, zejména s ohledem na tvorbu nových pracovních míst, rozvoj sportovních a kulturních aktivit v regionu a rozvoj turistického ruchu. Směna dále zajišťuje, že SMP nabude vlastnické právo ke strategickým pozemkům, které jsou dle platného územního plánu města Pardubice určeny pro umístění veřejně prospěšné stavby dopravní infrastruktury (pozemky jsou umístěny v dopravní ploše XXII/VD/84), čímž získá SMP lepší kontrolu nad těmito klíčovými pozemky nezbytnými pro dopravní obslužnost lokality Nová Cihelna. Směna také umožňuje</w:t>
      </w:r>
    </w:p>
    <w:p w14:paraId="52104F75" w14:textId="77777777" w:rsidR="00EC1C40" w:rsidRDefault="00000000">
      <w:pPr>
        <w:pStyle w:val="Zhlavnebozpat0"/>
        <w:framePr w:w="418" w:h="226" w:hRule="exact" w:wrap="none" w:vAnchor="page" w:hAnchor="page" w:x="5867" w:y="15936"/>
        <w:jc w:val="center"/>
        <w:rPr>
          <w:sz w:val="17"/>
          <w:szCs w:val="17"/>
        </w:rPr>
      </w:pPr>
      <w:r>
        <w:rPr>
          <w:rFonts w:ascii="Arial" w:eastAsia="Arial" w:hAnsi="Arial" w:cs="Arial"/>
          <w:color w:val="231E20"/>
          <w:sz w:val="17"/>
          <w:szCs w:val="17"/>
        </w:rPr>
        <w:t>2/15</w:t>
      </w:r>
    </w:p>
    <w:p w14:paraId="56C51C16"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62D35700" w14:textId="77777777" w:rsidR="00EC1C40" w:rsidRDefault="00000000">
      <w:pPr>
        <w:spacing w:line="1" w:lineRule="exact"/>
      </w:pPr>
      <w:r>
        <w:rPr>
          <w:noProof/>
        </w:rPr>
        <w:lastRenderedPageBreak/>
        <mc:AlternateContent>
          <mc:Choice Requires="wps">
            <w:drawing>
              <wp:anchor distT="0" distB="0" distL="114300" distR="114300" simplePos="0" relativeHeight="251681280" behindDoc="1" locked="0" layoutInCell="1" allowOverlap="1" wp14:anchorId="235185F2" wp14:editId="098C574E">
                <wp:simplePos x="0" y="0"/>
                <wp:positionH relativeFrom="page">
                  <wp:posOffset>956945</wp:posOffset>
                </wp:positionH>
                <wp:positionV relativeFrom="page">
                  <wp:posOffset>941705</wp:posOffset>
                </wp:positionV>
                <wp:extent cx="5800725" cy="0"/>
                <wp:effectExtent l="0" t="0" r="0" b="0"/>
                <wp:wrapNone/>
                <wp:docPr id="98" name="Shape 98"/>
                <wp:cNvGraphicFramePr/>
                <a:graphic xmlns:a="http://schemas.openxmlformats.org/drawingml/2006/main">
                  <a:graphicData uri="http://schemas.microsoft.com/office/word/2010/wordprocessingShape">
                    <wps:wsp>
                      <wps:cNvCnPr/>
                      <wps:spPr>
                        <a:xfrm>
                          <a:off x="0" y="0"/>
                          <a:ext cx="5800725" cy="0"/>
                        </a:xfrm>
                        <a:prstGeom prst="straightConnector1">
                          <a:avLst/>
                        </a:prstGeom>
                        <a:ln w="8890">
                          <a:solidFill/>
                        </a:ln>
                      </wps:spPr>
                      <wps:bodyPr/>
                    </wps:wsp>
                  </a:graphicData>
                </a:graphic>
              </wp:anchor>
            </w:drawing>
          </mc:Choice>
          <mc:Fallback>
            <w:pict>
              <v:shape o:spt="32" o:oned="true" path="m,l21600,21600e" style="position:absolute;margin-left:75.350000000000009pt;margin-top:74.150000000000006pt;width:456.75pt;height:0;z-index:-251658240;mso-position-horizontal-relative:page;mso-position-vertical-relative:page">
                <v:stroke weight="0.70000000000000007pt"/>
              </v:shape>
            </w:pict>
          </mc:Fallback>
        </mc:AlternateContent>
      </w:r>
    </w:p>
    <w:p w14:paraId="60BD8120" w14:textId="77777777" w:rsidR="00EC1C40" w:rsidRDefault="00000000">
      <w:pPr>
        <w:pStyle w:val="Zhlavnebozpat0"/>
        <w:framePr w:wrap="none" w:vAnchor="page" w:hAnchor="page" w:x="4566" w:y="1248"/>
        <w:rPr>
          <w:sz w:val="17"/>
          <w:szCs w:val="17"/>
        </w:rPr>
      </w:pPr>
      <w:r>
        <w:rPr>
          <w:rFonts w:ascii="Arial" w:eastAsia="Arial" w:hAnsi="Arial" w:cs="Arial"/>
          <w:color w:val="231E20"/>
          <w:sz w:val="17"/>
          <w:szCs w:val="17"/>
        </w:rPr>
        <w:t>Smlouva o smlouvě budoucí směnné</w:t>
      </w:r>
    </w:p>
    <w:p w14:paraId="610F9891" w14:textId="77777777" w:rsidR="00EC1C40" w:rsidRDefault="00000000">
      <w:pPr>
        <w:pStyle w:val="Zkladntext1"/>
        <w:framePr w:w="9125" w:h="13814" w:hRule="exact" w:wrap="none" w:vAnchor="page" w:hAnchor="page" w:x="1518" w:y="1685"/>
        <w:ind w:left="580"/>
        <w:jc w:val="both"/>
      </w:pPr>
      <w:r>
        <w:t xml:space="preserve">výstavbu Připojovací komunikace </w:t>
      </w:r>
      <w:r>
        <w:rPr>
          <w:i/>
          <w:iCs/>
        </w:rPr>
        <w:t>(jak je tento pojem definován v Plánovací smlouvě)</w:t>
      </w:r>
      <w:r>
        <w:t xml:space="preserve"> napojující lokalitu Nová Cihelna na obchvat Pardubic, kterou na své náklady realizuje Investor a která představuje nezbytnou dopravní infrastrukturu pro další rozvoj této lokality, a přispívá k harmonickému rozvoji lokality Nová Cihelna a vytváří předpoklady pro další výstavbu v této lokalitě.</w:t>
      </w:r>
    </w:p>
    <w:p w14:paraId="2E5CDAC1" w14:textId="77777777" w:rsidR="00EC1C40" w:rsidRDefault="00000000">
      <w:pPr>
        <w:pStyle w:val="Zkladntext1"/>
        <w:framePr w:w="9125" w:h="13814" w:hRule="exact" w:wrap="none" w:vAnchor="page" w:hAnchor="page" w:x="1518" w:y="1685"/>
        <w:jc w:val="both"/>
      </w:pPr>
      <w:r>
        <w:rPr>
          <w:b/>
          <w:bCs/>
        </w:rPr>
        <w:t>SE SMLUVNÍ STRANY DOHODLY TAKTO:</w:t>
      </w:r>
    </w:p>
    <w:p w14:paraId="3B40DD0E" w14:textId="77777777" w:rsidR="00EC1C40" w:rsidRDefault="00000000">
      <w:pPr>
        <w:pStyle w:val="Nadpis60"/>
        <w:framePr w:w="9125" w:h="13814" w:hRule="exact" w:wrap="none" w:vAnchor="page" w:hAnchor="page" w:x="1518" w:y="1685"/>
        <w:numPr>
          <w:ilvl w:val="0"/>
          <w:numId w:val="30"/>
        </w:numPr>
        <w:tabs>
          <w:tab w:val="left" w:pos="554"/>
        </w:tabs>
        <w:jc w:val="both"/>
      </w:pPr>
      <w:bookmarkStart w:id="67" w:name="bookmark135"/>
      <w:r>
        <w:t>Úvodní ustanovení</w:t>
      </w:r>
      <w:bookmarkEnd w:id="67"/>
    </w:p>
    <w:p w14:paraId="426D2BBE" w14:textId="77777777" w:rsidR="00EC1C40" w:rsidRDefault="00000000">
      <w:pPr>
        <w:pStyle w:val="Zkladntext1"/>
        <w:framePr w:w="9125" w:h="13814" w:hRule="exact" w:wrap="none" w:vAnchor="page" w:hAnchor="page" w:x="1518" w:y="1685"/>
        <w:numPr>
          <w:ilvl w:val="1"/>
          <w:numId w:val="30"/>
        </w:numPr>
        <w:tabs>
          <w:tab w:val="left" w:pos="554"/>
        </w:tabs>
        <w:jc w:val="both"/>
      </w:pPr>
      <w:r>
        <w:t>SMP prohlašuje, že je výlučným vlastníkem následujících pozemků:</w:t>
      </w:r>
    </w:p>
    <w:p w14:paraId="7133E0B4" w14:textId="77777777" w:rsidR="00EC1C40" w:rsidRDefault="00000000">
      <w:pPr>
        <w:pStyle w:val="Zkladntext1"/>
        <w:framePr w:w="9125" w:h="13814" w:hRule="exact" w:wrap="none" w:vAnchor="page" w:hAnchor="page" w:x="1518" w:y="1685"/>
        <w:numPr>
          <w:ilvl w:val="2"/>
          <w:numId w:val="30"/>
        </w:numPr>
        <w:tabs>
          <w:tab w:val="left" w:pos="1286"/>
        </w:tabs>
        <w:ind w:firstLine="580"/>
        <w:jc w:val="both"/>
      </w:pPr>
      <w:r>
        <w:t xml:space="preserve">pozemku </w:t>
      </w:r>
      <w:proofErr w:type="spellStart"/>
      <w:r>
        <w:t>parc</w:t>
      </w:r>
      <w:proofErr w:type="spellEnd"/>
      <w:r>
        <w:t>. č. 1575, o výměře 3.817 m</w:t>
      </w:r>
      <w:r>
        <w:rPr>
          <w:vertAlign w:val="superscript"/>
        </w:rPr>
        <w:t>2</w:t>
      </w:r>
      <w:r>
        <w:t>; a</w:t>
      </w:r>
    </w:p>
    <w:p w14:paraId="6E403A92" w14:textId="77777777" w:rsidR="00EC1C40" w:rsidRDefault="00000000">
      <w:pPr>
        <w:pStyle w:val="Zkladntext1"/>
        <w:framePr w:w="9125" w:h="13814" w:hRule="exact" w:wrap="none" w:vAnchor="page" w:hAnchor="page" w:x="1518" w:y="1685"/>
        <w:numPr>
          <w:ilvl w:val="2"/>
          <w:numId w:val="30"/>
        </w:numPr>
        <w:tabs>
          <w:tab w:val="left" w:pos="1286"/>
        </w:tabs>
        <w:ind w:firstLine="580"/>
        <w:jc w:val="both"/>
      </w:pPr>
      <w:r>
        <w:t xml:space="preserve">pozemku </w:t>
      </w:r>
      <w:proofErr w:type="spellStart"/>
      <w:r>
        <w:t>parc</w:t>
      </w:r>
      <w:proofErr w:type="spellEnd"/>
      <w:r>
        <w:t>. č. 2678/1, o výměře 1.484 m</w:t>
      </w:r>
      <w:r>
        <w:rPr>
          <w:vertAlign w:val="superscript"/>
        </w:rPr>
        <w:t>2</w:t>
      </w:r>
      <w:r>
        <w:t>;</w:t>
      </w:r>
    </w:p>
    <w:p w14:paraId="3113E382" w14:textId="77777777" w:rsidR="00EC1C40" w:rsidRDefault="00000000">
      <w:pPr>
        <w:pStyle w:val="Zkladntext1"/>
        <w:framePr w:w="9125" w:h="13814" w:hRule="exact" w:wrap="none" w:vAnchor="page" w:hAnchor="page" w:x="1518" w:y="1685"/>
        <w:numPr>
          <w:ilvl w:val="2"/>
          <w:numId w:val="30"/>
        </w:numPr>
        <w:tabs>
          <w:tab w:val="left" w:pos="1361"/>
        </w:tabs>
        <w:ind w:left="580"/>
        <w:jc w:val="both"/>
      </w:pPr>
      <w:proofErr w:type="spellStart"/>
      <w:r>
        <w:t>ných</w:t>
      </w:r>
      <w:proofErr w:type="spellEnd"/>
      <w:r>
        <w:t xml:space="preserve"> v </w:t>
      </w:r>
      <w:proofErr w:type="spellStart"/>
      <w:r>
        <w:t>k.ú</w:t>
      </w:r>
      <w:proofErr w:type="spellEnd"/>
      <w:r>
        <w:t>. Pardubice (všechny pozemky uvedené v tomto čl. 1.1. této Smlouvy společně dále jen „</w:t>
      </w:r>
      <w:r>
        <w:rPr>
          <w:b/>
          <w:bCs/>
        </w:rPr>
        <w:t>Pozemky SMP</w:t>
      </w:r>
      <w:r>
        <w:t>“).</w:t>
      </w:r>
    </w:p>
    <w:p w14:paraId="630BBE6D" w14:textId="77777777" w:rsidR="00EC1C40" w:rsidRDefault="00000000">
      <w:pPr>
        <w:pStyle w:val="Zkladntext1"/>
        <w:framePr w:w="9125" w:h="13814" w:hRule="exact" w:wrap="none" w:vAnchor="page" w:hAnchor="page" w:x="1518" w:y="1685"/>
        <w:numPr>
          <w:ilvl w:val="1"/>
          <w:numId w:val="30"/>
        </w:numPr>
        <w:tabs>
          <w:tab w:val="left" w:pos="554"/>
        </w:tabs>
        <w:jc w:val="both"/>
      </w:pPr>
      <w:r>
        <w:t>Investor prohlašuje, že je výlučným vlastníkem následujících pozemků:</w:t>
      </w:r>
    </w:p>
    <w:p w14:paraId="54955162" w14:textId="77777777" w:rsidR="00EC1C40" w:rsidRDefault="00000000">
      <w:pPr>
        <w:pStyle w:val="Zkladntext1"/>
        <w:framePr w:w="9125" w:h="13814" w:hRule="exact" w:wrap="none" w:vAnchor="page" w:hAnchor="page" w:x="1518" w:y="1685"/>
        <w:numPr>
          <w:ilvl w:val="2"/>
          <w:numId w:val="30"/>
        </w:numPr>
        <w:tabs>
          <w:tab w:val="left" w:pos="1286"/>
        </w:tabs>
        <w:ind w:firstLine="580"/>
        <w:jc w:val="both"/>
      </w:pPr>
      <w:r>
        <w:t xml:space="preserve">pozemku </w:t>
      </w:r>
      <w:proofErr w:type="spellStart"/>
      <w:r>
        <w:t>parc</w:t>
      </w:r>
      <w:proofErr w:type="spellEnd"/>
      <w:r>
        <w:t>. č. 1563/13, o výměře 26.762 m</w:t>
      </w:r>
      <w:r>
        <w:rPr>
          <w:vertAlign w:val="superscript"/>
        </w:rPr>
        <w:t>2</w:t>
      </w:r>
      <w:r>
        <w:t>;</w:t>
      </w:r>
    </w:p>
    <w:p w14:paraId="7F600B1E" w14:textId="77777777" w:rsidR="00EC1C40" w:rsidRDefault="00000000">
      <w:pPr>
        <w:pStyle w:val="Zkladntext1"/>
        <w:framePr w:w="9125" w:h="13814" w:hRule="exact" w:wrap="none" w:vAnchor="page" w:hAnchor="page" w:x="1518" w:y="1685"/>
        <w:numPr>
          <w:ilvl w:val="2"/>
          <w:numId w:val="30"/>
        </w:numPr>
        <w:tabs>
          <w:tab w:val="left" w:pos="1286"/>
        </w:tabs>
        <w:ind w:firstLine="580"/>
        <w:jc w:val="both"/>
      </w:pPr>
      <w:r>
        <w:t xml:space="preserve">pozemku </w:t>
      </w:r>
      <w:proofErr w:type="spellStart"/>
      <w:r>
        <w:t>parc</w:t>
      </w:r>
      <w:proofErr w:type="spellEnd"/>
      <w:r>
        <w:t>. č. 1574/11, o výměře 1.739 m</w:t>
      </w:r>
      <w:r>
        <w:rPr>
          <w:vertAlign w:val="superscript"/>
        </w:rPr>
        <w:t>2</w:t>
      </w:r>
      <w:r>
        <w:t>;</w:t>
      </w:r>
    </w:p>
    <w:p w14:paraId="22977B08" w14:textId="77777777" w:rsidR="00EC1C40" w:rsidRDefault="00000000">
      <w:pPr>
        <w:pStyle w:val="Zkladntext1"/>
        <w:framePr w:w="9125" w:h="13814" w:hRule="exact" w:wrap="none" w:vAnchor="page" w:hAnchor="page" w:x="1518" w:y="1685"/>
        <w:numPr>
          <w:ilvl w:val="2"/>
          <w:numId w:val="30"/>
        </w:numPr>
        <w:tabs>
          <w:tab w:val="left" w:pos="1286"/>
        </w:tabs>
        <w:ind w:firstLine="580"/>
        <w:jc w:val="both"/>
      </w:pPr>
      <w:r>
        <w:t xml:space="preserve">pozemku </w:t>
      </w:r>
      <w:proofErr w:type="spellStart"/>
      <w:r>
        <w:t>parc</w:t>
      </w:r>
      <w:proofErr w:type="spellEnd"/>
      <w:r>
        <w:t>. č. 1574/12, o výměře 681 m</w:t>
      </w:r>
      <w:r>
        <w:rPr>
          <w:vertAlign w:val="superscript"/>
        </w:rPr>
        <w:t>2</w:t>
      </w:r>
      <w:r>
        <w:t>;</w:t>
      </w:r>
    </w:p>
    <w:p w14:paraId="2857A292" w14:textId="77777777" w:rsidR="00EC1C40" w:rsidRDefault="00000000">
      <w:pPr>
        <w:pStyle w:val="Zkladntext1"/>
        <w:framePr w:w="9125" w:h="13814" w:hRule="exact" w:wrap="none" w:vAnchor="page" w:hAnchor="page" w:x="1518" w:y="1685"/>
        <w:numPr>
          <w:ilvl w:val="2"/>
          <w:numId w:val="30"/>
        </w:numPr>
        <w:tabs>
          <w:tab w:val="left" w:pos="1286"/>
        </w:tabs>
        <w:ind w:firstLine="580"/>
        <w:jc w:val="both"/>
      </w:pPr>
      <w:r>
        <w:t xml:space="preserve">pozemku </w:t>
      </w:r>
      <w:proofErr w:type="spellStart"/>
      <w:r>
        <w:t>parc</w:t>
      </w:r>
      <w:proofErr w:type="spellEnd"/>
      <w:r>
        <w:t>. č. 1574/14, o výměře 1.971 m</w:t>
      </w:r>
      <w:r>
        <w:rPr>
          <w:vertAlign w:val="superscript"/>
        </w:rPr>
        <w:t>2</w:t>
      </w:r>
      <w:r>
        <w:t>;</w:t>
      </w:r>
    </w:p>
    <w:p w14:paraId="45048B83" w14:textId="77777777" w:rsidR="00EC1C40" w:rsidRDefault="00000000">
      <w:pPr>
        <w:pStyle w:val="Zkladntext1"/>
        <w:framePr w:w="9125" w:h="13814" w:hRule="exact" w:wrap="none" w:vAnchor="page" w:hAnchor="page" w:x="1518" w:y="1685"/>
        <w:numPr>
          <w:ilvl w:val="2"/>
          <w:numId w:val="30"/>
        </w:numPr>
        <w:tabs>
          <w:tab w:val="left" w:pos="1286"/>
        </w:tabs>
        <w:ind w:firstLine="580"/>
        <w:jc w:val="both"/>
      </w:pPr>
      <w:r>
        <w:t xml:space="preserve">pozemku </w:t>
      </w:r>
      <w:proofErr w:type="spellStart"/>
      <w:r>
        <w:t>parc</w:t>
      </w:r>
      <w:proofErr w:type="spellEnd"/>
      <w:r>
        <w:t>. č. 1582/3, o výměře 7.156 m</w:t>
      </w:r>
      <w:r>
        <w:rPr>
          <w:vertAlign w:val="superscript"/>
        </w:rPr>
        <w:t>2</w:t>
      </w:r>
      <w:r>
        <w:t>;</w:t>
      </w:r>
    </w:p>
    <w:p w14:paraId="5A68FD93" w14:textId="77777777" w:rsidR="00EC1C40" w:rsidRDefault="00000000">
      <w:pPr>
        <w:pStyle w:val="Zkladntext1"/>
        <w:framePr w:w="9125" w:h="13814" w:hRule="exact" w:wrap="none" w:vAnchor="page" w:hAnchor="page" w:x="1518" w:y="1685"/>
        <w:numPr>
          <w:ilvl w:val="2"/>
          <w:numId w:val="30"/>
        </w:numPr>
        <w:tabs>
          <w:tab w:val="left" w:pos="1286"/>
        </w:tabs>
        <w:ind w:firstLine="580"/>
        <w:jc w:val="both"/>
      </w:pPr>
      <w:r>
        <w:t xml:space="preserve">pozemku </w:t>
      </w:r>
      <w:proofErr w:type="spellStart"/>
      <w:r>
        <w:t>parc</w:t>
      </w:r>
      <w:proofErr w:type="spellEnd"/>
      <w:r>
        <w:t>. č. 1584/7, o výměře 2.284 m</w:t>
      </w:r>
      <w:r>
        <w:rPr>
          <w:vertAlign w:val="superscript"/>
        </w:rPr>
        <w:t>2</w:t>
      </w:r>
      <w:r>
        <w:t>; a</w:t>
      </w:r>
    </w:p>
    <w:p w14:paraId="08D4DA34" w14:textId="77777777" w:rsidR="00EC1C40" w:rsidRDefault="00000000">
      <w:pPr>
        <w:pStyle w:val="Zkladntext1"/>
        <w:framePr w:w="9125" w:h="13814" w:hRule="exact" w:wrap="none" w:vAnchor="page" w:hAnchor="page" w:x="1518" w:y="1685"/>
        <w:numPr>
          <w:ilvl w:val="2"/>
          <w:numId w:val="30"/>
        </w:numPr>
        <w:tabs>
          <w:tab w:val="left" w:pos="1286"/>
        </w:tabs>
        <w:ind w:firstLine="580"/>
        <w:jc w:val="both"/>
      </w:pPr>
      <w:r>
        <w:t xml:space="preserve">pozemku </w:t>
      </w:r>
      <w:proofErr w:type="spellStart"/>
      <w:r>
        <w:t>parc</w:t>
      </w:r>
      <w:proofErr w:type="spellEnd"/>
      <w:r>
        <w:t>. č. 1601/15, o výměře 338 m</w:t>
      </w:r>
      <w:r>
        <w:rPr>
          <w:vertAlign w:val="superscript"/>
        </w:rPr>
        <w:t>2</w:t>
      </w:r>
      <w:r>
        <w:t>;</w:t>
      </w:r>
    </w:p>
    <w:p w14:paraId="68C3C2A6" w14:textId="77777777" w:rsidR="00EC1C40" w:rsidRDefault="00000000">
      <w:pPr>
        <w:pStyle w:val="Zkladntext1"/>
        <w:framePr w:w="9125" w:h="13814" w:hRule="exact" w:wrap="none" w:vAnchor="page" w:hAnchor="page" w:x="1518" w:y="1685"/>
        <w:ind w:left="580"/>
        <w:jc w:val="both"/>
      </w:pPr>
      <w:r>
        <w:t xml:space="preserve">umístěných v </w:t>
      </w:r>
      <w:proofErr w:type="spellStart"/>
      <w:r>
        <w:t>k.ú</w:t>
      </w:r>
      <w:proofErr w:type="spellEnd"/>
      <w:r>
        <w:t>. Pardubice (všechny pozemky uvedené v tomto čl. 1.2. této Smlouvy společně dále jen „</w:t>
      </w:r>
      <w:r>
        <w:rPr>
          <w:b/>
          <w:bCs/>
        </w:rPr>
        <w:t>Pozemky Investora</w:t>
      </w:r>
      <w:r>
        <w:t>“; Pozemky SMP a Pozemky Investora společně dále jen „</w:t>
      </w:r>
      <w:r>
        <w:rPr>
          <w:b/>
          <w:bCs/>
        </w:rPr>
        <w:t>Pozemky</w:t>
      </w:r>
      <w:r>
        <w:t>“).</w:t>
      </w:r>
    </w:p>
    <w:p w14:paraId="390F3844" w14:textId="77777777" w:rsidR="00EC1C40" w:rsidRDefault="00000000">
      <w:pPr>
        <w:pStyle w:val="Zkladntext1"/>
        <w:framePr w:w="9125" w:h="13814" w:hRule="exact" w:wrap="none" w:vAnchor="page" w:hAnchor="page" w:x="1518" w:y="1685"/>
        <w:numPr>
          <w:ilvl w:val="1"/>
          <w:numId w:val="30"/>
        </w:numPr>
        <w:tabs>
          <w:tab w:val="left" w:pos="554"/>
        </w:tabs>
        <w:ind w:left="580" w:hanging="580"/>
        <w:jc w:val="both"/>
      </w:pPr>
      <w:r>
        <w:t>Investor má zájem realizovat v lokalitě „Nová Cihelna“ investiční záměr spočívající ve výstavbě „</w:t>
      </w:r>
      <w:r>
        <w:rPr>
          <w:i/>
          <w:iCs/>
        </w:rPr>
        <w:t>Multifunkční hokejové arény</w:t>
      </w:r>
      <w:r>
        <w:t>“ sestávající se z (i) arény, (</w:t>
      </w:r>
      <w:proofErr w:type="spellStart"/>
      <w:r>
        <w:t>ii</w:t>
      </w:r>
      <w:proofErr w:type="spellEnd"/>
      <w:r>
        <w:t>) tréninkové haly, (</w:t>
      </w:r>
      <w:proofErr w:type="spellStart"/>
      <w:r>
        <w:t>iii</w:t>
      </w:r>
      <w:proofErr w:type="spellEnd"/>
      <w:r>
        <w:t>) hotelu, (</w:t>
      </w:r>
      <w:proofErr w:type="spellStart"/>
      <w:r>
        <w:t>iv</w:t>
      </w:r>
      <w:proofErr w:type="spellEnd"/>
      <w:r>
        <w:t>) parkovacího domu, (v) showroomu, případně dalších objektů, to vše včetně příslušné technické a dopravní infrastruktury (to vše dále jen „</w:t>
      </w:r>
      <w:r>
        <w:rPr>
          <w:b/>
          <w:bCs/>
        </w:rPr>
        <w:t>Investiční záměr</w:t>
      </w:r>
      <w:r>
        <w:t>“). Investiční záměr má být realizován mimo jiné i na Pozemcích (jejich části).</w:t>
      </w:r>
    </w:p>
    <w:p w14:paraId="17EE5A01" w14:textId="77777777" w:rsidR="00EC1C40" w:rsidRDefault="00000000">
      <w:pPr>
        <w:pStyle w:val="Zkladntext1"/>
        <w:framePr w:w="9125" w:h="13814" w:hRule="exact" w:wrap="none" w:vAnchor="page" w:hAnchor="page" w:x="1518" w:y="1685"/>
        <w:numPr>
          <w:ilvl w:val="1"/>
          <w:numId w:val="30"/>
        </w:numPr>
        <w:tabs>
          <w:tab w:val="left" w:pos="554"/>
        </w:tabs>
        <w:ind w:left="580" w:hanging="580"/>
        <w:jc w:val="both"/>
      </w:pPr>
      <w:r>
        <w:t xml:space="preserve">Smluvní strany si jsou vědomy, že na části Pozemků Investora a části Pozemků SMP má být umístěna připojovací komunikace napojující lokalitu „Nová Cihelna“ na obchvat Pardubic, včetně jejích součástí a příslušenství, jejíž předpokládané umístění je graficky zobrazeno v </w:t>
      </w:r>
      <w:r>
        <w:rPr>
          <w:u w:val="single"/>
        </w:rPr>
        <w:t xml:space="preserve">Příloze č. 1 </w:t>
      </w:r>
      <w:r>
        <w:t>této Smlouvy (dále jen „</w:t>
      </w:r>
      <w:r>
        <w:rPr>
          <w:b/>
          <w:bCs/>
        </w:rPr>
        <w:t>Připojovací komunikace</w:t>
      </w:r>
      <w:r>
        <w:t>“).</w:t>
      </w:r>
    </w:p>
    <w:p w14:paraId="2DFF8EEA" w14:textId="77777777" w:rsidR="00EC1C40" w:rsidRDefault="00000000">
      <w:pPr>
        <w:pStyle w:val="Zkladntext1"/>
        <w:framePr w:w="9125" w:h="13814" w:hRule="exact" w:wrap="none" w:vAnchor="page" w:hAnchor="page" w:x="1518" w:y="1685"/>
        <w:numPr>
          <w:ilvl w:val="1"/>
          <w:numId w:val="30"/>
        </w:numPr>
        <w:tabs>
          <w:tab w:val="left" w:pos="554"/>
        </w:tabs>
        <w:jc w:val="both"/>
      </w:pPr>
      <w:r>
        <w:t>Preambule a přílohy tvoří nedílnou součást této Smlouvy.</w:t>
      </w:r>
    </w:p>
    <w:p w14:paraId="401A637A" w14:textId="77777777" w:rsidR="00EC1C40" w:rsidRDefault="00000000">
      <w:pPr>
        <w:pStyle w:val="Zkladntext1"/>
        <w:framePr w:w="9125" w:h="13814" w:hRule="exact" w:wrap="none" w:vAnchor="page" w:hAnchor="page" w:x="1518" w:y="1685"/>
        <w:numPr>
          <w:ilvl w:val="1"/>
          <w:numId w:val="30"/>
        </w:numPr>
        <w:tabs>
          <w:tab w:val="left" w:pos="554"/>
        </w:tabs>
        <w:ind w:left="580" w:hanging="580"/>
        <w:jc w:val="both"/>
      </w:pPr>
      <w:r>
        <w:t>Odkazuje-li tato Smlouva na určitý právní předpis a/nebo určité ustanovení právního předpisu, zahrnuje takový odkaz i odkaz na právní předpis, popřípadě ustanovení právního předpisu, který jej kdykoli v budoucnu nahradí.</w:t>
      </w:r>
    </w:p>
    <w:p w14:paraId="4F670933" w14:textId="77777777" w:rsidR="00EC1C40" w:rsidRDefault="00000000">
      <w:pPr>
        <w:pStyle w:val="Zkladntext1"/>
        <w:framePr w:w="9125" w:h="13814" w:hRule="exact" w:wrap="none" w:vAnchor="page" w:hAnchor="page" w:x="1518" w:y="1685"/>
        <w:numPr>
          <w:ilvl w:val="1"/>
          <w:numId w:val="30"/>
        </w:numPr>
        <w:tabs>
          <w:tab w:val="left" w:pos="554"/>
        </w:tabs>
        <w:ind w:left="580" w:hanging="580"/>
        <w:jc w:val="both"/>
      </w:pPr>
      <w:r>
        <w:t>Dojde-li po uzavření této Smlouvy k dělení či scelení Pozemků či jejich částí, platí práva a povinnosti týkající se původních Pozemků ve stejném rozsahu i vůči těmto nově vytvořeným (nově odděleným či naopak sceleným) pozemkům, bez ohledu na jejich nové katastrální označení.</w:t>
      </w:r>
    </w:p>
    <w:p w14:paraId="3ED8C71D" w14:textId="77777777" w:rsidR="00EC1C40" w:rsidRDefault="00000000">
      <w:pPr>
        <w:pStyle w:val="Zkladntext1"/>
        <w:framePr w:w="9125" w:h="13814" w:hRule="exact" w:wrap="none" w:vAnchor="page" w:hAnchor="page" w:x="1518" w:y="1685"/>
        <w:numPr>
          <w:ilvl w:val="1"/>
          <w:numId w:val="30"/>
        </w:numPr>
        <w:tabs>
          <w:tab w:val="left" w:pos="554"/>
        </w:tabs>
        <w:spacing w:after="0"/>
        <w:ind w:left="580" w:hanging="580"/>
        <w:jc w:val="both"/>
      </w:pPr>
      <w:r>
        <w:t>Smluvní strany prohlašují, že si v rámci probíhajících jednání o této Smlouvě v maximální možné míře vyjasnily obsah a význam výrazů a pojmů použitých v této Smlouvě, a že v případě jakýchkoli</w:t>
      </w:r>
    </w:p>
    <w:p w14:paraId="1D5B785B" w14:textId="77777777" w:rsidR="00EC1C40" w:rsidRDefault="00000000">
      <w:pPr>
        <w:pStyle w:val="Zhlavnebozpat0"/>
        <w:framePr w:w="418" w:h="226" w:hRule="exact" w:wrap="none" w:vAnchor="page" w:hAnchor="page" w:x="5867" w:y="15936"/>
        <w:jc w:val="center"/>
        <w:rPr>
          <w:sz w:val="17"/>
          <w:szCs w:val="17"/>
        </w:rPr>
      </w:pPr>
      <w:r>
        <w:rPr>
          <w:rFonts w:ascii="Arial" w:eastAsia="Arial" w:hAnsi="Arial" w:cs="Arial"/>
          <w:color w:val="231E20"/>
          <w:sz w:val="17"/>
          <w:szCs w:val="17"/>
        </w:rPr>
        <w:t>3/15</w:t>
      </w:r>
    </w:p>
    <w:p w14:paraId="59250636"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7C6C2692" w14:textId="77777777" w:rsidR="00EC1C40" w:rsidRDefault="00000000">
      <w:pPr>
        <w:spacing w:line="1" w:lineRule="exact"/>
      </w:pPr>
      <w:r>
        <w:rPr>
          <w:noProof/>
        </w:rPr>
        <w:lastRenderedPageBreak/>
        <mc:AlternateContent>
          <mc:Choice Requires="wps">
            <w:drawing>
              <wp:anchor distT="0" distB="0" distL="114300" distR="114300" simplePos="0" relativeHeight="251682304" behindDoc="1" locked="0" layoutInCell="1" allowOverlap="1" wp14:anchorId="67FDFC43" wp14:editId="15C387A2">
                <wp:simplePos x="0" y="0"/>
                <wp:positionH relativeFrom="page">
                  <wp:posOffset>956945</wp:posOffset>
                </wp:positionH>
                <wp:positionV relativeFrom="page">
                  <wp:posOffset>941705</wp:posOffset>
                </wp:positionV>
                <wp:extent cx="5800725" cy="0"/>
                <wp:effectExtent l="0" t="0" r="0" b="0"/>
                <wp:wrapNone/>
                <wp:docPr id="99" name="Shape 99"/>
                <wp:cNvGraphicFramePr/>
                <a:graphic xmlns:a="http://schemas.openxmlformats.org/drawingml/2006/main">
                  <a:graphicData uri="http://schemas.microsoft.com/office/word/2010/wordprocessingShape">
                    <wps:wsp>
                      <wps:cNvCnPr/>
                      <wps:spPr>
                        <a:xfrm>
                          <a:off x="0" y="0"/>
                          <a:ext cx="5800725" cy="0"/>
                        </a:xfrm>
                        <a:prstGeom prst="straightConnector1">
                          <a:avLst/>
                        </a:prstGeom>
                        <a:ln w="8890">
                          <a:solidFill/>
                        </a:ln>
                      </wps:spPr>
                      <wps:bodyPr/>
                    </wps:wsp>
                  </a:graphicData>
                </a:graphic>
              </wp:anchor>
            </w:drawing>
          </mc:Choice>
          <mc:Fallback>
            <w:pict>
              <v:shape o:spt="32" o:oned="true" path="m,l21600,21600e" style="position:absolute;margin-left:75.350000000000009pt;margin-top:74.150000000000006pt;width:456.75pt;height:0;z-index:-251658240;mso-position-horizontal-relative:page;mso-position-vertical-relative:page">
                <v:stroke weight="0.70000000000000007pt"/>
              </v:shape>
            </w:pict>
          </mc:Fallback>
        </mc:AlternateContent>
      </w:r>
    </w:p>
    <w:p w14:paraId="5C10B0E3" w14:textId="77777777" w:rsidR="00EC1C40" w:rsidRDefault="00000000">
      <w:pPr>
        <w:pStyle w:val="Zhlavnebozpat0"/>
        <w:framePr w:wrap="none" w:vAnchor="page" w:hAnchor="page" w:x="4566" w:y="1248"/>
        <w:rPr>
          <w:sz w:val="17"/>
          <w:szCs w:val="17"/>
        </w:rPr>
      </w:pPr>
      <w:r>
        <w:rPr>
          <w:rFonts w:ascii="Arial" w:eastAsia="Arial" w:hAnsi="Arial" w:cs="Arial"/>
          <w:color w:val="231E20"/>
          <w:sz w:val="17"/>
          <w:szCs w:val="17"/>
        </w:rPr>
        <w:t>Smlouva o smlouvě budoucí směnné</w:t>
      </w:r>
    </w:p>
    <w:p w14:paraId="075EEC6E" w14:textId="77777777" w:rsidR="00EC1C40" w:rsidRDefault="00000000">
      <w:pPr>
        <w:pStyle w:val="Zkladntext1"/>
        <w:framePr w:w="9125" w:h="13421" w:hRule="exact" w:wrap="none" w:vAnchor="page" w:hAnchor="page" w:x="1518" w:y="1685"/>
        <w:ind w:left="580"/>
        <w:jc w:val="both"/>
      </w:pPr>
      <w:r>
        <w:t>pochybností o přesném významu takového výrazu si Smluvní strany tento nejasný či nepřesný význam výrazu použitého v této Smlouvě nechaly náležitým způsobem vysvětlit.</w:t>
      </w:r>
    </w:p>
    <w:p w14:paraId="5FA0E404" w14:textId="77777777" w:rsidR="00EC1C40" w:rsidRDefault="00000000">
      <w:pPr>
        <w:pStyle w:val="Zkladntext1"/>
        <w:framePr w:w="9125" w:h="13421" w:hRule="exact" w:wrap="none" w:vAnchor="page" w:hAnchor="page" w:x="1518" w:y="1685"/>
        <w:numPr>
          <w:ilvl w:val="1"/>
          <w:numId w:val="30"/>
        </w:numPr>
        <w:tabs>
          <w:tab w:val="left" w:pos="560"/>
        </w:tabs>
        <w:ind w:left="580" w:hanging="580"/>
        <w:jc w:val="both"/>
      </w:pPr>
      <w:r>
        <w:t>Kdekoli se v této Smlouvě stanoví právo či povinnost některé ze Smluvních stran, má se tím na mysli i její právní nástupce (nástupci), ať na základě singulární či univerzální sukcese.</w:t>
      </w:r>
    </w:p>
    <w:p w14:paraId="3A58662A" w14:textId="77777777" w:rsidR="00EC1C40" w:rsidRDefault="00000000">
      <w:pPr>
        <w:pStyle w:val="Nadpis60"/>
        <w:framePr w:w="9125" w:h="13421" w:hRule="exact" w:wrap="none" w:vAnchor="page" w:hAnchor="page" w:x="1518" w:y="1685"/>
        <w:numPr>
          <w:ilvl w:val="0"/>
          <w:numId w:val="30"/>
        </w:numPr>
        <w:tabs>
          <w:tab w:val="left" w:pos="560"/>
        </w:tabs>
        <w:jc w:val="both"/>
      </w:pPr>
      <w:bookmarkStart w:id="68" w:name="bookmark137"/>
      <w:r>
        <w:t>Uzavření Směnné smlouvy</w:t>
      </w:r>
      <w:bookmarkEnd w:id="68"/>
    </w:p>
    <w:p w14:paraId="6C5424A2" w14:textId="77777777" w:rsidR="00EC1C40" w:rsidRDefault="00000000">
      <w:pPr>
        <w:pStyle w:val="Zkladntext1"/>
        <w:framePr w:w="9125" w:h="13421" w:hRule="exact" w:wrap="none" w:vAnchor="page" w:hAnchor="page" w:x="1518" w:y="1685"/>
        <w:numPr>
          <w:ilvl w:val="1"/>
          <w:numId w:val="30"/>
        </w:numPr>
        <w:tabs>
          <w:tab w:val="left" w:pos="560"/>
        </w:tabs>
        <w:ind w:left="580" w:hanging="580"/>
        <w:jc w:val="both"/>
      </w:pPr>
      <w:r>
        <w:t>Smluvní strany se za podmínek sjednaných v čl. 2.2. této Smlouvy zavazují spolu uzavřít směnnou smlouvu, jejíž znění bude odpovídat požadavkům sjednaným v této Smlouvě (dále jen „</w:t>
      </w:r>
      <w:r>
        <w:rPr>
          <w:b/>
          <w:bCs/>
        </w:rPr>
        <w:t>Směnná smlouva</w:t>
      </w:r>
      <w:r>
        <w:t>“), na základě které bude realizována směna Pozemků, a to následovně:</w:t>
      </w:r>
    </w:p>
    <w:p w14:paraId="730E50B6" w14:textId="77777777" w:rsidR="00EC1C40" w:rsidRDefault="00000000">
      <w:pPr>
        <w:pStyle w:val="Zkladntext1"/>
        <w:framePr w:w="9125" w:h="13421" w:hRule="exact" w:wrap="none" w:vAnchor="page" w:hAnchor="page" w:x="1518" w:y="1685"/>
        <w:numPr>
          <w:ilvl w:val="2"/>
          <w:numId w:val="30"/>
        </w:numPr>
        <w:tabs>
          <w:tab w:val="left" w:pos="1286"/>
        </w:tabs>
        <w:ind w:left="1300" w:hanging="720"/>
        <w:jc w:val="both"/>
      </w:pPr>
      <w:r>
        <w:t xml:space="preserve">SMP převede na Investora formou směny vlastnické právo k (i) (celému) Pozemku SMP </w:t>
      </w:r>
      <w:proofErr w:type="spellStart"/>
      <w:r>
        <w:t>parc</w:t>
      </w:r>
      <w:proofErr w:type="spellEnd"/>
      <w:r>
        <w:t xml:space="preserve">. č. 1575, </w:t>
      </w:r>
      <w:proofErr w:type="spellStart"/>
      <w:r>
        <w:t>k.ú</w:t>
      </w:r>
      <w:proofErr w:type="spellEnd"/>
      <w:r>
        <w:t>. Pardubice a (</w:t>
      </w:r>
      <w:proofErr w:type="spellStart"/>
      <w:r>
        <w:t>ii</w:t>
      </w:r>
      <w:proofErr w:type="spellEnd"/>
      <w:r>
        <w:t xml:space="preserve">) části Pozemku SMP </w:t>
      </w:r>
      <w:proofErr w:type="spellStart"/>
      <w:r>
        <w:t>parc</w:t>
      </w:r>
      <w:proofErr w:type="spellEnd"/>
      <w:r>
        <w:t xml:space="preserve">. č. 2678/1, </w:t>
      </w:r>
      <w:proofErr w:type="spellStart"/>
      <w:r>
        <w:t>k.ú</w:t>
      </w:r>
      <w:proofErr w:type="spellEnd"/>
      <w:r>
        <w:t xml:space="preserve">. Pardubice, </w:t>
      </w:r>
      <w:r>
        <w:rPr>
          <w:i/>
          <w:iCs/>
        </w:rPr>
        <w:t>v</w:t>
      </w:r>
      <w:r>
        <w:t xml:space="preserve"> rozsahu graficky vyznačeném v </w:t>
      </w:r>
      <w:r>
        <w:rPr>
          <w:u w:val="single"/>
        </w:rPr>
        <w:t>Příloze č. 2</w:t>
      </w:r>
      <w:r>
        <w:t xml:space="preserve"> této Smlouvy, včetně součástí a příslušenství těchto Pozemků SMP; a</w:t>
      </w:r>
    </w:p>
    <w:p w14:paraId="073B4BAF" w14:textId="77777777" w:rsidR="00EC1C40" w:rsidRDefault="00000000">
      <w:pPr>
        <w:pStyle w:val="Zkladntext1"/>
        <w:framePr w:w="9125" w:h="13421" w:hRule="exact" w:wrap="none" w:vAnchor="page" w:hAnchor="page" w:x="1518" w:y="1685"/>
        <w:numPr>
          <w:ilvl w:val="2"/>
          <w:numId w:val="30"/>
        </w:numPr>
        <w:tabs>
          <w:tab w:val="left" w:pos="1286"/>
        </w:tabs>
        <w:ind w:left="1300" w:hanging="720"/>
        <w:jc w:val="both"/>
      </w:pPr>
      <w:r>
        <w:t xml:space="preserve">Investor převede na SMP formou směny vlastnické právo k částem Pozemků Investora, a to v rozsahu graficky vyznačeném v </w:t>
      </w:r>
      <w:r>
        <w:rPr>
          <w:u w:val="single"/>
        </w:rPr>
        <w:t>Příloze č. 2</w:t>
      </w:r>
      <w:r>
        <w:t xml:space="preserve"> této Smlouvy, včetně součástí a příslušenství těchto Pozemků Investora;</w:t>
      </w:r>
    </w:p>
    <w:p w14:paraId="08D32BE7" w14:textId="77777777" w:rsidR="00EC1C40" w:rsidRDefault="00000000">
      <w:pPr>
        <w:pStyle w:val="Zkladntext1"/>
        <w:framePr w:w="9125" w:h="13421" w:hRule="exact" w:wrap="none" w:vAnchor="page" w:hAnchor="page" w:x="1518" w:y="1685"/>
        <w:ind w:left="580"/>
        <w:jc w:val="both"/>
      </w:pPr>
      <w:r>
        <w:t>(dále jen „</w:t>
      </w:r>
      <w:r>
        <w:rPr>
          <w:b/>
          <w:bCs/>
        </w:rPr>
        <w:t>Směna</w:t>
      </w:r>
      <w:r>
        <w:t>“). Předpokládaný rozsah Směny činí na straně SMP celkem 4.539 m</w:t>
      </w:r>
      <w:r>
        <w:rPr>
          <w:vertAlign w:val="superscript"/>
        </w:rPr>
        <w:t>2</w:t>
      </w:r>
      <w:r>
        <w:t xml:space="preserve"> a na straně Investora celkem 7.688 m</w:t>
      </w:r>
      <w:r>
        <w:rPr>
          <w:vertAlign w:val="superscript"/>
        </w:rPr>
        <w:t>2</w:t>
      </w:r>
      <w:r>
        <w:t>. Smluvní strany si jsou vědomy, že přesný finální rozsah převáděných částí Pozemků bude stanoven na základě geometrického plánu pro dělení (scelení) pozemku (dále jen „</w:t>
      </w:r>
      <w:r>
        <w:rPr>
          <w:b/>
          <w:bCs/>
        </w:rPr>
        <w:t>Geometrický plán</w:t>
      </w:r>
      <w:r>
        <w:t>“), který bude vypracován v souladu s čl. 2.5. této Smlouvy.</w:t>
      </w:r>
    </w:p>
    <w:p w14:paraId="284800A8" w14:textId="77777777" w:rsidR="00EC1C40" w:rsidRDefault="00000000">
      <w:pPr>
        <w:pStyle w:val="Zkladntext1"/>
        <w:framePr w:w="9125" w:h="13421" w:hRule="exact" w:wrap="none" w:vAnchor="page" w:hAnchor="page" w:x="1518" w:y="1685"/>
        <w:numPr>
          <w:ilvl w:val="1"/>
          <w:numId w:val="30"/>
        </w:numPr>
        <w:tabs>
          <w:tab w:val="left" w:pos="560"/>
        </w:tabs>
        <w:ind w:left="580" w:hanging="580"/>
        <w:jc w:val="both"/>
      </w:pPr>
      <w:r>
        <w:t>Nedohodnou-li se Smluvní strany jinak, uzavřou Smluvní strany Směnnou smlouvu za následujících podmínek:</w:t>
      </w:r>
    </w:p>
    <w:p w14:paraId="6D4DE84C" w14:textId="77777777" w:rsidR="00EC1C40" w:rsidRDefault="00000000">
      <w:pPr>
        <w:pStyle w:val="Zkladntext1"/>
        <w:framePr w:w="9125" w:h="13421" w:hRule="exact" w:wrap="none" w:vAnchor="page" w:hAnchor="page" w:x="1518" w:y="1685"/>
        <w:numPr>
          <w:ilvl w:val="2"/>
          <w:numId w:val="30"/>
        </w:numPr>
        <w:tabs>
          <w:tab w:val="left" w:pos="1286"/>
        </w:tabs>
        <w:ind w:left="1300" w:hanging="720"/>
        <w:jc w:val="both"/>
      </w:pPr>
      <w:r>
        <w:t>Smluvní strany se zavazují spolu uzavřít Směnnou smlouvu nejpozději do tří (3) měsíců od splnění následujících předpokladů:</w:t>
      </w:r>
    </w:p>
    <w:p w14:paraId="60D59F72" w14:textId="77777777" w:rsidR="00EC1C40" w:rsidRDefault="00000000">
      <w:pPr>
        <w:pStyle w:val="Zkladntext1"/>
        <w:framePr w:w="9125" w:h="13421" w:hRule="exact" w:wrap="none" w:vAnchor="page" w:hAnchor="page" w:x="1518" w:y="1685"/>
        <w:numPr>
          <w:ilvl w:val="3"/>
          <w:numId w:val="30"/>
        </w:numPr>
        <w:tabs>
          <w:tab w:val="left" w:pos="2145"/>
        </w:tabs>
        <w:ind w:left="2140" w:hanging="840"/>
        <w:jc w:val="both"/>
      </w:pPr>
      <w:r>
        <w:t>doručení výzvy k uzavření Směnné smlouvy příslušné Smluvní straně postupem dle čl. 2.2.2. této Smlouvy;</w:t>
      </w:r>
    </w:p>
    <w:p w14:paraId="7E52D1B8" w14:textId="77777777" w:rsidR="00EC1C40" w:rsidRDefault="00000000">
      <w:pPr>
        <w:pStyle w:val="Zkladntext1"/>
        <w:framePr w:w="9125" w:h="13421" w:hRule="exact" w:wrap="none" w:vAnchor="page" w:hAnchor="page" w:x="1518" w:y="1685"/>
        <w:numPr>
          <w:ilvl w:val="3"/>
          <w:numId w:val="30"/>
        </w:numPr>
        <w:tabs>
          <w:tab w:val="left" w:pos="2145"/>
        </w:tabs>
        <w:ind w:left="2140" w:hanging="840"/>
        <w:jc w:val="both"/>
      </w:pPr>
      <w:r>
        <w:t>nabytí právní moci rozhodnutí o povolení dělení nebo scelení Pozemků dle Geometrického plánu (dále jen „</w:t>
      </w:r>
      <w:r>
        <w:rPr>
          <w:b/>
          <w:bCs/>
        </w:rPr>
        <w:t>Rozhodnutí o dělení nebo scelení</w:t>
      </w:r>
      <w:r>
        <w:t>“);</w:t>
      </w:r>
    </w:p>
    <w:p w14:paraId="4A4482F8" w14:textId="77777777" w:rsidR="00EC1C40" w:rsidRDefault="00000000">
      <w:pPr>
        <w:pStyle w:val="Zkladntext1"/>
        <w:framePr w:w="9125" w:h="13421" w:hRule="exact" w:wrap="none" w:vAnchor="page" w:hAnchor="page" w:x="1518" w:y="1685"/>
        <w:numPr>
          <w:ilvl w:val="3"/>
          <w:numId w:val="30"/>
        </w:numPr>
        <w:tabs>
          <w:tab w:val="left" w:pos="2145"/>
        </w:tabs>
        <w:spacing w:after="0"/>
        <w:ind w:left="2140" w:hanging="840"/>
        <w:jc w:val="both"/>
      </w:pPr>
      <w:r>
        <w:t>alternativně buď (i) uzavření kupní smlouvy mezi Investorem a SMP, jejímž předmětem bude převod Připojovací komunikace umístěné na částech Pozemků vstupujících do Směny z Investora na SMP v souladu s Plánovací smlouvou (dále jen „</w:t>
      </w:r>
      <w:r>
        <w:rPr>
          <w:b/>
          <w:bCs/>
        </w:rPr>
        <w:t>Kupní smlouva</w:t>
      </w:r>
      <w:r>
        <w:t>“), nebo (</w:t>
      </w:r>
      <w:proofErr w:type="spellStart"/>
      <w:r>
        <w:t>ii</w:t>
      </w:r>
      <w:proofErr w:type="spellEnd"/>
      <w:r>
        <w:t xml:space="preserve">) uplynutí šesti (6) měsíců od doručení výzvy Investora k uzavření Kupní smlouvy SMP v souladu s podmínkami sjednanými v Plánovací smlouvě (podle toho, který z předpokladů uvedených nastane dříve). Pokud však není užívání Připojovací komunikace povoleno kolaudačním rozhodnutím, tj. se jedná o případ tzv. Nepeněžního plnění ve zkušebním provozu </w:t>
      </w:r>
      <w:r>
        <w:rPr>
          <w:i/>
          <w:iCs/>
        </w:rPr>
        <w:t>(jak je tento pojem definován v Plánovací smlouvě)</w:t>
      </w:r>
      <w:r>
        <w:t>, prodlužuje se lhůta dle bodu (</w:t>
      </w:r>
      <w:proofErr w:type="spellStart"/>
      <w:r>
        <w:t>ii</w:t>
      </w:r>
      <w:proofErr w:type="spellEnd"/>
      <w:r>
        <w:t>) tohoto ustanovení do doby, než zastupitelstvo SMP rozhodne o schválení Kupní smlouvy, nejvíce však do právní moci kolaudačního rozhodnutí na Připojovací komunikaci. SMP však není povinno uzavřít Směnnou smlouvu dle tohoto ustanovení po dobu, po kterou oprávněně odmítlo převzít Připojovací komunikaci z důvodů sjednaných v čl. 5.4.3. Plánovací smlouvy. Tím není dotčen čl. 3.12 této Smlouvy. Smluvní strany se mohou vždy dohodnout ohledně uzavření Směnné smlouvy jinak (např. s ohledem na efektivnost a koordinaci uzavření Směnné smlouvy a Kupní smlouvy);</w:t>
      </w:r>
    </w:p>
    <w:p w14:paraId="41613923" w14:textId="77777777" w:rsidR="00EC1C40" w:rsidRDefault="00000000">
      <w:pPr>
        <w:pStyle w:val="Zhlavnebozpat0"/>
        <w:framePr w:wrap="none" w:vAnchor="page" w:hAnchor="page" w:x="5862" w:y="15936"/>
        <w:rPr>
          <w:sz w:val="17"/>
          <w:szCs w:val="17"/>
        </w:rPr>
      </w:pPr>
      <w:r>
        <w:rPr>
          <w:rFonts w:ascii="Arial" w:eastAsia="Arial" w:hAnsi="Arial" w:cs="Arial"/>
          <w:color w:val="231E20"/>
          <w:sz w:val="17"/>
          <w:szCs w:val="17"/>
        </w:rPr>
        <w:t>4/15</w:t>
      </w:r>
    </w:p>
    <w:p w14:paraId="49D9D3C6"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449E2786" w14:textId="77777777" w:rsidR="00EC1C40" w:rsidRDefault="00000000">
      <w:pPr>
        <w:spacing w:line="1" w:lineRule="exact"/>
      </w:pPr>
      <w:r>
        <w:rPr>
          <w:noProof/>
        </w:rPr>
        <w:lastRenderedPageBreak/>
        <mc:AlternateContent>
          <mc:Choice Requires="wps">
            <w:drawing>
              <wp:anchor distT="0" distB="0" distL="114300" distR="114300" simplePos="0" relativeHeight="251683328" behindDoc="1" locked="0" layoutInCell="1" allowOverlap="1" wp14:anchorId="09371DE8" wp14:editId="22830EC5">
                <wp:simplePos x="0" y="0"/>
                <wp:positionH relativeFrom="page">
                  <wp:posOffset>953770</wp:posOffset>
                </wp:positionH>
                <wp:positionV relativeFrom="page">
                  <wp:posOffset>941705</wp:posOffset>
                </wp:positionV>
                <wp:extent cx="5800725" cy="0"/>
                <wp:effectExtent l="0" t="0" r="0" b="0"/>
                <wp:wrapNone/>
                <wp:docPr id="100" name="Shape 100"/>
                <wp:cNvGraphicFramePr/>
                <a:graphic xmlns:a="http://schemas.openxmlformats.org/drawingml/2006/main">
                  <a:graphicData uri="http://schemas.microsoft.com/office/word/2010/wordprocessingShape">
                    <wps:wsp>
                      <wps:cNvCnPr/>
                      <wps:spPr>
                        <a:xfrm>
                          <a:off x="0" y="0"/>
                          <a:ext cx="5800725" cy="0"/>
                        </a:xfrm>
                        <a:prstGeom prst="straightConnector1">
                          <a:avLst/>
                        </a:prstGeom>
                        <a:ln w="8890">
                          <a:solidFill/>
                        </a:ln>
                      </wps:spPr>
                      <wps:bodyPr/>
                    </wps:wsp>
                  </a:graphicData>
                </a:graphic>
              </wp:anchor>
            </w:drawing>
          </mc:Choice>
          <mc:Fallback>
            <w:pict>
              <v:shape o:spt="32" o:oned="true" path="m,l21600,21600e" style="position:absolute;margin-left:75.100000000000009pt;margin-top:74.150000000000006pt;width:456.75pt;height:0;z-index:-251658240;mso-position-horizontal-relative:page;mso-position-vertical-relative:page">
                <v:stroke weight="0.70000000000000007pt"/>
              </v:shape>
            </w:pict>
          </mc:Fallback>
        </mc:AlternateContent>
      </w:r>
    </w:p>
    <w:p w14:paraId="025F1C4C" w14:textId="77777777" w:rsidR="00EC1C40" w:rsidRDefault="00000000">
      <w:pPr>
        <w:pStyle w:val="Zhlavnebozpat0"/>
        <w:framePr w:wrap="none" w:vAnchor="page" w:hAnchor="page" w:x="4561" w:y="1248"/>
        <w:rPr>
          <w:sz w:val="17"/>
          <w:szCs w:val="17"/>
        </w:rPr>
      </w:pPr>
      <w:r>
        <w:rPr>
          <w:rFonts w:ascii="Arial" w:eastAsia="Arial" w:hAnsi="Arial" w:cs="Arial"/>
          <w:color w:val="231E20"/>
          <w:sz w:val="17"/>
          <w:szCs w:val="17"/>
        </w:rPr>
        <w:t>Smlouva o smlouvě budoucí směnné</w:t>
      </w:r>
    </w:p>
    <w:p w14:paraId="15CD3035" w14:textId="77777777" w:rsidR="00EC1C40" w:rsidRDefault="00000000">
      <w:pPr>
        <w:pStyle w:val="Zkladntext1"/>
        <w:framePr w:w="9134" w:h="13867" w:hRule="exact" w:wrap="none" w:vAnchor="page" w:hAnchor="page" w:x="1513" w:y="1685"/>
        <w:numPr>
          <w:ilvl w:val="2"/>
          <w:numId w:val="30"/>
        </w:numPr>
        <w:tabs>
          <w:tab w:val="left" w:pos="1286"/>
        </w:tabs>
        <w:spacing w:after="120"/>
        <w:ind w:left="1300" w:hanging="720"/>
        <w:jc w:val="both"/>
      </w:pPr>
      <w:r>
        <w:t>k uzavření Směnné smlouvy je oprávněn vyzvat ve lhůtě šesti (6) měsíců od okamžiku nabytí právní moci kolaudačního rozhodnutí, rozhodnutí o povolení zkušebního provozu, rozhodnutí o povolení předčasného užívání nebo jiného správního aktu, kterým se povoluje užívání Připojovací komunikace (dále jen „</w:t>
      </w:r>
      <w:r>
        <w:rPr>
          <w:b/>
          <w:bCs/>
        </w:rPr>
        <w:t>Povolení užívání Připojovací komunikace</w:t>
      </w:r>
      <w:r>
        <w:t>“) výhradně Investor. Nevyzve-li Investor k uzavření Směnné smlouvy ve lhůtě dle tohoto ustanovení, je k uzavření Směnné smlouvy oprávněno vyzvat vedle Investora rovněž SMP. Nejpozději jsou Smluvní strany v souladu s tímto ustanovením oprávněny vyzvat k uzavření Směnné smlouvy do tří (3) let od nabytí právní moci rozhodnutí o kolaudaci Investičního záměru;</w:t>
      </w:r>
    </w:p>
    <w:p w14:paraId="7BBF1541" w14:textId="77777777" w:rsidR="00EC1C40" w:rsidRDefault="00000000">
      <w:pPr>
        <w:pStyle w:val="Zkladntext1"/>
        <w:framePr w:w="9134" w:h="13867" w:hRule="exact" w:wrap="none" w:vAnchor="page" w:hAnchor="page" w:x="1513" w:y="1685"/>
        <w:numPr>
          <w:ilvl w:val="2"/>
          <w:numId w:val="30"/>
        </w:numPr>
        <w:tabs>
          <w:tab w:val="left" w:pos="1286"/>
        </w:tabs>
        <w:spacing w:after="120"/>
        <w:ind w:left="1300" w:hanging="720"/>
        <w:jc w:val="both"/>
      </w:pPr>
      <w:r>
        <w:t xml:space="preserve">příslušná Smluvní strana je povinna spolu s výzvou k uzavření Směnné smlouvy dle čl. 2.2.2. této Smlouvy doručit druhé Smluvní straně i návrh Směnné smlouvy, který bude ve všech podstatných ohledech odpovídat vzorovému znění Směnné smlouvy, které tvoří </w:t>
      </w:r>
      <w:r>
        <w:rPr>
          <w:u w:val="single"/>
        </w:rPr>
        <w:t>Přílohu č. 3</w:t>
      </w:r>
      <w:r>
        <w:t xml:space="preserve"> této Smlouvy. V rámci tohoto vzorového znění Směnné smlouvy Smluvní strany:</w:t>
      </w:r>
    </w:p>
    <w:p w14:paraId="6C9F51B3" w14:textId="77777777" w:rsidR="00EC1C40" w:rsidRDefault="00000000">
      <w:pPr>
        <w:pStyle w:val="Zkladntext1"/>
        <w:framePr w:w="9134" w:h="13867" w:hRule="exact" w:wrap="none" w:vAnchor="page" w:hAnchor="page" w:x="1513" w:y="1685"/>
        <w:numPr>
          <w:ilvl w:val="3"/>
          <w:numId w:val="30"/>
        </w:numPr>
        <w:tabs>
          <w:tab w:val="left" w:pos="2150"/>
        </w:tabs>
        <w:spacing w:after="120"/>
        <w:ind w:left="2140" w:hanging="840"/>
        <w:jc w:val="both"/>
      </w:pPr>
      <w:r>
        <w:t>doplní specifikaci Pozemků (jejich částí) vstupujících do Směny určených v souladu s touto Smlouvou, a to na základě Geometrického plánu, jehož vyhotovení zajistí na své náklady Investor;</w:t>
      </w:r>
    </w:p>
    <w:p w14:paraId="370E403B" w14:textId="77777777" w:rsidR="00EC1C40" w:rsidRDefault="00000000">
      <w:pPr>
        <w:pStyle w:val="Zkladntext1"/>
        <w:framePr w:w="9134" w:h="13867" w:hRule="exact" w:wrap="none" w:vAnchor="page" w:hAnchor="page" w:x="1513" w:y="1685"/>
        <w:numPr>
          <w:ilvl w:val="3"/>
          <w:numId w:val="30"/>
        </w:numPr>
        <w:tabs>
          <w:tab w:val="left" w:pos="2150"/>
        </w:tabs>
        <w:spacing w:after="120"/>
        <w:ind w:left="2140" w:hanging="840"/>
        <w:jc w:val="both"/>
      </w:pPr>
      <w:r>
        <w:t>doplní obvyklou cenu částí Pozemků vstupujících do Směny, která bude stanovena na základě znaleckého posudku zpracovaného v souladu s čl. 2.3 Smlouvy;</w:t>
      </w:r>
    </w:p>
    <w:p w14:paraId="38C2E92E" w14:textId="77777777" w:rsidR="00EC1C40" w:rsidRDefault="00000000">
      <w:pPr>
        <w:pStyle w:val="Zkladntext1"/>
        <w:framePr w:w="9134" w:h="13867" w:hRule="exact" w:wrap="none" w:vAnchor="page" w:hAnchor="page" w:x="1513" w:y="1685"/>
        <w:numPr>
          <w:ilvl w:val="3"/>
          <w:numId w:val="30"/>
        </w:numPr>
        <w:tabs>
          <w:tab w:val="left" w:pos="2150"/>
        </w:tabs>
        <w:spacing w:after="120"/>
        <w:ind w:left="2140" w:hanging="840"/>
        <w:jc w:val="both"/>
      </w:pPr>
      <w:r>
        <w:t>doplní údaje, jejichž doplnění vzorové znění Směnné smlouvy předpokládá, včetně výše doplatku Směny v souladu s čl. 2.4 této Smlouvy; a</w:t>
      </w:r>
    </w:p>
    <w:p w14:paraId="28786A12" w14:textId="77777777" w:rsidR="00EC1C40" w:rsidRDefault="00000000">
      <w:pPr>
        <w:pStyle w:val="Zkladntext1"/>
        <w:framePr w:w="9134" w:h="13867" w:hRule="exact" w:wrap="none" w:vAnchor="page" w:hAnchor="page" w:x="1513" w:y="1685"/>
        <w:numPr>
          <w:ilvl w:val="3"/>
          <w:numId w:val="30"/>
        </w:numPr>
        <w:tabs>
          <w:tab w:val="left" w:pos="2150"/>
        </w:tabs>
        <w:spacing w:after="120"/>
        <w:ind w:left="2140" w:hanging="840"/>
        <w:jc w:val="both"/>
      </w:pPr>
      <w:r>
        <w:t>doplní a/nebo aktualizují text Směnné smlouvy, pokud (i) je to nezbytné s ohledem na stanovení finálního rozsahu Pozemků vstupujících do Směny či jejich identifikaci, či změnu právních předpisů či jiných závazných norem či podmínek stanovených ze strany orgánů veřejné moci, popřípadě změny okolností a/nebo (</w:t>
      </w:r>
      <w:proofErr w:type="spellStart"/>
      <w:r>
        <w:t>ii</w:t>
      </w:r>
      <w:proofErr w:type="spellEnd"/>
      <w:r>
        <w:t>) se na tom Smluvní strany dohodnou.</w:t>
      </w:r>
    </w:p>
    <w:p w14:paraId="2E89FEA5" w14:textId="77777777" w:rsidR="00EC1C40" w:rsidRDefault="00000000">
      <w:pPr>
        <w:pStyle w:val="Zkladntext1"/>
        <w:framePr w:w="9134" w:h="13867" w:hRule="exact" w:wrap="none" w:vAnchor="page" w:hAnchor="page" w:x="1513" w:y="1685"/>
        <w:numPr>
          <w:ilvl w:val="1"/>
          <w:numId w:val="30"/>
        </w:numPr>
        <w:tabs>
          <w:tab w:val="left" w:pos="562"/>
        </w:tabs>
        <w:spacing w:after="120"/>
        <w:ind w:left="580" w:hanging="580"/>
        <w:jc w:val="both"/>
      </w:pPr>
      <w:r>
        <w:t>Hodnota příslušných částí Pozemků vstupujících do Směny bude stanovena v souladu s platnými a účinnými právními předpisy jako cena obvyklá, a to na základě znaleckého posudku, jehož vyhotovení zajistí Investor ze seznamu znalců SMP, který SMP Investorovi na vyžádání poskytne, a to na své náklady (dále jen „</w:t>
      </w:r>
      <w:r>
        <w:rPr>
          <w:b/>
          <w:bCs/>
        </w:rPr>
        <w:t>Znalecký posudek</w:t>
      </w:r>
      <w:r>
        <w:t>“).</w:t>
      </w:r>
    </w:p>
    <w:p w14:paraId="7EFACC11" w14:textId="77777777" w:rsidR="00EC1C40" w:rsidRDefault="00000000">
      <w:pPr>
        <w:pStyle w:val="Zkladntext1"/>
        <w:framePr w:w="9134" w:h="13867" w:hRule="exact" w:wrap="none" w:vAnchor="page" w:hAnchor="page" w:x="1513" w:y="1685"/>
        <w:numPr>
          <w:ilvl w:val="1"/>
          <w:numId w:val="30"/>
        </w:numPr>
        <w:tabs>
          <w:tab w:val="left" w:pos="562"/>
        </w:tabs>
        <w:spacing w:after="120"/>
        <w:ind w:left="580" w:hanging="580"/>
        <w:jc w:val="both"/>
      </w:pPr>
      <w:r>
        <w:t>Hodnota příslušných částí Pozemků vstupujících do Směny bude stanovena na základě Znaleckého posudku. Bude-li Směna Pozemků předmětem daně z přidané hodnoty podle zákona č. 235/2004 Sb., o dani z přidané hodnoty, ve znění pozdějších předpisů (dále jen "</w:t>
      </w:r>
      <w:r>
        <w:rPr>
          <w:b/>
          <w:bCs/>
        </w:rPr>
        <w:t>DPH</w:t>
      </w:r>
      <w:r>
        <w:t>"), bude k hodnotě příslušných částí Pozemků vstupujících do Směny stanovené na základě Znaleckého posudku připočtena DPH v zákonné výši. Pokud by ze Znaleckého posudku (v případě, že Směna podléhá DPH, pak po připočtení DPH, pokud ji neobsahuje znalecký posudek) vyplývala vyšší cena částí Pozemků Investora vstupujících do Směny než cena částí Pozemků SMP vstupujících do Směny, neuplatní se doplatek, tj. SMP nebude Investorovi doplácet žádné další plnění v souvislosti se Směnou. Pokud by ze Znaleckého posudku (v případě, že Směna podléhá DPH, pak po připočtení DPH) vyplývala vyšší cena částí Pozemků SMP vstupujících do Směny než cena částí Pozemků Investora vstupujících do Směny, rozdíl mezi těmito hodnotami Pozemků (dále jen „</w:t>
      </w:r>
      <w:r>
        <w:rPr>
          <w:b/>
          <w:bCs/>
        </w:rPr>
        <w:t>Doplatek</w:t>
      </w:r>
      <w:r>
        <w:t>") uhradí Investor SMP, a to ve lhůtě (1) měsíce od pravomocného povolení vkladu vlastnických práv dle Směnné smlouvy do katastru nemovitostí. Bude-li Směna Pozemků předmětem DPH, vystaví Smluvní strany a zašlou druhé Smluvní straně příslušné daňové doklady.</w:t>
      </w:r>
    </w:p>
    <w:p w14:paraId="767396FE" w14:textId="77777777" w:rsidR="00EC1C40" w:rsidRDefault="00000000">
      <w:pPr>
        <w:pStyle w:val="Zkladntext1"/>
        <w:framePr w:w="9134" w:h="13867" w:hRule="exact" w:wrap="none" w:vAnchor="page" w:hAnchor="page" w:x="1513" w:y="1685"/>
        <w:numPr>
          <w:ilvl w:val="1"/>
          <w:numId w:val="30"/>
        </w:numPr>
        <w:tabs>
          <w:tab w:val="left" w:pos="562"/>
        </w:tabs>
        <w:spacing w:after="0"/>
        <w:ind w:left="580" w:hanging="580"/>
        <w:jc w:val="both"/>
      </w:pPr>
      <w:r>
        <w:t xml:space="preserve">Geometrický plán bude ve všech podstatných ohledech vycházet z rozsahu směňovaných Pozemků (jejich částí), jak jsou graficky vyznačeny v </w:t>
      </w:r>
      <w:r>
        <w:rPr>
          <w:u w:val="single"/>
        </w:rPr>
        <w:t>Příloze č. 2</w:t>
      </w:r>
      <w:r>
        <w:t xml:space="preserve"> této Smlouvy. Smluvní strany</w:t>
      </w:r>
    </w:p>
    <w:p w14:paraId="4B7480FD" w14:textId="77777777" w:rsidR="00EC1C40" w:rsidRDefault="00000000">
      <w:pPr>
        <w:pStyle w:val="Zhlavnebozpat0"/>
        <w:framePr w:wrap="none" w:vAnchor="page" w:hAnchor="page" w:x="5867" w:y="15936"/>
        <w:rPr>
          <w:sz w:val="17"/>
          <w:szCs w:val="17"/>
        </w:rPr>
      </w:pPr>
      <w:r>
        <w:rPr>
          <w:rFonts w:ascii="Arial" w:eastAsia="Arial" w:hAnsi="Arial" w:cs="Arial"/>
          <w:color w:val="231E20"/>
          <w:sz w:val="17"/>
          <w:szCs w:val="17"/>
        </w:rPr>
        <w:t>5/15</w:t>
      </w:r>
    </w:p>
    <w:p w14:paraId="4F854758"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470EE837" w14:textId="77777777" w:rsidR="00EC1C40" w:rsidRDefault="00000000">
      <w:pPr>
        <w:spacing w:line="1" w:lineRule="exact"/>
      </w:pPr>
      <w:r>
        <w:rPr>
          <w:noProof/>
        </w:rPr>
        <w:lastRenderedPageBreak/>
        <mc:AlternateContent>
          <mc:Choice Requires="wps">
            <w:drawing>
              <wp:anchor distT="0" distB="0" distL="114300" distR="114300" simplePos="0" relativeHeight="251684352" behindDoc="1" locked="0" layoutInCell="1" allowOverlap="1" wp14:anchorId="18DA6BF8" wp14:editId="0E6CB8C0">
                <wp:simplePos x="0" y="0"/>
                <wp:positionH relativeFrom="page">
                  <wp:posOffset>951230</wp:posOffset>
                </wp:positionH>
                <wp:positionV relativeFrom="page">
                  <wp:posOffset>941705</wp:posOffset>
                </wp:positionV>
                <wp:extent cx="5800090" cy="0"/>
                <wp:effectExtent l="0" t="0" r="0" b="0"/>
                <wp:wrapNone/>
                <wp:docPr id="101" name="Shape 101"/>
                <wp:cNvGraphicFramePr/>
                <a:graphic xmlns:a="http://schemas.openxmlformats.org/drawingml/2006/main">
                  <a:graphicData uri="http://schemas.microsoft.com/office/word/2010/wordprocessingShape">
                    <wps:wsp>
                      <wps:cNvCnPr/>
                      <wps:spPr>
                        <a:xfrm>
                          <a:off x="0" y="0"/>
                          <a:ext cx="5800090" cy="0"/>
                        </a:xfrm>
                        <a:prstGeom prst="straightConnector1">
                          <a:avLst/>
                        </a:prstGeom>
                        <a:ln w="8890">
                          <a:solidFill/>
                        </a:ln>
                      </wps:spPr>
                      <wps:bodyPr/>
                    </wps:wsp>
                  </a:graphicData>
                </a:graphic>
              </wp:anchor>
            </w:drawing>
          </mc:Choice>
          <mc:Fallback>
            <w:pict>
              <v:shape o:spt="32" o:oned="true" path="m,l21600,21600e" style="position:absolute;margin-left:74.900000000000006pt;margin-top:74.150000000000006pt;width:456.69999999999999pt;height:0;z-index:-251658240;mso-position-horizontal-relative:page;mso-position-vertical-relative:page">
                <v:stroke weight="0.70000000000000007pt"/>
              </v:shape>
            </w:pict>
          </mc:Fallback>
        </mc:AlternateContent>
      </w:r>
    </w:p>
    <w:p w14:paraId="21EF5961" w14:textId="77777777" w:rsidR="00EC1C40" w:rsidRDefault="00000000">
      <w:pPr>
        <w:pStyle w:val="Zhlavnebozpat0"/>
        <w:framePr w:wrap="none" w:vAnchor="page" w:hAnchor="page" w:x="4556" w:y="1248"/>
        <w:rPr>
          <w:sz w:val="17"/>
          <w:szCs w:val="17"/>
        </w:rPr>
      </w:pPr>
      <w:r>
        <w:rPr>
          <w:rFonts w:ascii="Arial" w:eastAsia="Arial" w:hAnsi="Arial" w:cs="Arial"/>
          <w:color w:val="231E20"/>
          <w:sz w:val="17"/>
          <w:szCs w:val="17"/>
        </w:rPr>
        <w:t>Smlouva o smlouvě budoucí směnné</w:t>
      </w:r>
    </w:p>
    <w:p w14:paraId="76449814" w14:textId="77777777" w:rsidR="00EC1C40" w:rsidRDefault="00000000">
      <w:pPr>
        <w:pStyle w:val="Zkladntext1"/>
        <w:framePr w:w="9134" w:h="13987" w:hRule="exact" w:wrap="none" w:vAnchor="page" w:hAnchor="page" w:x="1513" w:y="1685"/>
        <w:ind w:left="580"/>
        <w:jc w:val="both"/>
      </w:pPr>
      <w:r>
        <w:t xml:space="preserve">jsou </w:t>
      </w:r>
      <w:proofErr w:type="spellStart"/>
      <w:r>
        <w:rPr>
          <w:lang w:val="en-US" w:eastAsia="en-US" w:bidi="en-US"/>
        </w:rPr>
        <w:t>si</w:t>
      </w:r>
      <w:proofErr w:type="spellEnd"/>
      <w:r>
        <w:rPr>
          <w:lang w:val="en-US" w:eastAsia="en-US" w:bidi="en-US"/>
        </w:rPr>
        <w:t xml:space="preserve"> </w:t>
      </w:r>
      <w:r>
        <w:t xml:space="preserve">vědomy, že rozsah směňovaných Pozemků (jejich částí) dle </w:t>
      </w:r>
      <w:r>
        <w:rPr>
          <w:u w:val="single"/>
        </w:rPr>
        <w:t>Přílohy č. 2</w:t>
      </w:r>
      <w:r>
        <w:t xml:space="preserve"> této Smlouvy vychází z umístění Připojovací komunikace dle stavu předpokládaném ke dni uzavření této Smlouvy; pokud by došlo v souvislosti s výstavbou Připojovací komunikace ke změně jejího rozsahu (umístění), upraví Smluvní strany adekvátně tomu i rozsah směňovaných Pozemků (jejich částí), a tedy i zadání a finální znění Geometrického plánu. Zpracování Geometrického plánu zajistí Investor.</w:t>
      </w:r>
    </w:p>
    <w:p w14:paraId="408B4029" w14:textId="77777777" w:rsidR="00EC1C40" w:rsidRDefault="00000000">
      <w:pPr>
        <w:pStyle w:val="Zkladntext1"/>
        <w:framePr w:w="9134" w:h="13987" w:hRule="exact" w:wrap="none" w:vAnchor="page" w:hAnchor="page" w:x="1513" w:y="1685"/>
        <w:numPr>
          <w:ilvl w:val="1"/>
          <w:numId w:val="30"/>
        </w:numPr>
        <w:tabs>
          <w:tab w:val="left" w:pos="565"/>
        </w:tabs>
        <w:ind w:left="580" w:hanging="580"/>
        <w:jc w:val="both"/>
      </w:pPr>
      <w:r>
        <w:t>Žádost o vydání Rozhodnutí o dělení nebo scelení podají Smluvní strany společně, nebo Investor se souhlasem SMP (SMP v takovém případě udělí souhlas s rozdělením a/nebo scelením Pozemků podle Geometrického plánu a poskytne Investorovi veškerou součinnost nezbytnou k zajištění Rozhodnutí o dělení nebo scelení); učiní tak bez zbytečného odkladu po vydání Geometrického plánu dle čl. 2.5 této Smlouvy.</w:t>
      </w:r>
    </w:p>
    <w:p w14:paraId="39293957" w14:textId="77777777" w:rsidR="00EC1C40" w:rsidRDefault="00000000">
      <w:pPr>
        <w:pStyle w:val="Zkladntext1"/>
        <w:framePr w:w="9134" w:h="13987" w:hRule="exact" w:wrap="none" w:vAnchor="page" w:hAnchor="page" w:x="1513" w:y="1685"/>
        <w:numPr>
          <w:ilvl w:val="1"/>
          <w:numId w:val="30"/>
        </w:numPr>
        <w:tabs>
          <w:tab w:val="left" w:pos="565"/>
        </w:tabs>
        <w:ind w:left="580" w:hanging="580"/>
        <w:jc w:val="both"/>
      </w:pPr>
      <w:r>
        <w:t>Smluvní strany učiní veškeré kroky a jednání nezbytná pro uzavření Směnné smlouvy a realizaci Směny a poskytnou si veškerou součinnost nezbytnou pro její realizaci, zejména pro získání potřebných rozhodnutí či jiných správních aktů (souhlasů) nezbytných pro dělení a/nebo scelení Pozemků (včetně splnění případných podmínek stanovených pro dělení a/nebo scelení Pozemků), vypracování Geometrického plánu a/nebo vypracování Znaleckého posudku. Na straně SMP povinnost dle tohoto ustanovení zahrnuje i učinění veškerých kroků, které jsou zapotřebí dle zákona č. 128/2000 Sb., o obcích (obecní zřízení), ve znění pozdějších předpisů k uzavření Směnné smlouvy a realizaci Směny na jejím základě.</w:t>
      </w:r>
    </w:p>
    <w:p w14:paraId="7D898D47" w14:textId="77777777" w:rsidR="00EC1C40" w:rsidRDefault="00000000">
      <w:pPr>
        <w:pStyle w:val="Zkladntext1"/>
        <w:framePr w:w="9134" w:h="13987" w:hRule="exact" w:wrap="none" w:vAnchor="page" w:hAnchor="page" w:x="1513" w:y="1685"/>
        <w:numPr>
          <w:ilvl w:val="1"/>
          <w:numId w:val="30"/>
        </w:numPr>
        <w:tabs>
          <w:tab w:val="left" w:pos="565"/>
        </w:tabs>
        <w:ind w:left="580" w:hanging="580"/>
        <w:jc w:val="both"/>
      </w:pPr>
      <w:r>
        <w:t xml:space="preserve">Smluvní strany sjednávají, že pokud by Investor upustil od realizace Investičního záměru a doručil SMP Oznámení Investora </w:t>
      </w:r>
      <w:r>
        <w:rPr>
          <w:i/>
          <w:iCs/>
        </w:rPr>
        <w:t>(jak je tento pojem definován v Plánovací smlouvě)</w:t>
      </w:r>
      <w:r>
        <w:t xml:space="preserve">, má SMP i Investor právo odstoupit od této Smlouvy postupem dle čl. 4.2.3 a čl. 4.3.2 této Smlouvy. Nevyužije-li SMP či Investor toto právo na odstoupení od Smlouvy ani ve lhůtě tří (3) měsíců od doručení Oznámení Investora </w:t>
      </w:r>
      <w:r>
        <w:rPr>
          <w:i/>
          <w:iCs/>
        </w:rPr>
        <w:t>(jak je tento pojem definován v Plánovací smlouvě)</w:t>
      </w:r>
      <w:r>
        <w:t xml:space="preserve"> SMP, bude Směna realizována a Směnná smlouva uzavřena za obdobných podmínek sjednaných v tomto čl. 2 Smlouvy s tím rozdílem, že (i) Investor je oprávněn vyzvat SMP k uzavření Směnné smlouvy ve lhůtě šesti (6) měsíců od doručení Oznámení Investora </w:t>
      </w:r>
      <w:r>
        <w:rPr>
          <w:i/>
          <w:iCs/>
        </w:rPr>
        <w:t>(jak je tento pojem definován v Plánovací smlouvě)</w:t>
      </w:r>
      <w:r>
        <w:t xml:space="preserve"> SMP, přičemž (</w:t>
      </w:r>
      <w:proofErr w:type="spellStart"/>
      <w:r>
        <w:t>ii</w:t>
      </w:r>
      <w:proofErr w:type="spellEnd"/>
      <w:r>
        <w:t>) k předpokladu pro uzavření Směnné smlouvy uvedeném v čl. 2.2.1.3 této Smlouvy se v takovém případě nepřihlíží.</w:t>
      </w:r>
    </w:p>
    <w:p w14:paraId="20FDD25C" w14:textId="77777777" w:rsidR="00EC1C40" w:rsidRDefault="00000000">
      <w:pPr>
        <w:pStyle w:val="Nadpis60"/>
        <w:framePr w:w="9134" w:h="13987" w:hRule="exact" w:wrap="none" w:vAnchor="page" w:hAnchor="page" w:x="1513" w:y="1685"/>
        <w:numPr>
          <w:ilvl w:val="0"/>
          <w:numId w:val="30"/>
        </w:numPr>
        <w:tabs>
          <w:tab w:val="left" w:pos="565"/>
        </w:tabs>
        <w:jc w:val="both"/>
      </w:pPr>
      <w:bookmarkStart w:id="69" w:name="bookmark139"/>
      <w:r>
        <w:t>Prohlášení a záruky Smluvních stran a další práva a povinnosti</w:t>
      </w:r>
      <w:bookmarkEnd w:id="69"/>
    </w:p>
    <w:p w14:paraId="447BC6BF" w14:textId="77777777" w:rsidR="00EC1C40" w:rsidRDefault="00000000">
      <w:pPr>
        <w:pStyle w:val="Zkladntext1"/>
        <w:framePr w:w="9134" w:h="13987" w:hRule="exact" w:wrap="none" w:vAnchor="page" w:hAnchor="page" w:x="1513" w:y="1685"/>
        <w:numPr>
          <w:ilvl w:val="1"/>
          <w:numId w:val="30"/>
        </w:numPr>
        <w:tabs>
          <w:tab w:val="left" w:pos="565"/>
        </w:tabs>
        <w:jc w:val="both"/>
      </w:pPr>
      <w:r>
        <w:t>Investor tímto prohlašuje a ujišťuje SMP, že:</w:t>
      </w:r>
    </w:p>
    <w:p w14:paraId="5B84777C" w14:textId="77777777" w:rsidR="00EC1C40" w:rsidRDefault="00000000">
      <w:pPr>
        <w:pStyle w:val="Zkladntext1"/>
        <w:framePr w:w="9134" w:h="13987" w:hRule="exact" w:wrap="none" w:vAnchor="page" w:hAnchor="page" w:x="1513" w:y="1685"/>
        <w:numPr>
          <w:ilvl w:val="2"/>
          <w:numId w:val="30"/>
        </w:numPr>
        <w:tabs>
          <w:tab w:val="left" w:pos="1276"/>
        </w:tabs>
        <w:ind w:left="1280" w:hanging="700"/>
        <w:jc w:val="both"/>
      </w:pPr>
      <w:r>
        <w:t>je oprávněn k uzavření této Smlouvy a jakýchkoli dokumentů uzavíraných na základě této Smlouvy či v souvislosti s ní, jakož i k výkonu práv a plnění závazků vyplývajících z této Smlouvy nebo jakýchkoli dokumentů uzavíraných na základě či v souvislosti s ní, přičemž současně učinil veškeré úkony a přijal veškerá opatření nezbytná k tomu, aby mohl platně uzavřít a plnit tuto Smlouvu;</w:t>
      </w:r>
    </w:p>
    <w:p w14:paraId="03E8B1AF" w14:textId="77777777" w:rsidR="00EC1C40" w:rsidRDefault="00000000">
      <w:pPr>
        <w:pStyle w:val="Zkladntext1"/>
        <w:framePr w:w="9134" w:h="13987" w:hRule="exact" w:wrap="none" w:vAnchor="page" w:hAnchor="page" w:x="1513" w:y="1685"/>
        <w:numPr>
          <w:ilvl w:val="2"/>
          <w:numId w:val="30"/>
        </w:numPr>
        <w:tabs>
          <w:tab w:val="left" w:pos="1276"/>
        </w:tabs>
        <w:ind w:left="1280" w:hanging="700"/>
        <w:jc w:val="both"/>
      </w:pPr>
      <w:r>
        <w:t>k uzavření a plnění této Smlouvy z jeho strany se nevyžaduje souhlas žádného orgánu veřejné moci, třetí osoby nebo jiného orgánu;</w:t>
      </w:r>
    </w:p>
    <w:p w14:paraId="10F52DB1" w14:textId="77777777" w:rsidR="00EC1C40" w:rsidRDefault="00000000">
      <w:pPr>
        <w:pStyle w:val="Zkladntext1"/>
        <w:framePr w:w="9134" w:h="13987" w:hRule="exact" w:wrap="none" w:vAnchor="page" w:hAnchor="page" w:x="1513" w:y="1685"/>
        <w:numPr>
          <w:ilvl w:val="2"/>
          <w:numId w:val="30"/>
        </w:numPr>
        <w:tabs>
          <w:tab w:val="left" w:pos="1276"/>
        </w:tabs>
        <w:ind w:left="1280" w:hanging="700"/>
        <w:jc w:val="both"/>
      </w:pPr>
      <w:r>
        <w:t>je výlučným vlastníkem Pozemků Investora včetně všech jejich součástí a příslušenství, jeho vlastnické právo není dotčeno žádnou změnou a nejsou mu ani známy žádné okolnosti, které by měly nebo mohly mít na existenci jeho vlastnického práva vliv, včetně zápisu poznámky spornosti či rozepře ve vztahu k Pozemkům Investora, např. dle ustanovení § 985 a § 986 Občanského zákoníku;</w:t>
      </w:r>
    </w:p>
    <w:p w14:paraId="28E68BBC" w14:textId="77777777" w:rsidR="00EC1C40" w:rsidRDefault="00000000">
      <w:pPr>
        <w:pStyle w:val="Zkladntext1"/>
        <w:framePr w:w="9134" w:h="13987" w:hRule="exact" w:wrap="none" w:vAnchor="page" w:hAnchor="page" w:x="1513" w:y="1685"/>
        <w:numPr>
          <w:ilvl w:val="2"/>
          <w:numId w:val="30"/>
        </w:numPr>
        <w:tabs>
          <w:tab w:val="left" w:pos="1276"/>
        </w:tabs>
        <w:spacing w:after="0"/>
        <w:ind w:left="1280" w:hanging="700"/>
        <w:jc w:val="both"/>
      </w:pPr>
      <w:r>
        <w:t>není v úpadku ani hrozícím úpadku, nebylo proti němu zahájeno exekuční řízení, nebylo vůči němu vyhlášeno všeobecné moratorium či individuální moratorium dle zákona č. 284/2023 Sb., o preventivní restrukturalizaci, ve znění pozdějších předpisů, nebyl vůči němu zahájen postup dle zákona č. 284/2023 Sb., o preventivní restrukturalizaci, ve znění pozdějších předpisů (např. zahájení preventivní restrukturalizace, zahájení</w:t>
      </w:r>
    </w:p>
    <w:p w14:paraId="2F8B7A1F" w14:textId="77777777" w:rsidR="00EC1C40" w:rsidRDefault="00000000">
      <w:pPr>
        <w:pStyle w:val="Zhlavnebozpat0"/>
        <w:framePr w:w="418" w:h="226" w:hRule="exact" w:wrap="none" w:vAnchor="page" w:hAnchor="page" w:x="5857" w:y="15936"/>
        <w:jc w:val="center"/>
        <w:rPr>
          <w:sz w:val="17"/>
          <w:szCs w:val="17"/>
        </w:rPr>
      </w:pPr>
      <w:r>
        <w:rPr>
          <w:rFonts w:ascii="Arial" w:eastAsia="Arial" w:hAnsi="Arial" w:cs="Arial"/>
          <w:color w:val="231E20"/>
          <w:sz w:val="17"/>
          <w:szCs w:val="17"/>
        </w:rPr>
        <w:t>6/15</w:t>
      </w:r>
    </w:p>
    <w:p w14:paraId="14D8D467"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5D591E6D" w14:textId="77777777" w:rsidR="00EC1C40" w:rsidRDefault="00000000">
      <w:pPr>
        <w:spacing w:line="1" w:lineRule="exact"/>
      </w:pPr>
      <w:r>
        <w:rPr>
          <w:noProof/>
        </w:rPr>
        <w:lastRenderedPageBreak/>
        <mc:AlternateContent>
          <mc:Choice Requires="wps">
            <w:drawing>
              <wp:anchor distT="0" distB="0" distL="114300" distR="114300" simplePos="0" relativeHeight="251685376" behindDoc="1" locked="0" layoutInCell="1" allowOverlap="1" wp14:anchorId="7BF8654E" wp14:editId="03534D16">
                <wp:simplePos x="0" y="0"/>
                <wp:positionH relativeFrom="page">
                  <wp:posOffset>951230</wp:posOffset>
                </wp:positionH>
                <wp:positionV relativeFrom="page">
                  <wp:posOffset>941705</wp:posOffset>
                </wp:positionV>
                <wp:extent cx="5800090" cy="0"/>
                <wp:effectExtent l="0" t="0" r="0" b="0"/>
                <wp:wrapNone/>
                <wp:docPr id="102" name="Shape 102"/>
                <wp:cNvGraphicFramePr/>
                <a:graphic xmlns:a="http://schemas.openxmlformats.org/drawingml/2006/main">
                  <a:graphicData uri="http://schemas.microsoft.com/office/word/2010/wordprocessingShape">
                    <wps:wsp>
                      <wps:cNvCnPr/>
                      <wps:spPr>
                        <a:xfrm>
                          <a:off x="0" y="0"/>
                          <a:ext cx="5800090" cy="0"/>
                        </a:xfrm>
                        <a:prstGeom prst="straightConnector1">
                          <a:avLst/>
                        </a:prstGeom>
                        <a:ln w="8890">
                          <a:solidFill/>
                        </a:ln>
                      </wps:spPr>
                      <wps:bodyPr/>
                    </wps:wsp>
                  </a:graphicData>
                </a:graphic>
              </wp:anchor>
            </w:drawing>
          </mc:Choice>
          <mc:Fallback>
            <w:pict>
              <v:shape o:spt="32" o:oned="true" path="m,l21600,21600e" style="position:absolute;margin-left:74.900000000000006pt;margin-top:74.150000000000006pt;width:456.69999999999999pt;height:0;z-index:-251658240;mso-position-horizontal-relative:page;mso-position-vertical-relative:page">
                <v:stroke weight="0.70000000000000007pt"/>
              </v:shape>
            </w:pict>
          </mc:Fallback>
        </mc:AlternateContent>
      </w:r>
    </w:p>
    <w:p w14:paraId="3EF11F7A" w14:textId="77777777" w:rsidR="00EC1C40" w:rsidRDefault="00000000">
      <w:pPr>
        <w:pStyle w:val="Zhlavnebozpat0"/>
        <w:framePr w:wrap="none" w:vAnchor="page" w:hAnchor="page" w:x="4556" w:y="1248"/>
        <w:rPr>
          <w:sz w:val="17"/>
          <w:szCs w:val="17"/>
        </w:rPr>
      </w:pPr>
      <w:r>
        <w:rPr>
          <w:rFonts w:ascii="Arial" w:eastAsia="Arial" w:hAnsi="Arial" w:cs="Arial"/>
          <w:color w:val="231E20"/>
          <w:sz w:val="17"/>
          <w:szCs w:val="17"/>
        </w:rPr>
        <w:t>Smlouva o smlouvě budoucí směnné</w:t>
      </w:r>
    </w:p>
    <w:p w14:paraId="43516A08" w14:textId="77777777" w:rsidR="00EC1C40" w:rsidRDefault="00000000">
      <w:pPr>
        <w:pStyle w:val="Zkladntext1"/>
        <w:framePr w:w="9134" w:h="13690" w:hRule="exact" w:wrap="none" w:vAnchor="page" w:hAnchor="page" w:x="1513" w:y="1685"/>
        <w:ind w:left="1280"/>
        <w:jc w:val="both"/>
      </w:pPr>
      <w:r>
        <w:t>restrukturalizačního řízení atp.), nebyl proti němu podán návrh na výkon rozhodnutí nebo jiný návrh s obdobnými účinky;</w:t>
      </w:r>
    </w:p>
    <w:p w14:paraId="255D7F2A" w14:textId="77777777" w:rsidR="00EC1C40" w:rsidRDefault="00000000">
      <w:pPr>
        <w:pStyle w:val="Zkladntext1"/>
        <w:framePr w:w="9134" w:h="13690" w:hRule="exact" w:wrap="none" w:vAnchor="page" w:hAnchor="page" w:x="1513" w:y="1685"/>
        <w:numPr>
          <w:ilvl w:val="2"/>
          <w:numId w:val="30"/>
        </w:numPr>
        <w:tabs>
          <w:tab w:val="left" w:pos="1276"/>
        </w:tabs>
        <w:ind w:left="1280" w:hanging="700"/>
        <w:jc w:val="both"/>
      </w:pPr>
      <w:r>
        <w:t xml:space="preserve">neprobíhají žádná řízení, zejména exekuční, správní či soudní, a to včetně trestního řízení, restitučního řízení, sporů před rozhodci nebo rozhodčími soudy, vztahující se jakkoli k Pozemkům Investora, vyjma správních řízení a postupů týkajících se Investičního záměru a/nebo Odstranění odpadů a znečištění </w:t>
      </w:r>
      <w:r>
        <w:rPr>
          <w:i/>
          <w:iCs/>
        </w:rPr>
        <w:t>(jak je tento pojem definován v Dohodě o úpravě vztahů)</w:t>
      </w:r>
      <w:r>
        <w:t>;</w:t>
      </w:r>
    </w:p>
    <w:p w14:paraId="0EE421F6" w14:textId="77777777" w:rsidR="00EC1C40" w:rsidRDefault="00000000">
      <w:pPr>
        <w:pStyle w:val="Zkladntext1"/>
        <w:framePr w:w="9134" w:h="13690" w:hRule="exact" w:wrap="none" w:vAnchor="page" w:hAnchor="page" w:x="1513" w:y="1685"/>
        <w:numPr>
          <w:ilvl w:val="2"/>
          <w:numId w:val="30"/>
        </w:numPr>
        <w:tabs>
          <w:tab w:val="left" w:pos="1276"/>
        </w:tabs>
        <w:ind w:left="1280" w:hanging="700"/>
        <w:jc w:val="both"/>
      </w:pPr>
      <w:r>
        <w:t>Pozemky Investora nejsou zatíženy jakýmikoli věcnými či obligačními právy třetích osob ani Investora, zejména ne právy zástavními, služebnostmi či věcnými břemeny, právy předkupními a nájemními, pachtovními či obdobnými právy a ani neexistují žádné smlouvy ani jiné skutečnosti, které by jakákoli věcná, závazková nebo jiná práva třetích osob k Pozemkům Investora zakládaly, a to vyjma věcných břemen/služebností evidovaných v katastru nemovitostí ke dni uzavření této Smlouvy.</w:t>
      </w:r>
    </w:p>
    <w:p w14:paraId="60F79A94" w14:textId="77777777" w:rsidR="00EC1C40" w:rsidRDefault="00000000">
      <w:pPr>
        <w:pStyle w:val="Zkladntext1"/>
        <w:framePr w:w="9134" w:h="13690" w:hRule="exact" w:wrap="none" w:vAnchor="page" w:hAnchor="page" w:x="1513" w:y="1685"/>
        <w:numPr>
          <w:ilvl w:val="1"/>
          <w:numId w:val="30"/>
        </w:numPr>
        <w:tabs>
          <w:tab w:val="left" w:pos="576"/>
        </w:tabs>
        <w:jc w:val="both"/>
      </w:pPr>
      <w:r>
        <w:t>SMP tímto prohlašuje a ujišťuje Investora, že:</w:t>
      </w:r>
    </w:p>
    <w:p w14:paraId="15F21328" w14:textId="77777777" w:rsidR="00EC1C40" w:rsidRDefault="00000000">
      <w:pPr>
        <w:pStyle w:val="Zkladntext1"/>
        <w:framePr w:w="9134" w:h="13690" w:hRule="exact" w:wrap="none" w:vAnchor="page" w:hAnchor="page" w:x="1513" w:y="1685"/>
        <w:numPr>
          <w:ilvl w:val="2"/>
          <w:numId w:val="30"/>
        </w:numPr>
        <w:tabs>
          <w:tab w:val="left" w:pos="1276"/>
        </w:tabs>
        <w:ind w:left="1280" w:hanging="700"/>
        <w:jc w:val="both"/>
      </w:pPr>
      <w:r>
        <w:t>je oprávněno k uzavření této Smlouvy a jakýchkoli dokumentů uzavíraných na základě této Smlouvy či v souvislosti s ní, jakož i k výkonu práv a plnění závazků vyplývajících z této Smlouvy nebo jakýchkoli dokumentů uzavíraných na základě či v souvislosti s ní, přičemž současně učinilo veškeré úkony a přijalo veškerá opatření nezbytná k tomu, aby mohlo platně uzavřít a plnit tuto Smlouvu, včetně řádného zveřejnění záměru dle § 39 zákona č. 128/2000 Sb., o obcích (obecní zřízení), ve znění pozdějších předpisů a schválení uzavření a plnění této Smlouvy zastupitelstvem;</w:t>
      </w:r>
    </w:p>
    <w:p w14:paraId="02D5B4E2" w14:textId="77777777" w:rsidR="00EC1C40" w:rsidRDefault="00000000">
      <w:pPr>
        <w:pStyle w:val="Zkladntext1"/>
        <w:framePr w:w="9134" w:h="13690" w:hRule="exact" w:wrap="none" w:vAnchor="page" w:hAnchor="page" w:x="1513" w:y="1685"/>
        <w:numPr>
          <w:ilvl w:val="2"/>
          <w:numId w:val="30"/>
        </w:numPr>
        <w:tabs>
          <w:tab w:val="left" w:pos="1276"/>
        </w:tabs>
        <w:ind w:left="1280" w:hanging="700"/>
        <w:jc w:val="both"/>
      </w:pPr>
      <w:r>
        <w:t>v důsledku uzavření a plnění této Smlouvy nedojde k porušení či neplnění jakýchkoliv ujednání, dohod, rozhodnutí či právních předpisů, která se na něj nebo jakoukoli část jeho majetku vztahují;</w:t>
      </w:r>
    </w:p>
    <w:p w14:paraId="5B89034A" w14:textId="77777777" w:rsidR="00EC1C40" w:rsidRDefault="00000000">
      <w:pPr>
        <w:pStyle w:val="Zkladntext1"/>
        <w:framePr w:w="9134" w:h="13690" w:hRule="exact" w:wrap="none" w:vAnchor="page" w:hAnchor="page" w:x="1513" w:y="1685"/>
        <w:numPr>
          <w:ilvl w:val="2"/>
          <w:numId w:val="30"/>
        </w:numPr>
        <w:tabs>
          <w:tab w:val="left" w:pos="1276"/>
        </w:tabs>
        <w:ind w:left="1280" w:hanging="700"/>
        <w:jc w:val="both"/>
      </w:pPr>
      <w:r>
        <w:t>je výlučným vlastníkem Pozemků SMP včetně všech jejich součástí a příslušenství, jeho vlastnické právo není dotčeno žádnou změnou a nejsou mu ani známy žádné okolnosti, které by měly nebo mohly mít na existenci jeho vlastnického práva vliv, včetně zápisu poznámky spornosti či rozepře ve vztahu k Pozemkům SMP, např. dle ustanovení § 985 a § 986 Občanského zákoníku;</w:t>
      </w:r>
    </w:p>
    <w:p w14:paraId="325008C6" w14:textId="77777777" w:rsidR="00EC1C40" w:rsidRDefault="00000000">
      <w:pPr>
        <w:pStyle w:val="Zkladntext1"/>
        <w:framePr w:w="9134" w:h="13690" w:hRule="exact" w:wrap="none" w:vAnchor="page" w:hAnchor="page" w:x="1513" w:y="1685"/>
        <w:numPr>
          <w:ilvl w:val="2"/>
          <w:numId w:val="30"/>
        </w:numPr>
        <w:tabs>
          <w:tab w:val="left" w:pos="1276"/>
        </w:tabs>
        <w:ind w:left="1280" w:hanging="700"/>
        <w:jc w:val="both"/>
      </w:pPr>
      <w:r>
        <w:t xml:space="preserve">neprobíhají žádná řízení, zejména, nikoli však výlučně, exekuční, správní či soudní, a to včetně trestního řízení, restitučního řízení, sporů před rozhodci nebo rozhodčími soudy, vztahující se jakkoli k Pozemkům SMP, vyjma správních řízení a postupů týkajících se Investičního záměru a/nebo Odstranění odpadů a znečištění </w:t>
      </w:r>
      <w:r>
        <w:rPr>
          <w:i/>
          <w:iCs/>
        </w:rPr>
        <w:t>(jak je tento pojem definován v Dohodě o úpravě vztahů)</w:t>
      </w:r>
      <w:r>
        <w:t xml:space="preserve"> na návrh Investora; a</w:t>
      </w:r>
    </w:p>
    <w:p w14:paraId="436D6B12" w14:textId="77777777" w:rsidR="00EC1C40" w:rsidRDefault="00000000">
      <w:pPr>
        <w:pStyle w:val="Zkladntext1"/>
        <w:framePr w:w="9134" w:h="13690" w:hRule="exact" w:wrap="none" w:vAnchor="page" w:hAnchor="page" w:x="1513" w:y="1685"/>
        <w:numPr>
          <w:ilvl w:val="2"/>
          <w:numId w:val="30"/>
        </w:numPr>
        <w:tabs>
          <w:tab w:val="left" w:pos="1276"/>
        </w:tabs>
        <w:ind w:left="1280" w:hanging="700"/>
        <w:jc w:val="both"/>
      </w:pPr>
      <w:r>
        <w:t>Pozemky SMP nejsou zatíženy jakýmikoli věcnými či obligačními právy třetích osob ani SMP, zejména ne právy zástavními, služebnostmi či věcnými břemeny, právy předkupními a nájemními, pachtovními či obdobnými právy a ani neexistují žádné smlouvy ani jiné skutečnosti, které by jakákoli věcná, závazková nebo jiná práva třetích osob k Pozemkům SMP zakládaly, a to vyjma věcných břemen/služebností evidovaných v katastru nemovitostí ke dni uzavření této Smlouvy.</w:t>
      </w:r>
    </w:p>
    <w:p w14:paraId="57B174E5" w14:textId="77777777" w:rsidR="00EC1C40" w:rsidRDefault="00000000">
      <w:pPr>
        <w:pStyle w:val="Zkladntext1"/>
        <w:framePr w:w="9134" w:h="13690" w:hRule="exact" w:wrap="none" w:vAnchor="page" w:hAnchor="page" w:x="1513" w:y="1685"/>
        <w:numPr>
          <w:ilvl w:val="1"/>
          <w:numId w:val="30"/>
        </w:numPr>
        <w:tabs>
          <w:tab w:val="left" w:pos="576"/>
        </w:tabs>
        <w:jc w:val="both"/>
      </w:pPr>
      <w:r>
        <w:t>Smluvní strany prohlašují a potvrzují si, že:</w:t>
      </w:r>
    </w:p>
    <w:p w14:paraId="4DDE497C" w14:textId="77777777" w:rsidR="00EC1C40" w:rsidRDefault="00000000">
      <w:pPr>
        <w:pStyle w:val="Zkladntext1"/>
        <w:framePr w:w="9134" w:h="13690" w:hRule="exact" w:wrap="none" w:vAnchor="page" w:hAnchor="page" w:x="1513" w:y="1685"/>
        <w:numPr>
          <w:ilvl w:val="2"/>
          <w:numId w:val="30"/>
        </w:numPr>
        <w:tabs>
          <w:tab w:val="left" w:pos="1276"/>
        </w:tabs>
        <w:ind w:left="1280" w:hanging="700"/>
        <w:jc w:val="both"/>
      </w:pPr>
      <w:r>
        <w:t xml:space="preserve">jsou si plně vědomy skutečnosti, že Pozemky jsou (mohou být) zatíženy historickou ekologickou zátěží v podobě Skládky </w:t>
      </w:r>
      <w:r>
        <w:rPr>
          <w:i/>
          <w:iCs/>
        </w:rPr>
        <w:t>(jak je tento pojem definován v Plánovací smlouvě)</w:t>
      </w:r>
      <w:r>
        <w:t>; a</w:t>
      </w:r>
    </w:p>
    <w:p w14:paraId="63B60125" w14:textId="77777777" w:rsidR="00EC1C40" w:rsidRDefault="00000000">
      <w:pPr>
        <w:pStyle w:val="Zkladntext1"/>
        <w:framePr w:w="9134" w:h="13690" w:hRule="exact" w:wrap="none" w:vAnchor="page" w:hAnchor="page" w:x="1513" w:y="1685"/>
        <w:numPr>
          <w:ilvl w:val="2"/>
          <w:numId w:val="30"/>
        </w:numPr>
        <w:tabs>
          <w:tab w:val="left" w:pos="1276"/>
        </w:tabs>
        <w:spacing w:after="0"/>
        <w:ind w:left="1280" w:hanging="700"/>
        <w:jc w:val="both"/>
      </w:pPr>
      <w:r>
        <w:t>byly řádně seznámeny s charakterem této ekologické zátěže a možnými riziky s ní spojenými.</w:t>
      </w:r>
    </w:p>
    <w:p w14:paraId="5856E63F" w14:textId="77777777" w:rsidR="00EC1C40" w:rsidRDefault="00000000">
      <w:pPr>
        <w:pStyle w:val="Zhlavnebozpat0"/>
        <w:framePr w:w="418" w:h="226" w:hRule="exact" w:wrap="none" w:vAnchor="page" w:hAnchor="page" w:x="5857" w:y="15936"/>
        <w:jc w:val="center"/>
        <w:rPr>
          <w:sz w:val="17"/>
          <w:szCs w:val="17"/>
        </w:rPr>
      </w:pPr>
      <w:r>
        <w:rPr>
          <w:rFonts w:ascii="Arial" w:eastAsia="Arial" w:hAnsi="Arial" w:cs="Arial"/>
          <w:color w:val="231E20"/>
          <w:sz w:val="17"/>
          <w:szCs w:val="17"/>
        </w:rPr>
        <w:t>7/15</w:t>
      </w:r>
    </w:p>
    <w:p w14:paraId="18CBD7C1"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5F20CAEC" w14:textId="77777777" w:rsidR="00EC1C40" w:rsidRDefault="00000000">
      <w:pPr>
        <w:spacing w:line="1" w:lineRule="exact"/>
      </w:pPr>
      <w:r>
        <w:rPr>
          <w:noProof/>
        </w:rPr>
        <w:lastRenderedPageBreak/>
        <mc:AlternateContent>
          <mc:Choice Requires="wps">
            <w:drawing>
              <wp:anchor distT="0" distB="0" distL="114300" distR="114300" simplePos="0" relativeHeight="251686400" behindDoc="1" locked="0" layoutInCell="1" allowOverlap="1" wp14:anchorId="2DC10043" wp14:editId="6033D7D1">
                <wp:simplePos x="0" y="0"/>
                <wp:positionH relativeFrom="page">
                  <wp:posOffset>958850</wp:posOffset>
                </wp:positionH>
                <wp:positionV relativeFrom="page">
                  <wp:posOffset>941705</wp:posOffset>
                </wp:positionV>
                <wp:extent cx="5800090" cy="0"/>
                <wp:effectExtent l="0" t="0" r="0" b="0"/>
                <wp:wrapNone/>
                <wp:docPr id="103" name="Shape 103"/>
                <wp:cNvGraphicFramePr/>
                <a:graphic xmlns:a="http://schemas.openxmlformats.org/drawingml/2006/main">
                  <a:graphicData uri="http://schemas.microsoft.com/office/word/2010/wordprocessingShape">
                    <wps:wsp>
                      <wps:cNvCnPr/>
                      <wps:spPr>
                        <a:xfrm>
                          <a:off x="0" y="0"/>
                          <a:ext cx="5800090" cy="0"/>
                        </a:xfrm>
                        <a:prstGeom prst="straightConnector1">
                          <a:avLst/>
                        </a:prstGeom>
                        <a:ln w="8890">
                          <a:solidFill/>
                        </a:ln>
                      </wps:spPr>
                      <wps:bodyPr/>
                    </wps:wsp>
                  </a:graphicData>
                </a:graphic>
              </wp:anchor>
            </w:drawing>
          </mc:Choice>
          <mc:Fallback>
            <w:pict>
              <v:shape o:spt="32" o:oned="true" path="m,l21600,21600e" style="position:absolute;margin-left:75.5pt;margin-top:74.150000000000006pt;width:456.69999999999999pt;height:0;z-index:-251658240;mso-position-horizontal-relative:page;mso-position-vertical-relative:page">
                <v:stroke weight="0.70000000000000007pt"/>
              </v:shape>
            </w:pict>
          </mc:Fallback>
        </mc:AlternateContent>
      </w:r>
    </w:p>
    <w:p w14:paraId="0815A857" w14:textId="77777777" w:rsidR="00EC1C40" w:rsidRDefault="00000000">
      <w:pPr>
        <w:pStyle w:val="Zhlavnebozpat0"/>
        <w:framePr w:wrap="none" w:vAnchor="page" w:hAnchor="page" w:x="4568" w:y="1248"/>
        <w:rPr>
          <w:sz w:val="17"/>
          <w:szCs w:val="17"/>
        </w:rPr>
      </w:pPr>
      <w:r>
        <w:rPr>
          <w:rFonts w:ascii="Arial" w:eastAsia="Arial" w:hAnsi="Arial" w:cs="Arial"/>
          <w:color w:val="231E20"/>
          <w:sz w:val="17"/>
          <w:szCs w:val="17"/>
        </w:rPr>
        <w:t>Smlouva o smlouvě budoucí směnné</w:t>
      </w:r>
    </w:p>
    <w:p w14:paraId="41E7B499" w14:textId="77777777" w:rsidR="00EC1C40" w:rsidRDefault="00000000">
      <w:pPr>
        <w:pStyle w:val="Zkladntext1"/>
        <w:framePr w:w="9120" w:h="13805" w:hRule="exact" w:wrap="none" w:vAnchor="page" w:hAnchor="page" w:x="1520" w:y="1685"/>
        <w:numPr>
          <w:ilvl w:val="1"/>
          <w:numId w:val="30"/>
        </w:numPr>
        <w:tabs>
          <w:tab w:val="left" w:pos="576"/>
        </w:tabs>
        <w:spacing w:after="120"/>
        <w:ind w:left="580" w:hanging="580"/>
        <w:jc w:val="both"/>
      </w:pPr>
      <w:r>
        <w:t xml:space="preserve">Smluvní strany tímto sjednávají, že SMP neponese vůči Investorovi jakoukoli odpovědnost za případnou existenci či odstranění jakýchkoli ekologických či jiných obdobných faktických zátěží existujících na/v Pozemcích, včetně případné zátěže v podobě umístění či sanace Skládky </w:t>
      </w:r>
      <w:r>
        <w:rPr>
          <w:i/>
          <w:iCs/>
        </w:rPr>
        <w:t>(jak je tento pojem definován v Plánovací smlouvě)</w:t>
      </w:r>
      <w:r>
        <w:t xml:space="preserve"> na/v Pozemcích. V této souvislosti Smluvní strany sjednávají, že Investor nebude vůči SMP uplatňovat jakékoli nároky týkající se případné existence těchto ekologických či jiných zátěží na/v Pozemcích, včetně umístění či sanace Skládky </w:t>
      </w:r>
      <w:r>
        <w:rPr>
          <w:i/>
          <w:iCs/>
        </w:rPr>
        <w:t>(jak je tento pojem definován v Plánovací smlouvě)</w:t>
      </w:r>
      <w:r>
        <w:t xml:space="preserve"> na/v Pozemcích, přičemž se Investor výslovně vzdává jakýchkoli nároků z titulu odpovědnosti za vady, jakož i práva na slevu z ceny, náhradu škody, bezdůvodné obohacení či odstoupení od Smlouvy z tohoto důvodu. Pro odstranění pochybností se toto ustanovení čl. 3.4 Smlouvy a práva a povinnosti v něm sjednaná uplatní pouze ve vztahu k Pozemkům (tj. v rozsahu Pozemků), nikoli ve vztahu k jakýmkoli jiným nemovitým věcem.</w:t>
      </w:r>
    </w:p>
    <w:p w14:paraId="710824C0" w14:textId="77777777" w:rsidR="00EC1C40" w:rsidRDefault="00000000">
      <w:pPr>
        <w:pStyle w:val="Zkladntext1"/>
        <w:framePr w:w="9120" w:h="13805" w:hRule="exact" w:wrap="none" w:vAnchor="page" w:hAnchor="page" w:x="1520" w:y="1685"/>
        <w:numPr>
          <w:ilvl w:val="1"/>
          <w:numId w:val="30"/>
        </w:numPr>
        <w:tabs>
          <w:tab w:val="left" w:pos="576"/>
        </w:tabs>
        <w:spacing w:after="120"/>
        <w:ind w:left="580" w:hanging="580"/>
        <w:jc w:val="both"/>
      </w:pPr>
      <w:r>
        <w:t xml:space="preserve">Smluvní strany tímto sjednávají, že Investor neponese vůči SMP jakoukoli odpovědnost za případnou existenci či odstranění jakýchkoli ekologických či jiných obdobných faktických zátěží existujících na/v Pozemcích, včetně případné zátěže v podobě umístění či sanace Skládky </w:t>
      </w:r>
      <w:r>
        <w:rPr>
          <w:i/>
          <w:iCs/>
        </w:rPr>
        <w:t>(jak je tento pojem definován v Plánovací smlouvě)</w:t>
      </w:r>
      <w:r>
        <w:t xml:space="preserve"> na/v Pozemcích. V této souvislosti Smluvní strany sjednávají, že SMP nebude vůči Investorovi uplatňovat jakékoli nároky týkající se případné existence těchto ekologických či jiných zátěží na/v Pozemcích, včetně umístění či sanace Skládky (jak je tento pojem definován v Plánovací smlouvě) na/v Pozemcích, přičemž se SMP výslovně vzdává jakýchkoli nároků z titulu odpovědnosti za vady, jakož i práva na slevu z ceny, náhradu škody, bezdůvodné obohacení či odstoupení od Smlouvy z tohoto důvodu. Pro odstranění pochybností se toto ustanovení čl. 3.5 Smlouvy a práva a povinnosti v něm sjednaná uplatní pouze ve vztahu k Pozemkům (tj. v rozsahu Pozemků), nikoli ve vztahu k jakýmkoli jiným nemovitým věcem. Tímto čl. 3.5 Smlouvy nejsou dotčeny závazky Investora, které jsou dohodnuty v čl. 2.10 Dohody o úpravě vztahů a s nimi související práva a povinnosti, která budou plněna za podmínek sjednaných v čl. 2.10. Dohody o úpravě vztahů.</w:t>
      </w:r>
    </w:p>
    <w:p w14:paraId="6076CB6A" w14:textId="77777777" w:rsidR="00EC1C40" w:rsidRDefault="00000000">
      <w:pPr>
        <w:pStyle w:val="Zkladntext1"/>
        <w:framePr w:w="9120" w:h="13805" w:hRule="exact" w:wrap="none" w:vAnchor="page" w:hAnchor="page" w:x="1520" w:y="1685"/>
        <w:numPr>
          <w:ilvl w:val="1"/>
          <w:numId w:val="30"/>
        </w:numPr>
        <w:tabs>
          <w:tab w:val="left" w:pos="576"/>
        </w:tabs>
        <w:spacing w:after="120"/>
        <w:ind w:left="580" w:hanging="580"/>
        <w:jc w:val="both"/>
      </w:pPr>
      <w:r>
        <w:t>Smluvní strany jsou si vědomy, že Investor na sebe na základě čl. 2.10 Dohody o úpravě vztahů přejímá ve vztahu k těm částem Pozemkům Investora, ke kterým má SMP na základě Směny nabýt vlastnické právo), závazky definované v tomto ustanovení Dohody o úpravě vztahů. Smluvní strany v této souvislosti sjednávají, že tyto závazky Investora dle čl. 2.10 Dohody o úpravě vztahů ve vztahu k těm částem Pozemků Investora, ke kterým má SMP na základě Směny nabýt vlastnické právo (tj. výhradně v rozsahu, v jakém se týkají těchto částí Pozemků) zůstanou v platnosti a účinnosti i po případném zániku Dohody o úpravě vztahů, maximálně však do sjednané doby jejich trvání.</w:t>
      </w:r>
    </w:p>
    <w:p w14:paraId="4866907A" w14:textId="77777777" w:rsidR="00EC1C40" w:rsidRDefault="00000000">
      <w:pPr>
        <w:pStyle w:val="Zkladntext1"/>
        <w:framePr w:w="9120" w:h="13805" w:hRule="exact" w:wrap="none" w:vAnchor="page" w:hAnchor="page" w:x="1520" w:y="1685"/>
        <w:numPr>
          <w:ilvl w:val="1"/>
          <w:numId w:val="30"/>
        </w:numPr>
        <w:tabs>
          <w:tab w:val="left" w:pos="576"/>
        </w:tabs>
        <w:spacing w:after="0"/>
        <w:ind w:left="580" w:hanging="580"/>
        <w:jc w:val="both"/>
      </w:pPr>
      <w:r>
        <w:t>Práva a povinnosti sjednaná v rámci čl. 3.4 a čl. 3.5 této Smlouvy přetrvají i v případě budoucího převodu Pozemků třetí osobě a Smluvní strany se je zavazují smluvně převést na nabyvatele Pozemků a k této povinnosti zavázat i nabyvatele Pozemků, a to prostřednictvím postoupení části Smlouvy v rozsahu čl. 3.4 až čl. 3.5 této Smlouvy na tohoto nabyvatele (a to Investor ve vztahu k Pozemkům Investora, které jsou předmětem Směny, a SMP ve vztahu k Pozemkům SMP, které jsou předmětem Směny). Smluvní strany mohou dostát těmto svým povinnostem uvedeným v tomto čl. 3.7 Smlouvy i tím způsobem, že nabyvatel příslušného Pozemku vystaví a druhé Smluvní straně doručí prohlášení nabyvatele, ve kterém bude nabyvatel garantovat druhé Smluvní straně práva a povinnosti ve stejném rozsahu, v jakém jsou sjednány v příslušných ustanoveních čl. 3.4 a čl. 3.5 této Smlouvy (aniž by příslušná Smluvní strana přestala být zavázána z práv a povinností uvedených v čl. 3.4 až čl. 3.5 této Smlouvy, pokud se SMP a Investor nedohodnou jinak). Tento čl. 3.7 Smlouvy výše se neuplatní na (i) technický převod vlastnického práva k Pozemkům (jejich částem) v lokalitě „Nová Cihelna“, na základě kterých dochází např. ke sjednocení vlastnické struktury pozemků jednotlivých investorů v Lokalitě Nová Cihelna za účelem zefektivnění výstavby, a to v rozsahu maximálně 15 % výměry Pozemků, (</w:t>
      </w:r>
      <w:proofErr w:type="spellStart"/>
      <w:r>
        <w:t>ii</w:t>
      </w:r>
      <w:proofErr w:type="spellEnd"/>
      <w:r>
        <w:t>) převod vlastnického práva k Pozemkům (jejich částem) na SMP, (</w:t>
      </w:r>
      <w:proofErr w:type="spellStart"/>
      <w:r>
        <w:t>iii</w:t>
      </w:r>
      <w:proofErr w:type="spellEnd"/>
      <w:r>
        <w:t>) převod vlastnického práva k</w:t>
      </w:r>
    </w:p>
    <w:p w14:paraId="21C17289" w14:textId="77777777" w:rsidR="00EC1C40" w:rsidRDefault="00000000">
      <w:pPr>
        <w:pStyle w:val="Zhlavnebozpat0"/>
        <w:framePr w:w="418" w:h="226" w:hRule="exact" w:wrap="none" w:vAnchor="page" w:hAnchor="page" w:x="5869" w:y="15936"/>
        <w:jc w:val="center"/>
        <w:rPr>
          <w:sz w:val="17"/>
          <w:szCs w:val="17"/>
        </w:rPr>
      </w:pPr>
      <w:r>
        <w:rPr>
          <w:rFonts w:ascii="Arial" w:eastAsia="Arial" w:hAnsi="Arial" w:cs="Arial"/>
          <w:color w:val="231E20"/>
          <w:sz w:val="17"/>
          <w:szCs w:val="17"/>
        </w:rPr>
        <w:t>8/15</w:t>
      </w:r>
    </w:p>
    <w:p w14:paraId="1553BFEC"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48F68585" w14:textId="77777777" w:rsidR="00EC1C40" w:rsidRDefault="00000000">
      <w:pPr>
        <w:spacing w:line="1" w:lineRule="exact"/>
      </w:pPr>
      <w:r>
        <w:rPr>
          <w:noProof/>
        </w:rPr>
        <w:lastRenderedPageBreak/>
        <mc:AlternateContent>
          <mc:Choice Requires="wps">
            <w:drawing>
              <wp:anchor distT="0" distB="0" distL="114300" distR="114300" simplePos="0" relativeHeight="251687424" behindDoc="1" locked="0" layoutInCell="1" allowOverlap="1" wp14:anchorId="3FEB56BA" wp14:editId="426AE354">
                <wp:simplePos x="0" y="0"/>
                <wp:positionH relativeFrom="page">
                  <wp:posOffset>958850</wp:posOffset>
                </wp:positionH>
                <wp:positionV relativeFrom="page">
                  <wp:posOffset>941705</wp:posOffset>
                </wp:positionV>
                <wp:extent cx="5800090" cy="0"/>
                <wp:effectExtent l="0" t="0" r="0" b="0"/>
                <wp:wrapNone/>
                <wp:docPr id="104" name="Shape 104"/>
                <wp:cNvGraphicFramePr/>
                <a:graphic xmlns:a="http://schemas.openxmlformats.org/drawingml/2006/main">
                  <a:graphicData uri="http://schemas.microsoft.com/office/word/2010/wordprocessingShape">
                    <wps:wsp>
                      <wps:cNvCnPr/>
                      <wps:spPr>
                        <a:xfrm>
                          <a:off x="0" y="0"/>
                          <a:ext cx="5800090" cy="0"/>
                        </a:xfrm>
                        <a:prstGeom prst="straightConnector1">
                          <a:avLst/>
                        </a:prstGeom>
                        <a:ln w="8890">
                          <a:solidFill/>
                        </a:ln>
                      </wps:spPr>
                      <wps:bodyPr/>
                    </wps:wsp>
                  </a:graphicData>
                </a:graphic>
              </wp:anchor>
            </w:drawing>
          </mc:Choice>
          <mc:Fallback>
            <w:pict>
              <v:shape o:spt="32" o:oned="true" path="m,l21600,21600e" style="position:absolute;margin-left:75.5pt;margin-top:74.150000000000006pt;width:456.69999999999999pt;height:0;z-index:-251658240;mso-position-horizontal-relative:page;mso-position-vertical-relative:page">
                <v:stroke weight="0.70000000000000007pt"/>
              </v:shape>
            </w:pict>
          </mc:Fallback>
        </mc:AlternateContent>
      </w:r>
    </w:p>
    <w:p w14:paraId="346D0F6A" w14:textId="77777777" w:rsidR="00EC1C40" w:rsidRDefault="00000000">
      <w:pPr>
        <w:pStyle w:val="Zhlavnebozpat0"/>
        <w:framePr w:wrap="none" w:vAnchor="page" w:hAnchor="page" w:x="4568" w:y="1248"/>
        <w:rPr>
          <w:sz w:val="17"/>
          <w:szCs w:val="17"/>
        </w:rPr>
      </w:pPr>
      <w:r>
        <w:rPr>
          <w:rFonts w:ascii="Arial" w:eastAsia="Arial" w:hAnsi="Arial" w:cs="Arial"/>
          <w:color w:val="231E20"/>
          <w:sz w:val="17"/>
          <w:szCs w:val="17"/>
        </w:rPr>
        <w:t>Smlouva o smlouvě budoucí směnné</w:t>
      </w:r>
    </w:p>
    <w:p w14:paraId="56F53604" w14:textId="77777777" w:rsidR="00EC1C40" w:rsidRDefault="00000000">
      <w:pPr>
        <w:pStyle w:val="Zkladntext1"/>
        <w:framePr w:w="9120" w:h="14016" w:hRule="exact" w:wrap="none" w:vAnchor="page" w:hAnchor="page" w:x="1520" w:y="1685"/>
        <w:spacing w:after="120"/>
        <w:ind w:left="580"/>
        <w:jc w:val="both"/>
      </w:pPr>
      <w:r>
        <w:t>Pozemkům (jejich částem) spojeným s převodem Nepeněžního plnění či Související infrastruktury (jak jsou tyto pojmy definovány v Plánovací smlouvě), výslovně včetně převodu Pozemků na vlastníky/provozovatele technické či dopravní infrastruktury, nebo (</w:t>
      </w:r>
      <w:proofErr w:type="spellStart"/>
      <w:r>
        <w:t>iv</w:t>
      </w:r>
      <w:proofErr w:type="spellEnd"/>
      <w:r>
        <w:t xml:space="preserve">) převod vlastnického práva k Pozemkům (jejich částem) na kteroukoli obec či jiný veřejnoprávní subjekt (včetně České republiky). Smluvní strany sjednávají omezení trvání tohoto ustanovení čl. 3.7 Smlouvy a práv a povinností v něm sjednaných na dobu od nabytí účinnosti této Smlouvy do uplynutí jednoho (1) roku od dokončení procesu Odstranění odpadu z mezideponie </w:t>
      </w:r>
      <w:r>
        <w:rPr>
          <w:i/>
          <w:iCs/>
        </w:rPr>
        <w:t>(jak je tento pojem definován v Dohodě o úpravě vztahů)</w:t>
      </w:r>
      <w:r>
        <w:t>, nejdéle však na dobu patnácti (15) let od uzavření této Smlouvy, přičemž uplynutím této doby (podle toho, která uplyne dříve) toto ustanovení čl. 3.7 Smlouvy bez dalšího zaniká.</w:t>
      </w:r>
    </w:p>
    <w:p w14:paraId="18260F7F" w14:textId="77777777" w:rsidR="00EC1C40" w:rsidRDefault="00000000">
      <w:pPr>
        <w:pStyle w:val="Zkladntext1"/>
        <w:framePr w:w="9120" w:h="14016" w:hRule="exact" w:wrap="none" w:vAnchor="page" w:hAnchor="page" w:x="1520" w:y="1685"/>
        <w:numPr>
          <w:ilvl w:val="1"/>
          <w:numId w:val="30"/>
        </w:numPr>
        <w:tabs>
          <w:tab w:val="left" w:pos="574"/>
        </w:tabs>
        <w:spacing w:after="120"/>
        <w:ind w:left="580" w:hanging="580"/>
        <w:jc w:val="both"/>
      </w:pPr>
      <w:r>
        <w:t xml:space="preserve">SMP si je vědomo, že na částech Pozemků Investora, které budou vstupovat do Směny, je (může být) umístěna a provozována (po její stavební realizaci) Připojovací komunikace. SMP si je dále vědomo, že Sjezdy z obchvatu </w:t>
      </w:r>
      <w:r>
        <w:rPr>
          <w:i/>
          <w:iCs/>
        </w:rPr>
        <w:t>(jak je tento pojem definován v Plánovací smlouvě)</w:t>
      </w:r>
      <w:r>
        <w:t>, které jsou součástí stavby „</w:t>
      </w:r>
      <w:r>
        <w:rPr>
          <w:i/>
          <w:iCs/>
        </w:rPr>
        <w:t>I/36 PARDUBICE, TRNOVÁ - FÁBLOVKA - DUBINA“, včetně</w:t>
      </w:r>
      <w:r>
        <w:t xml:space="preserve"> Sjezdů z obchvatu </w:t>
      </w:r>
      <w:r>
        <w:rPr>
          <w:i/>
          <w:iCs/>
        </w:rPr>
        <w:t>(jak je tento pojem definován v Plánovací smlouvě)</w:t>
      </w:r>
      <w:r>
        <w:t xml:space="preserve">, jejímž investorem je </w:t>
      </w:r>
      <w:r>
        <w:rPr>
          <w:b/>
          <w:bCs/>
        </w:rPr>
        <w:t>Ředitelství silnic a dálnic s. p.</w:t>
      </w:r>
      <w:r>
        <w:t xml:space="preserve">, IČO: 659 93 390, se sídlem Čerčanská 2023/12, Krč, 140 00 Praha 4, zapsané v obchodním rejstříku vedeném Městským soudem v Praze pod </w:t>
      </w:r>
      <w:proofErr w:type="spellStart"/>
      <w:r>
        <w:t>sp</w:t>
      </w:r>
      <w:proofErr w:type="spellEnd"/>
      <w:r>
        <w:t xml:space="preserve">. zn. A 80478, a které tvoří součást Nepeněžního plnění </w:t>
      </w:r>
      <w:r>
        <w:rPr>
          <w:i/>
          <w:iCs/>
        </w:rPr>
        <w:t>(jak je tento pojem definován v Plánovací smlouvě)</w:t>
      </w:r>
      <w:r>
        <w:t>, bezprostředně navazují na části Pozemků Investora, které budou vstupovat do Směny (respektive na Připojovací komunikaci realizované na těchto částech Pozemků Investora). Smluvní strany si jsou vědomy, že na Pozemcích (či jejich částech) jsou či mohou být umístěny i další stavby či zařízení, zejména pokud jde o veřejnou infrastrukturu.</w:t>
      </w:r>
    </w:p>
    <w:p w14:paraId="072D3F07" w14:textId="77777777" w:rsidR="00EC1C40" w:rsidRDefault="00000000">
      <w:pPr>
        <w:pStyle w:val="Zkladntext1"/>
        <w:framePr w:w="9120" w:h="14016" w:hRule="exact" w:wrap="none" w:vAnchor="page" w:hAnchor="page" w:x="1520" w:y="1685"/>
        <w:numPr>
          <w:ilvl w:val="1"/>
          <w:numId w:val="30"/>
        </w:numPr>
        <w:tabs>
          <w:tab w:val="left" w:pos="574"/>
        </w:tabs>
        <w:spacing w:after="120"/>
        <w:ind w:left="580" w:hanging="580"/>
        <w:jc w:val="both"/>
      </w:pPr>
      <w:r>
        <w:t>Smluvní strany jsou si dále vědomy, že Pozemky SMP budou zatíženy výpůjčkou zřízenou na základě smlouvy o výpůjčce uzavřené mezi SMP jako půjčitelem a Investorem jako vypůjčitelem a dále služebnostmi inženýrské sítě zřízené na základě smluv uzavíraných mezi SMP jako povinným a Investorem jako oprávněným. Smluvní strany jsou si dále vědomy, že Pozemky Investora budou (mohou) být zatíženy taktéž dalšími služebnostmi inženýrské sítě.</w:t>
      </w:r>
    </w:p>
    <w:p w14:paraId="6DD79262" w14:textId="77777777" w:rsidR="00EC1C40" w:rsidRDefault="00000000">
      <w:pPr>
        <w:pStyle w:val="Zkladntext1"/>
        <w:framePr w:w="9120" w:h="14016" w:hRule="exact" w:wrap="none" w:vAnchor="page" w:hAnchor="page" w:x="1520" w:y="1685"/>
        <w:numPr>
          <w:ilvl w:val="1"/>
          <w:numId w:val="30"/>
        </w:numPr>
        <w:tabs>
          <w:tab w:val="left" w:pos="574"/>
        </w:tabs>
        <w:spacing w:after="120"/>
        <w:ind w:left="580" w:hanging="580"/>
        <w:jc w:val="both"/>
      </w:pPr>
      <w:r>
        <w:t>Smluvní strany sjednávají, že pokud se v čl. 3.3 až čl. 3.5, čl. 3.7 a čl. 3.10 této Smlouvy hovoří o „Pozemcích“, má se tím na mysli Pozemky (respektive jejich části) výhradně v rozsahu, v jakém jsou předmětem Směny (čl. 2.1 této Smlouvy).</w:t>
      </w:r>
    </w:p>
    <w:p w14:paraId="0217A534" w14:textId="77777777" w:rsidR="00EC1C40" w:rsidRDefault="00000000">
      <w:pPr>
        <w:pStyle w:val="Zkladntext1"/>
        <w:framePr w:w="9120" w:h="14016" w:hRule="exact" w:wrap="none" w:vAnchor="page" w:hAnchor="page" w:x="1520" w:y="1685"/>
        <w:numPr>
          <w:ilvl w:val="1"/>
          <w:numId w:val="30"/>
        </w:numPr>
        <w:tabs>
          <w:tab w:val="left" w:pos="574"/>
        </w:tabs>
        <w:spacing w:after="120"/>
        <w:ind w:left="580" w:hanging="580"/>
        <w:jc w:val="both"/>
      </w:pPr>
      <w:r>
        <w:t xml:space="preserve">Smluvní strany se zavazují, že od okamžiku uzavření této Smlouvy do okamžiku povolení vkladu vlastnických práv k Pozemkům dle Směnné smlouvy do katastru nemovitostí se zdrží úkonů, které by byly způsobilé zmařit účel této Smlouvy, zejména převodu Pozemků bez předchozího souhlasu druhé Smluvní strany či zatížení Pozemků (věcnými či závazkovými právy atd.), vyjma zřizování služebností či obligačních práv pro realizaci a umístění technické a dopravní infrastruktury souvisejících s Investičním záměrem či Nepeněžním plněním </w:t>
      </w:r>
      <w:r>
        <w:rPr>
          <w:i/>
          <w:iCs/>
        </w:rPr>
        <w:t>(jak jsou tyto pojmy definovány v Plánovací smlouvě)</w:t>
      </w:r>
      <w:r>
        <w:t xml:space="preserve"> a výpůjčky dle smlouvy o výpůjčce.</w:t>
      </w:r>
    </w:p>
    <w:p w14:paraId="60296912" w14:textId="77777777" w:rsidR="00EC1C40" w:rsidRDefault="00000000">
      <w:pPr>
        <w:pStyle w:val="Zkladntext1"/>
        <w:framePr w:w="9120" w:h="14016" w:hRule="exact" w:wrap="none" w:vAnchor="page" w:hAnchor="page" w:x="1520" w:y="1685"/>
        <w:numPr>
          <w:ilvl w:val="1"/>
          <w:numId w:val="30"/>
        </w:numPr>
        <w:tabs>
          <w:tab w:val="left" w:pos="574"/>
        </w:tabs>
        <w:spacing w:after="120"/>
        <w:ind w:left="580" w:hanging="580"/>
        <w:jc w:val="both"/>
      </w:pPr>
      <w:r>
        <w:t>Investor je nicméně oprávněn zřídit zástavní práva či jiná související práva k Pozemkům Investora ve prospěch subjektu, který bude financovat výstavbu Investičního záměru s tím, že je povinností Investora před realizací Směny dle této Smlouvy zajistit, aby Pozemky Investora (v rozsahu, v jakém vstupují do Směny) byly prosty zástavních práv a jiných souvisejících práv dle tohoto ustanovení. Do doby, než budou Pozemky Investora v rozsahu, v jakém vstupují do Směny, prosty těchto zástavních a jiných souvisejících práv, není SMP povinno uzavřít Směnnou smlouvu.</w:t>
      </w:r>
    </w:p>
    <w:p w14:paraId="2FB0C5B0" w14:textId="77777777" w:rsidR="00EC1C40" w:rsidRDefault="00000000">
      <w:pPr>
        <w:pStyle w:val="Nadpis60"/>
        <w:framePr w:w="9120" w:h="14016" w:hRule="exact" w:wrap="none" w:vAnchor="page" w:hAnchor="page" w:x="1520" w:y="1685"/>
        <w:numPr>
          <w:ilvl w:val="0"/>
          <w:numId w:val="30"/>
        </w:numPr>
        <w:tabs>
          <w:tab w:val="left" w:pos="574"/>
        </w:tabs>
        <w:spacing w:after="120"/>
        <w:jc w:val="both"/>
      </w:pPr>
      <w:bookmarkStart w:id="70" w:name="bookmark141"/>
      <w:r>
        <w:t>Ukončení Smlouvy</w:t>
      </w:r>
      <w:bookmarkEnd w:id="70"/>
    </w:p>
    <w:p w14:paraId="2B9CBBDE" w14:textId="77777777" w:rsidR="00EC1C40" w:rsidRDefault="00000000">
      <w:pPr>
        <w:pStyle w:val="Zkladntext1"/>
        <w:framePr w:w="9120" w:h="14016" w:hRule="exact" w:wrap="none" w:vAnchor="page" w:hAnchor="page" w:x="1520" w:y="1685"/>
        <w:numPr>
          <w:ilvl w:val="1"/>
          <w:numId w:val="30"/>
        </w:numPr>
        <w:tabs>
          <w:tab w:val="left" w:pos="574"/>
        </w:tabs>
        <w:spacing w:after="0"/>
        <w:ind w:left="580" w:hanging="580"/>
        <w:jc w:val="both"/>
      </w:pPr>
      <w:r>
        <w:t>Smluvní strany shodně prohlašují, že k uzavření této Smlouvy přistupují s úmyslem vytvořit co nejstabilnější uspořádání svých vzájemných vztahů, přičemž je pro Smluvní strany důležité, aby tato Smlouva nezanikla žádným jiným způsobem, než jaký výslovně stanoví tato Smlouva, tj. (i) výslovně si přejí jakákoli porušení jednotlivých práv a povinností jednotlivých Smluvních stran z</w:t>
      </w:r>
    </w:p>
    <w:p w14:paraId="36DFFFB4" w14:textId="77777777" w:rsidR="00EC1C40" w:rsidRDefault="00000000">
      <w:pPr>
        <w:pStyle w:val="Zhlavnebozpat0"/>
        <w:framePr w:w="418" w:h="226" w:hRule="exact" w:wrap="none" w:vAnchor="page" w:hAnchor="page" w:x="5869" w:y="15936"/>
        <w:jc w:val="center"/>
        <w:rPr>
          <w:sz w:val="17"/>
          <w:szCs w:val="17"/>
        </w:rPr>
      </w:pPr>
      <w:r>
        <w:rPr>
          <w:rFonts w:ascii="Arial" w:eastAsia="Arial" w:hAnsi="Arial" w:cs="Arial"/>
          <w:color w:val="231E20"/>
          <w:sz w:val="17"/>
          <w:szCs w:val="17"/>
        </w:rPr>
        <w:t>9/15</w:t>
      </w:r>
    </w:p>
    <w:p w14:paraId="4A615DE1"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145B5124" w14:textId="77777777" w:rsidR="00EC1C40" w:rsidRDefault="00000000">
      <w:pPr>
        <w:spacing w:line="1" w:lineRule="exact"/>
      </w:pPr>
      <w:r>
        <w:rPr>
          <w:noProof/>
        </w:rPr>
        <w:lastRenderedPageBreak/>
        <mc:AlternateContent>
          <mc:Choice Requires="wps">
            <w:drawing>
              <wp:anchor distT="0" distB="0" distL="114300" distR="114300" simplePos="0" relativeHeight="251688448" behindDoc="1" locked="0" layoutInCell="1" allowOverlap="1" wp14:anchorId="199FEB7A" wp14:editId="2719789F">
                <wp:simplePos x="0" y="0"/>
                <wp:positionH relativeFrom="page">
                  <wp:posOffset>958850</wp:posOffset>
                </wp:positionH>
                <wp:positionV relativeFrom="page">
                  <wp:posOffset>941705</wp:posOffset>
                </wp:positionV>
                <wp:extent cx="5800090" cy="0"/>
                <wp:effectExtent l="0" t="0" r="0" b="0"/>
                <wp:wrapNone/>
                <wp:docPr id="105" name="Shape 105"/>
                <wp:cNvGraphicFramePr/>
                <a:graphic xmlns:a="http://schemas.openxmlformats.org/drawingml/2006/main">
                  <a:graphicData uri="http://schemas.microsoft.com/office/word/2010/wordprocessingShape">
                    <wps:wsp>
                      <wps:cNvCnPr/>
                      <wps:spPr>
                        <a:xfrm>
                          <a:off x="0" y="0"/>
                          <a:ext cx="5800090" cy="0"/>
                        </a:xfrm>
                        <a:prstGeom prst="straightConnector1">
                          <a:avLst/>
                        </a:prstGeom>
                        <a:ln w="8890">
                          <a:solidFill/>
                        </a:ln>
                      </wps:spPr>
                      <wps:bodyPr/>
                    </wps:wsp>
                  </a:graphicData>
                </a:graphic>
              </wp:anchor>
            </w:drawing>
          </mc:Choice>
          <mc:Fallback>
            <w:pict>
              <v:shape o:spt="32" o:oned="true" path="m,l21600,21600e" style="position:absolute;margin-left:75.5pt;margin-top:74.150000000000006pt;width:456.69999999999999pt;height:0;z-index:-251658240;mso-position-horizontal-relative:page;mso-position-vertical-relative:page">
                <v:stroke weight="0.70000000000000007pt"/>
              </v:shape>
            </w:pict>
          </mc:Fallback>
        </mc:AlternateContent>
      </w:r>
    </w:p>
    <w:p w14:paraId="0E4481BC" w14:textId="77777777" w:rsidR="00EC1C40" w:rsidRDefault="00000000">
      <w:pPr>
        <w:pStyle w:val="Zhlavnebozpat0"/>
        <w:framePr w:wrap="none" w:vAnchor="page" w:hAnchor="page" w:x="4568" w:y="1248"/>
        <w:rPr>
          <w:sz w:val="17"/>
          <w:szCs w:val="17"/>
        </w:rPr>
      </w:pPr>
      <w:r>
        <w:rPr>
          <w:rFonts w:ascii="Arial" w:eastAsia="Arial" w:hAnsi="Arial" w:cs="Arial"/>
          <w:color w:val="231E20"/>
          <w:sz w:val="17"/>
          <w:szCs w:val="17"/>
        </w:rPr>
        <w:t>Smlouva o smlouvě budoucí směnné</w:t>
      </w:r>
    </w:p>
    <w:p w14:paraId="7531D0DA" w14:textId="77777777" w:rsidR="00EC1C40" w:rsidRDefault="00000000">
      <w:pPr>
        <w:pStyle w:val="Zkladntext1"/>
        <w:framePr w:w="9120" w:h="13838" w:hRule="exact" w:wrap="none" w:vAnchor="page" w:hAnchor="page" w:x="1520" w:y="1685"/>
        <w:ind w:left="580"/>
        <w:jc w:val="both"/>
      </w:pPr>
      <w:r>
        <w:t>této Smlouvy vyplývajících řešit právě a pouze způsoby, které tato Smlouva výslovně uvádí, a (</w:t>
      </w:r>
      <w:proofErr w:type="spellStart"/>
      <w:r>
        <w:t>ii</w:t>
      </w:r>
      <w:proofErr w:type="spellEnd"/>
      <w:r>
        <w:t>) v maximální možné míře přípustné dle právních předpisů eliminovat a vyloučit jakákoli práva Smluvních stran od této Smlouvy odstoupit, vypovědět ji a/nebo ji jiným způsobem ukončit (včetně požadování jejího ukončení či zrušení). Smluvní strany výslovně vylučují ustanovení následujících právních předpisů: § 1977, § 1978, § 1979, § 1980, § 2002 a § 2003 Občanského zákoníku. Smluvní strany se vzdávají práva domáhat se zrušení závazku dle § 2000 Občanského zákoníku, a to s ohledem na účel této Smlouvy uvedený v tomto ustanovení. Podstatným porušením této Smlouvy, respektive porušením této Smlouvy podstatným způsobem, se v této Smlouvě rozumí výhradně taková porušení Smlouvy, která jsou jako její podstatné porušení definována v této Smlouvě.</w:t>
      </w:r>
    </w:p>
    <w:p w14:paraId="132626F2" w14:textId="77777777" w:rsidR="00EC1C40" w:rsidRDefault="00000000">
      <w:pPr>
        <w:pStyle w:val="Zkladntext1"/>
        <w:framePr w:w="9120" w:h="13838" w:hRule="exact" w:wrap="none" w:vAnchor="page" w:hAnchor="page" w:x="1520" w:y="1685"/>
        <w:numPr>
          <w:ilvl w:val="1"/>
          <w:numId w:val="30"/>
        </w:numPr>
        <w:tabs>
          <w:tab w:val="left" w:pos="571"/>
        </w:tabs>
        <w:jc w:val="both"/>
      </w:pPr>
      <w:r>
        <w:t>SMP je oprávněno od této Smlouvy odstoupit výhradně tehdy:</w:t>
      </w:r>
    </w:p>
    <w:p w14:paraId="39B0CD2F" w14:textId="77777777" w:rsidR="00EC1C40" w:rsidRDefault="00000000">
      <w:pPr>
        <w:pStyle w:val="Zkladntext1"/>
        <w:framePr w:w="9120" w:h="13838" w:hRule="exact" w:wrap="none" w:vAnchor="page" w:hAnchor="page" w:x="1520" w:y="1685"/>
        <w:numPr>
          <w:ilvl w:val="2"/>
          <w:numId w:val="30"/>
        </w:numPr>
        <w:tabs>
          <w:tab w:val="left" w:pos="1300"/>
        </w:tabs>
        <w:ind w:left="1300" w:hanging="720"/>
        <w:jc w:val="both"/>
      </w:pPr>
      <w:r>
        <w:t>nedojde-li k uzavření Směnné smlouvy ani do dvou (2) let od marného uplynutí lhůty k uzavření Směnné smlouvy dle čl. 2.2.1. této Smlouvy; to neplatí, pokud neuzavření Směnné smlouvy způsobilo či zapříčinilo SMP; nebo</w:t>
      </w:r>
    </w:p>
    <w:p w14:paraId="4EBC518D" w14:textId="77777777" w:rsidR="00EC1C40" w:rsidRDefault="00000000">
      <w:pPr>
        <w:pStyle w:val="Zkladntext1"/>
        <w:framePr w:w="9120" w:h="13838" w:hRule="exact" w:wrap="none" w:vAnchor="page" w:hAnchor="page" w:x="1520" w:y="1685"/>
        <w:numPr>
          <w:ilvl w:val="2"/>
          <w:numId w:val="30"/>
        </w:numPr>
        <w:tabs>
          <w:tab w:val="left" w:pos="1300"/>
        </w:tabs>
        <w:ind w:left="1300" w:hanging="720"/>
        <w:jc w:val="both"/>
      </w:pPr>
      <w:r>
        <w:t>bude prohlášen úpadek Investora, bude vyhlášeno moratorium podle zákona č. 284/2023 Sb., o preventivní restrukturalizaci, ve znění pozdějších předpisů, nebo bude zahájena preventivní restrukturalizace či restrukturalizační řízení, a tato skutečnost bude mít nebo může mít negativní dopad na schopnost Investora plnit závazky z této Smlouvy.</w:t>
      </w:r>
    </w:p>
    <w:p w14:paraId="29916105" w14:textId="77777777" w:rsidR="00EC1C40" w:rsidRDefault="00000000">
      <w:pPr>
        <w:pStyle w:val="Zkladntext1"/>
        <w:framePr w:w="9120" w:h="13838" w:hRule="exact" w:wrap="none" w:vAnchor="page" w:hAnchor="page" w:x="1520" w:y="1685"/>
        <w:numPr>
          <w:ilvl w:val="2"/>
          <w:numId w:val="30"/>
        </w:numPr>
        <w:tabs>
          <w:tab w:val="left" w:pos="1300"/>
        </w:tabs>
        <w:ind w:left="1300" w:hanging="720"/>
        <w:jc w:val="both"/>
      </w:pPr>
      <w:r>
        <w:t xml:space="preserve">upustí-li Investor od realizace Investičního záměru a doručí-li SMP Oznámení Investora </w:t>
      </w:r>
      <w:r>
        <w:rPr>
          <w:i/>
          <w:iCs/>
        </w:rPr>
        <w:t>(jak je tento pojem definován v Plánovací smlouvě)</w:t>
      </w:r>
      <w:r>
        <w:t>. SMP je oprávněno od této Smlouvy odstoupit v tomto případě do tří (3) měsíců od doručení Oznámení Investora. Neodstoupí-li SMP od této Smlouvy v této lhůtě, právo SMP na odstoupení dle tohoto ustanovení bez dalšího zaniká, přičemž se má za to, že souhlasí s pokračováním plnění této Smlouvy postupem dle čl. 2.8 této Smlouvy.</w:t>
      </w:r>
    </w:p>
    <w:p w14:paraId="4943CBA4" w14:textId="77777777" w:rsidR="00EC1C40" w:rsidRDefault="00000000">
      <w:pPr>
        <w:pStyle w:val="Zkladntext1"/>
        <w:framePr w:w="9120" w:h="13838" w:hRule="exact" w:wrap="none" w:vAnchor="page" w:hAnchor="page" w:x="1520" w:y="1685"/>
        <w:numPr>
          <w:ilvl w:val="1"/>
          <w:numId w:val="30"/>
        </w:numPr>
        <w:tabs>
          <w:tab w:val="left" w:pos="571"/>
        </w:tabs>
        <w:jc w:val="both"/>
      </w:pPr>
      <w:r>
        <w:t>Investor je oprávněn od této Smlouvy odstoupit výhradně tehdy:</w:t>
      </w:r>
    </w:p>
    <w:p w14:paraId="48E82FB7" w14:textId="77777777" w:rsidR="00EC1C40" w:rsidRDefault="00000000">
      <w:pPr>
        <w:pStyle w:val="Zkladntext1"/>
        <w:framePr w:w="9120" w:h="13838" w:hRule="exact" w:wrap="none" w:vAnchor="page" w:hAnchor="page" w:x="1520" w:y="1685"/>
        <w:numPr>
          <w:ilvl w:val="2"/>
          <w:numId w:val="30"/>
        </w:numPr>
        <w:tabs>
          <w:tab w:val="left" w:pos="1300"/>
        </w:tabs>
        <w:ind w:left="1300" w:hanging="720"/>
        <w:jc w:val="both"/>
      </w:pPr>
      <w:r>
        <w:t>nedojde-li k uzavření Směnné smlouvy ani do dvou (2) let od marného uplynutí lhůty k uzavření Směnné smlouvy dle čl. 2.2.1. této Smlouvy; to neplatí, pokud neuzavření Směnné smlouvy způsobil či zapříčinil Investor; nebo</w:t>
      </w:r>
    </w:p>
    <w:p w14:paraId="0E7B50DB" w14:textId="77777777" w:rsidR="00EC1C40" w:rsidRDefault="00000000">
      <w:pPr>
        <w:pStyle w:val="Zkladntext1"/>
        <w:framePr w:w="9120" w:h="13838" w:hRule="exact" w:wrap="none" w:vAnchor="page" w:hAnchor="page" w:x="1520" w:y="1685"/>
        <w:numPr>
          <w:ilvl w:val="2"/>
          <w:numId w:val="30"/>
        </w:numPr>
        <w:tabs>
          <w:tab w:val="left" w:pos="1300"/>
        </w:tabs>
        <w:ind w:left="1300" w:hanging="720"/>
        <w:jc w:val="both"/>
      </w:pPr>
      <w:r>
        <w:t xml:space="preserve">upustí-li Investor od realizace Investičního záměru a doručí-li Investor SMP Oznámení Investora </w:t>
      </w:r>
      <w:r>
        <w:rPr>
          <w:i/>
          <w:iCs/>
        </w:rPr>
        <w:t>(jak je tento pojem definován v Plánovací smlouvě)</w:t>
      </w:r>
      <w:r>
        <w:t xml:space="preserve"> SMP; nebo</w:t>
      </w:r>
    </w:p>
    <w:p w14:paraId="2BD99F14" w14:textId="77777777" w:rsidR="00EC1C40" w:rsidRDefault="00000000">
      <w:pPr>
        <w:pStyle w:val="Zkladntext1"/>
        <w:framePr w:w="9120" w:h="13838" w:hRule="exact" w:wrap="none" w:vAnchor="page" w:hAnchor="page" w:x="1520" w:y="1685"/>
        <w:numPr>
          <w:ilvl w:val="2"/>
          <w:numId w:val="30"/>
        </w:numPr>
        <w:tabs>
          <w:tab w:val="left" w:pos="1300"/>
        </w:tabs>
        <w:ind w:left="1300" w:hanging="720"/>
        <w:jc w:val="both"/>
      </w:pPr>
      <w:r>
        <w:t xml:space="preserve">pokud Povolení záměru </w:t>
      </w:r>
      <w:r>
        <w:rPr>
          <w:i/>
          <w:iCs/>
        </w:rPr>
        <w:t>(jak je tento pojem definován v Plánovací smlouvě)</w:t>
      </w:r>
      <w:r>
        <w:t xml:space="preserve"> a Změna Rozhodnutí o povolení Odstranění odpadů a znečištění </w:t>
      </w:r>
      <w:r>
        <w:rPr>
          <w:i/>
          <w:iCs/>
        </w:rPr>
        <w:t>(jak je tento pojem definován v Plánovací smlouvě)</w:t>
      </w:r>
      <w:r>
        <w:t xml:space="preserve"> (výslovně obě tato rozhodnutí) nenabydou právní moci, účinnosti a právních účinků, a to ani do 31.12.2028 a/nebo pokud budou tato rozhodnutí (kterékoli z nich) zrušena a či dojde k jejich zániku (bez ohledu na to, z jakých důvodů), pokud nové Povolení záměru a/nebo Rozhodnutí o povolení Odstranění odpadů a znečištění nebudou vydány a nenabydou právní moci, účinnosti a právních účinků ani do 31.12.2028, a to za podmínek sjednaných v čl. 16.3.3. Plánovací smlouvy; nebo</w:t>
      </w:r>
    </w:p>
    <w:p w14:paraId="56B87A9C" w14:textId="77777777" w:rsidR="00EC1C40" w:rsidRDefault="00000000">
      <w:pPr>
        <w:pStyle w:val="Zkladntext1"/>
        <w:framePr w:w="9120" w:h="13838" w:hRule="exact" w:wrap="none" w:vAnchor="page" w:hAnchor="page" w:x="1520" w:y="1685"/>
        <w:numPr>
          <w:ilvl w:val="2"/>
          <w:numId w:val="30"/>
        </w:numPr>
        <w:tabs>
          <w:tab w:val="left" w:pos="1300"/>
        </w:tabs>
        <w:ind w:left="1300" w:hanging="720"/>
        <w:jc w:val="both"/>
      </w:pPr>
      <w:r>
        <w:t>pokud Investorovi vznikne právo vypovědět Plánovací smlouvu dle čl. 16.3.4. Plánovací smlouvy, a to za podmínek sjednaných v čl. 16.3.4. ve spojení s čl. 16.3.3. Plánovací smlouvy.</w:t>
      </w:r>
    </w:p>
    <w:p w14:paraId="7E44A349" w14:textId="77777777" w:rsidR="00EC1C40" w:rsidRDefault="00000000">
      <w:pPr>
        <w:pStyle w:val="Zkladntext1"/>
        <w:framePr w:w="9120" w:h="13838" w:hRule="exact" w:wrap="none" w:vAnchor="page" w:hAnchor="page" w:x="1520" w:y="1685"/>
        <w:numPr>
          <w:ilvl w:val="1"/>
          <w:numId w:val="30"/>
        </w:numPr>
        <w:tabs>
          <w:tab w:val="left" w:pos="571"/>
        </w:tabs>
        <w:spacing w:after="0"/>
        <w:ind w:left="580" w:hanging="580"/>
        <w:jc w:val="both"/>
      </w:pPr>
      <w:r>
        <w:t xml:space="preserve">Odstoupí-li kterákoli ze Smluvních stran oprávněně od této Smlouvy, zanikají všechna práva a povinnosti Smluvních stran z této Smlouvy s účinky ex </w:t>
      </w:r>
      <w:proofErr w:type="spellStart"/>
      <w:r>
        <w:t>tunc</w:t>
      </w:r>
      <w:proofErr w:type="spellEnd"/>
      <w:r>
        <w:t>. Smluvní strany se dohodly, že odstoupení od Smlouvy musí být vždy učiněno v písemné formě, a že v něm musí být vždy uveden konkrétní důvod takového odstoupení a zároveň odkaz na článek této Smlouvy, na kterém je odstoupení založeno.</w:t>
      </w:r>
    </w:p>
    <w:p w14:paraId="2A3927F3" w14:textId="77777777" w:rsidR="00EC1C40" w:rsidRDefault="00000000">
      <w:pPr>
        <w:pStyle w:val="Zhlavnebozpat0"/>
        <w:framePr w:wrap="none" w:vAnchor="page" w:hAnchor="page" w:x="5826" w:y="15936"/>
        <w:rPr>
          <w:sz w:val="17"/>
          <w:szCs w:val="17"/>
        </w:rPr>
      </w:pPr>
      <w:r>
        <w:rPr>
          <w:rFonts w:ascii="Arial" w:eastAsia="Arial" w:hAnsi="Arial" w:cs="Arial"/>
          <w:color w:val="231E20"/>
          <w:sz w:val="17"/>
          <w:szCs w:val="17"/>
        </w:rPr>
        <w:t>10/15</w:t>
      </w:r>
    </w:p>
    <w:p w14:paraId="6DBE55A3"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39E84F8B" w14:textId="77777777" w:rsidR="00EC1C40" w:rsidRDefault="00000000">
      <w:pPr>
        <w:spacing w:line="1" w:lineRule="exact"/>
      </w:pPr>
      <w:r>
        <w:rPr>
          <w:noProof/>
        </w:rPr>
        <w:lastRenderedPageBreak/>
        <mc:AlternateContent>
          <mc:Choice Requires="wps">
            <w:drawing>
              <wp:anchor distT="0" distB="0" distL="114300" distR="114300" simplePos="0" relativeHeight="251689472" behindDoc="1" locked="0" layoutInCell="1" allowOverlap="1" wp14:anchorId="17352250" wp14:editId="6C721387">
                <wp:simplePos x="0" y="0"/>
                <wp:positionH relativeFrom="page">
                  <wp:posOffset>958850</wp:posOffset>
                </wp:positionH>
                <wp:positionV relativeFrom="page">
                  <wp:posOffset>941705</wp:posOffset>
                </wp:positionV>
                <wp:extent cx="5800090" cy="0"/>
                <wp:effectExtent l="0" t="0" r="0" b="0"/>
                <wp:wrapNone/>
                <wp:docPr id="106" name="Shape 106"/>
                <wp:cNvGraphicFramePr/>
                <a:graphic xmlns:a="http://schemas.openxmlformats.org/drawingml/2006/main">
                  <a:graphicData uri="http://schemas.microsoft.com/office/word/2010/wordprocessingShape">
                    <wps:wsp>
                      <wps:cNvCnPr/>
                      <wps:spPr>
                        <a:xfrm>
                          <a:off x="0" y="0"/>
                          <a:ext cx="5800090" cy="0"/>
                        </a:xfrm>
                        <a:prstGeom prst="straightConnector1">
                          <a:avLst/>
                        </a:prstGeom>
                        <a:ln w="8890">
                          <a:solidFill/>
                        </a:ln>
                      </wps:spPr>
                      <wps:bodyPr/>
                    </wps:wsp>
                  </a:graphicData>
                </a:graphic>
              </wp:anchor>
            </w:drawing>
          </mc:Choice>
          <mc:Fallback>
            <w:pict>
              <v:shape o:spt="32" o:oned="true" path="m,l21600,21600e" style="position:absolute;margin-left:75.5pt;margin-top:74.150000000000006pt;width:456.69999999999999pt;height:0;z-index:-251658240;mso-position-horizontal-relative:page;mso-position-vertical-relative:page">
                <v:stroke weight="0.70000000000000007pt"/>
              </v:shape>
            </w:pict>
          </mc:Fallback>
        </mc:AlternateContent>
      </w:r>
    </w:p>
    <w:p w14:paraId="20404EC1" w14:textId="77777777" w:rsidR="00EC1C40" w:rsidRDefault="00000000">
      <w:pPr>
        <w:pStyle w:val="Zhlavnebozpat0"/>
        <w:framePr w:wrap="none" w:vAnchor="page" w:hAnchor="page" w:x="4568" w:y="1248"/>
        <w:rPr>
          <w:sz w:val="17"/>
          <w:szCs w:val="17"/>
        </w:rPr>
      </w:pPr>
      <w:r>
        <w:rPr>
          <w:rFonts w:ascii="Arial" w:eastAsia="Arial" w:hAnsi="Arial" w:cs="Arial"/>
          <w:color w:val="231E20"/>
          <w:sz w:val="17"/>
          <w:szCs w:val="17"/>
        </w:rPr>
        <w:t>Smlouva o smlouvě budoucí směnné</w:t>
      </w:r>
    </w:p>
    <w:p w14:paraId="5E1A11FC" w14:textId="77777777" w:rsidR="00EC1C40" w:rsidRDefault="00000000">
      <w:pPr>
        <w:pStyle w:val="Zkladntext1"/>
        <w:framePr w:w="9120" w:h="13867" w:hRule="exact" w:wrap="none" w:vAnchor="page" w:hAnchor="page" w:x="1520" w:y="1685"/>
        <w:numPr>
          <w:ilvl w:val="1"/>
          <w:numId w:val="30"/>
        </w:numPr>
        <w:tabs>
          <w:tab w:val="left" w:pos="565"/>
        </w:tabs>
        <w:ind w:left="580" w:hanging="580"/>
        <w:jc w:val="both"/>
      </w:pPr>
      <w:r>
        <w:t>Smluvní strany dále pro odstranění jakýchkoli pochybností výslovně sjednávají, že případný zánik Plánovací smlouvy či jakékoli jiné smlouvy či dohody uzavírané na jejím základě či v souvislosti s ní (bez ohledu na to z jakých důvodů, včetně jejich zrušení, jednostranného ukončení atd.) nemá žádný vliv na tuto Smlouvu a převod vlastnického práva k Pozemkům realizovaným na jejím základě, respektive na základě Směnné smlouvy (Směna Pozemků je tedy nevratná). Pro odstranění jakýchkoli pochybností se dále výslovně sjednává, že případné porušení kterékoli z povinností sjednaných v čl. 3.4 až 3.10 této Smlouvy nezakládá právo kterékoli ze Smluvních stran odstoupit od této Smlouvy či ji jinak jednostranně ukončit.</w:t>
      </w:r>
    </w:p>
    <w:p w14:paraId="2930E284" w14:textId="77777777" w:rsidR="00EC1C40" w:rsidRDefault="00000000">
      <w:pPr>
        <w:pStyle w:val="Zkladntext1"/>
        <w:framePr w:w="9120" w:h="13867" w:hRule="exact" w:wrap="none" w:vAnchor="page" w:hAnchor="page" w:x="1520" w:y="1685"/>
        <w:numPr>
          <w:ilvl w:val="1"/>
          <w:numId w:val="30"/>
        </w:numPr>
        <w:tabs>
          <w:tab w:val="left" w:pos="565"/>
        </w:tabs>
        <w:ind w:left="580" w:hanging="580"/>
        <w:jc w:val="both"/>
      </w:pPr>
      <w:r>
        <w:t>Výrazy a ustanovení z Plánovací smlouvy, na které se tato Smlouva odkazuje, se použijí i tehdy, pokud by Plánovací smlouva z jakéhokoli důvodu zanikla.</w:t>
      </w:r>
    </w:p>
    <w:p w14:paraId="536E9FFE" w14:textId="77777777" w:rsidR="00EC1C40" w:rsidRDefault="00000000">
      <w:pPr>
        <w:pStyle w:val="Nadpis60"/>
        <w:framePr w:w="9120" w:h="13867" w:hRule="exact" w:wrap="none" w:vAnchor="page" w:hAnchor="page" w:x="1520" w:y="1685"/>
        <w:numPr>
          <w:ilvl w:val="0"/>
          <w:numId w:val="30"/>
        </w:numPr>
        <w:tabs>
          <w:tab w:val="left" w:pos="565"/>
        </w:tabs>
        <w:jc w:val="both"/>
      </w:pPr>
      <w:bookmarkStart w:id="71" w:name="bookmark143"/>
      <w:r>
        <w:t>Oddělitelnost</w:t>
      </w:r>
      <w:bookmarkEnd w:id="71"/>
    </w:p>
    <w:p w14:paraId="55FCBC66" w14:textId="77777777" w:rsidR="00EC1C40" w:rsidRDefault="00000000">
      <w:pPr>
        <w:pStyle w:val="Zkladntext1"/>
        <w:framePr w:w="9120" w:h="13867" w:hRule="exact" w:wrap="none" w:vAnchor="page" w:hAnchor="page" w:x="1520" w:y="1685"/>
        <w:numPr>
          <w:ilvl w:val="1"/>
          <w:numId w:val="30"/>
        </w:numPr>
        <w:tabs>
          <w:tab w:val="left" w:pos="565"/>
        </w:tabs>
        <w:ind w:left="580" w:hanging="580"/>
        <w:jc w:val="both"/>
      </w:pPr>
      <w:r>
        <w:t>Stane-li se kterékoli ustanovení této Smlouvy neplatným, neúčinným, zdánlivým nebo nevymahatelným, zůstává platnost, účinnost a vymahatelnost ostatních ustanovení této Smlouvy neovlivněna a nedotčena, nevyplývá-li z povahy daného ustanovení, obsahu Smlouvy nebo okolností, za nichž bylo toto ustanovení vytvořeno, že toto ustanovení nelze oddělit od ostatního obsahu Smlouvy. V případě takové neplatnosti, neúčinnosti, zdánlivosti nebo nevymahatelnosti se Smluvní strany zavazují bezodkladně, nejpozději však do třiceti (30) dnů od doručení výzvy jedné Smluvní strany druhé ze Smluvních stran, v dobré víře napravit takto vzniklý stav tím způsobem, že se dohodnou na změnách, respektive doplněních této Smlouvy, které jsou s ohledem na tuto neplatnost, neúčinnost, zdánlivost nebo nevymahatelnost pro splnění účelů a cílů této Smlouvy nezbytná. Za tímto účelem Smluvní strany zejména uzavřou příslušný dodatek k této Smlouvě, kterým neplatné, neúčinné, zdánlivé nebo nevymahatelné ustanovení nahradí při maximálním respektu k právům a povinnostem, které mají být příslušným dodatkem či doplněním této Smlouvy nahrazeny.</w:t>
      </w:r>
    </w:p>
    <w:p w14:paraId="5BD468D3" w14:textId="77777777" w:rsidR="00EC1C40" w:rsidRDefault="00000000">
      <w:pPr>
        <w:pStyle w:val="Zkladntext1"/>
        <w:framePr w:w="9120" w:h="13867" w:hRule="exact" w:wrap="none" w:vAnchor="page" w:hAnchor="page" w:x="1520" w:y="1685"/>
        <w:numPr>
          <w:ilvl w:val="1"/>
          <w:numId w:val="30"/>
        </w:numPr>
        <w:tabs>
          <w:tab w:val="left" w:pos="565"/>
        </w:tabs>
        <w:ind w:left="580" w:hanging="580"/>
        <w:jc w:val="both"/>
      </w:pPr>
      <w:r>
        <w:t>Stane-li se tato Smlouva jako celek neplatnou, neúčinnou, zdánlivou nebo nevymahatelnou, zavazují se Smluvní strany bezodkladně, nejpozději však do třiceti (30) dnů, uzavřít novou smlouvu, která se bude svými ustanoveními v maximální možné míře dovolené platnými a účinnými právními předpisy blížit právům a povinnostem Smluvních stran upravených v této Smlouvě.</w:t>
      </w:r>
    </w:p>
    <w:p w14:paraId="7EC64356" w14:textId="77777777" w:rsidR="00EC1C40" w:rsidRDefault="00000000">
      <w:pPr>
        <w:pStyle w:val="Nadpis60"/>
        <w:framePr w:w="9120" w:h="13867" w:hRule="exact" w:wrap="none" w:vAnchor="page" w:hAnchor="page" w:x="1520" w:y="1685"/>
        <w:numPr>
          <w:ilvl w:val="0"/>
          <w:numId w:val="30"/>
        </w:numPr>
        <w:tabs>
          <w:tab w:val="left" w:pos="565"/>
        </w:tabs>
        <w:jc w:val="both"/>
      </w:pPr>
      <w:bookmarkStart w:id="72" w:name="bookmark145"/>
      <w:r>
        <w:t>Veřejnoprávní doložka a prohlášení o přístupnosti Smlouvy</w:t>
      </w:r>
      <w:bookmarkEnd w:id="72"/>
    </w:p>
    <w:p w14:paraId="17122E89" w14:textId="77777777" w:rsidR="00EC1C40" w:rsidRDefault="00000000">
      <w:pPr>
        <w:pStyle w:val="Zkladntext1"/>
        <w:framePr w:w="9120" w:h="13867" w:hRule="exact" w:wrap="none" w:vAnchor="page" w:hAnchor="page" w:x="1520" w:y="1685"/>
        <w:numPr>
          <w:ilvl w:val="1"/>
          <w:numId w:val="30"/>
        </w:numPr>
        <w:tabs>
          <w:tab w:val="left" w:pos="565"/>
        </w:tabs>
        <w:ind w:left="580" w:hanging="580"/>
        <w:jc w:val="both"/>
      </w:pPr>
      <w:r>
        <w:t xml:space="preserve">Záměr právního jednání, jak je sjednáno v této Smlouvě, byl zveřejněn na úřední desce SMP pod evidenčním č.j. </w:t>
      </w:r>
      <w:proofErr w:type="spellStart"/>
      <w:r>
        <w:t>MmP</w:t>
      </w:r>
      <w:proofErr w:type="spellEnd"/>
      <w:r>
        <w:t xml:space="preserve"> 165039/2025 v době od 1.12.2025 do 17.12.2025. SMP ve smyslu ustanovení § 41 zákona č. 128/2000 Sb., o obcích (obecní zřízení), ve znění pozdějších předpisů, tímto potvrzuje, že uzavření této Smlouvy bylo schváleno Zastupitelstvem SMP na jeho [DOPLNIT]. zasedání konaném dne [DOPLNIT] č. usnesení Z/[DOPLNIT]/2025.</w:t>
      </w:r>
    </w:p>
    <w:p w14:paraId="2F8FEDA6" w14:textId="77777777" w:rsidR="00EC1C40" w:rsidRDefault="00000000">
      <w:pPr>
        <w:pStyle w:val="Zkladntext1"/>
        <w:framePr w:w="9120" w:h="13867" w:hRule="exact" w:wrap="none" w:vAnchor="page" w:hAnchor="page" w:x="1520" w:y="1685"/>
        <w:numPr>
          <w:ilvl w:val="1"/>
          <w:numId w:val="30"/>
        </w:numPr>
        <w:tabs>
          <w:tab w:val="left" w:pos="565"/>
        </w:tabs>
        <w:ind w:left="580" w:hanging="580"/>
        <w:jc w:val="both"/>
      </w:pPr>
      <w:r>
        <w:t>Smluvní strany berou na vědomí a souhlasí s tím, aby tato Smlouva včetně jejích příloh byla způsobem požadovaným platnými a účinnými právními předpisy, zejména zákonem č. 340/2015 Sb., o zvláštních podmínkách účinnosti některých smluv, uveřejňování těchto smluv a o registru smluv (zákon o registru smluv), ve znění pozdějších předpisů, zveřejněna v registru smluv.</w:t>
      </w:r>
    </w:p>
    <w:p w14:paraId="3F9CD5C4" w14:textId="77777777" w:rsidR="00EC1C40" w:rsidRDefault="00000000">
      <w:pPr>
        <w:pStyle w:val="Zkladntext1"/>
        <w:framePr w:w="9120" w:h="13867" w:hRule="exact" w:wrap="none" w:vAnchor="page" w:hAnchor="page" w:x="1520" w:y="1685"/>
        <w:numPr>
          <w:ilvl w:val="1"/>
          <w:numId w:val="30"/>
        </w:numPr>
        <w:tabs>
          <w:tab w:val="left" w:pos="565"/>
        </w:tabs>
        <w:spacing w:after="0"/>
        <w:ind w:left="580" w:hanging="580"/>
        <w:jc w:val="both"/>
      </w:pPr>
      <w:r>
        <w:t>Zveřejnění této Smlouvy, jakož i smluv souvisejících a uzavíraných v souvislosti s ní, v registru smluv včetně zajištění veškerých kroků a potřebných jednání s tím souvisejících zajistí SMP bez zbytečného odkladu, nejpozději do deseti (10) dnů od okamžiku, kdy si Smluvní strany vzájemně odsouhlasí hodnotu Smlouvy uváděnou jakožto součást metadat zveřejňovaných v registru smluv. Smluvní strany si pro tento účel poskytnou veškerou potřebnou součinnost, přičemž si hodnotu Smlouvy uváděnou jakožto součást metadat zveřejňovaných v registru smluv odsouhlasí do deseti (10) dnů od uzavření této Smlouvy; Smluvní strany si pro tyto účely poskytnou potřebné informace. SMP bude o zveřejnění této Smlouvy v registru smluv bezodkladně, nejpozději do pěti (5) dnů od jejího zveřejnění, informovat Investora. Žádná ze</w:t>
      </w:r>
    </w:p>
    <w:p w14:paraId="7EC19F95" w14:textId="77777777" w:rsidR="00EC1C40" w:rsidRDefault="00000000">
      <w:pPr>
        <w:pStyle w:val="Zhlavnebozpat0"/>
        <w:framePr w:wrap="none" w:vAnchor="page" w:hAnchor="page" w:x="5826" w:y="15936"/>
        <w:rPr>
          <w:sz w:val="17"/>
          <w:szCs w:val="17"/>
        </w:rPr>
      </w:pPr>
      <w:r>
        <w:rPr>
          <w:rFonts w:ascii="Arial" w:eastAsia="Arial" w:hAnsi="Arial" w:cs="Arial"/>
          <w:color w:val="231E20"/>
          <w:sz w:val="17"/>
          <w:szCs w:val="17"/>
        </w:rPr>
        <w:t>11/15</w:t>
      </w:r>
    </w:p>
    <w:p w14:paraId="65142019"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50203A6B" w14:textId="77777777" w:rsidR="00EC1C40" w:rsidRDefault="00000000">
      <w:pPr>
        <w:spacing w:line="1" w:lineRule="exact"/>
      </w:pPr>
      <w:r>
        <w:rPr>
          <w:noProof/>
        </w:rPr>
        <w:lastRenderedPageBreak/>
        <mc:AlternateContent>
          <mc:Choice Requires="wps">
            <w:drawing>
              <wp:anchor distT="0" distB="0" distL="114300" distR="114300" simplePos="0" relativeHeight="251690496" behindDoc="1" locked="0" layoutInCell="1" allowOverlap="1" wp14:anchorId="6F641248" wp14:editId="6D1E5841">
                <wp:simplePos x="0" y="0"/>
                <wp:positionH relativeFrom="page">
                  <wp:posOffset>955675</wp:posOffset>
                </wp:positionH>
                <wp:positionV relativeFrom="page">
                  <wp:posOffset>941705</wp:posOffset>
                </wp:positionV>
                <wp:extent cx="5800090" cy="0"/>
                <wp:effectExtent l="0" t="0" r="0" b="0"/>
                <wp:wrapNone/>
                <wp:docPr id="107" name="Shape 107"/>
                <wp:cNvGraphicFramePr/>
                <a:graphic xmlns:a="http://schemas.openxmlformats.org/drawingml/2006/main">
                  <a:graphicData uri="http://schemas.microsoft.com/office/word/2010/wordprocessingShape">
                    <wps:wsp>
                      <wps:cNvCnPr/>
                      <wps:spPr>
                        <a:xfrm>
                          <a:off x="0" y="0"/>
                          <a:ext cx="5800090" cy="0"/>
                        </a:xfrm>
                        <a:prstGeom prst="straightConnector1">
                          <a:avLst/>
                        </a:prstGeom>
                        <a:ln w="8890">
                          <a:solidFill/>
                        </a:ln>
                      </wps:spPr>
                      <wps:bodyPr/>
                    </wps:wsp>
                  </a:graphicData>
                </a:graphic>
              </wp:anchor>
            </w:drawing>
          </mc:Choice>
          <mc:Fallback>
            <w:pict>
              <v:shape o:spt="32" o:oned="true" path="m,l21600,21600e" style="position:absolute;margin-left:75.25pt;margin-top:74.150000000000006pt;width:456.69999999999999pt;height:0;z-index:-251658240;mso-position-horizontal-relative:page;mso-position-vertical-relative:page">
                <v:stroke weight="0.70000000000000007pt"/>
              </v:shape>
            </w:pict>
          </mc:Fallback>
        </mc:AlternateContent>
      </w:r>
    </w:p>
    <w:p w14:paraId="7F6E04D1" w14:textId="77777777" w:rsidR="00EC1C40" w:rsidRDefault="00000000">
      <w:pPr>
        <w:pStyle w:val="Zhlavnebozpat0"/>
        <w:framePr w:wrap="none" w:vAnchor="page" w:hAnchor="page" w:x="4563" w:y="1248"/>
        <w:rPr>
          <w:sz w:val="17"/>
          <w:szCs w:val="17"/>
        </w:rPr>
      </w:pPr>
      <w:r>
        <w:rPr>
          <w:rFonts w:ascii="Arial" w:eastAsia="Arial" w:hAnsi="Arial" w:cs="Arial"/>
          <w:color w:val="231E20"/>
          <w:sz w:val="17"/>
          <w:szCs w:val="17"/>
        </w:rPr>
        <w:t>Smlouva o smlouvě budoucí směnné</w:t>
      </w:r>
    </w:p>
    <w:p w14:paraId="3ABBBFFC" w14:textId="77777777" w:rsidR="00EC1C40" w:rsidRDefault="00000000">
      <w:pPr>
        <w:pStyle w:val="Zkladntext1"/>
        <w:framePr w:w="9120" w:h="13421" w:hRule="exact" w:wrap="none" w:vAnchor="page" w:hAnchor="page" w:x="1520" w:y="1685"/>
        <w:spacing w:after="120"/>
        <w:ind w:left="580"/>
        <w:jc w:val="both"/>
      </w:pPr>
      <w:r>
        <w:t>Smluvních stran nenese odpovědnost za správnost informací poskytnutých ke stanovení hodnoty Smlouvy jako součásti metadat zveřejňovaných v registru smluv. V případě, kdy by byla Smlouva z důvodu chybných metadat či chybného zveřejnění v registru smluv zrušena od počátku, budou Smluvní strany postupovat obdobně dle čl. 5 této Smlouvy.</w:t>
      </w:r>
    </w:p>
    <w:p w14:paraId="4FC0FC57" w14:textId="77777777" w:rsidR="00EC1C40" w:rsidRDefault="00000000">
      <w:pPr>
        <w:pStyle w:val="Zkladntext1"/>
        <w:framePr w:w="9120" w:h="13421" w:hRule="exact" w:wrap="none" w:vAnchor="page" w:hAnchor="page" w:x="1520" w:y="1685"/>
        <w:numPr>
          <w:ilvl w:val="1"/>
          <w:numId w:val="30"/>
        </w:numPr>
        <w:tabs>
          <w:tab w:val="left" w:pos="558"/>
        </w:tabs>
        <w:spacing w:after="120"/>
        <w:ind w:left="580" w:hanging="580"/>
        <w:jc w:val="both"/>
      </w:pPr>
      <w:r>
        <w:t>Pro případ, kdy je v této Smlouvě uvedeno datum narození, rodné číslo, e-mailová adresa, telefonní číslo, číslo bankovního účtu, bydliště či podpis kterékoli ze Smluvních stran, se Smluvní strany dohodly, že tato Smlouva bude v Registru smluv uveřejněna bez těchto údajů (popřípadě budou tyto údaje anonymizovány).</w:t>
      </w:r>
    </w:p>
    <w:p w14:paraId="399D6E9F" w14:textId="77777777" w:rsidR="00EC1C40" w:rsidRDefault="00000000">
      <w:pPr>
        <w:pStyle w:val="Nadpis60"/>
        <w:framePr w:w="9120" w:h="13421" w:hRule="exact" w:wrap="none" w:vAnchor="page" w:hAnchor="page" w:x="1520" w:y="1685"/>
        <w:numPr>
          <w:ilvl w:val="0"/>
          <w:numId w:val="30"/>
        </w:numPr>
        <w:tabs>
          <w:tab w:val="left" w:pos="558"/>
        </w:tabs>
        <w:spacing w:after="120"/>
        <w:jc w:val="both"/>
      </w:pPr>
      <w:bookmarkStart w:id="73" w:name="bookmark147"/>
      <w:r>
        <w:t>Závěrečná ustanovení</w:t>
      </w:r>
      <w:bookmarkEnd w:id="73"/>
    </w:p>
    <w:p w14:paraId="67A99B82" w14:textId="77777777" w:rsidR="00EC1C40" w:rsidRDefault="00000000">
      <w:pPr>
        <w:pStyle w:val="Zkladntext1"/>
        <w:framePr w:w="9120" w:h="13421" w:hRule="exact" w:wrap="none" w:vAnchor="page" w:hAnchor="page" w:x="1520" w:y="1685"/>
        <w:numPr>
          <w:ilvl w:val="1"/>
          <w:numId w:val="30"/>
        </w:numPr>
        <w:tabs>
          <w:tab w:val="left" w:pos="558"/>
        </w:tabs>
        <w:spacing w:after="120"/>
        <w:ind w:left="580" w:hanging="580"/>
        <w:jc w:val="both"/>
      </w:pPr>
      <w:r>
        <w:t>Tato Smlouva a veškeré smluvní a mimosmluvní závazky vzniklé z ní nebo v souvislosti s ní se řídí právním řádem České republiky a je vykládána v souladu s ním.</w:t>
      </w:r>
    </w:p>
    <w:p w14:paraId="70BFAA95" w14:textId="77777777" w:rsidR="00EC1C40" w:rsidRDefault="00000000">
      <w:pPr>
        <w:pStyle w:val="Zkladntext1"/>
        <w:framePr w:w="9120" w:h="13421" w:hRule="exact" w:wrap="none" w:vAnchor="page" w:hAnchor="page" w:x="1520" w:y="1685"/>
        <w:numPr>
          <w:ilvl w:val="1"/>
          <w:numId w:val="30"/>
        </w:numPr>
        <w:tabs>
          <w:tab w:val="left" w:pos="558"/>
        </w:tabs>
        <w:spacing w:after="120"/>
        <w:ind w:left="580" w:hanging="580"/>
        <w:jc w:val="both"/>
      </w:pPr>
      <w:r>
        <w:t>Smluvní strany nad rámec ustanovení Občanského zákoníku, která se neaplikují na právní vztah založený touto Smlouvou v důsledku odchylné dohody Smluvních stran, dále vylučují aplikaci § 558 odst. 2 (v rozsahu, v jakém stanoví, že obchodní zvyklost má přednost před ustanovením zákona, jež nemá donucující účinky), § 1727, § 1735, § 1737, § 1740 odst. 3, § 1748, § 1765 odst. 1, § 1766, § 1788 Občanského zákoníku na právní vztah založený touto Smlouvou.</w:t>
      </w:r>
    </w:p>
    <w:p w14:paraId="0400069A" w14:textId="77777777" w:rsidR="00EC1C40" w:rsidRDefault="00000000">
      <w:pPr>
        <w:pStyle w:val="Zkladntext1"/>
        <w:framePr w:w="9120" w:h="13421" w:hRule="exact" w:wrap="none" w:vAnchor="page" w:hAnchor="page" w:x="1520" w:y="1685"/>
        <w:numPr>
          <w:ilvl w:val="1"/>
          <w:numId w:val="30"/>
        </w:numPr>
        <w:tabs>
          <w:tab w:val="left" w:pos="558"/>
        </w:tabs>
        <w:spacing w:after="120"/>
        <w:jc w:val="both"/>
      </w:pPr>
      <w:r>
        <w:t>Tato Smlouva je smlouvou soukromoprávní povahy.</w:t>
      </w:r>
    </w:p>
    <w:p w14:paraId="1009E7CA" w14:textId="77777777" w:rsidR="00EC1C40" w:rsidRDefault="00000000">
      <w:pPr>
        <w:pStyle w:val="Zkladntext1"/>
        <w:framePr w:w="9120" w:h="13421" w:hRule="exact" w:wrap="none" w:vAnchor="page" w:hAnchor="page" w:x="1520" w:y="1685"/>
        <w:numPr>
          <w:ilvl w:val="1"/>
          <w:numId w:val="30"/>
        </w:numPr>
        <w:tabs>
          <w:tab w:val="left" w:pos="558"/>
        </w:tabs>
        <w:spacing w:after="120"/>
        <w:ind w:left="580" w:hanging="580"/>
        <w:jc w:val="both"/>
      </w:pPr>
      <w:r>
        <w:t>Smluvní strany se zavazují, že nebudou činit žádná jednání, která by jakkoli ohrozila či mohla ohrozit plnění této Smlouvy a/nebo naplnění účelů této Smlouvy (pro odstranění jakýchkoli pochybností Smluvní strany sjednávají, že upuštění od realizace Investičního záměru ze strany Investora za podmínek sjednaných v Plánovací smlouvě nepředstavuje porušení tohoto ustanovení).</w:t>
      </w:r>
    </w:p>
    <w:p w14:paraId="670DD971" w14:textId="77777777" w:rsidR="00EC1C40" w:rsidRDefault="00000000">
      <w:pPr>
        <w:pStyle w:val="Zkladntext1"/>
        <w:framePr w:w="9120" w:h="13421" w:hRule="exact" w:wrap="none" w:vAnchor="page" w:hAnchor="page" w:x="1520" w:y="1685"/>
        <w:numPr>
          <w:ilvl w:val="1"/>
          <w:numId w:val="30"/>
        </w:numPr>
        <w:tabs>
          <w:tab w:val="left" w:pos="558"/>
        </w:tabs>
        <w:spacing w:after="120"/>
        <w:ind w:left="580" w:hanging="580"/>
        <w:jc w:val="both"/>
      </w:pPr>
      <w:r>
        <w:t>Tato Smlouva je zcela nezávislá na jiných smlouvách, dohodách či prohlášeních, byť by byly uzavřeny současně a/nebo v souvislosti s touto Smlouvou, není-li v nich a/nebo v této Smlouvě výslovně stanoveno jinak; i v takovém případě je však tato Smlouva závislá na jiných takových dohodách, smlouvách a prohlášeních výhradně způsobem v nich a/nebo v této Smlouvě uvedeným.</w:t>
      </w:r>
    </w:p>
    <w:p w14:paraId="195BB293" w14:textId="77777777" w:rsidR="00EC1C40" w:rsidRDefault="00000000">
      <w:pPr>
        <w:pStyle w:val="Zkladntext1"/>
        <w:framePr w:w="9120" w:h="13421" w:hRule="exact" w:wrap="none" w:vAnchor="page" w:hAnchor="page" w:x="1520" w:y="1685"/>
        <w:numPr>
          <w:ilvl w:val="1"/>
          <w:numId w:val="30"/>
        </w:numPr>
        <w:tabs>
          <w:tab w:val="left" w:pos="558"/>
        </w:tabs>
        <w:spacing w:after="120"/>
        <w:ind w:left="580" w:hanging="580"/>
        <w:jc w:val="both"/>
      </w:pPr>
      <w:r>
        <w:t>Veškeré spory vyplývající z této Smlouvy a/nebo vzniklé v souvislosti s ní se pokusí Smluvní strany nejprve vyřešit smírnou cestou. Pokud se Smluvní strany nedohodnou na smírném řešení, může se kterákoli ze Smluvních stran obrátit na místně a věcně příslušný soud České republiky.</w:t>
      </w:r>
    </w:p>
    <w:p w14:paraId="6DDE61CE" w14:textId="77777777" w:rsidR="00EC1C40" w:rsidRDefault="00000000">
      <w:pPr>
        <w:pStyle w:val="Zkladntext1"/>
        <w:framePr w:w="9120" w:h="13421" w:hRule="exact" w:wrap="none" w:vAnchor="page" w:hAnchor="page" w:x="1520" w:y="1685"/>
        <w:numPr>
          <w:ilvl w:val="1"/>
          <w:numId w:val="30"/>
        </w:numPr>
        <w:tabs>
          <w:tab w:val="left" w:pos="558"/>
        </w:tabs>
        <w:spacing w:after="120"/>
        <w:ind w:left="580" w:hanging="580"/>
        <w:jc w:val="both"/>
      </w:pPr>
      <w:r>
        <w:t>Změny nebo doplňky této Smlouvy včetně jejích příloh musejí být vyhotoveny písemně a podepsány všemi Smluvními stranami. Změna této Smlouvy v jiné, než písemné formě je tímto vyloučena. Pro tyto účely nebude Smluvními stranami za písemnou formu uznána výměna jakýchkoliv e-mailových zpráv. Smluvní strany se dále pro vyloučení jakýchkoliv pochybností dohodly, že také změna tohoto ustanovení (čl. 7.7. této Smlouvy) jinou než písemnou formou se tímto vylučuje.</w:t>
      </w:r>
    </w:p>
    <w:p w14:paraId="075B02B7" w14:textId="77777777" w:rsidR="00EC1C40" w:rsidRDefault="00000000">
      <w:pPr>
        <w:pStyle w:val="Zkladntext1"/>
        <w:framePr w:w="9120" w:h="13421" w:hRule="exact" w:wrap="none" w:vAnchor="page" w:hAnchor="page" w:x="1520" w:y="1685"/>
        <w:numPr>
          <w:ilvl w:val="1"/>
          <w:numId w:val="30"/>
        </w:numPr>
        <w:tabs>
          <w:tab w:val="left" w:pos="558"/>
        </w:tabs>
        <w:spacing w:after="120"/>
        <w:ind w:left="580" w:hanging="580"/>
        <w:jc w:val="both"/>
      </w:pPr>
      <w:r>
        <w:t>Je-li v této Smlouvě sjednáno, že Smluvní strana něco „zajistí“ a/nebo “zajistí, aby třetí osoba plnila a/nebo jednala určitým způsobem”, bude takové ujednání vykládáno tak, že příslušná Smluvní strana (i) se na jeho základě ve smyslu § 1769 druhá věta Občanského zákoníku zavazuje k tomu, že třetí osoba splní, co bylo ujednáno, (</w:t>
      </w:r>
      <w:proofErr w:type="spellStart"/>
      <w:r>
        <w:t>ii</w:t>
      </w:r>
      <w:proofErr w:type="spellEnd"/>
      <w:r>
        <w:t>) je odpovědná za to, že bude dosaženo dohodnutého stavu, a to bez ohledu na jakákoli subjektivní či objektivní omezení v možnostech dané Smluvní strany kontrolovat či ovlivňovat jednání třetích osob či jiné subjektivní či objektivní skutečnosti (události), které jsou nezbytné k tomu, aby bylo dosaženo dohodnutého stavu, a (</w:t>
      </w:r>
      <w:proofErr w:type="spellStart"/>
      <w:r>
        <w:t>iii</w:t>
      </w:r>
      <w:proofErr w:type="spellEnd"/>
      <w:r>
        <w:t>) nahradí újmu, která druhé Smluvní straně vznikne, pokud nebude dosaženo dohodnutého stavu.</w:t>
      </w:r>
    </w:p>
    <w:p w14:paraId="4983E917" w14:textId="77777777" w:rsidR="00EC1C40" w:rsidRDefault="00000000">
      <w:pPr>
        <w:pStyle w:val="Zkladntext1"/>
        <w:framePr w:w="9120" w:h="13421" w:hRule="exact" w:wrap="none" w:vAnchor="page" w:hAnchor="page" w:x="1520" w:y="1685"/>
        <w:numPr>
          <w:ilvl w:val="1"/>
          <w:numId w:val="30"/>
        </w:numPr>
        <w:tabs>
          <w:tab w:val="left" w:pos="558"/>
        </w:tabs>
        <w:spacing w:after="0"/>
        <w:jc w:val="both"/>
      </w:pPr>
      <w:r>
        <w:t>Smluvní strany (každá ze Smluvních stran) na sebe přebírají nebezpečí změny okolností.</w:t>
      </w:r>
    </w:p>
    <w:p w14:paraId="6492038D" w14:textId="77777777" w:rsidR="00EC1C40" w:rsidRDefault="00000000">
      <w:pPr>
        <w:pStyle w:val="Zhlavnebozpat0"/>
        <w:framePr w:wrap="none" w:vAnchor="page" w:hAnchor="page" w:x="5821" w:y="15936"/>
        <w:rPr>
          <w:sz w:val="17"/>
          <w:szCs w:val="17"/>
        </w:rPr>
      </w:pPr>
      <w:r>
        <w:rPr>
          <w:rFonts w:ascii="Arial" w:eastAsia="Arial" w:hAnsi="Arial" w:cs="Arial"/>
          <w:color w:val="231E20"/>
          <w:sz w:val="17"/>
          <w:szCs w:val="17"/>
        </w:rPr>
        <w:t>12/15</w:t>
      </w:r>
    </w:p>
    <w:p w14:paraId="509F1D26"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032E2E59" w14:textId="77777777" w:rsidR="00EC1C40" w:rsidRDefault="00000000">
      <w:pPr>
        <w:spacing w:line="1" w:lineRule="exact"/>
      </w:pPr>
      <w:r>
        <w:rPr>
          <w:noProof/>
        </w:rPr>
        <w:lastRenderedPageBreak/>
        <mc:AlternateContent>
          <mc:Choice Requires="wps">
            <w:drawing>
              <wp:anchor distT="0" distB="0" distL="114300" distR="114300" simplePos="0" relativeHeight="251691520" behindDoc="1" locked="0" layoutInCell="1" allowOverlap="1" wp14:anchorId="402C9872" wp14:editId="09E1175F">
                <wp:simplePos x="0" y="0"/>
                <wp:positionH relativeFrom="page">
                  <wp:posOffset>955675</wp:posOffset>
                </wp:positionH>
                <wp:positionV relativeFrom="page">
                  <wp:posOffset>941705</wp:posOffset>
                </wp:positionV>
                <wp:extent cx="5800090" cy="0"/>
                <wp:effectExtent l="0" t="0" r="0" b="0"/>
                <wp:wrapNone/>
                <wp:docPr id="108" name="Shape 108"/>
                <wp:cNvGraphicFramePr/>
                <a:graphic xmlns:a="http://schemas.openxmlformats.org/drawingml/2006/main">
                  <a:graphicData uri="http://schemas.microsoft.com/office/word/2010/wordprocessingShape">
                    <wps:wsp>
                      <wps:cNvCnPr/>
                      <wps:spPr>
                        <a:xfrm>
                          <a:off x="0" y="0"/>
                          <a:ext cx="5800090" cy="0"/>
                        </a:xfrm>
                        <a:prstGeom prst="straightConnector1">
                          <a:avLst/>
                        </a:prstGeom>
                        <a:ln w="8890">
                          <a:solidFill/>
                        </a:ln>
                      </wps:spPr>
                      <wps:bodyPr/>
                    </wps:wsp>
                  </a:graphicData>
                </a:graphic>
              </wp:anchor>
            </w:drawing>
          </mc:Choice>
          <mc:Fallback>
            <w:pict>
              <v:shape o:spt="32" o:oned="true" path="m,l21600,21600e" style="position:absolute;margin-left:75.25pt;margin-top:74.150000000000006pt;width:456.69999999999999pt;height:0;z-index:-251658240;mso-position-horizontal-relative:page;mso-position-vertical-relative:page">
                <v:stroke weight="0.70000000000000007pt"/>
              </v:shape>
            </w:pict>
          </mc:Fallback>
        </mc:AlternateContent>
      </w:r>
    </w:p>
    <w:p w14:paraId="1DB4C342" w14:textId="77777777" w:rsidR="00EC1C40" w:rsidRDefault="00000000">
      <w:pPr>
        <w:pStyle w:val="Zhlavnebozpat0"/>
        <w:framePr w:wrap="none" w:vAnchor="page" w:hAnchor="page" w:x="4563" w:y="1248"/>
        <w:rPr>
          <w:sz w:val="17"/>
          <w:szCs w:val="17"/>
        </w:rPr>
      </w:pPr>
      <w:r>
        <w:rPr>
          <w:rFonts w:ascii="Arial" w:eastAsia="Arial" w:hAnsi="Arial" w:cs="Arial"/>
          <w:color w:val="231E20"/>
          <w:sz w:val="17"/>
          <w:szCs w:val="17"/>
        </w:rPr>
        <w:t>Smlouva o smlouvě budoucí směnné</w:t>
      </w:r>
    </w:p>
    <w:p w14:paraId="3AB373ED" w14:textId="77777777" w:rsidR="00EC1C40" w:rsidRDefault="00000000">
      <w:pPr>
        <w:pStyle w:val="Zkladntext1"/>
        <w:framePr w:w="9120" w:h="13930" w:hRule="exact" w:wrap="none" w:vAnchor="page" w:hAnchor="page" w:x="1520" w:y="1685"/>
        <w:numPr>
          <w:ilvl w:val="1"/>
          <w:numId w:val="30"/>
        </w:numPr>
        <w:tabs>
          <w:tab w:val="left" w:pos="562"/>
        </w:tabs>
        <w:ind w:left="580" w:hanging="580"/>
        <w:jc w:val="both"/>
      </w:pPr>
      <w:r>
        <w:t>Smluvní strany prohlašují, že tato Smlouva je výsledkem komplexních a dlouhotrvajících jednání, v jejichž průběhu měly Smluvní strany dostatečnou možnost konzultovat kterékoli její ujednání se svými právními a jinými odbornými zástupci; z tohoto důvodu každá ze Smluvních stran prohlašuje, že:</w:t>
      </w:r>
    </w:p>
    <w:p w14:paraId="11731761" w14:textId="77777777" w:rsidR="00EC1C40" w:rsidRDefault="00000000">
      <w:pPr>
        <w:pStyle w:val="Zkladntext1"/>
        <w:framePr w:w="9120" w:h="13930" w:hRule="exact" w:wrap="none" w:vAnchor="page" w:hAnchor="page" w:x="1520" w:y="1685"/>
        <w:numPr>
          <w:ilvl w:val="2"/>
          <w:numId w:val="30"/>
        </w:numPr>
        <w:tabs>
          <w:tab w:val="left" w:pos="1306"/>
        </w:tabs>
        <w:ind w:left="1280" w:hanging="700"/>
        <w:jc w:val="both"/>
      </w:pPr>
      <w:r>
        <w:t>se s ohledem na své hospodářské postavení necítí být na kterékoli ze Smluvních stran závislá; a</w:t>
      </w:r>
    </w:p>
    <w:p w14:paraId="07549445" w14:textId="77777777" w:rsidR="00EC1C40" w:rsidRDefault="00000000">
      <w:pPr>
        <w:pStyle w:val="Zkladntext1"/>
        <w:framePr w:w="9120" w:h="13930" w:hRule="exact" w:wrap="none" w:vAnchor="page" w:hAnchor="page" w:x="1520" w:y="1685"/>
        <w:numPr>
          <w:ilvl w:val="2"/>
          <w:numId w:val="30"/>
        </w:numPr>
        <w:tabs>
          <w:tab w:val="left" w:pos="1306"/>
        </w:tabs>
        <w:ind w:firstLine="580"/>
        <w:jc w:val="both"/>
      </w:pPr>
      <w:r>
        <w:t>tuto Smlouvu neuzavírá v tísni a/nebo za nápadně nevýhodných podmínek; a</w:t>
      </w:r>
    </w:p>
    <w:p w14:paraId="52C8DF1A" w14:textId="77777777" w:rsidR="00EC1C40" w:rsidRDefault="00000000">
      <w:pPr>
        <w:pStyle w:val="Zkladntext1"/>
        <w:framePr w:w="9120" w:h="13930" w:hRule="exact" w:wrap="none" w:vAnchor="page" w:hAnchor="page" w:x="1520" w:y="1685"/>
        <w:numPr>
          <w:ilvl w:val="2"/>
          <w:numId w:val="30"/>
        </w:numPr>
        <w:tabs>
          <w:tab w:val="left" w:pos="1306"/>
        </w:tabs>
        <w:ind w:left="1280" w:hanging="700"/>
        <w:jc w:val="both"/>
      </w:pPr>
      <w:r>
        <w:t>při jednání s ohledem na roli svých právních a jiných odborných poradců získala veškeré odborné znalosti potřebné k řádnému posouzení obsahu této Smlouvy.</w:t>
      </w:r>
    </w:p>
    <w:p w14:paraId="7F23BF95" w14:textId="77777777" w:rsidR="00EC1C40" w:rsidRDefault="00000000">
      <w:pPr>
        <w:pStyle w:val="Zkladntext1"/>
        <w:framePr w:w="9120" w:h="13930" w:hRule="exact" w:wrap="none" w:vAnchor="page" w:hAnchor="page" w:x="1520" w:y="1685"/>
        <w:numPr>
          <w:ilvl w:val="1"/>
          <w:numId w:val="30"/>
        </w:numPr>
        <w:tabs>
          <w:tab w:val="left" w:pos="562"/>
        </w:tabs>
        <w:ind w:left="580" w:hanging="580"/>
        <w:jc w:val="both"/>
      </w:pPr>
      <w:r>
        <w:t>Smluvní strany nespatřují důvod pro použití ustanovení o slabší straně ve smyslu ustanovení § 433 Občanského zákoníku a ustanovení o smlouvách uzavíraných adhezním způsobem ve smyslu § 1799 a § 1800 Občanského zákoníku; aplikaci těchto ustanovení Smluvní strany na právní vztahy založené touto Smlouvou v maximálním možném rozsahu dle platných a účinných právních předpisů vylučují.</w:t>
      </w:r>
    </w:p>
    <w:p w14:paraId="1979C0DA" w14:textId="77777777" w:rsidR="00EC1C40" w:rsidRDefault="00000000">
      <w:pPr>
        <w:pStyle w:val="Zkladntext1"/>
        <w:framePr w:w="9120" w:h="13930" w:hRule="exact" w:wrap="none" w:vAnchor="page" w:hAnchor="page" w:x="1520" w:y="1685"/>
        <w:numPr>
          <w:ilvl w:val="1"/>
          <w:numId w:val="30"/>
        </w:numPr>
        <w:tabs>
          <w:tab w:val="left" w:pos="562"/>
        </w:tabs>
        <w:ind w:left="580" w:hanging="580"/>
        <w:jc w:val="both"/>
      </w:pPr>
      <w:r>
        <w:t xml:space="preserve">Pokud by došlo v souladu s ustanoveními Plánovací smlouvy k převodu vlastnického práva k Pozemkům Investora </w:t>
      </w:r>
      <w:r>
        <w:rPr>
          <w:i/>
          <w:iCs/>
        </w:rPr>
        <w:t>(jak je tento pojem definován v Plánovací smlouvě)</w:t>
      </w:r>
      <w:r>
        <w:t>, které Investor vlastní, na nabyvatele a spolu s tím i k postoupení Plánovací smlouvy na nabyvatele, vyslovuje SMP na základě této Smlouvy souhlas s postoupením této Smlouvy a práv a povinností z ní vzniklých na takovéhoto nabyvatele.</w:t>
      </w:r>
    </w:p>
    <w:p w14:paraId="6EE81946" w14:textId="77777777" w:rsidR="00EC1C40" w:rsidRDefault="00000000">
      <w:pPr>
        <w:pStyle w:val="Zkladntext1"/>
        <w:framePr w:w="9120" w:h="13930" w:hRule="exact" w:wrap="none" w:vAnchor="page" w:hAnchor="page" w:x="1520" w:y="1685"/>
        <w:numPr>
          <w:ilvl w:val="1"/>
          <w:numId w:val="30"/>
        </w:numPr>
        <w:tabs>
          <w:tab w:val="left" w:pos="562"/>
        </w:tabs>
        <w:jc w:val="both"/>
      </w:pPr>
      <w:r>
        <w:t>Nedílnou součást této Smlouvy tvoří její následující přílohy:</w:t>
      </w:r>
    </w:p>
    <w:p w14:paraId="591E8777" w14:textId="77777777" w:rsidR="00EC1C40" w:rsidRDefault="00000000">
      <w:pPr>
        <w:pStyle w:val="Zkladntext1"/>
        <w:framePr w:w="9120" w:h="13930" w:hRule="exact" w:wrap="none" w:vAnchor="page" w:hAnchor="page" w:x="1520" w:y="1685"/>
        <w:numPr>
          <w:ilvl w:val="2"/>
          <w:numId w:val="30"/>
        </w:numPr>
        <w:tabs>
          <w:tab w:val="left" w:pos="1306"/>
          <w:tab w:val="left" w:pos="2839"/>
        </w:tabs>
        <w:spacing w:after="0"/>
        <w:ind w:firstLine="580"/>
        <w:jc w:val="both"/>
      </w:pPr>
      <w:r>
        <w:rPr>
          <w:u w:val="single"/>
        </w:rPr>
        <w:t>Příloha č. 1</w:t>
      </w:r>
      <w:r>
        <w:t>:</w:t>
      </w:r>
      <w:r>
        <w:tab/>
        <w:t>Grafické zobrazení předpokládaného umístění Připojovací</w:t>
      </w:r>
    </w:p>
    <w:p w14:paraId="033FD5F2" w14:textId="77777777" w:rsidR="00EC1C40" w:rsidRDefault="00000000">
      <w:pPr>
        <w:pStyle w:val="Zkladntext1"/>
        <w:framePr w:w="9120" w:h="13930" w:hRule="exact" w:wrap="none" w:vAnchor="page" w:hAnchor="page" w:x="1520" w:y="1685"/>
        <w:ind w:left="1280"/>
        <w:jc w:val="both"/>
      </w:pPr>
      <w:r>
        <w:t>komunikace;</w:t>
      </w:r>
    </w:p>
    <w:p w14:paraId="42FF661A" w14:textId="77777777" w:rsidR="00EC1C40" w:rsidRDefault="00000000">
      <w:pPr>
        <w:pStyle w:val="Zkladntext1"/>
        <w:framePr w:w="9120" w:h="13930" w:hRule="exact" w:wrap="none" w:vAnchor="page" w:hAnchor="page" w:x="1520" w:y="1685"/>
        <w:numPr>
          <w:ilvl w:val="2"/>
          <w:numId w:val="30"/>
        </w:numPr>
        <w:tabs>
          <w:tab w:val="left" w:pos="1306"/>
          <w:tab w:val="left" w:pos="2839"/>
        </w:tabs>
        <w:spacing w:after="0"/>
        <w:ind w:firstLine="580"/>
        <w:jc w:val="both"/>
      </w:pPr>
      <w:r>
        <w:rPr>
          <w:u w:val="single"/>
        </w:rPr>
        <w:t>Příloha č. 2</w:t>
      </w:r>
      <w:r>
        <w:t>:</w:t>
      </w:r>
      <w:r>
        <w:tab/>
        <w:t>Grafické vyznačení předpokládaného rozsahu částí Pozemků</w:t>
      </w:r>
    </w:p>
    <w:p w14:paraId="5AFCCE56" w14:textId="77777777" w:rsidR="00EC1C40" w:rsidRDefault="00000000">
      <w:pPr>
        <w:pStyle w:val="Zkladntext1"/>
        <w:framePr w:w="9120" w:h="13930" w:hRule="exact" w:wrap="none" w:vAnchor="page" w:hAnchor="page" w:x="1520" w:y="1685"/>
        <w:ind w:left="1280"/>
        <w:jc w:val="both"/>
      </w:pPr>
      <w:r>
        <w:t>vstupujících do Směny; a</w:t>
      </w:r>
    </w:p>
    <w:p w14:paraId="2F849063" w14:textId="77777777" w:rsidR="00EC1C40" w:rsidRDefault="00000000">
      <w:pPr>
        <w:pStyle w:val="Zkladntext1"/>
        <w:framePr w:w="9120" w:h="13930" w:hRule="exact" w:wrap="none" w:vAnchor="page" w:hAnchor="page" w:x="1520" w:y="1685"/>
        <w:numPr>
          <w:ilvl w:val="2"/>
          <w:numId w:val="30"/>
        </w:numPr>
        <w:tabs>
          <w:tab w:val="left" w:pos="1306"/>
          <w:tab w:val="left" w:pos="2839"/>
        </w:tabs>
        <w:ind w:firstLine="580"/>
        <w:jc w:val="both"/>
      </w:pPr>
      <w:r>
        <w:rPr>
          <w:u w:val="single"/>
        </w:rPr>
        <w:t>Příloha č. 3</w:t>
      </w:r>
      <w:r>
        <w:t>:</w:t>
      </w:r>
      <w:r>
        <w:tab/>
        <w:t>Vzorové znění Směnné smlouvy.</w:t>
      </w:r>
    </w:p>
    <w:p w14:paraId="0BA3E2F6" w14:textId="77777777" w:rsidR="00EC1C40" w:rsidRDefault="00000000">
      <w:pPr>
        <w:pStyle w:val="Zkladntext1"/>
        <w:framePr w:w="9120" w:h="13930" w:hRule="exact" w:wrap="none" w:vAnchor="page" w:hAnchor="page" w:x="1520" w:y="1685"/>
        <w:numPr>
          <w:ilvl w:val="1"/>
          <w:numId w:val="30"/>
        </w:numPr>
        <w:tabs>
          <w:tab w:val="left" w:pos="562"/>
        </w:tabs>
        <w:ind w:left="580" w:hanging="580"/>
        <w:jc w:val="both"/>
      </w:pPr>
      <w:r>
        <w:t>Tato Smlouva je vyhotovena ve dvou (2) vyhotoveních, z nichž každá ze Smluvní stran obdrží po jednom (1) vyhotovení.</w:t>
      </w:r>
    </w:p>
    <w:p w14:paraId="2946A54D" w14:textId="77777777" w:rsidR="00EC1C40" w:rsidRDefault="00000000">
      <w:pPr>
        <w:pStyle w:val="Zkladntext1"/>
        <w:framePr w:w="9120" w:h="13930" w:hRule="exact" w:wrap="none" w:vAnchor="page" w:hAnchor="page" w:x="1520" w:y="1685"/>
        <w:numPr>
          <w:ilvl w:val="1"/>
          <w:numId w:val="30"/>
        </w:numPr>
        <w:tabs>
          <w:tab w:val="left" w:pos="562"/>
        </w:tabs>
        <w:ind w:left="580" w:hanging="580"/>
        <w:jc w:val="both"/>
      </w:pPr>
      <w:r>
        <w:t>Tato Smlouva nabývá platnosti okamžikem jejího podpisu poslední ze Smluvních stran a účinnosti okamžikem jejího uveřejnění v Registru smluv.</w:t>
      </w:r>
    </w:p>
    <w:p w14:paraId="16403BB7" w14:textId="77777777" w:rsidR="00EC1C40" w:rsidRDefault="00000000">
      <w:pPr>
        <w:pStyle w:val="Zkladntext1"/>
        <w:framePr w:w="9120" w:h="13930" w:hRule="exact" w:wrap="none" w:vAnchor="page" w:hAnchor="page" w:x="1520" w:y="1685"/>
        <w:numPr>
          <w:ilvl w:val="1"/>
          <w:numId w:val="30"/>
        </w:numPr>
        <w:tabs>
          <w:tab w:val="left" w:pos="562"/>
        </w:tabs>
        <w:ind w:left="580" w:hanging="580"/>
        <w:jc w:val="both"/>
      </w:pPr>
      <w:r>
        <w:t>Investor tímto prohlašuje, že tuto Smlouvu je připraven uzavřít pouze za následujících předpokladů: (i) tato Smlouva bude ze strany příslušných orgánů SMP schválena a ze strany SMP uzavřena ve znění, které je odsouhlaseno Investorem, (</w:t>
      </w:r>
      <w:proofErr w:type="spellStart"/>
      <w:r>
        <w:t>ii</w:t>
      </w:r>
      <w:proofErr w:type="spellEnd"/>
      <w:r>
        <w:t xml:space="preserve">) spolu s touto Smlouvou budou ve znění odsouhlaseném Investorem ze strany příslušných orgánů SMP schváleny a ze strany SMP uzavřeny i Směnná smlouva 1, Smlouva o výpůjčce, Smlouva o výpůjčce SMP Hůrka, </w:t>
      </w:r>
      <w:proofErr w:type="spellStart"/>
      <w:r>
        <w:t>SoSB</w:t>
      </w:r>
      <w:proofErr w:type="spellEnd"/>
      <w:r>
        <w:t xml:space="preserve"> SMP Hůrka </w:t>
      </w:r>
      <w:r>
        <w:rPr>
          <w:i/>
          <w:iCs/>
        </w:rPr>
        <w:t>(jak jsou tyto pojmy definovány v Plánovací smlouvě)</w:t>
      </w:r>
      <w:r>
        <w:t>, Dohoda o úpravě vztahů a Plánovací smlouva, a to včetně schválení rozhodnutí o snížení základní výše Investičního příspěvku dle Zásad o 100% z titulu charakteru Investičního záměru jako veřejné stavby (čl. 4.2. a 4.3. Plánovací smlouvy) a dále schválení snížení Investičního příspěvku o 200,- Kč za každý 1 m2 z titulu realizace Adaptačních opatření (čl. 4.4. Plánovací smlouvy) a (</w:t>
      </w:r>
      <w:proofErr w:type="spellStart"/>
      <w:r>
        <w:t>iii</w:t>
      </w:r>
      <w:proofErr w:type="spellEnd"/>
      <w:r>
        <w:t xml:space="preserve">) ze strany Nadace pro rozvoj města Pardubic, IČ: 464 95 801, se sídlem Pernštýnské náměstí 1, Pardubice-Staré Město, 530 02 Pardubice, zapsané v nadačním rejstříku vedeném u Krajského soudu v Hradci Králové pod </w:t>
      </w:r>
      <w:proofErr w:type="spellStart"/>
      <w:r>
        <w:t>sp</w:t>
      </w:r>
      <w:proofErr w:type="spellEnd"/>
      <w:r>
        <w:t>. zn. N 87 (dále jen "</w:t>
      </w:r>
      <w:r>
        <w:rPr>
          <w:b/>
          <w:bCs/>
        </w:rPr>
        <w:t>Nadace</w:t>
      </w:r>
      <w:r>
        <w:t xml:space="preserve">") budou uzavřeny Smlouva o výpůjčce Nadace Hůrka a </w:t>
      </w:r>
      <w:proofErr w:type="spellStart"/>
      <w:r>
        <w:t>SoSB</w:t>
      </w:r>
      <w:proofErr w:type="spellEnd"/>
      <w:r>
        <w:t xml:space="preserve"> Nadace Hůrka </w:t>
      </w:r>
      <w:r>
        <w:rPr>
          <w:i/>
          <w:iCs/>
        </w:rPr>
        <w:t>(jak jsou tyto pojmy definovány v Plánovací smlouvě)</w:t>
      </w:r>
      <w:r>
        <w:t>, a to ve znění odsouhlaseném Investorem. SMP toto prohlášení Investora plně respektuje.</w:t>
      </w:r>
    </w:p>
    <w:p w14:paraId="393F8C8F" w14:textId="77777777" w:rsidR="00EC1C40" w:rsidRDefault="00000000">
      <w:pPr>
        <w:pStyle w:val="Zkladntext1"/>
        <w:framePr w:w="9120" w:h="13930" w:hRule="exact" w:wrap="none" w:vAnchor="page" w:hAnchor="page" w:x="1520" w:y="1685"/>
        <w:numPr>
          <w:ilvl w:val="1"/>
          <w:numId w:val="30"/>
        </w:numPr>
        <w:tabs>
          <w:tab w:val="left" w:pos="562"/>
        </w:tabs>
        <w:spacing w:after="0"/>
        <w:ind w:left="580" w:hanging="580"/>
        <w:jc w:val="both"/>
      </w:pPr>
      <w:r>
        <w:t>SMP tímto prohlašuje, že tuto Smlouvu je připraveno uzavřít pouze za následujících předpokladů: (i) tato Smlouva bude ze strany příslušných orgánů SMP schválena a ze strany SMP</w:t>
      </w:r>
    </w:p>
    <w:p w14:paraId="560022D0" w14:textId="77777777" w:rsidR="00EC1C40" w:rsidRDefault="00000000">
      <w:pPr>
        <w:pStyle w:val="Zhlavnebozpat0"/>
        <w:framePr w:wrap="none" w:vAnchor="page" w:hAnchor="page" w:x="5821" w:y="15936"/>
        <w:rPr>
          <w:sz w:val="17"/>
          <w:szCs w:val="17"/>
        </w:rPr>
      </w:pPr>
      <w:r>
        <w:rPr>
          <w:rFonts w:ascii="Arial" w:eastAsia="Arial" w:hAnsi="Arial" w:cs="Arial"/>
          <w:color w:val="231E20"/>
          <w:sz w:val="17"/>
          <w:szCs w:val="17"/>
        </w:rPr>
        <w:t>13/15</w:t>
      </w:r>
    </w:p>
    <w:p w14:paraId="5E446FBC"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027F67E7" w14:textId="77777777" w:rsidR="00EC1C40" w:rsidRDefault="00000000">
      <w:pPr>
        <w:spacing w:line="1" w:lineRule="exact"/>
      </w:pPr>
      <w:r>
        <w:rPr>
          <w:noProof/>
        </w:rPr>
        <w:lastRenderedPageBreak/>
        <mc:AlternateContent>
          <mc:Choice Requires="wps">
            <w:drawing>
              <wp:anchor distT="0" distB="0" distL="114300" distR="114300" simplePos="0" relativeHeight="251692544" behindDoc="1" locked="0" layoutInCell="1" allowOverlap="1" wp14:anchorId="1B4A55B4" wp14:editId="0DC6AB17">
                <wp:simplePos x="0" y="0"/>
                <wp:positionH relativeFrom="page">
                  <wp:posOffset>966470</wp:posOffset>
                </wp:positionH>
                <wp:positionV relativeFrom="page">
                  <wp:posOffset>941705</wp:posOffset>
                </wp:positionV>
                <wp:extent cx="5800090" cy="0"/>
                <wp:effectExtent l="0" t="0" r="0" b="0"/>
                <wp:wrapNone/>
                <wp:docPr id="109" name="Shape 109"/>
                <wp:cNvGraphicFramePr/>
                <a:graphic xmlns:a="http://schemas.openxmlformats.org/drawingml/2006/main">
                  <a:graphicData uri="http://schemas.microsoft.com/office/word/2010/wordprocessingShape">
                    <wps:wsp>
                      <wps:cNvCnPr/>
                      <wps:spPr>
                        <a:xfrm>
                          <a:off x="0" y="0"/>
                          <a:ext cx="5800090" cy="0"/>
                        </a:xfrm>
                        <a:prstGeom prst="straightConnector1">
                          <a:avLst/>
                        </a:prstGeom>
                        <a:ln w="8890">
                          <a:solidFill/>
                        </a:ln>
                      </wps:spPr>
                      <wps:bodyPr/>
                    </wps:wsp>
                  </a:graphicData>
                </a:graphic>
              </wp:anchor>
            </w:drawing>
          </mc:Choice>
          <mc:Fallback>
            <w:pict>
              <v:shape o:spt="32" o:oned="true" path="m,l21600,21600e" style="position:absolute;margin-left:76.100000000000009pt;margin-top:74.150000000000006pt;width:456.69999999999999pt;height:0;z-index:-251658240;mso-position-horizontal-relative:page;mso-position-vertical-relative:page">
                <v:stroke weight="0.70000000000000007pt"/>
              </v:shape>
            </w:pict>
          </mc:Fallback>
        </mc:AlternateContent>
      </w:r>
    </w:p>
    <w:p w14:paraId="6CC1ABE8" w14:textId="77777777" w:rsidR="00EC1C40" w:rsidRDefault="00000000">
      <w:pPr>
        <w:pStyle w:val="Zhlavnebozpat0"/>
        <w:framePr w:wrap="none" w:vAnchor="page" w:hAnchor="page" w:x="4580" w:y="1248"/>
        <w:rPr>
          <w:sz w:val="17"/>
          <w:szCs w:val="17"/>
        </w:rPr>
      </w:pPr>
      <w:r>
        <w:rPr>
          <w:rFonts w:ascii="Arial" w:eastAsia="Arial" w:hAnsi="Arial" w:cs="Arial"/>
          <w:color w:val="231E20"/>
          <w:sz w:val="17"/>
          <w:szCs w:val="17"/>
        </w:rPr>
        <w:t>Smlouva o smlouvě budoucí směnné</w:t>
      </w:r>
    </w:p>
    <w:p w14:paraId="5CECDCD1" w14:textId="77777777" w:rsidR="00EC1C40" w:rsidRDefault="00000000">
      <w:pPr>
        <w:pStyle w:val="Zkladntext1"/>
        <w:framePr w:w="9144" w:h="2678" w:hRule="exact" w:wrap="none" w:vAnchor="page" w:hAnchor="page" w:x="1508" w:y="1685"/>
        <w:spacing w:after="120"/>
        <w:ind w:left="580"/>
        <w:jc w:val="both"/>
      </w:pPr>
      <w:r>
        <w:t>uzavřena ve znění, které je odsouhlaseno příslušnými orgány SMP, (</w:t>
      </w:r>
      <w:proofErr w:type="spellStart"/>
      <w:r>
        <w:t>ii</w:t>
      </w:r>
      <w:proofErr w:type="spellEnd"/>
      <w:r>
        <w:t xml:space="preserve">) spolu s touto Smlouvou budou ze strany Investora uzavřeny i Směnná smlouva 1, Smlouva o výpůjčce, Smlouva o výpůjčce SMP Hůrka, </w:t>
      </w:r>
      <w:proofErr w:type="spellStart"/>
      <w:r>
        <w:t>SoSB</w:t>
      </w:r>
      <w:proofErr w:type="spellEnd"/>
      <w:r>
        <w:t xml:space="preserve"> SMP Hůrka, Smlouva o výpůjčce Nadace Hůrka a </w:t>
      </w:r>
      <w:proofErr w:type="spellStart"/>
      <w:r>
        <w:t>SoSB</w:t>
      </w:r>
      <w:proofErr w:type="spellEnd"/>
      <w:r>
        <w:t xml:space="preserve"> Nadace Hůrka </w:t>
      </w:r>
      <w:r>
        <w:rPr>
          <w:i/>
          <w:iCs/>
        </w:rPr>
        <w:t>(jak jsou tyto pojmy definovány v Plánovací smlouvě)</w:t>
      </w:r>
      <w:r>
        <w:t>, Dohoda o úpravě vztahů a Plánovací smlouva. Investor toto prohlášení SMP plně respektuje.</w:t>
      </w:r>
    </w:p>
    <w:p w14:paraId="05E0204F" w14:textId="77777777" w:rsidR="00EC1C40" w:rsidRDefault="00000000">
      <w:pPr>
        <w:pStyle w:val="Zkladntext1"/>
        <w:framePr w:w="9144" w:h="2678" w:hRule="exact" w:wrap="none" w:vAnchor="page" w:hAnchor="page" w:x="1508" w:y="1685"/>
        <w:spacing w:after="120"/>
        <w:jc w:val="both"/>
      </w:pPr>
      <w:r>
        <w:rPr>
          <w:i/>
          <w:iCs/>
        </w:rPr>
        <w:t>Smluvní strany prohlašují, že s obsahem této Smlouvy souhlasí, rozumí jí a zavazují se k jejímu plnění, a dále že tato Smlouva byla uzavřena podle jejich svobodné a vážné vůle prosté tísně, zejména tísně finanční. Na důkaz toho Smluvní strany připojují své podpisy.</w:t>
      </w:r>
    </w:p>
    <w:p w14:paraId="02443D23" w14:textId="77777777" w:rsidR="00EC1C40" w:rsidRDefault="00000000">
      <w:pPr>
        <w:pStyle w:val="Zkladntext1"/>
        <w:framePr w:w="9144" w:h="2678" w:hRule="exact" w:wrap="none" w:vAnchor="page" w:hAnchor="page" w:x="1508" w:y="1685"/>
        <w:spacing w:after="0"/>
        <w:jc w:val="center"/>
      </w:pPr>
      <w:r>
        <w:rPr>
          <w:i/>
          <w:iCs/>
        </w:rPr>
        <w:t>PODPISOVÁ STRANA NÁSLEDUJE</w:t>
      </w:r>
    </w:p>
    <w:p w14:paraId="0EEA114E" w14:textId="77777777" w:rsidR="00EC1C40" w:rsidRDefault="00000000">
      <w:pPr>
        <w:pStyle w:val="Zhlavnebozpat0"/>
        <w:framePr w:wrap="none" w:vAnchor="page" w:hAnchor="page" w:x="5838" w:y="15936"/>
        <w:rPr>
          <w:sz w:val="17"/>
          <w:szCs w:val="17"/>
        </w:rPr>
      </w:pPr>
      <w:r>
        <w:rPr>
          <w:rFonts w:ascii="Arial" w:eastAsia="Arial" w:hAnsi="Arial" w:cs="Arial"/>
          <w:color w:val="231E20"/>
          <w:sz w:val="17"/>
          <w:szCs w:val="17"/>
        </w:rPr>
        <w:t>14/15</w:t>
      </w:r>
    </w:p>
    <w:p w14:paraId="44A6898C"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43F790C8" w14:textId="77777777" w:rsidR="00EC1C40" w:rsidRDefault="00000000">
      <w:pPr>
        <w:spacing w:line="1" w:lineRule="exact"/>
      </w:pPr>
      <w:r>
        <w:rPr>
          <w:noProof/>
        </w:rPr>
        <w:lastRenderedPageBreak/>
        <mc:AlternateContent>
          <mc:Choice Requires="wps">
            <w:drawing>
              <wp:anchor distT="0" distB="0" distL="114300" distR="114300" simplePos="0" relativeHeight="251693568" behindDoc="1" locked="0" layoutInCell="1" allowOverlap="1" wp14:anchorId="199E5CE3" wp14:editId="6B5E2789">
                <wp:simplePos x="0" y="0"/>
                <wp:positionH relativeFrom="page">
                  <wp:posOffset>956945</wp:posOffset>
                </wp:positionH>
                <wp:positionV relativeFrom="page">
                  <wp:posOffset>941705</wp:posOffset>
                </wp:positionV>
                <wp:extent cx="5800090" cy="0"/>
                <wp:effectExtent l="0" t="0" r="0" b="0"/>
                <wp:wrapNone/>
                <wp:docPr id="110" name="Shape 110"/>
                <wp:cNvGraphicFramePr/>
                <a:graphic xmlns:a="http://schemas.openxmlformats.org/drawingml/2006/main">
                  <a:graphicData uri="http://schemas.microsoft.com/office/word/2010/wordprocessingShape">
                    <wps:wsp>
                      <wps:cNvCnPr/>
                      <wps:spPr>
                        <a:xfrm>
                          <a:off x="0" y="0"/>
                          <a:ext cx="5800090" cy="0"/>
                        </a:xfrm>
                        <a:prstGeom prst="straightConnector1">
                          <a:avLst/>
                        </a:prstGeom>
                        <a:ln w="8890">
                          <a:solidFill/>
                        </a:ln>
                      </wps:spPr>
                      <wps:bodyPr/>
                    </wps:wsp>
                  </a:graphicData>
                </a:graphic>
              </wp:anchor>
            </w:drawing>
          </mc:Choice>
          <mc:Fallback>
            <w:pict>
              <v:shape o:spt="32" o:oned="true" path="m,l21600,21600e" style="position:absolute;margin-left:75.350000000000009pt;margin-top:74.150000000000006pt;width:456.69999999999999pt;height:0;z-index:-251658240;mso-position-horizontal-relative:page;mso-position-vertical-relative:page">
                <v:stroke weight="0.70000000000000007pt"/>
              </v:shape>
            </w:pict>
          </mc:Fallback>
        </mc:AlternateContent>
      </w:r>
    </w:p>
    <w:p w14:paraId="0B7A2918" w14:textId="77777777" w:rsidR="00EC1C40" w:rsidRDefault="00000000">
      <w:pPr>
        <w:pStyle w:val="Zhlavnebozpat0"/>
        <w:framePr w:wrap="none" w:vAnchor="page" w:hAnchor="page" w:x="4565" w:y="1248"/>
        <w:rPr>
          <w:sz w:val="17"/>
          <w:szCs w:val="17"/>
        </w:rPr>
      </w:pPr>
      <w:r>
        <w:rPr>
          <w:rFonts w:ascii="Arial" w:eastAsia="Arial" w:hAnsi="Arial" w:cs="Arial"/>
          <w:color w:val="231E20"/>
          <w:sz w:val="17"/>
          <w:szCs w:val="17"/>
        </w:rPr>
        <w:t>Smlouva o smlouvě budoucí směnné</w:t>
      </w:r>
    </w:p>
    <w:p w14:paraId="6887286D" w14:textId="77777777" w:rsidR="00EC1C40" w:rsidRDefault="00000000">
      <w:pPr>
        <w:pStyle w:val="Zkladntext1"/>
        <w:framePr w:w="9144" w:h="288" w:hRule="exact" w:wrap="none" w:vAnchor="page" w:hAnchor="page" w:x="1493" w:y="1685"/>
        <w:spacing w:after="0"/>
        <w:jc w:val="center"/>
      </w:pPr>
      <w:r>
        <w:rPr>
          <w:b/>
          <w:bCs/>
          <w:i/>
          <w:iCs/>
        </w:rPr>
        <w:t>PODPISOVÁ STRANA</w:t>
      </w:r>
    </w:p>
    <w:p w14:paraId="2426CBF8" w14:textId="77777777" w:rsidR="00EC1C40" w:rsidRDefault="00000000">
      <w:pPr>
        <w:pStyle w:val="Zkladntext1"/>
        <w:framePr w:wrap="none" w:vAnchor="page" w:hAnchor="page" w:x="1623" w:y="2194"/>
        <w:tabs>
          <w:tab w:val="left" w:leader="underscore" w:pos="1550"/>
          <w:tab w:val="left" w:leader="underscore" w:pos="3360"/>
        </w:tabs>
        <w:spacing w:after="0"/>
      </w:pPr>
      <w:r>
        <w:t>V</w:t>
      </w:r>
      <w:r>
        <w:tab/>
        <w:t xml:space="preserve"> dne</w:t>
      </w:r>
      <w:r>
        <w:tab/>
      </w:r>
    </w:p>
    <w:p w14:paraId="7F6BB1EC" w14:textId="77777777" w:rsidR="00EC1C40" w:rsidRDefault="00000000">
      <w:pPr>
        <w:pStyle w:val="Zkladntext1"/>
        <w:framePr w:wrap="none" w:vAnchor="page" w:hAnchor="page" w:x="7009" w:y="2194"/>
        <w:tabs>
          <w:tab w:val="left" w:leader="underscore" w:pos="1550"/>
          <w:tab w:val="left" w:leader="underscore" w:pos="3360"/>
        </w:tabs>
        <w:spacing w:after="0"/>
      </w:pPr>
      <w:r>
        <w:t>V</w:t>
      </w:r>
      <w:r>
        <w:tab/>
        <w:t xml:space="preserve"> dne</w:t>
      </w:r>
      <w:r>
        <w:tab/>
      </w:r>
    </w:p>
    <w:p w14:paraId="619599DA" w14:textId="77777777" w:rsidR="00EC1C40" w:rsidRDefault="00000000">
      <w:pPr>
        <w:pStyle w:val="Zkladntext1"/>
        <w:framePr w:w="6586" w:h="826" w:hRule="exact" w:wrap="none" w:vAnchor="page" w:hAnchor="page" w:x="1623" w:y="3341"/>
        <w:pBdr>
          <w:top w:val="single" w:sz="4" w:space="0" w:color="auto"/>
        </w:pBdr>
        <w:spacing w:after="0"/>
        <w:jc w:val="center"/>
      </w:pPr>
      <w:r>
        <w:rPr>
          <w:b/>
          <w:bCs/>
        </w:rPr>
        <w:t>Statutární město Pardubice</w:t>
      </w:r>
      <w:r>
        <w:rPr>
          <w:b/>
          <w:bCs/>
        </w:rPr>
        <w:br/>
      </w:r>
      <w:r>
        <w:t>Bc. Jan Nadrchal</w:t>
      </w:r>
      <w:r>
        <w:br/>
        <w:t>primátor</w:t>
      </w:r>
    </w:p>
    <w:p w14:paraId="433C286C" w14:textId="77777777" w:rsidR="00EC1C40" w:rsidRDefault="00000000">
      <w:pPr>
        <w:pStyle w:val="Zkladntext1"/>
        <w:framePr w:w="1123" w:h="826" w:hRule="exact" w:wrap="none" w:vAnchor="page" w:hAnchor="page" w:x="8209" w:y="3341"/>
        <w:pBdr>
          <w:top w:val="single" w:sz="4" w:space="0" w:color="auto"/>
        </w:pBdr>
        <w:spacing w:after="0"/>
        <w:jc w:val="center"/>
      </w:pPr>
      <w:r>
        <w:rPr>
          <w:b/>
          <w:bCs/>
        </w:rPr>
        <w:t>MHAP s.r.o.</w:t>
      </w:r>
    </w:p>
    <w:p w14:paraId="75E7841C" w14:textId="77777777" w:rsidR="00EC1C40" w:rsidRDefault="00000000">
      <w:pPr>
        <w:pStyle w:val="Zkladntext1"/>
        <w:framePr w:w="1123" w:h="826" w:hRule="exact" w:wrap="none" w:vAnchor="page" w:hAnchor="page" w:x="8209" w:y="3341"/>
        <w:spacing w:after="0"/>
        <w:jc w:val="center"/>
      </w:pPr>
      <w:r>
        <w:t>Petr Dědek</w:t>
      </w:r>
      <w:r>
        <w:br/>
        <w:t>jednatel</w:t>
      </w:r>
    </w:p>
    <w:p w14:paraId="4DC40DF2" w14:textId="77777777" w:rsidR="00EC1C40" w:rsidRDefault="00000000">
      <w:pPr>
        <w:pStyle w:val="Zhlavnebozpat0"/>
        <w:framePr w:wrap="none" w:vAnchor="page" w:hAnchor="page" w:x="5823" w:y="15936"/>
        <w:rPr>
          <w:sz w:val="17"/>
          <w:szCs w:val="17"/>
        </w:rPr>
      </w:pPr>
      <w:r>
        <w:rPr>
          <w:rFonts w:ascii="Arial" w:eastAsia="Arial" w:hAnsi="Arial" w:cs="Arial"/>
          <w:color w:val="231E20"/>
          <w:sz w:val="17"/>
          <w:szCs w:val="17"/>
        </w:rPr>
        <w:t>15/15</w:t>
      </w:r>
    </w:p>
    <w:p w14:paraId="7557ECC7"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492395C3" w14:textId="77777777" w:rsidR="00EC1C40" w:rsidRDefault="00EC1C40">
      <w:pPr>
        <w:spacing w:line="1" w:lineRule="exact"/>
      </w:pPr>
    </w:p>
    <w:p w14:paraId="75354343" w14:textId="77777777" w:rsidR="00EC1C40" w:rsidRDefault="00000000">
      <w:pPr>
        <w:pStyle w:val="Zkladntext80"/>
        <w:framePr w:w="6586" w:h="638" w:hRule="exact" w:wrap="none" w:vAnchor="page" w:hAnchor="page" w:x="1623" w:y="5079"/>
        <w:rPr>
          <w:sz w:val="50"/>
          <w:szCs w:val="50"/>
        </w:rPr>
      </w:pPr>
      <w:r>
        <w:t>Příloh</w:t>
      </w:r>
      <w:r>
        <w:rPr>
          <w:rFonts w:ascii="Calibri" w:eastAsia="Calibri" w:hAnsi="Calibri" w:cs="Calibri"/>
          <w:b/>
          <w:bCs/>
          <w:smallCaps/>
          <w:sz w:val="50"/>
          <w:szCs w:val="50"/>
        </w:rPr>
        <w:t>a</w:t>
      </w:r>
      <w:r>
        <w:t xml:space="preserve"> č. </w:t>
      </w:r>
      <w:r>
        <w:rPr>
          <w:rFonts w:ascii="Calibri" w:eastAsia="Calibri" w:hAnsi="Calibri" w:cs="Calibri"/>
          <w:b/>
          <w:bCs/>
          <w:smallCaps/>
          <w:sz w:val="50"/>
          <w:szCs w:val="50"/>
        </w:rPr>
        <w:t>7</w:t>
      </w:r>
    </w:p>
    <w:p w14:paraId="176250FC"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31C99FE6" w14:textId="77777777" w:rsidR="00EC1C40" w:rsidRDefault="00EC1C40">
      <w:pPr>
        <w:spacing w:line="1" w:lineRule="exact"/>
      </w:pPr>
    </w:p>
    <w:p w14:paraId="1F0817EB" w14:textId="77777777" w:rsidR="00EC1C40" w:rsidRDefault="00000000">
      <w:pPr>
        <w:pStyle w:val="Zkladntext20"/>
        <w:framePr w:w="9134" w:h="2779" w:hRule="exact" w:wrap="none" w:vAnchor="page" w:hAnchor="page" w:x="1373" w:y="3855"/>
        <w:pBdr>
          <w:bottom w:val="single" w:sz="4" w:space="0" w:color="auto"/>
        </w:pBdr>
        <w:spacing w:after="240"/>
      </w:pPr>
      <w:r>
        <w:t>Smlouva o výpůjčce</w:t>
      </w:r>
    </w:p>
    <w:p w14:paraId="148A524A" w14:textId="77777777" w:rsidR="00EC1C40" w:rsidRDefault="00000000">
      <w:pPr>
        <w:pStyle w:val="Zkladntext1"/>
        <w:framePr w:w="9134" w:h="2779" w:hRule="exact" w:wrap="none" w:vAnchor="page" w:hAnchor="page" w:x="1373" w:y="3855"/>
        <w:jc w:val="center"/>
      </w:pPr>
      <w:r>
        <w:t>mezi:</w:t>
      </w:r>
    </w:p>
    <w:p w14:paraId="1983920A" w14:textId="77777777" w:rsidR="00EC1C40" w:rsidRDefault="00000000">
      <w:pPr>
        <w:pStyle w:val="Zkladntext20"/>
        <w:framePr w:w="9134" w:h="2779" w:hRule="exact" w:wrap="none" w:vAnchor="page" w:hAnchor="page" w:x="1373" w:y="3855"/>
      </w:pPr>
      <w:r>
        <w:t>Statutární město Pardubice</w:t>
      </w:r>
    </w:p>
    <w:p w14:paraId="6786431A" w14:textId="77777777" w:rsidR="00EC1C40" w:rsidRDefault="00000000">
      <w:pPr>
        <w:pStyle w:val="Zkladntext1"/>
        <w:framePr w:w="9134" w:h="2779" w:hRule="exact" w:wrap="none" w:vAnchor="page" w:hAnchor="page" w:x="1373" w:y="3855"/>
        <w:spacing w:after="160"/>
        <w:jc w:val="center"/>
      </w:pPr>
      <w:r>
        <w:t>a</w:t>
      </w:r>
    </w:p>
    <w:p w14:paraId="24C92280" w14:textId="77777777" w:rsidR="00EC1C40" w:rsidRDefault="00000000">
      <w:pPr>
        <w:pStyle w:val="Zkladntext20"/>
        <w:framePr w:w="9134" w:h="2779" w:hRule="exact" w:wrap="none" w:vAnchor="page" w:hAnchor="page" w:x="1373" w:y="3855"/>
        <w:spacing w:after="0"/>
      </w:pPr>
      <w:r>
        <w:t>MHAP s.r.o.</w:t>
      </w:r>
    </w:p>
    <w:p w14:paraId="533D4B1C"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71775D5E" w14:textId="77777777" w:rsidR="00EC1C40" w:rsidRDefault="00000000">
      <w:pPr>
        <w:spacing w:line="1" w:lineRule="exact"/>
      </w:pPr>
      <w:r>
        <w:rPr>
          <w:noProof/>
        </w:rPr>
        <w:lastRenderedPageBreak/>
        <mc:AlternateContent>
          <mc:Choice Requires="wps">
            <w:drawing>
              <wp:anchor distT="0" distB="0" distL="114300" distR="114300" simplePos="0" relativeHeight="251694592" behindDoc="1" locked="0" layoutInCell="1" allowOverlap="1" wp14:anchorId="161FA005" wp14:editId="564A8CFF">
                <wp:simplePos x="0" y="0"/>
                <wp:positionH relativeFrom="page">
                  <wp:posOffset>948055</wp:posOffset>
                </wp:positionH>
                <wp:positionV relativeFrom="page">
                  <wp:posOffset>932180</wp:posOffset>
                </wp:positionV>
                <wp:extent cx="5702300" cy="0"/>
                <wp:effectExtent l="0" t="0" r="0" b="0"/>
                <wp:wrapNone/>
                <wp:docPr id="111" name="Shape 111"/>
                <wp:cNvGraphicFramePr/>
                <a:graphic xmlns:a="http://schemas.openxmlformats.org/drawingml/2006/main">
                  <a:graphicData uri="http://schemas.microsoft.com/office/word/2010/wordprocessingShape">
                    <wps:wsp>
                      <wps:cNvCnPr/>
                      <wps:spPr>
                        <a:xfrm>
                          <a:off x="0" y="0"/>
                          <a:ext cx="5702300" cy="0"/>
                        </a:xfrm>
                        <a:prstGeom prst="straightConnector1">
                          <a:avLst/>
                        </a:prstGeom>
                        <a:ln w="6350">
                          <a:solidFill/>
                        </a:ln>
                      </wps:spPr>
                      <wps:bodyPr/>
                    </wps:wsp>
                  </a:graphicData>
                </a:graphic>
              </wp:anchor>
            </w:drawing>
          </mc:Choice>
          <mc:Fallback>
            <w:pict>
              <v:shape o:spt="32" o:oned="true" path="m,l21600,21600e" style="position:absolute;margin-left:74.650000000000006pt;margin-top:73.400000000000006pt;width:449.pt;height:0;z-index:-251658240;mso-position-horizontal-relative:page;mso-position-vertical-relative:page">
                <v:stroke weight="0.5pt"/>
              </v:shape>
            </w:pict>
          </mc:Fallback>
        </mc:AlternateContent>
      </w:r>
    </w:p>
    <w:p w14:paraId="0B45C415" w14:textId="77777777" w:rsidR="00EC1C40" w:rsidRDefault="00000000">
      <w:pPr>
        <w:pStyle w:val="Zhlavnebozpat0"/>
        <w:framePr w:w="1483" w:h="240" w:hRule="exact" w:wrap="none" w:vAnchor="page" w:hAnchor="page" w:x="5247" w:y="1186"/>
        <w:jc w:val="center"/>
      </w:pPr>
      <w:r>
        <w:t>Smlouva o výpůjčce</w:t>
      </w:r>
    </w:p>
    <w:p w14:paraId="0E800085" w14:textId="77777777" w:rsidR="00EC1C40" w:rsidRDefault="00000000">
      <w:pPr>
        <w:pStyle w:val="Nadpis60"/>
        <w:framePr w:w="9134" w:h="13397" w:hRule="exact" w:wrap="none" w:vAnchor="page" w:hAnchor="page" w:x="1374" w:y="1940"/>
        <w:spacing w:after="120"/>
        <w:jc w:val="both"/>
      </w:pPr>
      <w:bookmarkStart w:id="74" w:name="bookmark149"/>
      <w:r>
        <w:t>Tuto smlouvu o výpůjčce uzavírají v souladu s příslušnými ustanoveními zákona č. 89/2012 Sb., občanského zákoníku (dále jen „Občanský zákoník“), níže uvedeného dne, měsíce a roku následující smluvní strany (dále jen „Smlouva“):</w:t>
      </w:r>
      <w:bookmarkEnd w:id="74"/>
    </w:p>
    <w:p w14:paraId="5FA0AC35" w14:textId="77777777" w:rsidR="00EC1C40" w:rsidRDefault="00000000">
      <w:pPr>
        <w:pStyle w:val="Zkladntext1"/>
        <w:framePr w:w="9134" w:h="13397" w:hRule="exact" w:wrap="none" w:vAnchor="page" w:hAnchor="page" w:x="1374" w:y="1940"/>
        <w:numPr>
          <w:ilvl w:val="0"/>
          <w:numId w:val="31"/>
        </w:numPr>
        <w:tabs>
          <w:tab w:val="left" w:pos="558"/>
        </w:tabs>
        <w:spacing w:after="120"/>
        <w:ind w:left="580" w:hanging="580"/>
        <w:jc w:val="both"/>
      </w:pPr>
      <w:r>
        <w:rPr>
          <w:b/>
          <w:bCs/>
        </w:rPr>
        <w:t>Statutární město Pardubice</w:t>
      </w:r>
      <w:r>
        <w:t xml:space="preserve">, IČ: 002 74 046, se sídlem Pernštýnské náměstí 1, Pardubice-Staré Město, 530 02 Pardubice, zastoupeno Bc. Janem </w:t>
      </w:r>
      <w:proofErr w:type="spellStart"/>
      <w:r>
        <w:t>Nadrchalem</w:t>
      </w:r>
      <w:proofErr w:type="spellEnd"/>
      <w:r>
        <w:t>, primátorem</w:t>
      </w:r>
    </w:p>
    <w:p w14:paraId="31FB4871" w14:textId="77777777" w:rsidR="00EC1C40" w:rsidRDefault="00000000">
      <w:pPr>
        <w:pStyle w:val="Zkladntext1"/>
        <w:framePr w:w="9134" w:h="13397" w:hRule="exact" w:wrap="none" w:vAnchor="page" w:hAnchor="page" w:x="1374" w:y="1940"/>
        <w:spacing w:after="200"/>
        <w:ind w:firstLine="580"/>
      </w:pPr>
      <w:r>
        <w:t>(dále jen „</w:t>
      </w:r>
      <w:r>
        <w:rPr>
          <w:b/>
          <w:bCs/>
        </w:rPr>
        <w:t>SMP</w:t>
      </w:r>
      <w:r>
        <w:t>“)</w:t>
      </w:r>
    </w:p>
    <w:p w14:paraId="1016F311" w14:textId="77777777" w:rsidR="00EC1C40" w:rsidRDefault="00000000">
      <w:pPr>
        <w:pStyle w:val="Zkladntext1"/>
        <w:framePr w:w="9134" w:h="13397" w:hRule="exact" w:wrap="none" w:vAnchor="page" w:hAnchor="page" w:x="1374" w:y="1940"/>
        <w:spacing w:after="200"/>
        <w:ind w:firstLine="580"/>
      </w:pPr>
      <w:r>
        <w:t>a</w:t>
      </w:r>
    </w:p>
    <w:p w14:paraId="5B7788C0" w14:textId="77777777" w:rsidR="00EC1C40" w:rsidRDefault="00000000">
      <w:pPr>
        <w:pStyle w:val="Zkladntext1"/>
        <w:framePr w:w="9134" w:h="13397" w:hRule="exact" w:wrap="none" w:vAnchor="page" w:hAnchor="page" w:x="1374" w:y="1940"/>
        <w:numPr>
          <w:ilvl w:val="0"/>
          <w:numId w:val="31"/>
        </w:numPr>
        <w:tabs>
          <w:tab w:val="left" w:pos="558"/>
        </w:tabs>
        <w:spacing w:after="120"/>
        <w:ind w:left="580" w:hanging="580"/>
        <w:jc w:val="both"/>
      </w:pPr>
      <w:r>
        <w:rPr>
          <w:b/>
          <w:bCs/>
        </w:rPr>
        <w:t>MHAP s.r.o.</w:t>
      </w:r>
      <w:r>
        <w:t xml:space="preserve">, IČ: 175 44 661, se sídlem Olbrachtova 1980/5, Krč, 140 00 Praha 4, zapsaná v obchodním rejstříku vedeném Městským soudem v Praze pod </w:t>
      </w:r>
      <w:proofErr w:type="spellStart"/>
      <w:r>
        <w:t>sp</w:t>
      </w:r>
      <w:proofErr w:type="spellEnd"/>
      <w:r>
        <w:t>. zn. C 372943, zastoupená panem Petrem Dědkem, jednatelem</w:t>
      </w:r>
    </w:p>
    <w:p w14:paraId="13C602B9" w14:textId="77777777" w:rsidR="00EC1C40" w:rsidRDefault="00000000">
      <w:pPr>
        <w:pStyle w:val="Zkladntext1"/>
        <w:framePr w:w="9134" w:h="13397" w:hRule="exact" w:wrap="none" w:vAnchor="page" w:hAnchor="page" w:x="1374" w:y="1940"/>
        <w:spacing w:after="120"/>
        <w:ind w:firstLine="580"/>
      </w:pPr>
      <w:r>
        <w:t>(dále jen „</w:t>
      </w:r>
      <w:r>
        <w:rPr>
          <w:b/>
          <w:bCs/>
        </w:rPr>
        <w:t>Investor</w:t>
      </w:r>
      <w:r>
        <w:t>“)</w:t>
      </w:r>
    </w:p>
    <w:p w14:paraId="2E6325EF" w14:textId="77777777" w:rsidR="00EC1C40" w:rsidRDefault="00000000">
      <w:pPr>
        <w:pStyle w:val="Zkladntext1"/>
        <w:framePr w:w="9134" w:h="13397" w:hRule="exact" w:wrap="none" w:vAnchor="page" w:hAnchor="page" w:x="1374" w:y="1940"/>
        <w:spacing w:after="120"/>
        <w:ind w:firstLine="580"/>
      </w:pPr>
      <w:r>
        <w:t>(SMP a Investor dále společně jako „</w:t>
      </w:r>
      <w:r>
        <w:rPr>
          <w:b/>
          <w:bCs/>
        </w:rPr>
        <w:t>Smluvní strany</w:t>
      </w:r>
      <w:r>
        <w:t>“ a jednotlivě „</w:t>
      </w:r>
      <w:r>
        <w:rPr>
          <w:b/>
          <w:bCs/>
        </w:rPr>
        <w:t>Smluvní strana</w:t>
      </w:r>
      <w:r>
        <w:t>“)</w:t>
      </w:r>
    </w:p>
    <w:p w14:paraId="2CB31A8A" w14:textId="77777777" w:rsidR="00EC1C40" w:rsidRDefault="00000000">
      <w:pPr>
        <w:pStyle w:val="Nadpis60"/>
        <w:framePr w:w="9134" w:h="13397" w:hRule="exact" w:wrap="none" w:vAnchor="page" w:hAnchor="page" w:x="1374" w:y="1940"/>
        <w:spacing w:after="120"/>
      </w:pPr>
      <w:bookmarkStart w:id="75" w:name="bookmark151"/>
      <w:r>
        <w:t>VZHLEDEM K TOMU, ŽE:</w:t>
      </w:r>
      <w:bookmarkEnd w:id="75"/>
    </w:p>
    <w:p w14:paraId="6E0DFC5E" w14:textId="77777777" w:rsidR="00EC1C40" w:rsidRDefault="00000000">
      <w:pPr>
        <w:pStyle w:val="Zkladntext1"/>
        <w:framePr w:w="9134" w:h="13397" w:hRule="exact" w:wrap="none" w:vAnchor="page" w:hAnchor="page" w:x="1374" w:y="1940"/>
        <w:numPr>
          <w:ilvl w:val="0"/>
          <w:numId w:val="32"/>
        </w:numPr>
        <w:tabs>
          <w:tab w:val="left" w:pos="558"/>
        </w:tabs>
        <w:spacing w:after="120"/>
        <w:ind w:left="580" w:hanging="580"/>
        <w:jc w:val="both"/>
      </w:pPr>
      <w:r>
        <w:t>Investor zamýšlí realizovat na území Statutárního města Pardubice projekt multifunkční hokejové arény sestávající se z (i) vlastní multifunkční arény, (</w:t>
      </w:r>
      <w:proofErr w:type="spellStart"/>
      <w:r>
        <w:t>ii</w:t>
      </w:r>
      <w:proofErr w:type="spellEnd"/>
      <w:r>
        <w:t>) tréninkové haly, (</w:t>
      </w:r>
      <w:proofErr w:type="spellStart"/>
      <w:r>
        <w:t>iii</w:t>
      </w:r>
      <w:proofErr w:type="spellEnd"/>
      <w:r>
        <w:t>) hotelu, (</w:t>
      </w:r>
      <w:proofErr w:type="spellStart"/>
      <w:r>
        <w:t>iv</w:t>
      </w:r>
      <w:proofErr w:type="spellEnd"/>
      <w:r>
        <w:t>) parkovacího domu, (v) showroomu, to vše včetně příslušné infrastruktury investičního záměru (dále jen „</w:t>
      </w:r>
      <w:r>
        <w:rPr>
          <w:b/>
          <w:bCs/>
        </w:rPr>
        <w:t>Investiční záměr</w:t>
      </w:r>
      <w:r>
        <w:t>“);</w:t>
      </w:r>
    </w:p>
    <w:p w14:paraId="299792FE" w14:textId="77777777" w:rsidR="00EC1C40" w:rsidRDefault="00000000">
      <w:pPr>
        <w:pStyle w:val="Zkladntext1"/>
        <w:framePr w:w="9134" w:h="13397" w:hRule="exact" w:wrap="none" w:vAnchor="page" w:hAnchor="page" w:x="1374" w:y="1940"/>
        <w:numPr>
          <w:ilvl w:val="0"/>
          <w:numId w:val="32"/>
        </w:numPr>
        <w:tabs>
          <w:tab w:val="left" w:pos="558"/>
        </w:tabs>
        <w:spacing w:after="120"/>
        <w:ind w:left="580" w:hanging="580"/>
        <w:jc w:val="both"/>
      </w:pPr>
      <w:r>
        <w:t>Smluvní strany spolu s touto Smlouvou uzavírají plánovací smlouvu (dále jen „</w:t>
      </w:r>
      <w:r>
        <w:rPr>
          <w:b/>
          <w:bCs/>
        </w:rPr>
        <w:t>Plánovací smlouva</w:t>
      </w:r>
      <w:r>
        <w:t>“), na základě které se Smluvní strany zavážou vzájemně spolupracovat za podmínek dohodnutých v rámci Plánovací smlouvy při výstavbě Investičního záměru;</w:t>
      </w:r>
    </w:p>
    <w:p w14:paraId="36EEE308" w14:textId="77777777" w:rsidR="00EC1C40" w:rsidRDefault="00000000">
      <w:pPr>
        <w:pStyle w:val="Zkladntext1"/>
        <w:framePr w:w="9134" w:h="13397" w:hRule="exact" w:wrap="none" w:vAnchor="page" w:hAnchor="page" w:x="1374" w:y="1940"/>
        <w:numPr>
          <w:ilvl w:val="0"/>
          <w:numId w:val="32"/>
        </w:numPr>
        <w:tabs>
          <w:tab w:val="left" w:pos="558"/>
        </w:tabs>
        <w:spacing w:after="120"/>
        <w:ind w:left="580" w:hanging="580"/>
        <w:jc w:val="both"/>
      </w:pPr>
      <w:r>
        <w:t>Jednou z oblastí spolupráce v rámci Plánovací smlouvy je i výstavba veřejné infrastruktury definované v rámci Plánovací smlouvy, kterou bude realizovat v souladu s předpoklady uvedenými v Plánovací smlouvě Investor;</w:t>
      </w:r>
    </w:p>
    <w:p w14:paraId="05886BB2" w14:textId="77777777" w:rsidR="00EC1C40" w:rsidRDefault="00000000">
      <w:pPr>
        <w:pStyle w:val="Zkladntext1"/>
        <w:framePr w:w="9134" w:h="13397" w:hRule="exact" w:wrap="none" w:vAnchor="page" w:hAnchor="page" w:x="1374" w:y="1940"/>
        <w:numPr>
          <w:ilvl w:val="0"/>
          <w:numId w:val="32"/>
        </w:numPr>
        <w:tabs>
          <w:tab w:val="left" w:pos="558"/>
        </w:tabs>
        <w:spacing w:after="120"/>
        <w:ind w:left="580" w:hanging="580"/>
        <w:jc w:val="both"/>
      </w:pPr>
      <w:r>
        <w:t xml:space="preserve">K realizaci Investičního záměru, včetně výstavby veřejné infrastruktury související s Investičním záměrem, je nezbytné, aby SMP poskytlo Investorovi součinnost k této výstavbě, a to mimo jiné i umožněním dočasného bezplatného užívání Předmětu výpůjčky </w:t>
      </w:r>
      <w:r>
        <w:rPr>
          <w:i/>
          <w:iCs/>
        </w:rPr>
        <w:t>(jak je tento pojem definován v této Smlouvě)</w:t>
      </w:r>
      <w:r>
        <w:t>;</w:t>
      </w:r>
    </w:p>
    <w:p w14:paraId="5D985192" w14:textId="77777777" w:rsidR="00EC1C40" w:rsidRDefault="00000000">
      <w:pPr>
        <w:pStyle w:val="Zkladntext1"/>
        <w:framePr w:w="9134" w:h="13397" w:hRule="exact" w:wrap="none" w:vAnchor="page" w:hAnchor="page" w:x="1374" w:y="1940"/>
        <w:numPr>
          <w:ilvl w:val="0"/>
          <w:numId w:val="32"/>
        </w:numPr>
        <w:tabs>
          <w:tab w:val="left" w:pos="558"/>
          <w:tab w:val="left" w:pos="571"/>
        </w:tabs>
        <w:spacing w:after="0"/>
      </w:pPr>
      <w:r>
        <w:t>Smluvní strany uzavírají spolu s touto Smlouvou mezi sebou dále dohodu o úpravě vztahů (dále</w:t>
      </w:r>
    </w:p>
    <w:p w14:paraId="377E39F0" w14:textId="77777777" w:rsidR="00EC1C40" w:rsidRDefault="00000000">
      <w:pPr>
        <w:pStyle w:val="Zkladntext1"/>
        <w:framePr w:w="9134" w:h="13397" w:hRule="exact" w:wrap="none" w:vAnchor="page" w:hAnchor="page" w:x="1374" w:y="1940"/>
        <w:spacing w:after="120"/>
        <w:ind w:left="580"/>
        <w:jc w:val="both"/>
      </w:pPr>
      <w:r>
        <w:t>jen „</w:t>
      </w:r>
      <w:r>
        <w:rPr>
          <w:b/>
          <w:bCs/>
        </w:rPr>
        <w:t>Dohoda o úpravě vztahů</w:t>
      </w:r>
      <w:r>
        <w:t xml:space="preserve">“), v rámci které Smluvní strany sjednávají práva a povinnosti týkající se procesu Odstranění odpadů a znečištění </w:t>
      </w:r>
      <w:r>
        <w:rPr>
          <w:i/>
          <w:iCs/>
        </w:rPr>
        <w:t>(jak je tento pojem definován v Dohodě o úpravě vztahů)</w:t>
      </w:r>
      <w:r>
        <w:t>;</w:t>
      </w:r>
    </w:p>
    <w:p w14:paraId="0081753F" w14:textId="77777777" w:rsidR="00EC1C40" w:rsidRDefault="00000000">
      <w:pPr>
        <w:pStyle w:val="Nadpis60"/>
        <w:framePr w:w="9134" w:h="13397" w:hRule="exact" w:wrap="none" w:vAnchor="page" w:hAnchor="page" w:x="1374" w:y="1940"/>
        <w:spacing w:after="120"/>
      </w:pPr>
      <w:bookmarkStart w:id="76" w:name="bookmark153"/>
      <w:r>
        <w:t>DOHODLY SE SMLUVNÍ STRANY NA NÁSLEDUJÍCÍM:</w:t>
      </w:r>
      <w:bookmarkEnd w:id="76"/>
    </w:p>
    <w:p w14:paraId="017BA930" w14:textId="77777777" w:rsidR="00EC1C40" w:rsidRDefault="00000000">
      <w:pPr>
        <w:pStyle w:val="Nadpis60"/>
        <w:framePr w:w="9134" w:h="13397" w:hRule="exact" w:wrap="none" w:vAnchor="page" w:hAnchor="page" w:x="1374" w:y="1940"/>
        <w:numPr>
          <w:ilvl w:val="0"/>
          <w:numId w:val="33"/>
        </w:numPr>
        <w:tabs>
          <w:tab w:val="left" w:pos="558"/>
        </w:tabs>
        <w:spacing w:after="120"/>
      </w:pPr>
      <w:bookmarkStart w:id="77" w:name="bookmark155"/>
      <w:r>
        <w:t>Předmět Smlouvy</w:t>
      </w:r>
      <w:bookmarkEnd w:id="77"/>
    </w:p>
    <w:p w14:paraId="00164BDE" w14:textId="77777777" w:rsidR="00EC1C40" w:rsidRDefault="00000000">
      <w:pPr>
        <w:pStyle w:val="Zkladntext1"/>
        <w:framePr w:w="9134" w:h="13397" w:hRule="exact" w:wrap="none" w:vAnchor="page" w:hAnchor="page" w:x="1374" w:y="1940"/>
        <w:numPr>
          <w:ilvl w:val="1"/>
          <w:numId w:val="33"/>
        </w:numPr>
        <w:tabs>
          <w:tab w:val="left" w:pos="558"/>
        </w:tabs>
        <w:spacing w:after="120"/>
      </w:pPr>
      <w:r>
        <w:t xml:space="preserve">SMP je výlučným vlastníkem níže uvedených pozemků </w:t>
      </w:r>
      <w:proofErr w:type="spellStart"/>
      <w:r>
        <w:t>parc</w:t>
      </w:r>
      <w:proofErr w:type="spellEnd"/>
      <w:r>
        <w:t>. č.:</w:t>
      </w:r>
    </w:p>
    <w:p w14:paraId="72692FD0" w14:textId="77777777" w:rsidR="00EC1C40" w:rsidRDefault="00000000">
      <w:pPr>
        <w:pStyle w:val="Zkladntext1"/>
        <w:framePr w:w="9134" w:h="13397" w:hRule="exact" w:wrap="none" w:vAnchor="page" w:hAnchor="page" w:x="1374" w:y="1940"/>
        <w:numPr>
          <w:ilvl w:val="2"/>
          <w:numId w:val="33"/>
        </w:numPr>
        <w:tabs>
          <w:tab w:val="left" w:pos="1290"/>
        </w:tabs>
        <w:spacing w:after="120"/>
        <w:ind w:firstLine="580"/>
      </w:pPr>
      <w:r>
        <w:t>1575;</w:t>
      </w:r>
    </w:p>
    <w:p w14:paraId="485C3DE9" w14:textId="77777777" w:rsidR="00EC1C40" w:rsidRDefault="00000000">
      <w:pPr>
        <w:pStyle w:val="Zkladntext1"/>
        <w:framePr w:w="9134" w:h="13397" w:hRule="exact" w:wrap="none" w:vAnchor="page" w:hAnchor="page" w:x="1374" w:y="1940"/>
        <w:numPr>
          <w:ilvl w:val="2"/>
          <w:numId w:val="33"/>
        </w:numPr>
        <w:tabs>
          <w:tab w:val="left" w:pos="1290"/>
        </w:tabs>
        <w:spacing w:after="120"/>
        <w:ind w:firstLine="580"/>
      </w:pPr>
      <w:r>
        <w:t>2678/1;</w:t>
      </w:r>
    </w:p>
    <w:p w14:paraId="15BFFB20" w14:textId="77777777" w:rsidR="00EC1C40" w:rsidRDefault="00000000">
      <w:pPr>
        <w:pStyle w:val="Zkladntext1"/>
        <w:framePr w:w="9134" w:h="13397" w:hRule="exact" w:wrap="none" w:vAnchor="page" w:hAnchor="page" w:x="1374" w:y="1940"/>
        <w:numPr>
          <w:ilvl w:val="2"/>
          <w:numId w:val="33"/>
        </w:numPr>
        <w:tabs>
          <w:tab w:val="left" w:pos="1290"/>
        </w:tabs>
        <w:spacing w:after="120"/>
        <w:ind w:firstLine="580"/>
      </w:pPr>
      <w:r>
        <w:t>3615/1;</w:t>
      </w:r>
    </w:p>
    <w:p w14:paraId="0111A830" w14:textId="77777777" w:rsidR="00EC1C40" w:rsidRDefault="00000000">
      <w:pPr>
        <w:pStyle w:val="Zkladntext1"/>
        <w:framePr w:w="9134" w:h="13397" w:hRule="exact" w:wrap="none" w:vAnchor="page" w:hAnchor="page" w:x="1374" w:y="1940"/>
        <w:numPr>
          <w:ilvl w:val="2"/>
          <w:numId w:val="33"/>
        </w:numPr>
        <w:tabs>
          <w:tab w:val="left" w:pos="1290"/>
        </w:tabs>
        <w:spacing w:after="120"/>
        <w:ind w:firstLine="580"/>
      </w:pPr>
      <w:r>
        <w:t>3615/2;</w:t>
      </w:r>
    </w:p>
    <w:p w14:paraId="1D6DD756" w14:textId="77777777" w:rsidR="00EC1C40" w:rsidRDefault="00000000">
      <w:pPr>
        <w:pStyle w:val="Zkladntext1"/>
        <w:framePr w:w="9134" w:h="13397" w:hRule="exact" w:wrap="none" w:vAnchor="page" w:hAnchor="page" w:x="1374" w:y="1940"/>
        <w:numPr>
          <w:ilvl w:val="2"/>
          <w:numId w:val="33"/>
        </w:numPr>
        <w:tabs>
          <w:tab w:val="left" w:pos="1290"/>
        </w:tabs>
        <w:spacing w:after="120"/>
        <w:ind w:firstLine="580"/>
      </w:pPr>
      <w:r>
        <w:t>3618/4;</w:t>
      </w:r>
    </w:p>
    <w:p w14:paraId="19EAC3EE" w14:textId="77777777" w:rsidR="00EC1C40" w:rsidRDefault="00000000">
      <w:pPr>
        <w:pStyle w:val="Zkladntext1"/>
        <w:framePr w:w="9134" w:h="13397" w:hRule="exact" w:wrap="none" w:vAnchor="page" w:hAnchor="page" w:x="1374" w:y="1940"/>
        <w:numPr>
          <w:ilvl w:val="2"/>
          <w:numId w:val="33"/>
        </w:numPr>
        <w:tabs>
          <w:tab w:val="left" w:pos="1290"/>
        </w:tabs>
        <w:spacing w:after="0"/>
        <w:ind w:firstLine="580"/>
      </w:pPr>
      <w:r>
        <w:t>3618/5;</w:t>
      </w:r>
    </w:p>
    <w:p w14:paraId="5E6B3D97" w14:textId="77777777" w:rsidR="00EC1C40" w:rsidRDefault="00000000">
      <w:pPr>
        <w:pStyle w:val="Zhlavnebozpat0"/>
        <w:framePr w:wrap="none" w:vAnchor="page" w:hAnchor="page" w:x="5713" w:y="16085"/>
        <w:rPr>
          <w:sz w:val="22"/>
          <w:szCs w:val="22"/>
        </w:rPr>
      </w:pPr>
      <w:r>
        <w:rPr>
          <w:color w:val="231E20"/>
          <w:sz w:val="22"/>
          <w:szCs w:val="22"/>
        </w:rPr>
        <w:t>2/14</w:t>
      </w:r>
    </w:p>
    <w:p w14:paraId="5326ADEC"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0DEB13A6" w14:textId="77777777" w:rsidR="00EC1C40" w:rsidRDefault="00000000">
      <w:pPr>
        <w:spacing w:line="1" w:lineRule="exact"/>
      </w:pPr>
      <w:r>
        <w:rPr>
          <w:noProof/>
        </w:rPr>
        <w:lastRenderedPageBreak/>
        <mc:AlternateContent>
          <mc:Choice Requires="wps">
            <w:drawing>
              <wp:anchor distT="0" distB="0" distL="114300" distR="114300" simplePos="0" relativeHeight="251695616" behindDoc="1" locked="0" layoutInCell="1" allowOverlap="1" wp14:anchorId="051000C9" wp14:editId="51FAD2F2">
                <wp:simplePos x="0" y="0"/>
                <wp:positionH relativeFrom="page">
                  <wp:posOffset>948055</wp:posOffset>
                </wp:positionH>
                <wp:positionV relativeFrom="page">
                  <wp:posOffset>932180</wp:posOffset>
                </wp:positionV>
                <wp:extent cx="5702300" cy="0"/>
                <wp:effectExtent l="0" t="0" r="0" b="0"/>
                <wp:wrapNone/>
                <wp:docPr id="112" name="Shape 112"/>
                <wp:cNvGraphicFramePr/>
                <a:graphic xmlns:a="http://schemas.openxmlformats.org/drawingml/2006/main">
                  <a:graphicData uri="http://schemas.microsoft.com/office/word/2010/wordprocessingShape">
                    <wps:wsp>
                      <wps:cNvCnPr/>
                      <wps:spPr>
                        <a:xfrm>
                          <a:off x="0" y="0"/>
                          <a:ext cx="5702300" cy="0"/>
                        </a:xfrm>
                        <a:prstGeom prst="straightConnector1">
                          <a:avLst/>
                        </a:prstGeom>
                        <a:ln w="6350">
                          <a:solidFill/>
                        </a:ln>
                      </wps:spPr>
                      <wps:bodyPr/>
                    </wps:wsp>
                  </a:graphicData>
                </a:graphic>
              </wp:anchor>
            </w:drawing>
          </mc:Choice>
          <mc:Fallback>
            <w:pict>
              <v:shape o:spt="32" o:oned="true" path="m,l21600,21600e" style="position:absolute;margin-left:74.650000000000006pt;margin-top:73.400000000000006pt;width:449.pt;height:0;z-index:-251658240;mso-position-horizontal-relative:page;mso-position-vertical-relative:page">
                <v:stroke weight="0.5pt"/>
              </v:shape>
            </w:pict>
          </mc:Fallback>
        </mc:AlternateContent>
      </w:r>
    </w:p>
    <w:p w14:paraId="0E5D83C6" w14:textId="77777777" w:rsidR="00EC1C40" w:rsidRDefault="00000000">
      <w:pPr>
        <w:pStyle w:val="Zhlavnebozpat0"/>
        <w:framePr w:w="1483" w:h="240" w:hRule="exact" w:wrap="none" w:vAnchor="page" w:hAnchor="page" w:x="5247" w:y="1186"/>
        <w:jc w:val="center"/>
      </w:pPr>
      <w:r>
        <w:t>Smlouva o výpůjčce</w:t>
      </w:r>
    </w:p>
    <w:p w14:paraId="34950CCF" w14:textId="77777777" w:rsidR="00EC1C40" w:rsidRDefault="00000000">
      <w:pPr>
        <w:pStyle w:val="Zkladntext1"/>
        <w:framePr w:w="9134" w:h="13618" w:hRule="exact" w:wrap="none" w:vAnchor="page" w:hAnchor="page" w:x="1374" w:y="1940"/>
        <w:numPr>
          <w:ilvl w:val="2"/>
          <w:numId w:val="33"/>
        </w:numPr>
        <w:tabs>
          <w:tab w:val="left" w:pos="1290"/>
        </w:tabs>
        <w:ind w:firstLine="580"/>
      </w:pPr>
      <w:r>
        <w:t>3619/1;</w:t>
      </w:r>
    </w:p>
    <w:p w14:paraId="55193EC9" w14:textId="77777777" w:rsidR="00EC1C40" w:rsidRDefault="00000000">
      <w:pPr>
        <w:pStyle w:val="Zkladntext1"/>
        <w:framePr w:w="9134" w:h="13618" w:hRule="exact" w:wrap="none" w:vAnchor="page" w:hAnchor="page" w:x="1374" w:y="1940"/>
        <w:numPr>
          <w:ilvl w:val="2"/>
          <w:numId w:val="33"/>
        </w:numPr>
        <w:tabs>
          <w:tab w:val="left" w:pos="1290"/>
        </w:tabs>
        <w:ind w:firstLine="580"/>
      </w:pPr>
      <w:r>
        <w:t>3684/6;</w:t>
      </w:r>
    </w:p>
    <w:p w14:paraId="448A79D7" w14:textId="77777777" w:rsidR="00EC1C40" w:rsidRDefault="00000000">
      <w:pPr>
        <w:pStyle w:val="Zkladntext1"/>
        <w:framePr w:w="9134" w:h="13618" w:hRule="exact" w:wrap="none" w:vAnchor="page" w:hAnchor="page" w:x="1374" w:y="1940"/>
        <w:numPr>
          <w:ilvl w:val="2"/>
          <w:numId w:val="33"/>
        </w:numPr>
        <w:tabs>
          <w:tab w:val="left" w:pos="1290"/>
        </w:tabs>
        <w:ind w:firstLine="580"/>
      </w:pPr>
      <w:r>
        <w:t>3684/7;</w:t>
      </w:r>
    </w:p>
    <w:p w14:paraId="0F70F843" w14:textId="77777777" w:rsidR="00EC1C40" w:rsidRDefault="00000000">
      <w:pPr>
        <w:pStyle w:val="Zkladntext1"/>
        <w:framePr w:w="9134" w:h="13618" w:hRule="exact" w:wrap="none" w:vAnchor="page" w:hAnchor="page" w:x="1374" w:y="1940"/>
        <w:numPr>
          <w:ilvl w:val="2"/>
          <w:numId w:val="33"/>
        </w:numPr>
        <w:tabs>
          <w:tab w:val="left" w:pos="1356"/>
        </w:tabs>
        <w:ind w:firstLine="580"/>
      </w:pPr>
      <w:r>
        <w:t>4286/1;</w:t>
      </w:r>
    </w:p>
    <w:p w14:paraId="7BF0DCEE" w14:textId="77777777" w:rsidR="00EC1C40" w:rsidRDefault="00000000">
      <w:pPr>
        <w:pStyle w:val="Zkladntext1"/>
        <w:framePr w:w="9134" w:h="13618" w:hRule="exact" w:wrap="none" w:vAnchor="page" w:hAnchor="page" w:x="1374" w:y="1940"/>
        <w:numPr>
          <w:ilvl w:val="2"/>
          <w:numId w:val="33"/>
        </w:numPr>
        <w:tabs>
          <w:tab w:val="left" w:pos="1356"/>
        </w:tabs>
        <w:ind w:firstLine="580"/>
      </w:pPr>
      <w:r>
        <w:t>4286/4;</w:t>
      </w:r>
    </w:p>
    <w:p w14:paraId="6258984F" w14:textId="77777777" w:rsidR="00EC1C40" w:rsidRDefault="00000000">
      <w:pPr>
        <w:pStyle w:val="Zkladntext1"/>
        <w:framePr w:w="9134" w:h="13618" w:hRule="exact" w:wrap="none" w:vAnchor="page" w:hAnchor="page" w:x="1374" w:y="1940"/>
        <w:numPr>
          <w:ilvl w:val="2"/>
          <w:numId w:val="33"/>
        </w:numPr>
        <w:tabs>
          <w:tab w:val="left" w:pos="1356"/>
        </w:tabs>
        <w:ind w:firstLine="580"/>
      </w:pPr>
      <w:r>
        <w:t>4300;</w:t>
      </w:r>
    </w:p>
    <w:p w14:paraId="7BD806A8" w14:textId="77777777" w:rsidR="00EC1C40" w:rsidRDefault="00000000">
      <w:pPr>
        <w:pStyle w:val="Zkladntext1"/>
        <w:framePr w:w="9134" w:h="13618" w:hRule="exact" w:wrap="none" w:vAnchor="page" w:hAnchor="page" w:x="1374" w:y="1940"/>
        <w:numPr>
          <w:ilvl w:val="2"/>
          <w:numId w:val="33"/>
        </w:numPr>
        <w:tabs>
          <w:tab w:val="left" w:pos="1356"/>
        </w:tabs>
        <w:ind w:firstLine="580"/>
      </w:pPr>
      <w:r>
        <w:t>4323/5;</w:t>
      </w:r>
    </w:p>
    <w:p w14:paraId="298453D1" w14:textId="77777777" w:rsidR="00EC1C40" w:rsidRDefault="00000000">
      <w:pPr>
        <w:pStyle w:val="Zkladntext1"/>
        <w:framePr w:w="9134" w:h="13618" w:hRule="exact" w:wrap="none" w:vAnchor="page" w:hAnchor="page" w:x="1374" w:y="1940"/>
        <w:numPr>
          <w:ilvl w:val="2"/>
          <w:numId w:val="33"/>
        </w:numPr>
        <w:tabs>
          <w:tab w:val="left" w:pos="1356"/>
        </w:tabs>
        <w:ind w:firstLine="580"/>
      </w:pPr>
      <w:r>
        <w:t>5162/27;</w:t>
      </w:r>
    </w:p>
    <w:p w14:paraId="54904B45" w14:textId="77777777" w:rsidR="00EC1C40" w:rsidRDefault="00000000">
      <w:pPr>
        <w:pStyle w:val="Zkladntext1"/>
        <w:framePr w:w="9134" w:h="13618" w:hRule="exact" w:wrap="none" w:vAnchor="page" w:hAnchor="page" w:x="1374" w:y="1940"/>
        <w:numPr>
          <w:ilvl w:val="2"/>
          <w:numId w:val="33"/>
        </w:numPr>
        <w:tabs>
          <w:tab w:val="left" w:pos="1356"/>
        </w:tabs>
        <w:ind w:firstLine="580"/>
      </w:pPr>
      <w:r>
        <w:t>5207/12;</w:t>
      </w:r>
    </w:p>
    <w:p w14:paraId="3EA487CF" w14:textId="77777777" w:rsidR="00EC1C40" w:rsidRDefault="00000000">
      <w:pPr>
        <w:pStyle w:val="Zkladntext1"/>
        <w:framePr w:w="9134" w:h="13618" w:hRule="exact" w:wrap="none" w:vAnchor="page" w:hAnchor="page" w:x="1374" w:y="1940"/>
        <w:numPr>
          <w:ilvl w:val="2"/>
          <w:numId w:val="33"/>
        </w:numPr>
        <w:tabs>
          <w:tab w:val="left" w:pos="1356"/>
        </w:tabs>
        <w:ind w:firstLine="580"/>
      </w:pPr>
      <w:r>
        <w:t>5207/13;</w:t>
      </w:r>
    </w:p>
    <w:p w14:paraId="48FADFB3" w14:textId="77777777" w:rsidR="00EC1C40" w:rsidRDefault="00000000">
      <w:pPr>
        <w:pStyle w:val="Zkladntext1"/>
        <w:framePr w:w="9134" w:h="13618" w:hRule="exact" w:wrap="none" w:vAnchor="page" w:hAnchor="page" w:x="1374" w:y="1940"/>
        <w:numPr>
          <w:ilvl w:val="2"/>
          <w:numId w:val="33"/>
        </w:numPr>
        <w:tabs>
          <w:tab w:val="left" w:pos="1356"/>
        </w:tabs>
        <w:ind w:firstLine="580"/>
      </w:pPr>
      <w:r>
        <w:t>5207/14;</w:t>
      </w:r>
    </w:p>
    <w:p w14:paraId="5B64A526" w14:textId="77777777" w:rsidR="00EC1C40" w:rsidRDefault="00000000">
      <w:pPr>
        <w:pStyle w:val="Zkladntext1"/>
        <w:framePr w:w="9134" w:h="13618" w:hRule="exact" w:wrap="none" w:vAnchor="page" w:hAnchor="page" w:x="1374" w:y="1940"/>
        <w:numPr>
          <w:ilvl w:val="2"/>
          <w:numId w:val="33"/>
        </w:numPr>
        <w:tabs>
          <w:tab w:val="left" w:pos="1356"/>
        </w:tabs>
        <w:ind w:firstLine="580"/>
      </w:pPr>
      <w:r>
        <w:t>5207/15;</w:t>
      </w:r>
    </w:p>
    <w:p w14:paraId="3F209BD0" w14:textId="77777777" w:rsidR="00EC1C40" w:rsidRDefault="00000000">
      <w:pPr>
        <w:pStyle w:val="Zkladntext1"/>
        <w:framePr w:w="9134" w:h="13618" w:hRule="exact" w:wrap="none" w:vAnchor="page" w:hAnchor="page" w:x="1374" w:y="1940"/>
        <w:numPr>
          <w:ilvl w:val="2"/>
          <w:numId w:val="33"/>
        </w:numPr>
        <w:tabs>
          <w:tab w:val="left" w:pos="1356"/>
        </w:tabs>
        <w:ind w:firstLine="580"/>
      </w:pPr>
      <w:r>
        <w:t>5207/16;</w:t>
      </w:r>
    </w:p>
    <w:p w14:paraId="610661D0" w14:textId="77777777" w:rsidR="00EC1C40" w:rsidRDefault="00000000">
      <w:pPr>
        <w:pStyle w:val="Zkladntext1"/>
        <w:framePr w:w="9134" w:h="13618" w:hRule="exact" w:wrap="none" w:vAnchor="page" w:hAnchor="page" w:x="1374" w:y="1940"/>
        <w:ind w:firstLine="580"/>
      </w:pPr>
      <w:r>
        <w:t xml:space="preserve">vše v </w:t>
      </w:r>
      <w:proofErr w:type="spellStart"/>
      <w:r>
        <w:t>k.ú</w:t>
      </w:r>
      <w:proofErr w:type="spellEnd"/>
      <w:r>
        <w:t>. Pardubice.</w:t>
      </w:r>
    </w:p>
    <w:p w14:paraId="4CE34DF1" w14:textId="77777777" w:rsidR="00EC1C40" w:rsidRDefault="00000000">
      <w:pPr>
        <w:pStyle w:val="Zkladntext1"/>
        <w:framePr w:w="9134" w:h="13618" w:hRule="exact" w:wrap="none" w:vAnchor="page" w:hAnchor="page" w:x="1374" w:y="1940"/>
        <w:numPr>
          <w:ilvl w:val="1"/>
          <w:numId w:val="33"/>
        </w:numPr>
        <w:tabs>
          <w:tab w:val="left" w:pos="552"/>
        </w:tabs>
        <w:spacing w:after="220"/>
        <w:ind w:left="580" w:hanging="580"/>
      </w:pPr>
      <w:r>
        <w:t>Předmětem výpůjčky dle této Smlouvy jsou následující nemovité věci (respektive jejich uvedené části):</w:t>
      </w:r>
    </w:p>
    <w:p w14:paraId="4731E72C" w14:textId="77777777" w:rsidR="00EC1C40" w:rsidRDefault="00000000">
      <w:pPr>
        <w:pStyle w:val="Zkladntext1"/>
        <w:framePr w:w="9134" w:h="13618" w:hRule="exact" w:wrap="none" w:vAnchor="page" w:hAnchor="page" w:x="1374" w:y="1940"/>
        <w:numPr>
          <w:ilvl w:val="2"/>
          <w:numId w:val="33"/>
        </w:numPr>
        <w:tabs>
          <w:tab w:val="left" w:pos="1290"/>
        </w:tabs>
        <w:spacing w:after="220"/>
        <w:ind w:firstLine="580"/>
        <w:jc w:val="both"/>
      </w:pPr>
      <w:r>
        <w:t>pozemky (v celé jejich výměře):</w:t>
      </w:r>
    </w:p>
    <w:p w14:paraId="607E6DE8" w14:textId="77777777" w:rsidR="00EC1C40" w:rsidRDefault="00000000">
      <w:pPr>
        <w:pStyle w:val="Zkladntext1"/>
        <w:framePr w:w="9134" w:h="13618" w:hRule="exact" w:wrap="none" w:vAnchor="page" w:hAnchor="page" w:x="1374" w:y="1940"/>
        <w:numPr>
          <w:ilvl w:val="3"/>
          <w:numId w:val="33"/>
        </w:numPr>
        <w:tabs>
          <w:tab w:val="left" w:pos="2134"/>
        </w:tabs>
        <w:spacing w:after="220"/>
        <w:ind w:left="1300"/>
      </w:pPr>
      <w:proofErr w:type="spellStart"/>
      <w:r>
        <w:t>parc</w:t>
      </w:r>
      <w:proofErr w:type="spellEnd"/>
      <w:r>
        <w:t>. č. 1575, o výměře 3817 m</w:t>
      </w:r>
      <w:r>
        <w:rPr>
          <w:vertAlign w:val="superscript"/>
        </w:rPr>
        <w:t>2</w:t>
      </w:r>
      <w:r>
        <w:t>;</w:t>
      </w:r>
    </w:p>
    <w:p w14:paraId="6D4B3ED6" w14:textId="77777777" w:rsidR="00EC1C40" w:rsidRDefault="00000000">
      <w:pPr>
        <w:pStyle w:val="Zkladntext1"/>
        <w:framePr w:w="9134" w:h="13618" w:hRule="exact" w:wrap="none" w:vAnchor="page" w:hAnchor="page" w:x="1374" w:y="1940"/>
        <w:numPr>
          <w:ilvl w:val="3"/>
          <w:numId w:val="33"/>
        </w:numPr>
        <w:tabs>
          <w:tab w:val="left" w:pos="2134"/>
        </w:tabs>
        <w:spacing w:after="220"/>
        <w:ind w:left="1300"/>
      </w:pPr>
      <w:proofErr w:type="spellStart"/>
      <w:r>
        <w:t>parc</w:t>
      </w:r>
      <w:proofErr w:type="spellEnd"/>
      <w:r>
        <w:t>. č. 3618/4, o výměře 24 m</w:t>
      </w:r>
      <w:r>
        <w:rPr>
          <w:vertAlign w:val="superscript"/>
        </w:rPr>
        <w:t>2</w:t>
      </w:r>
      <w:r>
        <w:t>;</w:t>
      </w:r>
    </w:p>
    <w:p w14:paraId="7AB6849C" w14:textId="77777777" w:rsidR="00EC1C40" w:rsidRDefault="00000000">
      <w:pPr>
        <w:pStyle w:val="Zkladntext1"/>
        <w:framePr w:w="9134" w:h="13618" w:hRule="exact" w:wrap="none" w:vAnchor="page" w:hAnchor="page" w:x="1374" w:y="1940"/>
        <w:numPr>
          <w:ilvl w:val="3"/>
          <w:numId w:val="33"/>
        </w:numPr>
        <w:tabs>
          <w:tab w:val="left" w:pos="2134"/>
        </w:tabs>
        <w:spacing w:after="220"/>
        <w:ind w:left="1300"/>
      </w:pPr>
      <w:proofErr w:type="spellStart"/>
      <w:r>
        <w:t>parc</w:t>
      </w:r>
      <w:proofErr w:type="spellEnd"/>
      <w:r>
        <w:t>. č. 3619/1, o výměře 1529 m</w:t>
      </w:r>
      <w:r>
        <w:rPr>
          <w:vertAlign w:val="superscript"/>
        </w:rPr>
        <w:t>2</w:t>
      </w:r>
      <w:r>
        <w:t>;</w:t>
      </w:r>
    </w:p>
    <w:p w14:paraId="470A5207" w14:textId="77777777" w:rsidR="00EC1C40" w:rsidRDefault="00000000">
      <w:pPr>
        <w:pStyle w:val="Zkladntext1"/>
        <w:framePr w:w="9134" w:h="13618" w:hRule="exact" w:wrap="none" w:vAnchor="page" w:hAnchor="page" w:x="1374" w:y="1940"/>
        <w:numPr>
          <w:ilvl w:val="3"/>
          <w:numId w:val="33"/>
        </w:numPr>
        <w:tabs>
          <w:tab w:val="left" w:pos="2134"/>
        </w:tabs>
        <w:spacing w:after="220"/>
        <w:ind w:left="1300"/>
      </w:pPr>
      <w:proofErr w:type="spellStart"/>
      <w:r>
        <w:t>parc</w:t>
      </w:r>
      <w:proofErr w:type="spellEnd"/>
      <w:r>
        <w:t>. č. 3684/6, o výměře 119 m</w:t>
      </w:r>
      <w:r>
        <w:rPr>
          <w:vertAlign w:val="superscript"/>
        </w:rPr>
        <w:t>2</w:t>
      </w:r>
      <w:r>
        <w:t>;</w:t>
      </w:r>
    </w:p>
    <w:p w14:paraId="71F9AC09" w14:textId="77777777" w:rsidR="00EC1C40" w:rsidRDefault="00000000">
      <w:pPr>
        <w:pStyle w:val="Zkladntext1"/>
        <w:framePr w:w="9134" w:h="13618" w:hRule="exact" w:wrap="none" w:vAnchor="page" w:hAnchor="page" w:x="1374" w:y="1940"/>
        <w:numPr>
          <w:ilvl w:val="3"/>
          <w:numId w:val="33"/>
        </w:numPr>
        <w:tabs>
          <w:tab w:val="left" w:pos="2134"/>
        </w:tabs>
        <w:spacing w:after="220"/>
        <w:ind w:left="1300"/>
      </w:pPr>
      <w:proofErr w:type="spellStart"/>
      <w:r>
        <w:t>parc</w:t>
      </w:r>
      <w:proofErr w:type="spellEnd"/>
      <w:r>
        <w:t>. č. 3684/7, o výměře 38 m</w:t>
      </w:r>
      <w:r>
        <w:rPr>
          <w:vertAlign w:val="superscript"/>
        </w:rPr>
        <w:t>2</w:t>
      </w:r>
      <w:r>
        <w:t>;</w:t>
      </w:r>
    </w:p>
    <w:p w14:paraId="1249B8C7" w14:textId="77777777" w:rsidR="00EC1C40" w:rsidRDefault="00000000">
      <w:pPr>
        <w:pStyle w:val="Zkladntext1"/>
        <w:framePr w:w="9134" w:h="13618" w:hRule="exact" w:wrap="none" w:vAnchor="page" w:hAnchor="page" w:x="1374" w:y="1940"/>
        <w:numPr>
          <w:ilvl w:val="3"/>
          <w:numId w:val="33"/>
        </w:numPr>
        <w:tabs>
          <w:tab w:val="left" w:pos="2134"/>
        </w:tabs>
        <w:spacing w:after="220"/>
        <w:ind w:left="1300"/>
      </w:pPr>
      <w:proofErr w:type="spellStart"/>
      <w:r>
        <w:t>parc</w:t>
      </w:r>
      <w:proofErr w:type="spellEnd"/>
      <w:r>
        <w:t>. č. 4300, o výměře 88 m</w:t>
      </w:r>
      <w:r>
        <w:rPr>
          <w:vertAlign w:val="superscript"/>
        </w:rPr>
        <w:t>2</w:t>
      </w:r>
      <w:r>
        <w:t>;</w:t>
      </w:r>
    </w:p>
    <w:p w14:paraId="31426629" w14:textId="77777777" w:rsidR="00EC1C40" w:rsidRDefault="00000000">
      <w:pPr>
        <w:pStyle w:val="Zkladntext1"/>
        <w:framePr w:w="9134" w:h="13618" w:hRule="exact" w:wrap="none" w:vAnchor="page" w:hAnchor="page" w:x="1374" w:y="1940"/>
        <w:numPr>
          <w:ilvl w:val="3"/>
          <w:numId w:val="33"/>
        </w:numPr>
        <w:tabs>
          <w:tab w:val="left" w:pos="2134"/>
        </w:tabs>
        <w:spacing w:after="220"/>
        <w:ind w:left="1300"/>
      </w:pPr>
      <w:proofErr w:type="spellStart"/>
      <w:r>
        <w:t>parc</w:t>
      </w:r>
      <w:proofErr w:type="spellEnd"/>
      <w:r>
        <w:t>. č. 5207/12, o výměře 119 m</w:t>
      </w:r>
      <w:r>
        <w:rPr>
          <w:vertAlign w:val="superscript"/>
        </w:rPr>
        <w:t>2</w:t>
      </w:r>
      <w:r>
        <w:t>;</w:t>
      </w:r>
    </w:p>
    <w:p w14:paraId="5B5611C1" w14:textId="77777777" w:rsidR="00EC1C40" w:rsidRDefault="00000000">
      <w:pPr>
        <w:pStyle w:val="Zkladntext1"/>
        <w:framePr w:w="9134" w:h="13618" w:hRule="exact" w:wrap="none" w:vAnchor="page" w:hAnchor="page" w:x="1374" w:y="1940"/>
        <w:numPr>
          <w:ilvl w:val="3"/>
          <w:numId w:val="33"/>
        </w:numPr>
        <w:tabs>
          <w:tab w:val="left" w:pos="2134"/>
        </w:tabs>
        <w:spacing w:after="220"/>
        <w:ind w:left="1300"/>
      </w:pPr>
      <w:proofErr w:type="spellStart"/>
      <w:r>
        <w:t>parc</w:t>
      </w:r>
      <w:proofErr w:type="spellEnd"/>
      <w:r>
        <w:t>. č. 5207/13, o výměře 284 m</w:t>
      </w:r>
      <w:r>
        <w:rPr>
          <w:vertAlign w:val="superscript"/>
        </w:rPr>
        <w:t>2</w:t>
      </w:r>
      <w:r>
        <w:t>;</w:t>
      </w:r>
    </w:p>
    <w:p w14:paraId="0FF3F14F" w14:textId="77777777" w:rsidR="00EC1C40" w:rsidRDefault="00000000">
      <w:pPr>
        <w:pStyle w:val="Zkladntext1"/>
        <w:framePr w:w="9134" w:h="13618" w:hRule="exact" w:wrap="none" w:vAnchor="page" w:hAnchor="page" w:x="1374" w:y="1940"/>
        <w:numPr>
          <w:ilvl w:val="3"/>
          <w:numId w:val="33"/>
        </w:numPr>
        <w:tabs>
          <w:tab w:val="left" w:pos="2134"/>
        </w:tabs>
        <w:spacing w:after="220"/>
        <w:ind w:left="1300"/>
      </w:pPr>
      <w:proofErr w:type="spellStart"/>
      <w:r>
        <w:t>parc</w:t>
      </w:r>
      <w:proofErr w:type="spellEnd"/>
      <w:r>
        <w:t>. č. 5207/14, o výměře 22 m</w:t>
      </w:r>
      <w:r>
        <w:rPr>
          <w:vertAlign w:val="superscript"/>
        </w:rPr>
        <w:t>2</w:t>
      </w:r>
      <w:r>
        <w:t>;</w:t>
      </w:r>
    </w:p>
    <w:p w14:paraId="1C7D0F29" w14:textId="77777777" w:rsidR="00EC1C40" w:rsidRDefault="00000000">
      <w:pPr>
        <w:pStyle w:val="Zkladntext1"/>
        <w:framePr w:w="9134" w:h="13618" w:hRule="exact" w:wrap="none" w:vAnchor="page" w:hAnchor="page" w:x="1374" w:y="1940"/>
        <w:numPr>
          <w:ilvl w:val="3"/>
          <w:numId w:val="33"/>
        </w:numPr>
        <w:tabs>
          <w:tab w:val="left" w:pos="2244"/>
        </w:tabs>
        <w:spacing w:after="220"/>
        <w:ind w:left="1300"/>
      </w:pPr>
      <w:proofErr w:type="spellStart"/>
      <w:r>
        <w:t>parc</w:t>
      </w:r>
      <w:proofErr w:type="spellEnd"/>
      <w:r>
        <w:t>. č. 5207/15, o výměře 281 m</w:t>
      </w:r>
      <w:r>
        <w:rPr>
          <w:vertAlign w:val="superscript"/>
        </w:rPr>
        <w:t>2</w:t>
      </w:r>
      <w:r>
        <w:t>;</w:t>
      </w:r>
    </w:p>
    <w:p w14:paraId="04BB58DC" w14:textId="77777777" w:rsidR="00EC1C40" w:rsidRDefault="00000000">
      <w:pPr>
        <w:pStyle w:val="Zkladntext1"/>
        <w:framePr w:w="9134" w:h="13618" w:hRule="exact" w:wrap="none" w:vAnchor="page" w:hAnchor="page" w:x="1374" w:y="1940"/>
        <w:spacing w:after="220"/>
        <w:ind w:left="1300"/>
      </w:pPr>
      <w:r>
        <w:t xml:space="preserve">vše v </w:t>
      </w:r>
      <w:proofErr w:type="spellStart"/>
      <w:r>
        <w:t>k.ú</w:t>
      </w:r>
      <w:proofErr w:type="spellEnd"/>
      <w:r>
        <w:t>. Pardubice; a</w:t>
      </w:r>
    </w:p>
    <w:p w14:paraId="224CB5E8" w14:textId="77777777" w:rsidR="00EC1C40" w:rsidRDefault="00000000">
      <w:pPr>
        <w:pStyle w:val="Zkladntext1"/>
        <w:framePr w:w="9134" w:h="13618" w:hRule="exact" w:wrap="none" w:vAnchor="page" w:hAnchor="page" w:x="1374" w:y="1940"/>
        <w:numPr>
          <w:ilvl w:val="2"/>
          <w:numId w:val="33"/>
        </w:numPr>
        <w:tabs>
          <w:tab w:val="left" w:pos="1290"/>
        </w:tabs>
        <w:spacing w:after="220"/>
        <w:ind w:firstLine="580"/>
        <w:jc w:val="both"/>
      </w:pPr>
      <w:r>
        <w:t>části níže uvedených pozemků:</w:t>
      </w:r>
    </w:p>
    <w:p w14:paraId="73EB51C8" w14:textId="77777777" w:rsidR="00EC1C40" w:rsidRDefault="00000000">
      <w:pPr>
        <w:pStyle w:val="Zkladntext1"/>
        <w:framePr w:w="9134" w:h="13618" w:hRule="exact" w:wrap="none" w:vAnchor="page" w:hAnchor="page" w:x="1374" w:y="1940"/>
        <w:numPr>
          <w:ilvl w:val="3"/>
          <w:numId w:val="33"/>
        </w:numPr>
        <w:tabs>
          <w:tab w:val="left" w:pos="2134"/>
        </w:tabs>
        <w:spacing w:after="220"/>
        <w:ind w:left="1300"/>
      </w:pPr>
      <w:r>
        <w:t xml:space="preserve">část pozemku </w:t>
      </w:r>
      <w:proofErr w:type="spellStart"/>
      <w:r>
        <w:t>parc</w:t>
      </w:r>
      <w:proofErr w:type="spellEnd"/>
      <w:r>
        <w:t>. č. 2678/1, o výměře 807 m2;</w:t>
      </w:r>
    </w:p>
    <w:p w14:paraId="25AD50F5" w14:textId="77777777" w:rsidR="00EC1C40" w:rsidRDefault="00000000">
      <w:pPr>
        <w:pStyle w:val="Zkladntext1"/>
        <w:framePr w:w="9134" w:h="13618" w:hRule="exact" w:wrap="none" w:vAnchor="page" w:hAnchor="page" w:x="1374" w:y="1940"/>
        <w:numPr>
          <w:ilvl w:val="3"/>
          <w:numId w:val="33"/>
        </w:numPr>
        <w:tabs>
          <w:tab w:val="left" w:pos="2134"/>
        </w:tabs>
        <w:spacing w:after="0"/>
        <w:ind w:left="1300"/>
      </w:pPr>
      <w:r>
        <w:t xml:space="preserve">část pozemku </w:t>
      </w:r>
      <w:proofErr w:type="spellStart"/>
      <w:r>
        <w:t>parc</w:t>
      </w:r>
      <w:proofErr w:type="spellEnd"/>
      <w:r>
        <w:t>. č. 3615/1, o výměře 193 m2;</w:t>
      </w:r>
    </w:p>
    <w:p w14:paraId="05077EAE" w14:textId="77777777" w:rsidR="00EC1C40" w:rsidRDefault="00000000">
      <w:pPr>
        <w:pStyle w:val="Zhlavnebozpat0"/>
        <w:framePr w:wrap="none" w:vAnchor="page" w:hAnchor="page" w:x="5708" w:y="16085"/>
        <w:rPr>
          <w:sz w:val="22"/>
          <w:szCs w:val="22"/>
        </w:rPr>
      </w:pPr>
      <w:r>
        <w:rPr>
          <w:color w:val="231E20"/>
          <w:sz w:val="22"/>
          <w:szCs w:val="22"/>
        </w:rPr>
        <w:t>3/14</w:t>
      </w:r>
    </w:p>
    <w:p w14:paraId="0B938B1E"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364CB053" w14:textId="77777777" w:rsidR="00EC1C40" w:rsidRDefault="00000000">
      <w:pPr>
        <w:spacing w:line="1" w:lineRule="exact"/>
      </w:pPr>
      <w:r>
        <w:rPr>
          <w:noProof/>
        </w:rPr>
        <w:lastRenderedPageBreak/>
        <mc:AlternateContent>
          <mc:Choice Requires="wps">
            <w:drawing>
              <wp:anchor distT="0" distB="0" distL="114300" distR="114300" simplePos="0" relativeHeight="251696640" behindDoc="1" locked="0" layoutInCell="1" allowOverlap="1" wp14:anchorId="1E7B6309" wp14:editId="7E9310EE">
                <wp:simplePos x="0" y="0"/>
                <wp:positionH relativeFrom="page">
                  <wp:posOffset>948055</wp:posOffset>
                </wp:positionH>
                <wp:positionV relativeFrom="page">
                  <wp:posOffset>932180</wp:posOffset>
                </wp:positionV>
                <wp:extent cx="5702300" cy="0"/>
                <wp:effectExtent l="0" t="0" r="0" b="0"/>
                <wp:wrapNone/>
                <wp:docPr id="113" name="Shape 113"/>
                <wp:cNvGraphicFramePr/>
                <a:graphic xmlns:a="http://schemas.openxmlformats.org/drawingml/2006/main">
                  <a:graphicData uri="http://schemas.microsoft.com/office/word/2010/wordprocessingShape">
                    <wps:wsp>
                      <wps:cNvCnPr/>
                      <wps:spPr>
                        <a:xfrm>
                          <a:off x="0" y="0"/>
                          <a:ext cx="5702300" cy="0"/>
                        </a:xfrm>
                        <a:prstGeom prst="straightConnector1">
                          <a:avLst/>
                        </a:prstGeom>
                        <a:ln w="6350">
                          <a:solidFill/>
                        </a:ln>
                      </wps:spPr>
                      <wps:bodyPr/>
                    </wps:wsp>
                  </a:graphicData>
                </a:graphic>
              </wp:anchor>
            </w:drawing>
          </mc:Choice>
          <mc:Fallback>
            <w:pict>
              <v:shape o:spt="32" o:oned="true" path="m,l21600,21600e" style="position:absolute;margin-left:74.650000000000006pt;margin-top:73.400000000000006pt;width:449.pt;height:0;z-index:-251658240;mso-position-horizontal-relative:page;mso-position-vertical-relative:page">
                <v:stroke weight="0.5pt"/>
              </v:shape>
            </w:pict>
          </mc:Fallback>
        </mc:AlternateContent>
      </w:r>
    </w:p>
    <w:p w14:paraId="3715435C" w14:textId="77777777" w:rsidR="00EC1C40" w:rsidRDefault="00000000">
      <w:pPr>
        <w:pStyle w:val="Zhlavnebozpat0"/>
        <w:framePr w:w="1483" w:h="240" w:hRule="exact" w:wrap="none" w:vAnchor="page" w:hAnchor="page" w:x="5247" w:y="1186"/>
        <w:jc w:val="center"/>
      </w:pPr>
      <w:r>
        <w:t>Smlouva o výpůjčce</w:t>
      </w:r>
    </w:p>
    <w:p w14:paraId="45C5E6C8" w14:textId="77777777" w:rsidR="00EC1C40" w:rsidRDefault="00000000">
      <w:pPr>
        <w:pStyle w:val="Zkladntext1"/>
        <w:framePr w:w="9134" w:h="13258" w:hRule="exact" w:wrap="none" w:vAnchor="page" w:hAnchor="page" w:x="1374" w:y="1940"/>
        <w:numPr>
          <w:ilvl w:val="3"/>
          <w:numId w:val="33"/>
        </w:numPr>
        <w:tabs>
          <w:tab w:val="left" w:pos="2134"/>
        </w:tabs>
        <w:spacing w:after="220"/>
        <w:ind w:left="1300"/>
        <w:jc w:val="both"/>
      </w:pPr>
      <w:r>
        <w:t xml:space="preserve">část pozemku </w:t>
      </w:r>
      <w:proofErr w:type="spellStart"/>
      <w:r>
        <w:t>parc</w:t>
      </w:r>
      <w:proofErr w:type="spellEnd"/>
      <w:r>
        <w:t>. č. 3615/2, o výměře 1121 m2;</w:t>
      </w:r>
    </w:p>
    <w:p w14:paraId="54334FA3" w14:textId="77777777" w:rsidR="00EC1C40" w:rsidRDefault="00000000">
      <w:pPr>
        <w:pStyle w:val="Zkladntext1"/>
        <w:framePr w:w="9134" w:h="13258" w:hRule="exact" w:wrap="none" w:vAnchor="page" w:hAnchor="page" w:x="1374" w:y="1940"/>
        <w:numPr>
          <w:ilvl w:val="3"/>
          <w:numId w:val="33"/>
        </w:numPr>
        <w:tabs>
          <w:tab w:val="left" w:pos="2134"/>
        </w:tabs>
        <w:spacing w:after="220"/>
        <w:ind w:left="1300"/>
        <w:jc w:val="both"/>
      </w:pPr>
      <w:r>
        <w:t xml:space="preserve">část pozemku </w:t>
      </w:r>
      <w:proofErr w:type="spellStart"/>
      <w:r>
        <w:t>parc</w:t>
      </w:r>
      <w:proofErr w:type="spellEnd"/>
      <w:r>
        <w:t>. č. 3618/5, o výměře 1696 m2;</w:t>
      </w:r>
    </w:p>
    <w:p w14:paraId="4F82F6E8" w14:textId="77777777" w:rsidR="00EC1C40" w:rsidRDefault="00000000">
      <w:pPr>
        <w:pStyle w:val="Zkladntext1"/>
        <w:framePr w:w="9134" w:h="13258" w:hRule="exact" w:wrap="none" w:vAnchor="page" w:hAnchor="page" w:x="1374" w:y="1940"/>
        <w:numPr>
          <w:ilvl w:val="3"/>
          <w:numId w:val="33"/>
        </w:numPr>
        <w:tabs>
          <w:tab w:val="left" w:pos="2134"/>
        </w:tabs>
        <w:spacing w:after="220"/>
        <w:ind w:left="1300"/>
        <w:jc w:val="both"/>
      </w:pPr>
      <w:r>
        <w:t xml:space="preserve">část pozemku </w:t>
      </w:r>
      <w:proofErr w:type="spellStart"/>
      <w:r>
        <w:t>parc</w:t>
      </w:r>
      <w:proofErr w:type="spellEnd"/>
      <w:r>
        <w:t>. č. 4286/1, o výměře 63 m2;</w:t>
      </w:r>
    </w:p>
    <w:p w14:paraId="6E470230" w14:textId="77777777" w:rsidR="00EC1C40" w:rsidRDefault="00000000">
      <w:pPr>
        <w:pStyle w:val="Zkladntext1"/>
        <w:framePr w:w="9134" w:h="13258" w:hRule="exact" w:wrap="none" w:vAnchor="page" w:hAnchor="page" w:x="1374" w:y="1940"/>
        <w:numPr>
          <w:ilvl w:val="3"/>
          <w:numId w:val="33"/>
        </w:numPr>
        <w:tabs>
          <w:tab w:val="left" w:pos="2134"/>
        </w:tabs>
        <w:spacing w:after="220"/>
        <w:ind w:left="1300"/>
        <w:jc w:val="both"/>
      </w:pPr>
      <w:r>
        <w:t xml:space="preserve">část pozemku </w:t>
      </w:r>
      <w:proofErr w:type="spellStart"/>
      <w:r>
        <w:t>parc</w:t>
      </w:r>
      <w:proofErr w:type="spellEnd"/>
      <w:r>
        <w:t>. č. 4286/4, o výměře 47 m2;</w:t>
      </w:r>
    </w:p>
    <w:p w14:paraId="352BD876" w14:textId="77777777" w:rsidR="00EC1C40" w:rsidRDefault="00000000">
      <w:pPr>
        <w:pStyle w:val="Zkladntext1"/>
        <w:framePr w:w="9134" w:h="13258" w:hRule="exact" w:wrap="none" w:vAnchor="page" w:hAnchor="page" w:x="1374" w:y="1940"/>
        <w:numPr>
          <w:ilvl w:val="3"/>
          <w:numId w:val="33"/>
        </w:numPr>
        <w:tabs>
          <w:tab w:val="left" w:pos="2134"/>
        </w:tabs>
        <w:spacing w:after="220"/>
        <w:ind w:left="1300"/>
        <w:jc w:val="both"/>
      </w:pPr>
      <w:r>
        <w:t xml:space="preserve">část pozemku </w:t>
      </w:r>
      <w:proofErr w:type="spellStart"/>
      <w:r>
        <w:t>parc</w:t>
      </w:r>
      <w:proofErr w:type="spellEnd"/>
      <w:r>
        <w:t>. č. 4323/5, o výměře 592 m2;</w:t>
      </w:r>
    </w:p>
    <w:p w14:paraId="6E1BE56E" w14:textId="77777777" w:rsidR="00EC1C40" w:rsidRDefault="00000000">
      <w:pPr>
        <w:pStyle w:val="Zkladntext1"/>
        <w:framePr w:w="9134" w:h="13258" w:hRule="exact" w:wrap="none" w:vAnchor="page" w:hAnchor="page" w:x="1374" w:y="1940"/>
        <w:numPr>
          <w:ilvl w:val="3"/>
          <w:numId w:val="33"/>
        </w:numPr>
        <w:tabs>
          <w:tab w:val="left" w:pos="2134"/>
        </w:tabs>
        <w:spacing w:after="220"/>
        <w:ind w:left="1300"/>
        <w:jc w:val="both"/>
      </w:pPr>
      <w:r>
        <w:t xml:space="preserve">část pozemku </w:t>
      </w:r>
      <w:proofErr w:type="spellStart"/>
      <w:r>
        <w:t>parc</w:t>
      </w:r>
      <w:proofErr w:type="spellEnd"/>
      <w:r>
        <w:t>. č. 5162/27, o výměře 2 m2;</w:t>
      </w:r>
    </w:p>
    <w:p w14:paraId="3F3DA080" w14:textId="77777777" w:rsidR="00EC1C40" w:rsidRDefault="00000000">
      <w:pPr>
        <w:pStyle w:val="Zkladntext1"/>
        <w:framePr w:w="9134" w:h="13258" w:hRule="exact" w:wrap="none" w:vAnchor="page" w:hAnchor="page" w:x="1374" w:y="1940"/>
        <w:numPr>
          <w:ilvl w:val="3"/>
          <w:numId w:val="33"/>
        </w:numPr>
        <w:tabs>
          <w:tab w:val="left" w:pos="2134"/>
        </w:tabs>
        <w:spacing w:after="60"/>
        <w:ind w:left="1300"/>
        <w:jc w:val="both"/>
      </w:pPr>
      <w:r>
        <w:t xml:space="preserve">část pozemku </w:t>
      </w:r>
      <w:proofErr w:type="spellStart"/>
      <w:r>
        <w:t>parc</w:t>
      </w:r>
      <w:proofErr w:type="spellEnd"/>
      <w:r>
        <w:t>. č. 5207/16, o výměře 2455 m2;</w:t>
      </w:r>
    </w:p>
    <w:p w14:paraId="3A432BF0" w14:textId="77777777" w:rsidR="00EC1C40" w:rsidRDefault="00000000">
      <w:pPr>
        <w:pStyle w:val="Zkladntext1"/>
        <w:framePr w:w="9134" w:h="13258" w:hRule="exact" w:wrap="none" w:vAnchor="page" w:hAnchor="page" w:x="1374" w:y="1940"/>
        <w:spacing w:after="120"/>
        <w:ind w:left="580"/>
        <w:jc w:val="both"/>
      </w:pPr>
      <w:r>
        <w:t xml:space="preserve">vše v </w:t>
      </w:r>
      <w:proofErr w:type="spellStart"/>
      <w:r>
        <w:t>k.ú</w:t>
      </w:r>
      <w:proofErr w:type="spellEnd"/>
      <w:r>
        <w:t xml:space="preserve">. Pardubice, přičemž rozsah užívání těchto částí pozemků je graficky vyznačen na snímku katastrální mapy, která je </w:t>
      </w:r>
      <w:r>
        <w:rPr>
          <w:u w:val="single"/>
        </w:rPr>
        <w:t>Přílohou č. 1</w:t>
      </w:r>
      <w:r>
        <w:t xml:space="preserve"> této Smlouvy</w:t>
      </w:r>
    </w:p>
    <w:p w14:paraId="3DF95D12" w14:textId="77777777" w:rsidR="00EC1C40" w:rsidRDefault="00000000">
      <w:pPr>
        <w:pStyle w:val="Zkladntext1"/>
        <w:framePr w:w="9134" w:h="13258" w:hRule="exact" w:wrap="none" w:vAnchor="page" w:hAnchor="page" w:x="1374" w:y="1940"/>
        <w:spacing w:after="120" w:line="233" w:lineRule="auto"/>
        <w:ind w:left="580"/>
        <w:jc w:val="both"/>
      </w:pPr>
      <w:r>
        <w:t>(pozemky uvedené v čl. 1.2.1 této Smlouvy a části pozemků uvedené v čl. 1.2.2 této Smlouvy dále společně jen „</w:t>
      </w:r>
      <w:r>
        <w:rPr>
          <w:b/>
          <w:bCs/>
        </w:rPr>
        <w:t>Předmět výpůjčky</w:t>
      </w:r>
      <w:r>
        <w:t>“).</w:t>
      </w:r>
    </w:p>
    <w:p w14:paraId="22744EF0" w14:textId="77777777" w:rsidR="00EC1C40" w:rsidRDefault="00000000">
      <w:pPr>
        <w:pStyle w:val="Zkladntext1"/>
        <w:framePr w:w="9134" w:h="13258" w:hRule="exact" w:wrap="none" w:vAnchor="page" w:hAnchor="page" w:x="1374" w:y="1940"/>
        <w:numPr>
          <w:ilvl w:val="1"/>
          <w:numId w:val="33"/>
        </w:numPr>
        <w:tabs>
          <w:tab w:val="left" w:pos="569"/>
        </w:tabs>
        <w:spacing w:after="120"/>
        <w:ind w:left="580" w:hanging="580"/>
        <w:jc w:val="both"/>
      </w:pPr>
      <w:r>
        <w:t>Předmětem výpůjčky jsou i veškeré součásti pozemků, které jsou Předmětem výpůjčky, a veškeré jejich příslušenství (přičemž u částí pozemků uvedených v čl. 1.2.2 Smlouvy se toto týká pouze těch částí, které jsou Předmětem výpůjčky).</w:t>
      </w:r>
    </w:p>
    <w:p w14:paraId="63050708" w14:textId="77777777" w:rsidR="00EC1C40" w:rsidRDefault="00000000">
      <w:pPr>
        <w:pStyle w:val="Zkladntext1"/>
        <w:framePr w:w="9134" w:h="13258" w:hRule="exact" w:wrap="none" w:vAnchor="page" w:hAnchor="page" w:x="1374" w:y="1940"/>
        <w:numPr>
          <w:ilvl w:val="1"/>
          <w:numId w:val="33"/>
        </w:numPr>
        <w:tabs>
          <w:tab w:val="left" w:pos="569"/>
        </w:tabs>
        <w:spacing w:after="120"/>
        <w:ind w:left="580" w:hanging="580"/>
        <w:jc w:val="both"/>
      </w:pPr>
      <w:r>
        <w:t>SMP Investorovi přenechává Předmět výpůjčky do dočasného bezplatného užívání. Investor tímto Předmět výpůjčky do dočasného bezplatného užívání přijímá.</w:t>
      </w:r>
    </w:p>
    <w:p w14:paraId="52EBA070" w14:textId="77777777" w:rsidR="00EC1C40" w:rsidRDefault="00000000">
      <w:pPr>
        <w:pStyle w:val="Nadpis60"/>
        <w:framePr w:w="9134" w:h="13258" w:hRule="exact" w:wrap="none" w:vAnchor="page" w:hAnchor="page" w:x="1374" w:y="1940"/>
        <w:numPr>
          <w:ilvl w:val="0"/>
          <w:numId w:val="33"/>
        </w:numPr>
        <w:tabs>
          <w:tab w:val="left" w:pos="569"/>
        </w:tabs>
        <w:spacing w:after="120"/>
        <w:jc w:val="both"/>
      </w:pPr>
      <w:bookmarkStart w:id="78" w:name="bookmark157"/>
      <w:r>
        <w:t>Účel výpůjčky</w:t>
      </w:r>
      <w:bookmarkEnd w:id="78"/>
    </w:p>
    <w:p w14:paraId="3476BD0F" w14:textId="77777777" w:rsidR="00EC1C40" w:rsidRDefault="00000000">
      <w:pPr>
        <w:pStyle w:val="Zkladntext1"/>
        <w:framePr w:w="9134" w:h="13258" w:hRule="exact" w:wrap="none" w:vAnchor="page" w:hAnchor="page" w:x="1374" w:y="1940"/>
        <w:numPr>
          <w:ilvl w:val="1"/>
          <w:numId w:val="33"/>
        </w:numPr>
        <w:tabs>
          <w:tab w:val="left" w:pos="569"/>
        </w:tabs>
        <w:spacing w:after="120"/>
        <w:jc w:val="both"/>
      </w:pPr>
      <w:r>
        <w:t>Investor je oprávněn užívat Předmět výpůjčky za následujícími účely:</w:t>
      </w:r>
    </w:p>
    <w:p w14:paraId="4A3FB028" w14:textId="77777777" w:rsidR="00EC1C40" w:rsidRDefault="00000000">
      <w:pPr>
        <w:pStyle w:val="Zkladntext1"/>
        <w:framePr w:w="9134" w:h="13258" w:hRule="exact" w:wrap="none" w:vAnchor="page" w:hAnchor="page" w:x="1374" w:y="1940"/>
        <w:numPr>
          <w:ilvl w:val="2"/>
          <w:numId w:val="33"/>
        </w:numPr>
        <w:tabs>
          <w:tab w:val="left" w:pos="1286"/>
        </w:tabs>
        <w:spacing w:after="220"/>
        <w:ind w:left="1300" w:hanging="720"/>
        <w:jc w:val="both"/>
      </w:pPr>
      <w:r>
        <w:t xml:space="preserve">výstavba dopravní a technické infrastruktury pro Investiční záměr a dalších staveb souvisejících s Investičním záměrem, včetně (značení stavebních objektů pochází z dokumentace pro povolení Investičního záměru vypracované společností PPP, spol. s r.o., IČO: 429 37 094, se sídlem Pardubice, nám. Masarykovo 1544, PSČ 53002, zapsanou v obchodním rejstříku vedeném Krajským soudem v Hradci Králové pod </w:t>
      </w:r>
      <w:proofErr w:type="spellStart"/>
      <w:r>
        <w:t>sp</w:t>
      </w:r>
      <w:proofErr w:type="spellEnd"/>
      <w:r>
        <w:t>. zn. C 1071, číslo zakázky 4571.00/24):</w:t>
      </w:r>
    </w:p>
    <w:p w14:paraId="0855C1DB" w14:textId="77777777" w:rsidR="00EC1C40" w:rsidRDefault="00000000">
      <w:pPr>
        <w:pStyle w:val="Zkladntext1"/>
        <w:framePr w:w="9134" w:h="13258" w:hRule="exact" w:wrap="none" w:vAnchor="page" w:hAnchor="page" w:x="1374" w:y="1940"/>
        <w:numPr>
          <w:ilvl w:val="3"/>
          <w:numId w:val="33"/>
        </w:numPr>
        <w:tabs>
          <w:tab w:val="left" w:pos="2143"/>
        </w:tabs>
        <w:spacing w:after="220"/>
        <w:ind w:left="1300"/>
        <w:jc w:val="both"/>
      </w:pPr>
      <w:r>
        <w:t>SO.100 páteřní komunikace I;</w:t>
      </w:r>
    </w:p>
    <w:p w14:paraId="5CFAA16F" w14:textId="77777777" w:rsidR="00EC1C40" w:rsidRDefault="00000000">
      <w:pPr>
        <w:pStyle w:val="Zkladntext1"/>
        <w:framePr w:w="9134" w:h="13258" w:hRule="exact" w:wrap="none" w:vAnchor="page" w:hAnchor="page" w:x="1374" w:y="1940"/>
        <w:numPr>
          <w:ilvl w:val="3"/>
          <w:numId w:val="33"/>
        </w:numPr>
        <w:tabs>
          <w:tab w:val="left" w:pos="2143"/>
        </w:tabs>
        <w:spacing w:after="220"/>
        <w:ind w:left="1300"/>
        <w:jc w:val="both"/>
      </w:pPr>
      <w:r>
        <w:t>SO.102 účelové komunikace sever;</w:t>
      </w:r>
    </w:p>
    <w:p w14:paraId="161005FB" w14:textId="77777777" w:rsidR="00EC1C40" w:rsidRDefault="00000000">
      <w:pPr>
        <w:pStyle w:val="Zkladntext1"/>
        <w:framePr w:w="9134" w:h="13258" w:hRule="exact" w:wrap="none" w:vAnchor="page" w:hAnchor="page" w:x="1374" w:y="1940"/>
        <w:numPr>
          <w:ilvl w:val="3"/>
          <w:numId w:val="33"/>
        </w:numPr>
        <w:tabs>
          <w:tab w:val="left" w:pos="2143"/>
        </w:tabs>
        <w:spacing w:after="220"/>
        <w:ind w:left="1300"/>
        <w:jc w:val="both"/>
      </w:pPr>
      <w:r>
        <w:t>SO.104 točna Bus;</w:t>
      </w:r>
    </w:p>
    <w:p w14:paraId="7FC21BD0" w14:textId="77777777" w:rsidR="00EC1C40" w:rsidRDefault="00000000">
      <w:pPr>
        <w:pStyle w:val="Zkladntext1"/>
        <w:framePr w:w="9134" w:h="13258" w:hRule="exact" w:wrap="none" w:vAnchor="page" w:hAnchor="page" w:x="1374" w:y="1940"/>
        <w:numPr>
          <w:ilvl w:val="3"/>
          <w:numId w:val="33"/>
        </w:numPr>
        <w:tabs>
          <w:tab w:val="left" w:pos="2143"/>
        </w:tabs>
        <w:spacing w:after="220"/>
        <w:ind w:left="1300"/>
        <w:jc w:val="both"/>
      </w:pPr>
      <w:r>
        <w:t>SO.107 Plochy park (komunikace);</w:t>
      </w:r>
    </w:p>
    <w:p w14:paraId="54B1EC27" w14:textId="77777777" w:rsidR="00EC1C40" w:rsidRDefault="00000000">
      <w:pPr>
        <w:pStyle w:val="Zkladntext1"/>
        <w:framePr w:w="9134" w:h="13258" w:hRule="exact" w:wrap="none" w:vAnchor="page" w:hAnchor="page" w:x="1374" w:y="1940"/>
        <w:numPr>
          <w:ilvl w:val="3"/>
          <w:numId w:val="33"/>
        </w:numPr>
        <w:tabs>
          <w:tab w:val="left" w:pos="2143"/>
        </w:tabs>
        <w:spacing w:after="220"/>
        <w:ind w:left="1300"/>
        <w:jc w:val="both"/>
      </w:pPr>
      <w:r>
        <w:t>SO.108 cyklostezka sever;</w:t>
      </w:r>
    </w:p>
    <w:p w14:paraId="48BD7C18" w14:textId="77777777" w:rsidR="00EC1C40" w:rsidRDefault="00000000">
      <w:pPr>
        <w:pStyle w:val="Zkladntext1"/>
        <w:framePr w:w="9134" w:h="13258" w:hRule="exact" w:wrap="none" w:vAnchor="page" w:hAnchor="page" w:x="1374" w:y="1940"/>
        <w:numPr>
          <w:ilvl w:val="3"/>
          <w:numId w:val="33"/>
        </w:numPr>
        <w:tabs>
          <w:tab w:val="left" w:pos="2143"/>
        </w:tabs>
        <w:spacing w:after="220"/>
        <w:ind w:left="1300"/>
        <w:jc w:val="both"/>
      </w:pPr>
      <w:r>
        <w:t>SO.121 lávka přes Brozanský odpad I;</w:t>
      </w:r>
    </w:p>
    <w:p w14:paraId="284E7C16" w14:textId="77777777" w:rsidR="00EC1C40" w:rsidRDefault="00000000">
      <w:pPr>
        <w:pStyle w:val="Zkladntext1"/>
        <w:framePr w:w="9134" w:h="13258" w:hRule="exact" w:wrap="none" w:vAnchor="page" w:hAnchor="page" w:x="1374" w:y="1940"/>
        <w:numPr>
          <w:ilvl w:val="3"/>
          <w:numId w:val="33"/>
        </w:numPr>
        <w:tabs>
          <w:tab w:val="left" w:pos="2143"/>
        </w:tabs>
        <w:spacing w:after="220"/>
        <w:ind w:left="1300"/>
        <w:jc w:val="both"/>
      </w:pPr>
      <w:r>
        <w:t>SO.122 lávka přes Brozanský odpad II;</w:t>
      </w:r>
    </w:p>
    <w:p w14:paraId="65FB29E3" w14:textId="77777777" w:rsidR="00EC1C40" w:rsidRDefault="00000000">
      <w:pPr>
        <w:pStyle w:val="Zkladntext1"/>
        <w:framePr w:w="9134" w:h="13258" w:hRule="exact" w:wrap="none" w:vAnchor="page" w:hAnchor="page" w:x="1374" w:y="1940"/>
        <w:numPr>
          <w:ilvl w:val="3"/>
          <w:numId w:val="33"/>
        </w:numPr>
        <w:tabs>
          <w:tab w:val="left" w:pos="2143"/>
        </w:tabs>
        <w:spacing w:after="220"/>
        <w:ind w:left="1300"/>
        <w:jc w:val="both"/>
      </w:pPr>
      <w:r>
        <w:t>SO.123 most přes horkovod;</w:t>
      </w:r>
    </w:p>
    <w:p w14:paraId="6F82D7C2" w14:textId="77777777" w:rsidR="00EC1C40" w:rsidRDefault="00000000">
      <w:pPr>
        <w:pStyle w:val="Zkladntext1"/>
        <w:framePr w:w="9134" w:h="13258" w:hRule="exact" w:wrap="none" w:vAnchor="page" w:hAnchor="page" w:x="1374" w:y="1940"/>
        <w:numPr>
          <w:ilvl w:val="3"/>
          <w:numId w:val="33"/>
        </w:numPr>
        <w:tabs>
          <w:tab w:val="left" w:pos="2143"/>
        </w:tabs>
        <w:spacing w:after="0"/>
        <w:ind w:left="1300"/>
        <w:jc w:val="both"/>
      </w:pPr>
      <w:r>
        <w:t>SO.225 jezírko a přepad do vodoteče;</w:t>
      </w:r>
    </w:p>
    <w:p w14:paraId="099C15B5" w14:textId="77777777" w:rsidR="00EC1C40" w:rsidRDefault="00000000">
      <w:pPr>
        <w:pStyle w:val="Zhlavnebozpat0"/>
        <w:framePr w:wrap="none" w:vAnchor="page" w:hAnchor="page" w:x="5703" w:y="16085"/>
        <w:rPr>
          <w:sz w:val="22"/>
          <w:szCs w:val="22"/>
        </w:rPr>
      </w:pPr>
      <w:r>
        <w:rPr>
          <w:color w:val="231E20"/>
          <w:sz w:val="22"/>
          <w:szCs w:val="22"/>
        </w:rPr>
        <w:t>4/14</w:t>
      </w:r>
    </w:p>
    <w:p w14:paraId="43F96758"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51FE6359" w14:textId="77777777" w:rsidR="00EC1C40" w:rsidRDefault="00000000">
      <w:pPr>
        <w:spacing w:line="1" w:lineRule="exact"/>
      </w:pPr>
      <w:r>
        <w:rPr>
          <w:noProof/>
        </w:rPr>
        <w:lastRenderedPageBreak/>
        <mc:AlternateContent>
          <mc:Choice Requires="wps">
            <w:drawing>
              <wp:anchor distT="0" distB="0" distL="114300" distR="114300" simplePos="0" relativeHeight="251697664" behindDoc="1" locked="0" layoutInCell="1" allowOverlap="1" wp14:anchorId="6AFD714C" wp14:editId="17F04DBF">
                <wp:simplePos x="0" y="0"/>
                <wp:positionH relativeFrom="page">
                  <wp:posOffset>948055</wp:posOffset>
                </wp:positionH>
                <wp:positionV relativeFrom="page">
                  <wp:posOffset>932180</wp:posOffset>
                </wp:positionV>
                <wp:extent cx="5702300" cy="0"/>
                <wp:effectExtent l="0" t="0" r="0" b="0"/>
                <wp:wrapNone/>
                <wp:docPr id="114" name="Shape 114"/>
                <wp:cNvGraphicFramePr/>
                <a:graphic xmlns:a="http://schemas.openxmlformats.org/drawingml/2006/main">
                  <a:graphicData uri="http://schemas.microsoft.com/office/word/2010/wordprocessingShape">
                    <wps:wsp>
                      <wps:cNvCnPr/>
                      <wps:spPr>
                        <a:xfrm>
                          <a:off x="0" y="0"/>
                          <a:ext cx="5702300" cy="0"/>
                        </a:xfrm>
                        <a:prstGeom prst="straightConnector1">
                          <a:avLst/>
                        </a:prstGeom>
                        <a:ln w="6350">
                          <a:solidFill/>
                        </a:ln>
                      </wps:spPr>
                      <wps:bodyPr/>
                    </wps:wsp>
                  </a:graphicData>
                </a:graphic>
              </wp:anchor>
            </w:drawing>
          </mc:Choice>
          <mc:Fallback>
            <w:pict>
              <v:shape o:spt="32" o:oned="true" path="m,l21600,21600e" style="position:absolute;margin-left:74.650000000000006pt;margin-top:73.400000000000006pt;width:449.pt;height:0;z-index:-251658240;mso-position-horizontal-relative:page;mso-position-vertical-relative:page">
                <v:stroke weight="0.5pt"/>
              </v:shape>
            </w:pict>
          </mc:Fallback>
        </mc:AlternateContent>
      </w:r>
    </w:p>
    <w:p w14:paraId="27363901" w14:textId="77777777" w:rsidR="00EC1C40" w:rsidRDefault="00000000">
      <w:pPr>
        <w:pStyle w:val="Zhlavnebozpat0"/>
        <w:framePr w:w="1483" w:h="240" w:hRule="exact" w:wrap="none" w:vAnchor="page" w:hAnchor="page" w:x="5247" w:y="1186"/>
        <w:jc w:val="center"/>
      </w:pPr>
      <w:r>
        <w:t>Smlouva o výpůjčce</w:t>
      </w:r>
    </w:p>
    <w:p w14:paraId="6635B5E0" w14:textId="77777777" w:rsidR="00EC1C40" w:rsidRDefault="00000000">
      <w:pPr>
        <w:pStyle w:val="Zkladntext1"/>
        <w:framePr w:w="9134" w:h="13541" w:hRule="exact" w:wrap="none" w:vAnchor="page" w:hAnchor="page" w:x="1374" w:y="1940"/>
        <w:numPr>
          <w:ilvl w:val="3"/>
          <w:numId w:val="33"/>
        </w:numPr>
        <w:tabs>
          <w:tab w:val="left" w:pos="2194"/>
        </w:tabs>
        <w:spacing w:after="240"/>
        <w:ind w:left="1300"/>
        <w:jc w:val="both"/>
      </w:pPr>
      <w:r>
        <w:t>SO.311 veřejné osvětlení;</w:t>
      </w:r>
    </w:p>
    <w:p w14:paraId="358F3C66" w14:textId="77777777" w:rsidR="00EC1C40" w:rsidRDefault="00000000">
      <w:pPr>
        <w:pStyle w:val="Zkladntext1"/>
        <w:framePr w:w="9134" w:h="13541" w:hRule="exact" w:wrap="none" w:vAnchor="page" w:hAnchor="page" w:x="1374" w:y="1940"/>
        <w:numPr>
          <w:ilvl w:val="3"/>
          <w:numId w:val="33"/>
        </w:numPr>
        <w:tabs>
          <w:tab w:val="left" w:pos="2189"/>
        </w:tabs>
        <w:spacing w:after="240"/>
        <w:ind w:left="1300"/>
        <w:jc w:val="both"/>
      </w:pPr>
      <w:r>
        <w:t>SO.600 krajinářská architektura - Aréna;</w:t>
      </w:r>
    </w:p>
    <w:p w14:paraId="530CEFB8" w14:textId="77777777" w:rsidR="00EC1C40" w:rsidRDefault="00000000">
      <w:pPr>
        <w:pStyle w:val="Zkladntext1"/>
        <w:framePr w:w="9134" w:h="13541" w:hRule="exact" w:wrap="none" w:vAnchor="page" w:hAnchor="page" w:x="1374" w:y="1940"/>
        <w:numPr>
          <w:ilvl w:val="3"/>
          <w:numId w:val="33"/>
        </w:numPr>
        <w:tabs>
          <w:tab w:val="left" w:pos="2189"/>
        </w:tabs>
        <w:spacing w:after="240"/>
        <w:ind w:left="1300"/>
        <w:jc w:val="both"/>
      </w:pPr>
      <w:r>
        <w:t>SO.602 krajinářská architektura park;</w:t>
      </w:r>
    </w:p>
    <w:p w14:paraId="32553771" w14:textId="77777777" w:rsidR="00EC1C40" w:rsidRDefault="00000000">
      <w:pPr>
        <w:pStyle w:val="Zkladntext1"/>
        <w:framePr w:w="9134" w:h="13541" w:hRule="exact" w:wrap="none" w:vAnchor="page" w:hAnchor="page" w:x="1374" w:y="1940"/>
        <w:numPr>
          <w:ilvl w:val="3"/>
          <w:numId w:val="33"/>
        </w:numPr>
        <w:tabs>
          <w:tab w:val="left" w:pos="2189"/>
        </w:tabs>
        <w:spacing w:after="40"/>
        <w:ind w:left="1300"/>
        <w:jc w:val="both"/>
      </w:pPr>
      <w:r>
        <w:t>SO.603 krajinářská architektura - kácení;</w:t>
      </w:r>
    </w:p>
    <w:p w14:paraId="0A3CBC7A" w14:textId="77777777" w:rsidR="00EC1C40" w:rsidRDefault="00000000">
      <w:pPr>
        <w:pStyle w:val="Zkladntext1"/>
        <w:framePr w:w="9134" w:h="13541" w:hRule="exact" w:wrap="none" w:vAnchor="page" w:hAnchor="page" w:x="1374" w:y="1940"/>
        <w:ind w:left="1300"/>
        <w:jc w:val="both"/>
      </w:pPr>
      <w:r>
        <w:t>(dále jen „</w:t>
      </w:r>
      <w:r>
        <w:rPr>
          <w:b/>
          <w:bCs/>
        </w:rPr>
        <w:t>Stavby</w:t>
      </w:r>
      <w:r>
        <w:t xml:space="preserve">“), přičemž projektované umístění těchto jednotlivých stavebních objektů je graficky znázorněno na situačním výkresu, který tvoří </w:t>
      </w:r>
      <w:r>
        <w:rPr>
          <w:u w:val="single"/>
        </w:rPr>
        <w:t>Přílohu č. 2</w:t>
      </w:r>
      <w:r>
        <w:t xml:space="preserve"> této Smlouvy. Infrastruktura dle tohoto čl. 2.1.1 Smlouvy je dále uvedena v přehledu dotčených pozemků, který tvoří </w:t>
      </w:r>
      <w:r>
        <w:rPr>
          <w:u w:val="single"/>
        </w:rPr>
        <w:t>Přílohu č. 3</w:t>
      </w:r>
      <w:r>
        <w:t xml:space="preserve"> této Smlouvy;</w:t>
      </w:r>
    </w:p>
    <w:p w14:paraId="5717404D" w14:textId="77777777" w:rsidR="00EC1C40" w:rsidRDefault="00000000">
      <w:pPr>
        <w:pStyle w:val="Zkladntext1"/>
        <w:framePr w:w="9134" w:h="13541" w:hRule="exact" w:wrap="none" w:vAnchor="page" w:hAnchor="page" w:x="1374" w:y="1940"/>
        <w:numPr>
          <w:ilvl w:val="2"/>
          <w:numId w:val="33"/>
        </w:numPr>
        <w:tabs>
          <w:tab w:val="left" w:pos="1286"/>
        </w:tabs>
        <w:ind w:left="1300" w:hanging="720"/>
        <w:jc w:val="both"/>
      </w:pPr>
      <w:r>
        <w:t xml:space="preserve">umístění a provoz staveniště pro Investiční záměr a Odstranění odpadů a znečištění </w:t>
      </w:r>
      <w:r>
        <w:rPr>
          <w:i/>
          <w:iCs/>
        </w:rPr>
        <w:t>(jak je tento pojem definován v Dohodě o úpravě vztahů)</w:t>
      </w:r>
      <w:r>
        <w:t xml:space="preserve">, umístění zařízení staveniště a souvisejících objektů, včetně dočasných staveb, zařízení a materiálů, deponie (stavebního materiálu, skrývky ornice, vytěžené zeminy atd., nikoliv však deponie vytěženého odpadu v rámci Odstranění odpadů a znečištění), včetně např. </w:t>
      </w:r>
      <w:proofErr w:type="spellStart"/>
      <w:r>
        <w:t>buňkoviště</w:t>
      </w:r>
      <w:proofErr w:type="spellEnd"/>
      <w:r>
        <w:t>, stavebních jeřábů, trafostanice, rozvody elektrického napětí atd.;</w:t>
      </w:r>
    </w:p>
    <w:p w14:paraId="320ABBB7" w14:textId="77777777" w:rsidR="00EC1C40" w:rsidRDefault="00000000">
      <w:pPr>
        <w:pStyle w:val="Zkladntext1"/>
        <w:framePr w:w="9134" w:h="13541" w:hRule="exact" w:wrap="none" w:vAnchor="page" w:hAnchor="page" w:x="1374" w:y="1940"/>
        <w:numPr>
          <w:ilvl w:val="2"/>
          <w:numId w:val="33"/>
        </w:numPr>
        <w:tabs>
          <w:tab w:val="left" w:pos="1286"/>
        </w:tabs>
        <w:ind w:left="1300" w:hanging="720"/>
        <w:jc w:val="both"/>
      </w:pPr>
      <w:r>
        <w:t xml:space="preserve">realizace infrastruktury (dopravní i technické) potřebné pro staveniště (včetně zařízení staveniště a dodávky médií) a výstavbu Investičního záměru a Odstranění odpadů a znečištění </w:t>
      </w:r>
      <w:r>
        <w:rPr>
          <w:i/>
          <w:iCs/>
        </w:rPr>
        <w:t>(jak je tento pojem definován v Dohodě o úpravě vztahů)</w:t>
      </w:r>
      <w:r>
        <w:t xml:space="preserve"> a dále zajištění provozu infrastruktury potřebné pro výstavbu Investičního záměru a Odstranění odpadů a znečištění;</w:t>
      </w:r>
    </w:p>
    <w:p w14:paraId="60D02AFA" w14:textId="77777777" w:rsidR="00EC1C40" w:rsidRDefault="00000000">
      <w:pPr>
        <w:pStyle w:val="Zkladntext1"/>
        <w:framePr w:w="9134" w:h="13541" w:hRule="exact" w:wrap="none" w:vAnchor="page" w:hAnchor="page" w:x="1374" w:y="1940"/>
        <w:numPr>
          <w:ilvl w:val="2"/>
          <w:numId w:val="33"/>
        </w:numPr>
        <w:tabs>
          <w:tab w:val="left" w:pos="1286"/>
        </w:tabs>
        <w:ind w:left="1300" w:hanging="720"/>
        <w:jc w:val="both"/>
      </w:pPr>
      <w:r>
        <w:t xml:space="preserve">přístup (vstup) na staveniště, zajištění staveništní dopravy, včetně dovozu/odvozu stavebních hmot, materiálu a odpadu vznikajícího při realizaci Investičního záměru, včetně odvozu odpadů, zeminy a dalšího materiálu vzniklého či odváženého v souvislosti s procesem Odstranění odpadů a znečištění </w:t>
      </w:r>
      <w:r>
        <w:rPr>
          <w:i/>
          <w:iCs/>
        </w:rPr>
        <w:t>(jak je tento pojem definován v Dohodě o úpravě vztahů)</w:t>
      </w:r>
      <w:r>
        <w:t>;</w:t>
      </w:r>
    </w:p>
    <w:p w14:paraId="2D0DAE4F" w14:textId="77777777" w:rsidR="00EC1C40" w:rsidRDefault="00000000">
      <w:pPr>
        <w:pStyle w:val="Zkladntext1"/>
        <w:framePr w:w="9134" w:h="13541" w:hRule="exact" w:wrap="none" w:vAnchor="page" w:hAnchor="page" w:x="1374" w:y="1940"/>
        <w:numPr>
          <w:ilvl w:val="2"/>
          <w:numId w:val="33"/>
        </w:numPr>
        <w:tabs>
          <w:tab w:val="left" w:pos="1286"/>
        </w:tabs>
        <w:ind w:left="1300" w:hanging="720"/>
        <w:jc w:val="both"/>
      </w:pPr>
      <w:r>
        <w:t xml:space="preserve">provádění průzkumu Předmětu výpůjčky pro účely přípravy Investičního záměru a Odstranění odpadů a znečištění </w:t>
      </w:r>
      <w:r>
        <w:rPr>
          <w:i/>
          <w:iCs/>
        </w:rPr>
        <w:t>(jak je tento pojem definován v Dohodě o úpravě vztahů)</w:t>
      </w:r>
      <w:r>
        <w:t>, tj. zejména provádět příslušné odběry, měření, analýzy, průzkumy, sondy, výkopy, vrty a jiné obdobné zásahy do Předmětu výpůjčky, včetně provádění archeologického a geologického průzkumu;</w:t>
      </w:r>
    </w:p>
    <w:p w14:paraId="00E4DF59" w14:textId="77777777" w:rsidR="00EC1C40" w:rsidRDefault="00000000">
      <w:pPr>
        <w:pStyle w:val="Zkladntext1"/>
        <w:framePr w:w="9134" w:h="13541" w:hRule="exact" w:wrap="none" w:vAnchor="page" w:hAnchor="page" w:x="1374" w:y="1940"/>
        <w:numPr>
          <w:ilvl w:val="2"/>
          <w:numId w:val="33"/>
        </w:numPr>
        <w:tabs>
          <w:tab w:val="left" w:pos="1286"/>
        </w:tabs>
        <w:ind w:left="1300" w:hanging="720"/>
        <w:jc w:val="both"/>
      </w:pPr>
      <w:r>
        <w:t>provádění demoličních prací, terénních prací a úprav a/nebo hrubých terénních úprav potřebných pro činnosti uvedené v tomto čl. 2.1. této Smlouvy, včetně kácení dřevin;</w:t>
      </w:r>
    </w:p>
    <w:p w14:paraId="67591A38" w14:textId="77777777" w:rsidR="00EC1C40" w:rsidRDefault="00000000">
      <w:pPr>
        <w:pStyle w:val="Zkladntext1"/>
        <w:framePr w:w="9134" w:h="13541" w:hRule="exact" w:wrap="none" w:vAnchor="page" w:hAnchor="page" w:x="1374" w:y="1940"/>
        <w:numPr>
          <w:ilvl w:val="2"/>
          <w:numId w:val="33"/>
        </w:numPr>
        <w:tabs>
          <w:tab w:val="left" w:pos="1286"/>
        </w:tabs>
        <w:ind w:left="1300" w:hanging="720"/>
        <w:jc w:val="both"/>
      </w:pPr>
      <w:r>
        <w:t xml:space="preserve">další činnosti výslovně neuvedené v tomto čl. 2.1 Smlouvy, pokud jsou potřebné pro realizaci Investičního záměru a/nebo pro Odstranění odpadů a znečištění </w:t>
      </w:r>
      <w:r>
        <w:rPr>
          <w:i/>
          <w:iCs/>
        </w:rPr>
        <w:t>(jak je tento pojem definován v Dohodě o úpravě vztahů)</w:t>
      </w:r>
      <w:r>
        <w:t xml:space="preserve"> na/v Pozemcích (tento čl. 2.1.7 Smlouvy se však nevztahuje na umístění dalších stavebních objektů neuvedených v čl. 2.1.1 této Smlouvy); a</w:t>
      </w:r>
    </w:p>
    <w:p w14:paraId="604FBBB9" w14:textId="77777777" w:rsidR="00EC1C40" w:rsidRDefault="00000000">
      <w:pPr>
        <w:pStyle w:val="Zkladntext1"/>
        <w:framePr w:w="9134" w:h="13541" w:hRule="exact" w:wrap="none" w:vAnchor="page" w:hAnchor="page" w:x="1374" w:y="1940"/>
        <w:numPr>
          <w:ilvl w:val="2"/>
          <w:numId w:val="33"/>
        </w:numPr>
        <w:tabs>
          <w:tab w:val="left" w:pos="1286"/>
        </w:tabs>
        <w:ind w:firstLine="580"/>
        <w:jc w:val="both"/>
      </w:pPr>
      <w:r>
        <w:t>další činnosti, pokud k nim SMP dá svůj souhlas</w:t>
      </w:r>
    </w:p>
    <w:p w14:paraId="6DE1844B" w14:textId="77777777" w:rsidR="00EC1C40" w:rsidRDefault="00000000">
      <w:pPr>
        <w:pStyle w:val="Zkladntext1"/>
        <w:framePr w:w="9134" w:h="13541" w:hRule="exact" w:wrap="none" w:vAnchor="page" w:hAnchor="page" w:x="1374" w:y="1940"/>
        <w:spacing w:after="240"/>
        <w:ind w:firstLine="580"/>
        <w:jc w:val="both"/>
      </w:pPr>
      <w:r>
        <w:t>(dále jen „</w:t>
      </w:r>
      <w:r>
        <w:rPr>
          <w:b/>
          <w:bCs/>
        </w:rPr>
        <w:t>Činnosti povolené na základě výpůjčky</w:t>
      </w:r>
      <w:r>
        <w:t>“).</w:t>
      </w:r>
    </w:p>
    <w:p w14:paraId="7F9D1426" w14:textId="77777777" w:rsidR="00EC1C40" w:rsidRDefault="00000000">
      <w:pPr>
        <w:pStyle w:val="Zkladntext1"/>
        <w:framePr w:w="9134" w:h="13541" w:hRule="exact" w:wrap="none" w:vAnchor="page" w:hAnchor="page" w:x="1374" w:y="1940"/>
        <w:numPr>
          <w:ilvl w:val="1"/>
          <w:numId w:val="33"/>
        </w:numPr>
        <w:tabs>
          <w:tab w:val="left" w:pos="571"/>
        </w:tabs>
        <w:spacing w:after="0"/>
        <w:ind w:left="580" w:hanging="580"/>
        <w:jc w:val="both"/>
      </w:pPr>
      <w:r>
        <w:t>SMP vyslovuje svůj neodvolatelný souhlas s realizací Činností povolených na základě výpůjčky na Předmětu výpůjčky a s umístěním jednotlivých Staveb uvedených v čl. 2.1 této Smlouvy na/v Předmětu výpůjčky. Investor je oprávněn užívat Předmět výpůjčky v rozsahu Činností povolených na základě výpůjčky a tyto Činnosti povolené na základě výpůjčky na Předmětu výpůjčky realizovat. Tato Smlouva slouží dále i jako právní titul pro umístění staveb (trvalých,</w:t>
      </w:r>
    </w:p>
    <w:p w14:paraId="481AED04" w14:textId="77777777" w:rsidR="00EC1C40" w:rsidRDefault="00000000">
      <w:pPr>
        <w:pStyle w:val="Zhlavnebozpat0"/>
        <w:framePr w:wrap="none" w:vAnchor="page" w:hAnchor="page" w:x="5708" w:y="16085"/>
        <w:rPr>
          <w:sz w:val="22"/>
          <w:szCs w:val="22"/>
        </w:rPr>
      </w:pPr>
      <w:r>
        <w:rPr>
          <w:color w:val="231E20"/>
          <w:sz w:val="22"/>
          <w:szCs w:val="22"/>
        </w:rPr>
        <w:t>5/14</w:t>
      </w:r>
    </w:p>
    <w:p w14:paraId="4C038BFE"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3F1E6B70" w14:textId="77777777" w:rsidR="00EC1C40" w:rsidRDefault="00000000">
      <w:pPr>
        <w:spacing w:line="1" w:lineRule="exact"/>
      </w:pPr>
      <w:r>
        <w:rPr>
          <w:noProof/>
        </w:rPr>
        <w:lastRenderedPageBreak/>
        <mc:AlternateContent>
          <mc:Choice Requires="wps">
            <w:drawing>
              <wp:anchor distT="0" distB="0" distL="114300" distR="114300" simplePos="0" relativeHeight="251698688" behindDoc="1" locked="0" layoutInCell="1" allowOverlap="1" wp14:anchorId="78E369D5" wp14:editId="475FFB3A">
                <wp:simplePos x="0" y="0"/>
                <wp:positionH relativeFrom="page">
                  <wp:posOffset>946150</wp:posOffset>
                </wp:positionH>
                <wp:positionV relativeFrom="page">
                  <wp:posOffset>932180</wp:posOffset>
                </wp:positionV>
                <wp:extent cx="5702935" cy="0"/>
                <wp:effectExtent l="0" t="0" r="0" b="0"/>
                <wp:wrapNone/>
                <wp:docPr id="115" name="Shape 115"/>
                <wp:cNvGraphicFramePr/>
                <a:graphic xmlns:a="http://schemas.openxmlformats.org/drawingml/2006/main">
                  <a:graphicData uri="http://schemas.microsoft.com/office/word/2010/wordprocessingShape">
                    <wps:wsp>
                      <wps:cNvCnPr/>
                      <wps:spPr>
                        <a:xfrm>
                          <a:off x="0" y="0"/>
                          <a:ext cx="5702935" cy="0"/>
                        </a:xfrm>
                        <a:prstGeom prst="straightConnector1">
                          <a:avLst/>
                        </a:prstGeom>
                        <a:ln w="6350">
                          <a:solidFill/>
                        </a:ln>
                      </wps:spPr>
                      <wps:bodyPr/>
                    </wps:wsp>
                  </a:graphicData>
                </a:graphic>
              </wp:anchor>
            </w:drawing>
          </mc:Choice>
          <mc:Fallback>
            <w:pict>
              <v:shape o:spt="32" o:oned="true" path="m,l21600,21600e" style="position:absolute;margin-left:74.5pt;margin-top:73.400000000000006pt;width:449.05000000000001pt;height:0;z-index:-251658240;mso-position-horizontal-relative:page;mso-position-vertical-relative:page">
                <v:stroke weight="0.5pt"/>
              </v:shape>
            </w:pict>
          </mc:Fallback>
        </mc:AlternateContent>
      </w:r>
    </w:p>
    <w:p w14:paraId="0D0C6B34" w14:textId="77777777" w:rsidR="00EC1C40" w:rsidRDefault="00000000">
      <w:pPr>
        <w:pStyle w:val="Zhlavnebozpat0"/>
        <w:framePr w:w="1483" w:h="240" w:hRule="exact" w:wrap="none" w:vAnchor="page" w:hAnchor="page" w:x="5245" w:y="1186"/>
        <w:jc w:val="center"/>
      </w:pPr>
      <w:r>
        <w:t>Smlouva o výpůjčce</w:t>
      </w:r>
    </w:p>
    <w:p w14:paraId="30795041" w14:textId="77777777" w:rsidR="00EC1C40" w:rsidRDefault="00000000">
      <w:pPr>
        <w:pStyle w:val="Zkladntext1"/>
        <w:framePr w:w="9110" w:h="13502" w:hRule="exact" w:wrap="none" w:vAnchor="page" w:hAnchor="page" w:x="1386" w:y="1940"/>
        <w:spacing w:after="40"/>
        <w:ind w:left="580"/>
        <w:jc w:val="both"/>
      </w:pPr>
      <w:r>
        <w:t>dočasných atd.) vybudovaných v souladu s Činnostmi povolenými na základě výpůjčky na Předmětu výpůjčky po dobu trvání výpůjčky; tím nejsou dotčeny povinnosti Investora zřídit trvalý právní titul pro umístění trvalých staveb převzaté na základě dalších smluv uzavřených mezi Investorem a SMP.</w:t>
      </w:r>
    </w:p>
    <w:p w14:paraId="3908A774" w14:textId="77777777" w:rsidR="00EC1C40" w:rsidRDefault="00000000">
      <w:pPr>
        <w:pStyle w:val="Zkladntext1"/>
        <w:framePr w:w="9110" w:h="13502" w:hRule="exact" w:wrap="none" w:vAnchor="page" w:hAnchor="page" w:x="1386" w:y="1940"/>
        <w:numPr>
          <w:ilvl w:val="1"/>
          <w:numId w:val="33"/>
        </w:numPr>
        <w:tabs>
          <w:tab w:val="left" w:pos="571"/>
        </w:tabs>
        <w:spacing w:after="120"/>
        <w:ind w:left="580" w:hanging="580"/>
        <w:jc w:val="both"/>
      </w:pPr>
      <w:r>
        <w:t>Investor není oprávněn přenechat Předmět výpůjčky třetím osobám do užívání za úplatu bez předchozího písemného souhlasu SMP. Investor je oprávněn umožnit bezúplatné užívání Předmětu výpůjčky a realizaci Činností povolených na základě výpůjčky i třetím osobám, které realizují či se podílejí na výstavbě Investičního záměru (např. generální zhotovitel, (sub)zhotovitelé, jejich zaměstnanci a spolupracující osoby atp.); pro odstranění jakýchkoli pochybností se výslovně sjednává, že bezúplatným užíváním Předmětu výpůjčky a realizací Činností povolených na základě výpůjčky je pro účely této Smlouvy i poskytnutí Předmětu výpůjčky těmto osobám v rámci úplatných smluv o dílo či jiných úplatných právních jednání uzavíraných mezi Investorem a příslušnými zhotoviteli (subdodavateli). Toto ustanovení čl. 2.3 Smlouvy se nevztahuje na vztahy mezi generálním dodavatelem a jeho subdodavateli, respektive na vztahy mezi smluvními partnery Investora a jejich subdodavateli (tzn. že tito subdodavatelé a smluvní partneři mohou užívat Předmět výpůjčky bez dalšího).</w:t>
      </w:r>
    </w:p>
    <w:p w14:paraId="1C0CDED1" w14:textId="77777777" w:rsidR="00EC1C40" w:rsidRDefault="00000000">
      <w:pPr>
        <w:pStyle w:val="Zkladntext1"/>
        <w:framePr w:w="9110" w:h="13502" w:hRule="exact" w:wrap="none" w:vAnchor="page" w:hAnchor="page" w:x="1386" w:y="1940"/>
        <w:numPr>
          <w:ilvl w:val="1"/>
          <w:numId w:val="33"/>
        </w:numPr>
        <w:tabs>
          <w:tab w:val="left" w:pos="571"/>
        </w:tabs>
        <w:spacing w:after="120"/>
        <w:ind w:left="580" w:hanging="580"/>
        <w:jc w:val="both"/>
      </w:pPr>
      <w:r>
        <w:t xml:space="preserve">Smluvní strany jsou si vědomy a tímto prohlašují, že v souvislosti s převodem vlastnického práva k pozemku </w:t>
      </w:r>
      <w:proofErr w:type="spellStart"/>
      <w:r>
        <w:t>parc</w:t>
      </w:r>
      <w:proofErr w:type="spellEnd"/>
      <w:r>
        <w:t xml:space="preserve">. č. 3684/1, </w:t>
      </w:r>
      <w:proofErr w:type="spellStart"/>
      <w:r>
        <w:t>k.ú</w:t>
      </w:r>
      <w:proofErr w:type="spellEnd"/>
      <w:r>
        <w:t xml:space="preserve">. Pardubice, z Investora na SMP na základě směnné smlouvy uzavřené mezi SMP a Investorem, dojde k rozšíření Předmětu výpůjčky o tento pozemek, a to na základě příslušného dodatku k této Smlouvě, který Smluvní strany uzavřou bez zbytečného odkladu, a po splnění všech právními předpisy požadovaných náležitostí. Smluvní strany si za tím účelem poskytnou veškerou potřebnou součinnost. V rámci dodatku k této Smlouvě Smluvní strany rovněž adekvátním způsobem rozšíří Činnosti povolené na základě výpůjčky (jelikož na pozemku </w:t>
      </w:r>
      <w:proofErr w:type="spellStart"/>
      <w:r>
        <w:t>parc</w:t>
      </w:r>
      <w:proofErr w:type="spellEnd"/>
      <w:r>
        <w:t xml:space="preserve">. č. 3684/1, </w:t>
      </w:r>
      <w:proofErr w:type="spellStart"/>
      <w:r>
        <w:t>k.ú</w:t>
      </w:r>
      <w:proofErr w:type="spellEnd"/>
      <w:r>
        <w:t xml:space="preserve">. Pardubice je aktuálně povolena samotná realizace Odstranění odpadů a znečištění, nikoli pouze odvoz odpadů či jiných produktů vzniklých v rámci Odstranění odpadů a znečištění či další činnosti dle této Smlouvy, přičemž dále mají být na tomto pozemku </w:t>
      </w:r>
      <w:proofErr w:type="spellStart"/>
      <w:r>
        <w:t>parc</w:t>
      </w:r>
      <w:proofErr w:type="spellEnd"/>
      <w:r>
        <w:t xml:space="preserve">. č. 3684/1, </w:t>
      </w:r>
      <w:proofErr w:type="spellStart"/>
      <w:r>
        <w:t>k.ú</w:t>
      </w:r>
      <w:proofErr w:type="spellEnd"/>
      <w:r>
        <w:t xml:space="preserve">. Pardubice realizovány za stanovených podmínek činnosti dle čl. 2.10. Dohody o úpravě vztahů). Užívání pozemku </w:t>
      </w:r>
      <w:proofErr w:type="spellStart"/>
      <w:r>
        <w:t>parc</w:t>
      </w:r>
      <w:proofErr w:type="spellEnd"/>
      <w:r>
        <w:t xml:space="preserve">. č. 3684/1, </w:t>
      </w:r>
      <w:proofErr w:type="spellStart"/>
      <w:r>
        <w:t>k.ú</w:t>
      </w:r>
      <w:proofErr w:type="spellEnd"/>
      <w:r>
        <w:t>. Pardubice na základě směnné smlouvy (respektive vlastnického práva Investora) a užívání tohoto pozemku na základě této Smlouvy na sebe musí plynule navazovat.</w:t>
      </w:r>
    </w:p>
    <w:p w14:paraId="34CCAAF4" w14:textId="77777777" w:rsidR="00EC1C40" w:rsidRDefault="00000000">
      <w:pPr>
        <w:pStyle w:val="Zkladntext1"/>
        <w:framePr w:w="9110" w:h="13502" w:hRule="exact" w:wrap="none" w:vAnchor="page" w:hAnchor="page" w:x="1386" w:y="1940"/>
        <w:numPr>
          <w:ilvl w:val="1"/>
          <w:numId w:val="33"/>
        </w:numPr>
        <w:tabs>
          <w:tab w:val="left" w:pos="571"/>
        </w:tabs>
        <w:spacing w:after="240"/>
        <w:ind w:left="580" w:hanging="580"/>
        <w:jc w:val="both"/>
      </w:pPr>
      <w:r>
        <w:t xml:space="preserve">Smluvní strany jsou si vědomy a sjednávají, že v souvislosti s nabytím vlastnického práva k části pozemku </w:t>
      </w:r>
      <w:proofErr w:type="spellStart"/>
      <w:r>
        <w:t>parc</w:t>
      </w:r>
      <w:proofErr w:type="spellEnd"/>
      <w:r>
        <w:t xml:space="preserve">. č. 1584/9, </w:t>
      </w:r>
      <w:proofErr w:type="spellStart"/>
      <w:r>
        <w:t>k.ú</w:t>
      </w:r>
      <w:proofErr w:type="spellEnd"/>
      <w:r>
        <w:t xml:space="preserve">. Pardubice, který je oddělen na základě geometrického plánu pro rozdělení pozemku č. 11023-1121/2025, zhotoveného GON Hradec Králové, a.s., Zemědělská 897/5, 500 03 Hradec Králové, potvrzeného katastrálním úřadem pro Pardubický kraj, Katastrální pracoviště Pardubice pod PGP 1976/2025-606, nově označeném jako pozemek </w:t>
      </w:r>
      <w:proofErr w:type="spellStart"/>
      <w:r>
        <w:t>parc</w:t>
      </w:r>
      <w:proofErr w:type="spellEnd"/>
      <w:r>
        <w:t xml:space="preserve">. č. 1584/14, </w:t>
      </w:r>
      <w:proofErr w:type="spellStart"/>
      <w:r>
        <w:t>k.ú</w:t>
      </w:r>
      <w:proofErr w:type="spellEnd"/>
      <w:r>
        <w:t>. Pardubice, o výměře 487 m2 (dále jen „</w:t>
      </w:r>
      <w:r>
        <w:rPr>
          <w:b/>
          <w:bCs/>
        </w:rPr>
        <w:t>Pozemek SPÚ</w:t>
      </w:r>
      <w:r>
        <w:t xml:space="preserve">“), ze strany SMP dojde k rozšíření Předmětu výpůjčky rovněž o tento Pozemek SPÚ, a to na základě příslušného dodatku k této Smlouvě a po splnění všech právními předpisy požadovaných náležitostí, přičemž tento dodatek uzavřou Smluvní strany bez zbytečného odkladu, nejdéle do tří (3) měsíců od nabytí vlastnického práva k Pozemku SPÚ ze strany SMP. V rámci dodatku k této Smlouvě Smluvní strany rovněž adekvátním způsobem rozšíří Činnosti povolené na základě výpůjčky, jelikož na tomto Pozemku SPÚ má být realizována Připojovací komunikace </w:t>
      </w:r>
      <w:r>
        <w:rPr>
          <w:i/>
          <w:iCs/>
        </w:rPr>
        <w:t>(jak je tento pojem definován v Plánovací smlouvě),</w:t>
      </w:r>
      <w:r>
        <w:t xml:space="preserve"> pokud to bude nezbytné.</w:t>
      </w:r>
    </w:p>
    <w:p w14:paraId="2AC720DE" w14:textId="77777777" w:rsidR="00EC1C40" w:rsidRDefault="00000000">
      <w:pPr>
        <w:pStyle w:val="Zkladntext1"/>
        <w:framePr w:w="9110" w:h="13502" w:hRule="exact" w:wrap="none" w:vAnchor="page" w:hAnchor="page" w:x="1386" w:y="1940"/>
        <w:numPr>
          <w:ilvl w:val="1"/>
          <w:numId w:val="33"/>
        </w:numPr>
        <w:tabs>
          <w:tab w:val="left" w:pos="571"/>
        </w:tabs>
        <w:spacing w:after="40"/>
        <w:ind w:left="580" w:hanging="580"/>
        <w:jc w:val="both"/>
      </w:pPr>
      <w:r>
        <w:t>Pro tu část Předmětu výpůjčky, na které Investor realizuje Odstranění odpadů a znečištění, se Investor nad rámec povinností uvedených v této Smlouvě zavazuje dodržovat následující podmínky týkající se Odstranění odpadů a znečištění (nikoli však již Investičního záměru):</w:t>
      </w:r>
    </w:p>
    <w:p w14:paraId="3444B067" w14:textId="77777777" w:rsidR="00EC1C40" w:rsidRDefault="00000000">
      <w:pPr>
        <w:pStyle w:val="Zkladntext1"/>
        <w:framePr w:w="9110" w:h="13502" w:hRule="exact" w:wrap="none" w:vAnchor="page" w:hAnchor="page" w:x="1386" w:y="1940"/>
        <w:numPr>
          <w:ilvl w:val="2"/>
          <w:numId w:val="33"/>
        </w:numPr>
        <w:tabs>
          <w:tab w:val="left" w:pos="1290"/>
        </w:tabs>
        <w:spacing w:after="0"/>
        <w:ind w:left="1280" w:hanging="700"/>
        <w:jc w:val="both"/>
      </w:pPr>
      <w:r>
        <w:t>směřovat odvoz odpadů co nejkratší možnou cestou na komunikaci I. třídy č. 36 (po vybudování severovýchodního obchvatu Pardubic). V případě, že nebude možný vjezd</w:t>
      </w:r>
    </w:p>
    <w:p w14:paraId="4A302B65" w14:textId="77777777" w:rsidR="00EC1C40" w:rsidRDefault="00000000">
      <w:pPr>
        <w:pStyle w:val="Zhlavnebozpat0"/>
        <w:framePr w:wrap="none" w:vAnchor="page" w:hAnchor="page" w:x="5706" w:y="16085"/>
        <w:rPr>
          <w:sz w:val="22"/>
          <w:szCs w:val="22"/>
        </w:rPr>
      </w:pPr>
      <w:r>
        <w:rPr>
          <w:color w:val="231E20"/>
          <w:sz w:val="22"/>
          <w:szCs w:val="22"/>
        </w:rPr>
        <w:t>6/14</w:t>
      </w:r>
    </w:p>
    <w:p w14:paraId="34FDA293"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0152B5ED" w14:textId="77777777" w:rsidR="00EC1C40" w:rsidRDefault="00000000">
      <w:pPr>
        <w:spacing w:line="1" w:lineRule="exact"/>
      </w:pPr>
      <w:r>
        <w:rPr>
          <w:noProof/>
        </w:rPr>
        <w:lastRenderedPageBreak/>
        <mc:AlternateContent>
          <mc:Choice Requires="wps">
            <w:drawing>
              <wp:anchor distT="0" distB="0" distL="114300" distR="114300" simplePos="0" relativeHeight="251699712" behindDoc="1" locked="0" layoutInCell="1" allowOverlap="1" wp14:anchorId="4835BACF" wp14:editId="504C6FC4">
                <wp:simplePos x="0" y="0"/>
                <wp:positionH relativeFrom="page">
                  <wp:posOffset>948055</wp:posOffset>
                </wp:positionH>
                <wp:positionV relativeFrom="page">
                  <wp:posOffset>932180</wp:posOffset>
                </wp:positionV>
                <wp:extent cx="5702300" cy="0"/>
                <wp:effectExtent l="0" t="0" r="0" b="0"/>
                <wp:wrapNone/>
                <wp:docPr id="116" name="Shape 116"/>
                <wp:cNvGraphicFramePr/>
                <a:graphic xmlns:a="http://schemas.openxmlformats.org/drawingml/2006/main">
                  <a:graphicData uri="http://schemas.microsoft.com/office/word/2010/wordprocessingShape">
                    <wps:wsp>
                      <wps:cNvCnPr/>
                      <wps:spPr>
                        <a:xfrm>
                          <a:off x="0" y="0"/>
                          <a:ext cx="5702300" cy="0"/>
                        </a:xfrm>
                        <a:prstGeom prst="straightConnector1">
                          <a:avLst/>
                        </a:prstGeom>
                        <a:ln w="6350">
                          <a:solidFill/>
                        </a:ln>
                      </wps:spPr>
                      <wps:bodyPr/>
                    </wps:wsp>
                  </a:graphicData>
                </a:graphic>
              </wp:anchor>
            </w:drawing>
          </mc:Choice>
          <mc:Fallback>
            <w:pict>
              <v:shape o:spt="32" o:oned="true" path="m,l21600,21600e" style="position:absolute;margin-left:74.650000000000006pt;margin-top:73.400000000000006pt;width:449.pt;height:0;z-index:-251658240;mso-position-horizontal-relative:page;mso-position-vertical-relative:page">
                <v:stroke weight="0.5pt"/>
              </v:shape>
            </w:pict>
          </mc:Fallback>
        </mc:AlternateContent>
      </w:r>
    </w:p>
    <w:p w14:paraId="5D19F460" w14:textId="77777777" w:rsidR="00EC1C40" w:rsidRDefault="00000000">
      <w:pPr>
        <w:pStyle w:val="Zhlavnebozpat0"/>
        <w:framePr w:w="1483" w:h="240" w:hRule="exact" w:wrap="none" w:vAnchor="page" w:hAnchor="page" w:x="5247" w:y="1186"/>
        <w:jc w:val="center"/>
      </w:pPr>
      <w:r>
        <w:t>Smlouva o výpůjčce</w:t>
      </w:r>
    </w:p>
    <w:p w14:paraId="47C0F851" w14:textId="77777777" w:rsidR="00EC1C40" w:rsidRDefault="00000000">
      <w:pPr>
        <w:pStyle w:val="Zkladntext1"/>
        <w:framePr w:w="9115" w:h="13214" w:hRule="exact" w:wrap="none" w:vAnchor="page" w:hAnchor="page" w:x="1383" w:y="1940"/>
        <w:spacing w:after="120"/>
        <w:ind w:left="1280"/>
        <w:jc w:val="both"/>
      </w:pPr>
      <w:r>
        <w:t>na severovýchodní obchvat z důvodu vyšší moci (např. dopravní nehoda, pád stromu, nedokončení komunikace atd.), bude doprava vedena po komunikaci II. třídy č. 324, ve směru na komunikaci III. třídy č. 32224 a dále ke kruhovému objezdu (budoucí křížení) komunikace III. třídy č. 32224 a komunikace I. třídy č. 36 s výjezdem na komunikaci I. třídy č. 37;</w:t>
      </w:r>
    </w:p>
    <w:p w14:paraId="510320E1" w14:textId="77777777" w:rsidR="00EC1C40" w:rsidRDefault="00000000">
      <w:pPr>
        <w:pStyle w:val="Zkladntext1"/>
        <w:framePr w:w="9115" w:h="13214" w:hRule="exact" w:wrap="none" w:vAnchor="page" w:hAnchor="page" w:x="1383" w:y="1940"/>
        <w:numPr>
          <w:ilvl w:val="2"/>
          <w:numId w:val="33"/>
        </w:numPr>
        <w:tabs>
          <w:tab w:val="left" w:pos="1290"/>
        </w:tabs>
        <w:spacing w:after="120"/>
        <w:ind w:left="1280" w:hanging="700"/>
        <w:jc w:val="both"/>
      </w:pPr>
      <w:r>
        <w:t>zajistit, aby přeprava nebyla v žádném případě uskutečňována po komunikacích II. třídy č. 324, ve směru do centra města, nebo po místních komunikacích I. třídy v ulicích Kosmonautů, Bohdanečská, Bělehradská, K Polabinám, Palackého třída;</w:t>
      </w:r>
    </w:p>
    <w:p w14:paraId="00112F55" w14:textId="77777777" w:rsidR="00EC1C40" w:rsidRDefault="00000000">
      <w:pPr>
        <w:pStyle w:val="Zkladntext1"/>
        <w:framePr w:w="9115" w:h="13214" w:hRule="exact" w:wrap="none" w:vAnchor="page" w:hAnchor="page" w:x="1383" w:y="1940"/>
        <w:numPr>
          <w:ilvl w:val="2"/>
          <w:numId w:val="33"/>
        </w:numPr>
        <w:tabs>
          <w:tab w:val="left" w:pos="1290"/>
        </w:tabs>
        <w:spacing w:after="120"/>
        <w:ind w:left="1280" w:hanging="700"/>
        <w:jc w:val="both"/>
      </w:pPr>
      <w:r>
        <w:t>zajistit, aby ložné plochy vozidel byly vždy zakryty plachtami, nebo přepravovány v uzavřeném kontejneru, aby se zabránilo nadměrné prašnosti, kontaminaci a znečištění komunikací;</w:t>
      </w:r>
    </w:p>
    <w:p w14:paraId="2E519052" w14:textId="77777777" w:rsidR="00EC1C40" w:rsidRDefault="00000000">
      <w:pPr>
        <w:pStyle w:val="Zkladntext1"/>
        <w:framePr w:w="9115" w:h="13214" w:hRule="exact" w:wrap="none" w:vAnchor="page" w:hAnchor="page" w:x="1383" w:y="1940"/>
        <w:numPr>
          <w:ilvl w:val="2"/>
          <w:numId w:val="33"/>
        </w:numPr>
        <w:tabs>
          <w:tab w:val="left" w:pos="1290"/>
        </w:tabs>
        <w:spacing w:after="120"/>
        <w:ind w:left="1280" w:hanging="700"/>
        <w:jc w:val="both"/>
      </w:pPr>
      <w:r>
        <w:t>zajistit, že nedojde ke znečištění komunikací v souvislosti s odvozem materiálu z bývalé skládky;</w:t>
      </w:r>
    </w:p>
    <w:p w14:paraId="0A1A555D" w14:textId="77777777" w:rsidR="00EC1C40" w:rsidRDefault="00000000">
      <w:pPr>
        <w:pStyle w:val="Zkladntext1"/>
        <w:framePr w:w="9115" w:h="13214" w:hRule="exact" w:wrap="none" w:vAnchor="page" w:hAnchor="page" w:x="1383" w:y="1940"/>
        <w:numPr>
          <w:ilvl w:val="2"/>
          <w:numId w:val="33"/>
        </w:numPr>
        <w:tabs>
          <w:tab w:val="left" w:pos="1290"/>
        </w:tabs>
        <w:spacing w:after="0" w:line="338" w:lineRule="auto"/>
        <w:ind w:firstLine="580"/>
        <w:jc w:val="both"/>
      </w:pPr>
      <w:r>
        <w:t>zajistit neprodlený úklid dotčených komunikací;</w:t>
      </w:r>
    </w:p>
    <w:p w14:paraId="2F497B0C" w14:textId="77777777" w:rsidR="00EC1C40" w:rsidRDefault="00000000">
      <w:pPr>
        <w:pStyle w:val="Zkladntext1"/>
        <w:framePr w:w="9115" w:h="13214" w:hRule="exact" w:wrap="none" w:vAnchor="page" w:hAnchor="page" w:x="1383" w:y="1940"/>
        <w:numPr>
          <w:ilvl w:val="2"/>
          <w:numId w:val="33"/>
        </w:numPr>
        <w:tabs>
          <w:tab w:val="left" w:pos="1290"/>
        </w:tabs>
        <w:spacing w:after="120" w:line="338" w:lineRule="auto"/>
        <w:ind w:left="580"/>
        <w:jc w:val="both"/>
      </w:pPr>
      <w:r>
        <w:t>výše stanovené podmínky se vztahují i k příjezdovým trasám k bývalé skládce odpadů. Porušení těchto povinností Investora nemá vliv na trvání výpůjčky.</w:t>
      </w:r>
    </w:p>
    <w:p w14:paraId="31023FEC" w14:textId="77777777" w:rsidR="00EC1C40" w:rsidRDefault="00000000">
      <w:pPr>
        <w:pStyle w:val="Zkladntext1"/>
        <w:framePr w:w="9115" w:h="13214" w:hRule="exact" w:wrap="none" w:vAnchor="page" w:hAnchor="page" w:x="1383" w:y="1940"/>
        <w:numPr>
          <w:ilvl w:val="1"/>
          <w:numId w:val="33"/>
        </w:numPr>
        <w:tabs>
          <w:tab w:val="left" w:pos="575"/>
        </w:tabs>
        <w:spacing w:after="60" w:line="257" w:lineRule="auto"/>
        <w:ind w:left="580" w:hanging="580"/>
        <w:jc w:val="both"/>
      </w:pPr>
      <w:r>
        <w:t xml:space="preserve">Smluvní strany jsou si vědomy, že pozemky </w:t>
      </w:r>
      <w:proofErr w:type="spellStart"/>
      <w:r>
        <w:t>parc</w:t>
      </w:r>
      <w:proofErr w:type="spellEnd"/>
      <w:r>
        <w:t xml:space="preserve">. č. 2678/1 a </w:t>
      </w:r>
      <w:proofErr w:type="spellStart"/>
      <w:r>
        <w:t>parc</w:t>
      </w:r>
      <w:proofErr w:type="spellEnd"/>
      <w:r>
        <w:t xml:space="preserve">. č. 1575, oba </w:t>
      </w:r>
      <w:proofErr w:type="spellStart"/>
      <w:r>
        <w:t>k.ú</w:t>
      </w:r>
      <w:proofErr w:type="spellEnd"/>
      <w:r>
        <w:t>. Pardubice, jsou předmětem směny, která bude realizována na základě smlouvy o smlouvě budoucí uzavírané mezi Investorem a SMP; vlastnické právo k těmto pozemkům bude převedeno na základě příslušné směnné smlouvy a za dohodnutých podmínek na Investora, přičemž spolu s převodem vlastnického práva na Investora dojde i k převodu jednotlivých částí a příslušenství těchto pozemků, včetně případných úprav, parkových prvků, staveb atd., které jsou součástí či příslušenstvím těchto pozemků, a které realizuje případně Investor.</w:t>
      </w:r>
    </w:p>
    <w:p w14:paraId="3E5AFBEE" w14:textId="77777777" w:rsidR="00EC1C40" w:rsidRDefault="00000000">
      <w:pPr>
        <w:pStyle w:val="Nadpis60"/>
        <w:framePr w:w="9115" w:h="13214" w:hRule="exact" w:wrap="none" w:vAnchor="page" w:hAnchor="page" w:x="1383" w:y="1940"/>
        <w:numPr>
          <w:ilvl w:val="0"/>
          <w:numId w:val="33"/>
        </w:numPr>
        <w:tabs>
          <w:tab w:val="left" w:pos="575"/>
        </w:tabs>
        <w:spacing w:after="220"/>
        <w:jc w:val="both"/>
      </w:pPr>
      <w:bookmarkStart w:id="79" w:name="bookmark159"/>
      <w:r>
        <w:t>Další práva a povinnosti Smluvních stran</w:t>
      </w:r>
      <w:bookmarkEnd w:id="79"/>
    </w:p>
    <w:p w14:paraId="437F9FF8" w14:textId="77777777" w:rsidR="00EC1C40" w:rsidRDefault="00000000">
      <w:pPr>
        <w:pStyle w:val="Zkladntext1"/>
        <w:framePr w:w="9115" w:h="13214" w:hRule="exact" w:wrap="none" w:vAnchor="page" w:hAnchor="page" w:x="1383" w:y="1940"/>
        <w:numPr>
          <w:ilvl w:val="1"/>
          <w:numId w:val="33"/>
        </w:numPr>
        <w:tabs>
          <w:tab w:val="left" w:pos="575"/>
        </w:tabs>
        <w:spacing w:after="220"/>
        <w:ind w:left="580" w:hanging="580"/>
        <w:jc w:val="both"/>
      </w:pPr>
      <w:r>
        <w:t>Investor bude Činnosti povolené na základě výpůjčky realizovat v souladu s právními předpisy a příslušnými veřejnoprávními povoleními. Další předpoklady a smluvní podmínky pro výstavbu a umístění Staveb dle čl. 2.1.1 této Smlouvy jsou uvedeny v Plánovací smlouvě a jsou pro Investora závazné po dobu trvání této Smlouvy (a to i v případě zániku Plánovací smlouvy).</w:t>
      </w:r>
    </w:p>
    <w:p w14:paraId="1228C404" w14:textId="77777777" w:rsidR="00EC1C40" w:rsidRDefault="00000000">
      <w:pPr>
        <w:pStyle w:val="Zkladntext1"/>
        <w:framePr w:w="9115" w:h="13214" w:hRule="exact" w:wrap="none" w:vAnchor="page" w:hAnchor="page" w:x="1383" w:y="1940"/>
        <w:numPr>
          <w:ilvl w:val="1"/>
          <w:numId w:val="33"/>
        </w:numPr>
        <w:tabs>
          <w:tab w:val="left" w:pos="575"/>
        </w:tabs>
        <w:spacing w:after="220"/>
        <w:ind w:left="580" w:hanging="580"/>
        <w:jc w:val="both"/>
      </w:pPr>
      <w:r>
        <w:t>Za organizaci a zajištění požární ochrany, bezpečnosti a ochrany zdraví při práci a hygieny v souladu s platnými předpisy odpovídá na Předmětu výpůjčky Investor.</w:t>
      </w:r>
    </w:p>
    <w:p w14:paraId="40F4758A" w14:textId="77777777" w:rsidR="00EC1C40" w:rsidRDefault="00000000">
      <w:pPr>
        <w:pStyle w:val="Zkladntext1"/>
        <w:framePr w:w="9115" w:h="13214" w:hRule="exact" w:wrap="none" w:vAnchor="page" w:hAnchor="page" w:x="1383" w:y="1940"/>
        <w:numPr>
          <w:ilvl w:val="1"/>
          <w:numId w:val="33"/>
        </w:numPr>
        <w:tabs>
          <w:tab w:val="left" w:pos="575"/>
        </w:tabs>
        <w:spacing w:after="220"/>
        <w:ind w:left="580" w:hanging="580"/>
        <w:jc w:val="both"/>
      </w:pPr>
      <w:r>
        <w:t>Jakékoliv výnosy (plody a/nebo užitky) z Předmětu výpůjčky vzniklé po dobu trvání výpůjčky náleží Investorovi.</w:t>
      </w:r>
    </w:p>
    <w:p w14:paraId="7D4E0FC9" w14:textId="77777777" w:rsidR="00EC1C40" w:rsidRDefault="00000000">
      <w:pPr>
        <w:pStyle w:val="Zkladntext1"/>
        <w:framePr w:w="9115" w:h="13214" w:hRule="exact" w:wrap="none" w:vAnchor="page" w:hAnchor="page" w:x="1383" w:y="1940"/>
        <w:numPr>
          <w:ilvl w:val="1"/>
          <w:numId w:val="33"/>
        </w:numPr>
        <w:tabs>
          <w:tab w:val="left" w:pos="575"/>
        </w:tabs>
        <w:spacing w:after="60"/>
        <w:ind w:left="580" w:hanging="580"/>
        <w:jc w:val="both"/>
      </w:pPr>
      <w:r>
        <w:t>SMP souhlasí s vynětím pozemků, které jsou součástí Předmětu výpůjčky, ze zemědělského půdního fondu a poskytne za tím účelem Investorovi součinnost potřebnou pro toto vynětí, včetně udělení příslušného souhlasu s tímto vynětím atd. SMP souhlasí s kácením dřevin na Předmětu výpůjčky. Tato Smlouva dále nahrazuje souhlas SMP, coby vlastníka Předmětu výpůjčky s kácením dřevin rostoucích na Předmětu výpůjčky pokud se jedná o dřeviny, které nepodléhají povolení ke kácení dřevin. Případné kácení dřevin včetně odstranění dřevní hmoty proběhne bez finanční spoluúčasti SMP.</w:t>
      </w:r>
    </w:p>
    <w:p w14:paraId="36C09E5C" w14:textId="77777777" w:rsidR="00EC1C40" w:rsidRDefault="00000000">
      <w:pPr>
        <w:pStyle w:val="Zkladntext1"/>
        <w:framePr w:w="9115" w:h="13214" w:hRule="exact" w:wrap="none" w:vAnchor="page" w:hAnchor="page" w:x="1383" w:y="1940"/>
        <w:numPr>
          <w:ilvl w:val="1"/>
          <w:numId w:val="33"/>
        </w:numPr>
        <w:tabs>
          <w:tab w:val="left" w:pos="575"/>
        </w:tabs>
        <w:spacing w:after="0"/>
        <w:ind w:left="580" w:hanging="580"/>
        <w:jc w:val="both"/>
      </w:pPr>
      <w:r>
        <w:t>SMP se zavazuje, že po dobu trvání této Smlouvy neumožní užívat Předmět výpůjčky žádnému jinému subjektu (osobě) než Investorovi a osobám, kterým Investor udělil souhlas.</w:t>
      </w:r>
    </w:p>
    <w:p w14:paraId="16881182" w14:textId="77777777" w:rsidR="00EC1C40" w:rsidRDefault="00000000">
      <w:pPr>
        <w:pStyle w:val="Zhlavnebozpat0"/>
        <w:framePr w:wrap="none" w:vAnchor="page" w:hAnchor="page" w:x="5708" w:y="16085"/>
        <w:rPr>
          <w:sz w:val="22"/>
          <w:szCs w:val="22"/>
        </w:rPr>
      </w:pPr>
      <w:r>
        <w:rPr>
          <w:color w:val="231E20"/>
          <w:sz w:val="22"/>
          <w:szCs w:val="22"/>
        </w:rPr>
        <w:t>7/14</w:t>
      </w:r>
    </w:p>
    <w:p w14:paraId="7D1452C8"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0FB8C975" w14:textId="77777777" w:rsidR="00EC1C40" w:rsidRDefault="00000000">
      <w:pPr>
        <w:spacing w:line="1" w:lineRule="exact"/>
      </w:pPr>
      <w:r>
        <w:rPr>
          <w:noProof/>
        </w:rPr>
        <w:lastRenderedPageBreak/>
        <mc:AlternateContent>
          <mc:Choice Requires="wps">
            <w:drawing>
              <wp:anchor distT="0" distB="0" distL="114300" distR="114300" simplePos="0" relativeHeight="251700736" behindDoc="1" locked="0" layoutInCell="1" allowOverlap="1" wp14:anchorId="1F688081" wp14:editId="0716A797">
                <wp:simplePos x="0" y="0"/>
                <wp:positionH relativeFrom="page">
                  <wp:posOffset>950595</wp:posOffset>
                </wp:positionH>
                <wp:positionV relativeFrom="page">
                  <wp:posOffset>932180</wp:posOffset>
                </wp:positionV>
                <wp:extent cx="5702935" cy="0"/>
                <wp:effectExtent l="0" t="0" r="0" b="0"/>
                <wp:wrapNone/>
                <wp:docPr id="117" name="Shape 117"/>
                <wp:cNvGraphicFramePr/>
                <a:graphic xmlns:a="http://schemas.openxmlformats.org/drawingml/2006/main">
                  <a:graphicData uri="http://schemas.microsoft.com/office/word/2010/wordprocessingShape">
                    <wps:wsp>
                      <wps:cNvCnPr/>
                      <wps:spPr>
                        <a:xfrm>
                          <a:off x="0" y="0"/>
                          <a:ext cx="5702935" cy="0"/>
                        </a:xfrm>
                        <a:prstGeom prst="straightConnector1">
                          <a:avLst/>
                        </a:prstGeom>
                        <a:ln w="6350">
                          <a:solidFill/>
                        </a:ln>
                      </wps:spPr>
                      <wps:bodyPr/>
                    </wps:wsp>
                  </a:graphicData>
                </a:graphic>
              </wp:anchor>
            </w:drawing>
          </mc:Choice>
          <mc:Fallback>
            <w:pict>
              <v:shape o:spt="32" o:oned="true" path="m,l21600,21600e" style="position:absolute;margin-left:74.850000000000009pt;margin-top:73.400000000000006pt;width:449.05000000000001pt;height:0;z-index:-251658240;mso-position-horizontal-relative:page;mso-position-vertical-relative:page">
                <v:stroke weight="0.5pt"/>
              </v:shape>
            </w:pict>
          </mc:Fallback>
        </mc:AlternateContent>
      </w:r>
    </w:p>
    <w:p w14:paraId="3F15384A" w14:textId="77777777" w:rsidR="00EC1C40" w:rsidRDefault="00000000">
      <w:pPr>
        <w:pStyle w:val="Zhlavnebozpat0"/>
        <w:framePr w:w="1483" w:h="240" w:hRule="exact" w:wrap="none" w:vAnchor="page" w:hAnchor="page" w:x="5252" w:y="1186"/>
        <w:jc w:val="center"/>
      </w:pPr>
      <w:r>
        <w:t>Smlouva o výpůjčce</w:t>
      </w:r>
    </w:p>
    <w:p w14:paraId="2C1D3DDC" w14:textId="77777777" w:rsidR="00EC1C40" w:rsidRDefault="00000000">
      <w:pPr>
        <w:pStyle w:val="Zkladntext1"/>
        <w:framePr w:w="9115" w:h="13152" w:hRule="exact" w:wrap="none" w:vAnchor="page" w:hAnchor="page" w:x="1383" w:y="1940"/>
        <w:numPr>
          <w:ilvl w:val="1"/>
          <w:numId w:val="33"/>
        </w:numPr>
        <w:tabs>
          <w:tab w:val="left" w:pos="563"/>
        </w:tabs>
        <w:spacing w:after="240"/>
        <w:ind w:left="580" w:hanging="580"/>
        <w:jc w:val="both"/>
      </w:pPr>
      <w:r>
        <w:t xml:space="preserve">Tato Smlouva slouží vedle umožnění realizace Činností povolených na základě výpůjčky i jako souhlas SMP pro účely jednotlivých řízení a postupů před orgány veřejné moci týkajících se povolení realizace Investičního záměru a Odstranění odpadů a znečištění ve vztahu </w:t>
      </w:r>
      <w:r>
        <w:rPr>
          <w:i/>
          <w:iCs/>
        </w:rPr>
        <w:t>(jak je tento pojem definován v Dohodě o úpravě vztahů)</w:t>
      </w:r>
      <w:r>
        <w:t xml:space="preserve"> k Předmětu výpůjčky.</w:t>
      </w:r>
    </w:p>
    <w:p w14:paraId="78DAE5A1" w14:textId="77777777" w:rsidR="00EC1C40" w:rsidRDefault="00000000">
      <w:pPr>
        <w:pStyle w:val="Zkladntext1"/>
        <w:framePr w:w="9115" w:h="13152" w:hRule="exact" w:wrap="none" w:vAnchor="page" w:hAnchor="page" w:x="1383" w:y="1940"/>
        <w:numPr>
          <w:ilvl w:val="1"/>
          <w:numId w:val="33"/>
        </w:numPr>
        <w:tabs>
          <w:tab w:val="left" w:pos="563"/>
        </w:tabs>
        <w:spacing w:after="240"/>
        <w:ind w:left="580" w:hanging="580"/>
        <w:jc w:val="both"/>
      </w:pPr>
      <w:r>
        <w:t>Investor prohlašuje, že je mu stav Předmětu výpůjčky dobře znám, neboť si jej prohlédl před uzavřením této Smlouvy a potvrzuje, že je ve stavu způsobilém k řádnému užívání.</w:t>
      </w:r>
    </w:p>
    <w:p w14:paraId="00A840FC" w14:textId="77777777" w:rsidR="00EC1C40" w:rsidRDefault="00000000">
      <w:pPr>
        <w:pStyle w:val="Zkladntext1"/>
        <w:framePr w:w="9115" w:h="13152" w:hRule="exact" w:wrap="none" w:vAnchor="page" w:hAnchor="page" w:x="1383" w:y="1940"/>
        <w:numPr>
          <w:ilvl w:val="1"/>
          <w:numId w:val="33"/>
        </w:numPr>
        <w:tabs>
          <w:tab w:val="left" w:pos="563"/>
        </w:tabs>
        <w:spacing w:after="60"/>
        <w:ind w:left="580" w:hanging="580"/>
        <w:jc w:val="both"/>
      </w:pPr>
      <w:r>
        <w:t xml:space="preserve">Investor nemá nárok na úhradu vynaložených nákladů spojených s užíváním Předmětu výpůjčky, ani vynaložených nákladů souvisejících s Činnostmi povolenými na základě výpůjčky, činnostmi dle čl. 3.4 Smlouvy či s vydáním rozhodnutí pro realizaci Staveb dle čl. 2.1.1 Smlouvy, ani na jakoukoli náhradu za zhodnocení Předmětu výpůjčky; tím nejsou dotčena ustanovení Plánovací smlouvy o Nepeněžním plnění a Přeplatku </w:t>
      </w:r>
      <w:r>
        <w:rPr>
          <w:i/>
          <w:iCs/>
        </w:rPr>
        <w:t>(jak jsou tyto pojmy definovány v Plánovací smlouvě)</w:t>
      </w:r>
      <w:r>
        <w:t>. Obvyklé náklady spojené s užíváním Předmětu výpůjčky nese Investor.</w:t>
      </w:r>
    </w:p>
    <w:p w14:paraId="51D1C1D0" w14:textId="77777777" w:rsidR="00EC1C40" w:rsidRDefault="00000000">
      <w:pPr>
        <w:pStyle w:val="Nadpis60"/>
        <w:framePr w:w="9115" w:h="13152" w:hRule="exact" w:wrap="none" w:vAnchor="page" w:hAnchor="page" w:x="1383" w:y="1940"/>
        <w:numPr>
          <w:ilvl w:val="0"/>
          <w:numId w:val="33"/>
        </w:numPr>
        <w:tabs>
          <w:tab w:val="left" w:pos="563"/>
        </w:tabs>
        <w:jc w:val="both"/>
      </w:pPr>
      <w:bookmarkStart w:id="80" w:name="bookmark161"/>
      <w:r>
        <w:t>Bezplatnost Smlouvy</w:t>
      </w:r>
      <w:bookmarkEnd w:id="80"/>
    </w:p>
    <w:p w14:paraId="7705203A" w14:textId="77777777" w:rsidR="00EC1C40" w:rsidRDefault="00000000">
      <w:pPr>
        <w:pStyle w:val="Zkladntext1"/>
        <w:framePr w:w="9115" w:h="13152" w:hRule="exact" w:wrap="none" w:vAnchor="page" w:hAnchor="page" w:x="1383" w:y="1940"/>
        <w:numPr>
          <w:ilvl w:val="1"/>
          <w:numId w:val="33"/>
        </w:numPr>
        <w:tabs>
          <w:tab w:val="left" w:pos="563"/>
        </w:tabs>
        <w:spacing w:after="240"/>
        <w:jc w:val="both"/>
      </w:pPr>
      <w:r>
        <w:t>Výpůjčka se sjednává jako bezúplatná.</w:t>
      </w:r>
    </w:p>
    <w:p w14:paraId="1AB24A4F" w14:textId="77777777" w:rsidR="00EC1C40" w:rsidRDefault="00000000">
      <w:pPr>
        <w:pStyle w:val="Zkladntext1"/>
        <w:framePr w:w="9115" w:h="13152" w:hRule="exact" w:wrap="none" w:vAnchor="page" w:hAnchor="page" w:x="1383" w:y="1940"/>
        <w:numPr>
          <w:ilvl w:val="1"/>
          <w:numId w:val="33"/>
        </w:numPr>
        <w:tabs>
          <w:tab w:val="left" w:pos="563"/>
        </w:tabs>
        <w:spacing w:after="60"/>
        <w:ind w:left="580" w:hanging="580"/>
        <w:jc w:val="both"/>
      </w:pPr>
      <w:r>
        <w:t>Nebude-li vydáno Povolení záměru (jak je tento pojem definován v Plánovací smlouvě) ani do pěti (5) let od nabytí účinnosti této Smlouvy, učiní Smluvní strany kroky k tomu, aby Výpůjčka dle této Smlouvy byla transformována do nájmu; nájemné bude určeno jako nájemné v místě a čase obvyklé, přičemž práva a povinnosti z této nájemní smlouvy budou v maximálním rozsahu odpovídat právům a povinnostem Smluvních stran dle této Smlouvy. Užívání Předmětu výpůjčky dle této Smlouvy a užívání předmětu nájmu dle nájemní smlouvy na sebe musí bezprostředně navazovat, jinak nelze toto ustanovení použít. Smluvní strany učiní veškeré potřebné kroky za účelem uzavření nájemní smlouvy dle tohoto ustanovení.</w:t>
      </w:r>
    </w:p>
    <w:p w14:paraId="44D96847" w14:textId="77777777" w:rsidR="00EC1C40" w:rsidRDefault="00000000">
      <w:pPr>
        <w:pStyle w:val="Nadpis60"/>
        <w:framePr w:w="9115" w:h="13152" w:hRule="exact" w:wrap="none" w:vAnchor="page" w:hAnchor="page" w:x="1383" w:y="1940"/>
        <w:numPr>
          <w:ilvl w:val="0"/>
          <w:numId w:val="33"/>
        </w:numPr>
        <w:tabs>
          <w:tab w:val="left" w:pos="563"/>
        </w:tabs>
        <w:spacing w:after="240"/>
      </w:pPr>
      <w:bookmarkStart w:id="81" w:name="bookmark163"/>
      <w:r>
        <w:t>Doba trvání Smlouvy</w:t>
      </w:r>
      <w:bookmarkEnd w:id="81"/>
    </w:p>
    <w:p w14:paraId="638252BE" w14:textId="77777777" w:rsidR="00EC1C40" w:rsidRDefault="00000000">
      <w:pPr>
        <w:pStyle w:val="Zkladntext1"/>
        <w:framePr w:w="9115" w:h="13152" w:hRule="exact" w:wrap="none" w:vAnchor="page" w:hAnchor="page" w:x="1383" w:y="1940"/>
        <w:numPr>
          <w:ilvl w:val="1"/>
          <w:numId w:val="33"/>
        </w:numPr>
        <w:tabs>
          <w:tab w:val="left" w:pos="563"/>
        </w:tabs>
        <w:spacing w:after="240" w:line="254" w:lineRule="auto"/>
        <w:ind w:left="580" w:hanging="580"/>
        <w:jc w:val="both"/>
      </w:pPr>
      <w:r>
        <w:t>Tato Smlouva se uzavírá na dobu určitou, a to na dobu patnácti (15) let ode dne účinnosti této Smlouvy, pokud však dojde v souladu s Plánovací smlouvou k prodloužení doby jejího trvání, dojde automaticky o takto prodlouženou dobu i k prodloužení trvání této Smlouvy. Pokud dojde v době trvání této Smlouvy k převodu vlastnictví Staveb specifikovaných v čl. 2.1.1. Smlouvy v souladu s Plánovací smlouvou do majetku SMP, tak výpůjčka co do části Pozemků, na nichž jsou jednotlivé převáděné Stavby umístěny, zanikne. SMP není oprávněno požadovat vrácení Předmětu výpůjčky předčasně.</w:t>
      </w:r>
    </w:p>
    <w:p w14:paraId="19AD32E5" w14:textId="77777777" w:rsidR="00EC1C40" w:rsidRDefault="00000000">
      <w:pPr>
        <w:pStyle w:val="Zkladntext1"/>
        <w:framePr w:w="9115" w:h="13152" w:hRule="exact" w:wrap="none" w:vAnchor="page" w:hAnchor="page" w:x="1383" w:y="1940"/>
        <w:numPr>
          <w:ilvl w:val="1"/>
          <w:numId w:val="33"/>
        </w:numPr>
        <w:tabs>
          <w:tab w:val="left" w:pos="563"/>
        </w:tabs>
        <w:spacing w:after="60" w:line="233" w:lineRule="auto"/>
        <w:ind w:left="580" w:hanging="580"/>
        <w:jc w:val="both"/>
      </w:pPr>
      <w:r>
        <w:t>Zánikem této Smlouvy nejsou dotčena ta ustanovení, která upravují vypořádání Smluvních stran pro skončení výpůjčky (zániku této Smlouvy).</w:t>
      </w:r>
    </w:p>
    <w:p w14:paraId="248635F0" w14:textId="77777777" w:rsidR="00EC1C40" w:rsidRDefault="00000000">
      <w:pPr>
        <w:pStyle w:val="Nadpis60"/>
        <w:framePr w:w="9115" w:h="13152" w:hRule="exact" w:wrap="none" w:vAnchor="page" w:hAnchor="page" w:x="1383" w:y="1940"/>
        <w:numPr>
          <w:ilvl w:val="0"/>
          <w:numId w:val="33"/>
        </w:numPr>
        <w:tabs>
          <w:tab w:val="left" w:pos="563"/>
          <w:tab w:val="left" w:pos="571"/>
        </w:tabs>
        <w:jc w:val="both"/>
      </w:pPr>
      <w:bookmarkStart w:id="82" w:name="bookmark165"/>
      <w:r>
        <w:t>Doba trvání výpůjčky</w:t>
      </w:r>
      <w:bookmarkEnd w:id="82"/>
    </w:p>
    <w:p w14:paraId="4BCFFB3F" w14:textId="77777777" w:rsidR="00EC1C40" w:rsidRDefault="00000000">
      <w:pPr>
        <w:pStyle w:val="Zkladntext1"/>
        <w:framePr w:w="9115" w:h="13152" w:hRule="exact" w:wrap="none" w:vAnchor="page" w:hAnchor="page" w:x="1383" w:y="1940"/>
        <w:numPr>
          <w:ilvl w:val="1"/>
          <w:numId w:val="33"/>
        </w:numPr>
        <w:tabs>
          <w:tab w:val="left" w:pos="563"/>
        </w:tabs>
        <w:jc w:val="both"/>
      </w:pPr>
      <w:r>
        <w:t>Výpůjčka se zahajuje dnem nabytí účinnosti této Smlouvy a končí ke dni zániku této Smlouvy.</w:t>
      </w:r>
    </w:p>
    <w:p w14:paraId="04E68F89" w14:textId="77777777" w:rsidR="00EC1C40" w:rsidRDefault="00000000">
      <w:pPr>
        <w:pStyle w:val="Zkladntext1"/>
        <w:framePr w:w="9115" w:h="13152" w:hRule="exact" w:wrap="none" w:vAnchor="page" w:hAnchor="page" w:x="1383" w:y="1940"/>
        <w:numPr>
          <w:ilvl w:val="1"/>
          <w:numId w:val="33"/>
        </w:numPr>
        <w:tabs>
          <w:tab w:val="left" w:pos="563"/>
        </w:tabs>
        <w:ind w:left="580" w:hanging="580"/>
        <w:jc w:val="both"/>
      </w:pPr>
      <w:r>
        <w:t>Pro odstranění pochybností se výslovně stanoví, že práva a povinnosti sjednaná v čl. 3.4 až čl. 3.6 této Smlouvy se neváží na zahájení výpůjčky a zavazují Smluvní strany od nabytí účinnosti této Smlouvy.</w:t>
      </w:r>
    </w:p>
    <w:p w14:paraId="1C1D209C" w14:textId="77777777" w:rsidR="00EC1C40" w:rsidRDefault="00000000">
      <w:pPr>
        <w:pStyle w:val="Nadpis60"/>
        <w:framePr w:w="9115" w:h="13152" w:hRule="exact" w:wrap="none" w:vAnchor="page" w:hAnchor="page" w:x="1383" w:y="1940"/>
        <w:numPr>
          <w:ilvl w:val="0"/>
          <w:numId w:val="33"/>
        </w:numPr>
        <w:tabs>
          <w:tab w:val="left" w:pos="563"/>
        </w:tabs>
      </w:pPr>
      <w:bookmarkStart w:id="83" w:name="bookmark167"/>
      <w:r>
        <w:t>Ukončení této Smlouvy</w:t>
      </w:r>
      <w:bookmarkEnd w:id="83"/>
    </w:p>
    <w:p w14:paraId="2478D019" w14:textId="77777777" w:rsidR="00EC1C40" w:rsidRDefault="00000000">
      <w:pPr>
        <w:pStyle w:val="Zkladntext1"/>
        <w:framePr w:w="9115" w:h="13152" w:hRule="exact" w:wrap="none" w:vAnchor="page" w:hAnchor="page" w:x="1383" w:y="1940"/>
        <w:numPr>
          <w:ilvl w:val="1"/>
          <w:numId w:val="33"/>
        </w:numPr>
        <w:tabs>
          <w:tab w:val="left" w:pos="563"/>
        </w:tabs>
        <w:spacing w:after="0"/>
        <w:ind w:left="580" w:hanging="580"/>
        <w:jc w:val="both"/>
      </w:pPr>
      <w:r>
        <w:t>Smluvní strany shodně prohlašují, že k uzavření této Smlouvy přistupují s úmyslem vytvořit co nejstabilnější uspořádání svých vzájemných vztahů, přičemž je pro Smluvní strany esenciálně důležité, aby tato Smlouva trvala po celou dobu jejího smluvně stanoveného trvání, a aby</w:t>
      </w:r>
    </w:p>
    <w:p w14:paraId="49D4173D" w14:textId="77777777" w:rsidR="00EC1C40" w:rsidRDefault="00000000">
      <w:pPr>
        <w:pStyle w:val="Zhlavnebozpat0"/>
        <w:framePr w:wrap="none" w:vAnchor="page" w:hAnchor="page" w:x="5713" w:y="16085"/>
        <w:rPr>
          <w:sz w:val="22"/>
          <w:szCs w:val="22"/>
        </w:rPr>
      </w:pPr>
      <w:r>
        <w:rPr>
          <w:color w:val="231E20"/>
          <w:sz w:val="22"/>
          <w:szCs w:val="22"/>
        </w:rPr>
        <w:t>8/14</w:t>
      </w:r>
    </w:p>
    <w:p w14:paraId="688C55ED"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6AC94BF9" w14:textId="77777777" w:rsidR="00EC1C40" w:rsidRDefault="00000000">
      <w:pPr>
        <w:spacing w:line="1" w:lineRule="exact"/>
      </w:pPr>
      <w:r>
        <w:rPr>
          <w:noProof/>
        </w:rPr>
        <w:lastRenderedPageBreak/>
        <mc:AlternateContent>
          <mc:Choice Requires="wps">
            <w:drawing>
              <wp:anchor distT="0" distB="0" distL="114300" distR="114300" simplePos="0" relativeHeight="251701760" behindDoc="1" locked="0" layoutInCell="1" allowOverlap="1" wp14:anchorId="0B27ED5A" wp14:editId="15C95098">
                <wp:simplePos x="0" y="0"/>
                <wp:positionH relativeFrom="page">
                  <wp:posOffset>948055</wp:posOffset>
                </wp:positionH>
                <wp:positionV relativeFrom="page">
                  <wp:posOffset>932180</wp:posOffset>
                </wp:positionV>
                <wp:extent cx="5702300" cy="0"/>
                <wp:effectExtent l="0" t="0" r="0" b="0"/>
                <wp:wrapNone/>
                <wp:docPr id="118" name="Shape 118"/>
                <wp:cNvGraphicFramePr/>
                <a:graphic xmlns:a="http://schemas.openxmlformats.org/drawingml/2006/main">
                  <a:graphicData uri="http://schemas.microsoft.com/office/word/2010/wordprocessingShape">
                    <wps:wsp>
                      <wps:cNvCnPr/>
                      <wps:spPr>
                        <a:xfrm>
                          <a:off x="0" y="0"/>
                          <a:ext cx="5702300" cy="0"/>
                        </a:xfrm>
                        <a:prstGeom prst="straightConnector1">
                          <a:avLst/>
                        </a:prstGeom>
                        <a:ln w="6350">
                          <a:solidFill/>
                        </a:ln>
                      </wps:spPr>
                      <wps:bodyPr/>
                    </wps:wsp>
                  </a:graphicData>
                </a:graphic>
              </wp:anchor>
            </w:drawing>
          </mc:Choice>
          <mc:Fallback>
            <w:pict>
              <v:shape o:spt="32" o:oned="true" path="m,l21600,21600e" style="position:absolute;margin-left:74.650000000000006pt;margin-top:73.400000000000006pt;width:449.pt;height:0;z-index:-251658240;mso-position-horizontal-relative:page;mso-position-vertical-relative:page">
                <v:stroke weight="0.5pt"/>
              </v:shape>
            </w:pict>
          </mc:Fallback>
        </mc:AlternateContent>
      </w:r>
    </w:p>
    <w:p w14:paraId="4774785B" w14:textId="77777777" w:rsidR="00EC1C40" w:rsidRDefault="00000000">
      <w:pPr>
        <w:pStyle w:val="Zhlavnebozpat0"/>
        <w:framePr w:w="1483" w:h="240" w:hRule="exact" w:wrap="none" w:vAnchor="page" w:hAnchor="page" w:x="5247" w:y="1186"/>
        <w:jc w:val="center"/>
      </w:pPr>
      <w:r>
        <w:t>Smlouva o výpůjčce</w:t>
      </w:r>
    </w:p>
    <w:p w14:paraId="5A3A2049" w14:textId="77777777" w:rsidR="00EC1C40" w:rsidRDefault="00000000">
      <w:pPr>
        <w:pStyle w:val="Zkladntext1"/>
        <w:framePr w:w="9115" w:h="13603" w:hRule="exact" w:wrap="none" w:vAnchor="page" w:hAnchor="page" w:x="1383" w:y="1940"/>
        <w:spacing w:after="120"/>
        <w:ind w:left="580"/>
        <w:jc w:val="both"/>
      </w:pPr>
      <w:r>
        <w:t>nezanikla žádným jiným jednostranným právním jednáním, než které je výslovně sjednáno v této Smlouvě, či které stanoví kogentní ustanovení právních předpisů.</w:t>
      </w:r>
    </w:p>
    <w:p w14:paraId="02F57993" w14:textId="77777777" w:rsidR="00EC1C40" w:rsidRDefault="00000000">
      <w:pPr>
        <w:pStyle w:val="Zkladntext1"/>
        <w:framePr w:w="9115" w:h="13603" w:hRule="exact" w:wrap="none" w:vAnchor="page" w:hAnchor="page" w:x="1383" w:y="1940"/>
        <w:spacing w:after="120"/>
        <w:jc w:val="both"/>
      </w:pPr>
      <w:r>
        <w:t>7 2 SMP je oprávněno tuto Smlouvu vypovědět výhradně z následujících důvodů:</w:t>
      </w:r>
    </w:p>
    <w:p w14:paraId="1E45A2D8" w14:textId="77777777" w:rsidR="00EC1C40" w:rsidRDefault="00000000">
      <w:pPr>
        <w:pStyle w:val="Zkladntext1"/>
        <w:framePr w:w="9115" w:h="13603" w:hRule="exact" w:wrap="none" w:vAnchor="page" w:hAnchor="page" w:x="1383" w:y="1940"/>
        <w:spacing w:after="120"/>
        <w:ind w:left="1280" w:hanging="700"/>
        <w:jc w:val="both"/>
      </w:pPr>
      <w:r>
        <w:t>7 2 1 Investor užívá Předmět výpůjčky v podstatném rozsahu v rozporu s účely této Smlouvy (tj. na Předmětu výpůjčky realizuje nikoli jen v malém rozsahu činnosti mimo rámec Činností povolených na základě výpůjčky), pokud Investor nezjedná nápravu takového porušení ani v dodatečné lhůtě pět (5) měsíců od doručení písemné výzvy k nápravě ze strany SMP; a/nebo</w:t>
      </w:r>
    </w:p>
    <w:p w14:paraId="7084F2EA" w14:textId="77777777" w:rsidR="00EC1C40" w:rsidRDefault="00000000">
      <w:pPr>
        <w:pStyle w:val="Zkladntext1"/>
        <w:framePr w:w="9115" w:h="13603" w:hRule="exact" w:wrap="none" w:vAnchor="page" w:hAnchor="page" w:x="1383" w:y="1940"/>
        <w:spacing w:after="120"/>
        <w:ind w:left="1280" w:hanging="700"/>
        <w:jc w:val="both"/>
      </w:pPr>
      <w:r>
        <w:t>7 2 2 dojde k zániku Plánovací smlouvy výpovědí ze strany SMP buď (i) z důvodu porušení Plánovací smlouvy Investorem dle čl. 16.2 2 Plánovací smlouvy, nebo (</w:t>
      </w:r>
      <w:proofErr w:type="spellStart"/>
      <w:r>
        <w:t>ii</w:t>
      </w:r>
      <w:proofErr w:type="spellEnd"/>
      <w:r>
        <w:t>) z důvodu doručení Oznámení Investora dle čl. 16.2.1. Plánovací smlouvy nebo (</w:t>
      </w:r>
      <w:proofErr w:type="spellStart"/>
      <w:r>
        <w:t>iii</w:t>
      </w:r>
      <w:proofErr w:type="spellEnd"/>
      <w:r>
        <w:t>) z důvodu odstoupení SMP od Dohody o úpravě vztahů pro podstatné porušení dle čl. 3.1.2. Dohody o úpravě vztahů; a/nebo</w:t>
      </w:r>
    </w:p>
    <w:p w14:paraId="3767DF90" w14:textId="77777777" w:rsidR="00EC1C40" w:rsidRDefault="00000000">
      <w:pPr>
        <w:pStyle w:val="Zkladntext1"/>
        <w:framePr w:w="9115" w:h="13603" w:hRule="exact" w:wrap="none" w:vAnchor="page" w:hAnchor="page" w:x="1383" w:y="1940"/>
        <w:spacing w:after="120"/>
        <w:ind w:left="1280" w:hanging="700"/>
        <w:jc w:val="both"/>
      </w:pPr>
      <w:r>
        <w:t>7 2 3 Investor přenechává Předmět výpůjčky třetím osobám do užívání za úplatu bez předchozího písemného souhlasu SMP, pokud Investor nezjedná nápravu takového porušení ani v dodatečné lhůtě jednoho (1) měsíce od doručení písemné výzvy k nápravě ze strany SMP Pro odstranění pochybností se výslovně sjednává, že porušením tohoto ustanovení není poskytnutí Předmětu výpůjčky do užívání v souladu s čl. 2 3 této Smlouvy</w:t>
      </w:r>
    </w:p>
    <w:p w14:paraId="26F86829" w14:textId="77777777" w:rsidR="00EC1C40" w:rsidRDefault="00000000">
      <w:pPr>
        <w:pStyle w:val="Zkladntext1"/>
        <w:framePr w:w="9115" w:h="13603" w:hRule="exact" w:wrap="none" w:vAnchor="page" w:hAnchor="page" w:x="1383" w:y="1940"/>
        <w:spacing w:after="120"/>
        <w:jc w:val="both"/>
      </w:pPr>
      <w:r>
        <w:t>7 3 Investor je oprávněn tuto Smlouvu vypovědět výhradně z následujících důvodů:</w:t>
      </w:r>
    </w:p>
    <w:p w14:paraId="22C0C65C" w14:textId="77777777" w:rsidR="00EC1C40" w:rsidRDefault="00000000">
      <w:pPr>
        <w:pStyle w:val="Zkladntext1"/>
        <w:framePr w:w="9115" w:h="13603" w:hRule="exact" w:wrap="none" w:vAnchor="page" w:hAnchor="page" w:x="1383" w:y="1940"/>
        <w:spacing w:after="120"/>
        <w:ind w:left="1280" w:hanging="700"/>
        <w:jc w:val="both"/>
      </w:pPr>
      <w:r>
        <w:t>7 3 1 nebude-li Předmět výpůjčky potřebovat pro realizaci Investičního záměru V tomto případě je Investor oprávněn vypovědět tuto Smlouvu i jen z části (tj. ve vztahu k jen některým z pozemků tvořících Předmět výpůjčky); a/nebo</w:t>
      </w:r>
    </w:p>
    <w:p w14:paraId="58868C9D" w14:textId="77777777" w:rsidR="00EC1C40" w:rsidRDefault="00000000">
      <w:pPr>
        <w:pStyle w:val="Zkladntext1"/>
        <w:framePr w:w="9115" w:h="13603" w:hRule="exact" w:wrap="none" w:vAnchor="page" w:hAnchor="page" w:x="1383" w:y="1940"/>
        <w:spacing w:after="120"/>
        <w:ind w:firstLine="580"/>
        <w:jc w:val="both"/>
      </w:pPr>
      <w:r>
        <w:t>7 3 2 dojde k zániku Plánovací smlouvy a/nebo</w:t>
      </w:r>
    </w:p>
    <w:p w14:paraId="3CCD5108" w14:textId="77777777" w:rsidR="00EC1C40" w:rsidRDefault="00000000">
      <w:pPr>
        <w:pStyle w:val="Zkladntext1"/>
        <w:framePr w:w="9115" w:h="13603" w:hRule="exact" w:wrap="none" w:vAnchor="page" w:hAnchor="page" w:x="1383" w:y="1940"/>
        <w:spacing w:after="240"/>
        <w:ind w:left="1280" w:hanging="700"/>
        <w:jc w:val="both"/>
      </w:pPr>
      <w:r>
        <w:t xml:space="preserve">7 3 3 pokud Povolení záměru </w:t>
      </w:r>
      <w:r>
        <w:rPr>
          <w:i/>
          <w:iCs/>
        </w:rPr>
        <w:t>(jak je tento pojem definován v Plánovací smlouvě)</w:t>
      </w:r>
      <w:r>
        <w:t xml:space="preserve"> a Změna Rozhodnutí o povolení Odstranění odpadů a znečištění </w:t>
      </w:r>
      <w:r>
        <w:rPr>
          <w:i/>
          <w:iCs/>
        </w:rPr>
        <w:t>(jak je tento pojem definován v Plánovací smlouvě)</w:t>
      </w:r>
      <w:r>
        <w:t xml:space="preserve"> (výslovně obě tato rozhodnutí) nenabydou právní moci, účinnosti a právních účinků, a to ani do 31.12.2028 a/nebo pokud budou tato rozhodnutí (kterékoli z nich) zrušena a či dojde k jejich zániku (bez ohledu na to, z jakých důvodů), pokud nové Povolení záměru a/nebo Rozhodnutí o povolení Odstranění odpadů a znečištění nebudou vydány a nenabydou právní moci, účinnosti a právních účinků ani do 31 12 2028, a to za podmínek sjednaných v čl. 16.3.3. Plánovací smlouvy a/nebo</w:t>
      </w:r>
    </w:p>
    <w:p w14:paraId="2BAA6C42" w14:textId="77777777" w:rsidR="00EC1C40" w:rsidRDefault="00000000">
      <w:pPr>
        <w:pStyle w:val="Zkladntext1"/>
        <w:framePr w:w="9115" w:h="13603" w:hRule="exact" w:wrap="none" w:vAnchor="page" w:hAnchor="page" w:x="1383" w:y="1940"/>
        <w:spacing w:after="60"/>
        <w:ind w:left="1280" w:hanging="700"/>
        <w:jc w:val="both"/>
      </w:pPr>
      <w:r>
        <w:t>7 3 4 pokud Investorovi vznikne právo vypovědět Plánovací smlouvu dle čl. 16.3.4. Plánovací smlouvy, a to za podmínek sjednaných v čl. 16.3.4. ve spojení s čl. 16.3.3. Plánovací smlouvy</w:t>
      </w:r>
    </w:p>
    <w:p w14:paraId="4407FD56" w14:textId="77777777" w:rsidR="00EC1C40" w:rsidRDefault="00000000">
      <w:pPr>
        <w:pStyle w:val="Zkladntext1"/>
        <w:framePr w:w="9115" w:h="13603" w:hRule="exact" w:wrap="none" w:vAnchor="page" w:hAnchor="page" w:x="1383" w:y="1940"/>
        <w:spacing w:after="240"/>
        <w:ind w:left="580" w:hanging="580"/>
        <w:jc w:val="both"/>
      </w:pPr>
      <w:r>
        <w:t>7 4 Výpovědní doba činí šest (6) měsíců a počíná běžet od prvního dne měsíce následujícího po doručení výpovědi, nedohodnou-li se Smluvní strany jinak.</w:t>
      </w:r>
    </w:p>
    <w:p w14:paraId="018EB286" w14:textId="77777777" w:rsidR="00EC1C40" w:rsidRDefault="00000000">
      <w:pPr>
        <w:pStyle w:val="Zkladntext1"/>
        <w:framePr w:w="9115" w:h="13603" w:hRule="exact" w:wrap="none" w:vAnchor="page" w:hAnchor="page" w:x="1383" w:y="1940"/>
        <w:spacing w:after="240"/>
        <w:jc w:val="both"/>
      </w:pPr>
      <w:r>
        <w:t>7 5 Investor je povinen v souvislosti se skončením výpůjčky Předmět výpůjčky:</w:t>
      </w:r>
    </w:p>
    <w:p w14:paraId="5A636FD5" w14:textId="77777777" w:rsidR="00EC1C40" w:rsidRDefault="00000000">
      <w:pPr>
        <w:pStyle w:val="Zkladntext1"/>
        <w:framePr w:w="9115" w:h="13603" w:hRule="exact" w:wrap="none" w:vAnchor="page" w:hAnchor="page" w:x="1383" w:y="1940"/>
        <w:tabs>
          <w:tab w:val="left" w:pos="1247"/>
        </w:tabs>
        <w:spacing w:after="240"/>
        <w:ind w:firstLine="580"/>
        <w:jc w:val="both"/>
      </w:pPr>
      <w:r>
        <w:t>7 5 1</w:t>
      </w:r>
      <w:r>
        <w:tab/>
        <w:t>vyklidit (tj. odvést veškerá zařízení, stroje, materiál atp.); a</w:t>
      </w:r>
    </w:p>
    <w:p w14:paraId="33C61E37" w14:textId="77777777" w:rsidR="00EC1C40" w:rsidRDefault="00000000">
      <w:pPr>
        <w:pStyle w:val="Zkladntext1"/>
        <w:framePr w:w="9115" w:h="13603" w:hRule="exact" w:wrap="none" w:vAnchor="page" w:hAnchor="page" w:x="1383" w:y="1940"/>
        <w:spacing w:after="60"/>
        <w:ind w:left="1280" w:hanging="700"/>
        <w:jc w:val="both"/>
      </w:pPr>
      <w:r>
        <w:t>7 5 2 předat Předmět výpůjčky zpět SMP, a to v souladu s podmínkami uvedenými v této Smlouvě v čl. 7 6 Smlouvy</w:t>
      </w:r>
    </w:p>
    <w:p w14:paraId="5281EF22" w14:textId="77777777" w:rsidR="00EC1C40" w:rsidRDefault="00000000">
      <w:pPr>
        <w:pStyle w:val="Zkladntext1"/>
        <w:framePr w:w="9115" w:h="13603" w:hRule="exact" w:wrap="none" w:vAnchor="page" w:hAnchor="page" w:x="1383" w:y="1940"/>
        <w:numPr>
          <w:ilvl w:val="1"/>
          <w:numId w:val="34"/>
        </w:numPr>
        <w:tabs>
          <w:tab w:val="left" w:pos="231"/>
        </w:tabs>
        <w:spacing w:after="0"/>
        <w:ind w:left="580" w:hanging="580"/>
        <w:jc w:val="both"/>
      </w:pPr>
      <w:r>
        <w:t>6 Investor je dále povinen postupovat při předčasném skončení výpůjčky v souladu s pravidly sjednanými v Plánovací smlouvě (zejména stran vypořádání Smluvních stran při jejím skončení),</w:t>
      </w:r>
    </w:p>
    <w:p w14:paraId="5DBFCC4F" w14:textId="77777777" w:rsidR="00EC1C40" w:rsidRDefault="00000000">
      <w:pPr>
        <w:pStyle w:val="Zhlavnebozpat0"/>
        <w:framePr w:wrap="none" w:vAnchor="page" w:hAnchor="page" w:x="5708" w:y="16085"/>
        <w:rPr>
          <w:sz w:val="22"/>
          <w:szCs w:val="22"/>
        </w:rPr>
      </w:pPr>
      <w:r>
        <w:rPr>
          <w:color w:val="231E20"/>
          <w:sz w:val="22"/>
          <w:szCs w:val="22"/>
        </w:rPr>
        <w:t>9/14</w:t>
      </w:r>
    </w:p>
    <w:p w14:paraId="220DCE30"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06ABD8F7" w14:textId="77777777" w:rsidR="00EC1C40" w:rsidRDefault="00000000">
      <w:pPr>
        <w:spacing w:line="1" w:lineRule="exact"/>
      </w:pPr>
      <w:r>
        <w:rPr>
          <w:noProof/>
        </w:rPr>
        <w:lastRenderedPageBreak/>
        <mc:AlternateContent>
          <mc:Choice Requires="wps">
            <w:drawing>
              <wp:anchor distT="0" distB="0" distL="114300" distR="114300" simplePos="0" relativeHeight="251702784" behindDoc="1" locked="0" layoutInCell="1" allowOverlap="1" wp14:anchorId="672581DA" wp14:editId="24F36F99">
                <wp:simplePos x="0" y="0"/>
                <wp:positionH relativeFrom="page">
                  <wp:posOffset>949325</wp:posOffset>
                </wp:positionH>
                <wp:positionV relativeFrom="page">
                  <wp:posOffset>932180</wp:posOffset>
                </wp:positionV>
                <wp:extent cx="5702935" cy="0"/>
                <wp:effectExtent l="0" t="0" r="0" b="0"/>
                <wp:wrapNone/>
                <wp:docPr id="119" name="Shape 119"/>
                <wp:cNvGraphicFramePr/>
                <a:graphic xmlns:a="http://schemas.openxmlformats.org/drawingml/2006/main">
                  <a:graphicData uri="http://schemas.microsoft.com/office/word/2010/wordprocessingShape">
                    <wps:wsp>
                      <wps:cNvCnPr/>
                      <wps:spPr>
                        <a:xfrm>
                          <a:off x="0" y="0"/>
                          <a:ext cx="5702935" cy="0"/>
                        </a:xfrm>
                        <a:prstGeom prst="straightConnector1">
                          <a:avLst/>
                        </a:prstGeom>
                        <a:ln w="6350">
                          <a:solidFill/>
                        </a:ln>
                      </wps:spPr>
                      <wps:bodyPr/>
                    </wps:wsp>
                  </a:graphicData>
                </a:graphic>
              </wp:anchor>
            </w:drawing>
          </mc:Choice>
          <mc:Fallback>
            <w:pict>
              <v:shape o:spt="32" o:oned="true" path="m,l21600,21600e" style="position:absolute;margin-left:74.75pt;margin-top:73.400000000000006pt;width:449.05000000000001pt;height:0;z-index:-251658240;mso-position-horizontal-relative:page;mso-position-vertical-relative:page">
                <v:stroke weight="0.5pt"/>
              </v:shape>
            </w:pict>
          </mc:Fallback>
        </mc:AlternateContent>
      </w:r>
    </w:p>
    <w:p w14:paraId="09AF20D3" w14:textId="77777777" w:rsidR="00EC1C40" w:rsidRDefault="00000000">
      <w:pPr>
        <w:pStyle w:val="Zhlavnebozpat0"/>
        <w:framePr w:w="1483" w:h="240" w:hRule="exact" w:wrap="none" w:vAnchor="page" w:hAnchor="page" w:x="5250" w:y="1186"/>
        <w:jc w:val="center"/>
      </w:pPr>
      <w:r>
        <w:t>Smlouva o výpůjčce</w:t>
      </w:r>
    </w:p>
    <w:p w14:paraId="1E8AEEC2" w14:textId="77777777" w:rsidR="00EC1C40" w:rsidRDefault="00000000">
      <w:pPr>
        <w:pStyle w:val="Zkladntext1"/>
        <w:framePr w:w="9120" w:h="13507" w:hRule="exact" w:wrap="none" w:vAnchor="page" w:hAnchor="page" w:x="1381" w:y="1940"/>
        <w:spacing w:after="120"/>
        <w:ind w:left="580"/>
        <w:jc w:val="both"/>
      </w:pPr>
      <w:r>
        <w:t>které podrobně řeší, zda mají být případné změny realizované na/v Pozemcích ponechány (včetně např. infrastruktury atp.) či zda má dojít k jejich odstranění.</w:t>
      </w:r>
    </w:p>
    <w:p w14:paraId="52F6537B" w14:textId="77777777" w:rsidR="00EC1C40" w:rsidRDefault="00000000">
      <w:pPr>
        <w:pStyle w:val="Zkladntext1"/>
        <w:framePr w:w="9120" w:h="13507" w:hRule="exact" w:wrap="none" w:vAnchor="page" w:hAnchor="page" w:x="1381" w:y="1940"/>
        <w:numPr>
          <w:ilvl w:val="1"/>
          <w:numId w:val="35"/>
        </w:numPr>
        <w:tabs>
          <w:tab w:val="left" w:pos="559"/>
        </w:tabs>
        <w:spacing w:after="220"/>
        <w:ind w:left="580" w:hanging="580"/>
        <w:jc w:val="both"/>
      </w:pPr>
      <w:r>
        <w:t>SMP nenáleží žádná kompenzace, úplata, náhrada či jakékoli jiné plnění za užívání Předmětu výpůjčky v souladu s touto Smlouvou a za realizaci Činností povolených na základě výpůjčky (a to ani po skončení výpůjčky); tím není dotčeno právo SMP požadovat bezdůvodné obohacení v souladu s právními předpisy za užívání Předmětu výpůjčky Investorem po zániku této Smlouvy (a tedy zániku výpůjčky), pokud Investor Předmět výpůjčky užívá i po zániku této Smlouvy (a tedy po zániku výpůjčky). Tento čl. 7.7 této Smlouvy se použije obdobně i na situaci, kdy dojde k zániku výpůjčky před sjednanou dobou jejího trvání.</w:t>
      </w:r>
    </w:p>
    <w:p w14:paraId="4EED68B4" w14:textId="77777777" w:rsidR="00EC1C40" w:rsidRDefault="00000000">
      <w:pPr>
        <w:pStyle w:val="Zkladntext1"/>
        <w:framePr w:w="9120" w:h="13507" w:hRule="exact" w:wrap="none" w:vAnchor="page" w:hAnchor="page" w:x="1381" w:y="1940"/>
        <w:numPr>
          <w:ilvl w:val="1"/>
          <w:numId w:val="35"/>
        </w:numPr>
        <w:tabs>
          <w:tab w:val="left" w:pos="559"/>
        </w:tabs>
        <w:spacing w:after="60"/>
        <w:ind w:left="580" w:hanging="580"/>
        <w:jc w:val="both"/>
      </w:pPr>
      <w:r>
        <w:t>Smluvní strany sjednávají, že tuto Smlouvu nelze ukončit odstoupením od Smlouvy (jelikož výlučným mechanismem jejího jednostranného ukončení je výpověď).</w:t>
      </w:r>
    </w:p>
    <w:p w14:paraId="04D6A520" w14:textId="77777777" w:rsidR="00EC1C40" w:rsidRDefault="00000000">
      <w:pPr>
        <w:pStyle w:val="Nadpis60"/>
        <w:framePr w:w="9120" w:h="13507" w:hRule="exact" w:wrap="none" w:vAnchor="page" w:hAnchor="page" w:x="1381" w:y="1940"/>
        <w:numPr>
          <w:ilvl w:val="0"/>
          <w:numId w:val="36"/>
        </w:numPr>
        <w:tabs>
          <w:tab w:val="left" w:pos="559"/>
        </w:tabs>
        <w:spacing w:after="120"/>
        <w:jc w:val="both"/>
      </w:pPr>
      <w:bookmarkStart w:id="84" w:name="bookmark169"/>
      <w:r>
        <w:t>Závěrečná ustanovení</w:t>
      </w:r>
      <w:bookmarkEnd w:id="84"/>
    </w:p>
    <w:p w14:paraId="39896709" w14:textId="77777777" w:rsidR="00EC1C40" w:rsidRDefault="00000000">
      <w:pPr>
        <w:pStyle w:val="Zkladntext1"/>
        <w:framePr w:w="9120" w:h="13507" w:hRule="exact" w:wrap="none" w:vAnchor="page" w:hAnchor="page" w:x="1381" w:y="1940"/>
        <w:numPr>
          <w:ilvl w:val="1"/>
          <w:numId w:val="36"/>
        </w:numPr>
        <w:tabs>
          <w:tab w:val="left" w:pos="559"/>
        </w:tabs>
        <w:spacing w:after="120"/>
        <w:ind w:left="580" w:hanging="580"/>
        <w:jc w:val="both"/>
      </w:pPr>
      <w:r>
        <w:t>Jestliže kterákoli ze Smluvních stran neuplatní nárok nebo nevykoná právo podle této Smlouvy, nebo je vykoná se zpožděním či pouze částečně, nebude to znamenat vzdání se těchto nároků nebo práv. Vzdání se práva z titulu porušení této Smlouvy nebo práva na nápravu anebo jakéhokoliv jiného práva podle této Smlouvy musí být vyhotoveno písemně a podepsáno Smluvní stranou, která takové vzdání se činí.</w:t>
      </w:r>
    </w:p>
    <w:p w14:paraId="674296C3" w14:textId="77777777" w:rsidR="00EC1C40" w:rsidRDefault="00000000">
      <w:pPr>
        <w:pStyle w:val="Zkladntext1"/>
        <w:framePr w:w="9120" w:h="13507" w:hRule="exact" w:wrap="none" w:vAnchor="page" w:hAnchor="page" w:x="1381" w:y="1940"/>
        <w:numPr>
          <w:ilvl w:val="1"/>
          <w:numId w:val="36"/>
        </w:numPr>
        <w:tabs>
          <w:tab w:val="left" w:pos="559"/>
        </w:tabs>
        <w:spacing w:after="120"/>
        <w:ind w:left="580" w:hanging="580"/>
        <w:jc w:val="both"/>
      </w:pPr>
      <w:r>
        <w:t>Tato Smlouva váže právní nástupce Smluvních stran, ať na základě singulární či univerzální sukcese. Smluvní strany zajistí, aby jakýkoli případný nabyvatel Předmětu výpůjčky (tj. příslušných pozemků, které jsou Předmětem výpůjčky) byl vázán touto Smlouvou a právy a povinnostmi z ní vyplývajícími v plném rozsahu.</w:t>
      </w:r>
    </w:p>
    <w:p w14:paraId="009EB686" w14:textId="77777777" w:rsidR="00EC1C40" w:rsidRDefault="00000000">
      <w:pPr>
        <w:pStyle w:val="Zkladntext1"/>
        <w:framePr w:w="9120" w:h="13507" w:hRule="exact" w:wrap="none" w:vAnchor="page" w:hAnchor="page" w:x="1381" w:y="1940"/>
        <w:numPr>
          <w:ilvl w:val="1"/>
          <w:numId w:val="36"/>
        </w:numPr>
        <w:tabs>
          <w:tab w:val="left" w:pos="559"/>
        </w:tabs>
        <w:spacing w:after="120"/>
        <w:ind w:left="580" w:hanging="580"/>
        <w:jc w:val="both"/>
      </w:pPr>
      <w:r>
        <w:t>Tato Smlouva je zcela nezávislá na jiných smlouvách, dohodách či prohlášeních, byť by byly uzavřeny současně a/nebo v souvislosti s touto Smlouvou, není-li v nich a/nebo v této Smlouvě výslovně stanoveno jinak; i v takovém případě je však tato Smlouva závislá na jiných takových dohodách, smlouvách a prohlášeních výhradně způsobem v nich a/nebo v této Smlouvě uvedeným.</w:t>
      </w:r>
    </w:p>
    <w:p w14:paraId="63CCD392" w14:textId="77777777" w:rsidR="00EC1C40" w:rsidRDefault="00000000">
      <w:pPr>
        <w:pStyle w:val="Zkladntext1"/>
        <w:framePr w:w="9120" w:h="13507" w:hRule="exact" w:wrap="none" w:vAnchor="page" w:hAnchor="page" w:x="1381" w:y="1940"/>
        <w:numPr>
          <w:ilvl w:val="1"/>
          <w:numId w:val="36"/>
        </w:numPr>
        <w:tabs>
          <w:tab w:val="left" w:pos="559"/>
        </w:tabs>
        <w:spacing w:after="220"/>
        <w:ind w:left="580" w:hanging="580"/>
        <w:jc w:val="both"/>
      </w:pPr>
      <w:r>
        <w:t>Stane-li se kterékoli ujednání této Smlouvy neplatným, neúčinným nebo nevykonatelným, zůstává platnost, účinnost a vykonatelnost ostatních ujednání této Smlouvy neovlivněna a nedotčena, nevyplývá-li z povahy daného ujednání, obsahu Smlouvy nebo okolností, za nichž bylo toto ujednání vytvořeno, že toto ujednání nelze oddělit od ostatního obsahu Smlouvy. V případě takové neplatnosti, neúčinnosti nebo nevymahatelnosti se Smluvní strany zavazují bezodkladně, nejpozději však do třiceti (30) dnů ode dne doručení výzvy jedné Smluvní strany druhé Smluvní straně, v dobré víře napravit vadný stav tak, že se dohodnou na změnách, respektive doplněních této Smlouvy, které jsou s ohledem na tuto neplatnost, neúčinnost nebo nevymahatelnost pro splnění účelu této Smlouvy nezbytné.</w:t>
      </w:r>
    </w:p>
    <w:p w14:paraId="43DD7E47" w14:textId="77777777" w:rsidR="00EC1C40" w:rsidRDefault="00000000">
      <w:pPr>
        <w:pStyle w:val="Zkladntext1"/>
        <w:framePr w:w="9120" w:h="13507" w:hRule="exact" w:wrap="none" w:vAnchor="page" w:hAnchor="page" w:x="1381" w:y="1940"/>
        <w:numPr>
          <w:ilvl w:val="1"/>
          <w:numId w:val="36"/>
        </w:numPr>
        <w:tabs>
          <w:tab w:val="left" w:pos="559"/>
        </w:tabs>
        <w:spacing w:after="0"/>
        <w:ind w:left="580" w:hanging="580"/>
        <w:jc w:val="both"/>
      </w:pPr>
      <w:r>
        <w:t>Smluvní strany se dále zavazují, že pokud by došlo k zániku (či zrušení) této Smlouvy, a to z jiných důvodů, než jejím splněním či v důsledku oprávněné výpovědi příslušné Smluvní strany, zavazují se Smluvní strany bezodkladně, nejpozději však do tří (3) měsíců od doručení výzvy kterékoli ze Smluvních stran druhé Smluvní straně, uzavřít novou smlouvu o výpůjčce, která se bude svým obsahem v maximální možné míře dovolené platnými a účinnými právními předpisy blížit právům a povinnostem Smluvních stran upravených v této Smlouvě, a to při zachování jejího smyslu a účelu. Do doby uzavření této nové smlouvy o výpůjčce nedochází k vypořádání výpůjčky dle této Smlouvy či Plánovací smlouvy, přičemž Investor je oprávněn si Předmět výpůjčky ponechat nadále ve své detenci a nevyklízet jej; čl. 7.7 této Smlouvy se do doby uzavření nové smlouvy o výpůjčce neuplatní (s ohledem na přechodnou dobu do uzavření nové smlouvy o výpůjčce) s tím, že pokud nedojde k uzavření nové smlouvy o výpůjčce z důvodu na straně</w:t>
      </w:r>
    </w:p>
    <w:p w14:paraId="234240DD" w14:textId="77777777" w:rsidR="00EC1C40" w:rsidRDefault="00000000">
      <w:pPr>
        <w:pStyle w:val="Zhlavnebozpat0"/>
        <w:framePr w:wrap="none" w:vAnchor="page" w:hAnchor="page" w:x="5662" w:y="16085"/>
        <w:rPr>
          <w:sz w:val="22"/>
          <w:szCs w:val="22"/>
        </w:rPr>
      </w:pPr>
      <w:r>
        <w:rPr>
          <w:color w:val="231E20"/>
          <w:sz w:val="22"/>
          <w:szCs w:val="22"/>
        </w:rPr>
        <w:t>10/14</w:t>
      </w:r>
    </w:p>
    <w:p w14:paraId="3FBF144F"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207AF31E" w14:textId="77777777" w:rsidR="00EC1C40" w:rsidRDefault="00000000">
      <w:pPr>
        <w:spacing w:line="1" w:lineRule="exact"/>
      </w:pPr>
      <w:r>
        <w:rPr>
          <w:noProof/>
        </w:rPr>
        <w:lastRenderedPageBreak/>
        <mc:AlternateContent>
          <mc:Choice Requires="wps">
            <w:drawing>
              <wp:anchor distT="0" distB="0" distL="114300" distR="114300" simplePos="0" relativeHeight="251703808" behindDoc="1" locked="0" layoutInCell="1" allowOverlap="1" wp14:anchorId="2A0D0D89" wp14:editId="51CD0926">
                <wp:simplePos x="0" y="0"/>
                <wp:positionH relativeFrom="page">
                  <wp:posOffset>949325</wp:posOffset>
                </wp:positionH>
                <wp:positionV relativeFrom="page">
                  <wp:posOffset>932180</wp:posOffset>
                </wp:positionV>
                <wp:extent cx="5702935" cy="0"/>
                <wp:effectExtent l="0" t="0" r="0" b="0"/>
                <wp:wrapNone/>
                <wp:docPr id="120" name="Shape 120"/>
                <wp:cNvGraphicFramePr/>
                <a:graphic xmlns:a="http://schemas.openxmlformats.org/drawingml/2006/main">
                  <a:graphicData uri="http://schemas.microsoft.com/office/word/2010/wordprocessingShape">
                    <wps:wsp>
                      <wps:cNvCnPr/>
                      <wps:spPr>
                        <a:xfrm>
                          <a:off x="0" y="0"/>
                          <a:ext cx="5702935" cy="0"/>
                        </a:xfrm>
                        <a:prstGeom prst="straightConnector1">
                          <a:avLst/>
                        </a:prstGeom>
                        <a:ln w="6350">
                          <a:solidFill/>
                        </a:ln>
                      </wps:spPr>
                      <wps:bodyPr/>
                    </wps:wsp>
                  </a:graphicData>
                </a:graphic>
              </wp:anchor>
            </w:drawing>
          </mc:Choice>
          <mc:Fallback>
            <w:pict>
              <v:shape o:spt="32" o:oned="true" path="m,l21600,21600e" style="position:absolute;margin-left:74.75pt;margin-top:73.400000000000006pt;width:449.05000000000001pt;height:0;z-index:-251658240;mso-position-horizontal-relative:page;mso-position-vertical-relative:page">
                <v:stroke weight="0.5pt"/>
              </v:shape>
            </w:pict>
          </mc:Fallback>
        </mc:AlternateContent>
      </w:r>
    </w:p>
    <w:p w14:paraId="27CD8643" w14:textId="77777777" w:rsidR="00EC1C40" w:rsidRDefault="00000000">
      <w:pPr>
        <w:pStyle w:val="Zhlavnebozpat0"/>
        <w:framePr w:w="1483" w:h="240" w:hRule="exact" w:wrap="none" w:vAnchor="page" w:hAnchor="page" w:x="5250" w:y="1186"/>
        <w:jc w:val="center"/>
      </w:pPr>
      <w:r>
        <w:t>Smlouva o výpůjčce</w:t>
      </w:r>
    </w:p>
    <w:p w14:paraId="12A4934E" w14:textId="77777777" w:rsidR="00EC1C40" w:rsidRDefault="00000000">
      <w:pPr>
        <w:pStyle w:val="Zkladntext1"/>
        <w:framePr w:w="9120" w:h="12269" w:hRule="exact" w:wrap="none" w:vAnchor="page" w:hAnchor="page" w:x="1381" w:y="1940"/>
        <w:spacing w:after="40"/>
        <w:ind w:left="580" w:firstLine="20"/>
        <w:jc w:val="both"/>
      </w:pPr>
      <w:r>
        <w:t>Investora ani do tří (3) měsíců od doručení výzvy k uzavření nové smlouvy o výpůjčce příslušné Smluvní straně, a to ani v náhradní lhůtě jednoho (1) měsíce od doručení výzvy k nápravě ze strany SMP Investorovi, bude se čl. 7.7 Smlouvy již aplikovat a Investor je povinen Předmět výpůjčky vrátit SMP v souladu s pravidly sjednanými v této Smlouvě.</w:t>
      </w:r>
    </w:p>
    <w:p w14:paraId="4EB3DE71" w14:textId="77777777" w:rsidR="00EC1C40" w:rsidRDefault="00000000">
      <w:pPr>
        <w:pStyle w:val="Zkladntext1"/>
        <w:framePr w:w="9120" w:h="12269" w:hRule="exact" w:wrap="none" w:vAnchor="page" w:hAnchor="page" w:x="1381" w:y="1940"/>
        <w:numPr>
          <w:ilvl w:val="1"/>
          <w:numId w:val="36"/>
        </w:numPr>
        <w:tabs>
          <w:tab w:val="left" w:pos="560"/>
        </w:tabs>
        <w:spacing w:after="120"/>
        <w:ind w:left="560" w:hanging="560"/>
        <w:jc w:val="both"/>
      </w:pPr>
      <w:r>
        <w:t>Tato Smlouva se řídí právními předpisy České republiky a je vykládána v souladu s nimi. Tato Smlouva je smlouvou soukromoprávní.</w:t>
      </w:r>
    </w:p>
    <w:p w14:paraId="65697D59" w14:textId="77777777" w:rsidR="00EC1C40" w:rsidRDefault="00000000">
      <w:pPr>
        <w:pStyle w:val="Zkladntext1"/>
        <w:framePr w:w="9120" w:h="12269" w:hRule="exact" w:wrap="none" w:vAnchor="page" w:hAnchor="page" w:x="1381" w:y="1940"/>
        <w:numPr>
          <w:ilvl w:val="1"/>
          <w:numId w:val="36"/>
        </w:numPr>
        <w:tabs>
          <w:tab w:val="left" w:pos="560"/>
        </w:tabs>
        <w:spacing w:after="120"/>
        <w:ind w:left="560" w:hanging="560"/>
        <w:jc w:val="both"/>
      </w:pPr>
      <w:r>
        <w:t>Smluvní strany vylučují aplikaci ustanovení § 1084 odst. 2, § 1727, § 1765 odst. 1, § 1766, § 1977, § 1978, § 1979, § 1980, § 2002 a § 2003, § 2196 a § 2198 Občanského zákoníku na tuto Smlouvu a na veškerá práva a povinnosti Smluvních stran vzniklá na základě této Smlouvy. Tím není jakkoli dotčeno vyloučení jiných ustanovení právních předpisů, pokud tak tato Smlouva v jiných ustanoveních stanoví. Pro odstranění jakýchkoli pochybností se výslovně sjednává, že výpůjčka podle této Smlouvy není výprosou ani nájmem (pachtem). Smluvní strany prohlašují, že tuto Smlouvu a právní vztah založený touto Smlouvou uzavírají na dobu delší deseti (10) let z dobrého důvodu, kterým je umožnění realizace Investičního záměru (související infrastruktury, včetně veřejné infrastruktury) na/v Předmětu výpůjčky, pročež nevidí důvod pro uplatnění postupu dle § 2000 odst. 1 Občanského zákoníku a tímto se vzdávají v souladu s § 2000 odst. 2 Občanského zákoníku práva domáhat se zrušení závazku (této Smlouvy a právního vztahu založeného touto Smlouvou).</w:t>
      </w:r>
    </w:p>
    <w:p w14:paraId="1AFAB98B" w14:textId="77777777" w:rsidR="00EC1C40" w:rsidRDefault="00000000">
      <w:pPr>
        <w:pStyle w:val="Zkladntext1"/>
        <w:framePr w:w="9120" w:h="12269" w:hRule="exact" w:wrap="none" w:vAnchor="page" w:hAnchor="page" w:x="1381" w:y="1940"/>
        <w:numPr>
          <w:ilvl w:val="1"/>
          <w:numId w:val="36"/>
        </w:numPr>
        <w:tabs>
          <w:tab w:val="left" w:pos="560"/>
        </w:tabs>
        <w:spacing w:after="120"/>
        <w:jc w:val="both"/>
      </w:pPr>
      <w:r>
        <w:t>Smluvní strany (každá ze Smluvních stran) na sebe přebírají nebezpečí změny okolností.</w:t>
      </w:r>
    </w:p>
    <w:p w14:paraId="1FACC6CA" w14:textId="77777777" w:rsidR="00EC1C40" w:rsidRDefault="00000000">
      <w:pPr>
        <w:pStyle w:val="Zkladntext1"/>
        <w:framePr w:w="9120" w:h="12269" w:hRule="exact" w:wrap="none" w:vAnchor="page" w:hAnchor="page" w:x="1381" w:y="1940"/>
        <w:numPr>
          <w:ilvl w:val="1"/>
          <w:numId w:val="36"/>
        </w:numPr>
        <w:tabs>
          <w:tab w:val="left" w:pos="560"/>
        </w:tabs>
        <w:spacing w:after="120" w:line="254" w:lineRule="auto"/>
        <w:ind w:left="560" w:hanging="560"/>
        <w:jc w:val="both"/>
      </w:pPr>
      <w:r>
        <w:t>Změny nebo doplňky této Smlouvy včetně jejích příloh musejí být vyhotoveny písemně a podepsány všemi Smluvními stranami. Změna této Smlouvy v jiné, než písemné formě je tímto vyloučena. Pro tyto účely nebude Smluvními stranami za písemnou formu uznána výměna jakýchkoliv e-mailových zpráv. Smluvní strany se dále pro vyloučení jakýchkoliv pochybností dohodly, že také změna tohoto ustanovení jinou než písemnou formou se tímto vylučuje.</w:t>
      </w:r>
    </w:p>
    <w:p w14:paraId="4252FD30" w14:textId="77777777" w:rsidR="00EC1C40" w:rsidRDefault="00000000">
      <w:pPr>
        <w:pStyle w:val="Zkladntext1"/>
        <w:framePr w:w="9120" w:h="12269" w:hRule="exact" w:wrap="none" w:vAnchor="page" w:hAnchor="page" w:x="1381" w:y="1940"/>
        <w:numPr>
          <w:ilvl w:val="1"/>
          <w:numId w:val="36"/>
        </w:numPr>
        <w:tabs>
          <w:tab w:val="left" w:pos="562"/>
        </w:tabs>
        <w:spacing w:after="120"/>
        <w:ind w:left="560" w:hanging="560"/>
        <w:jc w:val="both"/>
      </w:pPr>
      <w:r>
        <w:t>Smluvní strany se zavazují, že nebudou činit žádná jednání, která by jakkoli ohrozila či mohla ohrozit plnění této Smlouvy a/nebo dosažení cílů stanovených v této Smlouvě a/nebo naplnění účelů této Smlouvy.</w:t>
      </w:r>
    </w:p>
    <w:p w14:paraId="04C7F10F" w14:textId="77777777" w:rsidR="00EC1C40" w:rsidRDefault="00000000">
      <w:pPr>
        <w:pStyle w:val="Zkladntext1"/>
        <w:framePr w:w="9120" w:h="12269" w:hRule="exact" w:wrap="none" w:vAnchor="page" w:hAnchor="page" w:x="1381" w:y="1940"/>
        <w:numPr>
          <w:ilvl w:val="1"/>
          <w:numId w:val="36"/>
        </w:numPr>
        <w:tabs>
          <w:tab w:val="left" w:pos="562"/>
        </w:tabs>
        <w:spacing w:after="120"/>
        <w:ind w:left="560" w:hanging="560"/>
        <w:jc w:val="both"/>
      </w:pPr>
      <w:r>
        <w:t>Je-li v této Smlouvě ujednáno, že Smluvní strana něco „zajistí“ nebo „zajistí, aby třetí osoba plnila nebo jednala určitým způsobem”, bude takové ujednání vykládáno tak, že příslušná Smluvní strana (i) se na jeho základě ve smyslu § 1769 druhá věta Občanského zákoníku zavazuje k tomu, že třetí osoba splní, co bylo ujednáno, (</w:t>
      </w:r>
      <w:proofErr w:type="spellStart"/>
      <w:r>
        <w:t>ii</w:t>
      </w:r>
      <w:proofErr w:type="spellEnd"/>
      <w:r>
        <w:t>) je odpovědná za to, že zamýšlený výsledek nastane, bez ohledu na jakákoli subjektivní či objektivní omezení v možnostech Smluvní strany kontrolovat či ovlivňovat třetí osoby, či jiné subjektivní či objektivní skutečnosti, které jsou nezbytné k tomu, aby bylo zamýšleného výsledku dosaženo a (</w:t>
      </w:r>
      <w:proofErr w:type="spellStart"/>
      <w:r>
        <w:t>iii</w:t>
      </w:r>
      <w:proofErr w:type="spellEnd"/>
      <w:r>
        <w:t>) nahradí škodu, kterou druhá Smluvní strana utrpí, pokud ke splnění nedojde.</w:t>
      </w:r>
    </w:p>
    <w:p w14:paraId="05777F08" w14:textId="77777777" w:rsidR="00EC1C40" w:rsidRDefault="00000000">
      <w:pPr>
        <w:pStyle w:val="Zkladntext1"/>
        <w:framePr w:w="9120" w:h="12269" w:hRule="exact" w:wrap="none" w:vAnchor="page" w:hAnchor="page" w:x="1381" w:y="1940"/>
        <w:numPr>
          <w:ilvl w:val="1"/>
          <w:numId w:val="36"/>
        </w:numPr>
        <w:tabs>
          <w:tab w:val="left" w:pos="562"/>
        </w:tabs>
        <w:spacing w:after="120"/>
        <w:ind w:left="560" w:hanging="560"/>
        <w:jc w:val="both"/>
      </w:pPr>
      <w:r>
        <w:t>Tato Smlouva je vyhotovena ve čtyřech (4) vyhotoveních v českém jazyce, přičemž Investor a SMP obdrží každý po dvou (2) vyhotoveních.</w:t>
      </w:r>
    </w:p>
    <w:p w14:paraId="5450FA52" w14:textId="77777777" w:rsidR="00EC1C40" w:rsidRDefault="00000000">
      <w:pPr>
        <w:pStyle w:val="Zkladntext1"/>
        <w:framePr w:w="9120" w:h="12269" w:hRule="exact" w:wrap="none" w:vAnchor="page" w:hAnchor="page" w:x="1381" w:y="1940"/>
        <w:numPr>
          <w:ilvl w:val="1"/>
          <w:numId w:val="36"/>
        </w:numPr>
        <w:tabs>
          <w:tab w:val="left" w:pos="562"/>
        </w:tabs>
        <w:spacing w:after="120"/>
        <w:ind w:left="560" w:hanging="560"/>
        <w:jc w:val="both"/>
      </w:pPr>
      <w:r>
        <w:t>Výrazy a ustanovení z Plánovací smlouvy, na které se tato Smlouva odkazuje, se použijí i tehdy, pokud by Plánovací smlouva z jakéhokoli důvodu zanikla.</w:t>
      </w:r>
    </w:p>
    <w:p w14:paraId="41A00045" w14:textId="77777777" w:rsidR="00EC1C40" w:rsidRDefault="00000000">
      <w:pPr>
        <w:pStyle w:val="Nadpis60"/>
        <w:framePr w:w="9120" w:h="12269" w:hRule="exact" w:wrap="none" w:vAnchor="page" w:hAnchor="page" w:x="1381" w:y="1940"/>
        <w:numPr>
          <w:ilvl w:val="0"/>
          <w:numId w:val="36"/>
        </w:numPr>
        <w:tabs>
          <w:tab w:val="left" w:pos="560"/>
        </w:tabs>
        <w:spacing w:after="120"/>
        <w:jc w:val="both"/>
      </w:pPr>
      <w:bookmarkStart w:id="85" w:name="bookmark171"/>
      <w:r>
        <w:t>Přílohy</w:t>
      </w:r>
      <w:bookmarkEnd w:id="85"/>
    </w:p>
    <w:p w14:paraId="323720CC" w14:textId="77777777" w:rsidR="00EC1C40" w:rsidRDefault="00000000">
      <w:pPr>
        <w:pStyle w:val="Zkladntext1"/>
        <w:framePr w:w="9120" w:h="12269" w:hRule="exact" w:wrap="none" w:vAnchor="page" w:hAnchor="page" w:x="1381" w:y="1940"/>
        <w:numPr>
          <w:ilvl w:val="1"/>
          <w:numId w:val="36"/>
        </w:numPr>
        <w:tabs>
          <w:tab w:val="left" w:pos="560"/>
        </w:tabs>
        <w:spacing w:after="0"/>
        <w:jc w:val="both"/>
      </w:pPr>
      <w:r>
        <w:t>Nedílnou součástí této Smlouvy jsou její přílohy:</w:t>
      </w:r>
    </w:p>
    <w:tbl>
      <w:tblPr>
        <w:tblOverlap w:val="never"/>
        <w:tblW w:w="0" w:type="auto"/>
        <w:tblLayout w:type="fixed"/>
        <w:tblCellMar>
          <w:left w:w="10" w:type="dxa"/>
          <w:right w:w="10" w:type="dxa"/>
        </w:tblCellMar>
        <w:tblLook w:val="0000" w:firstRow="0" w:lastRow="0" w:firstColumn="0" w:lastColumn="0" w:noHBand="0" w:noVBand="0"/>
      </w:tblPr>
      <w:tblGrid>
        <w:gridCol w:w="691"/>
        <w:gridCol w:w="1877"/>
        <w:gridCol w:w="5693"/>
      </w:tblGrid>
      <w:tr w:rsidR="00EC1C40" w14:paraId="13FBB3C6" w14:textId="77777777">
        <w:tblPrEx>
          <w:tblCellMar>
            <w:top w:w="0" w:type="dxa"/>
            <w:bottom w:w="0" w:type="dxa"/>
          </w:tblCellMar>
        </w:tblPrEx>
        <w:trPr>
          <w:trHeight w:hRule="exact" w:val="307"/>
        </w:trPr>
        <w:tc>
          <w:tcPr>
            <w:tcW w:w="691" w:type="dxa"/>
            <w:shd w:val="clear" w:color="auto" w:fill="auto"/>
          </w:tcPr>
          <w:p w14:paraId="07F201C3" w14:textId="77777777" w:rsidR="00EC1C40" w:rsidRDefault="00000000">
            <w:pPr>
              <w:pStyle w:val="Jin0"/>
              <w:framePr w:w="8261" w:h="1032" w:wrap="none" w:vAnchor="page" w:hAnchor="page" w:x="1952" w:y="14338"/>
              <w:spacing w:after="0"/>
            </w:pPr>
            <w:r>
              <w:t>9.1.1.</w:t>
            </w:r>
          </w:p>
        </w:tc>
        <w:tc>
          <w:tcPr>
            <w:tcW w:w="1877" w:type="dxa"/>
            <w:shd w:val="clear" w:color="auto" w:fill="auto"/>
          </w:tcPr>
          <w:p w14:paraId="6A3A4C89" w14:textId="77777777" w:rsidR="00EC1C40" w:rsidRDefault="00000000">
            <w:pPr>
              <w:pStyle w:val="Jin0"/>
              <w:framePr w:w="8261" w:h="1032" w:wrap="none" w:vAnchor="page" w:hAnchor="page" w:x="1952" w:y="14338"/>
              <w:spacing w:after="0"/>
              <w:ind w:firstLine="160"/>
            </w:pPr>
            <w:r>
              <w:rPr>
                <w:u w:val="single"/>
              </w:rPr>
              <w:t>Příloha č. 1:</w:t>
            </w:r>
          </w:p>
        </w:tc>
        <w:tc>
          <w:tcPr>
            <w:tcW w:w="5693" w:type="dxa"/>
            <w:shd w:val="clear" w:color="auto" w:fill="auto"/>
          </w:tcPr>
          <w:p w14:paraId="59971489" w14:textId="77777777" w:rsidR="00EC1C40" w:rsidRDefault="00000000">
            <w:pPr>
              <w:pStyle w:val="Jin0"/>
              <w:framePr w:w="8261" w:h="1032" w:wrap="none" w:vAnchor="page" w:hAnchor="page" w:x="1952" w:y="14338"/>
              <w:spacing w:after="0"/>
              <w:ind w:firstLine="700"/>
              <w:jc w:val="both"/>
            </w:pPr>
            <w:r>
              <w:t>Snímek katastrální mapy se zákresem rozsahu výpůjčky;</w:t>
            </w:r>
          </w:p>
        </w:tc>
      </w:tr>
      <w:tr w:rsidR="00EC1C40" w14:paraId="36A747CC" w14:textId="77777777">
        <w:tblPrEx>
          <w:tblCellMar>
            <w:top w:w="0" w:type="dxa"/>
            <w:bottom w:w="0" w:type="dxa"/>
          </w:tblCellMar>
        </w:tblPrEx>
        <w:trPr>
          <w:trHeight w:hRule="exact" w:val="389"/>
        </w:trPr>
        <w:tc>
          <w:tcPr>
            <w:tcW w:w="691" w:type="dxa"/>
            <w:shd w:val="clear" w:color="auto" w:fill="auto"/>
            <w:vAlign w:val="center"/>
          </w:tcPr>
          <w:p w14:paraId="3A2C6AE7" w14:textId="77777777" w:rsidR="00EC1C40" w:rsidRDefault="00000000">
            <w:pPr>
              <w:pStyle w:val="Jin0"/>
              <w:framePr w:w="8261" w:h="1032" w:wrap="none" w:vAnchor="page" w:hAnchor="page" w:x="1952" w:y="14338"/>
              <w:spacing w:after="0"/>
            </w:pPr>
            <w:r>
              <w:t>9.1.2.</w:t>
            </w:r>
          </w:p>
        </w:tc>
        <w:tc>
          <w:tcPr>
            <w:tcW w:w="1877" w:type="dxa"/>
            <w:shd w:val="clear" w:color="auto" w:fill="auto"/>
            <w:vAlign w:val="center"/>
          </w:tcPr>
          <w:p w14:paraId="550DEDB1" w14:textId="77777777" w:rsidR="00EC1C40" w:rsidRDefault="00000000">
            <w:pPr>
              <w:pStyle w:val="Jin0"/>
              <w:framePr w:w="8261" w:h="1032" w:wrap="none" w:vAnchor="page" w:hAnchor="page" w:x="1952" w:y="14338"/>
              <w:spacing w:after="0"/>
              <w:ind w:firstLine="160"/>
            </w:pPr>
            <w:r>
              <w:rPr>
                <w:u w:val="single"/>
              </w:rPr>
              <w:t>Příloha č. 2:</w:t>
            </w:r>
          </w:p>
        </w:tc>
        <w:tc>
          <w:tcPr>
            <w:tcW w:w="5693" w:type="dxa"/>
            <w:shd w:val="clear" w:color="auto" w:fill="auto"/>
            <w:vAlign w:val="center"/>
          </w:tcPr>
          <w:p w14:paraId="12648DF9" w14:textId="77777777" w:rsidR="00EC1C40" w:rsidRDefault="00000000">
            <w:pPr>
              <w:pStyle w:val="Jin0"/>
              <w:framePr w:w="8261" w:h="1032" w:wrap="none" w:vAnchor="page" w:hAnchor="page" w:x="1952" w:y="14338"/>
              <w:spacing w:after="0"/>
              <w:ind w:firstLine="700"/>
              <w:jc w:val="both"/>
            </w:pPr>
            <w:r>
              <w:t>Grafické zobrazení umístění stavebních objektů; a</w:t>
            </w:r>
          </w:p>
        </w:tc>
      </w:tr>
      <w:tr w:rsidR="00EC1C40" w14:paraId="46DB3353" w14:textId="77777777">
        <w:tblPrEx>
          <w:tblCellMar>
            <w:top w:w="0" w:type="dxa"/>
            <w:bottom w:w="0" w:type="dxa"/>
          </w:tblCellMar>
        </w:tblPrEx>
        <w:trPr>
          <w:trHeight w:hRule="exact" w:val="336"/>
        </w:trPr>
        <w:tc>
          <w:tcPr>
            <w:tcW w:w="691" w:type="dxa"/>
            <w:shd w:val="clear" w:color="auto" w:fill="auto"/>
            <w:vAlign w:val="bottom"/>
          </w:tcPr>
          <w:p w14:paraId="4A7A3BBE" w14:textId="77777777" w:rsidR="00EC1C40" w:rsidRDefault="00000000">
            <w:pPr>
              <w:pStyle w:val="Jin0"/>
              <w:framePr w:w="8261" w:h="1032" w:wrap="none" w:vAnchor="page" w:hAnchor="page" w:x="1952" w:y="14338"/>
              <w:spacing w:after="0"/>
            </w:pPr>
            <w:r>
              <w:t>9.1.3.</w:t>
            </w:r>
          </w:p>
        </w:tc>
        <w:tc>
          <w:tcPr>
            <w:tcW w:w="1877" w:type="dxa"/>
            <w:tcBorders>
              <w:bottom w:val="single" w:sz="4" w:space="0" w:color="auto"/>
            </w:tcBorders>
            <w:shd w:val="clear" w:color="auto" w:fill="auto"/>
            <w:vAlign w:val="bottom"/>
          </w:tcPr>
          <w:p w14:paraId="4E52D1AC" w14:textId="77777777" w:rsidR="00EC1C40" w:rsidRDefault="00000000">
            <w:pPr>
              <w:pStyle w:val="Jin0"/>
              <w:framePr w:w="8261" w:h="1032" w:wrap="none" w:vAnchor="page" w:hAnchor="page" w:x="1952" w:y="14338"/>
              <w:spacing w:after="0"/>
              <w:ind w:firstLine="160"/>
            </w:pPr>
            <w:r>
              <w:rPr>
                <w:u w:val="single"/>
              </w:rPr>
              <w:t>Příloha č. 3:</w:t>
            </w:r>
          </w:p>
        </w:tc>
        <w:tc>
          <w:tcPr>
            <w:tcW w:w="5693" w:type="dxa"/>
            <w:shd w:val="clear" w:color="auto" w:fill="auto"/>
            <w:vAlign w:val="bottom"/>
          </w:tcPr>
          <w:p w14:paraId="5A4291AB" w14:textId="77777777" w:rsidR="00EC1C40" w:rsidRDefault="00000000">
            <w:pPr>
              <w:pStyle w:val="Jin0"/>
              <w:framePr w:w="8261" w:h="1032" w:wrap="none" w:vAnchor="page" w:hAnchor="page" w:x="1952" w:y="14338"/>
              <w:spacing w:after="0"/>
              <w:ind w:firstLine="700"/>
              <w:jc w:val="both"/>
            </w:pPr>
            <w:r>
              <w:t>Přehled pozemků SMP dotčených Investičním záměrem</w:t>
            </w:r>
          </w:p>
        </w:tc>
      </w:tr>
    </w:tbl>
    <w:p w14:paraId="624CC7B3" w14:textId="77777777" w:rsidR="00EC1C40" w:rsidRDefault="00000000">
      <w:pPr>
        <w:pStyle w:val="Zhlavnebozpat0"/>
        <w:framePr w:wrap="none" w:vAnchor="page" w:hAnchor="page" w:x="5662" w:y="16085"/>
        <w:rPr>
          <w:sz w:val="22"/>
          <w:szCs w:val="22"/>
        </w:rPr>
      </w:pPr>
      <w:r>
        <w:rPr>
          <w:color w:val="231E20"/>
          <w:sz w:val="22"/>
          <w:szCs w:val="22"/>
        </w:rPr>
        <w:t>11/14</w:t>
      </w:r>
    </w:p>
    <w:p w14:paraId="369601FC"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33D6DFDD" w14:textId="77777777" w:rsidR="00EC1C40" w:rsidRDefault="00000000">
      <w:pPr>
        <w:spacing w:line="1" w:lineRule="exact"/>
      </w:pPr>
      <w:r>
        <w:rPr>
          <w:noProof/>
        </w:rPr>
        <w:lastRenderedPageBreak/>
        <mc:AlternateContent>
          <mc:Choice Requires="wps">
            <w:drawing>
              <wp:anchor distT="0" distB="0" distL="114300" distR="114300" simplePos="0" relativeHeight="251704832" behindDoc="1" locked="0" layoutInCell="1" allowOverlap="1" wp14:anchorId="41E4E27A" wp14:editId="04D13CD6">
                <wp:simplePos x="0" y="0"/>
                <wp:positionH relativeFrom="page">
                  <wp:posOffset>938530</wp:posOffset>
                </wp:positionH>
                <wp:positionV relativeFrom="page">
                  <wp:posOffset>932180</wp:posOffset>
                </wp:positionV>
                <wp:extent cx="5702935" cy="0"/>
                <wp:effectExtent l="0" t="0" r="0" b="0"/>
                <wp:wrapNone/>
                <wp:docPr id="121" name="Shape 121"/>
                <wp:cNvGraphicFramePr/>
                <a:graphic xmlns:a="http://schemas.openxmlformats.org/drawingml/2006/main">
                  <a:graphicData uri="http://schemas.microsoft.com/office/word/2010/wordprocessingShape">
                    <wps:wsp>
                      <wps:cNvCnPr/>
                      <wps:spPr>
                        <a:xfrm>
                          <a:off x="0" y="0"/>
                          <a:ext cx="5702935" cy="0"/>
                        </a:xfrm>
                        <a:prstGeom prst="straightConnector1">
                          <a:avLst/>
                        </a:prstGeom>
                        <a:ln w="6350">
                          <a:solidFill/>
                        </a:ln>
                      </wps:spPr>
                      <wps:bodyPr/>
                    </wps:wsp>
                  </a:graphicData>
                </a:graphic>
              </wp:anchor>
            </w:drawing>
          </mc:Choice>
          <mc:Fallback>
            <w:pict>
              <v:shape o:spt="32" o:oned="true" path="m,l21600,21600e" style="position:absolute;margin-left:73.900000000000006pt;margin-top:73.400000000000006pt;width:449.05000000000001pt;height:0;z-index:-251658240;mso-position-horizontal-relative:page;mso-position-vertical-relative:page">
                <v:stroke weight="0.5pt"/>
              </v:shape>
            </w:pict>
          </mc:Fallback>
        </mc:AlternateContent>
      </w:r>
    </w:p>
    <w:p w14:paraId="5556E76B" w14:textId="77777777" w:rsidR="00EC1C40" w:rsidRDefault="00000000">
      <w:pPr>
        <w:pStyle w:val="Zhlavnebozpat0"/>
        <w:framePr w:w="1483" w:h="240" w:hRule="exact" w:wrap="none" w:vAnchor="page" w:hAnchor="page" w:x="5233" w:y="1186"/>
        <w:jc w:val="center"/>
      </w:pPr>
      <w:r>
        <w:t>Smlouva o výpůjčce</w:t>
      </w:r>
    </w:p>
    <w:p w14:paraId="01F8CE50" w14:textId="77777777" w:rsidR="00EC1C40" w:rsidRDefault="00000000">
      <w:pPr>
        <w:pStyle w:val="Nadpis60"/>
        <w:framePr w:w="9125" w:h="13478" w:hRule="exact" w:wrap="none" w:vAnchor="page" w:hAnchor="page" w:x="1378" w:y="1940"/>
        <w:numPr>
          <w:ilvl w:val="0"/>
          <w:numId w:val="36"/>
        </w:numPr>
        <w:tabs>
          <w:tab w:val="left" w:pos="556"/>
        </w:tabs>
        <w:jc w:val="both"/>
      </w:pPr>
      <w:bookmarkStart w:id="86" w:name="bookmark173"/>
      <w:r>
        <w:t>Veřejnoprávní doložka</w:t>
      </w:r>
      <w:bookmarkEnd w:id="86"/>
    </w:p>
    <w:p w14:paraId="410F8FC1" w14:textId="77777777" w:rsidR="00EC1C40" w:rsidRDefault="00000000">
      <w:pPr>
        <w:pStyle w:val="Zkladntext1"/>
        <w:framePr w:w="9125" w:h="13478" w:hRule="exact" w:wrap="none" w:vAnchor="page" w:hAnchor="page" w:x="1378" w:y="1940"/>
        <w:numPr>
          <w:ilvl w:val="1"/>
          <w:numId w:val="36"/>
        </w:numPr>
        <w:tabs>
          <w:tab w:val="left" w:pos="556"/>
        </w:tabs>
        <w:ind w:left="560" w:hanging="560"/>
        <w:jc w:val="both"/>
      </w:pPr>
      <w:r>
        <w:t xml:space="preserve">SMP ve smyslu ustanovení § 41 zákona č. 128/2000 Sb., o obcích (obecní zřízení), ve znění pozdějších předpisů, tímto potvrzuje, že uzavření této Smlouvy bylo schváleno [•] Radou města Pardubice na jejím [•] </w:t>
      </w:r>
      <w:r>
        <w:rPr>
          <w:b/>
          <w:bCs/>
        </w:rPr>
        <w:t xml:space="preserve">zasedání konaném dne </w:t>
      </w:r>
      <w:r>
        <w:t xml:space="preserve">[•] </w:t>
      </w:r>
      <w:r>
        <w:rPr>
          <w:b/>
          <w:bCs/>
        </w:rPr>
        <w:t xml:space="preserve">č. usnesení </w:t>
      </w:r>
      <w:r>
        <w:t>[•].</w:t>
      </w:r>
    </w:p>
    <w:p w14:paraId="0D0ABDE7" w14:textId="77777777" w:rsidR="00EC1C40" w:rsidRDefault="00000000">
      <w:pPr>
        <w:pStyle w:val="Nadpis60"/>
        <w:framePr w:w="9125" w:h="13478" w:hRule="exact" w:wrap="none" w:vAnchor="page" w:hAnchor="page" w:x="1378" w:y="1940"/>
        <w:numPr>
          <w:ilvl w:val="0"/>
          <w:numId w:val="36"/>
        </w:numPr>
        <w:tabs>
          <w:tab w:val="left" w:pos="556"/>
        </w:tabs>
        <w:jc w:val="both"/>
      </w:pPr>
      <w:bookmarkStart w:id="87" w:name="bookmark175"/>
      <w:r>
        <w:t>Prohlášení o přístupnosti Smlouvy</w:t>
      </w:r>
      <w:bookmarkEnd w:id="87"/>
    </w:p>
    <w:p w14:paraId="702408C7" w14:textId="77777777" w:rsidR="00EC1C40" w:rsidRDefault="00000000">
      <w:pPr>
        <w:pStyle w:val="Zkladntext1"/>
        <w:framePr w:w="9125" w:h="13478" w:hRule="exact" w:wrap="none" w:vAnchor="page" w:hAnchor="page" w:x="1378" w:y="1940"/>
        <w:numPr>
          <w:ilvl w:val="1"/>
          <w:numId w:val="36"/>
        </w:numPr>
        <w:tabs>
          <w:tab w:val="left" w:pos="556"/>
        </w:tabs>
        <w:spacing w:after="220"/>
        <w:ind w:left="560" w:hanging="560"/>
        <w:jc w:val="both"/>
      </w:pPr>
      <w:r>
        <w:t>Smluvní strany berou na vědomí a souhlasí s tím, aby tato Smlouva včetně jejích příloh byla způsobem požadovaným platnými a účinnými právními předpisy, zejména zákonem č. 340/2015 Sb., o zvláštních podmínkách účinnosti některých smluv, uveřejňování těchto smluv a o registru smluv (zákon o registru smluv), ve znění pozdějších předpisů, zveřejněna v registru smluv.</w:t>
      </w:r>
    </w:p>
    <w:p w14:paraId="3171AD89" w14:textId="77777777" w:rsidR="00EC1C40" w:rsidRDefault="00000000">
      <w:pPr>
        <w:pStyle w:val="Zkladntext1"/>
        <w:framePr w:w="9125" w:h="13478" w:hRule="exact" w:wrap="none" w:vAnchor="page" w:hAnchor="page" w:x="1378" w:y="1940"/>
        <w:numPr>
          <w:ilvl w:val="1"/>
          <w:numId w:val="36"/>
        </w:numPr>
        <w:tabs>
          <w:tab w:val="left" w:pos="556"/>
        </w:tabs>
        <w:spacing w:after="60"/>
        <w:ind w:left="560" w:hanging="560"/>
        <w:jc w:val="both"/>
      </w:pPr>
      <w:r>
        <w:t>Zveřejnění této Smlouvy, jakož i smluv souvisejících a uzavíraných v souvislosti s ní, v registru smluv včetně zajištění veškerých kroků a potřebných jednání s tím souvisejících zajistí SMP bez zbytečného odkladu, nejpozději do deseti (10) dnů od okamžiku, kdy si Smluvní strany vzájemně odsouhlasí hodnotu Smlouvy uváděnou jakožto součást metadat zveřejňovaných v registru smluv. Smluvní strany si pro tento účel poskytnou veškerou potřebnou součinnost, přičemž si hodnotu Smlouvy uváděnou jakožto součást metadat zveřejňovaných v registru smluv odsouhlasí do deseti (10) dnů od uzavření této Smlouvy; Smluvní strany si pro tyto účely poskytnou potřebné informace. SMP bude o zveřejnění této Smlouvy v registru smluv bezodkladně, nejpozději do pěti (5) dnů od jejího zveřejnění, informovat Investora. Žádná ze Smluvních stran nenese odpovědnost za správnost informací poskytnutých ke stanovení hodnoty Smlouvy jako součásti metadat zveřejňovaných v registru smluv. V případě, kdy by byla Smlouva z důvodu chybných metadat či chybného zveřejnění v registru smluv zrušena od počátku, budou Smluvní strany postupovat obdobně dle čl. 8.5. této Smlouvy.</w:t>
      </w:r>
    </w:p>
    <w:p w14:paraId="711B2254" w14:textId="77777777" w:rsidR="00EC1C40" w:rsidRDefault="00000000">
      <w:pPr>
        <w:pStyle w:val="Nadpis60"/>
        <w:framePr w:w="9125" w:h="13478" w:hRule="exact" w:wrap="none" w:vAnchor="page" w:hAnchor="page" w:x="1378" w:y="1940"/>
        <w:numPr>
          <w:ilvl w:val="0"/>
          <w:numId w:val="36"/>
        </w:numPr>
        <w:tabs>
          <w:tab w:val="left" w:pos="556"/>
        </w:tabs>
        <w:jc w:val="both"/>
      </w:pPr>
      <w:bookmarkStart w:id="88" w:name="bookmark177"/>
      <w:r>
        <w:t>Uzavření Smlouvy a její účinnost</w:t>
      </w:r>
      <w:bookmarkEnd w:id="88"/>
    </w:p>
    <w:p w14:paraId="3900EE3F" w14:textId="77777777" w:rsidR="00EC1C40" w:rsidRDefault="00000000">
      <w:pPr>
        <w:pStyle w:val="Zkladntext1"/>
        <w:framePr w:w="9125" w:h="13478" w:hRule="exact" w:wrap="none" w:vAnchor="page" w:hAnchor="page" w:x="1378" w:y="1940"/>
        <w:numPr>
          <w:ilvl w:val="1"/>
          <w:numId w:val="36"/>
        </w:numPr>
        <w:tabs>
          <w:tab w:val="left" w:pos="556"/>
        </w:tabs>
        <w:jc w:val="both"/>
      </w:pPr>
      <w:r>
        <w:t>Tato Smlouva je uzavřena podpisem poslední ze Smluvních stran.</w:t>
      </w:r>
    </w:p>
    <w:p w14:paraId="73C0B8EE" w14:textId="77777777" w:rsidR="00EC1C40" w:rsidRDefault="00000000">
      <w:pPr>
        <w:pStyle w:val="Zkladntext1"/>
        <w:framePr w:w="9125" w:h="13478" w:hRule="exact" w:wrap="none" w:vAnchor="page" w:hAnchor="page" w:x="1378" w:y="1940"/>
        <w:numPr>
          <w:ilvl w:val="1"/>
          <w:numId w:val="36"/>
        </w:numPr>
        <w:tabs>
          <w:tab w:val="left" w:pos="556"/>
        </w:tabs>
        <w:spacing w:after="220"/>
        <w:jc w:val="both"/>
      </w:pPr>
      <w:r>
        <w:t>Tato Smlouva nabývá účinnosti dnem jejího uveřejnění v registru smluv.</w:t>
      </w:r>
    </w:p>
    <w:p w14:paraId="43837EB1" w14:textId="77777777" w:rsidR="00EC1C40" w:rsidRDefault="00000000">
      <w:pPr>
        <w:pStyle w:val="Zkladntext1"/>
        <w:framePr w:w="9125" w:h="13478" w:hRule="exact" w:wrap="none" w:vAnchor="page" w:hAnchor="page" w:x="1378" w:y="1940"/>
        <w:numPr>
          <w:ilvl w:val="1"/>
          <w:numId w:val="36"/>
        </w:numPr>
        <w:tabs>
          <w:tab w:val="left" w:pos="556"/>
        </w:tabs>
        <w:spacing w:after="220"/>
        <w:ind w:left="560" w:hanging="560"/>
        <w:jc w:val="both"/>
      </w:pPr>
      <w:r>
        <w:t>Investor tímto prohlašuje, že tuto Smlouvu je připraven uzavřít pouze za následujících předpokladů: (i) tato Smlouva bude ze strany příslušných orgánů SMP schválena a ze strany SMP uzavřena ve znění, které je odsouhlaseno Investorem, (</w:t>
      </w:r>
      <w:proofErr w:type="spellStart"/>
      <w:r>
        <w:t>ii</w:t>
      </w:r>
      <w:proofErr w:type="spellEnd"/>
      <w:r>
        <w:t xml:space="preserve">) spolu s touto Smlouvou budou ve znění odsouhlaseném Investorem ze strany příslušných orgánů SMP schváleny a ze strany SMP uzavřeny i Směnná smlouva 1, Smlouva o smlouvě budoucí směnné, Dohoda o úpravě vztahů, Smlouva o výpůjčce SMP Hůrka, </w:t>
      </w:r>
      <w:proofErr w:type="spellStart"/>
      <w:r>
        <w:t>SoSB</w:t>
      </w:r>
      <w:proofErr w:type="spellEnd"/>
      <w:r>
        <w:t xml:space="preserve"> SMP Hůrka </w:t>
      </w:r>
      <w:r>
        <w:rPr>
          <w:i/>
          <w:iCs/>
        </w:rPr>
        <w:t>(jak jsou tyto pojmy definovány v Plánovací smlouvě)</w:t>
      </w:r>
      <w:r>
        <w:t xml:space="preserve"> a Plánovací smlouva, a to včetně schválení rozhodnutí o snížení základní výše Investičního příspěvku dle Zásad o 100% z titulu charakteru Investičního záměru jako veřejné stavby (čl. 4.2. a 4.3. Plánovací smlouvy) a dále schválení snížení Investičního příspěvku o 200,- Kč za každý 1 m2 z titulu realizace Adaptačních opatření (čl. 4.4. Plánovací smlouvy) a (</w:t>
      </w:r>
      <w:proofErr w:type="spellStart"/>
      <w:r>
        <w:t>iii</w:t>
      </w:r>
      <w:proofErr w:type="spellEnd"/>
      <w:r>
        <w:t xml:space="preserve">) ze strany Nadace pro rozvoj města Pardubic, IČ: 464 95 801, se sídlem Pernštýnské náměstí 1, Pardubice-Staré Město, 530 02 Pardubice, zapsané v nadačním rejstříku vedeném u Krajského soudu v Hradci Králové pod </w:t>
      </w:r>
      <w:proofErr w:type="spellStart"/>
      <w:r>
        <w:t>sp</w:t>
      </w:r>
      <w:proofErr w:type="spellEnd"/>
      <w:r>
        <w:t>. zn. N 87 (dále jen "</w:t>
      </w:r>
      <w:r>
        <w:rPr>
          <w:b/>
          <w:bCs/>
        </w:rPr>
        <w:t>Nadace</w:t>
      </w:r>
      <w:r>
        <w:t xml:space="preserve">") budou uzavřeny Smlouva o výpůjčce Nadace Hůrka a </w:t>
      </w:r>
      <w:proofErr w:type="spellStart"/>
      <w:r>
        <w:t>SoSB</w:t>
      </w:r>
      <w:proofErr w:type="spellEnd"/>
      <w:r>
        <w:t xml:space="preserve"> Nadace Hůrka </w:t>
      </w:r>
      <w:r>
        <w:rPr>
          <w:i/>
          <w:iCs/>
        </w:rPr>
        <w:t>(jak jsou tyto pojmy definovány v Plánovací smlouvě)</w:t>
      </w:r>
      <w:r>
        <w:t>, a to ve znění odsouhlaseném Investorem. SMP toto prohlášení Investora plně respektuje.</w:t>
      </w:r>
    </w:p>
    <w:p w14:paraId="26A02C70" w14:textId="77777777" w:rsidR="00EC1C40" w:rsidRDefault="00000000">
      <w:pPr>
        <w:pStyle w:val="Zkladntext1"/>
        <w:framePr w:w="9125" w:h="13478" w:hRule="exact" w:wrap="none" w:vAnchor="page" w:hAnchor="page" w:x="1378" w:y="1940"/>
        <w:numPr>
          <w:ilvl w:val="1"/>
          <w:numId w:val="36"/>
        </w:numPr>
        <w:tabs>
          <w:tab w:val="left" w:pos="556"/>
        </w:tabs>
        <w:spacing w:after="0"/>
        <w:ind w:left="560" w:hanging="560"/>
        <w:jc w:val="both"/>
      </w:pPr>
      <w:r>
        <w:t>SMP tímto prohlašuje, že tuto Smlouvu je připraveno uzavřít pouze za následujících předpokladů: (i) tato Smlouva bude ze strany příslušných orgánů SMP schválena a ze strany SMP uzavřena ve znění, které je odsouhlaseno příslušnými orgány SMP, (</w:t>
      </w:r>
      <w:proofErr w:type="spellStart"/>
      <w:r>
        <w:t>ii</w:t>
      </w:r>
      <w:proofErr w:type="spellEnd"/>
      <w:r>
        <w:t xml:space="preserve">) spolu s touto Smlouvou budou ze strany Investora uzavřeny i Směnná smlouva 1, Smlouva o smlouvě budoucí směnné, Dohoda o úpravě vztahů, Smlouva o výpůjčce SMP Hůrka, </w:t>
      </w:r>
      <w:proofErr w:type="spellStart"/>
      <w:r>
        <w:t>SoSB</w:t>
      </w:r>
      <w:proofErr w:type="spellEnd"/>
      <w:r>
        <w:t xml:space="preserve"> SMP Hůrka, Smlouva o výpůjčce</w:t>
      </w:r>
    </w:p>
    <w:p w14:paraId="69D579E2" w14:textId="77777777" w:rsidR="00EC1C40" w:rsidRDefault="00000000">
      <w:pPr>
        <w:pStyle w:val="Zhlavnebozpat0"/>
        <w:framePr w:wrap="none" w:vAnchor="page" w:hAnchor="page" w:x="5646" w:y="16085"/>
        <w:rPr>
          <w:sz w:val="22"/>
          <w:szCs w:val="22"/>
        </w:rPr>
      </w:pPr>
      <w:r>
        <w:rPr>
          <w:color w:val="231E20"/>
          <w:sz w:val="22"/>
          <w:szCs w:val="22"/>
        </w:rPr>
        <w:t>12/14</w:t>
      </w:r>
    </w:p>
    <w:p w14:paraId="3DB1D1F5"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69D06B55" w14:textId="77777777" w:rsidR="00EC1C40" w:rsidRDefault="00000000">
      <w:pPr>
        <w:spacing w:line="1" w:lineRule="exact"/>
      </w:pPr>
      <w:r>
        <w:rPr>
          <w:noProof/>
        </w:rPr>
        <w:lastRenderedPageBreak/>
        <mc:AlternateContent>
          <mc:Choice Requires="wps">
            <w:drawing>
              <wp:anchor distT="0" distB="0" distL="114300" distR="114300" simplePos="0" relativeHeight="251705856" behindDoc="1" locked="0" layoutInCell="1" allowOverlap="1" wp14:anchorId="6A17A166" wp14:editId="2797C715">
                <wp:simplePos x="0" y="0"/>
                <wp:positionH relativeFrom="page">
                  <wp:posOffset>950595</wp:posOffset>
                </wp:positionH>
                <wp:positionV relativeFrom="page">
                  <wp:posOffset>932180</wp:posOffset>
                </wp:positionV>
                <wp:extent cx="5702935" cy="0"/>
                <wp:effectExtent l="0" t="0" r="0" b="0"/>
                <wp:wrapNone/>
                <wp:docPr id="122" name="Shape 122"/>
                <wp:cNvGraphicFramePr/>
                <a:graphic xmlns:a="http://schemas.openxmlformats.org/drawingml/2006/main">
                  <a:graphicData uri="http://schemas.microsoft.com/office/word/2010/wordprocessingShape">
                    <wps:wsp>
                      <wps:cNvCnPr/>
                      <wps:spPr>
                        <a:xfrm>
                          <a:off x="0" y="0"/>
                          <a:ext cx="5702935" cy="0"/>
                        </a:xfrm>
                        <a:prstGeom prst="straightConnector1">
                          <a:avLst/>
                        </a:prstGeom>
                        <a:ln w="6350">
                          <a:solidFill/>
                        </a:ln>
                      </wps:spPr>
                      <wps:bodyPr/>
                    </wps:wsp>
                  </a:graphicData>
                </a:graphic>
              </wp:anchor>
            </w:drawing>
          </mc:Choice>
          <mc:Fallback>
            <w:pict>
              <v:shape o:spt="32" o:oned="true" path="m,l21600,21600e" style="position:absolute;margin-left:74.850000000000009pt;margin-top:73.400000000000006pt;width:449.05000000000001pt;height:0;z-index:-251658240;mso-position-horizontal-relative:page;mso-position-vertical-relative:page">
                <v:stroke weight="0.5pt"/>
              </v:shape>
            </w:pict>
          </mc:Fallback>
        </mc:AlternateContent>
      </w:r>
    </w:p>
    <w:p w14:paraId="7BB29915" w14:textId="77777777" w:rsidR="00EC1C40" w:rsidRDefault="00000000">
      <w:pPr>
        <w:pStyle w:val="Zhlavnebozpat0"/>
        <w:framePr w:w="1483" w:h="240" w:hRule="exact" w:wrap="none" w:vAnchor="page" w:hAnchor="page" w:x="5252" w:y="1186"/>
        <w:jc w:val="center"/>
      </w:pPr>
      <w:r>
        <w:t>Smlouva o výpůjčce</w:t>
      </w:r>
    </w:p>
    <w:p w14:paraId="0DA7A87A" w14:textId="77777777" w:rsidR="00EC1C40" w:rsidRDefault="00000000">
      <w:pPr>
        <w:pStyle w:val="Zkladntext1"/>
        <w:framePr w:w="9115" w:h="1810" w:hRule="exact" w:wrap="none" w:vAnchor="page" w:hAnchor="page" w:x="1383" w:y="1940"/>
        <w:spacing w:after="40"/>
        <w:ind w:left="560"/>
        <w:jc w:val="both"/>
      </w:pPr>
      <w:r>
        <w:t xml:space="preserve">Nadace Hůrka a </w:t>
      </w:r>
      <w:proofErr w:type="spellStart"/>
      <w:r>
        <w:t>SoSB</w:t>
      </w:r>
      <w:proofErr w:type="spellEnd"/>
      <w:r>
        <w:t xml:space="preserve"> Nadace Hůrka </w:t>
      </w:r>
      <w:r>
        <w:rPr>
          <w:i/>
          <w:iCs/>
        </w:rPr>
        <w:t>(jak jsou tyto pojmy definovány v Plánovací smlouvě)</w:t>
      </w:r>
      <w:r>
        <w:t xml:space="preserve"> a Plánovací smlouva. Investor toto prohlášení SMP plně respektuje.</w:t>
      </w:r>
    </w:p>
    <w:p w14:paraId="73F70EE2" w14:textId="77777777" w:rsidR="00EC1C40" w:rsidRDefault="00000000">
      <w:pPr>
        <w:pStyle w:val="Zkladntext1"/>
        <w:framePr w:w="9115" w:h="1810" w:hRule="exact" w:wrap="none" w:vAnchor="page" w:hAnchor="page" w:x="1383" w:y="1940"/>
        <w:spacing w:after="120"/>
        <w:jc w:val="both"/>
      </w:pPr>
      <w:r>
        <w:rPr>
          <w:i/>
          <w:iCs/>
        </w:rPr>
        <w:t>NA DŮKAZ TOHO Smluvní strany prohlašují, že s obsahem této Smlouvy souhlasí, rozumí jí a zavazují se k jejímu plnění, připojují své podpisy a prohlašují, že tato Smlouva byla uzavřena podle jejich svobodné a vážné vůle prosté tísně, zejména tísně finanční.</w:t>
      </w:r>
    </w:p>
    <w:p w14:paraId="6802E7A4" w14:textId="77777777" w:rsidR="00EC1C40" w:rsidRDefault="00000000">
      <w:pPr>
        <w:pStyle w:val="Zkladntext1"/>
        <w:framePr w:w="9115" w:h="1810" w:hRule="exact" w:wrap="none" w:vAnchor="page" w:hAnchor="page" w:x="1383" w:y="1940"/>
        <w:spacing w:after="0"/>
        <w:jc w:val="center"/>
      </w:pPr>
      <w:r>
        <w:rPr>
          <w:i/>
          <w:iCs/>
        </w:rPr>
        <w:t>PODPISOVÁ STRANA NÁSLEDUJE</w:t>
      </w:r>
    </w:p>
    <w:p w14:paraId="527D5C03" w14:textId="77777777" w:rsidR="00EC1C40" w:rsidRDefault="00000000">
      <w:pPr>
        <w:pStyle w:val="Zhlavnebozpat0"/>
        <w:framePr w:wrap="none" w:vAnchor="page" w:hAnchor="page" w:x="5665" w:y="16085"/>
        <w:rPr>
          <w:sz w:val="22"/>
          <w:szCs w:val="22"/>
        </w:rPr>
      </w:pPr>
      <w:r>
        <w:rPr>
          <w:color w:val="231E20"/>
          <w:sz w:val="22"/>
          <w:szCs w:val="22"/>
        </w:rPr>
        <w:t>13/14</w:t>
      </w:r>
    </w:p>
    <w:p w14:paraId="2E3FCC56"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608ED2A3" w14:textId="77777777" w:rsidR="00EC1C40" w:rsidRDefault="00000000">
      <w:pPr>
        <w:spacing w:line="1" w:lineRule="exact"/>
      </w:pPr>
      <w:r>
        <w:rPr>
          <w:noProof/>
        </w:rPr>
        <w:lastRenderedPageBreak/>
        <mc:AlternateContent>
          <mc:Choice Requires="wps">
            <w:drawing>
              <wp:anchor distT="0" distB="0" distL="114300" distR="114300" simplePos="0" relativeHeight="251706880" behindDoc="1" locked="0" layoutInCell="1" allowOverlap="1" wp14:anchorId="04BD423B" wp14:editId="6BA27D7D">
                <wp:simplePos x="0" y="0"/>
                <wp:positionH relativeFrom="page">
                  <wp:posOffset>947420</wp:posOffset>
                </wp:positionH>
                <wp:positionV relativeFrom="page">
                  <wp:posOffset>932180</wp:posOffset>
                </wp:positionV>
                <wp:extent cx="5702935" cy="0"/>
                <wp:effectExtent l="0" t="0" r="0" b="0"/>
                <wp:wrapNone/>
                <wp:docPr id="123" name="Shape 123"/>
                <wp:cNvGraphicFramePr/>
                <a:graphic xmlns:a="http://schemas.openxmlformats.org/drawingml/2006/main">
                  <a:graphicData uri="http://schemas.microsoft.com/office/word/2010/wordprocessingShape">
                    <wps:wsp>
                      <wps:cNvCnPr/>
                      <wps:spPr>
                        <a:xfrm>
                          <a:off x="0" y="0"/>
                          <a:ext cx="5702935" cy="0"/>
                        </a:xfrm>
                        <a:prstGeom prst="straightConnector1">
                          <a:avLst/>
                        </a:prstGeom>
                        <a:ln w="6350">
                          <a:solidFill/>
                        </a:ln>
                      </wps:spPr>
                      <wps:bodyPr/>
                    </wps:wsp>
                  </a:graphicData>
                </a:graphic>
              </wp:anchor>
            </w:drawing>
          </mc:Choice>
          <mc:Fallback>
            <w:pict>
              <v:shape o:spt="32" o:oned="true" path="m,l21600,21600e" style="position:absolute;margin-left:74.600000000000009pt;margin-top:73.400000000000006pt;width:449.05000000000001pt;height:0;z-index:-251658240;mso-position-horizontal-relative:page;mso-position-vertical-relative:page">
                <v:stroke weight="0.5pt"/>
              </v:shape>
            </w:pict>
          </mc:Fallback>
        </mc:AlternateContent>
      </w:r>
    </w:p>
    <w:p w14:paraId="6233976C" w14:textId="77777777" w:rsidR="00EC1C40" w:rsidRDefault="00000000">
      <w:pPr>
        <w:pStyle w:val="Zhlavnebozpat0"/>
        <w:framePr w:w="1483" w:h="240" w:hRule="exact" w:wrap="none" w:vAnchor="page" w:hAnchor="page" w:x="5247" w:y="1186"/>
        <w:jc w:val="center"/>
      </w:pPr>
      <w:r>
        <w:t>Smlouva o výpůjčce</w:t>
      </w:r>
    </w:p>
    <w:p w14:paraId="7044ECC3" w14:textId="77777777" w:rsidR="00EC1C40" w:rsidRDefault="00000000">
      <w:pPr>
        <w:pStyle w:val="Zkladntext1"/>
        <w:framePr w:wrap="none" w:vAnchor="page" w:hAnchor="page" w:x="1484" w:y="3087"/>
        <w:spacing w:after="0"/>
      </w:pPr>
      <w:r>
        <w:t>V [•] dne [•]</w:t>
      </w:r>
    </w:p>
    <w:p w14:paraId="1F3BEF93" w14:textId="77777777" w:rsidR="00EC1C40" w:rsidRDefault="00000000">
      <w:pPr>
        <w:pStyle w:val="Zkladntext1"/>
        <w:framePr w:w="9115" w:h="1080" w:hRule="exact" w:wrap="none" w:vAnchor="page" w:hAnchor="page" w:x="1378" w:y="2328"/>
        <w:spacing w:after="500"/>
        <w:ind w:left="3590" w:right="2813"/>
        <w:jc w:val="center"/>
      </w:pPr>
      <w:r>
        <w:rPr>
          <w:b/>
          <w:bCs/>
          <w:i/>
          <w:iCs/>
        </w:rPr>
        <w:t>PODPISOVÁ STRANA</w:t>
      </w:r>
    </w:p>
    <w:p w14:paraId="5962A242" w14:textId="77777777" w:rsidR="00EC1C40" w:rsidRDefault="00000000">
      <w:pPr>
        <w:pStyle w:val="Zkladntext1"/>
        <w:framePr w:w="9115" w:h="1080" w:hRule="exact" w:wrap="none" w:vAnchor="page" w:hAnchor="page" w:x="1378" w:y="2328"/>
        <w:spacing w:after="0"/>
        <w:ind w:left="3600"/>
      </w:pPr>
      <w:r>
        <w:t>V [•] dne [•]</w:t>
      </w:r>
    </w:p>
    <w:p w14:paraId="37F79F3C" w14:textId="77777777" w:rsidR="00EC1C40" w:rsidRDefault="00000000">
      <w:pPr>
        <w:pStyle w:val="Nadpis60"/>
        <w:framePr w:w="2554" w:h="1186" w:hRule="exact" w:wrap="none" w:vAnchor="page" w:hAnchor="page" w:x="2146" w:y="5055"/>
        <w:pBdr>
          <w:top w:val="single" w:sz="4" w:space="0" w:color="auto"/>
        </w:pBdr>
        <w:spacing w:after="0" w:line="343" w:lineRule="auto"/>
        <w:jc w:val="center"/>
      </w:pPr>
      <w:bookmarkStart w:id="89" w:name="bookmark179"/>
      <w:r>
        <w:t>Statutární město Pardubice</w:t>
      </w:r>
      <w:bookmarkEnd w:id="89"/>
    </w:p>
    <w:p w14:paraId="31A491CC" w14:textId="77777777" w:rsidR="00EC1C40" w:rsidRDefault="00000000">
      <w:pPr>
        <w:pStyle w:val="Zkladntext1"/>
        <w:framePr w:w="2554" w:h="1186" w:hRule="exact" w:wrap="none" w:vAnchor="page" w:hAnchor="page" w:x="2146" w:y="5055"/>
        <w:spacing w:after="0" w:line="343" w:lineRule="auto"/>
        <w:jc w:val="center"/>
      </w:pPr>
      <w:r>
        <w:t>Bc. Jan Nadrchal</w:t>
      </w:r>
      <w:r>
        <w:br/>
        <w:t>primátor</w:t>
      </w:r>
    </w:p>
    <w:p w14:paraId="117A0026" w14:textId="77777777" w:rsidR="00EC1C40" w:rsidRDefault="00000000">
      <w:pPr>
        <w:pStyle w:val="Zkladntext1"/>
        <w:framePr w:w="1123" w:h="1186" w:hRule="exact" w:wrap="none" w:vAnchor="page" w:hAnchor="page" w:x="7978" w:y="5055"/>
        <w:pBdr>
          <w:top w:val="single" w:sz="4" w:space="0" w:color="auto"/>
        </w:pBdr>
        <w:spacing w:after="0" w:line="343" w:lineRule="auto"/>
        <w:jc w:val="center"/>
      </w:pPr>
      <w:r>
        <w:rPr>
          <w:b/>
          <w:bCs/>
        </w:rPr>
        <w:t>MHAP s.r.o.</w:t>
      </w:r>
    </w:p>
    <w:p w14:paraId="10647EC2" w14:textId="77777777" w:rsidR="00EC1C40" w:rsidRDefault="00000000">
      <w:pPr>
        <w:pStyle w:val="Zkladntext1"/>
        <w:framePr w:w="1123" w:h="1186" w:hRule="exact" w:wrap="none" w:vAnchor="page" w:hAnchor="page" w:x="7978" w:y="5055"/>
        <w:spacing w:after="0" w:line="343" w:lineRule="auto"/>
        <w:jc w:val="center"/>
      </w:pPr>
      <w:r>
        <w:t>Petr Dědek</w:t>
      </w:r>
      <w:r>
        <w:br/>
        <w:t>jednatel</w:t>
      </w:r>
    </w:p>
    <w:p w14:paraId="7A5FA0DB" w14:textId="77777777" w:rsidR="00EC1C40" w:rsidRDefault="00000000">
      <w:pPr>
        <w:pStyle w:val="Zhlavnebozpat0"/>
        <w:framePr w:wrap="none" w:vAnchor="page" w:hAnchor="page" w:x="5660" w:y="16085"/>
        <w:rPr>
          <w:sz w:val="22"/>
          <w:szCs w:val="22"/>
        </w:rPr>
      </w:pPr>
      <w:r>
        <w:rPr>
          <w:color w:val="231E20"/>
          <w:sz w:val="22"/>
          <w:szCs w:val="22"/>
        </w:rPr>
        <w:t>14/14</w:t>
      </w:r>
    </w:p>
    <w:p w14:paraId="41AADD3B"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52F5FB05" w14:textId="77777777" w:rsidR="00EC1C40" w:rsidRDefault="00EC1C40">
      <w:pPr>
        <w:spacing w:line="1" w:lineRule="exact"/>
      </w:pPr>
    </w:p>
    <w:p w14:paraId="41ABDFCF" w14:textId="77777777" w:rsidR="00EC1C40" w:rsidRDefault="00000000">
      <w:pPr>
        <w:pStyle w:val="Zkladntext80"/>
        <w:framePr w:w="11472" w:h="547" w:hRule="exact" w:wrap="none" w:vAnchor="page" w:hAnchor="page" w:x="346" w:y="5132"/>
      </w:pPr>
      <w:r>
        <w:t>Příloha č. 8</w:t>
      </w:r>
    </w:p>
    <w:p w14:paraId="79B5DEBD"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512EF0FF" w14:textId="77777777" w:rsidR="00EC1C40" w:rsidRDefault="00EC1C40">
      <w:pPr>
        <w:spacing w:line="1" w:lineRule="exact"/>
      </w:pPr>
    </w:p>
    <w:p w14:paraId="10E035B0" w14:textId="77777777" w:rsidR="00EC1C40" w:rsidRDefault="00000000">
      <w:pPr>
        <w:framePr w:wrap="none" w:vAnchor="page" w:hAnchor="page" w:x="222" w:y="3602"/>
        <w:rPr>
          <w:sz w:val="2"/>
          <w:szCs w:val="2"/>
        </w:rPr>
      </w:pPr>
      <w:r>
        <w:rPr>
          <w:noProof/>
        </w:rPr>
        <w:drawing>
          <wp:inline distT="0" distB="0" distL="0" distR="0" wp14:anchorId="53B51D1E" wp14:editId="662AF9B6">
            <wp:extent cx="7284720" cy="6120130"/>
            <wp:effectExtent l="0" t="0" r="0" b="0"/>
            <wp:docPr id="124" name="Picutre 124"/>
            <wp:cNvGraphicFramePr/>
            <a:graphic xmlns:a="http://schemas.openxmlformats.org/drawingml/2006/main">
              <a:graphicData uri="http://schemas.openxmlformats.org/drawingml/2006/picture">
                <pic:pic xmlns:pic="http://schemas.openxmlformats.org/drawingml/2006/picture">
                  <pic:nvPicPr>
                    <pic:cNvPr id="124" name="Picture 124"/>
                    <pic:cNvPicPr/>
                  </pic:nvPicPr>
                  <pic:blipFill>
                    <a:blip r:embed="rId12"/>
                    <a:stretch/>
                  </pic:blipFill>
                  <pic:spPr>
                    <a:xfrm>
                      <a:off x="0" y="0"/>
                      <a:ext cx="7284720" cy="6120130"/>
                    </a:xfrm>
                    <a:prstGeom prst="rect">
                      <a:avLst/>
                    </a:prstGeom>
                  </pic:spPr>
                </pic:pic>
              </a:graphicData>
            </a:graphic>
          </wp:inline>
        </w:drawing>
      </w:r>
    </w:p>
    <w:p w14:paraId="04786C9E" w14:textId="77777777" w:rsidR="00EC1C40" w:rsidRDefault="00EC1C40">
      <w:pPr>
        <w:spacing w:line="1" w:lineRule="exact"/>
        <w:sectPr w:rsidR="00EC1C40">
          <w:pgSz w:w="11900" w:h="16840"/>
          <w:pgMar w:top="360" w:right="360" w:bottom="360" w:left="360" w:header="0" w:footer="3" w:gutter="0"/>
          <w:cols w:space="720"/>
          <w:noEndnote/>
          <w:docGrid w:linePitch="360"/>
        </w:sectPr>
      </w:pPr>
    </w:p>
    <w:p w14:paraId="1AEBAE69" w14:textId="77777777" w:rsidR="00EC1C40" w:rsidRDefault="00EC1C40">
      <w:pPr>
        <w:spacing w:line="1" w:lineRule="exact"/>
      </w:pPr>
    </w:p>
    <w:p w14:paraId="5E8EB0C8" w14:textId="77777777" w:rsidR="00EC1C40" w:rsidRDefault="00000000">
      <w:pPr>
        <w:pStyle w:val="Titulekobrzku0"/>
        <w:framePr w:wrap="none" w:vAnchor="page" w:hAnchor="page" w:x="8713" w:y="3626"/>
      </w:pPr>
      <w:r>
        <w:rPr>
          <w:rFonts w:ascii="Century Gothic" w:eastAsia="Century Gothic" w:hAnsi="Century Gothic" w:cs="Century Gothic"/>
        </w:rPr>
        <w:t>ZÁZNAM O SCHVÁLENÍ</w:t>
      </w:r>
    </w:p>
    <w:p w14:paraId="2320E32B" w14:textId="77777777" w:rsidR="00EC1C40" w:rsidRDefault="00000000">
      <w:pPr>
        <w:pStyle w:val="Titulekobrzku0"/>
        <w:framePr w:wrap="none" w:vAnchor="page" w:hAnchor="page" w:x="385" w:y="3736"/>
      </w:pPr>
      <w:r>
        <w:t>Legenda</w:t>
      </w:r>
    </w:p>
    <w:p w14:paraId="3FB79B6C" w14:textId="77777777" w:rsidR="00EC1C40" w:rsidRDefault="00000000">
      <w:pPr>
        <w:pStyle w:val="Titulekobrzku0"/>
        <w:framePr w:wrap="none" w:vAnchor="page" w:hAnchor="page" w:x="5262" w:y="3947"/>
        <w:rPr>
          <w:sz w:val="22"/>
          <w:szCs w:val="22"/>
        </w:rPr>
      </w:pPr>
      <w:proofErr w:type="spellStart"/>
      <w:r>
        <w:rPr>
          <w:rFonts w:ascii="Calibri" w:eastAsia="Calibri" w:hAnsi="Calibri" w:cs="Calibri"/>
          <w:b w:val="0"/>
          <w:bCs w:val="0"/>
          <w:sz w:val="22"/>
          <w:szCs w:val="22"/>
        </w:rPr>
        <w:t>PARDUl</w:t>
      </w:r>
      <w:proofErr w:type="spellEnd"/>
    </w:p>
    <w:p w14:paraId="01D25DEC" w14:textId="77777777" w:rsidR="00EC1C40" w:rsidRDefault="00000000">
      <w:pPr>
        <w:pStyle w:val="Titulekobrzku0"/>
        <w:framePr w:wrap="none" w:vAnchor="page" w:hAnchor="page" w:x="385" w:y="4355"/>
      </w:pPr>
      <w:r>
        <w:t>Plochy s rozdílným způsobem využití</w:t>
      </w:r>
    </w:p>
    <w:p w14:paraId="7E69D87C" w14:textId="77777777" w:rsidR="00EC1C40" w:rsidRDefault="00000000">
      <w:pPr>
        <w:pStyle w:val="Titulekobrzku0"/>
        <w:framePr w:wrap="none" w:vAnchor="page" w:hAnchor="page" w:x="385" w:y="6559"/>
      </w:pPr>
      <w:r>
        <w:t>Prostorové regulativy</w:t>
      </w:r>
    </w:p>
    <w:p w14:paraId="3DA2FE44" w14:textId="77777777" w:rsidR="00EC1C40" w:rsidRDefault="00000000">
      <w:pPr>
        <w:pStyle w:val="Titulekobrzku0"/>
        <w:framePr w:w="734" w:h="173" w:hRule="exact" w:wrap="none" w:vAnchor="page" w:hAnchor="page" w:x="942" w:y="7739"/>
        <w:spacing w:line="151" w:lineRule="auto"/>
        <w:jc w:val="right"/>
      </w:pPr>
      <w:proofErr w:type="spellStart"/>
      <w:r>
        <w:t>XIMÁlNÍZASTAVfNCSrPqZEh</w:t>
      </w:r>
      <w:proofErr w:type="spellEnd"/>
      <w:r>
        <w:t xml:space="preserve"> / MINIMÁLNÍ KXÍLZÍ</w:t>
      </w:r>
    </w:p>
    <w:p w14:paraId="310152CB" w14:textId="77777777" w:rsidR="00EC1C40" w:rsidRDefault="00000000">
      <w:pPr>
        <w:pStyle w:val="Titulekobrzku0"/>
        <w:framePr w:w="317" w:h="298" w:hRule="exact" w:wrap="none" w:vAnchor="page" w:hAnchor="page" w:x="673" w:y="9371"/>
        <w:rPr>
          <w:sz w:val="16"/>
          <w:szCs w:val="16"/>
        </w:rPr>
      </w:pPr>
      <w:r>
        <w:rPr>
          <w:color w:val="025DAC"/>
          <w:sz w:val="16"/>
          <w:szCs w:val="16"/>
        </w:rPr>
        <w:t>6+0</w:t>
      </w:r>
    </w:p>
    <w:p w14:paraId="1AD1F24A" w14:textId="77777777" w:rsidR="00EC1C40" w:rsidRDefault="00000000">
      <w:pPr>
        <w:pStyle w:val="Titulekobrzku0"/>
        <w:framePr w:w="317" w:h="298" w:hRule="exact" w:wrap="none" w:vAnchor="page" w:hAnchor="page" w:x="673" w:y="9371"/>
        <w:spacing w:line="185" w:lineRule="auto"/>
        <w:rPr>
          <w:sz w:val="11"/>
          <w:szCs w:val="11"/>
        </w:rPr>
      </w:pPr>
      <w:r>
        <w:rPr>
          <w:rFonts w:ascii="Calibri" w:eastAsia="Calibri" w:hAnsi="Calibri" w:cs="Calibri"/>
          <w:b w:val="0"/>
          <w:bCs w:val="0"/>
          <w:color w:val="5D5587"/>
          <w:sz w:val="11"/>
          <w:szCs w:val="11"/>
        </w:rPr>
        <w:t>23 m</w:t>
      </w:r>
    </w:p>
    <w:p w14:paraId="0348D1BC" w14:textId="77777777" w:rsidR="00EC1C40" w:rsidRDefault="00000000">
      <w:pPr>
        <w:pStyle w:val="Zkladntext90"/>
        <w:framePr w:w="1358" w:h="451" w:hRule="exact" w:wrap="none" w:vAnchor="page" w:hAnchor="page" w:x="280" w:y="12751"/>
      </w:pPr>
      <w:proofErr w:type="spellStart"/>
      <w:r>
        <w:t>rfzotovilel</w:t>
      </w:r>
      <w:proofErr w:type="spellEnd"/>
    </w:p>
    <w:p w14:paraId="1BA2CC67" w14:textId="77777777" w:rsidR="00EC1C40" w:rsidRDefault="00000000">
      <w:pPr>
        <w:pStyle w:val="Zkladntext90"/>
        <w:framePr w:w="1358" w:h="451" w:hRule="exact" w:wrap="none" w:vAnchor="page" w:hAnchor="page" w:x="280" w:y="12751"/>
        <w:jc w:val="both"/>
      </w:pPr>
      <w:proofErr w:type="spellStart"/>
      <w:r>
        <w:t>Ateler</w:t>
      </w:r>
      <w:proofErr w:type="spellEnd"/>
      <w:r>
        <w:t xml:space="preserve"> architektury a urbanismu,:</w:t>
      </w:r>
    </w:p>
    <w:p w14:paraId="4F883A40" w14:textId="77777777" w:rsidR="00EC1C40" w:rsidRDefault="00000000">
      <w:pPr>
        <w:pStyle w:val="Zkladntext90"/>
        <w:framePr w:w="1358" w:h="451" w:hRule="exact" w:wrap="none" w:vAnchor="page" w:hAnchor="page" w:x="280" w:y="12751"/>
      </w:pPr>
      <w:r>
        <w:t xml:space="preserve">obletí </w:t>
      </w:r>
      <w:proofErr w:type="spellStart"/>
      <w:r>
        <w:t>ncvaW</w:t>
      </w:r>
      <w:proofErr w:type="spellEnd"/>
    </w:p>
    <w:p w14:paraId="382F87E3" w14:textId="77777777" w:rsidR="00EC1C40" w:rsidRDefault="00000000">
      <w:pPr>
        <w:pStyle w:val="Zkladntext90"/>
        <w:framePr w:w="1358" w:h="451" w:hRule="exact" w:wrap="none" w:vAnchor="page" w:hAnchor="page" w:x="280" w:y="12751"/>
      </w:pPr>
      <w:proofErr w:type="spellStart"/>
      <w:r>
        <w:t>Statirtiní</w:t>
      </w:r>
      <w:proofErr w:type="spellEnd"/>
      <w:r>
        <w:t xml:space="preserve"> město Pardubice</w:t>
      </w:r>
    </w:p>
    <w:p w14:paraId="127CD2C1" w14:textId="77777777" w:rsidR="00EC1C40" w:rsidRDefault="00000000">
      <w:pPr>
        <w:pStyle w:val="Zkladntext90"/>
        <w:framePr w:wrap="none" w:vAnchor="page" w:hAnchor="page" w:x="4369" w:y="12832"/>
      </w:pPr>
      <w:r>
        <w:rPr>
          <w:b w:val="0"/>
          <w:bCs w:val="0"/>
        </w:rPr>
        <w:t>Lipky 1283,549 41 Červený Kostelec</w:t>
      </w:r>
    </w:p>
    <w:p w14:paraId="59ADEDEF" w14:textId="77777777" w:rsidR="00EC1C40" w:rsidRDefault="00000000">
      <w:pPr>
        <w:pStyle w:val="Zkladntext90"/>
        <w:framePr w:w="797" w:h="221" w:hRule="exact" w:wrap="none" w:vAnchor="page" w:hAnchor="page" w:x="5953" w:y="12751"/>
        <w:jc w:val="both"/>
      </w:pPr>
      <w:proofErr w:type="spellStart"/>
      <w:r>
        <w:t>nůrav</w:t>
      </w:r>
      <w:proofErr w:type="spellEnd"/>
      <w:r>
        <w:t xml:space="preserve"> </w:t>
      </w:r>
      <w:proofErr w:type="spellStart"/>
      <w:r>
        <w:t>prajeklu</w:t>
      </w:r>
      <w:proofErr w:type="spellEnd"/>
    </w:p>
    <w:p w14:paraId="008DD008" w14:textId="77777777" w:rsidR="00EC1C40" w:rsidRDefault="00000000">
      <w:pPr>
        <w:pStyle w:val="Zkladntext90"/>
        <w:framePr w:w="797" w:h="221" w:hRule="exact" w:wrap="none" w:vAnchor="page" w:hAnchor="page" w:x="5953" w:y="12751"/>
      </w:pPr>
      <w:r>
        <w:t>Nová Cihelna 2024</w:t>
      </w:r>
    </w:p>
    <w:p w14:paraId="5B726D17" w14:textId="77777777" w:rsidR="00EC1C40" w:rsidRDefault="00000000">
      <w:pPr>
        <w:pStyle w:val="Zkladntext90"/>
        <w:framePr w:wrap="none" w:vAnchor="page" w:hAnchor="page" w:x="3510" w:y="13072"/>
      </w:pPr>
      <w:proofErr w:type="spellStart"/>
      <w:r>
        <w:rPr>
          <w:b w:val="0"/>
          <w:bCs w:val="0"/>
        </w:rPr>
        <w:t>PemStýnské</w:t>
      </w:r>
      <w:proofErr w:type="spellEnd"/>
      <w:r>
        <w:rPr>
          <w:b w:val="0"/>
          <w:bCs w:val="0"/>
        </w:rPr>
        <w:t xml:space="preserve"> náměstí 1/1,53002 Pardubice 1 - Staré město</w:t>
      </w:r>
    </w:p>
    <w:p w14:paraId="4FCFEF4F" w14:textId="77777777" w:rsidR="00EC1C40" w:rsidRDefault="00000000">
      <w:pPr>
        <w:pStyle w:val="Zkladntext90"/>
        <w:framePr w:w="590" w:h="216" w:hRule="exact" w:wrap="none" w:vAnchor="page" w:hAnchor="page" w:x="5953" w:y="12986"/>
      </w:pPr>
      <w:proofErr w:type="spellStart"/>
      <w:r>
        <w:t>sMzeň</w:t>
      </w:r>
      <w:proofErr w:type="spellEnd"/>
      <w:r>
        <w:t xml:space="preserve"> </w:t>
      </w:r>
      <w:proofErr w:type="spellStart"/>
      <w:r>
        <w:t>tíolajmentoce</w:t>
      </w:r>
      <w:proofErr w:type="spellEnd"/>
    </w:p>
    <w:p w14:paraId="771C9AD7" w14:textId="77777777" w:rsidR="00EC1C40" w:rsidRDefault="00000000">
      <w:pPr>
        <w:pStyle w:val="Zkladntext90"/>
        <w:framePr w:w="590" w:h="216" w:hRule="exact" w:wrap="none" w:vAnchor="page" w:hAnchor="page" w:x="5953" w:y="12986"/>
      </w:pPr>
      <w:r>
        <w:rPr>
          <w:b w:val="0"/>
          <w:bCs w:val="0"/>
        </w:rPr>
        <w:t>Územní studie</w:t>
      </w:r>
    </w:p>
    <w:p w14:paraId="1F6D0E96" w14:textId="77777777" w:rsidR="00EC1C40" w:rsidRDefault="00000000">
      <w:pPr>
        <w:pStyle w:val="Zkladntext90"/>
        <w:framePr w:w="1589" w:h="389" w:hRule="exact" w:wrap="none" w:vAnchor="page" w:hAnchor="page" w:x="9088" w:y="12837"/>
        <w:tabs>
          <w:tab w:val="left" w:pos="557"/>
        </w:tabs>
        <w:spacing w:line="338" w:lineRule="auto"/>
      </w:pPr>
      <w:r>
        <w:t xml:space="preserve">Regulační výkres </w:t>
      </w:r>
      <w:proofErr w:type="spellStart"/>
      <w:r>
        <w:t>miWko</w:t>
      </w:r>
      <w:proofErr w:type="spellEnd"/>
      <w:r>
        <w:tab/>
      </w:r>
      <w:proofErr w:type="spellStart"/>
      <w:r>
        <w:t>zotípovWný</w:t>
      </w:r>
      <w:proofErr w:type="spellEnd"/>
      <w:r>
        <w:t xml:space="preserve"> </w:t>
      </w:r>
      <w:proofErr w:type="spellStart"/>
      <w:r>
        <w:t>pzojelllo</w:t>
      </w:r>
      <w:proofErr w:type="spellEnd"/>
      <w:r>
        <w:t xml:space="preserve"> </w:t>
      </w:r>
      <w:r>
        <w:rPr>
          <w:lang w:val="en-US" w:eastAsia="en-US" w:bidi="en-US"/>
        </w:rPr>
        <w:t>it</w:t>
      </w:r>
    </w:p>
    <w:p w14:paraId="35D55A4C" w14:textId="77777777" w:rsidR="00EC1C40" w:rsidRDefault="00000000">
      <w:pPr>
        <w:pStyle w:val="Zkladntext90"/>
        <w:framePr w:w="1589" w:h="389" w:hRule="exact" w:wrap="none" w:vAnchor="page" w:hAnchor="page" w:x="9088" w:y="12837"/>
        <w:tabs>
          <w:tab w:val="left" w:pos="595"/>
        </w:tabs>
        <w:spacing w:line="180" w:lineRule="auto"/>
      </w:pPr>
      <w:r>
        <w:rPr>
          <w:rFonts w:ascii="Calibri" w:eastAsia="Calibri" w:hAnsi="Calibri" w:cs="Calibri"/>
          <w:sz w:val="22"/>
          <w:szCs w:val="22"/>
        </w:rPr>
        <w:t>11</w:t>
      </w:r>
      <w:r>
        <w:rPr>
          <w:b w:val="0"/>
          <w:bCs w:val="0"/>
        </w:rPr>
        <w:t>:2000</w:t>
      </w:r>
      <w:r>
        <w:rPr>
          <w:b w:val="0"/>
          <w:bCs w:val="0"/>
        </w:rPr>
        <w:tab/>
        <w:t xml:space="preserve">Ing. arch. Marek </w:t>
      </w:r>
      <w:proofErr w:type="spellStart"/>
      <w:r>
        <w:rPr>
          <w:b w:val="0"/>
          <w:bCs w:val="0"/>
        </w:rPr>
        <w:t>Wajsar</w:t>
      </w:r>
      <w:proofErr w:type="spellEnd"/>
    </w:p>
    <w:p w14:paraId="54F5EC3A" w14:textId="77777777" w:rsidR="00EC1C40" w:rsidRDefault="00000000">
      <w:pPr>
        <w:pStyle w:val="Zkladntext90"/>
        <w:framePr w:w="610" w:h="235" w:hRule="exact" w:wrap="none" w:vAnchor="page" w:hAnchor="page" w:x="10945" w:y="12986"/>
      </w:pPr>
      <w:r>
        <w:t>zpracoval</w:t>
      </w:r>
    </w:p>
    <w:p w14:paraId="79744602" w14:textId="77777777" w:rsidR="00EC1C40" w:rsidRDefault="00000000">
      <w:pPr>
        <w:pStyle w:val="Zkladntext90"/>
        <w:framePr w:w="610" w:h="235" w:hRule="exact" w:wrap="none" w:vAnchor="page" w:hAnchor="page" w:x="10945" w:y="12986"/>
      </w:pPr>
      <w:r>
        <w:rPr>
          <w:b w:val="0"/>
          <w:bCs w:val="0"/>
        </w:rPr>
        <w:t>Ing. Jan Vlček</w:t>
      </w:r>
    </w:p>
    <w:p w14:paraId="7CAEABDD" w14:textId="77777777" w:rsidR="00EC1C40" w:rsidRDefault="00000000">
      <w:pPr>
        <w:spacing w:line="1" w:lineRule="exact"/>
        <w:sectPr w:rsidR="00EC1C40">
          <w:pgSz w:w="11900" w:h="16840"/>
          <w:pgMar w:top="360" w:right="360" w:bottom="360" w:left="360" w:header="0" w:footer="3" w:gutter="0"/>
          <w:cols w:space="720"/>
          <w:noEndnote/>
          <w:docGrid w:linePitch="360"/>
        </w:sectPr>
      </w:pPr>
      <w:r>
        <w:rPr>
          <w:noProof/>
        </w:rPr>
        <w:drawing>
          <wp:anchor distT="0" distB="0" distL="0" distR="0" simplePos="0" relativeHeight="251716096" behindDoc="1" locked="0" layoutInCell="1" allowOverlap="1" wp14:anchorId="19BAB7F3" wp14:editId="2B2FB048">
            <wp:simplePos x="0" y="0"/>
            <wp:positionH relativeFrom="page">
              <wp:posOffset>158750</wp:posOffset>
            </wp:positionH>
            <wp:positionV relativeFrom="page">
              <wp:posOffset>2292350</wp:posOffset>
            </wp:positionV>
            <wp:extent cx="7260590" cy="5772785"/>
            <wp:effectExtent l="0" t="0" r="0" b="0"/>
            <wp:wrapNone/>
            <wp:docPr id="125" name="Shape 125"/>
            <wp:cNvGraphicFramePr/>
            <a:graphic xmlns:a="http://schemas.openxmlformats.org/drawingml/2006/main">
              <a:graphicData uri="http://schemas.openxmlformats.org/drawingml/2006/picture">
                <pic:pic xmlns:pic="http://schemas.openxmlformats.org/drawingml/2006/picture">
                  <pic:nvPicPr>
                    <pic:cNvPr id="126" name="Picture box 126"/>
                    <pic:cNvPicPr/>
                  </pic:nvPicPr>
                  <pic:blipFill>
                    <a:blip r:embed="rId13"/>
                    <a:stretch/>
                  </pic:blipFill>
                  <pic:spPr>
                    <a:xfrm>
                      <a:off x="0" y="0"/>
                      <a:ext cx="7260590" cy="5772785"/>
                    </a:xfrm>
                    <a:prstGeom prst="rect">
                      <a:avLst/>
                    </a:prstGeom>
                  </pic:spPr>
                </pic:pic>
              </a:graphicData>
            </a:graphic>
          </wp:anchor>
        </w:drawing>
      </w:r>
    </w:p>
    <w:p w14:paraId="54044847" w14:textId="77777777" w:rsidR="00EC1C40" w:rsidRDefault="00EC1C40">
      <w:pPr>
        <w:spacing w:line="1" w:lineRule="exact"/>
      </w:pPr>
    </w:p>
    <w:p w14:paraId="4355A389" w14:textId="77777777" w:rsidR="00EC1C40" w:rsidRDefault="00000000">
      <w:pPr>
        <w:pStyle w:val="Zkladntext80"/>
        <w:framePr w:w="9706" w:h="638" w:hRule="exact" w:wrap="none" w:vAnchor="page" w:hAnchor="page" w:x="1225" w:y="5079"/>
        <w:rPr>
          <w:sz w:val="50"/>
          <w:szCs w:val="50"/>
        </w:rPr>
      </w:pPr>
      <w:r>
        <w:t>Příloh</w:t>
      </w:r>
      <w:r>
        <w:rPr>
          <w:rFonts w:ascii="Calibri" w:eastAsia="Calibri" w:hAnsi="Calibri" w:cs="Calibri"/>
          <w:b/>
          <w:bCs/>
          <w:smallCaps/>
          <w:sz w:val="50"/>
          <w:szCs w:val="50"/>
        </w:rPr>
        <w:t>a</w:t>
      </w:r>
      <w:r>
        <w:t xml:space="preserve"> č. </w:t>
      </w:r>
      <w:r>
        <w:rPr>
          <w:rFonts w:ascii="Calibri" w:eastAsia="Calibri" w:hAnsi="Calibri" w:cs="Calibri"/>
          <w:b/>
          <w:bCs/>
          <w:smallCaps/>
          <w:sz w:val="50"/>
          <w:szCs w:val="50"/>
        </w:rPr>
        <w:t>9</w:t>
      </w:r>
    </w:p>
    <w:p w14:paraId="476F8D25"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1D869E22" w14:textId="77777777" w:rsidR="00EC1C40" w:rsidRDefault="00EC1C40">
      <w:pPr>
        <w:spacing w:line="1" w:lineRule="exact"/>
      </w:pPr>
    </w:p>
    <w:p w14:paraId="506D4216" w14:textId="77777777" w:rsidR="00EC1C40" w:rsidRDefault="00000000">
      <w:pPr>
        <w:pStyle w:val="Zkladntext80"/>
        <w:framePr w:w="9706" w:h="12240" w:hRule="exact" w:wrap="none" w:vAnchor="page" w:hAnchor="page" w:x="1248" w:y="2084"/>
        <w:spacing w:after="420" w:line="283" w:lineRule="auto"/>
        <w:rPr>
          <w:sz w:val="48"/>
          <w:szCs w:val="48"/>
        </w:rPr>
      </w:pPr>
      <w:r>
        <w:rPr>
          <w:sz w:val="48"/>
          <w:szCs w:val="48"/>
        </w:rPr>
        <w:t>Zásady statutárního města Pardubice pro</w:t>
      </w:r>
      <w:r>
        <w:rPr>
          <w:sz w:val="48"/>
          <w:szCs w:val="48"/>
        </w:rPr>
        <w:br/>
        <w:t>spolupráci s investory</w:t>
      </w:r>
    </w:p>
    <w:p w14:paraId="0A8D27A1" w14:textId="77777777" w:rsidR="00EC1C40" w:rsidRDefault="00000000">
      <w:pPr>
        <w:pStyle w:val="Nadpis50"/>
        <w:framePr w:w="9706" w:h="12240" w:hRule="exact" w:wrap="none" w:vAnchor="page" w:hAnchor="page" w:x="1248" w:y="2084"/>
      </w:pPr>
      <w:bookmarkStart w:id="90" w:name="bookmark181"/>
      <w:r>
        <w:t>Preambule</w:t>
      </w:r>
      <w:bookmarkEnd w:id="90"/>
    </w:p>
    <w:p w14:paraId="6435F299" w14:textId="77777777" w:rsidR="00EC1C40" w:rsidRDefault="00000000">
      <w:pPr>
        <w:pStyle w:val="Zkladntext1"/>
        <w:framePr w:w="9706" w:h="12240" w:hRule="exact" w:wrap="none" w:vAnchor="page" w:hAnchor="page" w:x="1248" w:y="2084"/>
        <w:jc w:val="both"/>
      </w:pPr>
      <w:r>
        <w:t>Statutární město Pardubice, IČO: 00274046, se sídlem Pernštýnské náměstí 1, 530 21 Pardubice („</w:t>
      </w:r>
      <w:r>
        <w:rPr>
          <w:b/>
          <w:bCs/>
        </w:rPr>
        <w:t>statutární město Pardubice</w:t>
      </w:r>
      <w:r>
        <w:t>“) je povinno pečovat o trvale udržitelný rozvoj svého území a chránit veřejný zájem. Statutární město Pardubice dbá o rozvoj transformačních, rozvojových a stabilizovaných území i přírodních lokalit. Důsledkem stavebního rozvoje je zvyšování zátěže území statutárního města Pardubice, které vyvolává požadavky na zajištění odpovídajících kapacit občanské vybavenosti, veřejných služeb a veřejné infrastruktury, které budou sloužit stávajícím obyvatelům statutárního města Pardubice i novým obyvatelům a uživatelům těchto investičních záměrů. Statutární město Pardubice má zájem na kontinuálním rozvoji svého území v dlouhodobém časovém horizontu. S ohledem na to vytváří koncepční nástroje, jež vedle územního plánování zajistí vyšší kvalitu komunikace mezi statutárním městem Pardubice a investory při naplňování jejich cílů s ohledem na funkci a dlouhodobý pozitivní vliv Investičních záměrů v oblastech dotčených realizací investičních záměrů.</w:t>
      </w:r>
    </w:p>
    <w:p w14:paraId="04A8D0BF" w14:textId="77777777" w:rsidR="00EC1C40" w:rsidRDefault="00000000">
      <w:pPr>
        <w:pStyle w:val="Zkladntext1"/>
        <w:framePr w:w="9706" w:h="12240" w:hRule="exact" w:wrap="none" w:vAnchor="page" w:hAnchor="page" w:x="1248" w:y="2084"/>
        <w:jc w:val="both"/>
      </w:pPr>
      <w:r>
        <w:t>Tyto Zásady statutárního města Pardubice pro spolupráci s investory („</w:t>
      </w:r>
      <w:r>
        <w:rPr>
          <w:b/>
          <w:bCs/>
        </w:rPr>
        <w:t>Zásady</w:t>
      </w:r>
      <w:r>
        <w:t>“) kladou důraz na rozvoj veřejných prostranství včetně veřejné zeleně, dopravní infrastruktury, technické infrastruktury včetně staveb a zařízení pro nakládání s odpady a pozemků, staveb a zařízení občanské vybavenosti. Požadavky na veřejnou infrastrukturu plynou primárně z platného Územního plánu Pardubice v aktuálním znění.</w:t>
      </w:r>
      <w:r>
        <w:rPr>
          <w:vertAlign w:val="superscript"/>
        </w:rPr>
        <w:t>1</w:t>
      </w:r>
    </w:p>
    <w:p w14:paraId="5B5CD7D9" w14:textId="77777777" w:rsidR="00EC1C40" w:rsidRDefault="00000000">
      <w:pPr>
        <w:pStyle w:val="Zkladntext1"/>
        <w:framePr w:w="9706" w:h="12240" w:hRule="exact" w:wrap="none" w:vAnchor="page" w:hAnchor="page" w:x="1248" w:y="2084"/>
        <w:jc w:val="both"/>
      </w:pPr>
      <w:r>
        <w:t>Účelem těchto Zásad je primárně navázat spolupráci mezi statutárním městem Pardubice a jednotlivými investory a poskytnout základní rámec pro jednání o umístění investičních záměrů na území statutárního města Pardubice za transparentních a nediskriminačních podmínek. Účelem těchto Zásad také je, aby zároveň docházelo k adekvátní koordinaci postupu přípravy investičních záměrů mezi statutárním městem Pardubice a konkrétními investory, a to zejména s ohledem na nutnost zajištění nové či úpravy stávající veřejné infrastruktury, a dále koordinaci s programy rozvoje jednotlivých Městských obvodů statutárního města Pardubice. Zásady dále cílí na zrychlení procesu realizace investičních záměrů a s ohledem na to kladou důraz na koordinaci a řešení případných nejasností a protichůdných či nesouladných postojů dotčených stran již ve fázi předprojektové přípravy.</w:t>
      </w:r>
    </w:p>
    <w:p w14:paraId="13D17CF9" w14:textId="77777777" w:rsidR="00EC1C40" w:rsidRDefault="00000000">
      <w:pPr>
        <w:pStyle w:val="Zkladntext1"/>
        <w:framePr w:w="9706" w:h="12240" w:hRule="exact" w:wrap="none" w:vAnchor="page" w:hAnchor="page" w:x="1248" w:y="2084"/>
        <w:spacing w:after="0"/>
        <w:jc w:val="both"/>
      </w:pPr>
      <w:r>
        <w:t>Společný postup dle Zásad tedy vede ke vzájemné spolupráci a koordinaci stran s cílem stanovit spravedlivou a odůvodněnou spoluúčast Investorů na zvýšených nákladech statutárního města Pardubice na veřejnou infrastrukturu vyvolaných investičními záměry, řešení deficitů veřejné infrastruktury a veřejné vybavenosti a zajištění udržitelného rozvoje a ochrany zájmů obyvatel. Zásady upravují podmínky jednání statutárního města Pardubice a jeho městských obvodů výhradně v rámci jejich samostatné působnosti. Statutární město Pardubice a jeho městské obvody nesmí a nebudou, jakkoliv zasahovat do rozhodování orgánů Magistrátu města Pardubice či jiných dotčených orgánů, nebo do výkonu přenesené působnosti, především pak do rozhodování ve správním řízení či v jiném řízení či procesu dle příslušných právních předpisů, jehož výsledkem je rozhodnutí, vydání závazného stanoviska a/nebo vydání jiného správního aktu v procesu přípravy a realizace investičních záměrů. Cílem těchto Zásad je rovněž motivovat investory ke spolupráci na zajištění trvale udržitelného rozvoje statutárního města Pardubice a podpořit jeho kompaktní rozvoj a následnou funkční správu.</w:t>
      </w:r>
    </w:p>
    <w:p w14:paraId="66B40777" w14:textId="77777777" w:rsidR="00EC1C40" w:rsidRDefault="00000000">
      <w:pPr>
        <w:pStyle w:val="Poznmkapodarou0"/>
        <w:framePr w:wrap="none" w:vAnchor="page" w:hAnchor="page" w:x="1262" w:y="15293"/>
        <w:ind w:left="0" w:firstLine="0"/>
        <w:rPr>
          <w:sz w:val="17"/>
          <w:szCs w:val="17"/>
        </w:rPr>
      </w:pPr>
      <w:r>
        <w:rPr>
          <w:sz w:val="11"/>
          <w:szCs w:val="11"/>
          <w:vertAlign w:val="superscript"/>
        </w:rPr>
        <w:t>1</w:t>
      </w:r>
      <w:r>
        <w:rPr>
          <w:sz w:val="11"/>
          <w:szCs w:val="11"/>
        </w:rPr>
        <w:t xml:space="preserve"> </w:t>
      </w:r>
      <w:hyperlink r:id="rId14" w:history="1">
        <w:r>
          <w:rPr>
            <w:rFonts w:ascii="Arial" w:eastAsia="Arial" w:hAnsi="Arial" w:cs="Arial"/>
            <w:color w:val="025DAC"/>
            <w:sz w:val="17"/>
            <w:szCs w:val="17"/>
            <w:u w:val="single"/>
            <w:lang w:val="en-US" w:eastAsia="en-US" w:bidi="en-US"/>
          </w:rPr>
          <w:t>https://www.pardubice.eu/urad/radnice/uzemni-planovani/uzemni-plan-mesta-pardubice/</w:t>
        </w:r>
      </w:hyperlink>
      <w:r>
        <w:rPr>
          <w:rFonts w:ascii="Arial" w:eastAsia="Arial" w:hAnsi="Arial" w:cs="Arial"/>
          <w:color w:val="025DAC"/>
          <w:sz w:val="17"/>
          <w:szCs w:val="17"/>
          <w:lang w:val="en-US" w:eastAsia="en-US" w:bidi="en-US"/>
        </w:rPr>
        <w:t>.</w:t>
      </w:r>
    </w:p>
    <w:p w14:paraId="238F441D"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4A34C4E2" w14:textId="77777777" w:rsidR="00EC1C40" w:rsidRDefault="00EC1C40">
      <w:pPr>
        <w:spacing w:line="1" w:lineRule="exact"/>
      </w:pPr>
    </w:p>
    <w:p w14:paraId="6571DC5B" w14:textId="77777777" w:rsidR="00EC1C40" w:rsidRDefault="00000000">
      <w:pPr>
        <w:pStyle w:val="Zkladntext1"/>
        <w:framePr w:w="9701" w:h="13882" w:hRule="exact" w:wrap="none" w:vAnchor="page" w:hAnchor="page" w:x="1250" w:y="1551"/>
        <w:spacing w:after="120"/>
        <w:jc w:val="both"/>
      </w:pPr>
      <w:r>
        <w:t>Statutární město Pardubice postupuje podle těchto Zásad na všech plochách nacházejících se na území statutárního města Pardubice, tvořeném celkem 20 katastrálními územími, s výjimkou území městské památkové rezervace.</w:t>
      </w:r>
    </w:p>
    <w:p w14:paraId="5C1F691F" w14:textId="77777777" w:rsidR="00EC1C40" w:rsidRDefault="00000000">
      <w:pPr>
        <w:pStyle w:val="Zkladntext1"/>
        <w:framePr w:w="9701" w:h="13882" w:hRule="exact" w:wrap="none" w:vAnchor="page" w:hAnchor="page" w:x="1250" w:y="1551"/>
        <w:tabs>
          <w:tab w:val="left" w:leader="dot" w:pos="6341"/>
        </w:tabs>
        <w:spacing w:after="0"/>
        <w:jc w:val="both"/>
      </w:pPr>
      <w:r>
        <w:t xml:space="preserve">Zastupitelstvo města Pardubice svým usnesením č. </w:t>
      </w:r>
      <w:r>
        <w:rPr>
          <w:i/>
          <w:iCs/>
        </w:rPr>
        <w:t>... ze</w:t>
      </w:r>
      <w:r>
        <w:t xml:space="preserve"> dne</w:t>
      </w:r>
      <w:r>
        <w:tab/>
        <w:t>(„</w:t>
      </w:r>
      <w:r>
        <w:rPr>
          <w:b/>
          <w:bCs/>
        </w:rPr>
        <w:t>Usnesení</w:t>
      </w:r>
      <w:r>
        <w:t xml:space="preserve">“), schválilo tyto </w:t>
      </w:r>
      <w:r>
        <w:rPr>
          <w:i/>
          <w:iCs/>
        </w:rPr>
        <w:t>„Zásady</w:t>
      </w:r>
    </w:p>
    <w:p w14:paraId="3C10B0D7" w14:textId="77777777" w:rsidR="00EC1C40" w:rsidRDefault="00000000">
      <w:pPr>
        <w:pStyle w:val="Zkladntext1"/>
        <w:framePr w:w="9701" w:h="13882" w:hRule="exact" w:wrap="none" w:vAnchor="page" w:hAnchor="page" w:x="1250" w:y="1551"/>
        <w:spacing w:after="500"/>
        <w:jc w:val="both"/>
      </w:pPr>
      <w:r>
        <w:rPr>
          <w:i/>
          <w:iCs/>
        </w:rPr>
        <w:t>statutárního města Pardubice pro spolupráci s investory“</w:t>
      </w:r>
      <w:r>
        <w:t xml:space="preserve"> z důvodu tvorby udržitelného městského prostředí a zvyšování kvality života na území statutárního města Pardubice.</w:t>
      </w:r>
    </w:p>
    <w:p w14:paraId="675CF521" w14:textId="77777777" w:rsidR="00EC1C40" w:rsidRDefault="00000000">
      <w:pPr>
        <w:pStyle w:val="Nadpis50"/>
        <w:framePr w:w="9701" w:h="13882" w:hRule="exact" w:wrap="none" w:vAnchor="page" w:hAnchor="page" w:x="1250" w:y="1551"/>
        <w:spacing w:after="120"/>
      </w:pPr>
      <w:bookmarkStart w:id="91" w:name="bookmark183"/>
      <w:r>
        <w:t>Hlavní zásady a principy</w:t>
      </w:r>
      <w:bookmarkEnd w:id="91"/>
    </w:p>
    <w:p w14:paraId="7434E8B3" w14:textId="77777777" w:rsidR="00EC1C40" w:rsidRDefault="00000000">
      <w:pPr>
        <w:pStyle w:val="Nadpis60"/>
        <w:framePr w:w="9701" w:h="13882" w:hRule="exact" w:wrap="none" w:vAnchor="page" w:hAnchor="page" w:x="1250" w:y="1551"/>
        <w:spacing w:after="120"/>
        <w:jc w:val="both"/>
      </w:pPr>
      <w:bookmarkStart w:id="92" w:name="bookmark185"/>
      <w:r>
        <w:t>Předvídatelnost</w:t>
      </w:r>
      <w:bookmarkEnd w:id="92"/>
    </w:p>
    <w:p w14:paraId="2CD00294" w14:textId="77777777" w:rsidR="00EC1C40" w:rsidRDefault="00000000">
      <w:pPr>
        <w:pStyle w:val="Zkladntext1"/>
        <w:framePr w:w="9701" w:h="13882" w:hRule="exact" w:wrap="none" w:vAnchor="page" w:hAnchor="page" w:x="1250" w:y="1551"/>
        <w:spacing w:after="120"/>
        <w:jc w:val="both"/>
      </w:pPr>
      <w:r>
        <w:t>Zásady stanoví jednotná pravidla, podle kterých probíhá spolupráce s Investory v rámci realizace Investičních záměrů. Od pravidel stanovených v těchto Zásadách se statutární město Pardubice nebude bezdůvodně odchylovat. Tím je a bude zajištěna co nejvyšší možná míra předvídatelnosti jeho postupu pro Investory.</w:t>
      </w:r>
    </w:p>
    <w:p w14:paraId="42FFC2CE" w14:textId="77777777" w:rsidR="00EC1C40" w:rsidRDefault="00000000">
      <w:pPr>
        <w:pStyle w:val="Nadpis60"/>
        <w:framePr w:w="9701" w:h="13882" w:hRule="exact" w:wrap="none" w:vAnchor="page" w:hAnchor="page" w:x="1250" w:y="1551"/>
        <w:spacing w:after="120"/>
        <w:jc w:val="both"/>
      </w:pPr>
      <w:bookmarkStart w:id="93" w:name="bookmark187"/>
      <w:r>
        <w:t>Transparentnost</w:t>
      </w:r>
      <w:bookmarkEnd w:id="93"/>
    </w:p>
    <w:p w14:paraId="68E126E9" w14:textId="77777777" w:rsidR="00EC1C40" w:rsidRDefault="00000000">
      <w:pPr>
        <w:pStyle w:val="Zkladntext1"/>
        <w:framePr w:w="9701" w:h="13882" w:hRule="exact" w:wrap="none" w:vAnchor="page" w:hAnchor="page" w:x="1250" w:y="1551"/>
        <w:spacing w:after="120"/>
        <w:jc w:val="both"/>
      </w:pPr>
      <w:r>
        <w:t>Práva a povinnosti stran stanoví tyto Zásady, a to na základě projednání záměru mezi statutárním městem Pardubice, městským obvodem, na jehož území má být záměr realizován („</w:t>
      </w:r>
      <w:r>
        <w:rPr>
          <w:b/>
          <w:bCs/>
        </w:rPr>
        <w:t>dotčený MO</w:t>
      </w:r>
      <w:r>
        <w:t xml:space="preserve">“), a Investorem, jehož výsledkem je uzavření Smlouvy o spolupráci nebo Smlouvy o investičním příspěvku; jednání stran a uzavření Smlouvy o spolupráci nebo Smlouvy o investičním příspěvku přitom probíhá na základě předem stanovených pravidel dle těchto Zásad, které jsou veřejné a volně dostupné široké veřejnosti na </w:t>
      </w:r>
      <w:hyperlink r:id="rId15" w:history="1">
        <w:r>
          <w:t>www.pardubice.eu</w:t>
        </w:r>
      </w:hyperlink>
      <w:r>
        <w:t>.</w:t>
      </w:r>
    </w:p>
    <w:p w14:paraId="209E9CD3" w14:textId="77777777" w:rsidR="00EC1C40" w:rsidRDefault="00000000">
      <w:pPr>
        <w:pStyle w:val="Nadpis60"/>
        <w:framePr w:w="9701" w:h="13882" w:hRule="exact" w:wrap="none" w:vAnchor="page" w:hAnchor="page" w:x="1250" w:y="1551"/>
        <w:spacing w:after="120"/>
        <w:jc w:val="both"/>
      </w:pPr>
      <w:bookmarkStart w:id="94" w:name="bookmark189"/>
      <w:r>
        <w:t>Dobrovolnost</w:t>
      </w:r>
      <w:bookmarkEnd w:id="94"/>
    </w:p>
    <w:p w14:paraId="7FF31EDE" w14:textId="77777777" w:rsidR="00EC1C40" w:rsidRDefault="00000000">
      <w:pPr>
        <w:pStyle w:val="Zkladntext1"/>
        <w:framePr w:w="9701" w:h="13882" w:hRule="exact" w:wrap="none" w:vAnchor="page" w:hAnchor="page" w:x="1250" w:y="1551"/>
        <w:spacing w:after="120"/>
        <w:jc w:val="both"/>
      </w:pPr>
      <w:r>
        <w:t>Investor vstupuje do jednání se statutárním městem Pardubice a dotčeným MO dobrovolně, neboť je v jeho zájmu nalezení dohody se statutárním městem Pardubice na parametrech Investičního záměru a zejména zkvalitnění Veřejné infrastruktury a Veřejných služeb v lokalitě.</w:t>
      </w:r>
    </w:p>
    <w:p w14:paraId="2CF43125" w14:textId="77777777" w:rsidR="00EC1C40" w:rsidRDefault="00000000">
      <w:pPr>
        <w:pStyle w:val="Nadpis60"/>
        <w:framePr w:w="9701" w:h="13882" w:hRule="exact" w:wrap="none" w:vAnchor="page" w:hAnchor="page" w:x="1250" w:y="1551"/>
        <w:spacing w:after="120"/>
        <w:jc w:val="both"/>
      </w:pPr>
      <w:bookmarkStart w:id="95" w:name="bookmark191"/>
      <w:r>
        <w:t>Nediskriminační postup</w:t>
      </w:r>
      <w:bookmarkEnd w:id="95"/>
    </w:p>
    <w:p w14:paraId="2F0E3414" w14:textId="77777777" w:rsidR="00EC1C40" w:rsidRDefault="00000000">
      <w:pPr>
        <w:pStyle w:val="Zkladntext1"/>
        <w:framePr w:w="9701" w:h="13882" w:hRule="exact" w:wrap="none" w:vAnchor="page" w:hAnchor="page" w:x="1250" w:y="1551"/>
        <w:spacing w:after="120"/>
        <w:jc w:val="both"/>
      </w:pPr>
      <w:r>
        <w:t>Zásady stanoví pevná pravidla pro spolupráci s Investory včetně míry závaznosti postupu dle těchto Zásad. Na obdobné Investiční záměry jednotlivých Investorů se použijí stejná pravidla. Vůči všem Investorům bude postupováno dle jednotných předem stanovených pravidel dle těchto Zásad.</w:t>
      </w:r>
    </w:p>
    <w:p w14:paraId="4EF0C2B9" w14:textId="77777777" w:rsidR="00EC1C40" w:rsidRDefault="00000000">
      <w:pPr>
        <w:pStyle w:val="Zkladntext1"/>
        <w:framePr w:w="9701" w:h="13882" w:hRule="exact" w:wrap="none" w:vAnchor="page" w:hAnchor="page" w:x="1250" w:y="1551"/>
        <w:spacing w:after="120"/>
        <w:jc w:val="both"/>
      </w:pPr>
      <w:r>
        <w:rPr>
          <w:b/>
          <w:bCs/>
        </w:rPr>
        <w:t>Spolupráce v rámci samostatné působnosti</w:t>
      </w:r>
    </w:p>
    <w:p w14:paraId="056B1CC9" w14:textId="77777777" w:rsidR="00EC1C40" w:rsidRDefault="00000000">
      <w:pPr>
        <w:pStyle w:val="Zkladntext1"/>
        <w:framePr w:w="9701" w:h="13882" w:hRule="exact" w:wrap="none" w:vAnchor="page" w:hAnchor="page" w:x="1250" w:y="1551"/>
        <w:spacing w:after="120"/>
        <w:jc w:val="both"/>
      </w:pPr>
      <w:r>
        <w:t>Statutární město Pardubice a dotčený MO vystupují v jednání s Investorem výhradně v rozsahu své samostatné působnosti a nezasahují do rozhodovací pravomoci jakýchkoliv správních orgánů v rámci přípravy a realizace Investičního záměru.</w:t>
      </w:r>
    </w:p>
    <w:p w14:paraId="793BFBDF" w14:textId="77777777" w:rsidR="00EC1C40" w:rsidRDefault="00000000">
      <w:pPr>
        <w:pStyle w:val="Nadpis60"/>
        <w:framePr w:w="9701" w:h="13882" w:hRule="exact" w:wrap="none" w:vAnchor="page" w:hAnchor="page" w:x="1250" w:y="1551"/>
        <w:spacing w:after="120"/>
        <w:jc w:val="both"/>
      </w:pPr>
      <w:bookmarkStart w:id="96" w:name="bookmark193"/>
      <w:r>
        <w:t>Účelová vázanost Plnění Investora</w:t>
      </w:r>
      <w:bookmarkEnd w:id="96"/>
    </w:p>
    <w:p w14:paraId="0D3A8457" w14:textId="77777777" w:rsidR="00EC1C40" w:rsidRDefault="00000000">
      <w:pPr>
        <w:pStyle w:val="Zkladntext1"/>
        <w:framePr w:w="9701" w:h="13882" w:hRule="exact" w:wrap="none" w:vAnchor="page" w:hAnchor="page" w:x="1250" w:y="1551"/>
        <w:spacing w:after="500"/>
        <w:jc w:val="both"/>
      </w:pPr>
      <w:r>
        <w:t>Plnění Investora bude alokováno výhradně na kompenzaci zvýšených nákladů na Veřejnou infrastrukturu a Veřejnou vybavenost v území a lokalitě, vyvolaných Investičním záměrem.</w:t>
      </w:r>
    </w:p>
    <w:p w14:paraId="18F3A77E" w14:textId="77777777" w:rsidR="00EC1C40" w:rsidRDefault="00000000">
      <w:pPr>
        <w:pStyle w:val="Nadpis50"/>
        <w:framePr w:w="9701" w:h="13882" w:hRule="exact" w:wrap="none" w:vAnchor="page" w:hAnchor="page" w:x="1250" w:y="1551"/>
        <w:numPr>
          <w:ilvl w:val="0"/>
          <w:numId w:val="37"/>
        </w:numPr>
        <w:tabs>
          <w:tab w:val="left" w:pos="297"/>
        </w:tabs>
        <w:spacing w:after="120"/>
      </w:pPr>
      <w:bookmarkStart w:id="97" w:name="bookmark195"/>
      <w:r>
        <w:t>Pojmy</w:t>
      </w:r>
      <w:bookmarkEnd w:id="97"/>
    </w:p>
    <w:p w14:paraId="566D54DA" w14:textId="77777777" w:rsidR="00EC1C40" w:rsidRDefault="00000000">
      <w:pPr>
        <w:pStyle w:val="Zkladntext1"/>
        <w:framePr w:w="9701" w:h="13882" w:hRule="exact" w:wrap="none" w:vAnchor="page" w:hAnchor="page" w:x="1250" w:y="1551"/>
        <w:spacing w:after="120"/>
        <w:jc w:val="both"/>
      </w:pPr>
      <w:r>
        <w:t>Postup a pojmy uvedené v Zásadách nenahrazují postup a pojmy dané platnou legislativou. Není-li v těchto zásadách uvedeno jinak, pak platí:</w:t>
      </w:r>
    </w:p>
    <w:p w14:paraId="3B5D255C" w14:textId="77777777" w:rsidR="00EC1C40" w:rsidRDefault="00000000">
      <w:pPr>
        <w:pStyle w:val="Zkladntext1"/>
        <w:framePr w:w="9701" w:h="13882" w:hRule="exact" w:wrap="none" w:vAnchor="page" w:hAnchor="page" w:x="1250" w:y="1551"/>
        <w:numPr>
          <w:ilvl w:val="0"/>
          <w:numId w:val="38"/>
        </w:numPr>
        <w:tabs>
          <w:tab w:val="left" w:pos="562"/>
        </w:tabs>
        <w:spacing w:after="120"/>
        <w:ind w:left="600" w:hanging="600"/>
        <w:jc w:val="both"/>
      </w:pPr>
      <w:r>
        <w:rPr>
          <w:b/>
          <w:bCs/>
        </w:rPr>
        <w:t xml:space="preserve">Investorem </w:t>
      </w:r>
      <w:r>
        <w:t>se rozumí každý pořizovatel stavby, tedy stavebník dle § 2 odst. 2 písm. c) zákona č. 183/2006 Sb., o územním plánování a stavebním řádu (stavební zákon), ve znění pozdějších předpisů, („</w:t>
      </w:r>
      <w:r>
        <w:rPr>
          <w:b/>
          <w:bCs/>
        </w:rPr>
        <w:t>stavební zákon</w:t>
      </w:r>
      <w:r>
        <w:t>“). Za Investora se dle těchto Zásad nepovažuje:</w:t>
      </w:r>
    </w:p>
    <w:p w14:paraId="7F6EFF0D" w14:textId="77777777" w:rsidR="00EC1C40" w:rsidRDefault="00000000">
      <w:pPr>
        <w:pStyle w:val="Zkladntext1"/>
        <w:framePr w:w="9701" w:h="13882" w:hRule="exact" w:wrap="none" w:vAnchor="page" w:hAnchor="page" w:x="1250" w:y="1551"/>
        <w:numPr>
          <w:ilvl w:val="0"/>
          <w:numId w:val="39"/>
        </w:numPr>
        <w:tabs>
          <w:tab w:val="left" w:pos="1380"/>
        </w:tabs>
        <w:spacing w:after="0"/>
        <w:ind w:left="1020"/>
      </w:pPr>
      <w:r>
        <w:t>statutární město Pardubice, příspěvkové organizace zřízené městem Pardubice a</w:t>
      </w:r>
    </w:p>
    <w:p w14:paraId="603BA49C" w14:textId="77777777" w:rsidR="00EC1C40" w:rsidRDefault="00000000">
      <w:pPr>
        <w:pStyle w:val="Zhlavnebozpat0"/>
        <w:framePr w:wrap="none" w:vAnchor="page" w:hAnchor="page" w:x="6031" w:y="15860"/>
        <w:rPr>
          <w:sz w:val="22"/>
          <w:szCs w:val="22"/>
        </w:rPr>
      </w:pPr>
      <w:r>
        <w:rPr>
          <w:color w:val="231E20"/>
          <w:sz w:val="22"/>
          <w:szCs w:val="22"/>
        </w:rPr>
        <w:t>2</w:t>
      </w:r>
    </w:p>
    <w:p w14:paraId="6B26DD7F"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4D0C2F65" w14:textId="77777777" w:rsidR="00EC1C40" w:rsidRDefault="00EC1C40">
      <w:pPr>
        <w:spacing w:line="1" w:lineRule="exact"/>
      </w:pPr>
    </w:p>
    <w:p w14:paraId="67832302" w14:textId="77777777" w:rsidR="00EC1C40" w:rsidRDefault="00000000">
      <w:pPr>
        <w:pStyle w:val="Zkladntext1"/>
        <w:framePr w:w="9686" w:h="10488" w:hRule="exact" w:wrap="none" w:vAnchor="page" w:hAnchor="page" w:x="1257" w:y="1551"/>
        <w:numPr>
          <w:ilvl w:val="0"/>
          <w:numId w:val="39"/>
        </w:numPr>
        <w:tabs>
          <w:tab w:val="left" w:pos="1384"/>
        </w:tabs>
        <w:ind w:left="1020"/>
        <w:jc w:val="both"/>
      </w:pPr>
      <w:r>
        <w:t>Pardubický kraj a příspěvkové organizace zřízené Pardubickým krajem;</w:t>
      </w:r>
    </w:p>
    <w:p w14:paraId="2CE30474" w14:textId="77777777" w:rsidR="00EC1C40" w:rsidRDefault="00000000">
      <w:pPr>
        <w:pStyle w:val="Zkladntext1"/>
        <w:framePr w:w="9686" w:h="10488" w:hRule="exact" w:wrap="none" w:vAnchor="page" w:hAnchor="page" w:x="1257" w:y="1551"/>
        <w:numPr>
          <w:ilvl w:val="0"/>
          <w:numId w:val="39"/>
        </w:numPr>
        <w:tabs>
          <w:tab w:val="left" w:pos="1384"/>
        </w:tabs>
        <w:spacing w:after="220"/>
        <w:ind w:left="1020"/>
        <w:jc w:val="both"/>
      </w:pPr>
      <w:r>
        <w:t>stát, jeho organizační složky a státní příspěvkové organizace.</w:t>
      </w:r>
    </w:p>
    <w:p w14:paraId="1C2EB23B" w14:textId="77777777" w:rsidR="00EC1C40" w:rsidRDefault="00000000">
      <w:pPr>
        <w:pStyle w:val="Zkladntext1"/>
        <w:framePr w:w="9686" w:h="10488" w:hRule="exact" w:wrap="none" w:vAnchor="page" w:hAnchor="page" w:x="1257" w:y="1551"/>
        <w:numPr>
          <w:ilvl w:val="0"/>
          <w:numId w:val="38"/>
        </w:numPr>
        <w:tabs>
          <w:tab w:val="left" w:pos="549"/>
          <w:tab w:val="left" w:pos="562"/>
        </w:tabs>
        <w:jc w:val="both"/>
      </w:pPr>
      <w:r>
        <w:rPr>
          <w:b/>
          <w:bCs/>
        </w:rPr>
        <w:t xml:space="preserve">Investičním záměrem </w:t>
      </w:r>
      <w:r>
        <w:t>se rozumí</w:t>
      </w:r>
    </w:p>
    <w:p w14:paraId="46783DFA" w14:textId="77777777" w:rsidR="00EC1C40" w:rsidRDefault="00000000">
      <w:pPr>
        <w:pStyle w:val="Zkladntext1"/>
        <w:framePr w:w="9686" w:h="10488" w:hRule="exact" w:wrap="none" w:vAnchor="page" w:hAnchor="page" w:x="1257" w:y="1551"/>
        <w:numPr>
          <w:ilvl w:val="0"/>
          <w:numId w:val="40"/>
        </w:numPr>
        <w:tabs>
          <w:tab w:val="left" w:pos="1384"/>
        </w:tabs>
        <w:ind w:left="1380" w:hanging="360"/>
        <w:jc w:val="both"/>
      </w:pPr>
      <w:r>
        <w:t>každý nově umísťovaný nebo nově stavebními úpravami vytvořený bytový nebo nebytový prostor, vyjma staveb, zařízení a udržovacích prací nevyžadujících stavební povolení ani ohlášení ve smyslu § 103 stavebního zákona, na území statutárního města Pardubice, s výjimkou území městské památkové rezervace;</w:t>
      </w:r>
    </w:p>
    <w:p w14:paraId="0DEE70AC" w14:textId="77777777" w:rsidR="00EC1C40" w:rsidRDefault="00000000">
      <w:pPr>
        <w:pStyle w:val="Zkladntext1"/>
        <w:framePr w:w="9686" w:h="10488" w:hRule="exact" w:wrap="none" w:vAnchor="page" w:hAnchor="page" w:x="1257" w:y="1551"/>
        <w:numPr>
          <w:ilvl w:val="0"/>
          <w:numId w:val="40"/>
        </w:numPr>
        <w:tabs>
          <w:tab w:val="left" w:pos="1384"/>
        </w:tabs>
        <w:ind w:left="1380" w:hanging="360"/>
        <w:jc w:val="both"/>
      </w:pPr>
      <w:r>
        <w:t>výstavba veřejné dopravní a technické infrastruktury související s dělením nebo scelováním pozemků ve smyslu § 82 stavebního zákona za účelem přípravy těchto pozemků k umisťování staveb a následného prodeje takto vzniklých pozemků jednotlivým kupujícím.</w:t>
      </w:r>
    </w:p>
    <w:p w14:paraId="0F652997" w14:textId="77777777" w:rsidR="00EC1C40" w:rsidRDefault="00000000">
      <w:pPr>
        <w:pStyle w:val="Zkladntext1"/>
        <w:framePr w:w="9686" w:h="10488" w:hRule="exact" w:wrap="none" w:vAnchor="page" w:hAnchor="page" w:x="1257" w:y="1551"/>
        <w:numPr>
          <w:ilvl w:val="0"/>
          <w:numId w:val="38"/>
        </w:numPr>
        <w:tabs>
          <w:tab w:val="left" w:pos="722"/>
        </w:tabs>
        <w:ind w:left="520" w:hanging="360"/>
        <w:jc w:val="both"/>
      </w:pPr>
      <w:r>
        <w:rPr>
          <w:b/>
          <w:bCs/>
        </w:rPr>
        <w:t xml:space="preserve">Celoměstským záměrem </w:t>
      </w:r>
      <w:r>
        <w:t>se rozumí Investiční záměr, který zjevně svojí funkcí, významem či vlivem na své okolí může urbanisticky, dopravně či jinak ovlivnit jiné části města ve smyslu čl. 24 odst. 2 obecně závazné vyhlášky č. 4/2019, kterou se vydává statut města Pardubice („</w:t>
      </w:r>
      <w:r>
        <w:rPr>
          <w:b/>
          <w:bCs/>
        </w:rPr>
        <w:t>Statut</w:t>
      </w:r>
      <w:r>
        <w:t>“).</w:t>
      </w:r>
    </w:p>
    <w:p w14:paraId="36F934B0" w14:textId="77777777" w:rsidR="00EC1C40" w:rsidRDefault="00000000">
      <w:pPr>
        <w:pStyle w:val="Zkladntext1"/>
        <w:framePr w:w="9686" w:h="10488" w:hRule="exact" w:wrap="none" w:vAnchor="page" w:hAnchor="page" w:x="1257" w:y="1551"/>
        <w:ind w:firstLine="520"/>
        <w:jc w:val="both"/>
      </w:pPr>
      <w:r>
        <w:t>Pro účely těchto Zásad se za Celoměstský záměr vždy považuje Investiční záměr:</w:t>
      </w:r>
    </w:p>
    <w:p w14:paraId="11670B92" w14:textId="77777777" w:rsidR="00EC1C40" w:rsidRDefault="00000000">
      <w:pPr>
        <w:pStyle w:val="Zkladntext1"/>
        <w:framePr w:w="9686" w:h="10488" w:hRule="exact" w:wrap="none" w:vAnchor="page" w:hAnchor="page" w:x="1257" w:y="1551"/>
        <w:numPr>
          <w:ilvl w:val="0"/>
          <w:numId w:val="41"/>
        </w:numPr>
        <w:tabs>
          <w:tab w:val="left" w:pos="1384"/>
        </w:tabs>
        <w:ind w:left="1380" w:hanging="360"/>
        <w:jc w:val="both"/>
      </w:pPr>
      <w:r>
        <w:t>podléhající alespoň zjišťovacímu řízení podle zákona č. 100/2001 Sb., o posuzování vlivů na životní prostředí, ve znění pozdějších předpisů;</w:t>
      </w:r>
    </w:p>
    <w:p w14:paraId="3933AC64" w14:textId="77777777" w:rsidR="00EC1C40" w:rsidRDefault="00000000">
      <w:pPr>
        <w:pStyle w:val="Zkladntext1"/>
        <w:framePr w:w="9686" w:h="10488" w:hRule="exact" w:wrap="none" w:vAnchor="page" w:hAnchor="page" w:x="1257" w:y="1551"/>
        <w:numPr>
          <w:ilvl w:val="0"/>
          <w:numId w:val="41"/>
        </w:numPr>
        <w:tabs>
          <w:tab w:val="left" w:pos="1384"/>
        </w:tabs>
        <w:ind w:left="1020"/>
        <w:jc w:val="both"/>
      </w:pPr>
      <w:r>
        <w:t>zasahující na území dvou a více Městských obvodů;</w:t>
      </w:r>
    </w:p>
    <w:p w14:paraId="0E6955B1" w14:textId="77777777" w:rsidR="00EC1C40" w:rsidRDefault="00000000">
      <w:pPr>
        <w:pStyle w:val="Zkladntext1"/>
        <w:framePr w:w="9686" w:h="10488" w:hRule="exact" w:wrap="none" w:vAnchor="page" w:hAnchor="page" w:x="1257" w:y="1551"/>
        <w:numPr>
          <w:ilvl w:val="0"/>
          <w:numId w:val="41"/>
        </w:numPr>
        <w:tabs>
          <w:tab w:val="left" w:pos="1384"/>
        </w:tabs>
        <w:ind w:left="1380" w:hanging="360"/>
        <w:jc w:val="both"/>
      </w:pPr>
      <w:r>
        <w:t>který má vést k realizaci více než 15 bytových jednotek v bytových domech nebo 10 bytových jednotek v rodinných domech, a/nebo bytové objekty s výměrou větší než 2.000 m</w:t>
      </w:r>
      <w:r>
        <w:rPr>
          <w:vertAlign w:val="superscript"/>
        </w:rPr>
        <w:t>2</w:t>
      </w:r>
      <w:r>
        <w:t xml:space="preserve"> HPP;</w:t>
      </w:r>
    </w:p>
    <w:p w14:paraId="7A092736" w14:textId="77777777" w:rsidR="00EC1C40" w:rsidRDefault="00000000">
      <w:pPr>
        <w:pStyle w:val="Zkladntext1"/>
        <w:framePr w:w="9686" w:h="10488" w:hRule="exact" w:wrap="none" w:vAnchor="page" w:hAnchor="page" w:x="1257" w:y="1551"/>
        <w:numPr>
          <w:ilvl w:val="0"/>
          <w:numId w:val="41"/>
        </w:numPr>
        <w:tabs>
          <w:tab w:val="left" w:pos="1384"/>
        </w:tabs>
        <w:ind w:left="1380" w:hanging="360"/>
        <w:jc w:val="both"/>
      </w:pPr>
      <w:r>
        <w:t>staveb pro výrobu a pro průmysl (včetně zemědělské a lesnické výroby) s výměrou větší než 2.000 m</w:t>
      </w:r>
      <w:r>
        <w:rPr>
          <w:vertAlign w:val="superscript"/>
        </w:rPr>
        <w:t>2</w:t>
      </w:r>
      <w:r>
        <w:t xml:space="preserve"> HPP.</w:t>
      </w:r>
    </w:p>
    <w:p w14:paraId="4C32407F" w14:textId="77777777" w:rsidR="00EC1C40" w:rsidRDefault="00000000">
      <w:pPr>
        <w:pStyle w:val="Zkladntext1"/>
        <w:framePr w:w="9686" w:h="10488" w:hRule="exact" w:wrap="none" w:vAnchor="page" w:hAnchor="page" w:x="1257" w:y="1551"/>
        <w:numPr>
          <w:ilvl w:val="0"/>
          <w:numId w:val="38"/>
        </w:numPr>
        <w:tabs>
          <w:tab w:val="left" w:pos="549"/>
        </w:tabs>
        <w:spacing w:after="220"/>
        <w:ind w:left="580" w:hanging="580"/>
        <w:jc w:val="both"/>
      </w:pPr>
      <w:r>
        <w:rPr>
          <w:b/>
          <w:bCs/>
        </w:rPr>
        <w:t xml:space="preserve">Veřejnou infrastrukturou </w:t>
      </w:r>
      <w:r>
        <w:t>se rozumí dopravní a technická infrastruktura, občanské vybavení a veřejné prostranství, zřizované nebo užívané ve veřejném zájmu ve smyslu § 2 odst. 1 písm. m) stavebního zákona. Veřejná infrastruktura ve smyslu těchto Zásad zahrnuje též vybudování nové nebo úpravy stávající veřejné dopravní či technické infrastruktury, bez které nelze Investiční záměr realizovat ve smyslu § 88 stavebního zákona.</w:t>
      </w:r>
    </w:p>
    <w:p w14:paraId="3EE127F8" w14:textId="77777777" w:rsidR="00EC1C40" w:rsidRDefault="00000000">
      <w:pPr>
        <w:pStyle w:val="Zkladntext1"/>
        <w:framePr w:w="9686" w:h="10488" w:hRule="exact" w:wrap="none" w:vAnchor="page" w:hAnchor="page" w:x="1257" w:y="1551"/>
        <w:numPr>
          <w:ilvl w:val="0"/>
          <w:numId w:val="38"/>
        </w:numPr>
        <w:tabs>
          <w:tab w:val="left" w:pos="549"/>
        </w:tabs>
        <w:spacing w:after="220"/>
        <w:ind w:left="580" w:hanging="580"/>
        <w:jc w:val="both"/>
      </w:pPr>
      <w:r>
        <w:rPr>
          <w:b/>
          <w:bCs/>
        </w:rPr>
        <w:t xml:space="preserve">Veřejnými službami </w:t>
      </w:r>
      <w:r>
        <w:t>se rozumí služby, které statutární město Pardubice poskytuje při péči o všestranný rozvoj svého území a o potřeby svých občanů a ochraně veřejného zájmu ve smyslu § 2 odst. 2 zákona č. 128/2000 Sb., o obcích, ve znění pozdějších předpisů, tj. např. školství, zdravotnictví, sociální služby, kultura, doprava, veřejný prostor a. j.</w:t>
      </w:r>
    </w:p>
    <w:p w14:paraId="5EC73B25" w14:textId="77777777" w:rsidR="00EC1C40" w:rsidRDefault="00000000">
      <w:pPr>
        <w:pStyle w:val="Zkladntext1"/>
        <w:framePr w:w="9686" w:h="10488" w:hRule="exact" w:wrap="none" w:vAnchor="page" w:hAnchor="page" w:x="1257" w:y="1551"/>
        <w:numPr>
          <w:ilvl w:val="0"/>
          <w:numId w:val="38"/>
        </w:numPr>
        <w:tabs>
          <w:tab w:val="left" w:pos="549"/>
        </w:tabs>
        <w:spacing w:after="0"/>
        <w:ind w:left="580" w:hanging="580"/>
        <w:jc w:val="both"/>
      </w:pPr>
      <w:r>
        <w:rPr>
          <w:b/>
          <w:bCs/>
        </w:rPr>
        <w:t xml:space="preserve">Veřejnou stavbou </w:t>
      </w:r>
      <w:r>
        <w:t xml:space="preserve">se rozumí samostatné stavby sportu a občanského vybavení ve smyslu § 2 odst. 1 písm. m) bodu č. 3 stavebního zákona. </w:t>
      </w:r>
      <w:r>
        <w:rPr>
          <w:vertAlign w:val="superscript"/>
        </w:rPr>
        <w:t>7</w:t>
      </w:r>
    </w:p>
    <w:p w14:paraId="1C34E36B" w14:textId="77777777" w:rsidR="00EC1C40" w:rsidRDefault="00000000">
      <w:pPr>
        <w:pStyle w:val="Poznmkapodarou0"/>
        <w:framePr w:w="9686" w:h="2770" w:hRule="exact" w:wrap="none" w:vAnchor="page" w:hAnchor="page" w:x="1257" w:y="12356"/>
        <w:spacing w:after="120"/>
        <w:ind w:hanging="580"/>
        <w:jc w:val="both"/>
      </w:pPr>
      <w:r>
        <w:t xml:space="preserve">7. </w:t>
      </w:r>
      <w:r>
        <w:rPr>
          <w:b/>
          <w:bCs/>
        </w:rPr>
        <w:t xml:space="preserve">Investičním příspěvkem </w:t>
      </w:r>
      <w:r>
        <w:t>se rozumí Peněžní plnění Investora anebo Nepeněžní plnění Investora uskutečněné za účelem pokrytí části nákladů na novou Veřejnou infrastrukturu nebo Veřejnou službu vyvolanou Investičním záměrem definovaným ve Smlouvě o investičním příspěvku nebo ve Smlouvě o spolupráci, uzavřenou mezi Investorem a statutárním městem Pardubice. Investiční příspěvek není místním poplatkem ve smyslu zákona č. 565/1990 Sb., o místních poplatcích, ve znění pozdějších předpisů.</w:t>
      </w:r>
    </w:p>
    <w:p w14:paraId="340545B5" w14:textId="77777777" w:rsidR="00EC1C40" w:rsidRDefault="00000000">
      <w:pPr>
        <w:pStyle w:val="Poznmkapodarou0"/>
        <w:framePr w:w="9686" w:h="2770" w:hRule="exact" w:wrap="none" w:vAnchor="page" w:hAnchor="page" w:x="1257" w:y="12356"/>
        <w:ind w:firstLine="0"/>
        <w:jc w:val="both"/>
      </w:pPr>
      <w:r>
        <w:t>Namísto poskytnutí Peněžního plnění či jeho části se za podmínek vymezených v Zásadách může statutární město Pardubice s Investorem dohodnout na Nepeněžním plnění, sloužícímu k účelu uvedenému v těchto Zásadách, je-li jeho poskytnutí v souladu s právní úpravou zadávání veřejných zakázek.</w:t>
      </w:r>
    </w:p>
    <w:p w14:paraId="494FEF52" w14:textId="77777777" w:rsidR="00EC1C40" w:rsidRDefault="00000000">
      <w:pPr>
        <w:pStyle w:val="Zhlavnebozpat0"/>
        <w:framePr w:wrap="none" w:vAnchor="page" w:hAnchor="page" w:x="6024" w:y="15860"/>
        <w:rPr>
          <w:sz w:val="22"/>
          <w:szCs w:val="22"/>
        </w:rPr>
      </w:pPr>
      <w:r>
        <w:rPr>
          <w:color w:val="231E20"/>
          <w:sz w:val="22"/>
          <w:szCs w:val="22"/>
        </w:rPr>
        <w:t>3</w:t>
      </w:r>
    </w:p>
    <w:p w14:paraId="1A9CE9F8"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10C88605" w14:textId="77777777" w:rsidR="00EC1C40" w:rsidRDefault="00EC1C40">
      <w:pPr>
        <w:spacing w:line="1" w:lineRule="exact"/>
      </w:pPr>
    </w:p>
    <w:p w14:paraId="77CA26C2" w14:textId="77777777" w:rsidR="00EC1C40" w:rsidRDefault="00000000">
      <w:pPr>
        <w:pStyle w:val="Zkladntext1"/>
        <w:framePr w:w="9682" w:h="13363" w:hRule="exact" w:wrap="none" w:vAnchor="page" w:hAnchor="page" w:x="1260" w:y="1551"/>
        <w:ind w:left="580"/>
        <w:jc w:val="both"/>
      </w:pPr>
      <w:r>
        <w:t>Dohoda o Nepeněžním plnění Investičního příspěvku je součástí Smlouvy o spolupráci anebo Smlouvy o investičním příspěvku, obsahující parametry Nepeněžního plnění a podmínky jeho převzetí statutárním městem Pardubice.</w:t>
      </w:r>
    </w:p>
    <w:p w14:paraId="213DE27B" w14:textId="77777777" w:rsidR="00EC1C40" w:rsidRDefault="00000000">
      <w:pPr>
        <w:pStyle w:val="Zkladntext1"/>
        <w:framePr w:w="9682" w:h="13363" w:hRule="exact" w:wrap="none" w:vAnchor="page" w:hAnchor="page" w:x="1260" w:y="1551"/>
        <w:numPr>
          <w:ilvl w:val="0"/>
          <w:numId w:val="42"/>
        </w:numPr>
        <w:tabs>
          <w:tab w:val="left" w:pos="548"/>
        </w:tabs>
        <w:spacing w:after="240"/>
        <w:ind w:left="580" w:hanging="580"/>
        <w:jc w:val="both"/>
      </w:pPr>
      <w:r>
        <w:rPr>
          <w:b/>
          <w:bCs/>
        </w:rPr>
        <w:t xml:space="preserve">Peněžním plněním </w:t>
      </w:r>
      <w:r>
        <w:t>se rozumí peněžní plnění Investora hrazené do Programu veřejné infrastruktury statutárního města Pardubice za účelem pokrytí nákladů na novou Veřejnou infrastrukturu nebo Veřejnou službu vyvolanou Investičním záměrem, definovanou ve Smlouvě o spolupráci nebo Smlouvou o investičním příspěvku, ve výši tvořící rozdíl mezi konečnou výší Investičního příspěvku a Nepeněžním plněním (je-li Nepeněžní plnění Investorem poskytnuto). V případě, že Investor poskytuje pouze Peněžní plnění, odpovídá jeho výše konečné výši Investičního příspěvku.</w:t>
      </w:r>
    </w:p>
    <w:p w14:paraId="5E2641DA" w14:textId="77777777" w:rsidR="00EC1C40" w:rsidRDefault="00000000">
      <w:pPr>
        <w:pStyle w:val="Zkladntext1"/>
        <w:framePr w:w="9682" w:h="13363" w:hRule="exact" w:wrap="none" w:vAnchor="page" w:hAnchor="page" w:x="1260" w:y="1551"/>
        <w:numPr>
          <w:ilvl w:val="0"/>
          <w:numId w:val="42"/>
        </w:numPr>
        <w:tabs>
          <w:tab w:val="left" w:pos="548"/>
          <w:tab w:val="left" w:pos="571"/>
        </w:tabs>
        <w:spacing w:after="0"/>
        <w:jc w:val="both"/>
      </w:pPr>
      <w:r>
        <w:rPr>
          <w:b/>
          <w:bCs/>
        </w:rPr>
        <w:t xml:space="preserve">Nepeněžním plněním </w:t>
      </w:r>
      <w:r>
        <w:t>se rozumí jiné než Peněžní plnění Investičního příspěvku Investorem, podle</w:t>
      </w:r>
    </w:p>
    <w:p w14:paraId="7CB938BC" w14:textId="77777777" w:rsidR="00EC1C40" w:rsidRDefault="00000000">
      <w:pPr>
        <w:pStyle w:val="Zkladntext1"/>
        <w:framePr w:w="9682" w:h="13363" w:hRule="exact" w:wrap="none" w:vAnchor="page" w:hAnchor="page" w:x="1260" w:y="1551"/>
        <w:ind w:left="500" w:firstLine="20"/>
        <w:jc w:val="both"/>
      </w:pPr>
      <w:r>
        <w:t>konkrétních podmínek dohodnutých ve Smlouvě o spolupráci anebo Smlouvě o investičním příspěvku, např.</w:t>
      </w:r>
    </w:p>
    <w:p w14:paraId="68C27DC1" w14:textId="77777777" w:rsidR="00EC1C40" w:rsidRDefault="00000000">
      <w:pPr>
        <w:pStyle w:val="Zkladntext1"/>
        <w:framePr w:w="9682" w:h="13363" w:hRule="exact" w:wrap="none" w:vAnchor="page" w:hAnchor="page" w:x="1260" w:y="1551"/>
        <w:numPr>
          <w:ilvl w:val="0"/>
          <w:numId w:val="43"/>
        </w:numPr>
        <w:tabs>
          <w:tab w:val="left" w:pos="1380"/>
        </w:tabs>
        <w:ind w:left="1020"/>
        <w:jc w:val="both"/>
      </w:pPr>
      <w:r>
        <w:t>stavby a pozemky ve smyslu § 2 odst. 1 písm. m) stavebního zákona,</w:t>
      </w:r>
    </w:p>
    <w:p w14:paraId="085F3FE4" w14:textId="77777777" w:rsidR="00EC1C40" w:rsidRDefault="00000000">
      <w:pPr>
        <w:pStyle w:val="Zkladntext1"/>
        <w:framePr w:w="9682" w:h="13363" w:hRule="exact" w:wrap="none" w:vAnchor="page" w:hAnchor="page" w:x="1260" w:y="1551"/>
        <w:numPr>
          <w:ilvl w:val="0"/>
          <w:numId w:val="43"/>
        </w:numPr>
        <w:tabs>
          <w:tab w:val="left" w:pos="1380"/>
        </w:tabs>
        <w:ind w:left="1380" w:hanging="360"/>
        <w:jc w:val="both"/>
      </w:pPr>
      <w:r>
        <w:t>projektová dokumentace nezbytná pro realizaci veřejné infrastruktury pod písmenem a) shora v rozsahu stanoveném stavebním zákonem a vyhláškou č. 499/2006 Sb. o dokumentaci staveb,</w:t>
      </w:r>
    </w:p>
    <w:p w14:paraId="4922BB16" w14:textId="77777777" w:rsidR="00EC1C40" w:rsidRDefault="00000000">
      <w:pPr>
        <w:pStyle w:val="Zkladntext1"/>
        <w:framePr w:w="9682" w:h="13363" w:hRule="exact" w:wrap="none" w:vAnchor="page" w:hAnchor="page" w:x="1260" w:y="1551"/>
        <w:numPr>
          <w:ilvl w:val="0"/>
          <w:numId w:val="43"/>
        </w:numPr>
        <w:tabs>
          <w:tab w:val="left" w:pos="1380"/>
        </w:tabs>
        <w:ind w:left="1380" w:hanging="360"/>
        <w:jc w:val="both"/>
      </w:pPr>
      <w:r>
        <w:t>organizace architektonických a urbanistických soutěží v souladu se soutěžním řádem České komory architektů,</w:t>
      </w:r>
    </w:p>
    <w:p w14:paraId="547009BE" w14:textId="77777777" w:rsidR="00EC1C40" w:rsidRDefault="00000000">
      <w:pPr>
        <w:pStyle w:val="Zkladntext1"/>
        <w:framePr w:w="9682" w:h="13363" w:hRule="exact" w:wrap="none" w:vAnchor="page" w:hAnchor="page" w:x="1260" w:y="1551"/>
        <w:ind w:left="580"/>
        <w:jc w:val="both"/>
      </w:pPr>
      <w:r>
        <w:t>to vše za podmínky, že takové plnění nebude v rozporu s právními předpisy, zejména zákonem č. 128/2000 Sb., o obcích a zákonem č. 134/2016 Sb., o zadávání veřejných zakázek, v platných zněních či s právními předpisy, které je nahradí.</w:t>
      </w:r>
    </w:p>
    <w:p w14:paraId="69329430" w14:textId="77777777" w:rsidR="00EC1C40" w:rsidRDefault="00000000">
      <w:pPr>
        <w:pStyle w:val="Zkladntext1"/>
        <w:framePr w:w="9682" w:h="13363" w:hRule="exact" w:wrap="none" w:vAnchor="page" w:hAnchor="page" w:x="1260" w:y="1551"/>
        <w:spacing w:after="240"/>
        <w:ind w:left="580"/>
        <w:jc w:val="both"/>
      </w:pPr>
      <w:r>
        <w:t>Nepeněžním plněním není závazek Investora podílet se na vybudování nové a/nebo úpravách stávající veřejné dopravní či technické infrastruktury ve smyslu § 88 stavebního zákona.</w:t>
      </w:r>
    </w:p>
    <w:p w14:paraId="546BF14B" w14:textId="77777777" w:rsidR="00EC1C40" w:rsidRDefault="00000000">
      <w:pPr>
        <w:pStyle w:val="Zkladntext1"/>
        <w:framePr w:w="9682" w:h="13363" w:hRule="exact" w:wrap="none" w:vAnchor="page" w:hAnchor="page" w:x="1260" w:y="1551"/>
        <w:numPr>
          <w:ilvl w:val="0"/>
          <w:numId w:val="42"/>
        </w:numPr>
        <w:tabs>
          <w:tab w:val="left" w:pos="548"/>
        </w:tabs>
        <w:ind w:left="580" w:hanging="580"/>
        <w:jc w:val="both"/>
      </w:pPr>
      <w:r>
        <w:rPr>
          <w:b/>
          <w:bCs/>
        </w:rPr>
        <w:t xml:space="preserve">Smlouvou o spolupráci </w:t>
      </w:r>
      <w:r>
        <w:t>se rozumí smlouva uzavřená zpravidla mezi Investorem a statutárním městem Pardubice dle § 1746 odst. 2 zák. č. 89/2012 Sb., Občanský zákoník, ve znění pozdějších předpisů („</w:t>
      </w:r>
      <w:r>
        <w:rPr>
          <w:b/>
          <w:bCs/>
        </w:rPr>
        <w:t>Občanský zákoník</w:t>
      </w:r>
      <w:r>
        <w:t>“) tehdy, když se jedná o Celoměstský záměr a/nebo Investiční záměr Investora klade ve smyslu § 88 stavebního zákona takové požadavky na veřejnou dopravní a technickou infrastrukturu, že jej nelze bez vybudování příslušných nových staveb a zařízení nebo úpravy stávajících realizovat.</w:t>
      </w:r>
    </w:p>
    <w:p w14:paraId="4C14ADC0" w14:textId="77777777" w:rsidR="00EC1C40" w:rsidRDefault="00000000">
      <w:pPr>
        <w:pStyle w:val="Zkladntext1"/>
        <w:framePr w:w="9682" w:h="13363" w:hRule="exact" w:wrap="none" w:vAnchor="page" w:hAnchor="page" w:x="1260" w:y="1551"/>
        <w:ind w:left="580"/>
        <w:jc w:val="both"/>
      </w:pPr>
      <w:r>
        <w:t>Předmětem Smlouvy o spolupráci je vždy závazek Investora se finančně podílet na vybudování nové a/nebo úpravách stávající veřejné dopravní či technické infrastruktury ve smyslu § 88 stavebního zákona. Předmětem Smlouvy o spolupráci je dále závazek statutárního města Pardubice a případně též dotčeného MO poskytnout Investorovi v rámci samostatné působnosti součinnost s umístěním jeho Investičního záměru a závazek Investora poskytnout statutárnímu městu Pardubice Investiční příspěvek.</w:t>
      </w:r>
    </w:p>
    <w:p w14:paraId="505A80FB" w14:textId="77777777" w:rsidR="00EC1C40" w:rsidRDefault="00000000">
      <w:pPr>
        <w:pStyle w:val="Zkladntext1"/>
        <w:framePr w:w="9682" w:h="13363" w:hRule="exact" w:wrap="none" w:vAnchor="page" w:hAnchor="page" w:x="1260" w:y="1551"/>
        <w:spacing w:after="240"/>
        <w:ind w:firstLine="580"/>
        <w:jc w:val="both"/>
      </w:pPr>
      <w:r>
        <w:t>Vzor Smlouvy o spolupráci je nedílnou součástí těchto Zásad.</w:t>
      </w:r>
    </w:p>
    <w:p w14:paraId="3B12FC0B" w14:textId="77777777" w:rsidR="00EC1C40" w:rsidRDefault="00000000">
      <w:pPr>
        <w:pStyle w:val="Zkladntext1"/>
        <w:framePr w:w="9682" w:h="13363" w:hRule="exact" w:wrap="none" w:vAnchor="page" w:hAnchor="page" w:x="1260" w:y="1551"/>
        <w:numPr>
          <w:ilvl w:val="0"/>
          <w:numId w:val="42"/>
        </w:numPr>
        <w:tabs>
          <w:tab w:val="left" w:pos="548"/>
        </w:tabs>
        <w:ind w:left="500" w:hanging="500"/>
        <w:jc w:val="both"/>
      </w:pPr>
      <w:r>
        <w:rPr>
          <w:b/>
          <w:bCs/>
        </w:rPr>
        <w:t xml:space="preserve">Smlouvou o investičním příspěvku </w:t>
      </w:r>
      <w:r>
        <w:t>se rozumí smlouva uzavřená zpravidla mezi Investorem, statutárním městem Pardubice dle § 1746 odst. 2 Občanského zákoníku v případě, že není třeba uzavírat Smlouvu o spolupráci. Předmětem smlouvy o investičním příspěvku je závazek statutárního města Pardubice a dotčeného MO poskytnout Investorovi v rámci samostatné působnosti součinnost s umístěním jeho Investičního záměru a závazek Investora poskytnout statutárnímu městu Pardubice Investiční příspěvek.</w:t>
      </w:r>
    </w:p>
    <w:p w14:paraId="625C0A2F" w14:textId="77777777" w:rsidR="00EC1C40" w:rsidRDefault="00000000">
      <w:pPr>
        <w:pStyle w:val="Zkladntext1"/>
        <w:framePr w:w="9682" w:h="13363" w:hRule="exact" w:wrap="none" w:vAnchor="page" w:hAnchor="page" w:x="1260" w:y="1551"/>
        <w:spacing w:after="0"/>
        <w:ind w:firstLine="500"/>
        <w:jc w:val="both"/>
      </w:pPr>
      <w:r>
        <w:t>Vzor Smlouvy o investičním příspěvku je nedílnou součástí těchto Zásad.</w:t>
      </w:r>
    </w:p>
    <w:p w14:paraId="7FFFA541" w14:textId="77777777" w:rsidR="00EC1C40" w:rsidRDefault="00000000">
      <w:pPr>
        <w:pStyle w:val="Zhlavnebozpat0"/>
        <w:framePr w:wrap="none" w:vAnchor="page" w:hAnchor="page" w:x="6017" w:y="15860"/>
        <w:rPr>
          <w:sz w:val="22"/>
          <w:szCs w:val="22"/>
        </w:rPr>
      </w:pPr>
      <w:r>
        <w:rPr>
          <w:color w:val="231E20"/>
          <w:sz w:val="22"/>
          <w:szCs w:val="22"/>
        </w:rPr>
        <w:t>4</w:t>
      </w:r>
    </w:p>
    <w:p w14:paraId="0D73BC4E"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2C0BC265" w14:textId="77777777" w:rsidR="00EC1C40" w:rsidRDefault="00EC1C40">
      <w:pPr>
        <w:spacing w:line="1" w:lineRule="exact"/>
      </w:pPr>
    </w:p>
    <w:p w14:paraId="5A2D7029" w14:textId="77777777" w:rsidR="00EC1C40" w:rsidRDefault="00000000">
      <w:pPr>
        <w:pStyle w:val="Zkladntext1"/>
        <w:framePr w:w="9672" w:h="13901" w:hRule="exact" w:wrap="none" w:vAnchor="page" w:hAnchor="page" w:x="1265" w:y="1551"/>
        <w:numPr>
          <w:ilvl w:val="0"/>
          <w:numId w:val="42"/>
        </w:numPr>
        <w:tabs>
          <w:tab w:val="left" w:pos="571"/>
        </w:tabs>
        <w:spacing w:after="120"/>
        <w:ind w:left="500" w:hanging="500"/>
        <w:jc w:val="both"/>
      </w:pPr>
      <w:r>
        <w:rPr>
          <w:b/>
          <w:bCs/>
        </w:rPr>
        <w:t xml:space="preserve">Splatností investičního příspěvku </w:t>
      </w:r>
      <w:r>
        <w:t>se rozumí lhůta do konce třetího měsíce následujícího po kalendářním měsíci, v němž nabude právní moci stavební povolení nebo společné povolení Investičního záměru, nabude účinnosti veřejnoprávní smlouva o provedení stavby Investičního záměru, nabude právních účinků souhlas s provedením ohlášeného Investičního záměru nebo Investorovi vznikne právo provést Investiční záměr na základě oznámení stavebního záměru s certifikátem autorizovaného inspektora.</w:t>
      </w:r>
    </w:p>
    <w:p w14:paraId="1C34BC13" w14:textId="77777777" w:rsidR="00EC1C40" w:rsidRDefault="00000000">
      <w:pPr>
        <w:pStyle w:val="Zkladntext1"/>
        <w:framePr w:w="9672" w:h="13901" w:hRule="exact" w:wrap="none" w:vAnchor="page" w:hAnchor="page" w:x="1265" w:y="1551"/>
        <w:spacing w:after="240"/>
        <w:ind w:left="500"/>
        <w:jc w:val="both"/>
      </w:pPr>
      <w:r>
        <w:t>V odůvodněných případech může statutární město Pardubice s Investorem dohodnout jinou lhůtu splatnosti Investičního příspěvku, obvykle v případě, že bude sjednáno poskytnutí Nepeněžního plnění. Splatnost Kompenzační zálohy dle čl. I. odst. 17 těchto Zásad tímto ustanovením není dotčena.</w:t>
      </w:r>
    </w:p>
    <w:p w14:paraId="2E1FDCF3" w14:textId="77777777" w:rsidR="00EC1C40" w:rsidRDefault="00000000">
      <w:pPr>
        <w:pStyle w:val="Zkladntext1"/>
        <w:framePr w:w="9672" w:h="13901" w:hRule="exact" w:wrap="none" w:vAnchor="page" w:hAnchor="page" w:x="1265" w:y="1551"/>
        <w:numPr>
          <w:ilvl w:val="0"/>
          <w:numId w:val="42"/>
        </w:numPr>
        <w:tabs>
          <w:tab w:val="left" w:pos="571"/>
        </w:tabs>
        <w:spacing w:after="240"/>
        <w:ind w:left="500" w:hanging="500"/>
        <w:jc w:val="both"/>
      </w:pPr>
      <w:r>
        <w:rPr>
          <w:b/>
          <w:bCs/>
        </w:rPr>
        <w:t xml:space="preserve">Hrubou podlažní plochou </w:t>
      </w:r>
      <w:r>
        <w:t>(„</w:t>
      </w:r>
      <w:r>
        <w:rPr>
          <w:b/>
          <w:bCs/>
        </w:rPr>
        <w:t>HPP</w:t>
      </w:r>
      <w:r>
        <w:t>“) se rozumí součet ploch vymezených vnějším obrysem konstrukcí jednotlivých podlaží budovy kromě otevřených a částečně otevřených částí (balkony, lodžie, průchody, střešní terasy apod.). V podlažích se šikmými stěnami či šikmým stropem se započítává vnější obrys konstrukcí v úrovni 1,2 m nad úrovní podlahy. Do výpočtu HPP se nezapočítávají plochy technických a pomocných prostor a objektů technické infrastruktury. Do výpočtu HPP se pro účely stanovení Investičního příspěvku naopak započítává plocha sklepů a dále plocha garáží, pokud je jejich užívání zpoplatněno (ev. pokud neslouží veřejnosti), a povrchového parkoviště, pokud je stání na něm zpoplatněno (ev. pokud neslouží veřejnosti), které je součástí Investičního záměru.</w:t>
      </w:r>
    </w:p>
    <w:p w14:paraId="176C2B06" w14:textId="77777777" w:rsidR="00EC1C40" w:rsidRDefault="00000000">
      <w:pPr>
        <w:pStyle w:val="Zkladntext1"/>
        <w:framePr w:w="9672" w:h="13901" w:hRule="exact" w:wrap="none" w:vAnchor="page" w:hAnchor="page" w:x="1265" w:y="1551"/>
        <w:numPr>
          <w:ilvl w:val="0"/>
          <w:numId w:val="42"/>
        </w:numPr>
        <w:tabs>
          <w:tab w:val="left" w:pos="571"/>
        </w:tabs>
        <w:spacing w:after="240"/>
        <w:ind w:left="500" w:hanging="500"/>
        <w:jc w:val="both"/>
      </w:pPr>
      <w:r>
        <w:rPr>
          <w:b/>
          <w:bCs/>
        </w:rPr>
        <w:t xml:space="preserve">Využitelnou plochou pozemku </w:t>
      </w:r>
      <w:r>
        <w:t>se ve vztahu k Investičnímu záměru uvedenému v čl. I odst. 2 písm. b) těchto Zásad rozumí plocha pozemku, kterou je možné dle regulativů územního plánu využít pro umístění jednotlivých staveb.</w:t>
      </w:r>
    </w:p>
    <w:p w14:paraId="2BBB495E" w14:textId="77777777" w:rsidR="00EC1C40" w:rsidRDefault="00000000">
      <w:pPr>
        <w:pStyle w:val="Zkladntext1"/>
        <w:framePr w:w="9672" w:h="13901" w:hRule="exact" w:wrap="none" w:vAnchor="page" w:hAnchor="page" w:x="1265" w:y="1551"/>
        <w:numPr>
          <w:ilvl w:val="0"/>
          <w:numId w:val="42"/>
        </w:numPr>
        <w:tabs>
          <w:tab w:val="left" w:pos="571"/>
        </w:tabs>
        <w:spacing w:after="240"/>
        <w:ind w:left="500" w:hanging="500"/>
        <w:jc w:val="both"/>
      </w:pPr>
      <w:r>
        <w:rPr>
          <w:b/>
          <w:bCs/>
        </w:rPr>
        <w:t xml:space="preserve">Dokumentací pro územní řízení </w:t>
      </w:r>
      <w:r>
        <w:t>(„</w:t>
      </w:r>
      <w:r>
        <w:rPr>
          <w:b/>
          <w:bCs/>
        </w:rPr>
        <w:t>DÚR</w:t>
      </w:r>
      <w:r>
        <w:t>“) se rozumí projektová dokumentace stavebního záměru, resp. jeho jednotlivých etap, jak je tato dokumentace definována v ustanovení § 86 odst. 2 písm. e) stavebního zákona a ve vyhlášce č. 499/2006 Sb., o dokumentaci staveb. V případě stavebního záměru, u něhož se namísto dokumentace pro vydání rozhodnutí o umístění stavby nebo zařízení pořizuje dokumentace pro vydání společného povolení, se pro účely těchto Zásad tato odlišná dokumentace považuje současně za DÚR a DSP.</w:t>
      </w:r>
    </w:p>
    <w:p w14:paraId="4AFA59DD" w14:textId="77777777" w:rsidR="00EC1C40" w:rsidRDefault="00000000">
      <w:pPr>
        <w:pStyle w:val="Zkladntext1"/>
        <w:framePr w:w="9672" w:h="13901" w:hRule="exact" w:wrap="none" w:vAnchor="page" w:hAnchor="page" w:x="1265" w:y="1551"/>
        <w:numPr>
          <w:ilvl w:val="0"/>
          <w:numId w:val="42"/>
        </w:numPr>
        <w:tabs>
          <w:tab w:val="left" w:pos="571"/>
        </w:tabs>
        <w:spacing w:after="240"/>
        <w:ind w:left="500" w:hanging="500"/>
        <w:jc w:val="both"/>
      </w:pPr>
      <w:r>
        <w:rPr>
          <w:b/>
          <w:bCs/>
        </w:rPr>
        <w:t xml:space="preserve">Dokumentací pro stavební povolení nebo ohlášení stavby </w:t>
      </w:r>
      <w:r>
        <w:t>(„</w:t>
      </w:r>
      <w:r>
        <w:rPr>
          <w:b/>
          <w:bCs/>
        </w:rPr>
        <w:t>DSP</w:t>
      </w:r>
      <w:r>
        <w:t>“) se rozumí projektová dokumentace stavebního záměru pro vydání stavebního povolení nebo projektová dokumentace stavebního záměru pro ohlášení stavby, jak je definována ve vyhlášce č. 499/2006 Sb., o dokumentaci staveb.</w:t>
      </w:r>
    </w:p>
    <w:p w14:paraId="01564E67" w14:textId="77777777" w:rsidR="00EC1C40" w:rsidRDefault="00000000">
      <w:pPr>
        <w:pStyle w:val="Zkladntext1"/>
        <w:framePr w:w="9672" w:h="13901" w:hRule="exact" w:wrap="none" w:vAnchor="page" w:hAnchor="page" w:x="1265" w:y="1551"/>
        <w:numPr>
          <w:ilvl w:val="0"/>
          <w:numId w:val="42"/>
        </w:numPr>
        <w:tabs>
          <w:tab w:val="left" w:pos="571"/>
        </w:tabs>
        <w:spacing w:after="240"/>
        <w:ind w:left="500" w:hanging="500"/>
        <w:jc w:val="both"/>
      </w:pPr>
      <w:r>
        <w:rPr>
          <w:b/>
          <w:bCs/>
        </w:rPr>
        <w:t xml:space="preserve">Dokumentací skutečného provedení stavby </w:t>
      </w:r>
      <w:r>
        <w:t>(„</w:t>
      </w:r>
      <w:r>
        <w:rPr>
          <w:b/>
          <w:bCs/>
        </w:rPr>
        <w:t>DSPS</w:t>
      </w:r>
      <w:r>
        <w:t>“) se rozumí projektová dokumentace stavebního záměru, resp. jeho jednotlivých etap, z níž vyplývá zachycení konečného stavu stavby stavebního záměru, resp. každé jeho jednotlivé etapy a jak je tato dokumentace definována v ustanovení § 125 stavebního zákona a ve vyhlášce č. 499/2006 Sb., o dokumentaci staveb.</w:t>
      </w:r>
    </w:p>
    <w:p w14:paraId="670A7419" w14:textId="77777777" w:rsidR="00EC1C40" w:rsidRDefault="00000000">
      <w:pPr>
        <w:pStyle w:val="Zkladntext1"/>
        <w:framePr w:w="9672" w:h="13901" w:hRule="exact" w:wrap="none" w:vAnchor="page" w:hAnchor="page" w:x="1265" w:y="1551"/>
        <w:numPr>
          <w:ilvl w:val="0"/>
          <w:numId w:val="42"/>
        </w:numPr>
        <w:tabs>
          <w:tab w:val="left" w:pos="571"/>
        </w:tabs>
        <w:spacing w:after="240"/>
        <w:ind w:left="500" w:hanging="500"/>
        <w:jc w:val="both"/>
      </w:pPr>
      <w:r>
        <w:rPr>
          <w:b/>
          <w:bCs/>
        </w:rPr>
        <w:t xml:space="preserve">Adaptačním opatřením </w:t>
      </w:r>
      <w:r>
        <w:t>se rozumí zvýšená investice Investora v rámci realizace jeho Investičního záměru do opatření využívajících např. obnovitelných zdrojů energie či využívajících dešťovou vodu, opatření v oblasti městské zeleně, a to nad rámec požadavků právních předpisů a platného územního plánu statutárního města Pardubice. Adaptační opatření mají za cíl snížit energetickou náročnost provozu Investičního záměru, rozvíjet plochy veřejné zeleně a vodních ploch, anebo snižovat spotřebu upravené pitné vody a adaptovat tak území statutárního města Pardubice na změnu klimatu. Konkrétní Adaptační opatření bude předmětem dohody mezi Investorem a statutárním městem Pardubice ve Smlouvě o spolupráci nebo Smlouvě o investičním příspěvku.</w:t>
      </w:r>
    </w:p>
    <w:p w14:paraId="1714C325" w14:textId="77777777" w:rsidR="00EC1C40" w:rsidRDefault="00000000">
      <w:pPr>
        <w:pStyle w:val="Zkladntext1"/>
        <w:framePr w:w="9672" w:h="13901" w:hRule="exact" w:wrap="none" w:vAnchor="page" w:hAnchor="page" w:x="1265" w:y="1551"/>
        <w:numPr>
          <w:ilvl w:val="0"/>
          <w:numId w:val="42"/>
        </w:numPr>
        <w:tabs>
          <w:tab w:val="left" w:pos="571"/>
        </w:tabs>
        <w:spacing w:after="0"/>
        <w:ind w:left="500" w:hanging="500"/>
        <w:jc w:val="both"/>
      </w:pPr>
      <w:r>
        <w:rPr>
          <w:b/>
          <w:bCs/>
        </w:rPr>
        <w:t xml:space="preserve">Kompenzační zálohou </w:t>
      </w:r>
      <w:r>
        <w:t>se rozumí peněžitá částka složená Investorem do Programu veřejné infrastruktury, jakožto záloha na Investiční příspěvek, pokud si ji smluvní strany sjednají ve Smlouvě o spolupráci či ve Smlouvě o investičním příspěvku (obvykle v případě rozsáhlých investičních záměrů). Kompenzační záloha bude v případě splnění závazků Investora započítána na Investiční příspěvek.</w:t>
      </w:r>
    </w:p>
    <w:p w14:paraId="128F1C24" w14:textId="77777777" w:rsidR="00EC1C40" w:rsidRDefault="00000000">
      <w:pPr>
        <w:pStyle w:val="Zhlavnebozpat0"/>
        <w:framePr w:wrap="none" w:vAnchor="page" w:hAnchor="page" w:x="6017" w:y="15860"/>
        <w:rPr>
          <w:sz w:val="22"/>
          <w:szCs w:val="22"/>
        </w:rPr>
      </w:pPr>
      <w:r>
        <w:rPr>
          <w:color w:val="231E20"/>
          <w:sz w:val="22"/>
          <w:szCs w:val="22"/>
        </w:rPr>
        <w:t>5</w:t>
      </w:r>
    </w:p>
    <w:p w14:paraId="17373F50"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3D849650" w14:textId="77777777" w:rsidR="00EC1C40" w:rsidRDefault="00EC1C40">
      <w:pPr>
        <w:spacing w:line="1" w:lineRule="exact"/>
      </w:pPr>
    </w:p>
    <w:p w14:paraId="22874206" w14:textId="77777777" w:rsidR="00EC1C40" w:rsidRDefault="00000000">
      <w:pPr>
        <w:pStyle w:val="Zkladntext1"/>
        <w:framePr w:w="9677" w:h="5962" w:hRule="exact" w:wrap="none" w:vAnchor="page" w:hAnchor="page" w:x="1262" w:y="1551"/>
        <w:ind w:left="500"/>
        <w:jc w:val="both"/>
      </w:pPr>
      <w:r>
        <w:t>Statutární město Pardubice je oprávněno tuto Kompenzační zálohu využít na práce spojené s realizací Veřejné infrastruktury sjednané ve Smlouvě o spolupráci, nebo ve Smlouvě o investičním příspěvku, čímž se nesnižuje závazek Investora podílet se na vybudování nové a/nebo úpravách stávající veřejné dopravní či technické infrastruktury ve smyslu § 88 stavebního zákona. V případě, že Investor nebude realizovat svůj Investiční záměr, má nárok na vrácení této Kompenzační zálohy, avšak statutární město Pardubice má v tomto případě právo si ponechat část Kompenzační zálohy ve výši 10 % z celkové hodnoty Kompenzační zálohy jako paušální náhradu administrativních nákladů za práce spojené s vrácením Kompenzační zálohy. Současně, pokud již bude statutárním městem Pardubice z Kompenzační zálohy uskutečněno plnění (např. bude zpracována DÚR pro realizaci Veřejné infrastruktury), bude při vrácení Kompenzační zálohy tato výše vynaložených nákladů započítána jako neúročená.</w:t>
      </w:r>
    </w:p>
    <w:p w14:paraId="39FC942E" w14:textId="77777777" w:rsidR="00EC1C40" w:rsidRDefault="00000000">
      <w:pPr>
        <w:pStyle w:val="Zkladntext1"/>
        <w:framePr w:w="9677" w:h="5962" w:hRule="exact" w:wrap="none" w:vAnchor="page" w:hAnchor="page" w:x="1262" w:y="1551"/>
        <w:ind w:firstLine="500"/>
        <w:jc w:val="both"/>
      </w:pPr>
      <w:r>
        <w:t>Výše Kompenzační zálohy činí:</w:t>
      </w:r>
    </w:p>
    <w:p w14:paraId="29CD84CD" w14:textId="77777777" w:rsidR="00EC1C40" w:rsidRDefault="00000000">
      <w:pPr>
        <w:pStyle w:val="Zkladntext1"/>
        <w:framePr w:w="9677" w:h="5962" w:hRule="exact" w:wrap="none" w:vAnchor="page" w:hAnchor="page" w:x="1262" w:y="1551"/>
        <w:numPr>
          <w:ilvl w:val="0"/>
          <w:numId w:val="44"/>
        </w:numPr>
        <w:tabs>
          <w:tab w:val="left" w:pos="1440"/>
        </w:tabs>
        <w:ind w:left="1080"/>
        <w:jc w:val="both"/>
      </w:pPr>
      <w:r>
        <w:t>20 % z předpokládané výše Investičního příspěvku ve výši do 5 mil. Kč;</w:t>
      </w:r>
    </w:p>
    <w:p w14:paraId="4C6C6904" w14:textId="77777777" w:rsidR="00EC1C40" w:rsidRDefault="00000000">
      <w:pPr>
        <w:pStyle w:val="Zkladntext1"/>
        <w:framePr w:w="9677" w:h="5962" w:hRule="exact" w:wrap="none" w:vAnchor="page" w:hAnchor="page" w:x="1262" w:y="1551"/>
        <w:numPr>
          <w:ilvl w:val="0"/>
          <w:numId w:val="44"/>
        </w:numPr>
        <w:tabs>
          <w:tab w:val="left" w:pos="1440"/>
        </w:tabs>
        <w:ind w:left="1080"/>
        <w:jc w:val="both"/>
      </w:pPr>
      <w:r>
        <w:t>10 % z předpokládané výše Investičního příspěvku ve výši do 50 mil. Kč;</w:t>
      </w:r>
    </w:p>
    <w:p w14:paraId="76058F4C" w14:textId="77777777" w:rsidR="00EC1C40" w:rsidRDefault="00000000">
      <w:pPr>
        <w:pStyle w:val="Zkladntext1"/>
        <w:framePr w:w="9677" w:h="5962" w:hRule="exact" w:wrap="none" w:vAnchor="page" w:hAnchor="page" w:x="1262" w:y="1551"/>
        <w:numPr>
          <w:ilvl w:val="0"/>
          <w:numId w:val="44"/>
        </w:numPr>
        <w:tabs>
          <w:tab w:val="left" w:pos="1440"/>
        </w:tabs>
        <w:ind w:left="1080"/>
        <w:jc w:val="both"/>
      </w:pPr>
      <w:r>
        <w:t>5 % z předpokládané výše Investičního příspěvku ve výši nad 50 mil. Kč.</w:t>
      </w:r>
    </w:p>
    <w:p w14:paraId="4E575670" w14:textId="77777777" w:rsidR="00EC1C40" w:rsidRDefault="00000000">
      <w:pPr>
        <w:pStyle w:val="Zkladntext1"/>
        <w:framePr w:w="9677" w:h="5962" w:hRule="exact" w:wrap="none" w:vAnchor="page" w:hAnchor="page" w:x="1262" w:y="1551"/>
        <w:spacing w:after="220"/>
        <w:ind w:left="580"/>
        <w:jc w:val="both"/>
      </w:pPr>
      <w:r>
        <w:t>Investor poskytne statutárnímu městu Pardubice Kompenzační zálohu, která bude vypočtena z předpokládané výše Investičního příspěvku, ponížené o sjednané předpokládané Nepeněžní plnění.</w:t>
      </w:r>
    </w:p>
    <w:p w14:paraId="079BDC09" w14:textId="77777777" w:rsidR="00EC1C40" w:rsidRDefault="00000000">
      <w:pPr>
        <w:pStyle w:val="Zkladntext1"/>
        <w:framePr w:w="9677" w:h="5962" w:hRule="exact" w:wrap="none" w:vAnchor="page" w:hAnchor="page" w:x="1262" w:y="1551"/>
        <w:numPr>
          <w:ilvl w:val="0"/>
          <w:numId w:val="42"/>
        </w:numPr>
        <w:tabs>
          <w:tab w:val="left" w:pos="514"/>
        </w:tabs>
        <w:spacing w:after="0"/>
        <w:ind w:left="580" w:hanging="580"/>
        <w:jc w:val="both"/>
      </w:pPr>
      <w:r>
        <w:rPr>
          <w:b/>
          <w:bCs/>
        </w:rPr>
        <w:t xml:space="preserve">Programem veřejné infrastruktury </w:t>
      </w:r>
      <w:r>
        <w:t>se rozumí výdajová položka rozpočtu zřízená pro účely financování rozvoje infastruktury statutárního města Pardubice ze zdrojů investorů.</w:t>
      </w:r>
    </w:p>
    <w:p w14:paraId="0154F47A" w14:textId="77777777" w:rsidR="00EC1C40" w:rsidRDefault="00000000">
      <w:pPr>
        <w:pStyle w:val="Nadpis50"/>
        <w:framePr w:w="9677" w:h="7301" w:hRule="exact" w:wrap="none" w:vAnchor="page" w:hAnchor="page" w:x="1262" w:y="8237"/>
        <w:spacing w:after="220"/>
      </w:pPr>
      <w:bookmarkStart w:id="98" w:name="bookmark197"/>
      <w:r>
        <w:t>II. Postup při uzavíraní Smlouvy o spolupráci nebo Smlouvy o investičním</w:t>
      </w:r>
      <w:r>
        <w:br/>
        <w:t>příspěvku</w:t>
      </w:r>
      <w:bookmarkEnd w:id="98"/>
    </w:p>
    <w:p w14:paraId="3333B06E" w14:textId="77777777" w:rsidR="00EC1C40" w:rsidRDefault="00000000">
      <w:pPr>
        <w:pStyle w:val="Zkladntext1"/>
        <w:framePr w:w="9677" w:h="7301" w:hRule="exact" w:wrap="none" w:vAnchor="page" w:hAnchor="page" w:x="1262" w:y="8237"/>
        <w:numPr>
          <w:ilvl w:val="0"/>
          <w:numId w:val="45"/>
        </w:numPr>
        <w:tabs>
          <w:tab w:val="left" w:pos="514"/>
        </w:tabs>
        <w:ind w:left="500" w:hanging="360"/>
        <w:jc w:val="both"/>
      </w:pPr>
      <w:r>
        <w:t>Investor oznámí úmysl realizovat svůj Investiční záměr statutárnímu městu Pardubice a osloví koordinátora Odboru hlavního architekta („</w:t>
      </w:r>
      <w:r>
        <w:rPr>
          <w:b/>
          <w:bCs/>
        </w:rPr>
        <w:t>Koordinátor</w:t>
      </w:r>
      <w:r>
        <w:t>“) coby příslušného odboru Magistrátu statutárního města Pardubice („</w:t>
      </w:r>
      <w:r>
        <w:rPr>
          <w:b/>
          <w:bCs/>
        </w:rPr>
        <w:t>Magistrát</w:t>
      </w:r>
      <w:r>
        <w:t>“).</w:t>
      </w:r>
    </w:p>
    <w:p w14:paraId="61044A12" w14:textId="77777777" w:rsidR="00EC1C40" w:rsidRDefault="00000000">
      <w:pPr>
        <w:pStyle w:val="Zkladntext1"/>
        <w:framePr w:w="9677" w:h="7301" w:hRule="exact" w:wrap="none" w:vAnchor="page" w:hAnchor="page" w:x="1262" w:y="8237"/>
        <w:ind w:left="500"/>
        <w:jc w:val="both"/>
      </w:pPr>
      <w:r>
        <w:t>Alternativně k výše uvedenému postupu, pokud se statutární město Pardubice nebo dotčený MO dozví o podání Investora vedoucímu k umístění či povolení Investičního záměru, v takovém případě statutární město Pardubice nebo dotčený MO informuje Investora průvodním dopisem o Zásadách.</w:t>
      </w:r>
    </w:p>
    <w:p w14:paraId="7C9A7F45" w14:textId="77777777" w:rsidR="00EC1C40" w:rsidRDefault="00000000">
      <w:pPr>
        <w:pStyle w:val="Zkladntext1"/>
        <w:framePr w:w="9677" w:h="7301" w:hRule="exact" w:wrap="none" w:vAnchor="page" w:hAnchor="page" w:x="1262" w:y="8237"/>
        <w:ind w:left="500"/>
        <w:jc w:val="both"/>
      </w:pPr>
      <w:r>
        <w:t>Koordinátor vede další jednání s Investorem a koordinuje svůj postup s Pracovní skupinou. Další postup podle těchto Zásad bude stejný pro oba uvedené případy.</w:t>
      </w:r>
    </w:p>
    <w:p w14:paraId="4E1183C9" w14:textId="77777777" w:rsidR="00EC1C40" w:rsidRDefault="00000000">
      <w:pPr>
        <w:pStyle w:val="Zkladntext1"/>
        <w:framePr w:w="9677" w:h="7301" w:hRule="exact" w:wrap="none" w:vAnchor="page" w:hAnchor="page" w:x="1262" w:y="8237"/>
        <w:numPr>
          <w:ilvl w:val="0"/>
          <w:numId w:val="45"/>
        </w:numPr>
        <w:tabs>
          <w:tab w:val="left" w:pos="514"/>
        </w:tabs>
        <w:ind w:left="500" w:hanging="360"/>
        <w:jc w:val="both"/>
      </w:pPr>
      <w:r>
        <w:t>Investor předloží Koordinátorovi předběžnou verzi projektové dokumentace, čímž se rozumí např. studie stavby (architektonická studie), která předchází DÚR a ze které je zřejmý koncept a dispozice záměru, jeho tvar, materiálové, provozní, technické a technologické řešení.</w:t>
      </w:r>
    </w:p>
    <w:p w14:paraId="10F98A78" w14:textId="77777777" w:rsidR="00EC1C40" w:rsidRDefault="00000000">
      <w:pPr>
        <w:pStyle w:val="Zkladntext1"/>
        <w:framePr w:w="9677" w:h="7301" w:hRule="exact" w:wrap="none" w:vAnchor="page" w:hAnchor="page" w:x="1262" w:y="8237"/>
        <w:numPr>
          <w:ilvl w:val="0"/>
          <w:numId w:val="45"/>
        </w:numPr>
        <w:tabs>
          <w:tab w:val="left" w:pos="514"/>
        </w:tabs>
        <w:spacing w:after="220"/>
        <w:ind w:left="500" w:hanging="360"/>
        <w:jc w:val="both"/>
      </w:pPr>
      <w:r>
        <w:t>Koordinátor následně svolá Pracovní skupinu jmenovanou Radou statutárního města Pardubice, který se skládá ze zástupců Odboru majetku a investic, Odboru školství, kultury a sportu, Odboru životního prostředí, Odboru rozvoje a strategie, Odboru dopravy, Komise pro architekturu a Odboru hlavního architekta a ze zástupce statutárního města Pardubice, dále pak ze zástupce dotčeného MO jmenovaného Radou dotčeného MO („</w:t>
      </w:r>
      <w:r>
        <w:rPr>
          <w:b/>
          <w:bCs/>
        </w:rPr>
        <w:t>Pracovní skupina</w:t>
      </w:r>
      <w:r>
        <w:t>“). Jednání Pracovní skupiny se zúčastní též zástupce Investora, jehož Investiční záměr je předmětem jednání. Účelem tohoto jednání je seznámit Investora se základními požadavky statutárního města Pardubice, dotčeného MO a dalších dotčených subjektů, zejména s požadavky týkajícími se kapacit Veřejné infrastruktury a jejího umístění.</w:t>
      </w:r>
    </w:p>
    <w:p w14:paraId="5041C5E8" w14:textId="77777777" w:rsidR="00EC1C40" w:rsidRDefault="00000000">
      <w:pPr>
        <w:pStyle w:val="Zkladntext1"/>
        <w:framePr w:w="9677" w:h="7301" w:hRule="exact" w:wrap="none" w:vAnchor="page" w:hAnchor="page" w:x="1262" w:y="8237"/>
        <w:numPr>
          <w:ilvl w:val="0"/>
          <w:numId w:val="45"/>
        </w:numPr>
        <w:tabs>
          <w:tab w:val="left" w:pos="514"/>
        </w:tabs>
        <w:spacing w:after="0"/>
        <w:ind w:left="500" w:hanging="360"/>
        <w:jc w:val="both"/>
      </w:pPr>
      <w:r>
        <w:t>Na základě výše uvedeného jednání Pracovní skupiny zpracuje Investor DÚR a požádá příslušné orgány samosprávy a provozovatele veřejné infrastruktury o stanovisko nebo vyjádření. Cílem je získat veškerá</w:t>
      </w:r>
    </w:p>
    <w:p w14:paraId="0652247C" w14:textId="77777777" w:rsidR="00EC1C40" w:rsidRDefault="00000000">
      <w:pPr>
        <w:pStyle w:val="Zhlavnebozpat0"/>
        <w:framePr w:wrap="none" w:vAnchor="page" w:hAnchor="page" w:x="6019" w:y="15860"/>
        <w:rPr>
          <w:sz w:val="22"/>
          <w:szCs w:val="22"/>
        </w:rPr>
      </w:pPr>
      <w:r>
        <w:rPr>
          <w:color w:val="231E20"/>
          <w:sz w:val="22"/>
          <w:szCs w:val="22"/>
        </w:rPr>
        <w:t>6</w:t>
      </w:r>
    </w:p>
    <w:p w14:paraId="184E5C4D"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1137B2BE" w14:textId="77777777" w:rsidR="00EC1C40" w:rsidRDefault="00EC1C40">
      <w:pPr>
        <w:spacing w:line="1" w:lineRule="exact"/>
      </w:pPr>
    </w:p>
    <w:p w14:paraId="20D0E26A" w14:textId="77777777" w:rsidR="00EC1C40" w:rsidRDefault="00000000">
      <w:pPr>
        <w:pStyle w:val="Zkladntext1"/>
        <w:framePr w:w="9677" w:h="3989" w:hRule="exact" w:wrap="none" w:vAnchor="page" w:hAnchor="page" w:x="1262" w:y="1551"/>
        <w:spacing w:after="240"/>
        <w:ind w:left="500"/>
        <w:jc w:val="both"/>
      </w:pPr>
      <w:r>
        <w:t>stanoviska a vyjádření od příslušných odborů Magistrátu, příslušného MO i vlastníků (provozovatelů) veřejné infrastruktury (společnosti Vodovody a kanalizace Pardubice, a.s., Dopravního podniku města Pardubice a.s.), ev. Služeb města Pardubic a.s., která pak umožní Investorovi upravit Investiční záměr tak, aby stanoviskům a vyjádřením vyhověl.</w:t>
      </w:r>
    </w:p>
    <w:p w14:paraId="088AC99D" w14:textId="77777777" w:rsidR="00EC1C40" w:rsidRDefault="00000000">
      <w:pPr>
        <w:pStyle w:val="Zkladntext1"/>
        <w:framePr w:w="9677" w:h="3989" w:hRule="exact" w:wrap="none" w:vAnchor="page" w:hAnchor="page" w:x="1262" w:y="1551"/>
        <w:numPr>
          <w:ilvl w:val="0"/>
          <w:numId w:val="45"/>
        </w:numPr>
        <w:tabs>
          <w:tab w:val="left" w:pos="516"/>
        </w:tabs>
        <w:ind w:left="500" w:hanging="360"/>
        <w:jc w:val="both"/>
      </w:pPr>
      <w:r>
        <w:t>Upravenou verzi DÚR se zapracovanými požadavky Pracovní skupiny, příslušných provozovatelů a správců veřejné dopravní a technické infrastruktury předloží Investor Koordinátorovi. Koordinátor následně iniciuje jednání, na kterém budou konkretizovány závazky Investora, závazky statutárního města Pardubice a případné závazky dotčeného MO podle Smlouvy o spolupráci nebo Smlouvy o investičním příspěvku.</w:t>
      </w:r>
    </w:p>
    <w:p w14:paraId="4F653BFD" w14:textId="77777777" w:rsidR="00EC1C40" w:rsidRDefault="00000000">
      <w:pPr>
        <w:pStyle w:val="Zkladntext1"/>
        <w:framePr w:w="9677" w:h="3989" w:hRule="exact" w:wrap="none" w:vAnchor="page" w:hAnchor="page" w:x="1262" w:y="1551"/>
        <w:numPr>
          <w:ilvl w:val="0"/>
          <w:numId w:val="45"/>
        </w:numPr>
        <w:tabs>
          <w:tab w:val="left" w:pos="516"/>
        </w:tabs>
        <w:ind w:left="500" w:hanging="360"/>
        <w:jc w:val="both"/>
      </w:pPr>
      <w:r>
        <w:t>Konečné znění konkrétního návrhu Smlouvy o spolupráci nebo Smlouvy o Investičním příspěvku, sjednané s Investorem, schvaluje Zastupitelstvo statutárního města Pardubice.</w:t>
      </w:r>
    </w:p>
    <w:p w14:paraId="79BB3C56" w14:textId="77777777" w:rsidR="00EC1C40" w:rsidRDefault="00000000">
      <w:pPr>
        <w:pStyle w:val="Zkladntext1"/>
        <w:framePr w:w="9677" w:h="3989" w:hRule="exact" w:wrap="none" w:vAnchor="page" w:hAnchor="page" w:x="1262" w:y="1551"/>
        <w:numPr>
          <w:ilvl w:val="0"/>
          <w:numId w:val="45"/>
        </w:numPr>
        <w:tabs>
          <w:tab w:val="left" w:pos="516"/>
        </w:tabs>
        <w:spacing w:after="0"/>
        <w:ind w:left="500" w:hanging="360"/>
        <w:jc w:val="both"/>
      </w:pPr>
      <w:r>
        <w:t>Smlouva o spolupráci nebo Smlouva o Investičním příspěvku je smluvními stranami uzavírána dobrovolně.</w:t>
      </w:r>
    </w:p>
    <w:p w14:paraId="1F06B0DF" w14:textId="77777777" w:rsidR="00EC1C40" w:rsidRDefault="00000000">
      <w:pPr>
        <w:pStyle w:val="Nadpis50"/>
        <w:framePr w:w="9677" w:h="7138" w:hRule="exact" w:wrap="none" w:vAnchor="page" w:hAnchor="page" w:x="1262" w:y="6144"/>
        <w:numPr>
          <w:ilvl w:val="0"/>
          <w:numId w:val="46"/>
        </w:numPr>
        <w:tabs>
          <w:tab w:val="left" w:pos="516"/>
        </w:tabs>
      </w:pPr>
      <w:bookmarkStart w:id="99" w:name="bookmark199"/>
      <w:r>
        <w:t>Investiční příspěvek</w:t>
      </w:r>
      <w:bookmarkEnd w:id="99"/>
    </w:p>
    <w:p w14:paraId="5EBC17C7" w14:textId="77777777" w:rsidR="00EC1C40" w:rsidRDefault="00000000">
      <w:pPr>
        <w:pStyle w:val="Zkladntext1"/>
        <w:framePr w:w="9677" w:h="7138" w:hRule="exact" w:wrap="none" w:vAnchor="page" w:hAnchor="page" w:x="1262" w:y="6144"/>
        <w:numPr>
          <w:ilvl w:val="0"/>
          <w:numId w:val="47"/>
        </w:numPr>
        <w:tabs>
          <w:tab w:val="left" w:pos="516"/>
        </w:tabs>
        <w:ind w:left="580" w:hanging="440"/>
        <w:jc w:val="both"/>
      </w:pPr>
      <w:r>
        <w:t>Investiční příspěvek poskytuje každý Investor, jehož Investiční záměr má být realizován na území statutárního města Pardubice, vyjma následujících Investičních záměrů:</w:t>
      </w:r>
    </w:p>
    <w:p w14:paraId="70E9130B" w14:textId="77777777" w:rsidR="00EC1C40" w:rsidRDefault="00000000">
      <w:pPr>
        <w:pStyle w:val="Zkladntext1"/>
        <w:framePr w:w="9677" w:h="7138" w:hRule="exact" w:wrap="none" w:vAnchor="page" w:hAnchor="page" w:x="1262" w:y="6144"/>
        <w:numPr>
          <w:ilvl w:val="0"/>
          <w:numId w:val="48"/>
        </w:numPr>
        <w:tabs>
          <w:tab w:val="left" w:pos="1440"/>
        </w:tabs>
        <w:ind w:left="1080"/>
        <w:jc w:val="both"/>
      </w:pPr>
      <w:r>
        <w:t>stavba rodinného domu;</w:t>
      </w:r>
    </w:p>
    <w:p w14:paraId="388C8076" w14:textId="77777777" w:rsidR="00EC1C40" w:rsidRDefault="00000000">
      <w:pPr>
        <w:pStyle w:val="Zkladntext1"/>
        <w:framePr w:w="9677" w:h="7138" w:hRule="exact" w:wrap="none" w:vAnchor="page" w:hAnchor="page" w:x="1262" w:y="6144"/>
        <w:numPr>
          <w:ilvl w:val="0"/>
          <w:numId w:val="48"/>
        </w:numPr>
        <w:tabs>
          <w:tab w:val="left" w:pos="1440"/>
        </w:tabs>
        <w:ind w:left="1080"/>
        <w:jc w:val="both"/>
      </w:pPr>
      <w:r>
        <w:t>stavba pro rodinnou rekreaci;</w:t>
      </w:r>
    </w:p>
    <w:p w14:paraId="01290543" w14:textId="77777777" w:rsidR="00EC1C40" w:rsidRDefault="00000000">
      <w:pPr>
        <w:pStyle w:val="Zkladntext1"/>
        <w:framePr w:w="9677" w:h="7138" w:hRule="exact" w:wrap="none" w:vAnchor="page" w:hAnchor="page" w:x="1262" w:y="6144"/>
        <w:numPr>
          <w:ilvl w:val="0"/>
          <w:numId w:val="48"/>
        </w:numPr>
        <w:tabs>
          <w:tab w:val="left" w:pos="1440"/>
        </w:tabs>
        <w:ind w:left="1440" w:hanging="360"/>
        <w:jc w:val="both"/>
      </w:pPr>
      <w:r>
        <w:t>změna dokončené stavby pro bydlení a/nebo pro rodinnou rekreaci, při které nevznikne žádná nebo maximálně jedna bytová jednotka;</w:t>
      </w:r>
    </w:p>
    <w:p w14:paraId="1DBB9F61" w14:textId="77777777" w:rsidR="00EC1C40" w:rsidRDefault="00000000">
      <w:pPr>
        <w:pStyle w:val="Zkladntext1"/>
        <w:framePr w:w="9677" w:h="7138" w:hRule="exact" w:wrap="none" w:vAnchor="page" w:hAnchor="page" w:x="1262" w:y="6144"/>
        <w:numPr>
          <w:ilvl w:val="0"/>
          <w:numId w:val="48"/>
        </w:numPr>
        <w:tabs>
          <w:tab w:val="left" w:pos="1440"/>
        </w:tabs>
        <w:spacing w:after="500"/>
        <w:ind w:left="1080"/>
        <w:jc w:val="both"/>
      </w:pPr>
      <w:r>
        <w:t>garáž, kancelář, dílna, drobná provozovna do 200 m</w:t>
      </w:r>
      <w:r>
        <w:rPr>
          <w:vertAlign w:val="superscript"/>
        </w:rPr>
        <w:t>2</w:t>
      </w:r>
      <w:r>
        <w:t xml:space="preserve"> HPP.</w:t>
      </w:r>
    </w:p>
    <w:p w14:paraId="41DDFD05" w14:textId="77777777" w:rsidR="00EC1C40" w:rsidRDefault="00000000">
      <w:pPr>
        <w:pStyle w:val="Zkladntext1"/>
        <w:framePr w:w="9677" w:h="7138" w:hRule="exact" w:wrap="none" w:vAnchor="page" w:hAnchor="page" w:x="1262" w:y="6144"/>
        <w:numPr>
          <w:ilvl w:val="0"/>
          <w:numId w:val="47"/>
        </w:numPr>
        <w:tabs>
          <w:tab w:val="left" w:pos="516"/>
        </w:tabs>
        <w:spacing w:after="240"/>
        <w:ind w:left="580" w:hanging="440"/>
        <w:jc w:val="both"/>
      </w:pPr>
      <w:r>
        <w:t>Právním titulem pro plnění částky Investičního příspěvku je závazek Investora vyjádřený ve Smlouvě o spolupráci anebo Smlouvě o investičním příspěvku, kterou spolu uzavřou Investor, statutární město Pardubice.</w:t>
      </w:r>
    </w:p>
    <w:p w14:paraId="7C40714E" w14:textId="77777777" w:rsidR="00EC1C40" w:rsidRDefault="00000000">
      <w:pPr>
        <w:pStyle w:val="Zkladntext1"/>
        <w:framePr w:w="9677" w:h="7138" w:hRule="exact" w:wrap="none" w:vAnchor="page" w:hAnchor="page" w:x="1262" w:y="6144"/>
        <w:numPr>
          <w:ilvl w:val="0"/>
          <w:numId w:val="47"/>
        </w:numPr>
        <w:tabs>
          <w:tab w:val="left" w:pos="516"/>
        </w:tabs>
        <w:spacing w:line="233" w:lineRule="auto"/>
        <w:ind w:left="580" w:hanging="440"/>
        <w:jc w:val="both"/>
      </w:pPr>
      <w:r>
        <w:t xml:space="preserve">Statutární město Pardubice stanovuje pro výpočet výše Investičního příspěvku částku </w:t>
      </w:r>
      <w:r>
        <w:rPr>
          <w:b/>
          <w:bCs/>
        </w:rPr>
        <w:t xml:space="preserve">800 Kč </w:t>
      </w:r>
      <w:r>
        <w:t>za m</w:t>
      </w:r>
      <w:r>
        <w:rPr>
          <w:vertAlign w:val="superscript"/>
        </w:rPr>
        <w:t xml:space="preserve">2 </w:t>
      </w:r>
      <w:r>
        <w:t>HPP.</w:t>
      </w:r>
    </w:p>
    <w:p w14:paraId="4F47C69B" w14:textId="77777777" w:rsidR="00EC1C40" w:rsidRDefault="00000000">
      <w:pPr>
        <w:pStyle w:val="Zkladntext1"/>
        <w:framePr w:w="9677" w:h="7138" w:hRule="exact" w:wrap="none" w:vAnchor="page" w:hAnchor="page" w:x="1262" w:y="6144"/>
        <w:spacing w:after="240"/>
        <w:ind w:left="580"/>
        <w:jc w:val="both"/>
      </w:pPr>
      <w:r>
        <w:t>Částky pro výpočet výše Investičního příspěvku se každoročně valorizují o roční míru inflace, vyjádřenou přírůstkem průměrného ročního indexu cen průmyslových výrobců za uplynulý kalendářní rok, který je zveřejňován Českým statistickým úřadem. Ve Smlouvě o investičním příspěvku nebo ve Smlouvě o spolupráci bude sjednána ve vztahu k Investičnímu příspěvku inflační doložka.</w:t>
      </w:r>
    </w:p>
    <w:p w14:paraId="0F9AF929" w14:textId="77777777" w:rsidR="00EC1C40" w:rsidRDefault="00000000">
      <w:pPr>
        <w:pStyle w:val="Zkladntext1"/>
        <w:framePr w:w="9677" w:h="7138" w:hRule="exact" w:wrap="none" w:vAnchor="page" w:hAnchor="page" w:x="1262" w:y="6144"/>
        <w:numPr>
          <w:ilvl w:val="0"/>
          <w:numId w:val="47"/>
        </w:numPr>
        <w:tabs>
          <w:tab w:val="left" w:pos="516"/>
        </w:tabs>
        <w:spacing w:after="0"/>
        <w:ind w:left="580" w:hanging="440"/>
        <w:jc w:val="both"/>
      </w:pPr>
      <w:r>
        <w:t xml:space="preserve">Statutární město Pardubice v rámci rozvoje svého území a zajištění potřeb svých občanů podporuje vznik nových Veřejných služeb. Zastupitelstvo statutárního města Pardubice proto může rozhodnout o snížení výše Investičního příspěvku až o 100 % v případě Veřejných staveb. </w:t>
      </w:r>
      <w:r>
        <w:rPr>
          <w:vertAlign w:val="superscript"/>
        </w:rPr>
        <w:t>5</w:t>
      </w:r>
    </w:p>
    <w:p w14:paraId="47554CFF" w14:textId="77777777" w:rsidR="00EC1C40" w:rsidRDefault="00000000">
      <w:pPr>
        <w:pStyle w:val="Poznmkapodarou0"/>
        <w:framePr w:w="9547" w:h="1843" w:hRule="exact" w:wrap="none" w:vAnchor="page" w:hAnchor="page" w:x="1392" w:y="13594"/>
        <w:jc w:val="both"/>
      </w:pPr>
      <w:r>
        <w:t>5. V případě, že součástí Investičního záměru vyžadujícího uzavření Smlouvy o spolupráci nebo Smlouvy o investičním příspěvku bude Adaptační opatření, může Zastupitelstvo statutárního města Pardubice rozhodnout o poskytnutí slevy Investorovi až do výše 200 Kč z 1 m</w:t>
      </w:r>
      <w:r>
        <w:rPr>
          <w:vertAlign w:val="superscript"/>
        </w:rPr>
        <w:t>2</w:t>
      </w:r>
      <w:r>
        <w:t xml:space="preserve"> HPP Investičního záměru. Konkrétní výše této slevy musí zohledňovat poměr mezi parametry Investičního záměru (počtu m</w:t>
      </w:r>
      <w:r>
        <w:rPr>
          <w:vertAlign w:val="superscript"/>
        </w:rPr>
        <w:t>2</w:t>
      </w:r>
      <w:r>
        <w:t xml:space="preserve"> HPP Investičního záměru) a parametry Investorem vybudovaného Adaptačního opatření. Investor dokládá investici do Adaptačního opatření statutárnímu městu Pardubice informací v DSP Investičního záměru, zpracované odpovědnou osobou. Ověření realizace Adaptačního opatření dle dohodnutých parametrů</w:t>
      </w:r>
    </w:p>
    <w:p w14:paraId="2E77A7D5" w14:textId="77777777" w:rsidR="00EC1C40" w:rsidRDefault="00000000">
      <w:pPr>
        <w:pStyle w:val="Zhlavnebozpat0"/>
        <w:framePr w:wrap="none" w:vAnchor="page" w:hAnchor="page" w:x="6019" w:y="15860"/>
        <w:rPr>
          <w:sz w:val="22"/>
          <w:szCs w:val="22"/>
        </w:rPr>
      </w:pPr>
      <w:r>
        <w:rPr>
          <w:color w:val="231E20"/>
          <w:sz w:val="22"/>
          <w:szCs w:val="22"/>
        </w:rPr>
        <w:t>7</w:t>
      </w:r>
    </w:p>
    <w:p w14:paraId="3F6E5E03"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08196572" w14:textId="77777777" w:rsidR="00EC1C40" w:rsidRDefault="00EC1C40">
      <w:pPr>
        <w:spacing w:line="1" w:lineRule="exact"/>
      </w:pPr>
    </w:p>
    <w:p w14:paraId="51557D69" w14:textId="77777777" w:rsidR="00EC1C40" w:rsidRDefault="00000000">
      <w:pPr>
        <w:pStyle w:val="Zkladntext1"/>
        <w:framePr w:w="9677" w:h="11093" w:hRule="exact" w:wrap="none" w:vAnchor="page" w:hAnchor="page" w:x="1262" w:y="1551"/>
        <w:spacing w:after="220"/>
        <w:ind w:left="560" w:firstLine="20"/>
        <w:jc w:val="both"/>
      </w:pPr>
      <w:r>
        <w:t>proběhne při kolaudaci nebo po oznámení o užívání Investičního záměru. Po ověření realizace Adaptačního opatření bude Investorovi na jeho výzvu poskytnuta částka odpovídající slevě z konečné výše Investičního příspěvku.</w:t>
      </w:r>
    </w:p>
    <w:p w14:paraId="57B90B6C" w14:textId="77777777" w:rsidR="00EC1C40" w:rsidRDefault="00000000">
      <w:pPr>
        <w:pStyle w:val="Zkladntext1"/>
        <w:framePr w:w="9677" w:h="11093" w:hRule="exact" w:wrap="none" w:vAnchor="page" w:hAnchor="page" w:x="1262" w:y="1551"/>
        <w:numPr>
          <w:ilvl w:val="0"/>
          <w:numId w:val="49"/>
        </w:numPr>
        <w:tabs>
          <w:tab w:val="left" w:pos="622"/>
        </w:tabs>
        <w:spacing w:after="220"/>
        <w:ind w:left="560" w:hanging="420"/>
        <w:jc w:val="both"/>
      </w:pPr>
      <w:r>
        <w:t>Předpokládaná výše Investičního příspěvku je pro účely uzavření Smlouvy o spolupráci nebo Smlouvy o investičním příspěvku stanovena na částku odpovídající násobku počtu m</w:t>
      </w:r>
      <w:r>
        <w:rPr>
          <w:vertAlign w:val="superscript"/>
        </w:rPr>
        <w:t>2</w:t>
      </w:r>
      <w:r>
        <w:t xml:space="preserve"> HPP (všech objektů tvořících Investiční záměr) uvedených v DÚR a částky stanovené v čl. III. odst. 3 těchto Zásad. V případě změn dokončené stavby, při které vznikají nové bytové jednotky, je předpokládaná výše Investičního příspěvku stanovena pouze z počtu m</w:t>
      </w:r>
      <w:r>
        <w:rPr>
          <w:vertAlign w:val="superscript"/>
        </w:rPr>
        <w:t>2</w:t>
      </w:r>
      <w:r>
        <w:t xml:space="preserve"> HPP uvedených v DÚR, o které je navýšena HPP dokončené stavby, a částky stanovené v čl. III. odst. 3 těchto Zásad.</w:t>
      </w:r>
    </w:p>
    <w:p w14:paraId="70F805BF" w14:textId="77777777" w:rsidR="00EC1C40" w:rsidRDefault="00000000">
      <w:pPr>
        <w:pStyle w:val="Zkladntext1"/>
        <w:framePr w:w="9677" w:h="11093" w:hRule="exact" w:wrap="none" w:vAnchor="page" w:hAnchor="page" w:x="1262" w:y="1551"/>
        <w:numPr>
          <w:ilvl w:val="0"/>
          <w:numId w:val="49"/>
        </w:numPr>
        <w:tabs>
          <w:tab w:val="left" w:pos="622"/>
        </w:tabs>
        <w:ind w:left="560" w:hanging="340"/>
        <w:jc w:val="both"/>
      </w:pPr>
      <w:r>
        <w:t>Konečná výše Investičního příspěvku bude stanovena jako hodnota odpovídající násobku příslušného počtu m</w:t>
      </w:r>
      <w:r>
        <w:rPr>
          <w:vertAlign w:val="superscript"/>
        </w:rPr>
        <w:t>2</w:t>
      </w:r>
      <w:r>
        <w:t xml:space="preserve"> HPP (všech objektů tvořících Investiční záměr) dle DSP a částky stanovené v čl. III. odst. 3 těchto Zásad. Konečná výše Investičního příspěvku může být snížena postupem dle čl. III odst. 4 těchto Zásad.</w:t>
      </w:r>
    </w:p>
    <w:p w14:paraId="76017695" w14:textId="77777777" w:rsidR="00EC1C40" w:rsidRDefault="00000000">
      <w:pPr>
        <w:pStyle w:val="Zkladntext1"/>
        <w:framePr w:w="9677" w:h="11093" w:hRule="exact" w:wrap="none" w:vAnchor="page" w:hAnchor="page" w:x="1262" w:y="1551"/>
        <w:ind w:left="560" w:firstLine="20"/>
        <w:jc w:val="both"/>
      </w:pPr>
      <w:r>
        <w:t>V případě, že si smluvní strany Smlouvy o spolupráci nebo Smlouvy o investičním příspěvku sjednají jinou lhůtu splatnosti, než jaká je uvedená v čl. I odst. 12 věty první těchto Zásad, pak bude konečná výše Investičního příspěvku stanovena jako hodnota odpovídající násobku příslušného počtu m</w:t>
      </w:r>
      <w:r>
        <w:rPr>
          <w:vertAlign w:val="superscript"/>
        </w:rPr>
        <w:t>2</w:t>
      </w:r>
      <w:r>
        <w:t xml:space="preserve"> HPP (všech objektů tvořících Investiční záměr) dle DSPS a částky stanovené v čl. III. odst. 3 těchto Zásad.</w:t>
      </w:r>
    </w:p>
    <w:p w14:paraId="312F1842" w14:textId="77777777" w:rsidR="00EC1C40" w:rsidRDefault="00000000">
      <w:pPr>
        <w:pStyle w:val="Zkladntext1"/>
        <w:framePr w:w="9677" w:h="11093" w:hRule="exact" w:wrap="none" w:vAnchor="page" w:hAnchor="page" w:x="1262" w:y="1551"/>
        <w:ind w:left="560" w:firstLine="20"/>
        <w:jc w:val="both"/>
      </w:pPr>
      <w:r>
        <w:t>V případě, že pro Investiční záměr nebude vydávána DSP ani DSPS, bude konečná výše Investičního příspěvku totožná s předpokládanou výší Investičního příspěvku dle čl. III. odst. 6 těchto Zásad.</w:t>
      </w:r>
    </w:p>
    <w:p w14:paraId="76C265A1" w14:textId="77777777" w:rsidR="00EC1C40" w:rsidRDefault="00000000">
      <w:pPr>
        <w:pStyle w:val="Zkladntext1"/>
        <w:framePr w:w="9677" w:h="11093" w:hRule="exact" w:wrap="none" w:vAnchor="page" w:hAnchor="page" w:x="1262" w:y="1551"/>
        <w:spacing w:after="220"/>
        <w:ind w:left="560" w:firstLine="20"/>
        <w:jc w:val="both"/>
      </w:pPr>
      <w:r>
        <w:t>Pro vyloučení jakýchkoli pochybností platí, že případný rozdíl mezi předpokládanou a konečnou výší Investičního příspěvku jde výhradně k tíži Investora, vyjma případu, kdy tento rozdíl vznikne v důsledku postupu dle čl. III. odst. 4 či poskytnuté slevy dle čl. III. odst. 5 těchto Zásad.</w:t>
      </w:r>
    </w:p>
    <w:p w14:paraId="1AC1C089" w14:textId="77777777" w:rsidR="00EC1C40" w:rsidRDefault="00000000">
      <w:pPr>
        <w:pStyle w:val="Zkladntext1"/>
        <w:framePr w:w="9677" w:h="11093" w:hRule="exact" w:wrap="none" w:vAnchor="page" w:hAnchor="page" w:x="1262" w:y="1551"/>
        <w:numPr>
          <w:ilvl w:val="0"/>
          <w:numId w:val="49"/>
        </w:numPr>
        <w:tabs>
          <w:tab w:val="left" w:pos="622"/>
        </w:tabs>
        <w:ind w:left="560" w:hanging="340"/>
        <w:jc w:val="both"/>
      </w:pPr>
      <w:r>
        <w:t>V případě Investičních záměrů dle čl. I odst. 2 písm. b) těchto Zásad se výše Investičního příspěvku stanoví jako částka odpovídající násobku počtu m</w:t>
      </w:r>
      <w:r>
        <w:rPr>
          <w:vertAlign w:val="superscript"/>
        </w:rPr>
        <w:t>2</w:t>
      </w:r>
      <w:r>
        <w:t xml:space="preserve"> Využitelné plochy pozemku a částky stanovené v čl. III. těchto Zásad v Kč bez DPH.</w:t>
      </w:r>
    </w:p>
    <w:p w14:paraId="160402BE" w14:textId="77777777" w:rsidR="00EC1C40" w:rsidRDefault="00000000">
      <w:pPr>
        <w:pStyle w:val="Zkladntext1"/>
        <w:framePr w:w="9677" w:h="11093" w:hRule="exact" w:wrap="none" w:vAnchor="page" w:hAnchor="page" w:x="1262" w:y="1551"/>
        <w:spacing w:after="220"/>
        <w:ind w:left="560" w:firstLine="20"/>
        <w:jc w:val="both"/>
      </w:pPr>
      <w:r>
        <w:t>Pro vyloučení veškerých pochybností platí, že Investiční příspěvek u Investičních záměrů dle čl. I odst. 2 písm. b) těchto Zásad v sobě zahrnuje Investiční příspěvek za umístění Investičního záměru, který bude na dotčených pozemcích v budoucnu realizován</w:t>
      </w:r>
    </w:p>
    <w:p w14:paraId="32E9E4A1" w14:textId="77777777" w:rsidR="00EC1C40" w:rsidRDefault="00000000">
      <w:pPr>
        <w:pStyle w:val="Zkladntext1"/>
        <w:framePr w:w="9677" w:h="11093" w:hRule="exact" w:wrap="none" w:vAnchor="page" w:hAnchor="page" w:x="1262" w:y="1551"/>
        <w:numPr>
          <w:ilvl w:val="0"/>
          <w:numId w:val="49"/>
        </w:numPr>
        <w:tabs>
          <w:tab w:val="left" w:pos="622"/>
        </w:tabs>
        <w:spacing w:after="220"/>
        <w:ind w:left="560" w:hanging="340"/>
        <w:jc w:val="both"/>
      </w:pPr>
      <w:r>
        <w:t>Investiční příspěvek je určen zejména na kompenzaci zvýšených nároků na Veřejnou infrastrukturu a Veřejné služby přímo v lokalitě, na níž je Investiční záměr umístěn.</w:t>
      </w:r>
    </w:p>
    <w:p w14:paraId="51F4B167" w14:textId="77777777" w:rsidR="00EC1C40" w:rsidRDefault="00000000">
      <w:pPr>
        <w:pStyle w:val="Zkladntext1"/>
        <w:framePr w:w="9677" w:h="11093" w:hRule="exact" w:wrap="none" w:vAnchor="page" w:hAnchor="page" w:x="1262" w:y="1551"/>
        <w:numPr>
          <w:ilvl w:val="0"/>
          <w:numId w:val="49"/>
        </w:numPr>
        <w:tabs>
          <w:tab w:val="left" w:pos="622"/>
        </w:tabs>
        <w:spacing w:after="0"/>
        <w:ind w:left="560" w:hanging="340"/>
        <w:jc w:val="both"/>
      </w:pPr>
      <w:r>
        <w:t>Investor provede úhradu dle konečné výše Peněžního plnění Investičního příspěvku do Programu veřejné infrastruktury, a to ve lhůtě splatnosti dle čl. I odst. 12 těchto Zásad. V případě Nepeněžního plnění Investičního příspěvku poskytuje Investor toto Nepeněžní plnění až do výše odpovídající předpokládané výši Investičního příspěvku a ve lhůtě splatnosti dohodnuté se statutárním městem Pardubice dle čl. I odst. 12 těchto Zásad.</w:t>
      </w:r>
    </w:p>
    <w:p w14:paraId="3346B01C" w14:textId="77777777" w:rsidR="00EC1C40" w:rsidRDefault="00000000">
      <w:pPr>
        <w:pStyle w:val="Nadpis50"/>
        <w:framePr w:w="9677" w:h="1560" w:hRule="exact" w:wrap="none" w:vAnchor="page" w:hAnchor="page" w:x="1262" w:y="13368"/>
        <w:numPr>
          <w:ilvl w:val="0"/>
          <w:numId w:val="46"/>
        </w:numPr>
        <w:tabs>
          <w:tab w:val="left" w:pos="418"/>
        </w:tabs>
      </w:pPr>
      <w:bookmarkStart w:id="100" w:name="bookmark201"/>
      <w:r>
        <w:t>Závazky statutárního města Pardubice a dotčeného MO</w:t>
      </w:r>
      <w:bookmarkEnd w:id="100"/>
    </w:p>
    <w:p w14:paraId="39DEE708" w14:textId="77777777" w:rsidR="00EC1C40" w:rsidRDefault="00000000">
      <w:pPr>
        <w:pStyle w:val="Zkladntext1"/>
        <w:framePr w:w="9677" w:h="1560" w:hRule="exact" w:wrap="none" w:vAnchor="page" w:hAnchor="page" w:x="1262" w:y="13368"/>
        <w:numPr>
          <w:ilvl w:val="0"/>
          <w:numId w:val="50"/>
        </w:numPr>
        <w:tabs>
          <w:tab w:val="left" w:pos="622"/>
        </w:tabs>
        <w:spacing w:after="0"/>
        <w:ind w:left="560" w:hanging="340"/>
        <w:jc w:val="both"/>
      </w:pPr>
      <w:r>
        <w:t>Postup statutárního města Pardubice podle těchto Zásad a uzavření konkrétní Smlouvy o spolupráci nebo Smlouvy o investičním příspěvku mezi statutárním městem Pardubice, a Investorem je výkonem samostatné působnosti statutárního města Pardubice a nemůže tak zasahovat do správních řízení vedených Magistrátem v přenesené působnosti při výkonu státní správy.</w:t>
      </w:r>
    </w:p>
    <w:p w14:paraId="3751F4F9" w14:textId="77777777" w:rsidR="00EC1C40" w:rsidRDefault="00000000">
      <w:pPr>
        <w:pStyle w:val="Zhlavnebozpat0"/>
        <w:framePr w:wrap="none" w:vAnchor="page" w:hAnchor="page" w:x="6019" w:y="15860"/>
        <w:rPr>
          <w:sz w:val="22"/>
          <w:szCs w:val="22"/>
        </w:rPr>
      </w:pPr>
      <w:r>
        <w:rPr>
          <w:color w:val="231E20"/>
          <w:sz w:val="22"/>
          <w:szCs w:val="22"/>
        </w:rPr>
        <w:t>8</w:t>
      </w:r>
    </w:p>
    <w:p w14:paraId="5E2FD0D8"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6B6BC6E2" w14:textId="77777777" w:rsidR="00EC1C40" w:rsidRDefault="00EC1C40">
      <w:pPr>
        <w:spacing w:line="1" w:lineRule="exact"/>
      </w:pPr>
    </w:p>
    <w:p w14:paraId="20B9B2D5" w14:textId="77777777" w:rsidR="00EC1C40" w:rsidRDefault="00000000">
      <w:pPr>
        <w:pStyle w:val="Zkladntext1"/>
        <w:framePr w:w="9470" w:h="4795" w:hRule="exact" w:wrap="none" w:vAnchor="page" w:hAnchor="page" w:x="1365" w:y="1551"/>
        <w:numPr>
          <w:ilvl w:val="0"/>
          <w:numId w:val="50"/>
        </w:numPr>
        <w:tabs>
          <w:tab w:val="left" w:pos="351"/>
        </w:tabs>
        <w:ind w:left="360" w:hanging="360"/>
        <w:jc w:val="both"/>
      </w:pPr>
      <w:r>
        <w:t xml:space="preserve">Statutární město Pardubice se v konkrétní Smlouvě o spolupráci, resp. ve Smlouvě o investičním příspěvku, zaváže k tomu, že </w:t>
      </w:r>
      <w:r>
        <w:rPr>
          <w:b/>
          <w:bCs/>
        </w:rPr>
        <w:t xml:space="preserve">v rámci samostatné působnosti </w:t>
      </w:r>
      <w:r>
        <w:t>Investorovi poskytne nezbytnou součinnost k realizaci Investičního záměru, zejména:</w:t>
      </w:r>
    </w:p>
    <w:p w14:paraId="0F0E4A0F" w14:textId="77777777" w:rsidR="00EC1C40" w:rsidRDefault="00000000">
      <w:pPr>
        <w:pStyle w:val="Zkladntext1"/>
        <w:framePr w:w="9470" w:h="4795" w:hRule="exact" w:wrap="none" w:vAnchor="page" w:hAnchor="page" w:x="1365" w:y="1551"/>
        <w:numPr>
          <w:ilvl w:val="0"/>
          <w:numId w:val="51"/>
        </w:numPr>
        <w:tabs>
          <w:tab w:val="left" w:pos="1243"/>
        </w:tabs>
        <w:ind w:left="1240" w:hanging="360"/>
        <w:jc w:val="both"/>
      </w:pPr>
      <w:r>
        <w:t>poskytne v samostatné působnosti nezbytné souhlasy v navazujících správních řízeních nutných k vybudování Investičního záměru za podmínky, že Investor splní veškeré požadavky statutárního města Pardubice pro výstavbu;</w:t>
      </w:r>
    </w:p>
    <w:p w14:paraId="323BC92A" w14:textId="77777777" w:rsidR="00EC1C40" w:rsidRDefault="00000000">
      <w:pPr>
        <w:pStyle w:val="Zkladntext1"/>
        <w:framePr w:w="9470" w:h="4795" w:hRule="exact" w:wrap="none" w:vAnchor="page" w:hAnchor="page" w:x="1365" w:y="1551"/>
        <w:numPr>
          <w:ilvl w:val="0"/>
          <w:numId w:val="51"/>
        </w:numPr>
        <w:tabs>
          <w:tab w:val="left" w:pos="1243"/>
        </w:tabs>
        <w:ind w:left="1240" w:hanging="360"/>
        <w:jc w:val="both"/>
      </w:pPr>
      <w:r>
        <w:t>zachová vlastnické vztahy statutárního města Pardubice v území, ve kterém má být umístěn Investiční záměr, k datu uzavření Smlouvy o spolupráci nebo Smlouvy o investičním příspěvku;</w:t>
      </w:r>
    </w:p>
    <w:p w14:paraId="3AA10E13" w14:textId="77777777" w:rsidR="00EC1C40" w:rsidRDefault="00000000">
      <w:pPr>
        <w:pStyle w:val="Zkladntext1"/>
        <w:framePr w:w="9470" w:h="4795" w:hRule="exact" w:wrap="none" w:vAnchor="page" w:hAnchor="page" w:x="1365" w:y="1551"/>
        <w:numPr>
          <w:ilvl w:val="0"/>
          <w:numId w:val="51"/>
        </w:numPr>
        <w:tabs>
          <w:tab w:val="left" w:pos="1243"/>
        </w:tabs>
        <w:ind w:left="1240" w:hanging="360"/>
        <w:jc w:val="both"/>
      </w:pPr>
      <w:r>
        <w:t>zajistí využití Investičního příspěvku pro realizaci Veřejné infrastruktury v lokalitě a čase spjatém s Investičním záměrem (a v návaznosti na toto využití stanoví splatnost Investičního příspěvku);</w:t>
      </w:r>
    </w:p>
    <w:p w14:paraId="4FA5C31F" w14:textId="77777777" w:rsidR="00EC1C40" w:rsidRDefault="00000000">
      <w:pPr>
        <w:pStyle w:val="Zkladntext1"/>
        <w:framePr w:w="9470" w:h="4795" w:hRule="exact" w:wrap="none" w:vAnchor="page" w:hAnchor="page" w:x="1365" w:y="1551"/>
        <w:numPr>
          <w:ilvl w:val="0"/>
          <w:numId w:val="51"/>
        </w:numPr>
        <w:tabs>
          <w:tab w:val="left" w:pos="1243"/>
        </w:tabs>
        <w:spacing w:after="0"/>
        <w:ind w:left="1240" w:hanging="360"/>
        <w:jc w:val="both"/>
      </w:pPr>
      <w:r>
        <w:t>za podmínek uvedených ve Smlouvě o spolupráci nebo Smlouvě o investičním příspěvku převezme statutární město Pardubice do svého vlastnictví Nepeněžní plnění, nebo svěří do správy dotčeného MO nebo jiné právnické osoby Investorem vybudovanou Veřejnou infrastrukturu.</w:t>
      </w:r>
    </w:p>
    <w:p w14:paraId="253B5C66" w14:textId="77777777" w:rsidR="00EC1C40" w:rsidRDefault="00000000">
      <w:pPr>
        <w:pStyle w:val="Nadpis50"/>
        <w:framePr w:w="9470" w:h="5232" w:hRule="exact" w:wrap="none" w:vAnchor="page" w:hAnchor="page" w:x="1365" w:y="6960"/>
        <w:numPr>
          <w:ilvl w:val="0"/>
          <w:numId w:val="46"/>
        </w:numPr>
        <w:tabs>
          <w:tab w:val="left" w:pos="366"/>
        </w:tabs>
      </w:pPr>
      <w:bookmarkStart w:id="101" w:name="bookmark203"/>
      <w:r>
        <w:t>Závazky Investora</w:t>
      </w:r>
      <w:bookmarkEnd w:id="101"/>
    </w:p>
    <w:p w14:paraId="71546A40" w14:textId="77777777" w:rsidR="00EC1C40" w:rsidRDefault="00000000">
      <w:pPr>
        <w:pStyle w:val="Zkladntext1"/>
        <w:framePr w:w="9470" w:h="5232" w:hRule="exact" w:wrap="none" w:vAnchor="page" w:hAnchor="page" w:x="1365" w:y="6960"/>
        <w:numPr>
          <w:ilvl w:val="0"/>
          <w:numId w:val="52"/>
        </w:numPr>
        <w:tabs>
          <w:tab w:val="left" w:pos="351"/>
        </w:tabs>
        <w:ind w:left="360" w:hanging="360"/>
        <w:jc w:val="both"/>
      </w:pPr>
      <w:r>
        <w:t>Investor se v konkrétní Smlouvě o spolupráci či v konkrétní Smlouvě o investičním příspěvku může zavázat zejména k tomu, že:</w:t>
      </w:r>
    </w:p>
    <w:p w14:paraId="4E7D181A" w14:textId="77777777" w:rsidR="00EC1C40" w:rsidRDefault="00000000">
      <w:pPr>
        <w:pStyle w:val="Zkladntext1"/>
        <w:framePr w:w="9470" w:h="5232" w:hRule="exact" w:wrap="none" w:vAnchor="page" w:hAnchor="page" w:x="1365" w:y="6960"/>
        <w:numPr>
          <w:ilvl w:val="0"/>
          <w:numId w:val="53"/>
        </w:numPr>
        <w:tabs>
          <w:tab w:val="left" w:pos="1243"/>
        </w:tabs>
        <w:ind w:left="1240" w:hanging="360"/>
        <w:jc w:val="both"/>
      </w:pPr>
      <w:r>
        <w:t>Investiční záměr vybuduje v podobě konkretizované ve Smlouvě o spolupráci či Smlouvě o investičním příspěvku;</w:t>
      </w:r>
    </w:p>
    <w:p w14:paraId="30128B37" w14:textId="77777777" w:rsidR="00EC1C40" w:rsidRDefault="00000000">
      <w:pPr>
        <w:pStyle w:val="Zkladntext1"/>
        <w:framePr w:w="9470" w:h="5232" w:hRule="exact" w:wrap="none" w:vAnchor="page" w:hAnchor="page" w:x="1365" w:y="6960"/>
        <w:numPr>
          <w:ilvl w:val="0"/>
          <w:numId w:val="53"/>
        </w:numPr>
        <w:tabs>
          <w:tab w:val="left" w:pos="1243"/>
        </w:tabs>
        <w:ind w:left="1240" w:hanging="360"/>
        <w:jc w:val="both"/>
      </w:pPr>
      <w:r>
        <w:t>Investiční záměr vybuduje ve sjednaném harmonogramu, který je přílohou Smlouvy o spolupráci či Smlouvy o investičním příspěvku;</w:t>
      </w:r>
    </w:p>
    <w:p w14:paraId="52739ACA" w14:textId="77777777" w:rsidR="00EC1C40" w:rsidRDefault="00000000">
      <w:pPr>
        <w:pStyle w:val="Zkladntext1"/>
        <w:framePr w:w="9470" w:h="5232" w:hRule="exact" w:wrap="none" w:vAnchor="page" w:hAnchor="page" w:x="1365" w:y="6960"/>
        <w:numPr>
          <w:ilvl w:val="0"/>
          <w:numId w:val="53"/>
        </w:numPr>
        <w:tabs>
          <w:tab w:val="left" w:pos="1243"/>
        </w:tabs>
        <w:ind w:firstLine="840"/>
        <w:jc w:val="both"/>
      </w:pPr>
      <w:r>
        <w:t>poskytne statutárnímu městu Pardubice Investiční příspěvek dle těchto Zásad;</w:t>
      </w:r>
    </w:p>
    <w:p w14:paraId="3806211C" w14:textId="77777777" w:rsidR="00EC1C40" w:rsidRDefault="00000000">
      <w:pPr>
        <w:pStyle w:val="Zkladntext1"/>
        <w:framePr w:w="9470" w:h="5232" w:hRule="exact" w:wrap="none" w:vAnchor="page" w:hAnchor="page" w:x="1365" w:y="6960"/>
        <w:numPr>
          <w:ilvl w:val="0"/>
          <w:numId w:val="53"/>
        </w:numPr>
        <w:tabs>
          <w:tab w:val="left" w:pos="1243"/>
        </w:tabs>
        <w:ind w:left="1240" w:hanging="360"/>
        <w:jc w:val="both"/>
      </w:pPr>
      <w:r>
        <w:t>se bude finančně podílet na vybudování nové a/nebo úpravách stávající veřejné dopravní či technické infrastruktury ve smyslu § 88 stavebního zákona, nezbytné k umístění Investičního záměru za podmínek stanovených ve Smlouvě o spolupráci;</w:t>
      </w:r>
    </w:p>
    <w:p w14:paraId="5E30EDF6" w14:textId="77777777" w:rsidR="00EC1C40" w:rsidRDefault="00000000">
      <w:pPr>
        <w:pStyle w:val="Zkladntext1"/>
        <w:framePr w:w="9470" w:h="5232" w:hRule="exact" w:wrap="none" w:vAnchor="page" w:hAnchor="page" w:x="1365" w:y="6960"/>
        <w:numPr>
          <w:ilvl w:val="0"/>
          <w:numId w:val="53"/>
        </w:numPr>
        <w:tabs>
          <w:tab w:val="left" w:pos="1243"/>
        </w:tabs>
        <w:ind w:left="1240" w:hanging="360"/>
        <w:jc w:val="both"/>
      </w:pPr>
      <w:r>
        <w:t>za podmínek uvedených ve Smlouvě o spolupráci či Smlouvě o investičním příspěvku převede do vlastnictví statutárního města Pardubice nemovité věci včetně Investorem vybudované Veřejné infrastruktury</w:t>
      </w:r>
    </w:p>
    <w:p w14:paraId="1625D874" w14:textId="77777777" w:rsidR="00EC1C40" w:rsidRDefault="00000000">
      <w:pPr>
        <w:pStyle w:val="Zkladntext1"/>
        <w:framePr w:w="9470" w:h="5232" w:hRule="exact" w:wrap="none" w:vAnchor="page" w:hAnchor="page" w:x="1365" w:y="6960"/>
        <w:numPr>
          <w:ilvl w:val="0"/>
          <w:numId w:val="53"/>
        </w:numPr>
        <w:tabs>
          <w:tab w:val="left" w:pos="1243"/>
        </w:tabs>
        <w:spacing w:after="0"/>
        <w:ind w:left="1240" w:hanging="360"/>
        <w:jc w:val="both"/>
      </w:pPr>
      <w:r>
        <w:t>za podmínek uvedených ve Smlouvě o spolupráci či Smlouvě o investičním příspěvku vybuduje Investor Adaptační opatření.</w:t>
      </w:r>
    </w:p>
    <w:p w14:paraId="44ED84B3" w14:textId="77777777" w:rsidR="00EC1C40" w:rsidRDefault="00000000">
      <w:pPr>
        <w:pStyle w:val="Nadpis50"/>
        <w:framePr w:w="9470" w:h="2678" w:hRule="exact" w:wrap="none" w:vAnchor="page" w:hAnchor="page" w:x="1365" w:y="12802"/>
        <w:numPr>
          <w:ilvl w:val="0"/>
          <w:numId w:val="46"/>
        </w:numPr>
        <w:tabs>
          <w:tab w:val="left" w:pos="1323"/>
        </w:tabs>
        <w:ind w:left="3600" w:hanging="2720"/>
        <w:jc w:val="left"/>
      </w:pPr>
      <w:bookmarkStart w:id="102" w:name="bookmark205"/>
      <w:r>
        <w:t>Zajištění závazků obsažených ve Smlouvě o spolupráci a Smlouvě o investičním příspěvku</w:t>
      </w:r>
      <w:bookmarkEnd w:id="102"/>
    </w:p>
    <w:p w14:paraId="6708A775" w14:textId="77777777" w:rsidR="00EC1C40" w:rsidRDefault="00000000">
      <w:pPr>
        <w:pStyle w:val="Zkladntext1"/>
        <w:framePr w:w="9470" w:h="2678" w:hRule="exact" w:wrap="none" w:vAnchor="page" w:hAnchor="page" w:x="1365" w:y="12802"/>
        <w:numPr>
          <w:ilvl w:val="0"/>
          <w:numId w:val="54"/>
        </w:numPr>
        <w:tabs>
          <w:tab w:val="left" w:pos="351"/>
        </w:tabs>
        <w:spacing w:after="240"/>
        <w:ind w:left="360" w:hanging="360"/>
        <w:jc w:val="both"/>
      </w:pPr>
      <w:r>
        <w:t>Závazky Investora, i statutárního města Pardubice, obsažené v konkrétní Smlouvě o spolupráci nebo konkrétní Smlouvě o investičním příspěvku, musí být odpovídajícím způsobem zajištěny.</w:t>
      </w:r>
    </w:p>
    <w:p w14:paraId="520D2AF0" w14:textId="77777777" w:rsidR="00EC1C40" w:rsidRDefault="00000000">
      <w:pPr>
        <w:pStyle w:val="Zkladntext1"/>
        <w:framePr w:w="9470" w:h="2678" w:hRule="exact" w:wrap="none" w:vAnchor="page" w:hAnchor="page" w:x="1365" w:y="12802"/>
        <w:numPr>
          <w:ilvl w:val="0"/>
          <w:numId w:val="54"/>
        </w:numPr>
        <w:tabs>
          <w:tab w:val="left" w:pos="351"/>
        </w:tabs>
        <w:spacing w:after="0"/>
        <w:ind w:left="360" w:hanging="360"/>
        <w:jc w:val="both"/>
      </w:pPr>
      <w:r>
        <w:t>Smluvní strany Smlouvy o spolupráci anebo Smlouvy o investičním příspěvku mohou své smluvní závazky zajistit zejména smluvní pokutou ve smyslu § 2048 Občanského zákoníku nebo vymezením odkládací podmínky podmiňující plnění závazku Investora, či statutárního města Pardubice určitou právní skutečností.</w:t>
      </w:r>
    </w:p>
    <w:p w14:paraId="5E35278E" w14:textId="77777777" w:rsidR="00EC1C40" w:rsidRDefault="00000000">
      <w:pPr>
        <w:pStyle w:val="Zhlavnebozpat0"/>
        <w:framePr w:wrap="none" w:vAnchor="page" w:hAnchor="page" w:x="5916" w:y="15860"/>
        <w:rPr>
          <w:sz w:val="22"/>
          <w:szCs w:val="22"/>
        </w:rPr>
      </w:pPr>
      <w:r>
        <w:rPr>
          <w:color w:val="231E20"/>
          <w:sz w:val="22"/>
          <w:szCs w:val="22"/>
        </w:rPr>
        <w:t>9</w:t>
      </w:r>
    </w:p>
    <w:p w14:paraId="383B61C8"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5922FE69" w14:textId="77777777" w:rsidR="00EC1C40" w:rsidRDefault="00EC1C40">
      <w:pPr>
        <w:spacing w:line="1" w:lineRule="exact"/>
      </w:pPr>
    </w:p>
    <w:p w14:paraId="2E86EA4C" w14:textId="77777777" w:rsidR="00EC1C40" w:rsidRDefault="00000000">
      <w:pPr>
        <w:pStyle w:val="Nadpis50"/>
        <w:framePr w:w="9475" w:h="370" w:hRule="exact" w:wrap="none" w:vAnchor="page" w:hAnchor="page" w:x="1363" w:y="1911"/>
        <w:spacing w:after="0"/>
      </w:pPr>
      <w:bookmarkStart w:id="103" w:name="bookmark207"/>
      <w:r>
        <w:t>VII. Závěrečná ustanovení</w:t>
      </w:r>
      <w:bookmarkEnd w:id="103"/>
    </w:p>
    <w:p w14:paraId="08D72B85" w14:textId="77777777" w:rsidR="00EC1C40" w:rsidRDefault="00000000">
      <w:pPr>
        <w:pStyle w:val="Zkladntext1"/>
        <w:framePr w:w="9475" w:h="3936" w:hRule="exact" w:wrap="none" w:vAnchor="page" w:hAnchor="page" w:x="1363" w:y="2376"/>
        <w:numPr>
          <w:ilvl w:val="0"/>
          <w:numId w:val="55"/>
        </w:numPr>
        <w:tabs>
          <w:tab w:val="left" w:pos="346"/>
        </w:tabs>
        <w:spacing w:after="220"/>
        <w:ind w:left="380" w:hanging="380"/>
      </w:pPr>
      <w:r>
        <w:t>Zásady jsou podmíněny tím, že právní jednání na jejich základě budou souladné s právními předpisy, zejména zákonem č. 134/2016 Sb., o zadávání veřejných zakázek a zákonem č. 128/2000 Sb., o obcích, v platných zněních, či právními předpisy, které je nahradí, přičemž v případě jejich rozporu s právními předpisy se odpovídající část Zásad neuplatní a nemá účinky.</w:t>
      </w:r>
    </w:p>
    <w:p w14:paraId="41AD52DA" w14:textId="77777777" w:rsidR="00EC1C40" w:rsidRDefault="00000000">
      <w:pPr>
        <w:pStyle w:val="Zkladntext1"/>
        <w:framePr w:w="9475" w:h="3936" w:hRule="exact" w:wrap="none" w:vAnchor="page" w:hAnchor="page" w:x="1363" w:y="2376"/>
        <w:numPr>
          <w:ilvl w:val="0"/>
          <w:numId w:val="55"/>
        </w:numPr>
        <w:tabs>
          <w:tab w:val="left" w:pos="346"/>
        </w:tabs>
        <w:spacing w:after="220"/>
        <w:ind w:left="380" w:hanging="380"/>
      </w:pPr>
      <w:r>
        <w:t>Zásady neobsahují výčet konkrétních záměrů Veřejné infrastruktury či Veřejných služeb statutárního města Pardubice, na které hodlá statutární město Pardubice Investiční příspěvek použít.</w:t>
      </w:r>
    </w:p>
    <w:p w14:paraId="31503E40" w14:textId="77777777" w:rsidR="00EC1C40" w:rsidRDefault="00000000">
      <w:pPr>
        <w:pStyle w:val="Zkladntext1"/>
        <w:framePr w:w="9475" w:h="3936" w:hRule="exact" w:wrap="none" w:vAnchor="page" w:hAnchor="page" w:x="1363" w:y="2376"/>
        <w:numPr>
          <w:ilvl w:val="0"/>
          <w:numId w:val="55"/>
        </w:numPr>
        <w:tabs>
          <w:tab w:val="left" w:pos="346"/>
        </w:tabs>
        <w:spacing w:after="220"/>
        <w:ind w:left="380" w:hanging="380"/>
      </w:pPr>
      <w:r>
        <w:t>Zásady mohou být měněny pouze usnesením Zastupitelstva statutárního města Pardubice na základě předchozího vyhodnocení aplikace Zásad.</w:t>
      </w:r>
    </w:p>
    <w:p w14:paraId="6E70FAE8" w14:textId="77777777" w:rsidR="00EC1C40" w:rsidRDefault="00000000">
      <w:pPr>
        <w:pStyle w:val="Zkladntext1"/>
        <w:framePr w:w="9475" w:h="3936" w:hRule="exact" w:wrap="none" w:vAnchor="page" w:hAnchor="page" w:x="1363" w:y="2376"/>
        <w:numPr>
          <w:ilvl w:val="0"/>
          <w:numId w:val="55"/>
        </w:numPr>
        <w:tabs>
          <w:tab w:val="left" w:pos="346"/>
        </w:tabs>
        <w:spacing w:after="220"/>
        <w:ind w:left="380" w:hanging="380"/>
      </w:pPr>
      <w:r>
        <w:t>Zásady včetně uvedených příloh budou umístěny na webových stránkách statutárního města Pardubice.</w:t>
      </w:r>
    </w:p>
    <w:p w14:paraId="7F56986E" w14:textId="77777777" w:rsidR="00EC1C40" w:rsidRDefault="00000000">
      <w:pPr>
        <w:pStyle w:val="Zkladntext1"/>
        <w:framePr w:w="9475" w:h="3936" w:hRule="exact" w:wrap="none" w:vAnchor="page" w:hAnchor="page" w:x="1363" w:y="2376"/>
        <w:numPr>
          <w:ilvl w:val="0"/>
          <w:numId w:val="55"/>
        </w:numPr>
        <w:tabs>
          <w:tab w:val="left" w:pos="346"/>
          <w:tab w:val="left" w:leader="dot" w:pos="4306"/>
        </w:tabs>
        <w:spacing w:after="0"/>
        <w:jc w:val="both"/>
      </w:pPr>
      <w:r>
        <w:t>Zásady nabývají platnosti a účinnosti dne</w:t>
      </w:r>
      <w:r>
        <w:tab/>
        <w:t xml:space="preserve"> 2022.</w:t>
      </w:r>
    </w:p>
    <w:p w14:paraId="3822A16F" w14:textId="77777777" w:rsidR="00EC1C40" w:rsidRDefault="00000000">
      <w:pPr>
        <w:pStyle w:val="Zkladntext1"/>
        <w:framePr w:wrap="none" w:vAnchor="page" w:hAnchor="page" w:x="1363" w:y="7037"/>
        <w:spacing w:after="0"/>
        <w:ind w:hanging="200"/>
        <w:jc w:val="both"/>
      </w:pPr>
      <w:r>
        <w:t>Příloha č. 1: Vzory Smlouvy o spolupráci a Smlouvy o poskytnutí investičního příspěvku</w:t>
      </w:r>
    </w:p>
    <w:p w14:paraId="2397E157" w14:textId="77777777" w:rsidR="00EC1C40" w:rsidRDefault="00000000">
      <w:pPr>
        <w:pStyle w:val="Zhlavnebozpat0"/>
        <w:framePr w:wrap="none" w:vAnchor="page" w:hAnchor="page" w:x="5875" w:y="15836"/>
        <w:rPr>
          <w:sz w:val="22"/>
          <w:szCs w:val="22"/>
        </w:rPr>
      </w:pPr>
      <w:r>
        <w:rPr>
          <w:color w:val="231E20"/>
          <w:sz w:val="22"/>
          <w:szCs w:val="22"/>
        </w:rPr>
        <w:t>10</w:t>
      </w:r>
    </w:p>
    <w:p w14:paraId="14AC7B0F"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37F9A79F" w14:textId="77777777" w:rsidR="00EC1C40" w:rsidRDefault="00EC1C40">
      <w:pPr>
        <w:spacing w:line="1" w:lineRule="exact"/>
      </w:pPr>
    </w:p>
    <w:p w14:paraId="7FA048F0" w14:textId="77777777" w:rsidR="00EC1C40" w:rsidRDefault="00000000">
      <w:pPr>
        <w:pStyle w:val="Zkladntext1"/>
        <w:framePr w:wrap="none" w:vAnchor="page" w:hAnchor="page" w:x="1223" w:y="1546"/>
        <w:spacing w:after="0"/>
        <w:jc w:val="both"/>
      </w:pPr>
      <w:r>
        <w:rPr>
          <w:b/>
          <w:bCs/>
        </w:rPr>
        <w:t>Příloha č. 1</w:t>
      </w:r>
    </w:p>
    <w:p w14:paraId="431B18A5" w14:textId="77777777" w:rsidR="00EC1C40" w:rsidRDefault="00000000">
      <w:pPr>
        <w:pStyle w:val="Nadpis40"/>
        <w:framePr w:w="9701" w:h="12806" w:hRule="exact" w:wrap="none" w:vAnchor="page" w:hAnchor="page" w:x="1223" w:y="2338"/>
        <w:spacing w:after="260"/>
        <w:jc w:val="center"/>
      </w:pPr>
      <w:bookmarkStart w:id="104" w:name="bookmark209"/>
      <w:r>
        <w:rPr>
          <w:color w:val="231E20"/>
          <w:u w:val="single"/>
        </w:rPr>
        <w:t>Smlouva o investičním příspěvku</w:t>
      </w:r>
      <w:bookmarkEnd w:id="104"/>
    </w:p>
    <w:p w14:paraId="018D5CB8" w14:textId="77777777" w:rsidR="00EC1C40" w:rsidRDefault="00000000">
      <w:pPr>
        <w:pStyle w:val="Zkladntext1"/>
        <w:framePr w:w="9701" w:h="12806" w:hRule="exact" w:wrap="none" w:vAnchor="page" w:hAnchor="page" w:x="1223" w:y="2338"/>
        <w:spacing w:after="260"/>
        <w:jc w:val="both"/>
      </w:pPr>
      <w:r>
        <w:rPr>
          <w:i/>
          <w:iCs/>
        </w:rPr>
        <w:t>POZNÁMKA: Uzavření konkrétní Smlouvy o investičním příspěvku je závislé na okolnostech každé jednotlivé věci, jakož i na dohodě smluvních stran o jejím obsahu. Podle toho se návrh smlouvy musí upravit, doplnit či změnit. Obsah Smlouvy o investičním příspěvku reflektuje požadavky Pracovní skupiny a příslušných vlastníků a provozovatelů veřejné dopravní a technické infrastruktury v rámci jednání dle čl. II. odst. 4 Zásad.</w:t>
      </w:r>
    </w:p>
    <w:p w14:paraId="272AAC1A" w14:textId="77777777" w:rsidR="00EC1C40" w:rsidRDefault="00000000">
      <w:pPr>
        <w:pStyle w:val="Nadpis60"/>
        <w:framePr w:w="9701" w:h="12806" w:hRule="exact" w:wrap="none" w:vAnchor="page" w:hAnchor="page" w:x="1223" w:y="2338"/>
        <w:spacing w:after="0"/>
        <w:jc w:val="both"/>
      </w:pPr>
      <w:bookmarkStart w:id="105" w:name="bookmark211"/>
      <w:r>
        <w:t>Statutární město Pardubice</w:t>
      </w:r>
      <w:bookmarkEnd w:id="105"/>
    </w:p>
    <w:p w14:paraId="2B193033" w14:textId="77777777" w:rsidR="00EC1C40" w:rsidRDefault="00000000">
      <w:pPr>
        <w:pStyle w:val="Zkladntext1"/>
        <w:framePr w:w="9701" w:h="12806" w:hRule="exact" w:wrap="none" w:vAnchor="page" w:hAnchor="page" w:x="1223" w:y="2338"/>
        <w:spacing w:after="0"/>
        <w:jc w:val="both"/>
      </w:pPr>
      <w:r>
        <w:t>sídlem: Pernštýnské náměstí 1, 530 21 Pardubice</w:t>
      </w:r>
    </w:p>
    <w:p w14:paraId="005ACFD6" w14:textId="77777777" w:rsidR="00EC1C40" w:rsidRDefault="00000000">
      <w:pPr>
        <w:pStyle w:val="Zkladntext1"/>
        <w:framePr w:w="9701" w:h="12806" w:hRule="exact" w:wrap="none" w:vAnchor="page" w:hAnchor="page" w:x="1223" w:y="2338"/>
        <w:spacing w:after="0"/>
        <w:jc w:val="both"/>
      </w:pPr>
      <w:r>
        <w:t>IČO:00274046</w:t>
      </w:r>
    </w:p>
    <w:p w14:paraId="36E40285" w14:textId="77777777" w:rsidR="00EC1C40" w:rsidRDefault="00000000">
      <w:pPr>
        <w:pStyle w:val="Zkladntext1"/>
        <w:framePr w:w="9701" w:h="12806" w:hRule="exact" w:wrap="none" w:vAnchor="page" w:hAnchor="page" w:x="1223" w:y="2338"/>
        <w:spacing w:after="0"/>
        <w:jc w:val="both"/>
      </w:pPr>
      <w:r>
        <w:t>číslo účtu: (doplnit)</w:t>
      </w:r>
    </w:p>
    <w:p w14:paraId="64418C3C" w14:textId="77777777" w:rsidR="00EC1C40" w:rsidRDefault="00000000">
      <w:pPr>
        <w:pStyle w:val="Zkladntext1"/>
        <w:framePr w:w="9701" w:h="12806" w:hRule="exact" w:wrap="none" w:vAnchor="page" w:hAnchor="page" w:x="1223" w:y="2338"/>
        <w:spacing w:after="0"/>
        <w:jc w:val="both"/>
      </w:pPr>
      <w:r>
        <w:t xml:space="preserve">bankovní spojení: (název </w:t>
      </w:r>
      <w:r>
        <w:rPr>
          <w:color w:val="605916"/>
        </w:rPr>
        <w:t>banky)</w:t>
      </w:r>
    </w:p>
    <w:p w14:paraId="41ADB728" w14:textId="77777777" w:rsidR="00EC1C40" w:rsidRDefault="00000000">
      <w:pPr>
        <w:pStyle w:val="Zkladntext1"/>
        <w:framePr w:w="9701" w:h="12806" w:hRule="exact" w:wrap="none" w:vAnchor="page" w:hAnchor="page" w:x="1223" w:y="2338"/>
        <w:spacing w:after="0"/>
        <w:jc w:val="both"/>
      </w:pPr>
      <w:r>
        <w:t>zastoupené: ...</w:t>
      </w:r>
    </w:p>
    <w:p w14:paraId="40585FCF" w14:textId="77777777" w:rsidR="00EC1C40" w:rsidRDefault="00000000">
      <w:pPr>
        <w:pStyle w:val="Zkladntext1"/>
        <w:framePr w:w="9701" w:h="12806" w:hRule="exact" w:wrap="none" w:vAnchor="page" w:hAnchor="page" w:x="1223" w:y="2338"/>
        <w:spacing w:after="260"/>
        <w:jc w:val="both"/>
      </w:pPr>
      <w:r>
        <w:t>(dále jen „Město“)</w:t>
      </w:r>
    </w:p>
    <w:p w14:paraId="19605FB8" w14:textId="77777777" w:rsidR="00EC1C40" w:rsidRDefault="00000000">
      <w:pPr>
        <w:pStyle w:val="Zkladntext1"/>
        <w:framePr w:w="9701" w:h="12806" w:hRule="exact" w:wrap="none" w:vAnchor="page" w:hAnchor="page" w:x="1223" w:y="2338"/>
        <w:spacing w:after="260"/>
        <w:jc w:val="both"/>
      </w:pPr>
      <w:r>
        <w:t>na straně jedné a</w:t>
      </w:r>
    </w:p>
    <w:p w14:paraId="2144CF51" w14:textId="77777777" w:rsidR="00EC1C40" w:rsidRDefault="00000000">
      <w:pPr>
        <w:pStyle w:val="Nadpis60"/>
        <w:framePr w:w="9701" w:h="12806" w:hRule="exact" w:wrap="none" w:vAnchor="page" w:hAnchor="page" w:x="1223" w:y="2338"/>
        <w:spacing w:after="0"/>
        <w:jc w:val="both"/>
      </w:pPr>
      <w:bookmarkStart w:id="106" w:name="bookmark213"/>
      <w:r>
        <w:rPr>
          <w:b w:val="0"/>
          <w:bCs w:val="0"/>
        </w:rPr>
        <w:t>(</w:t>
      </w:r>
      <w:r>
        <w:t>doplnit název právnické osoby / jméno a příjmení fyzické osoby</w:t>
      </w:r>
      <w:r>
        <w:rPr>
          <w:b w:val="0"/>
          <w:bCs w:val="0"/>
        </w:rPr>
        <w:t>)</w:t>
      </w:r>
      <w:bookmarkEnd w:id="106"/>
    </w:p>
    <w:p w14:paraId="67D2161D" w14:textId="77777777" w:rsidR="00EC1C40" w:rsidRDefault="00000000">
      <w:pPr>
        <w:pStyle w:val="Obsah0"/>
        <w:framePr w:w="9701" w:h="12806" w:hRule="exact" w:wrap="none" w:vAnchor="page" w:hAnchor="page" w:x="1223" w:y="2338"/>
        <w:tabs>
          <w:tab w:val="left" w:pos="4886"/>
        </w:tabs>
        <w:jc w:val="both"/>
      </w:pPr>
      <w:r>
        <w:t>sídlem / bytem nepodnikající fyzické osoby:</w:t>
      </w:r>
      <w:r>
        <w:tab/>
        <w:t>...</w:t>
      </w:r>
    </w:p>
    <w:p w14:paraId="01A73F84" w14:textId="77777777" w:rsidR="00EC1C40" w:rsidRDefault="00000000">
      <w:pPr>
        <w:pStyle w:val="Obsah0"/>
        <w:framePr w:w="9701" w:h="12806" w:hRule="exact" w:wrap="none" w:vAnchor="page" w:hAnchor="page" w:x="1223" w:y="2338"/>
        <w:tabs>
          <w:tab w:val="center" w:pos="5718"/>
        </w:tabs>
        <w:jc w:val="both"/>
      </w:pPr>
      <w:r>
        <w:t>IČO právnické osoby / rodné číslo fyzické osoby:</w:t>
      </w:r>
      <w:r>
        <w:tab/>
        <w:t>...</w:t>
      </w:r>
    </w:p>
    <w:p w14:paraId="083C4A6D" w14:textId="77777777" w:rsidR="00EC1C40" w:rsidRDefault="00000000">
      <w:pPr>
        <w:pStyle w:val="Obsah0"/>
        <w:framePr w:w="9701" w:h="12806" w:hRule="exact" w:wrap="none" w:vAnchor="page" w:hAnchor="page" w:x="1223" w:y="2338"/>
        <w:tabs>
          <w:tab w:val="center" w:pos="5718"/>
        </w:tabs>
        <w:jc w:val="both"/>
      </w:pPr>
      <w:r>
        <w:t>číslo účtu:</w:t>
      </w:r>
      <w:r>
        <w:tab/>
        <w:t>...</w:t>
      </w:r>
    </w:p>
    <w:p w14:paraId="0BFFF62B" w14:textId="77777777" w:rsidR="00EC1C40" w:rsidRDefault="00000000">
      <w:pPr>
        <w:pStyle w:val="Obsah0"/>
        <w:framePr w:w="9701" w:h="12806" w:hRule="exact" w:wrap="none" w:vAnchor="page" w:hAnchor="page" w:x="1223" w:y="2338"/>
        <w:tabs>
          <w:tab w:val="center" w:pos="5718"/>
        </w:tabs>
        <w:jc w:val="both"/>
      </w:pPr>
      <w:r>
        <w:t>bankovní spojení:</w:t>
      </w:r>
      <w:r>
        <w:tab/>
        <w:t>...</w:t>
      </w:r>
    </w:p>
    <w:p w14:paraId="759381EF" w14:textId="77777777" w:rsidR="00EC1C40" w:rsidRDefault="00000000">
      <w:pPr>
        <w:pStyle w:val="Obsah0"/>
        <w:framePr w:w="9701" w:h="12806" w:hRule="exact" w:wrap="none" w:vAnchor="page" w:hAnchor="page" w:x="1223" w:y="2338"/>
        <w:tabs>
          <w:tab w:val="center" w:pos="5718"/>
        </w:tabs>
        <w:jc w:val="both"/>
      </w:pPr>
      <w:r>
        <w:t>zastoupený/á:</w:t>
      </w:r>
      <w:r>
        <w:tab/>
        <w:t>...</w:t>
      </w:r>
    </w:p>
    <w:p w14:paraId="36EC99C2" w14:textId="77777777" w:rsidR="00EC1C40" w:rsidRDefault="00000000">
      <w:pPr>
        <w:pStyle w:val="Zkladntext1"/>
        <w:framePr w:w="9701" w:h="12806" w:hRule="exact" w:wrap="none" w:vAnchor="page" w:hAnchor="page" w:x="1223" w:y="2338"/>
        <w:spacing w:after="260"/>
        <w:jc w:val="both"/>
      </w:pPr>
      <w:r>
        <w:t>(dále jen „Investor“)</w:t>
      </w:r>
    </w:p>
    <w:p w14:paraId="2DD38750" w14:textId="77777777" w:rsidR="00EC1C40" w:rsidRDefault="00000000">
      <w:pPr>
        <w:pStyle w:val="Zkladntext1"/>
        <w:framePr w:w="9701" w:h="12806" w:hRule="exact" w:wrap="none" w:vAnchor="page" w:hAnchor="page" w:x="1223" w:y="2338"/>
        <w:spacing w:after="260"/>
        <w:jc w:val="both"/>
      </w:pPr>
      <w:r>
        <w:t>na straně druhé</w:t>
      </w:r>
    </w:p>
    <w:p w14:paraId="26FAC7C1" w14:textId="77777777" w:rsidR="00EC1C40" w:rsidRDefault="00000000">
      <w:pPr>
        <w:pStyle w:val="Zkladntext1"/>
        <w:framePr w:w="9701" w:h="12806" w:hRule="exact" w:wrap="none" w:vAnchor="page" w:hAnchor="page" w:x="1223" w:y="2338"/>
        <w:spacing w:after="260"/>
        <w:jc w:val="both"/>
      </w:pPr>
      <w:r>
        <w:t>(Město a Investor společně dále jen „smluvní strany“)</w:t>
      </w:r>
    </w:p>
    <w:p w14:paraId="7DCDF9B9" w14:textId="77777777" w:rsidR="00EC1C40" w:rsidRDefault="00000000">
      <w:pPr>
        <w:pStyle w:val="Zkladntext1"/>
        <w:framePr w:w="9701" w:h="12806" w:hRule="exact" w:wrap="none" w:vAnchor="page" w:hAnchor="page" w:x="1223" w:y="2338"/>
        <w:spacing w:after="0"/>
        <w:jc w:val="both"/>
      </w:pPr>
      <w:r>
        <w:t>uzavřeli níže uvedeného dne podle § 1746 odst. 2 zákona č. 89/2012 Sb., občanského zákoníku, ve znění pozdějších předpisů (dále jen „OZ“) a podle § 86 odst. 2 písm. d) zákona č. 183/2006 Sb., stavebního zákona, ve znění pozdějších předpisů (dále jen „</w:t>
      </w:r>
      <w:proofErr w:type="spellStart"/>
      <w:r>
        <w:t>StavZ</w:t>
      </w:r>
      <w:proofErr w:type="spellEnd"/>
      <w:r>
        <w:t>“), tuto Smlouvu:</w:t>
      </w:r>
    </w:p>
    <w:p w14:paraId="61F21A67" w14:textId="77777777" w:rsidR="00EC1C40" w:rsidRDefault="00000000">
      <w:pPr>
        <w:pStyle w:val="Zkladntext1"/>
        <w:framePr w:w="9701" w:h="12806" w:hRule="exact" w:wrap="none" w:vAnchor="page" w:hAnchor="page" w:x="1223" w:y="2338"/>
        <w:numPr>
          <w:ilvl w:val="0"/>
          <w:numId w:val="56"/>
        </w:numPr>
        <w:tabs>
          <w:tab w:val="left" w:pos="682"/>
        </w:tabs>
        <w:spacing w:after="0"/>
        <w:jc w:val="both"/>
      </w:pPr>
      <w:r>
        <w:rPr>
          <w:color w:val="142A56"/>
        </w:rPr>
        <w:t>Úvodní ustanovení</w:t>
      </w:r>
    </w:p>
    <w:p w14:paraId="1FEBC659" w14:textId="77777777" w:rsidR="00EC1C40" w:rsidRDefault="00000000">
      <w:pPr>
        <w:pStyle w:val="Zkladntext1"/>
        <w:framePr w:w="9701" w:h="12806" w:hRule="exact" w:wrap="none" w:vAnchor="page" w:hAnchor="page" w:x="1223" w:y="2338"/>
        <w:numPr>
          <w:ilvl w:val="1"/>
          <w:numId w:val="57"/>
        </w:numPr>
        <w:tabs>
          <w:tab w:val="left" w:pos="682"/>
          <w:tab w:val="left" w:pos="691"/>
        </w:tabs>
        <w:spacing w:after="0"/>
        <w:jc w:val="both"/>
      </w:pPr>
      <w:r>
        <w:t>Tato Smlouva o investičním příspěvku (dále jen „Smlouva“) byla uzavřena na základě postupu</w:t>
      </w:r>
    </w:p>
    <w:p w14:paraId="33251182" w14:textId="77777777" w:rsidR="00EC1C40" w:rsidRDefault="00000000">
      <w:pPr>
        <w:pStyle w:val="Zkladntext1"/>
        <w:framePr w:w="9701" w:h="12806" w:hRule="exact" w:wrap="none" w:vAnchor="page" w:hAnchor="page" w:x="1223" w:y="2338"/>
        <w:spacing w:after="260"/>
        <w:jc w:val="both"/>
      </w:pPr>
      <w:r>
        <w:t>smluvních stran dle dokumentu Zásady statutárního města Pardubice pro spolupráci s investory, schváleném Zastupitelstvem města Pardubice usnesením č. (doplnit) ze dne (doplnit) (dále jen „Zásady“) z důvodu navyšování nároků na veřejnou infrastrukturu včetně občanského vybavení a na veřejné služby vyplývajících z nárůstu hrubých podlažních ploch záměrů na území statutárního města Pardubice.</w:t>
      </w:r>
    </w:p>
    <w:p w14:paraId="301D8583" w14:textId="77777777" w:rsidR="00EC1C40" w:rsidRDefault="00000000">
      <w:pPr>
        <w:pStyle w:val="Zkladntext1"/>
        <w:framePr w:w="9701" w:h="12806" w:hRule="exact" w:wrap="none" w:vAnchor="page" w:hAnchor="page" w:x="1223" w:y="2338"/>
        <w:numPr>
          <w:ilvl w:val="1"/>
          <w:numId w:val="57"/>
        </w:numPr>
        <w:tabs>
          <w:tab w:val="left" w:pos="682"/>
        </w:tabs>
        <w:spacing w:after="0"/>
        <w:jc w:val="both"/>
      </w:pPr>
      <w:r>
        <w:t xml:space="preserve">Investor hodlá na území Města realizovat záměr (doplnit) na pozemku </w:t>
      </w:r>
      <w:proofErr w:type="spellStart"/>
      <w:r>
        <w:t>parc</w:t>
      </w:r>
      <w:proofErr w:type="spellEnd"/>
      <w:r>
        <w:t xml:space="preserve">. č. (doplnit) v </w:t>
      </w:r>
      <w:proofErr w:type="spellStart"/>
      <w:r>
        <w:t>k.ú</w:t>
      </w:r>
      <w:proofErr w:type="spellEnd"/>
      <w:r>
        <w:t xml:space="preserve">. (doplnit), sestávajícím se z následujících staveb a zařízení (doplnit) o navrhovaných parametrech (doplnit základní parametry staveb Investičního záměru v rozsahu výšky stavby, obestavěného prostoru, počtu bytových jednotek </w:t>
      </w:r>
      <w:proofErr w:type="spellStart"/>
      <w:r>
        <w:rPr>
          <w:lang w:val="en-US" w:eastAsia="en-US" w:bidi="en-US"/>
        </w:rPr>
        <w:t>apod</w:t>
      </w:r>
      <w:proofErr w:type="spellEnd"/>
      <w:r>
        <w:rPr>
          <w:lang w:val="en-US" w:eastAsia="en-US" w:bidi="en-US"/>
        </w:rPr>
        <w:t xml:space="preserve">.) </w:t>
      </w:r>
      <w:r>
        <w:t>a o velikosti (doplnit) m</w:t>
      </w:r>
      <w:r>
        <w:rPr>
          <w:vertAlign w:val="superscript"/>
        </w:rPr>
        <w:t>2</w:t>
      </w:r>
      <w:r>
        <w:t xml:space="preserve"> HPP, kladoucí následující nároky na veřejnou infrastrukturu (doplnit) (dále jen „Investiční záměr“). Investiční záměr odpovídá Investičnímu záměru uvedenému v čl. I odst. 2 písm. a) Zásad. Investiční záměr bude rovněž zakreslen a popsán v koordinačním situačním výkresu, který bude přílohou č. 2 této Smlouvy.</w:t>
      </w:r>
    </w:p>
    <w:p w14:paraId="7797D1E5" w14:textId="77777777" w:rsidR="00EC1C40" w:rsidRDefault="00000000">
      <w:pPr>
        <w:pStyle w:val="Zkladntext1"/>
        <w:framePr w:w="9701" w:h="12806" w:hRule="exact" w:wrap="none" w:vAnchor="page" w:hAnchor="page" w:x="1223" w:y="2338"/>
        <w:spacing w:after="0"/>
        <w:jc w:val="both"/>
      </w:pPr>
      <w:r>
        <w:t>Součástí Investičního záměru jsou Adaptační opatření, uvedená v čl. 1.5 této Smlouvy.</w:t>
      </w:r>
    </w:p>
    <w:p w14:paraId="165C4032" w14:textId="77777777" w:rsidR="00EC1C40" w:rsidRDefault="00000000">
      <w:pPr>
        <w:pStyle w:val="Zhlavnebozpat0"/>
        <w:framePr w:wrap="none" w:vAnchor="page" w:hAnchor="page" w:x="5951" w:y="15855"/>
        <w:rPr>
          <w:sz w:val="22"/>
          <w:szCs w:val="22"/>
        </w:rPr>
      </w:pPr>
      <w:r>
        <w:rPr>
          <w:color w:val="231E20"/>
          <w:sz w:val="22"/>
          <w:szCs w:val="22"/>
        </w:rPr>
        <w:t>11</w:t>
      </w:r>
    </w:p>
    <w:p w14:paraId="6C177755"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5B49E86B" w14:textId="77777777" w:rsidR="00EC1C40" w:rsidRDefault="00EC1C40">
      <w:pPr>
        <w:spacing w:line="1" w:lineRule="exact"/>
      </w:pPr>
    </w:p>
    <w:p w14:paraId="3D664A7B" w14:textId="77777777" w:rsidR="00EC1C40" w:rsidRDefault="00000000">
      <w:pPr>
        <w:pStyle w:val="Zkladntext1"/>
        <w:framePr w:w="9701" w:h="13920" w:hRule="exact" w:wrap="none" w:vAnchor="page" w:hAnchor="page" w:x="1223" w:y="1546"/>
        <w:spacing w:after="140" w:line="254" w:lineRule="auto"/>
        <w:jc w:val="both"/>
      </w:pPr>
      <w:r>
        <w:rPr>
          <w:i/>
          <w:iCs/>
        </w:rPr>
        <w:t>POZNÁMKA: Jak v případě, že Investor vstoupil do jednání se statutárním městem Pardubice před zahájením projekčních prací ve smyslu čl. II. odst. 1. Zásad, tak v případě, že Investor má již zpracovanou předběžnou verzi projektové dokumentace Investičního záměru dle čl. II odst. 2 Zásad, je třeba, aby Investor doložil co nejpřesnější informace a zvažované parametry plánovaného Investičního záměru tak, aby z něj bylo možné dovodit velikost a umístění záměru, jeho nároky na veřejnou infrastrukturu a zejména hrubou podlažní plochu Investičního záměru pro stanovení hrubého odhadu výše Investičního příspěvku. Investorem poskytnuté informace, nebo odkaz na existující dokumentaci Investičního záměru, budou uvedeny přímo v čl. 1.2 Smlouvy o investičním příspěvku. Podle toho se návrh smlouvy musí upravit, doplnit či změnit. Součástí Investičního záměru může být též Adaptační opatření dle čl. I. odst. 17 Zásad, jehož konkrétní parametry rovněž závisí na dohodě Investora se statutárním městem Pardubice. Poslední věta čl. 1.2 Smlouvy předpokládá závazek Investora realizovat určitá Adaptační opatření ve smyslu čl. I odst. 17 Zásad. V případě, že Investor žádná Adaptační opatření nerealizuje, bude tato věta ze Smlouvy vypuštěna.</w:t>
      </w:r>
    </w:p>
    <w:p w14:paraId="184422F5" w14:textId="77777777" w:rsidR="00EC1C40" w:rsidRDefault="00000000">
      <w:pPr>
        <w:pStyle w:val="Zkladntext1"/>
        <w:framePr w:w="9701" w:h="13920" w:hRule="exact" w:wrap="none" w:vAnchor="page" w:hAnchor="page" w:x="1223" w:y="1546"/>
        <w:numPr>
          <w:ilvl w:val="1"/>
          <w:numId w:val="57"/>
        </w:numPr>
        <w:tabs>
          <w:tab w:val="left" w:pos="708"/>
        </w:tabs>
        <w:spacing w:after="260"/>
        <w:jc w:val="both"/>
      </w:pPr>
      <w:r>
        <w:t>Předmětem této Smlouvy je závazek Investora poskytnout Městu Investiční příspěvek ve formě níže specifikovaného Peněžité plnění anebo Nepeněžního plnění ve smyslu čl. I. odst. 7. a 8. Zásad za účelem pokrytí nákladů na novou Veřejnou infrastrukturu nebo Veřejnou službu, kterou vyvolá realizace Investičního záměru dle čl. 1.2 této Smlouvy, a závazek Města poskytnout Investorovi nezbytnou součinnost při realizaci Investičního záměru.</w:t>
      </w:r>
    </w:p>
    <w:p w14:paraId="08FDD56B" w14:textId="77777777" w:rsidR="00EC1C40" w:rsidRDefault="00000000">
      <w:pPr>
        <w:pStyle w:val="Zkladntext1"/>
        <w:framePr w:w="9701" w:h="13920" w:hRule="exact" w:wrap="none" w:vAnchor="page" w:hAnchor="page" w:x="1223" w:y="1546"/>
        <w:numPr>
          <w:ilvl w:val="1"/>
          <w:numId w:val="57"/>
        </w:numPr>
        <w:tabs>
          <w:tab w:val="left" w:pos="708"/>
        </w:tabs>
        <w:spacing w:after="0"/>
        <w:jc w:val="both"/>
      </w:pPr>
      <w:r>
        <w:t>Předmětem této Smlouvy je závazek Investora v rámci Investičního záměru realizovat Adaptační opatření ve smyslu čl. I odst. 17 Zásad, přičemž parametry Adaptačních opatření jsou konkretizována v příloze č. 3 této Smlouvy. Po ověření realizace dodržení parametrů Adaptačních opatření Městem má Investor nárok na poskytnutí slevy z Investičního příspěvku dle čl. 3.5 této Smlouvy.</w:t>
      </w:r>
    </w:p>
    <w:p w14:paraId="0CF11722" w14:textId="77777777" w:rsidR="00EC1C40" w:rsidRDefault="00000000">
      <w:pPr>
        <w:pStyle w:val="Zkladntext1"/>
        <w:framePr w:w="9701" w:h="13920" w:hRule="exact" w:wrap="none" w:vAnchor="page" w:hAnchor="page" w:x="1223" w:y="1546"/>
        <w:numPr>
          <w:ilvl w:val="0"/>
          <w:numId w:val="56"/>
        </w:numPr>
        <w:tabs>
          <w:tab w:val="left" w:pos="708"/>
        </w:tabs>
        <w:spacing w:after="260"/>
        <w:jc w:val="both"/>
      </w:pPr>
      <w:r>
        <w:rPr>
          <w:color w:val="142A56"/>
        </w:rPr>
        <w:t>Závazky Investora</w:t>
      </w:r>
    </w:p>
    <w:p w14:paraId="18111BBE" w14:textId="77777777" w:rsidR="00EC1C40" w:rsidRDefault="00000000">
      <w:pPr>
        <w:pStyle w:val="Nadpis60"/>
        <w:framePr w:w="9701" w:h="13920" w:hRule="exact" w:wrap="none" w:vAnchor="page" w:hAnchor="page" w:x="1223" w:y="1546"/>
        <w:spacing w:after="0"/>
        <w:jc w:val="both"/>
      </w:pPr>
      <w:bookmarkStart w:id="107" w:name="bookmark215"/>
      <w:r>
        <w:t>Investiční příspěvek a jeho předpokládaná výše</w:t>
      </w:r>
      <w:bookmarkEnd w:id="107"/>
    </w:p>
    <w:p w14:paraId="6361F7D3" w14:textId="77777777" w:rsidR="00EC1C40" w:rsidRDefault="00000000">
      <w:pPr>
        <w:pStyle w:val="Zkladntext1"/>
        <w:framePr w:w="9701" w:h="13920" w:hRule="exact" w:wrap="none" w:vAnchor="page" w:hAnchor="page" w:x="1223" w:y="1546"/>
        <w:numPr>
          <w:ilvl w:val="1"/>
          <w:numId w:val="58"/>
        </w:numPr>
        <w:tabs>
          <w:tab w:val="left" w:pos="708"/>
        </w:tabs>
        <w:spacing w:after="260"/>
        <w:jc w:val="both"/>
      </w:pPr>
      <w:r>
        <w:t>Investor se zavazuje poskytnout Městu dále specifikované Peněžité plnění anebo dále specifikované Nepeněžní plnění za účelem uvedeným v čl. 1.3 této Smlouvy. Celková předpokládaná výše Investičního příspěvku ve smyslu čl. I odst. 6 Zásad je pro Investiční záměr stanovena jako násobek počtu m</w:t>
      </w:r>
      <w:r>
        <w:rPr>
          <w:sz w:val="11"/>
          <w:szCs w:val="11"/>
        </w:rPr>
        <w:t xml:space="preserve">2 </w:t>
      </w:r>
      <w:r>
        <w:t>hrubé podlažní plochy Investičního záměru, uvedené v DÚR, a částky (doplnit dle čl. III. odst. 3 Zásad podle navýšení o roční míru inflace). Celková předpokládaná výše Investičního příspěvku tak činí (doplnit) ,-Kč (slovy (doplnit) korun českých). Z toho předpokládaná výše Peněžitého plnění činí (doplnit) ,-Kč (slovy (doplnit) korun českých.</w:t>
      </w:r>
    </w:p>
    <w:p w14:paraId="406D5582" w14:textId="77777777" w:rsidR="00EC1C40" w:rsidRDefault="00000000">
      <w:pPr>
        <w:pStyle w:val="Nadpis60"/>
        <w:framePr w:w="9701" w:h="13920" w:hRule="exact" w:wrap="none" w:vAnchor="page" w:hAnchor="page" w:x="1223" w:y="1546"/>
        <w:spacing w:after="0"/>
        <w:jc w:val="both"/>
      </w:pPr>
      <w:bookmarkStart w:id="108" w:name="bookmark217"/>
      <w:r>
        <w:t>Kompenzační záloha</w:t>
      </w:r>
      <w:bookmarkEnd w:id="108"/>
    </w:p>
    <w:p w14:paraId="3D763FBB" w14:textId="77777777" w:rsidR="00EC1C40" w:rsidRDefault="00000000">
      <w:pPr>
        <w:pStyle w:val="Zkladntext1"/>
        <w:framePr w:w="9701" w:h="13920" w:hRule="exact" w:wrap="none" w:vAnchor="page" w:hAnchor="page" w:x="1223" w:y="1546"/>
        <w:numPr>
          <w:ilvl w:val="1"/>
          <w:numId w:val="58"/>
        </w:numPr>
        <w:tabs>
          <w:tab w:val="left" w:pos="708"/>
        </w:tabs>
        <w:spacing w:after="260"/>
        <w:jc w:val="both"/>
      </w:pPr>
      <w:r>
        <w:t>Investor se zavazuje poskytnout Městu v souladu s čl. I odst. 18 Zásad kompenzační zálohu ve výši (doplnit) % předpokládané výše Peněžitého plnění dle čl. 2.1 této Smlouvy, tj. ve výši (doplnit),-Kč (slovy (doplnit) korun českých).</w:t>
      </w:r>
    </w:p>
    <w:p w14:paraId="7C77CB29" w14:textId="77777777" w:rsidR="00EC1C40" w:rsidRDefault="00000000">
      <w:pPr>
        <w:pStyle w:val="Zkladntext1"/>
        <w:framePr w:w="9701" w:h="13920" w:hRule="exact" w:wrap="none" w:vAnchor="page" w:hAnchor="page" w:x="1223" w:y="1546"/>
        <w:numPr>
          <w:ilvl w:val="1"/>
          <w:numId w:val="58"/>
        </w:numPr>
        <w:tabs>
          <w:tab w:val="left" w:pos="708"/>
        </w:tabs>
        <w:spacing w:after="260"/>
        <w:jc w:val="both"/>
      </w:pPr>
      <w:r>
        <w:t>Kompenzační záloha bude Investorem složena do Programu veřejné infrastruktury, a to ve lhůtě do 30 dní ode dne nabytí právní moci územního rozhodnutí, společného povolení nebo jiného srovnatelného správního aktu nebo srovnatelného právního jednání stavebního úřadu, vydaného pro Investiční záměr.</w:t>
      </w:r>
    </w:p>
    <w:p w14:paraId="1AB9E91F" w14:textId="77777777" w:rsidR="00EC1C40" w:rsidRDefault="00000000">
      <w:pPr>
        <w:pStyle w:val="Zkladntext1"/>
        <w:framePr w:w="9701" w:h="13920" w:hRule="exact" w:wrap="none" w:vAnchor="page" w:hAnchor="page" w:x="1223" w:y="1546"/>
        <w:numPr>
          <w:ilvl w:val="1"/>
          <w:numId w:val="58"/>
        </w:numPr>
        <w:tabs>
          <w:tab w:val="left" w:pos="708"/>
        </w:tabs>
        <w:spacing w:after="260"/>
        <w:jc w:val="both"/>
      </w:pPr>
      <w:r>
        <w:t>Kompenzační záloha bude v případě splnění závazků Investora započítána na Investiční příspěvek.</w:t>
      </w:r>
    </w:p>
    <w:p w14:paraId="6930FC3D" w14:textId="77777777" w:rsidR="00EC1C40" w:rsidRDefault="00000000">
      <w:pPr>
        <w:pStyle w:val="Nadpis60"/>
        <w:framePr w:w="9701" w:h="13920" w:hRule="exact" w:wrap="none" w:vAnchor="page" w:hAnchor="page" w:x="1223" w:y="1546"/>
        <w:spacing w:after="0"/>
        <w:jc w:val="both"/>
      </w:pPr>
      <w:bookmarkStart w:id="109" w:name="bookmark219"/>
      <w:r>
        <w:t>Konečná výše Investičního příspěvku</w:t>
      </w:r>
      <w:bookmarkEnd w:id="109"/>
    </w:p>
    <w:p w14:paraId="17498FEC" w14:textId="77777777" w:rsidR="00EC1C40" w:rsidRDefault="00000000">
      <w:pPr>
        <w:pStyle w:val="Zkladntext1"/>
        <w:framePr w:w="9701" w:h="13920" w:hRule="exact" w:wrap="none" w:vAnchor="page" w:hAnchor="page" w:x="1223" w:y="1546"/>
        <w:numPr>
          <w:ilvl w:val="1"/>
          <w:numId w:val="58"/>
        </w:numPr>
        <w:tabs>
          <w:tab w:val="left" w:pos="708"/>
        </w:tabs>
        <w:spacing w:after="0"/>
        <w:jc w:val="both"/>
      </w:pPr>
      <w:r>
        <w:t xml:space="preserve">Investor se zavazuje poskytnout Městu Investiční příspěvek, jehož </w:t>
      </w:r>
      <w:r>
        <w:rPr>
          <w:b/>
          <w:bCs/>
        </w:rPr>
        <w:t xml:space="preserve">konečná výše </w:t>
      </w:r>
      <w:r>
        <w:t>bude vypočtena jako násobek příslušného počtu m</w:t>
      </w:r>
      <w:r>
        <w:rPr>
          <w:vertAlign w:val="superscript"/>
        </w:rPr>
        <w:t>2</w:t>
      </w:r>
      <w:r>
        <w:t xml:space="preserve"> hrubé podlažní plochy Investičního záměru, ke kterým bylo vydáno pravomocné územní rozhodnutí, pravomocné společné povolení nebo k němuž nabyl právní účinky územní souhlas, nebo ke kterým byl vydán stavebním úřadem souhlas s ohlášenou změnou v užívání stavby nebo k němuž byla uzavřena veřejnoprávní smlouva nahrazující územní rozhodnutí, a částky (doplnit dle čl. III. odst.</w:t>
      </w:r>
    </w:p>
    <w:p w14:paraId="7C230974" w14:textId="77777777" w:rsidR="00EC1C40" w:rsidRDefault="00000000">
      <w:pPr>
        <w:pStyle w:val="Zhlavnebozpat0"/>
        <w:framePr w:wrap="none" w:vAnchor="page" w:hAnchor="page" w:x="5951" w:y="15855"/>
        <w:rPr>
          <w:sz w:val="22"/>
          <w:szCs w:val="22"/>
        </w:rPr>
      </w:pPr>
      <w:r>
        <w:rPr>
          <w:color w:val="231E20"/>
          <w:sz w:val="22"/>
          <w:szCs w:val="22"/>
        </w:rPr>
        <w:t>12</w:t>
      </w:r>
    </w:p>
    <w:p w14:paraId="672E943C"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00F9AD9F" w14:textId="77777777" w:rsidR="00EC1C40" w:rsidRDefault="00EC1C40">
      <w:pPr>
        <w:spacing w:line="1" w:lineRule="exact"/>
      </w:pPr>
    </w:p>
    <w:p w14:paraId="05866EDA" w14:textId="77777777" w:rsidR="00EC1C40" w:rsidRDefault="00000000">
      <w:pPr>
        <w:pStyle w:val="Zkladntext1"/>
        <w:framePr w:w="9725" w:h="13978" w:hRule="exact" w:wrap="none" w:vAnchor="page" w:hAnchor="page" w:x="1211" w:y="1546"/>
        <w:numPr>
          <w:ilvl w:val="1"/>
          <w:numId w:val="59"/>
        </w:numPr>
        <w:tabs>
          <w:tab w:val="left" w:pos="226"/>
        </w:tabs>
        <w:spacing w:after="0"/>
        <w:jc w:val="both"/>
      </w:pPr>
      <w:r>
        <w:t xml:space="preserve">Zásad podle navýšení o roční míru inflace); od takto stanovené částky bude v případě, že Investor podle podmínek této Smlouvy poskytuje Městu také Nepeněžní plnění, odečtena fixní hodnota tohoto Nepeněžního plnění ve výši dle čl. 2.9 </w:t>
      </w:r>
      <w:proofErr w:type="spellStart"/>
      <w:r>
        <w:t>an</w:t>
      </w:r>
      <w:proofErr w:type="spellEnd"/>
      <w:r>
        <w:t>. této Smlouvy.</w:t>
      </w:r>
    </w:p>
    <w:p w14:paraId="11575C9E" w14:textId="77777777" w:rsidR="00EC1C40" w:rsidRDefault="00000000">
      <w:pPr>
        <w:pStyle w:val="Zkladntext1"/>
        <w:framePr w:w="9725" w:h="13978" w:hRule="exact" w:wrap="none" w:vAnchor="page" w:hAnchor="page" w:x="1211" w:y="1546"/>
        <w:spacing w:after="260"/>
        <w:jc w:val="both"/>
      </w:pPr>
      <w:r>
        <w:t>Pro vyloučení jakýchkoli pochybností platí, že případný rozdíl mezi předpokládanou výší Investičního příspěvku a konečnou výší Investičního příspěvku jde výhradně k tíži Investora, s výjimkou případu, kdy tento rozdíl vznikne v důsledku poskytnuté slevy za Adaptační opatření.</w:t>
      </w:r>
    </w:p>
    <w:p w14:paraId="5F88D9F1" w14:textId="77777777" w:rsidR="00EC1C40" w:rsidRDefault="00000000">
      <w:pPr>
        <w:pStyle w:val="Zkladntext1"/>
        <w:framePr w:w="9725" w:h="13978" w:hRule="exact" w:wrap="none" w:vAnchor="page" w:hAnchor="page" w:x="1211" w:y="1546"/>
        <w:spacing w:after="260"/>
        <w:jc w:val="both"/>
      </w:pPr>
      <w:r>
        <w:rPr>
          <w:i/>
          <w:iCs/>
        </w:rPr>
        <w:t>POZNÁMKA: V případě, že součástí Investičního záměru bude Adaptační opatření, může Zastupitelstvo města Pardubic rozhodnout o poskytnutí slevy Investorovi až do výše 200 Kč z 1m</w:t>
      </w:r>
      <w:r>
        <w:rPr>
          <w:i/>
          <w:iCs/>
          <w:vertAlign w:val="superscript"/>
        </w:rPr>
        <w:t>2</w:t>
      </w:r>
      <w:r>
        <w:rPr>
          <w:i/>
          <w:iCs/>
        </w:rPr>
        <w:t xml:space="preserve"> HPP Investičního záměru ve smyslu čl. III odst. 4 Zásad.</w:t>
      </w:r>
    </w:p>
    <w:p w14:paraId="201DEA7F" w14:textId="77777777" w:rsidR="00EC1C40" w:rsidRDefault="00000000">
      <w:pPr>
        <w:pStyle w:val="Nadpis60"/>
        <w:framePr w:w="9725" w:h="13978" w:hRule="exact" w:wrap="none" w:vAnchor="page" w:hAnchor="page" w:x="1211" w:y="1546"/>
        <w:spacing w:after="0"/>
        <w:jc w:val="both"/>
      </w:pPr>
      <w:bookmarkStart w:id="110" w:name="bookmark221"/>
      <w:r>
        <w:t>Splatnost Investičního příspěvku</w:t>
      </w:r>
      <w:bookmarkEnd w:id="110"/>
    </w:p>
    <w:p w14:paraId="36B9BE10" w14:textId="77777777" w:rsidR="00EC1C40" w:rsidRDefault="00000000">
      <w:pPr>
        <w:pStyle w:val="Zkladntext1"/>
        <w:framePr w:w="9725" w:h="13978" w:hRule="exact" w:wrap="none" w:vAnchor="page" w:hAnchor="page" w:x="1211" w:y="1546"/>
        <w:numPr>
          <w:ilvl w:val="1"/>
          <w:numId w:val="60"/>
        </w:numPr>
        <w:tabs>
          <w:tab w:val="left" w:pos="742"/>
        </w:tabs>
        <w:spacing w:after="260"/>
        <w:jc w:val="both"/>
      </w:pPr>
      <w:r>
        <w:t xml:space="preserve">Investiční příspěvek je splatný do konce třetího měsíce následujícího po kalendářním měsíci, v němž bude vydáno pro Investiční záměr první pravomocné stavební povolení, společné povolení nebo jiný srovnatelný správní akt stavebního úřadu či právní jednání umožňující Investorovi začít stavět Investiční záměr (např. společný územní souhlas a souhlas s provedením ohlášeného stavebního záměru nebo veřejnoprávní smlouva nahrazující stavební povolení podle § 116 </w:t>
      </w:r>
      <w:proofErr w:type="spellStart"/>
      <w:r>
        <w:t>StavZ</w:t>
      </w:r>
      <w:proofErr w:type="spellEnd"/>
      <w:r>
        <w:t xml:space="preserve">), anebo do konce třetího měsíce následujícího po kalendářním měsíci, v němž Investorovi vznikne právo provést oznámený Investiční záměr podle § 117 odst. 5 </w:t>
      </w:r>
      <w:proofErr w:type="spellStart"/>
      <w:r>
        <w:t>StavZ</w:t>
      </w:r>
      <w:proofErr w:type="spellEnd"/>
      <w:r>
        <w:t>.</w:t>
      </w:r>
    </w:p>
    <w:p w14:paraId="0EBD40EF" w14:textId="77777777" w:rsidR="00EC1C40" w:rsidRDefault="00000000">
      <w:pPr>
        <w:pStyle w:val="Zkladntext1"/>
        <w:framePr w:w="9725" w:h="13978" w:hRule="exact" w:wrap="none" w:vAnchor="page" w:hAnchor="page" w:x="1211" w:y="1546"/>
        <w:spacing w:after="260"/>
        <w:jc w:val="both"/>
      </w:pPr>
      <w:r>
        <w:rPr>
          <w:i/>
          <w:iCs/>
        </w:rPr>
        <w:t xml:space="preserve">POZNÁMKA: „v odůvodněných případech“ může být dohodnuta jiná lhůta splatnosti (např. pokud bude namísto peněžního plnění Investiční příspěvek plněn formou Nepeněžního plnění). Znění reflektuje nutnost pokrýt všechny eventuality umožňující Investorovi začít stavět Investiční záměr (nebo jeho část), proto lze pod sousloví „jiný srovnatelný správní akt či právní jednání stavebního úřadu umožňující Investorovi začít stavět Investiční záměr nebo jeho část“ podřadit nejen veřejnoprávní smlouvu dle § 116 </w:t>
      </w:r>
      <w:proofErr w:type="spellStart"/>
      <w:r>
        <w:rPr>
          <w:i/>
          <w:iCs/>
        </w:rPr>
        <w:t>StavZ</w:t>
      </w:r>
      <w:proofErr w:type="spellEnd"/>
      <w:r>
        <w:rPr>
          <w:i/>
          <w:iCs/>
        </w:rPr>
        <w:t xml:space="preserve">, ale v případě Investičních záměrů nevyžadujících stavební povolení také územní rozhodnutí nebo jej nahrazující veřejnoprávní smlouvu dle § 78a </w:t>
      </w:r>
      <w:proofErr w:type="spellStart"/>
      <w:r>
        <w:rPr>
          <w:i/>
          <w:iCs/>
        </w:rPr>
        <w:t>StavZ</w:t>
      </w:r>
      <w:proofErr w:type="spellEnd"/>
      <w:r>
        <w:rPr>
          <w:i/>
          <w:iCs/>
        </w:rPr>
        <w:t xml:space="preserve">, územní souhlas dle § 96 </w:t>
      </w:r>
      <w:proofErr w:type="spellStart"/>
      <w:r>
        <w:rPr>
          <w:i/>
          <w:iCs/>
        </w:rPr>
        <w:t>StavZ</w:t>
      </w:r>
      <w:proofErr w:type="spellEnd"/>
      <w:r>
        <w:rPr>
          <w:i/>
          <w:iCs/>
        </w:rPr>
        <w:t xml:space="preserve">, společný souhlas dle § 96a </w:t>
      </w:r>
      <w:proofErr w:type="spellStart"/>
      <w:r>
        <w:rPr>
          <w:i/>
          <w:iCs/>
        </w:rPr>
        <w:t>StavZ</w:t>
      </w:r>
      <w:proofErr w:type="spellEnd"/>
      <w:r>
        <w:rPr>
          <w:i/>
          <w:iCs/>
        </w:rPr>
        <w:t xml:space="preserve">, společné povolení dle § 94y </w:t>
      </w:r>
      <w:proofErr w:type="spellStart"/>
      <w:r>
        <w:rPr>
          <w:i/>
          <w:iCs/>
        </w:rPr>
        <w:t>StavZ</w:t>
      </w:r>
      <w:proofErr w:type="spellEnd"/>
      <w:r>
        <w:rPr>
          <w:i/>
          <w:iCs/>
        </w:rPr>
        <w:t>, případně souhlas s ohlášenou stavbou nebo změnou v užívání stavby.</w:t>
      </w:r>
    </w:p>
    <w:p w14:paraId="0D70D17E" w14:textId="77777777" w:rsidR="00EC1C40" w:rsidRDefault="00000000">
      <w:pPr>
        <w:pStyle w:val="Zkladntext1"/>
        <w:framePr w:w="9725" w:h="13978" w:hRule="exact" w:wrap="none" w:vAnchor="page" w:hAnchor="page" w:x="1211" w:y="1546"/>
        <w:numPr>
          <w:ilvl w:val="1"/>
          <w:numId w:val="60"/>
        </w:numPr>
        <w:tabs>
          <w:tab w:val="left" w:pos="742"/>
        </w:tabs>
        <w:spacing w:after="260"/>
        <w:jc w:val="both"/>
      </w:pPr>
      <w:r>
        <w:t>Investiční příspěvek ve své konečné výši, snížené o poskytnutou slevu dle čl. III odst. 4 Zásad (bude-li poskytnuta) bude Investorem uhrazen vždy pouze bezhotovostně ve lhůtě splatnosti uvedené v čl. 2.7 této Smlouvy na transparentní účet Města číslo: (doplnit číslo účtu). Variabilním symbolem bude IČO Investora (v případě právnické osoby) nebo rodné číslo Investora (v případě fyzické osoby).</w:t>
      </w:r>
    </w:p>
    <w:p w14:paraId="3C2178E2" w14:textId="77777777" w:rsidR="00EC1C40" w:rsidRDefault="00000000">
      <w:pPr>
        <w:pStyle w:val="Nadpis60"/>
        <w:framePr w:w="9725" w:h="13978" w:hRule="exact" w:wrap="none" w:vAnchor="page" w:hAnchor="page" w:x="1211" w:y="1546"/>
        <w:spacing w:after="0"/>
        <w:jc w:val="both"/>
      </w:pPr>
      <w:bookmarkStart w:id="111" w:name="bookmark223"/>
      <w:r>
        <w:t>Nepeněžní plnění</w:t>
      </w:r>
      <w:bookmarkEnd w:id="111"/>
    </w:p>
    <w:p w14:paraId="6B275316" w14:textId="77777777" w:rsidR="00EC1C40" w:rsidRDefault="00000000">
      <w:pPr>
        <w:pStyle w:val="Zkladntext1"/>
        <w:framePr w:w="9725" w:h="13978" w:hRule="exact" w:wrap="none" w:vAnchor="page" w:hAnchor="page" w:x="1211" w:y="1546"/>
        <w:numPr>
          <w:ilvl w:val="1"/>
          <w:numId w:val="60"/>
        </w:numPr>
        <w:tabs>
          <w:tab w:val="left" w:pos="742"/>
        </w:tabs>
        <w:spacing w:after="0"/>
        <w:jc w:val="both"/>
      </w:pPr>
      <w:r>
        <w:t>Investor se zavazuje poskytnout Městu následující Nepeněžní plnění:</w:t>
      </w:r>
    </w:p>
    <w:p w14:paraId="5EAB5CCA" w14:textId="77777777" w:rsidR="00EC1C40" w:rsidRDefault="00000000">
      <w:pPr>
        <w:pStyle w:val="Zkladntext1"/>
        <w:framePr w:w="9725" w:h="13978" w:hRule="exact" w:wrap="none" w:vAnchor="page" w:hAnchor="page" w:x="1211" w:y="1546"/>
        <w:numPr>
          <w:ilvl w:val="0"/>
          <w:numId w:val="61"/>
        </w:numPr>
        <w:tabs>
          <w:tab w:val="left" w:pos="742"/>
        </w:tabs>
        <w:spacing w:after="0"/>
        <w:ind w:left="760" w:hanging="360"/>
        <w:jc w:val="both"/>
      </w:pPr>
      <w:r>
        <w:t xml:space="preserve">vybudování nové Veřejné infrastruktury ve smyslu § 2 odst. 1 písm. k) </w:t>
      </w:r>
      <w:proofErr w:type="spellStart"/>
      <w:r>
        <w:t>StavZ</w:t>
      </w:r>
      <w:proofErr w:type="spellEnd"/>
      <w:r>
        <w:t>, konkrétně (doplnit popis veřejné infrastruktury, obsahující kromě charakteristiky nové veřejné infrastruktury také potřebnou kapacitu této nové infrastruktury, její polohu nebo trasu, způsob a místo napojení na stávající veřejnou infrastrukturu);</w:t>
      </w:r>
    </w:p>
    <w:p w14:paraId="6F139D80" w14:textId="77777777" w:rsidR="00EC1C40" w:rsidRDefault="00000000">
      <w:pPr>
        <w:pStyle w:val="Zkladntext1"/>
        <w:framePr w:w="9725" w:h="13978" w:hRule="exact" w:wrap="none" w:vAnchor="page" w:hAnchor="page" w:x="1211" w:y="1546"/>
        <w:numPr>
          <w:ilvl w:val="0"/>
          <w:numId w:val="61"/>
        </w:numPr>
        <w:tabs>
          <w:tab w:val="left" w:pos="742"/>
        </w:tabs>
        <w:spacing w:after="0"/>
        <w:ind w:left="760" w:hanging="360"/>
        <w:jc w:val="both"/>
      </w:pPr>
      <w:r>
        <w:t xml:space="preserve">úpravy stávající Veřejné infrastruktury ve smyslu § 2 odst. 1 písm. k) </w:t>
      </w:r>
      <w:proofErr w:type="spellStart"/>
      <w:r>
        <w:t>StavZ</w:t>
      </w:r>
      <w:proofErr w:type="spellEnd"/>
      <w:r>
        <w:t>, konkrétně (doplnit popis obdobně dle písmene a))</w:t>
      </w:r>
    </w:p>
    <w:p w14:paraId="5E8E3BD2" w14:textId="77777777" w:rsidR="00EC1C40" w:rsidRDefault="00000000">
      <w:pPr>
        <w:pStyle w:val="Zkladntext1"/>
        <w:framePr w:w="9725" w:h="13978" w:hRule="exact" w:wrap="none" w:vAnchor="page" w:hAnchor="page" w:x="1211" w:y="1546"/>
        <w:numPr>
          <w:ilvl w:val="0"/>
          <w:numId w:val="61"/>
        </w:numPr>
        <w:tabs>
          <w:tab w:val="left" w:pos="742"/>
        </w:tabs>
        <w:spacing w:after="0"/>
        <w:ind w:left="760" w:hanging="360"/>
        <w:jc w:val="both"/>
      </w:pPr>
      <w:r>
        <w:t>vybudování nové bytové jednotky či nových bytových jednotek, konkrétně (doplnit podrobný popis) nebo</w:t>
      </w:r>
    </w:p>
    <w:p w14:paraId="1199DF1A" w14:textId="77777777" w:rsidR="00EC1C40" w:rsidRDefault="00000000">
      <w:pPr>
        <w:pStyle w:val="Zkladntext1"/>
        <w:framePr w:w="9725" w:h="13978" w:hRule="exact" w:wrap="none" w:vAnchor="page" w:hAnchor="page" w:x="1211" w:y="1546"/>
        <w:numPr>
          <w:ilvl w:val="0"/>
          <w:numId w:val="61"/>
        </w:numPr>
        <w:tabs>
          <w:tab w:val="left" w:pos="742"/>
        </w:tabs>
        <w:spacing w:after="0"/>
        <w:ind w:left="760" w:hanging="360"/>
        <w:jc w:val="both"/>
      </w:pPr>
      <w:r>
        <w:t>jinou movitou nebo nemovitou věc, na které se smluvní strany dohodnou (např. převod pozemku). (doplnit podrobný popis),</w:t>
      </w:r>
    </w:p>
    <w:p w14:paraId="5710ACEE" w14:textId="77777777" w:rsidR="00EC1C40" w:rsidRDefault="00000000">
      <w:pPr>
        <w:pStyle w:val="Zkladntext1"/>
        <w:framePr w:w="9725" w:h="13978" w:hRule="exact" w:wrap="none" w:vAnchor="page" w:hAnchor="page" w:x="1211" w:y="1546"/>
        <w:numPr>
          <w:ilvl w:val="0"/>
          <w:numId w:val="61"/>
        </w:numPr>
        <w:tabs>
          <w:tab w:val="left" w:pos="742"/>
        </w:tabs>
        <w:spacing w:after="0"/>
        <w:ind w:left="760" w:hanging="360"/>
        <w:jc w:val="both"/>
      </w:pPr>
      <w:r>
        <w:t>vypracování dokumentace nové či upravované Veřejné infrastruktury uvedené v písm. a) anebo b) ve smyslu vyhlášky č. 499/2006 Sb., o dokumentaci staveb, ve znění pozdějších předpisů</w:t>
      </w:r>
    </w:p>
    <w:p w14:paraId="35C7010D" w14:textId="77777777" w:rsidR="00EC1C40" w:rsidRDefault="00000000">
      <w:pPr>
        <w:pStyle w:val="Zkladntext1"/>
        <w:framePr w:w="9725" w:h="13978" w:hRule="exact" w:wrap="none" w:vAnchor="page" w:hAnchor="page" w:x="1211" w:y="1546"/>
        <w:numPr>
          <w:ilvl w:val="0"/>
          <w:numId w:val="61"/>
        </w:numPr>
        <w:tabs>
          <w:tab w:val="left" w:pos="742"/>
        </w:tabs>
        <w:spacing w:after="0"/>
        <w:ind w:left="760" w:hanging="360"/>
        <w:jc w:val="both"/>
      </w:pPr>
      <w:r>
        <w:t>organizaci architektonické anebo urbanistické soutěže v souladu se soutěžním řádem České komory architektů týkající se (doplnit popis předmětu architektonické nebo urbanistické soutěže).</w:t>
      </w:r>
    </w:p>
    <w:p w14:paraId="2E801A5A" w14:textId="77777777" w:rsidR="00EC1C40" w:rsidRDefault="00000000">
      <w:pPr>
        <w:pStyle w:val="Zkladntext1"/>
        <w:framePr w:w="9725" w:h="13978" w:hRule="exact" w:wrap="none" w:vAnchor="page" w:hAnchor="page" w:x="1211" w:y="1546"/>
        <w:spacing w:after="0"/>
        <w:jc w:val="both"/>
      </w:pPr>
      <w:r>
        <w:t>V případě Nepeněžního plnění uvedeného výše v písm. a), b) anebo c) bude toto plnění popsáno obdobně, jako je popsán Investiční záměr v čl. 1.2 této Smlouvy, včetně počtu m</w:t>
      </w:r>
      <w:r>
        <w:rPr>
          <w:vertAlign w:val="superscript"/>
        </w:rPr>
        <w:t>2</w:t>
      </w:r>
      <w:r>
        <w:t xml:space="preserve"> HPP Nepeněžního plnění.</w:t>
      </w:r>
    </w:p>
    <w:p w14:paraId="037FC53E" w14:textId="77777777" w:rsidR="00EC1C40" w:rsidRDefault="00000000">
      <w:pPr>
        <w:pStyle w:val="Zhlavnebozpat0"/>
        <w:framePr w:wrap="none" w:vAnchor="page" w:hAnchor="page" w:x="5954" w:y="15855"/>
        <w:rPr>
          <w:sz w:val="22"/>
          <w:szCs w:val="22"/>
        </w:rPr>
      </w:pPr>
      <w:r>
        <w:rPr>
          <w:color w:val="231E20"/>
          <w:sz w:val="22"/>
          <w:szCs w:val="22"/>
        </w:rPr>
        <w:t>13</w:t>
      </w:r>
    </w:p>
    <w:p w14:paraId="57BE8721"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4352F240" w14:textId="77777777" w:rsidR="00EC1C40" w:rsidRDefault="00EC1C40">
      <w:pPr>
        <w:spacing w:line="1" w:lineRule="exact"/>
      </w:pPr>
    </w:p>
    <w:p w14:paraId="6024655A" w14:textId="77777777" w:rsidR="00EC1C40" w:rsidRDefault="00000000">
      <w:pPr>
        <w:pStyle w:val="Zkladntext1"/>
        <w:framePr w:w="9725" w:h="13814" w:hRule="exact" w:wrap="none" w:vAnchor="page" w:hAnchor="page" w:x="1211" w:y="1546"/>
        <w:spacing w:after="260"/>
        <w:jc w:val="both"/>
      </w:pPr>
      <w:r>
        <w:t>Hodnota výše uvedeného Nepeněžního plnění je odborně odhadnuta na základě výše uvedeného popisu a případně též podrobnější dokumentace Nepeněžního plnění poskytnuté Investorem a stanovena fixní částkou a činí (doplnit), -Kč (slovy (doplnit) korun českých). V případě, že je Nepeněžním plněním vybudování Veřejné infrastruktury dle písm. a) tohoto ustanovení a Investor se rozhodne v souladu s čl. 2.12 této Smlouvy předat Městu tuto Veřejnou infrastrukturu spolu s pozemkem či pozemky, na kterých se nachází, nebude hodnota takového pozemku či pozemků součástí odhadované hodnoty Nepeněžního plnění.</w:t>
      </w:r>
    </w:p>
    <w:p w14:paraId="6F51214F" w14:textId="77777777" w:rsidR="00EC1C40" w:rsidRDefault="00000000">
      <w:pPr>
        <w:pStyle w:val="Zkladntext1"/>
        <w:framePr w:w="9725" w:h="13814" w:hRule="exact" w:wrap="none" w:vAnchor="page" w:hAnchor="page" w:x="1211" w:y="1546"/>
        <w:spacing w:after="140" w:line="254" w:lineRule="auto"/>
        <w:jc w:val="both"/>
      </w:pPr>
      <w:r>
        <w:rPr>
          <w:i/>
          <w:iCs/>
        </w:rPr>
        <w:t>POZNÁMKA: konkrétní popis jednotlivých Nepeněžních plnění bude vždy výsledkem dohody mezi Investorem a Městem, které bude v souladu s čl. II. odst. 2. a 3. Zásad uplatňovat vůči Investorovi své podmínky a požadavky na Nepeněžní plnění, tj. na vybudování či úpravy nové Veřejné infrastruktury nebo na vybudování nových bytových jednotek či poskytnutí jiné nemovité věci, tak, aby toto Nepeněžní plnění mělo Městem požadované vlastnosti. Podle toho se návrh smlouvy musí upravit, doplnit či změnit. Samotný popis Nepeněžního plnění v čl. 2.9 této Smlouvy by měl odpovídat popisu Investičního záměru v čl. 1.2 této Smlouvy, tj. i v případě Nepeněžního plnění bude uvedeno, o jaký záměr se jedná, na jakém pozemku bude umístěn, jaké budou jeho základní parametry, včetně jeho rozlohy v m</w:t>
      </w:r>
      <w:r>
        <w:rPr>
          <w:i/>
          <w:iCs/>
          <w:vertAlign w:val="superscript"/>
        </w:rPr>
        <w:t>2</w:t>
      </w:r>
      <w:r>
        <w:rPr>
          <w:i/>
          <w:iCs/>
        </w:rPr>
        <w:t xml:space="preserve"> HPP, a jaké bude Nepeněžní plnění klást nároky na veřejnou infrastrukturu.</w:t>
      </w:r>
    </w:p>
    <w:p w14:paraId="1677B7F5" w14:textId="77777777" w:rsidR="00EC1C40" w:rsidRDefault="00000000">
      <w:pPr>
        <w:pStyle w:val="Zkladntext1"/>
        <w:framePr w:w="9725" w:h="13814" w:hRule="exact" w:wrap="none" w:vAnchor="page" w:hAnchor="page" w:x="1211" w:y="1546"/>
        <w:numPr>
          <w:ilvl w:val="1"/>
          <w:numId w:val="60"/>
        </w:numPr>
        <w:tabs>
          <w:tab w:val="left" w:pos="740"/>
        </w:tabs>
        <w:spacing w:after="260"/>
        <w:jc w:val="both"/>
      </w:pPr>
      <w:r>
        <w:t xml:space="preserve">Pokud je Nepeněžní plnění, uvedené v čl. 2.9 této Smlouvy, tvořené více stavbami ve smyslu § 2 odst. 3 </w:t>
      </w:r>
      <w:proofErr w:type="spellStart"/>
      <w:r>
        <w:t>StavZ</w:t>
      </w:r>
      <w:proofErr w:type="spellEnd"/>
      <w:r>
        <w:t>, které je možné samostatně užívat, může Investor plnit Nepeněžní plnění po částech, tvořených jednotlivými stavbami tak, jak jsou vymezeny výše. Jinak plní Investor Nepeněžní plnění jako celek.</w:t>
      </w:r>
    </w:p>
    <w:p w14:paraId="09D8E6FB" w14:textId="77777777" w:rsidR="00EC1C40" w:rsidRDefault="00000000">
      <w:pPr>
        <w:pStyle w:val="Zkladntext1"/>
        <w:framePr w:w="9725" w:h="13814" w:hRule="exact" w:wrap="none" w:vAnchor="page" w:hAnchor="page" w:x="1211" w:y="1546"/>
        <w:numPr>
          <w:ilvl w:val="1"/>
          <w:numId w:val="60"/>
        </w:numPr>
        <w:tabs>
          <w:tab w:val="left" w:pos="740"/>
        </w:tabs>
        <w:spacing w:after="0"/>
        <w:jc w:val="both"/>
      </w:pPr>
      <w:r>
        <w:t>Investor se v případě Nepeněžního plnění, uvedeného v čl. 2.9 této Smlouvy, zavazuje na vlastní náklady zajistit</w:t>
      </w:r>
    </w:p>
    <w:p w14:paraId="6121EEC4" w14:textId="77777777" w:rsidR="00EC1C40" w:rsidRDefault="00000000">
      <w:pPr>
        <w:pStyle w:val="Zkladntext1"/>
        <w:framePr w:w="9725" w:h="13814" w:hRule="exact" w:wrap="none" w:vAnchor="page" w:hAnchor="page" w:x="1211" w:y="1546"/>
        <w:numPr>
          <w:ilvl w:val="0"/>
          <w:numId w:val="62"/>
        </w:numPr>
        <w:tabs>
          <w:tab w:val="left" w:pos="740"/>
        </w:tabs>
        <w:spacing w:after="0"/>
        <w:ind w:left="760" w:hanging="360"/>
        <w:jc w:val="both"/>
      </w:pPr>
      <w:r>
        <w:t>vypracování příslušné dokumentace stavby ve smyslu vyhlášky č. 499/2006 Sb., o dokumentaci staveb, ve znění pozdějších předpisů,</w:t>
      </w:r>
    </w:p>
    <w:p w14:paraId="6DD1CF42" w14:textId="77777777" w:rsidR="00EC1C40" w:rsidRDefault="00000000">
      <w:pPr>
        <w:pStyle w:val="Zkladntext1"/>
        <w:framePr w:w="9725" w:h="13814" w:hRule="exact" w:wrap="none" w:vAnchor="page" w:hAnchor="page" w:x="1211" w:y="1546"/>
        <w:numPr>
          <w:ilvl w:val="0"/>
          <w:numId w:val="62"/>
        </w:numPr>
        <w:tabs>
          <w:tab w:val="left" w:pos="740"/>
        </w:tabs>
        <w:spacing w:after="0"/>
        <w:ind w:left="760" w:hanging="360"/>
        <w:jc w:val="both"/>
      </w:pPr>
      <w:r>
        <w:t>geodetické zaměření Nepeněžního plnění a vyhotovení příslušné dokumentace související se zápisem Nepeněžního plnění do katastru nemovitostí, a</w:t>
      </w:r>
    </w:p>
    <w:p w14:paraId="2509130F" w14:textId="77777777" w:rsidR="00EC1C40" w:rsidRDefault="00000000">
      <w:pPr>
        <w:pStyle w:val="Zkladntext1"/>
        <w:framePr w:w="9725" w:h="13814" w:hRule="exact" w:wrap="none" w:vAnchor="page" w:hAnchor="page" w:x="1211" w:y="1546"/>
        <w:numPr>
          <w:ilvl w:val="0"/>
          <w:numId w:val="62"/>
        </w:numPr>
        <w:tabs>
          <w:tab w:val="left" w:pos="740"/>
        </w:tabs>
        <w:spacing w:after="0"/>
        <w:ind w:left="760" w:hanging="360"/>
        <w:jc w:val="both"/>
      </w:pPr>
      <w:r>
        <w:t>obstarat si veškerá potřebná rozhodnutí, povolení, stanoviska a souhlasy potřebné pro realizaci takového Nepeněžního plnění v souladu s právními předpisy a příslušnými technickými normami.</w:t>
      </w:r>
    </w:p>
    <w:p w14:paraId="682CF87E" w14:textId="77777777" w:rsidR="00EC1C40" w:rsidRDefault="00000000">
      <w:pPr>
        <w:pStyle w:val="Zkladntext1"/>
        <w:framePr w:w="9725" w:h="13814" w:hRule="exact" w:wrap="none" w:vAnchor="page" w:hAnchor="page" w:x="1211" w:y="1546"/>
        <w:spacing w:after="260"/>
        <w:jc w:val="both"/>
      </w:pPr>
      <w:r>
        <w:t xml:space="preserve">Dále Investor zajistí v souladu s příslušnými právními předpisy, že pro Nepeněžní plnění, uvedené v čl. 2.9 této Smlouvy anebo každou část takového Nepeněžního plnění řádně vznikne právo tuto stavbu užívat ve smyslu § 119 </w:t>
      </w:r>
      <w:proofErr w:type="spellStart"/>
      <w:r>
        <w:t>an</w:t>
      </w:r>
      <w:proofErr w:type="spellEnd"/>
      <w:r>
        <w:t xml:space="preserve">. </w:t>
      </w:r>
      <w:proofErr w:type="spellStart"/>
      <w:r>
        <w:t>StavZ</w:t>
      </w:r>
      <w:proofErr w:type="spellEnd"/>
      <w:r>
        <w:t xml:space="preserve"> (tj. že každá stavba tvořící Nepeněžní plnění bude řádně zkolaudována).</w:t>
      </w:r>
    </w:p>
    <w:p w14:paraId="2045F602" w14:textId="77777777" w:rsidR="00EC1C40" w:rsidRDefault="00000000">
      <w:pPr>
        <w:pStyle w:val="Zkladntext1"/>
        <w:framePr w:w="9725" w:h="13814" w:hRule="exact" w:wrap="none" w:vAnchor="page" w:hAnchor="page" w:x="1211" w:y="1546"/>
        <w:numPr>
          <w:ilvl w:val="1"/>
          <w:numId w:val="60"/>
        </w:numPr>
        <w:tabs>
          <w:tab w:val="left" w:pos="740"/>
        </w:tabs>
        <w:spacing w:after="0"/>
        <w:jc w:val="both"/>
      </w:pPr>
      <w:r>
        <w:t>Investor se zavazuje převést Nepeněžní plnění, uvedené v čl. 2.9 této Smlouvy, do vlastnictví Města, a to ve lhůtě do (doplnit) dní od vydání pravomocného kolaudační rozhodnutí pro Nepeněžní plnění nebo ode dne právních účinků kolaudačního souhlasu pro takové Nepeněžní plnění. Spolu s Nepeněžním plněním je Investor povinen předat Městu také dokumentaci skutečného provedení převáděného či poskytovaného Nepeněžního plnění, zpracovanou podle vyhlášky č. 499/2006 Sb., o dokumentaci staveb, ve znění pozdějších předpisů, geometrický plán, záruční listy, technické listy, prohlášení o shodě a další související dokumentaci převáděného či poskytovaného Nepeněžního plnění, a to pro řádné, nerušené a bezpečné užívání předmětu Nepeněžitého plnění.</w:t>
      </w:r>
    </w:p>
    <w:p w14:paraId="36FB6459" w14:textId="77777777" w:rsidR="00EC1C40" w:rsidRDefault="00000000">
      <w:pPr>
        <w:pStyle w:val="Zkladntext1"/>
        <w:framePr w:w="9725" w:h="13814" w:hRule="exact" w:wrap="none" w:vAnchor="page" w:hAnchor="page" w:x="1211" w:y="1546"/>
        <w:spacing w:after="260"/>
        <w:jc w:val="both"/>
      </w:pPr>
      <w:r>
        <w:t>Takto Investorem převáděné Nepeněžní plnění nesmí být (pokud nedojde k jiné dohodě) zatíženo věcným břemenem, zástavním právem na něm váznoucím či jiným věcným právem třetí osoby k předmětu Nepeněžního plnění. V případě, že je Nepeněžním plněním Veřejná infrastruktura, musí být Městu předána Investorem buď spolu s pozemkem či pozemky, na kterých se nachází, anebo musí Investor ve prospěch Města zřídit na takovém pozemku či pozemcích, na nichž se Veřejná infrastruktura nachází, služebnost ve prospěch Města.</w:t>
      </w:r>
    </w:p>
    <w:p w14:paraId="654577F5" w14:textId="77777777" w:rsidR="00EC1C40" w:rsidRDefault="00000000">
      <w:pPr>
        <w:pStyle w:val="Zkladntext1"/>
        <w:framePr w:w="9725" w:h="13814" w:hRule="exact" w:wrap="none" w:vAnchor="page" w:hAnchor="page" w:x="1211" w:y="1546"/>
        <w:spacing w:after="0"/>
        <w:jc w:val="both"/>
      </w:pPr>
      <w:r>
        <w:rPr>
          <w:i/>
          <w:iCs/>
        </w:rPr>
        <w:t>POZNÁMKA: ustanovení čl. 2.12 Smlouvy předpokládá, že Investorem převáděné Nepeněžní plnění nebude zatíženo žádnými věcnými břemeny (služebnostmi, reálnými břemeny), avšak zejména v případě tzv. služebností inženýrské sítě ve smyslu § 1267 OZ lze připustit zatížení Nepeněžního plnění těmito služebnostmi</w:t>
      </w:r>
    </w:p>
    <w:p w14:paraId="3517D2BD" w14:textId="77777777" w:rsidR="00EC1C40" w:rsidRDefault="00000000">
      <w:pPr>
        <w:pStyle w:val="Zhlavnebozpat0"/>
        <w:framePr w:wrap="none" w:vAnchor="page" w:hAnchor="page" w:x="5954" w:y="15855"/>
        <w:rPr>
          <w:sz w:val="22"/>
          <w:szCs w:val="22"/>
        </w:rPr>
      </w:pPr>
      <w:r>
        <w:rPr>
          <w:color w:val="231E20"/>
          <w:sz w:val="22"/>
          <w:szCs w:val="22"/>
        </w:rPr>
        <w:t>14</w:t>
      </w:r>
    </w:p>
    <w:p w14:paraId="6DFC633D"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06781F6A" w14:textId="77777777" w:rsidR="00EC1C40" w:rsidRDefault="00EC1C40">
      <w:pPr>
        <w:spacing w:line="1" w:lineRule="exact"/>
      </w:pPr>
    </w:p>
    <w:p w14:paraId="4959C98C" w14:textId="77777777" w:rsidR="00EC1C40" w:rsidRDefault="00000000">
      <w:pPr>
        <w:pStyle w:val="Zkladntext1"/>
        <w:framePr w:w="9725" w:h="13771" w:hRule="exact" w:wrap="none" w:vAnchor="page" w:hAnchor="page" w:x="1211" w:y="1546"/>
        <w:spacing w:after="260"/>
        <w:jc w:val="both"/>
      </w:pPr>
      <w:r>
        <w:rPr>
          <w:i/>
          <w:iCs/>
        </w:rPr>
        <w:t>(např. vedení rozvodu vysokého napětí nad pozemkem); tyto služebnosti však musí být ve Smlouvě dále konkretizovány. Podotýkáme, že zřízení služebností inženýrské sítě je coby soukromoprávní institut nezávislé na veřejnoprávních omezeních vlastníků dotčených nemovitostí plynoucích přímo ze zvláštních právních předpisů (např. § 24 odst. 3 písm. e) až h) zákona č. 458/2000 Sb., energetického zákona, ve znění pozdějších předpisů), přičemž pro tato veřejnoprávní omezení ani nemusí být zřizována odpovídající věcná břemena. V harmonogramu by měl být vždy uveden termín kolaudace Nepeněžního plnění.</w:t>
      </w:r>
    </w:p>
    <w:p w14:paraId="1495E7DD" w14:textId="77777777" w:rsidR="00EC1C40" w:rsidRDefault="00000000">
      <w:pPr>
        <w:pStyle w:val="Zkladntext1"/>
        <w:framePr w:w="9725" w:h="13771" w:hRule="exact" w:wrap="none" w:vAnchor="page" w:hAnchor="page" w:x="1211" w:y="1546"/>
        <w:numPr>
          <w:ilvl w:val="1"/>
          <w:numId w:val="60"/>
        </w:numPr>
        <w:tabs>
          <w:tab w:val="left" w:pos="721"/>
        </w:tabs>
        <w:spacing w:after="260"/>
        <w:jc w:val="both"/>
      </w:pPr>
      <w:r>
        <w:t>Investor zajistí převod ze záruk za jakost týkajících se Nepeněžního plnění, uvedeného v čl. 2.12 této Smlouvy, na Město anebo sám poskytne Městu na takové Nepeněžní plnění záruky, a to po dobu trvání minimálně 60 měsíců ode dne předání stavby městu takového Nepeněžního plnění anebo každé části Nepeněžního plnění.</w:t>
      </w:r>
    </w:p>
    <w:p w14:paraId="55ECC141" w14:textId="77777777" w:rsidR="00EC1C40" w:rsidRDefault="00000000">
      <w:pPr>
        <w:pStyle w:val="Nadpis60"/>
        <w:framePr w:w="9725" w:h="13771" w:hRule="exact" w:wrap="none" w:vAnchor="page" w:hAnchor="page" w:x="1211" w:y="1546"/>
        <w:spacing w:after="0"/>
        <w:jc w:val="both"/>
      </w:pPr>
      <w:bookmarkStart w:id="112" w:name="bookmark225"/>
      <w:r>
        <w:t>Další závazky Investora</w:t>
      </w:r>
      <w:bookmarkEnd w:id="112"/>
    </w:p>
    <w:p w14:paraId="76BECEC0" w14:textId="77777777" w:rsidR="00EC1C40" w:rsidRDefault="00000000">
      <w:pPr>
        <w:pStyle w:val="Zkladntext1"/>
        <w:framePr w:w="9725" w:h="13771" w:hRule="exact" w:wrap="none" w:vAnchor="page" w:hAnchor="page" w:x="1211" w:y="1546"/>
        <w:numPr>
          <w:ilvl w:val="1"/>
          <w:numId w:val="60"/>
        </w:numPr>
        <w:tabs>
          <w:tab w:val="left" w:pos="721"/>
        </w:tabs>
        <w:spacing w:after="0"/>
        <w:jc w:val="both"/>
      </w:pPr>
      <w:r>
        <w:t>Investor se zavazuje v případě, že se rozhodne realizovat svůj Investiční záměr (neboť z této smlouvy mu neplyne povinnost svůj Investiční záměr realizovat), realizovat jej v souladu s čl. 1.2 této Smlouvy a dle příslušných termínů uvedených v harmonogramu vybudování Investičního záměru anebo Nepeněžního plnění. Harmonogram je přílohou č. 1 této Smlouvy.</w:t>
      </w:r>
    </w:p>
    <w:p w14:paraId="110E8A6C" w14:textId="77777777" w:rsidR="00EC1C40" w:rsidRDefault="00000000">
      <w:pPr>
        <w:pStyle w:val="Zkladntext1"/>
        <w:framePr w:w="9725" w:h="13771" w:hRule="exact" w:wrap="none" w:vAnchor="page" w:hAnchor="page" w:x="1211" w:y="1546"/>
        <w:numPr>
          <w:ilvl w:val="0"/>
          <w:numId w:val="63"/>
        </w:numPr>
        <w:tabs>
          <w:tab w:val="left" w:pos="721"/>
        </w:tabs>
        <w:spacing w:after="0"/>
        <w:jc w:val="both"/>
      </w:pPr>
      <w:r>
        <w:rPr>
          <w:color w:val="142A56"/>
        </w:rPr>
        <w:t>Závazky Města</w:t>
      </w:r>
    </w:p>
    <w:p w14:paraId="75E10FA6" w14:textId="77777777" w:rsidR="00EC1C40" w:rsidRDefault="00000000">
      <w:pPr>
        <w:pStyle w:val="Zkladntext1"/>
        <w:framePr w:w="9725" w:h="13771" w:hRule="exact" w:wrap="none" w:vAnchor="page" w:hAnchor="page" w:x="1211" w:y="1546"/>
        <w:numPr>
          <w:ilvl w:val="1"/>
          <w:numId w:val="64"/>
        </w:numPr>
        <w:tabs>
          <w:tab w:val="left" w:pos="715"/>
          <w:tab w:val="left" w:pos="721"/>
        </w:tabs>
        <w:spacing w:after="0"/>
        <w:jc w:val="both"/>
      </w:pPr>
      <w:r>
        <w:t xml:space="preserve">Město se zavazuje poskytnout Investorovi </w:t>
      </w:r>
      <w:r>
        <w:rPr>
          <w:b/>
          <w:bCs/>
        </w:rPr>
        <w:t>veškerou nezbytnou součinnost v rámci své samostatné</w:t>
      </w:r>
    </w:p>
    <w:p w14:paraId="562238E8" w14:textId="77777777" w:rsidR="00EC1C40" w:rsidRDefault="00000000">
      <w:pPr>
        <w:pStyle w:val="Zkladntext1"/>
        <w:framePr w:w="9725" w:h="13771" w:hRule="exact" w:wrap="none" w:vAnchor="page" w:hAnchor="page" w:x="1211" w:y="1546"/>
        <w:spacing w:after="260"/>
        <w:jc w:val="both"/>
      </w:pPr>
      <w:r>
        <w:rPr>
          <w:b/>
          <w:bCs/>
        </w:rPr>
        <w:t xml:space="preserve">působnosti </w:t>
      </w:r>
      <w:r>
        <w:t>pro realizaci jeho Investičního záměru ve smyslu čl. IV. odst. 2. Zásad. V rámci této součinnosti Město poskytne Investorovi součinnost k získání potřebných veřejnoprávních povolení, rozhodnutí či stanovisek a poskytne Investorovi veškerou potřebnou součinnost ve správních řízeních týkajících se umístění a realizace Investičního záměru (zejména v územním řízení, společném řízení, stavebním řízení a v řízeních souvisejících, včetně případného řízení o posuzování vlivů na životní prostředí), a to vždy na základě předchozí výzvy Investora k poskytnutí konkrétní součinnosti. Pokud si smluvní strany nesjednají jinak, je Město povinno poskytnout součinnost do patnácti (15) pracovních dní ode dne doručení výzvy Investora. Pro vyloučení jakýchkoli pochybností smluvní strany této Smlouvy konstatují, že Město není v rámci veškeré nezbytné součinnosti oprávněno zasahovat do výkonu státní správy.</w:t>
      </w:r>
    </w:p>
    <w:p w14:paraId="79EE01CE" w14:textId="77777777" w:rsidR="00EC1C40" w:rsidRDefault="00000000">
      <w:pPr>
        <w:pStyle w:val="Zkladntext1"/>
        <w:framePr w:w="9725" w:h="13771" w:hRule="exact" w:wrap="none" w:vAnchor="page" w:hAnchor="page" w:x="1211" w:y="1546"/>
        <w:spacing w:after="260"/>
        <w:jc w:val="both"/>
      </w:pPr>
      <w:r>
        <w:rPr>
          <w:i/>
          <w:iCs/>
        </w:rPr>
        <w:t>POZNÁMKA: konkrétní součinnost, vyžadovaná Investorem, bude muset být specifikována pro každý konkrétní Investiční záměr. Základním východiskem možných závazků Města je čl. IV. odst. 2. písm. a) až d) Zásad, to však smluvním stranám nebrání dohodnout si i poskytnutí součinnosti jiným způsobem. Město však bude vždy limitováno rozsahem své samostatné působnosti a právními předpisy, včetně obsahu obecně závazné vyhlášky č. 4/2019, kterou se vydává Statutu města Pardubic, ve znění pozdějších předpisů.</w:t>
      </w:r>
    </w:p>
    <w:p w14:paraId="3AC840C2" w14:textId="77777777" w:rsidR="00EC1C40" w:rsidRDefault="00000000">
      <w:pPr>
        <w:pStyle w:val="Zkladntext1"/>
        <w:framePr w:w="9725" w:h="13771" w:hRule="exact" w:wrap="none" w:vAnchor="page" w:hAnchor="page" w:x="1211" w:y="1546"/>
        <w:numPr>
          <w:ilvl w:val="1"/>
          <w:numId w:val="64"/>
        </w:numPr>
        <w:tabs>
          <w:tab w:val="left" w:pos="721"/>
        </w:tabs>
        <w:spacing w:after="260"/>
        <w:jc w:val="both"/>
      </w:pPr>
      <w:r>
        <w:t>Město si vyhrazuje možnost odmítnout poskytnout Investorovi nezbytnou součinnost požadovanou Investorem dle čl. 3.1 této smlouvy v případě, že bude zjištěno, že Investiční záměr může mít negativní dopady zjištěné v řízení dle zákona č. 100/2001 Sb., o posuzování vlivů na životní prostředí, ve znění pozdějších předpisů, nebo Investor nebude plnit své závazky vůči Městu.</w:t>
      </w:r>
    </w:p>
    <w:p w14:paraId="2F69354F" w14:textId="77777777" w:rsidR="00EC1C40" w:rsidRDefault="00000000">
      <w:pPr>
        <w:pStyle w:val="Zkladntext1"/>
        <w:framePr w:w="9725" w:h="13771" w:hRule="exact" w:wrap="none" w:vAnchor="page" w:hAnchor="page" w:x="1211" w:y="1546"/>
        <w:numPr>
          <w:ilvl w:val="1"/>
          <w:numId w:val="64"/>
        </w:numPr>
        <w:tabs>
          <w:tab w:val="left" w:pos="721"/>
        </w:tabs>
        <w:spacing w:after="260"/>
        <w:jc w:val="both"/>
      </w:pPr>
      <w:r>
        <w:t xml:space="preserve">Město se zavazuje poskytnout Investorovi veškerou nezbytnou součinnost v rámci své samostatné působnosti pro uskutečnění Nepeněžního plnění, uvedeného v čl. 2.9 </w:t>
      </w:r>
      <w:proofErr w:type="spellStart"/>
      <w:r>
        <w:t>an</w:t>
      </w:r>
      <w:proofErr w:type="spellEnd"/>
      <w:r>
        <w:t>. této smlouvy, a to ve lhůtě a v rozsahu odpovídajícímu součinnosti poskytované Městem dle čl. 3.1 této smlouvy.</w:t>
      </w:r>
    </w:p>
    <w:p w14:paraId="722EE193" w14:textId="77777777" w:rsidR="00EC1C40" w:rsidRDefault="00000000">
      <w:pPr>
        <w:pStyle w:val="Zkladntext1"/>
        <w:framePr w:w="9725" w:h="13771" w:hRule="exact" w:wrap="none" w:vAnchor="page" w:hAnchor="page" w:x="1211" w:y="1546"/>
        <w:numPr>
          <w:ilvl w:val="1"/>
          <w:numId w:val="64"/>
        </w:numPr>
        <w:tabs>
          <w:tab w:val="left" w:pos="721"/>
        </w:tabs>
        <w:spacing w:after="0"/>
        <w:jc w:val="both"/>
      </w:pPr>
      <w:r>
        <w:t xml:space="preserve">Město se zavazuje ve lhůtě do sto dvaceti (120) dní ode dne předchozí výzvy Investora </w:t>
      </w:r>
      <w:r>
        <w:rPr>
          <w:b/>
          <w:bCs/>
        </w:rPr>
        <w:t xml:space="preserve">převzít do svého vlastnictví </w:t>
      </w:r>
      <w:r>
        <w:t xml:space="preserve">Investorem převáděné či poskytované Nepeněžní plnění dle čl. 2.9 </w:t>
      </w:r>
      <w:proofErr w:type="spellStart"/>
      <w:r>
        <w:t>an</w:t>
      </w:r>
      <w:proofErr w:type="spellEnd"/>
      <w:r>
        <w:t>. této Smlouvy, nebo jeho část, a toto Nepeněžní plnění dále spravovat pod podmínkou, že jej Investor vybuduje či upraví v souladu s touto Smlouvou. Pro případ, že by Nepeněžní plnění</w:t>
      </w:r>
    </w:p>
    <w:p w14:paraId="0B90C85B" w14:textId="77777777" w:rsidR="00EC1C40" w:rsidRDefault="00000000">
      <w:pPr>
        <w:pStyle w:val="Zkladntext1"/>
        <w:framePr w:w="9725" w:h="13771" w:hRule="exact" w:wrap="none" w:vAnchor="page" w:hAnchor="page" w:x="1211" w:y="1546"/>
        <w:numPr>
          <w:ilvl w:val="0"/>
          <w:numId w:val="65"/>
        </w:numPr>
        <w:tabs>
          <w:tab w:val="left" w:pos="721"/>
        </w:tabs>
        <w:spacing w:after="0"/>
        <w:ind w:firstLine="400"/>
        <w:jc w:val="both"/>
      </w:pPr>
      <w:r>
        <w:t>nebylo Investorem vybudováno či upraveno v souladu s touto Smlouvou,</w:t>
      </w:r>
    </w:p>
    <w:p w14:paraId="4C62F997" w14:textId="77777777" w:rsidR="00EC1C40" w:rsidRDefault="00000000">
      <w:pPr>
        <w:pStyle w:val="Zkladntext1"/>
        <w:framePr w:w="9725" w:h="13771" w:hRule="exact" w:wrap="none" w:vAnchor="page" w:hAnchor="page" w:x="1211" w:y="1546"/>
        <w:numPr>
          <w:ilvl w:val="0"/>
          <w:numId w:val="65"/>
        </w:numPr>
        <w:tabs>
          <w:tab w:val="left" w:pos="721"/>
        </w:tabs>
        <w:spacing w:after="0"/>
        <w:ind w:firstLine="400"/>
        <w:jc w:val="both"/>
      </w:pPr>
      <w:r>
        <w:t>nebylo řádně zkolaudováno, nebo</w:t>
      </w:r>
    </w:p>
    <w:p w14:paraId="0C0DE7FB" w14:textId="77777777" w:rsidR="00EC1C40" w:rsidRDefault="00000000">
      <w:pPr>
        <w:pStyle w:val="Zkladntext1"/>
        <w:framePr w:w="9725" w:h="13771" w:hRule="exact" w:wrap="none" w:vAnchor="page" w:hAnchor="page" w:x="1211" w:y="1546"/>
        <w:numPr>
          <w:ilvl w:val="0"/>
          <w:numId w:val="65"/>
        </w:numPr>
        <w:tabs>
          <w:tab w:val="left" w:pos="721"/>
        </w:tabs>
        <w:spacing w:after="0"/>
        <w:ind w:firstLine="400"/>
        <w:jc w:val="both"/>
      </w:pPr>
      <w:r>
        <w:t>Investor neposkytne Městu na Nepeněžní plnění nebo jeho část záruky dle čl. 2.13 této Smlouvy</w:t>
      </w:r>
    </w:p>
    <w:p w14:paraId="0C893EA9" w14:textId="77777777" w:rsidR="00EC1C40" w:rsidRDefault="00000000">
      <w:pPr>
        <w:pStyle w:val="Zhlavnebozpat0"/>
        <w:framePr w:wrap="none" w:vAnchor="page" w:hAnchor="page" w:x="5954" w:y="15855"/>
        <w:rPr>
          <w:sz w:val="22"/>
          <w:szCs w:val="22"/>
        </w:rPr>
      </w:pPr>
      <w:r>
        <w:rPr>
          <w:color w:val="231E20"/>
          <w:sz w:val="22"/>
          <w:szCs w:val="22"/>
        </w:rPr>
        <w:t>15</w:t>
      </w:r>
    </w:p>
    <w:p w14:paraId="08358EE6"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09B7B532" w14:textId="77777777" w:rsidR="00EC1C40" w:rsidRDefault="00EC1C40">
      <w:pPr>
        <w:spacing w:line="1" w:lineRule="exact"/>
      </w:pPr>
    </w:p>
    <w:p w14:paraId="67AEF602" w14:textId="77777777" w:rsidR="00EC1C40" w:rsidRDefault="00000000">
      <w:pPr>
        <w:pStyle w:val="Zkladntext1"/>
        <w:framePr w:wrap="none" w:vAnchor="page" w:hAnchor="page" w:x="1211" w:y="1546"/>
        <w:spacing w:after="0"/>
        <w:jc w:val="both"/>
      </w:pPr>
      <w:r>
        <w:t>je Město oprávněno takové Nepeněžní plnění nepřevzít.</w:t>
      </w:r>
    </w:p>
    <w:p w14:paraId="3E20A96E" w14:textId="77777777" w:rsidR="00EC1C40" w:rsidRDefault="00000000">
      <w:pPr>
        <w:pStyle w:val="Zkladntext1"/>
        <w:framePr w:w="9725" w:h="13234" w:hRule="exact" w:wrap="none" w:vAnchor="page" w:hAnchor="page" w:x="1211" w:y="2084"/>
        <w:numPr>
          <w:ilvl w:val="1"/>
          <w:numId w:val="64"/>
        </w:numPr>
        <w:tabs>
          <w:tab w:val="left" w:pos="716"/>
        </w:tabs>
        <w:spacing w:after="260"/>
        <w:jc w:val="both"/>
      </w:pPr>
      <w:r>
        <w:t>Město se zavazuje ověřit realizaci Investorem provedeného Adaptačního opatření, konkretizovaného v příloze č. 3 této Smlouvy, a to ve lhůtě do konce třetího měsíce následujícího po měsíci, v němž bude vydáno pravomocné kolaudační rozhodnutí pro Investiční záměr nebo v němž nabude právních účinků kolaudační souhlas pro Investiční záměr. Pokud bude výsledkem tohoto ověření zjištění, že Adaptační opatření nebylo realizováno v souladu s touto Smlouvou, bude Investor písemně Městem vyzván k doplacení částky odpovídající slevě z Investičního příspěvku poskytnuté Městem dle čl. III odst. 4 Zásad, která činí (doplnit) ,- Kč (slovy (doplnit) korun českých), a to ve lhůtě do 30 dní od doručení písemné výzvy Města na účet uvedený v čl. I odst. 2.8 této Smlouvy.</w:t>
      </w:r>
    </w:p>
    <w:p w14:paraId="0610C0B9" w14:textId="77777777" w:rsidR="00EC1C40" w:rsidRDefault="00000000">
      <w:pPr>
        <w:pStyle w:val="Zkladntext1"/>
        <w:framePr w:w="9725" w:h="13234" w:hRule="exact" w:wrap="none" w:vAnchor="page" w:hAnchor="page" w:x="1211" w:y="2084"/>
        <w:spacing w:after="0"/>
        <w:jc w:val="both"/>
      </w:pPr>
      <w:r>
        <w:rPr>
          <w:i/>
          <w:iCs/>
        </w:rPr>
        <w:t>POZNÁMKA: sleva, poskytovaná Městem Investorovi na základě čl. III odst. 4 Zásad, se promítá do určení konečné výše Investičního příspěvku. Sleva za realizaci Adaptačního opatření je tedy poskytnuta dříve, než dojde k samotné realizaci Investičního záměru. Proto je třeba dodatečně ověřit, zda k realizaci Adaptačního opatření došlo v souladu s čl. I odst. 1.5 této Smlouvy. K samotnému ověření dojde obvykle během kolaudace Investičního záměru, jak to předpokládají Zásady. Pokud se zjistí, že k realizaci uvedeného opatření nedošlo v souladu se Smlouvou, je Investor povinen poskytnutou slevu „vrátit“ Městu.</w:t>
      </w:r>
    </w:p>
    <w:p w14:paraId="4BBE31ED" w14:textId="77777777" w:rsidR="00EC1C40" w:rsidRDefault="00000000">
      <w:pPr>
        <w:pStyle w:val="Zkladntext1"/>
        <w:framePr w:w="9725" w:h="13234" w:hRule="exact" w:wrap="none" w:vAnchor="page" w:hAnchor="page" w:x="1211" w:y="2084"/>
        <w:numPr>
          <w:ilvl w:val="0"/>
          <w:numId w:val="63"/>
        </w:numPr>
        <w:tabs>
          <w:tab w:val="left" w:pos="716"/>
        </w:tabs>
        <w:spacing w:after="0"/>
        <w:jc w:val="both"/>
      </w:pPr>
      <w:r>
        <w:rPr>
          <w:color w:val="142A56"/>
        </w:rPr>
        <w:t>Další ujednání smluvních stran</w:t>
      </w:r>
    </w:p>
    <w:p w14:paraId="5A8E3E31" w14:textId="77777777" w:rsidR="00EC1C40" w:rsidRDefault="00000000">
      <w:pPr>
        <w:pStyle w:val="Zkladntext1"/>
        <w:framePr w:w="9725" w:h="13234" w:hRule="exact" w:wrap="none" w:vAnchor="page" w:hAnchor="page" w:x="1211" w:y="2084"/>
        <w:numPr>
          <w:ilvl w:val="1"/>
          <w:numId w:val="66"/>
        </w:numPr>
        <w:tabs>
          <w:tab w:val="left" w:pos="716"/>
          <w:tab w:val="left" w:pos="720"/>
        </w:tabs>
        <w:spacing w:after="0"/>
        <w:jc w:val="both"/>
      </w:pPr>
      <w:r>
        <w:t>Investor jako záruku k zajištění svých závazků uvedených v čl. 2.1, 2.2, 2.5, 2.9, 2.11 až 2.14, čl. 5.2 a</w:t>
      </w:r>
    </w:p>
    <w:p w14:paraId="1DF4C9A0" w14:textId="77777777" w:rsidR="00EC1C40" w:rsidRDefault="00000000">
      <w:pPr>
        <w:pStyle w:val="Zkladntext1"/>
        <w:framePr w:w="9725" w:h="13234" w:hRule="exact" w:wrap="none" w:vAnchor="page" w:hAnchor="page" w:x="1211" w:y="2084"/>
        <w:spacing w:after="0"/>
        <w:jc w:val="both"/>
      </w:pPr>
      <w:r>
        <w:t>čl. 5.6 této Smlouvy ve lhůtě do (doplnit počet) dnů ode dne uzavření Smlouvy:</w:t>
      </w:r>
    </w:p>
    <w:p w14:paraId="52E7C136" w14:textId="77777777" w:rsidR="00EC1C40" w:rsidRDefault="00000000">
      <w:pPr>
        <w:pStyle w:val="Zkladntext1"/>
        <w:framePr w:w="9725" w:h="13234" w:hRule="exact" w:wrap="none" w:vAnchor="page" w:hAnchor="page" w:x="1211" w:y="2084"/>
        <w:numPr>
          <w:ilvl w:val="0"/>
          <w:numId w:val="67"/>
        </w:numPr>
        <w:tabs>
          <w:tab w:val="left" w:pos="716"/>
        </w:tabs>
        <w:spacing w:after="0"/>
        <w:ind w:left="760" w:hanging="360"/>
        <w:jc w:val="both"/>
      </w:pPr>
      <w:r>
        <w:t xml:space="preserve">uzavře a zřídí ve prospěch Města bankovní záruku ve smyslu § 2029 </w:t>
      </w:r>
      <w:proofErr w:type="spellStart"/>
      <w:r>
        <w:t>an</w:t>
      </w:r>
      <w:proofErr w:type="spellEnd"/>
      <w:r>
        <w:t>. OZ ve výši Investičního příspěvku, a to v rozsahu a znění předem Městem schváleným, a předloží originál záruční listiny předmětné bankovní záruky Městu, nebo</w:t>
      </w:r>
    </w:p>
    <w:p w14:paraId="1FEC1667" w14:textId="77777777" w:rsidR="00EC1C40" w:rsidRDefault="00000000">
      <w:pPr>
        <w:pStyle w:val="Zkladntext1"/>
        <w:framePr w:w="9725" w:h="13234" w:hRule="exact" w:wrap="none" w:vAnchor="page" w:hAnchor="page" w:x="1211" w:y="2084"/>
        <w:numPr>
          <w:ilvl w:val="0"/>
          <w:numId w:val="67"/>
        </w:numPr>
        <w:tabs>
          <w:tab w:val="left" w:pos="716"/>
        </w:tabs>
        <w:spacing w:after="0"/>
        <w:ind w:left="760" w:hanging="360"/>
        <w:jc w:val="both"/>
      </w:pPr>
      <w:r>
        <w:t xml:space="preserve">zřídí ve prospěch Města ve smyslu § 1309 </w:t>
      </w:r>
      <w:r>
        <w:rPr>
          <w:lang w:val="en-US" w:eastAsia="en-US" w:bidi="en-US"/>
        </w:rPr>
        <w:t xml:space="preserve">an. </w:t>
      </w:r>
      <w:r>
        <w:t>OZ zástavu k věci nemovité, a to: (doplnit konkrétní specifikaci), bytu nebo nebytového prostoru (doplnit konkrétní specifikaci), obchodnímu podílu (doplnit konkrétní specifikaci) nebo k cennému papíru (doplnit konkrétní specifikaci), nebo (</w:t>
      </w:r>
      <w:r>
        <w:rPr>
          <w:i/>
          <w:iCs/>
        </w:rPr>
        <w:t>POZNÁMKA: nehodící se v konkrétní uzavírané smlouvě vypustí, na konkrétní podobě zajištění se smluvní strany dohodnou</w:t>
      </w:r>
      <w:r>
        <w:t>.)</w:t>
      </w:r>
    </w:p>
    <w:p w14:paraId="3F242278" w14:textId="77777777" w:rsidR="00EC1C40" w:rsidRDefault="00000000">
      <w:pPr>
        <w:pStyle w:val="Zkladntext1"/>
        <w:framePr w:w="9725" w:h="13234" w:hRule="exact" w:wrap="none" w:vAnchor="page" w:hAnchor="page" w:x="1211" w:y="2084"/>
        <w:numPr>
          <w:ilvl w:val="0"/>
          <w:numId w:val="67"/>
        </w:numPr>
        <w:tabs>
          <w:tab w:val="left" w:pos="716"/>
        </w:tabs>
        <w:spacing w:after="0"/>
        <w:ind w:firstLine="400"/>
        <w:jc w:val="both"/>
      </w:pPr>
      <w:r>
        <w:t>sjedná s Městem níže konkretizované smluvní pokuty.</w:t>
      </w:r>
    </w:p>
    <w:p w14:paraId="684B2025" w14:textId="77777777" w:rsidR="00EC1C40" w:rsidRDefault="00000000">
      <w:pPr>
        <w:pStyle w:val="Zkladntext1"/>
        <w:framePr w:w="9725" w:h="13234" w:hRule="exact" w:wrap="none" w:vAnchor="page" w:hAnchor="page" w:x="1211" w:y="2084"/>
        <w:spacing w:after="260"/>
        <w:jc w:val="both"/>
      </w:pPr>
      <w:r>
        <w:t>Na konkrétní podobě zajištění shora uvedených závazků Investora se smluvní strany dohodnou v souladu s čl. VI. Zásad.</w:t>
      </w:r>
    </w:p>
    <w:p w14:paraId="251D2161" w14:textId="77777777" w:rsidR="00EC1C40" w:rsidRDefault="00000000">
      <w:pPr>
        <w:pStyle w:val="Zkladntext1"/>
        <w:framePr w:w="9725" w:h="13234" w:hRule="exact" w:wrap="none" w:vAnchor="page" w:hAnchor="page" w:x="1211" w:y="2084"/>
        <w:spacing w:after="0"/>
        <w:jc w:val="both"/>
      </w:pPr>
      <w:r>
        <w:rPr>
          <w:i/>
          <w:iCs/>
        </w:rPr>
        <w:t>POZNÁMKA: Pokud Investor poskytne Městu bankovní záruku dle čl. 4.1 písm. a) této Smlouvy, touto zárukou bude ve prospěch Města neodvolatelně a bezpodmínečně zajištěna povinnost Investora řádně splnit své závazky, uvedené v této Smlouvě. Město bude oprávněno uplatnit písemně právo z bankovní záruky v případě, že Investor bude v prodlení s plněním některého svého závazku zajištěného bankovní zárukou po dobu delší (doplnit) dnů, a to i přes písemnou výzvu Města ke splnění takového závazku. Investor bude povinen nejpozději při podpisu této Smlouvy předložit Městu originál záruční listiny obsahující bezpodmínečný závazek banky vyplatit Městu bankovní záruku v případě nesplnění závazku Investora. Investor bude povinen zajistit platnost bankovní záruky po celou dobu trvání této Smlouvy.</w:t>
      </w:r>
    </w:p>
    <w:p w14:paraId="69965C54" w14:textId="77777777" w:rsidR="00EC1C40" w:rsidRDefault="00000000">
      <w:pPr>
        <w:pStyle w:val="Zkladntext1"/>
        <w:framePr w:w="9725" w:h="13234" w:hRule="exact" w:wrap="none" w:vAnchor="page" w:hAnchor="page" w:x="1211" w:y="2084"/>
        <w:spacing w:after="260"/>
        <w:jc w:val="both"/>
      </w:pPr>
      <w:r>
        <w:rPr>
          <w:i/>
          <w:iCs/>
        </w:rPr>
        <w:t>Pokud si smluvní strany namísto bankovní záruky a namísto zřízení zástavy sjednají smluvní pokuty, musí konkretizovat závazky Investora těmito pokutami zajištěné (doplnit konkrétní závazky zajištění smluvní pokutou spolu s určením výše smluvní pokuty za každý den prodlení buď procentem z dlužné částky, nebo fixní částkou). Investor nebude v prodlení v případě, že mu Město v rozporu s touto Smlouvou odmítne po předchozí písemné výzvě Investora poskytnout součinnost nutnou ke splnění závazku. Nedohodnou-li si smluvní strany něco jiného, bude platit, že zaplacením smluvní pokuty dohodnuté v této Smlouvě se neruší povinnost Investora závazek splnit, ani právo Města vedle smluvní pokuty požadovat i náhradu škody přesahující uhrazenou smluvní pokutu v plné výši.</w:t>
      </w:r>
    </w:p>
    <w:p w14:paraId="4860F767" w14:textId="77777777" w:rsidR="00EC1C40" w:rsidRDefault="00000000">
      <w:pPr>
        <w:pStyle w:val="Zkladntext1"/>
        <w:framePr w:w="9725" w:h="13234" w:hRule="exact" w:wrap="none" w:vAnchor="page" w:hAnchor="page" w:x="1211" w:y="2084"/>
        <w:numPr>
          <w:ilvl w:val="1"/>
          <w:numId w:val="66"/>
        </w:numPr>
        <w:tabs>
          <w:tab w:val="left" w:pos="716"/>
          <w:tab w:val="left" w:pos="720"/>
        </w:tabs>
        <w:spacing w:after="0"/>
        <w:jc w:val="both"/>
      </w:pPr>
      <w:r>
        <w:t>Poruší-li Investor povinnost informovat své právní nástupce o existenci a obsahu této Smlouvy včetně</w:t>
      </w:r>
    </w:p>
    <w:p w14:paraId="4B00120B" w14:textId="77777777" w:rsidR="00EC1C40" w:rsidRDefault="00000000">
      <w:pPr>
        <w:pStyle w:val="Zkladntext1"/>
        <w:framePr w:w="9725" w:h="13234" w:hRule="exact" w:wrap="none" w:vAnchor="page" w:hAnchor="page" w:x="1211" w:y="2084"/>
        <w:spacing w:after="0"/>
        <w:jc w:val="both"/>
      </w:pPr>
      <w:r>
        <w:t>všech jejích pozdějších dodatků v souladu s čl. 5.7 této Smlouvy, zavazuje se na výzvu Města bez jakýchkoli</w:t>
      </w:r>
    </w:p>
    <w:p w14:paraId="5CC111DA" w14:textId="77777777" w:rsidR="00EC1C40" w:rsidRDefault="00000000">
      <w:pPr>
        <w:pStyle w:val="Zhlavnebozpat0"/>
        <w:framePr w:wrap="none" w:vAnchor="page" w:hAnchor="page" w:x="5949" w:y="15855"/>
        <w:rPr>
          <w:sz w:val="22"/>
          <w:szCs w:val="22"/>
        </w:rPr>
      </w:pPr>
      <w:r>
        <w:rPr>
          <w:color w:val="231E20"/>
          <w:sz w:val="22"/>
          <w:szCs w:val="22"/>
        </w:rPr>
        <w:t>16</w:t>
      </w:r>
    </w:p>
    <w:p w14:paraId="75D6BA93"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49C08633" w14:textId="77777777" w:rsidR="00EC1C40" w:rsidRDefault="00EC1C40">
      <w:pPr>
        <w:spacing w:line="1" w:lineRule="exact"/>
      </w:pPr>
    </w:p>
    <w:p w14:paraId="79E92279" w14:textId="77777777" w:rsidR="00EC1C40" w:rsidRDefault="00000000">
      <w:pPr>
        <w:pStyle w:val="Zkladntext1"/>
        <w:framePr w:w="9715" w:h="13234" w:hRule="exact" w:wrap="none" w:vAnchor="page" w:hAnchor="page" w:x="1216" w:y="1546"/>
        <w:spacing w:after="260"/>
        <w:jc w:val="both"/>
      </w:pPr>
      <w:r>
        <w:t>výhrad či podmínek zaplatit Městu smluvní pokutu ve výši 10.000,- Kč za každé jednotlivé porušení této informační povinnosti, a to do čtrnácti (14) dnů ode dne doručení výzvy.</w:t>
      </w:r>
    </w:p>
    <w:p w14:paraId="7FDC74E3" w14:textId="77777777" w:rsidR="00EC1C40" w:rsidRDefault="00000000">
      <w:pPr>
        <w:pStyle w:val="Zkladntext1"/>
        <w:framePr w:w="9715" w:h="13234" w:hRule="exact" w:wrap="none" w:vAnchor="page" w:hAnchor="page" w:x="1216" w:y="1546"/>
        <w:spacing w:after="0"/>
        <w:jc w:val="both"/>
      </w:pPr>
      <w:r>
        <w:rPr>
          <w:i/>
          <w:iCs/>
        </w:rPr>
        <w:t>POZNÁMKA: v souladu s čl. VI. odst. 1 Zásad musí být odpovídajícím způsobem zajištěny nejen závazky Investora, ale též závazky Města, obsažené v čl. 3.1, 3.3, 3.4 a 5.2 této Smlouvy (jinak by Smlouva byla nevyvážená). Konkrétní výše zajištění, stejně jako navržených smluvních pokut, bude vždy určena s ohledem na obsah konkrétní Smlouvy, totiž s ohledem na závazky Města.</w:t>
      </w:r>
    </w:p>
    <w:p w14:paraId="477D2F43" w14:textId="77777777" w:rsidR="00EC1C40" w:rsidRDefault="00000000">
      <w:pPr>
        <w:pStyle w:val="Zkladntext1"/>
        <w:framePr w:w="9715" w:h="13234" w:hRule="exact" w:wrap="none" w:vAnchor="page" w:hAnchor="page" w:x="1216" w:y="1546"/>
        <w:numPr>
          <w:ilvl w:val="0"/>
          <w:numId w:val="63"/>
        </w:numPr>
        <w:tabs>
          <w:tab w:val="left" w:pos="709"/>
        </w:tabs>
        <w:spacing w:after="0"/>
        <w:jc w:val="both"/>
      </w:pPr>
      <w:r>
        <w:rPr>
          <w:color w:val="142A56"/>
        </w:rPr>
        <w:t>Závěrečná ustanovení</w:t>
      </w:r>
    </w:p>
    <w:p w14:paraId="288AEE7D" w14:textId="77777777" w:rsidR="00EC1C40" w:rsidRDefault="00000000">
      <w:pPr>
        <w:pStyle w:val="Zkladntext1"/>
        <w:framePr w:w="9715" w:h="13234" w:hRule="exact" w:wrap="none" w:vAnchor="page" w:hAnchor="page" w:x="1216" w:y="1546"/>
        <w:numPr>
          <w:ilvl w:val="1"/>
          <w:numId w:val="68"/>
        </w:numPr>
        <w:tabs>
          <w:tab w:val="left" w:pos="709"/>
        </w:tabs>
        <w:spacing w:after="260"/>
        <w:jc w:val="both"/>
      </w:pPr>
      <w:r>
        <w:t>Smluvní strany prohlašují, že tuto Smlouvu uzavírají po vzájemném projednání dobrovolně, dle jejich pravé, vážné a svobodné vůle, nikoli v tísni za nevýhodných podmínek. Smluvní strany dále prohlašují, že si tuto smlouvu před jejím podpisem přečetly a jsou si vědomy veškerých svých práv a povinností z této Smlouvy vyplývajících.</w:t>
      </w:r>
    </w:p>
    <w:p w14:paraId="74EC0062" w14:textId="77777777" w:rsidR="00EC1C40" w:rsidRDefault="00000000">
      <w:pPr>
        <w:pStyle w:val="Zkladntext1"/>
        <w:framePr w:w="9715" w:h="13234" w:hRule="exact" w:wrap="none" w:vAnchor="page" w:hAnchor="page" w:x="1216" w:y="1546"/>
        <w:numPr>
          <w:ilvl w:val="1"/>
          <w:numId w:val="68"/>
        </w:numPr>
        <w:tabs>
          <w:tab w:val="left" w:pos="709"/>
        </w:tabs>
        <w:spacing w:after="260"/>
        <w:jc w:val="both"/>
      </w:pPr>
      <w:r>
        <w:t>Smluvní strany se zavazují řádně spolupracovat a včas se navzájem informovat o všech podstatných okolnostech, které mohou mít vliv na řádné plnění účelu této Smlouvy. Takovou podstatnou okolností je také vydání stavebního povolení, společného povolení nebo jiného srovnatelného správního aktu stavebního úřadu či právního jednání umožňujícího Investorovi začít stavět Investiční záměr.</w:t>
      </w:r>
    </w:p>
    <w:p w14:paraId="1CD79AAD" w14:textId="77777777" w:rsidR="00EC1C40" w:rsidRDefault="00000000">
      <w:pPr>
        <w:pStyle w:val="Zkladntext1"/>
        <w:framePr w:w="9715" w:h="13234" w:hRule="exact" w:wrap="none" w:vAnchor="page" w:hAnchor="page" w:x="1216" w:y="1546"/>
        <w:numPr>
          <w:ilvl w:val="1"/>
          <w:numId w:val="68"/>
        </w:numPr>
        <w:tabs>
          <w:tab w:val="left" w:pos="709"/>
        </w:tabs>
        <w:spacing w:after="260"/>
        <w:jc w:val="both"/>
      </w:pPr>
      <w:r>
        <w:t xml:space="preserve">Tato Smlouva se vyhotovuje v </w:t>
      </w:r>
      <w:r>
        <w:rPr>
          <w:b/>
          <w:bCs/>
        </w:rPr>
        <w:t xml:space="preserve">pěti </w:t>
      </w:r>
      <w:r>
        <w:t>vyhotoveních, přičemž každá smluvní strana obdrží po dvou vyhotoveních a jedno vyhotovení bude předloženo příslušnému stavebnímu úřadu.</w:t>
      </w:r>
    </w:p>
    <w:p w14:paraId="1655A80E" w14:textId="77777777" w:rsidR="00EC1C40" w:rsidRDefault="00000000">
      <w:pPr>
        <w:pStyle w:val="Zkladntext1"/>
        <w:framePr w:w="9715" w:h="13234" w:hRule="exact" w:wrap="none" w:vAnchor="page" w:hAnchor="page" w:x="1216" w:y="1546"/>
        <w:numPr>
          <w:ilvl w:val="1"/>
          <w:numId w:val="68"/>
        </w:numPr>
        <w:tabs>
          <w:tab w:val="left" w:pos="709"/>
        </w:tabs>
        <w:spacing w:after="260"/>
        <w:jc w:val="both"/>
      </w:pPr>
      <w:r>
        <w:t>Tato Smlouva může být měněna pouze písemnými číslovanými dodatky, podepsanými oprávněnými zástupci smluvních stran. Jiná forma změn Smlouvy je vyloučena.</w:t>
      </w:r>
    </w:p>
    <w:p w14:paraId="6F1CE651" w14:textId="77777777" w:rsidR="00EC1C40" w:rsidRDefault="00000000">
      <w:pPr>
        <w:pStyle w:val="Zkladntext1"/>
        <w:framePr w:w="9715" w:h="13234" w:hRule="exact" w:wrap="none" w:vAnchor="page" w:hAnchor="page" w:x="1216" w:y="1546"/>
        <w:numPr>
          <w:ilvl w:val="1"/>
          <w:numId w:val="68"/>
        </w:numPr>
        <w:tabs>
          <w:tab w:val="left" w:pos="709"/>
        </w:tabs>
        <w:spacing w:after="260"/>
        <w:jc w:val="both"/>
      </w:pPr>
      <w:r>
        <w:t>Tato Smlouva je uzavřena na dobu určitou, a to na dobu do dokončení Investičního záměru Investora, uvedeného v čl. 1.2 této Smlouvy.</w:t>
      </w:r>
    </w:p>
    <w:p w14:paraId="42BCAB56" w14:textId="77777777" w:rsidR="00EC1C40" w:rsidRDefault="00000000">
      <w:pPr>
        <w:pStyle w:val="Zkladntext1"/>
        <w:framePr w:w="9715" w:h="13234" w:hRule="exact" w:wrap="none" w:vAnchor="page" w:hAnchor="page" w:x="1216" w:y="1546"/>
        <w:numPr>
          <w:ilvl w:val="1"/>
          <w:numId w:val="68"/>
        </w:numPr>
        <w:tabs>
          <w:tab w:val="left" w:pos="709"/>
        </w:tabs>
        <w:spacing w:after="260"/>
        <w:jc w:val="both"/>
      </w:pPr>
      <w:r>
        <w:t xml:space="preserve">V případě úmyslu Investora převést svá práva a povinnosti k Investičnímu záměru na jiný subjekt, je Investor povinen Město o tomto svém úmyslu bez zbytečného odkladu písemnou formou vyrozumět. V případě, že se Investor rozhodne záměr nerealizovat a převede svůj Investiční záměr jako celek ve stejné podobě na třetí osobu, zavazuje se zajistit postoupení všech práv a povinností vyplývajících z této Smlouvy na třetí subjekt, Město k tomu poskytne nezbytnou součinnost. Smluvní strany prohlašují, že povaha Smlouvy postoupení nevylučuje, a souhlasí s ním. Pro případ, že by převod práva povinností z této smlouvy nebyl možný podle § 1895 </w:t>
      </w:r>
      <w:proofErr w:type="spellStart"/>
      <w:r>
        <w:t>an</w:t>
      </w:r>
      <w:proofErr w:type="spellEnd"/>
      <w:r>
        <w:t>. OZ, zavazují se smluvní strany do 3 měsíců od doručení výzvy některé z nich uzavřít dodatek k této Smlouvě, jehož předmětem bude převod práv a povinností z této Smlouvy.</w:t>
      </w:r>
    </w:p>
    <w:p w14:paraId="5B05CA19" w14:textId="77777777" w:rsidR="00EC1C40" w:rsidRDefault="00000000">
      <w:pPr>
        <w:pStyle w:val="Zkladntext1"/>
        <w:framePr w:w="9715" w:h="13234" w:hRule="exact" w:wrap="none" w:vAnchor="page" w:hAnchor="page" w:x="1216" w:y="1546"/>
        <w:numPr>
          <w:ilvl w:val="1"/>
          <w:numId w:val="68"/>
        </w:numPr>
        <w:tabs>
          <w:tab w:val="left" w:pos="709"/>
        </w:tabs>
        <w:spacing w:after="260"/>
        <w:jc w:val="both"/>
      </w:pPr>
      <w:r>
        <w:t>Investor se zavazuje k tomu, že smluvně zaváže své případné právní nástupce k převzetí práv a povinností plynoucích z této Smlouvy. Pokud Investor tuto povinnost poruší, odpovídá Městu za škodu, která mu postupem v rozporu s tímto ujednáním vznikne.</w:t>
      </w:r>
    </w:p>
    <w:p w14:paraId="08270258" w14:textId="77777777" w:rsidR="00EC1C40" w:rsidRDefault="00000000">
      <w:pPr>
        <w:pStyle w:val="Zkladntext1"/>
        <w:framePr w:w="9715" w:h="13234" w:hRule="exact" w:wrap="none" w:vAnchor="page" w:hAnchor="page" w:x="1216" w:y="1546"/>
        <w:numPr>
          <w:ilvl w:val="1"/>
          <w:numId w:val="68"/>
        </w:numPr>
        <w:tabs>
          <w:tab w:val="left" w:pos="709"/>
        </w:tabs>
        <w:spacing w:after="260"/>
        <w:jc w:val="both"/>
      </w:pPr>
      <w:r>
        <w:t>Investor se zavazuje k tomu, že bude své případné právní nástupce prokazatelně informovat o existenci a obsahu této Smlouvy ve znění všech případných pozdějších dodatků, a dále se Investor zavazuje, že smluvně zaváže své případné právní nástupce k tomu, že i tito budou mít povinnost informovat své případné právní nástupce o existenci a obsahu této Smlouvy ve znění všech případných pozdějších dodatků.</w:t>
      </w:r>
    </w:p>
    <w:p w14:paraId="5B91949A" w14:textId="77777777" w:rsidR="00EC1C40" w:rsidRDefault="00000000">
      <w:pPr>
        <w:pStyle w:val="Zkladntext1"/>
        <w:framePr w:w="9715" w:h="13234" w:hRule="exact" w:wrap="none" w:vAnchor="page" w:hAnchor="page" w:x="1216" w:y="1546"/>
        <w:spacing w:after="0"/>
        <w:jc w:val="both"/>
      </w:pPr>
      <w:r>
        <w:rPr>
          <w:i/>
          <w:iCs/>
        </w:rPr>
        <w:t>POZNÁMKA: Je na Investorovi, jak bude své právní nástupce informovat o existenci a obsahu Smlouvy včetně všech pozdějších dodatků, např. zda od nich bude vyžadovat podepsané písemné prohlášení, že byli informováni, zda jim zašle doporučený dopis s dodejkou s přiloženou Smlouvou nebo zda je bude informovat jiným způsobem.</w:t>
      </w:r>
    </w:p>
    <w:p w14:paraId="7AFEBF58" w14:textId="77777777" w:rsidR="00EC1C40" w:rsidRDefault="00000000">
      <w:pPr>
        <w:pStyle w:val="Zhlavnebozpat0"/>
        <w:framePr w:wrap="none" w:vAnchor="page" w:hAnchor="page" w:x="5958" w:y="15855"/>
        <w:rPr>
          <w:sz w:val="22"/>
          <w:szCs w:val="22"/>
        </w:rPr>
      </w:pPr>
      <w:r>
        <w:rPr>
          <w:color w:val="231E20"/>
          <w:sz w:val="22"/>
          <w:szCs w:val="22"/>
        </w:rPr>
        <w:t>17</w:t>
      </w:r>
    </w:p>
    <w:p w14:paraId="19FF8649"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7ACF66F9" w14:textId="77777777" w:rsidR="00EC1C40" w:rsidRDefault="00000000">
      <w:pPr>
        <w:spacing w:line="1" w:lineRule="exact"/>
      </w:pPr>
      <w:r>
        <w:rPr>
          <w:noProof/>
        </w:rPr>
        <w:lastRenderedPageBreak/>
        <mc:AlternateContent>
          <mc:Choice Requires="wps">
            <w:drawing>
              <wp:anchor distT="0" distB="0" distL="114300" distR="114300" simplePos="0" relativeHeight="251707904" behindDoc="1" locked="0" layoutInCell="1" allowOverlap="1" wp14:anchorId="5F8A8D2D" wp14:editId="6156DB13">
                <wp:simplePos x="0" y="0"/>
                <wp:positionH relativeFrom="page">
                  <wp:posOffset>797560</wp:posOffset>
                </wp:positionH>
                <wp:positionV relativeFrom="page">
                  <wp:posOffset>5053330</wp:posOffset>
                </wp:positionV>
                <wp:extent cx="2154555" cy="0"/>
                <wp:effectExtent l="0" t="0" r="0" b="0"/>
                <wp:wrapNone/>
                <wp:docPr id="127" name="Shape 127"/>
                <wp:cNvGraphicFramePr/>
                <a:graphic xmlns:a="http://schemas.openxmlformats.org/drawingml/2006/main">
                  <a:graphicData uri="http://schemas.microsoft.com/office/word/2010/wordprocessingShape">
                    <wps:wsp>
                      <wps:cNvCnPr/>
                      <wps:spPr>
                        <a:xfrm>
                          <a:off x="0" y="0"/>
                          <a:ext cx="2154555" cy="0"/>
                        </a:xfrm>
                        <a:prstGeom prst="straightConnector1">
                          <a:avLst/>
                        </a:prstGeom>
                        <a:ln w="8890">
                          <a:solidFill/>
                        </a:ln>
                      </wps:spPr>
                      <wps:bodyPr/>
                    </wps:wsp>
                  </a:graphicData>
                </a:graphic>
              </wp:anchor>
            </w:drawing>
          </mc:Choice>
          <mc:Fallback>
            <w:pict>
              <v:shape o:spt="32" o:oned="true" path="m,l21600,21600e" style="position:absolute;margin-left:62.800000000000004pt;margin-top:397.90000000000003pt;width:169.65000000000001pt;height:0;z-index:-251658240;mso-position-horizontal-relative:page;mso-position-vertical-relative:page">
                <v:stroke weight="0.70000000000000007pt"/>
              </v:shape>
            </w:pict>
          </mc:Fallback>
        </mc:AlternateContent>
      </w:r>
      <w:r>
        <w:rPr>
          <w:noProof/>
        </w:rPr>
        <mc:AlternateContent>
          <mc:Choice Requires="wps">
            <w:drawing>
              <wp:anchor distT="0" distB="0" distL="114300" distR="114300" simplePos="0" relativeHeight="251708928" behindDoc="1" locked="0" layoutInCell="1" allowOverlap="1" wp14:anchorId="5C1F5F09" wp14:editId="3A8DD521">
                <wp:simplePos x="0" y="0"/>
                <wp:positionH relativeFrom="page">
                  <wp:posOffset>4391025</wp:posOffset>
                </wp:positionH>
                <wp:positionV relativeFrom="page">
                  <wp:posOffset>5053330</wp:posOffset>
                </wp:positionV>
                <wp:extent cx="2155190" cy="0"/>
                <wp:effectExtent l="0" t="0" r="0" b="0"/>
                <wp:wrapNone/>
                <wp:docPr id="128" name="Shape 128"/>
                <wp:cNvGraphicFramePr/>
                <a:graphic xmlns:a="http://schemas.openxmlformats.org/drawingml/2006/main">
                  <a:graphicData uri="http://schemas.microsoft.com/office/word/2010/wordprocessingShape">
                    <wps:wsp>
                      <wps:cNvCnPr/>
                      <wps:spPr>
                        <a:xfrm>
                          <a:off x="0" y="0"/>
                          <a:ext cx="2155190" cy="0"/>
                        </a:xfrm>
                        <a:prstGeom prst="straightConnector1">
                          <a:avLst/>
                        </a:prstGeom>
                        <a:ln w="8890">
                          <a:solidFill/>
                        </a:ln>
                      </wps:spPr>
                      <wps:bodyPr/>
                    </wps:wsp>
                  </a:graphicData>
                </a:graphic>
              </wp:anchor>
            </w:drawing>
          </mc:Choice>
          <mc:Fallback>
            <w:pict>
              <v:shape o:spt="32" o:oned="true" path="m,l21600,21600e" style="position:absolute;margin-left:345.75pt;margin-top:397.90000000000003pt;width:169.70000000000002pt;height:0;z-index:-251658240;mso-position-horizontal-relative:page;mso-position-vertical-relative:page">
                <v:stroke weight="0.70000000000000007pt"/>
              </v:shape>
            </w:pict>
          </mc:Fallback>
        </mc:AlternateContent>
      </w:r>
    </w:p>
    <w:p w14:paraId="01AE511A" w14:textId="77777777" w:rsidR="00EC1C40" w:rsidRDefault="00000000">
      <w:pPr>
        <w:pStyle w:val="Zkladntext1"/>
        <w:framePr w:w="9682" w:h="5136" w:hRule="exact" w:wrap="none" w:vAnchor="page" w:hAnchor="page" w:x="1233" w:y="1546"/>
        <w:numPr>
          <w:ilvl w:val="1"/>
          <w:numId w:val="68"/>
        </w:numPr>
        <w:tabs>
          <w:tab w:val="left" w:pos="710"/>
        </w:tabs>
        <w:spacing w:after="0"/>
        <w:jc w:val="both"/>
      </w:pPr>
      <w:r>
        <w:t>Smlouva nabývá platnosti dnem jejího podpisu poslední smluvní stranou, účinnosti pak nabývá dnem uveřejnění v registru smluv v souladu se zákonem č. 340/2015 Sb., o registru smluv, ve znění pozdějších předpisů (dále též „ZRS“). Uveřejnění Smlouvy zajistí Město, a to ve lhůtě do 30 dní ode dne uzavření této Smlouvy. Neprodleně po uveřejnění této Smlouvy v registru smluv o tomto uveřejnění písemně informuje Investora. Investor není povinen správnost uveřejnění Smlouvy zkontrolovat. V případě, že Město z nějakého důvodu Smlouvu v registru smluv v uvedené lhůtě neuveřejní, vyhrazuje si Investor právo Smlouvu po uplynutí uvedené lhůty uveřejnit prostřednictvím registru smluv.</w:t>
      </w:r>
    </w:p>
    <w:p w14:paraId="176A02A1" w14:textId="77777777" w:rsidR="00EC1C40" w:rsidRDefault="00000000">
      <w:pPr>
        <w:pStyle w:val="Zkladntext1"/>
        <w:framePr w:w="9682" w:h="5136" w:hRule="exact" w:wrap="none" w:vAnchor="page" w:hAnchor="page" w:x="1233" w:y="1546"/>
        <w:spacing w:after="260"/>
        <w:jc w:val="both"/>
      </w:pPr>
      <w:r>
        <w:t>Smluvní strana, která provedla opravu uveřejněné Smlouvy dle § 5 odst. 7 ZRS, odpovídá za její správnost obdobně. Druhá smluvní strana není povinna správnost provedené opravy zkontrolovat.</w:t>
      </w:r>
    </w:p>
    <w:p w14:paraId="58F38619" w14:textId="77777777" w:rsidR="00EC1C40" w:rsidRDefault="00000000">
      <w:pPr>
        <w:pStyle w:val="Zkladntext1"/>
        <w:framePr w:w="9682" w:h="5136" w:hRule="exact" w:wrap="none" w:vAnchor="page" w:hAnchor="page" w:x="1233" w:y="1546"/>
        <w:numPr>
          <w:ilvl w:val="1"/>
          <w:numId w:val="68"/>
        </w:numPr>
        <w:tabs>
          <w:tab w:val="left" w:pos="710"/>
        </w:tabs>
        <w:spacing w:after="0"/>
        <w:jc w:val="both"/>
      </w:pPr>
      <w:r>
        <w:t>Pro vyloučení jakýchkoli pochybností smluvní strany prohlašují, že souhlasí s uveřejněním výše uvedené smlouvy včetně všech jejích příloh, jakož i pozdějších změn Smlouvy prostřednictvím dodatků uzavřených smluvními stranami dle čl. 5.4 této Smlouvy, prostřednictvím registru smluv v rozsahu a způsobem vyplývajícím ze zákona č. 340/2015 Sb., o registru smluv, ve znění pozdějších předpisů.</w:t>
      </w:r>
    </w:p>
    <w:p w14:paraId="116C52FD" w14:textId="77777777" w:rsidR="00EC1C40" w:rsidRDefault="00000000">
      <w:pPr>
        <w:pStyle w:val="Zkladntext1"/>
        <w:framePr w:w="9682" w:h="5136" w:hRule="exact" w:wrap="none" w:vAnchor="page" w:hAnchor="page" w:x="1233" w:y="1546"/>
        <w:spacing w:after="260"/>
        <w:jc w:val="both"/>
      </w:pPr>
      <w:r>
        <w:t>Smlouva neobsahuje žádné informace, které by nemohly být uveřejněny podle ZRS, resp. které by nemohly být poskytnuty podle právních předpisů upravujících svobodný přístup k informacím.</w:t>
      </w:r>
    </w:p>
    <w:p w14:paraId="03B86897" w14:textId="77777777" w:rsidR="00EC1C40" w:rsidRDefault="00000000">
      <w:pPr>
        <w:pStyle w:val="Zkladntext1"/>
        <w:framePr w:w="9682" w:h="5136" w:hRule="exact" w:wrap="none" w:vAnchor="page" w:hAnchor="page" w:x="1233" w:y="1546"/>
        <w:numPr>
          <w:ilvl w:val="1"/>
          <w:numId w:val="68"/>
        </w:numPr>
        <w:tabs>
          <w:tab w:val="left" w:pos="710"/>
        </w:tabs>
        <w:spacing w:after="0"/>
        <w:jc w:val="both"/>
      </w:pPr>
      <w:r>
        <w:t xml:space="preserve">Tato Smlouva by a schválena usnesením Zastupitelstva města Pardubic č. (doplnit) na jeho (doplnit) zasedání, konaném dne (doplnit datum ve formátu </w:t>
      </w:r>
      <w:proofErr w:type="spellStart"/>
      <w:r>
        <w:t>den.měsíc.rok</w:t>
      </w:r>
      <w:proofErr w:type="spellEnd"/>
      <w:r>
        <w:t>).</w:t>
      </w:r>
    </w:p>
    <w:p w14:paraId="54911091" w14:textId="77777777" w:rsidR="00EC1C40" w:rsidRDefault="00000000">
      <w:pPr>
        <w:pStyle w:val="Zkladntext1"/>
        <w:framePr w:wrap="none" w:vAnchor="page" w:hAnchor="page" w:x="1233" w:y="6917"/>
        <w:spacing w:after="0"/>
      </w:pPr>
      <w:r>
        <w:t>V Pardubicích dne (doplnit)</w:t>
      </w:r>
    </w:p>
    <w:p w14:paraId="5C356EDA" w14:textId="77777777" w:rsidR="00EC1C40" w:rsidRDefault="00000000">
      <w:pPr>
        <w:pStyle w:val="Zkladntext1"/>
        <w:framePr w:wrap="none" w:vAnchor="page" w:hAnchor="page" w:x="6892" w:y="6917"/>
        <w:spacing w:after="0"/>
      </w:pPr>
      <w:r>
        <w:t>V (doplnit) dne (doplnit)</w:t>
      </w:r>
    </w:p>
    <w:p w14:paraId="08EA9BC8" w14:textId="77777777" w:rsidR="00EC1C40" w:rsidRDefault="00000000">
      <w:pPr>
        <w:pStyle w:val="Zkladntext1"/>
        <w:framePr w:w="9706" w:h="557" w:hRule="exact" w:wrap="none" w:vAnchor="page" w:hAnchor="page" w:x="1228" w:y="8170"/>
        <w:spacing w:after="0"/>
        <w:ind w:left="14"/>
      </w:pPr>
      <w:r>
        <w:t>(doplnit zástupce statutárního města Pardubice)</w:t>
      </w:r>
      <w:r>
        <w:br/>
        <w:t>Investora)</w:t>
      </w:r>
    </w:p>
    <w:p w14:paraId="2B67016D" w14:textId="77777777" w:rsidR="00EC1C40" w:rsidRDefault="00000000">
      <w:pPr>
        <w:pStyle w:val="Zkladntext1"/>
        <w:framePr w:wrap="none" w:vAnchor="page" w:hAnchor="page" w:x="7612" w:y="8170"/>
        <w:spacing w:after="0"/>
      </w:pPr>
      <w:r>
        <w:t>(doplnit osobu jednající za</w:t>
      </w:r>
    </w:p>
    <w:p w14:paraId="29AE8E29" w14:textId="77777777" w:rsidR="00EC1C40" w:rsidRDefault="00000000">
      <w:pPr>
        <w:pStyle w:val="Zkladntext1"/>
        <w:framePr w:w="1186" w:h="1114" w:hRule="exact" w:wrap="none" w:vAnchor="page" w:hAnchor="page" w:x="1247" w:y="9552"/>
        <w:spacing w:after="0"/>
      </w:pPr>
      <w:r>
        <w:rPr>
          <w:color w:val="142A56"/>
        </w:rPr>
        <w:t>Přílohy</w:t>
      </w:r>
    </w:p>
    <w:p w14:paraId="28909363" w14:textId="77777777" w:rsidR="00EC1C40" w:rsidRDefault="00000000">
      <w:pPr>
        <w:pStyle w:val="Zkladntext1"/>
        <w:framePr w:w="1186" w:h="1114" w:hRule="exact" w:wrap="none" w:vAnchor="page" w:hAnchor="page" w:x="1247" w:y="9552"/>
        <w:spacing w:after="0"/>
      </w:pPr>
      <w:r>
        <w:t>Příloha č. 1 -</w:t>
      </w:r>
    </w:p>
    <w:p w14:paraId="4D73044C" w14:textId="77777777" w:rsidR="00EC1C40" w:rsidRDefault="00000000">
      <w:pPr>
        <w:pStyle w:val="Zkladntext1"/>
        <w:framePr w:w="1186" w:h="1114" w:hRule="exact" w:wrap="none" w:vAnchor="page" w:hAnchor="page" w:x="1247" w:y="9552"/>
        <w:spacing w:after="0" w:line="230" w:lineRule="auto"/>
      </w:pPr>
      <w:r>
        <w:t>Příloha č. 2 -</w:t>
      </w:r>
    </w:p>
    <w:p w14:paraId="5078AE73" w14:textId="77777777" w:rsidR="00EC1C40" w:rsidRDefault="00000000">
      <w:pPr>
        <w:pStyle w:val="Zkladntext1"/>
        <w:framePr w:w="1186" w:h="1114" w:hRule="exact" w:wrap="none" w:vAnchor="page" w:hAnchor="page" w:x="1247" w:y="9552"/>
        <w:spacing w:after="0"/>
      </w:pPr>
      <w:r>
        <w:t>Příloha č. 3 -</w:t>
      </w:r>
    </w:p>
    <w:p w14:paraId="40C95F9F" w14:textId="77777777" w:rsidR="00EC1C40" w:rsidRDefault="00000000">
      <w:pPr>
        <w:pStyle w:val="Zkladntext1"/>
        <w:framePr w:w="9706" w:h="816" w:hRule="exact" w:wrap="none" w:vAnchor="page" w:hAnchor="page" w:x="1228" w:y="9850"/>
        <w:spacing w:after="0" w:line="233" w:lineRule="auto"/>
        <w:ind w:left="1430"/>
      </w:pPr>
      <w:r>
        <w:t>harmonogram realizace Investičního záměru anebo Nepeněžního plnění</w:t>
      </w:r>
      <w:r>
        <w:br/>
        <w:t>koordinační situační výkres Investičního záměru</w:t>
      </w:r>
    </w:p>
    <w:p w14:paraId="08663B8B" w14:textId="77777777" w:rsidR="00EC1C40" w:rsidRDefault="00000000">
      <w:pPr>
        <w:pStyle w:val="Zkladntext1"/>
        <w:framePr w:w="9706" w:h="816" w:hRule="exact" w:wrap="none" w:vAnchor="page" w:hAnchor="page" w:x="1228" w:y="9850"/>
        <w:spacing w:after="0" w:line="233" w:lineRule="auto"/>
        <w:ind w:left="1430"/>
      </w:pPr>
      <w:r>
        <w:t>parametry Adaptačních opatření, k jejichž realizaci se Investor zavázal</w:t>
      </w:r>
    </w:p>
    <w:p w14:paraId="550702BC" w14:textId="77777777" w:rsidR="00EC1C40" w:rsidRDefault="00000000">
      <w:pPr>
        <w:pStyle w:val="Zhlavnebozpat0"/>
        <w:framePr w:wrap="none" w:vAnchor="page" w:hAnchor="page" w:x="5951" w:y="15855"/>
        <w:rPr>
          <w:sz w:val="22"/>
          <w:szCs w:val="22"/>
        </w:rPr>
      </w:pPr>
      <w:r>
        <w:rPr>
          <w:color w:val="231E20"/>
          <w:sz w:val="22"/>
          <w:szCs w:val="22"/>
        </w:rPr>
        <w:t>18</w:t>
      </w:r>
    </w:p>
    <w:p w14:paraId="0900CBD4"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7E983C35" w14:textId="77777777" w:rsidR="00EC1C40" w:rsidRDefault="00EC1C40">
      <w:pPr>
        <w:spacing w:line="1" w:lineRule="exact"/>
      </w:pPr>
    </w:p>
    <w:p w14:paraId="314AC64D" w14:textId="77777777" w:rsidR="00EC1C40" w:rsidRDefault="00000000">
      <w:pPr>
        <w:pStyle w:val="Nadpis40"/>
        <w:framePr w:w="9706" w:h="394" w:hRule="exact" w:wrap="none" w:vAnchor="page" w:hAnchor="page" w:x="1224" w:y="1829"/>
        <w:spacing w:after="0"/>
        <w:jc w:val="center"/>
      </w:pPr>
      <w:bookmarkStart w:id="113" w:name="bookmark227"/>
      <w:r>
        <w:rPr>
          <w:color w:val="231E20"/>
          <w:u w:val="single"/>
        </w:rPr>
        <w:t>Smlouva o spolupráci</w:t>
      </w:r>
      <w:bookmarkEnd w:id="113"/>
    </w:p>
    <w:p w14:paraId="1CA633FE" w14:textId="77777777" w:rsidR="00EC1C40" w:rsidRDefault="00000000">
      <w:pPr>
        <w:pStyle w:val="Zkladntext1"/>
        <w:framePr w:w="9706" w:h="13037" w:hRule="exact" w:wrap="none" w:vAnchor="page" w:hAnchor="page" w:x="1224" w:y="2472"/>
        <w:spacing w:after="260"/>
        <w:jc w:val="both"/>
      </w:pPr>
      <w:r>
        <w:rPr>
          <w:i/>
          <w:iCs/>
        </w:rPr>
        <w:t>POZNÁMKA: Uzavření konkrétní Smlouvy o spolupráci je závislé na okolnostech každé jednotlivé věci, jakož i na dohodě smluvních stran o jejím obsahu. Podle toho se návrh smlouvy musí upravit, doplnit či změnit. Obsah Smlouvy o spolupráci reflektuje požadavky Pracovní skupiny a příslušných vlastníků a provozovatelů veřejné dopravní a technické infrastruktury v rámci jednání dle čl. II. odst. 4 Zásad.</w:t>
      </w:r>
    </w:p>
    <w:p w14:paraId="2F255DB5" w14:textId="77777777" w:rsidR="00EC1C40" w:rsidRDefault="00000000">
      <w:pPr>
        <w:pStyle w:val="Nadpis60"/>
        <w:framePr w:w="9706" w:h="13037" w:hRule="exact" w:wrap="none" w:vAnchor="page" w:hAnchor="page" w:x="1224" w:y="2472"/>
        <w:spacing w:after="0"/>
        <w:jc w:val="both"/>
      </w:pPr>
      <w:bookmarkStart w:id="114" w:name="bookmark229"/>
      <w:r>
        <w:t>Statutární město Pardubice</w:t>
      </w:r>
      <w:bookmarkEnd w:id="114"/>
    </w:p>
    <w:p w14:paraId="4788B8B4" w14:textId="77777777" w:rsidR="00EC1C40" w:rsidRDefault="00000000">
      <w:pPr>
        <w:pStyle w:val="Zkladntext1"/>
        <w:framePr w:w="9706" w:h="13037" w:hRule="exact" w:wrap="none" w:vAnchor="page" w:hAnchor="page" w:x="1224" w:y="2472"/>
        <w:spacing w:after="0"/>
        <w:jc w:val="both"/>
      </w:pPr>
      <w:r>
        <w:t>sídlem: Pernštýnské náměstí 1, 530 21 Pardubice</w:t>
      </w:r>
    </w:p>
    <w:p w14:paraId="6322A3F6" w14:textId="77777777" w:rsidR="00EC1C40" w:rsidRDefault="00000000">
      <w:pPr>
        <w:pStyle w:val="Zkladntext1"/>
        <w:framePr w:w="9706" w:h="13037" w:hRule="exact" w:wrap="none" w:vAnchor="page" w:hAnchor="page" w:x="1224" w:y="2472"/>
        <w:spacing w:after="0"/>
        <w:jc w:val="both"/>
      </w:pPr>
      <w:r>
        <w:t>IČO:00274046</w:t>
      </w:r>
    </w:p>
    <w:p w14:paraId="42F8F4A6" w14:textId="77777777" w:rsidR="00EC1C40" w:rsidRDefault="00000000">
      <w:pPr>
        <w:pStyle w:val="Zkladntext1"/>
        <w:framePr w:w="9706" w:h="13037" w:hRule="exact" w:wrap="none" w:vAnchor="page" w:hAnchor="page" w:x="1224" w:y="2472"/>
        <w:spacing w:after="0"/>
        <w:jc w:val="both"/>
      </w:pPr>
      <w:r>
        <w:t>číslo účtu: (doplnit)</w:t>
      </w:r>
    </w:p>
    <w:p w14:paraId="63CE6DCD" w14:textId="77777777" w:rsidR="00EC1C40" w:rsidRDefault="00000000">
      <w:pPr>
        <w:pStyle w:val="Zkladntext1"/>
        <w:framePr w:w="9706" w:h="13037" w:hRule="exact" w:wrap="none" w:vAnchor="page" w:hAnchor="page" w:x="1224" w:y="2472"/>
        <w:spacing w:after="0"/>
        <w:jc w:val="both"/>
      </w:pPr>
      <w:r>
        <w:t xml:space="preserve">bankovní spojení: (název </w:t>
      </w:r>
      <w:r>
        <w:rPr>
          <w:color w:val="605916"/>
        </w:rPr>
        <w:t>banky)</w:t>
      </w:r>
    </w:p>
    <w:p w14:paraId="01574817" w14:textId="77777777" w:rsidR="00EC1C40" w:rsidRDefault="00000000">
      <w:pPr>
        <w:pStyle w:val="Zkladntext1"/>
        <w:framePr w:w="9706" w:h="13037" w:hRule="exact" w:wrap="none" w:vAnchor="page" w:hAnchor="page" w:x="1224" w:y="2472"/>
        <w:spacing w:after="0"/>
        <w:jc w:val="both"/>
      </w:pPr>
      <w:r>
        <w:t>zastoupené: ...</w:t>
      </w:r>
    </w:p>
    <w:p w14:paraId="0C753C14" w14:textId="77777777" w:rsidR="00EC1C40" w:rsidRDefault="00000000">
      <w:pPr>
        <w:pStyle w:val="Zkladntext1"/>
        <w:framePr w:w="9706" w:h="13037" w:hRule="exact" w:wrap="none" w:vAnchor="page" w:hAnchor="page" w:x="1224" w:y="2472"/>
        <w:spacing w:after="260"/>
        <w:jc w:val="both"/>
      </w:pPr>
      <w:r>
        <w:t>(dále jen „Město“)</w:t>
      </w:r>
    </w:p>
    <w:p w14:paraId="088E74B5" w14:textId="77777777" w:rsidR="00EC1C40" w:rsidRDefault="00000000">
      <w:pPr>
        <w:pStyle w:val="Zkladntext1"/>
        <w:framePr w:w="9706" w:h="13037" w:hRule="exact" w:wrap="none" w:vAnchor="page" w:hAnchor="page" w:x="1224" w:y="2472"/>
        <w:spacing w:after="260"/>
        <w:jc w:val="both"/>
      </w:pPr>
      <w:r>
        <w:t>na straně jedné a</w:t>
      </w:r>
    </w:p>
    <w:p w14:paraId="5C1FED86" w14:textId="77777777" w:rsidR="00EC1C40" w:rsidRDefault="00000000">
      <w:pPr>
        <w:pStyle w:val="Nadpis60"/>
        <w:framePr w:w="9706" w:h="13037" w:hRule="exact" w:wrap="none" w:vAnchor="page" w:hAnchor="page" w:x="1224" w:y="2472"/>
        <w:spacing w:after="0"/>
        <w:jc w:val="both"/>
      </w:pPr>
      <w:bookmarkStart w:id="115" w:name="bookmark231"/>
      <w:r>
        <w:rPr>
          <w:b w:val="0"/>
          <w:bCs w:val="0"/>
        </w:rPr>
        <w:t>(</w:t>
      </w:r>
      <w:r>
        <w:t>doplnit název právnické osoby / jméno a příjmení fyzické osoby</w:t>
      </w:r>
      <w:r>
        <w:rPr>
          <w:b w:val="0"/>
          <w:bCs w:val="0"/>
        </w:rPr>
        <w:t>)</w:t>
      </w:r>
      <w:bookmarkEnd w:id="115"/>
    </w:p>
    <w:p w14:paraId="4FE824DA" w14:textId="77777777" w:rsidR="00EC1C40" w:rsidRDefault="00000000">
      <w:pPr>
        <w:pStyle w:val="Obsah0"/>
        <w:framePr w:w="9706" w:h="13037" w:hRule="exact" w:wrap="none" w:vAnchor="page" w:hAnchor="page" w:x="1224" w:y="2472"/>
        <w:tabs>
          <w:tab w:val="left" w:pos="4954"/>
        </w:tabs>
        <w:jc w:val="both"/>
      </w:pPr>
      <w:r>
        <w:t>sídlem / bytem nepodnikající fyzické osoby:</w:t>
      </w:r>
      <w:r>
        <w:tab/>
        <w:t>...</w:t>
      </w:r>
    </w:p>
    <w:p w14:paraId="17DAA866" w14:textId="77777777" w:rsidR="00EC1C40" w:rsidRDefault="00000000">
      <w:pPr>
        <w:pStyle w:val="Obsah0"/>
        <w:framePr w:w="9706" w:h="13037" w:hRule="exact" w:wrap="none" w:vAnchor="page" w:hAnchor="page" w:x="1224" w:y="2472"/>
        <w:tabs>
          <w:tab w:val="center" w:pos="5723"/>
        </w:tabs>
        <w:jc w:val="both"/>
      </w:pPr>
      <w:r>
        <w:t>IČO právnické osoby / rodné číslo fyzické osoby:</w:t>
      </w:r>
      <w:r>
        <w:tab/>
        <w:t>...</w:t>
      </w:r>
    </w:p>
    <w:p w14:paraId="3A7B056E" w14:textId="77777777" w:rsidR="00EC1C40" w:rsidRDefault="00000000">
      <w:pPr>
        <w:pStyle w:val="Obsah0"/>
        <w:framePr w:w="9706" w:h="13037" w:hRule="exact" w:wrap="none" w:vAnchor="page" w:hAnchor="page" w:x="1224" w:y="2472"/>
        <w:tabs>
          <w:tab w:val="center" w:pos="5723"/>
        </w:tabs>
        <w:jc w:val="both"/>
      </w:pPr>
      <w:r>
        <w:t>číslo účtu:</w:t>
      </w:r>
      <w:r>
        <w:tab/>
        <w:t>...</w:t>
      </w:r>
    </w:p>
    <w:p w14:paraId="1C8C2587" w14:textId="77777777" w:rsidR="00EC1C40" w:rsidRDefault="00000000">
      <w:pPr>
        <w:pStyle w:val="Obsah0"/>
        <w:framePr w:w="9706" w:h="13037" w:hRule="exact" w:wrap="none" w:vAnchor="page" w:hAnchor="page" w:x="1224" w:y="2472"/>
        <w:tabs>
          <w:tab w:val="center" w:pos="5723"/>
        </w:tabs>
        <w:jc w:val="both"/>
      </w:pPr>
      <w:r>
        <w:t>bankovní spojení:</w:t>
      </w:r>
      <w:r>
        <w:tab/>
        <w:t>...</w:t>
      </w:r>
    </w:p>
    <w:p w14:paraId="47887A58" w14:textId="77777777" w:rsidR="00EC1C40" w:rsidRDefault="00000000">
      <w:pPr>
        <w:pStyle w:val="Obsah0"/>
        <w:framePr w:w="9706" w:h="13037" w:hRule="exact" w:wrap="none" w:vAnchor="page" w:hAnchor="page" w:x="1224" w:y="2472"/>
        <w:tabs>
          <w:tab w:val="center" w:pos="5723"/>
        </w:tabs>
        <w:jc w:val="both"/>
      </w:pPr>
      <w:r>
        <w:t>zastoupený/á:</w:t>
      </w:r>
      <w:r>
        <w:tab/>
        <w:t>...</w:t>
      </w:r>
    </w:p>
    <w:p w14:paraId="59CA54B0" w14:textId="77777777" w:rsidR="00EC1C40" w:rsidRDefault="00000000">
      <w:pPr>
        <w:pStyle w:val="Zkladntext1"/>
        <w:framePr w:w="9706" w:h="13037" w:hRule="exact" w:wrap="none" w:vAnchor="page" w:hAnchor="page" w:x="1224" w:y="2472"/>
        <w:spacing w:after="260"/>
        <w:jc w:val="both"/>
      </w:pPr>
      <w:r>
        <w:t>(dále jen „Investor“)</w:t>
      </w:r>
    </w:p>
    <w:p w14:paraId="421FD228" w14:textId="77777777" w:rsidR="00EC1C40" w:rsidRDefault="00000000">
      <w:pPr>
        <w:pStyle w:val="Zkladntext1"/>
        <w:framePr w:w="9706" w:h="13037" w:hRule="exact" w:wrap="none" w:vAnchor="page" w:hAnchor="page" w:x="1224" w:y="2472"/>
        <w:spacing w:after="260"/>
        <w:jc w:val="both"/>
      </w:pPr>
      <w:r>
        <w:t>na straně druhé</w:t>
      </w:r>
    </w:p>
    <w:p w14:paraId="59CE29C9" w14:textId="77777777" w:rsidR="00EC1C40" w:rsidRDefault="00000000">
      <w:pPr>
        <w:pStyle w:val="Zkladntext1"/>
        <w:framePr w:w="9706" w:h="13037" w:hRule="exact" w:wrap="none" w:vAnchor="page" w:hAnchor="page" w:x="1224" w:y="2472"/>
        <w:spacing w:after="260"/>
        <w:jc w:val="both"/>
      </w:pPr>
      <w:r>
        <w:t>(Město a Investor společně dále jen „smluvní strany“)</w:t>
      </w:r>
    </w:p>
    <w:p w14:paraId="5525FB61" w14:textId="77777777" w:rsidR="00EC1C40" w:rsidRDefault="00000000">
      <w:pPr>
        <w:pStyle w:val="Zkladntext1"/>
        <w:framePr w:w="9706" w:h="13037" w:hRule="exact" w:wrap="none" w:vAnchor="page" w:hAnchor="page" w:x="1224" w:y="2472"/>
        <w:spacing w:after="60"/>
        <w:jc w:val="both"/>
      </w:pPr>
      <w:r>
        <w:t>uzavřeli níže uvedeného dne podle § 1746 odst. 2 zákona č. 89/2012 Sb., občanského zákoníku, ve znění pozdějších předpisů (dále jen „OZ“) a podle § 86 odst. 2 písm. d) zákona č. 183/2006 Sb., stavebního zákona, ve znění pozdějších předpisů (dále jen „</w:t>
      </w:r>
      <w:proofErr w:type="spellStart"/>
      <w:r>
        <w:t>StavZ</w:t>
      </w:r>
      <w:proofErr w:type="spellEnd"/>
      <w:r>
        <w:t>“), tuto Smlouvu:</w:t>
      </w:r>
    </w:p>
    <w:p w14:paraId="2D299FA4" w14:textId="77777777" w:rsidR="00EC1C40" w:rsidRDefault="00000000">
      <w:pPr>
        <w:pStyle w:val="Zkladntext1"/>
        <w:framePr w:w="9706" w:h="13037" w:hRule="exact" w:wrap="none" w:vAnchor="page" w:hAnchor="page" w:x="1224" w:y="2472"/>
        <w:spacing w:after="0" w:line="216" w:lineRule="auto"/>
        <w:jc w:val="both"/>
        <w:rPr>
          <w:sz w:val="24"/>
          <w:szCs w:val="24"/>
        </w:rPr>
      </w:pPr>
      <w:r>
        <w:rPr>
          <w:color w:val="142A56"/>
          <w:sz w:val="24"/>
          <w:szCs w:val="24"/>
        </w:rPr>
        <w:t>II. Úvodní ustanovení</w:t>
      </w:r>
    </w:p>
    <w:p w14:paraId="30DE2388" w14:textId="77777777" w:rsidR="00EC1C40" w:rsidRDefault="00000000">
      <w:pPr>
        <w:pStyle w:val="Zkladntext1"/>
        <w:framePr w:w="9706" w:h="13037" w:hRule="exact" w:wrap="none" w:vAnchor="page" w:hAnchor="page" w:x="1224" w:y="2472"/>
        <w:numPr>
          <w:ilvl w:val="1"/>
          <w:numId w:val="69"/>
        </w:numPr>
        <w:tabs>
          <w:tab w:val="left" w:pos="706"/>
        </w:tabs>
        <w:spacing w:after="260"/>
        <w:jc w:val="both"/>
      </w:pPr>
      <w:r>
        <w:t>Tato Smlouva o spolupráci (dále jen „Smlouva“) byla uzavřena na základě postupu smluvních stran dle dokumentu Zásady statutárního města Pardubice pro spolupráci s investory, schváleném Zastupitelstvem města Pardubice usnesením č. (doplnit) ze dne (doplnit) (dále jen „Zásady“) z důvodu navyšování nároků na veřejnou infrastrukturu včetně občanského vybavení a na veřejné služby vyplývajících z nárůstu hrubých podlažních ploch záměrů na území statutárního města Pardubice.</w:t>
      </w:r>
    </w:p>
    <w:p w14:paraId="5505E0C9" w14:textId="77777777" w:rsidR="00EC1C40" w:rsidRDefault="00000000">
      <w:pPr>
        <w:pStyle w:val="Zkladntext1"/>
        <w:framePr w:w="9706" w:h="13037" w:hRule="exact" w:wrap="none" w:vAnchor="page" w:hAnchor="page" w:x="1224" w:y="2472"/>
        <w:numPr>
          <w:ilvl w:val="1"/>
          <w:numId w:val="69"/>
        </w:numPr>
        <w:tabs>
          <w:tab w:val="left" w:pos="706"/>
        </w:tabs>
        <w:spacing w:after="0"/>
        <w:jc w:val="both"/>
      </w:pPr>
      <w:r>
        <w:t xml:space="preserve">Investor hodlá na území Města realizovat záměr (doplnit) na pozemku </w:t>
      </w:r>
      <w:proofErr w:type="spellStart"/>
      <w:r>
        <w:t>parc</w:t>
      </w:r>
      <w:proofErr w:type="spellEnd"/>
      <w:r>
        <w:t xml:space="preserve">. č. (doplnit) v </w:t>
      </w:r>
      <w:proofErr w:type="spellStart"/>
      <w:r>
        <w:t>k.ú</w:t>
      </w:r>
      <w:proofErr w:type="spellEnd"/>
      <w:r>
        <w:t xml:space="preserve">. (doplnit), sestávajícím se z následujících staveb a zařízení (doplnit) o navrhovaných parametrech (doplnit základní parametry staveb Investičního záměru v rozsahu výšky stavby, obestavěného prostoru, počtu bytových jednotek </w:t>
      </w:r>
      <w:proofErr w:type="spellStart"/>
      <w:r>
        <w:rPr>
          <w:lang w:val="en-US" w:eastAsia="en-US" w:bidi="en-US"/>
        </w:rPr>
        <w:t>apod</w:t>
      </w:r>
      <w:proofErr w:type="spellEnd"/>
      <w:r>
        <w:rPr>
          <w:lang w:val="en-US" w:eastAsia="en-US" w:bidi="en-US"/>
        </w:rPr>
        <w:t xml:space="preserve">.) </w:t>
      </w:r>
      <w:r>
        <w:t>a o velikosti (doplnit) m</w:t>
      </w:r>
      <w:r>
        <w:rPr>
          <w:vertAlign w:val="superscript"/>
        </w:rPr>
        <w:t>2</w:t>
      </w:r>
      <w:r>
        <w:t xml:space="preserve"> HPP, kladoucí následující nároky na veřejnou infrastrukturu (doplnit) (dále jen „Investiční záměr“). Investiční záměr odpovídá Investičnímu záměru uvedenému v čl. I odst. 2 písm. a) Zásad. Investiční záměr bude rovněž zakreslen a popsán v koordinačním situačním výkresu, který bude přílohou č. 2 této Smlouvy.</w:t>
      </w:r>
    </w:p>
    <w:p w14:paraId="5D8D6AB1" w14:textId="77777777" w:rsidR="00EC1C40" w:rsidRDefault="00000000">
      <w:pPr>
        <w:pStyle w:val="Zkladntext1"/>
        <w:framePr w:w="9706" w:h="13037" w:hRule="exact" w:wrap="none" w:vAnchor="page" w:hAnchor="page" w:x="1224" w:y="2472"/>
        <w:spacing w:after="260"/>
        <w:jc w:val="both"/>
      </w:pPr>
      <w:r>
        <w:t>Součástí Investičního záměru jsou Adaptační opatření, uvedená v čl. 1.5 této Smlouvy.</w:t>
      </w:r>
    </w:p>
    <w:p w14:paraId="1542E2D1" w14:textId="77777777" w:rsidR="00EC1C40" w:rsidRDefault="00000000">
      <w:pPr>
        <w:pStyle w:val="Zkladntext1"/>
        <w:framePr w:w="9706" w:h="13037" w:hRule="exact" w:wrap="none" w:vAnchor="page" w:hAnchor="page" w:x="1224" w:y="2472"/>
        <w:spacing w:after="0" w:line="257" w:lineRule="auto"/>
        <w:jc w:val="both"/>
      </w:pPr>
      <w:r>
        <w:rPr>
          <w:i/>
          <w:iCs/>
        </w:rPr>
        <w:t>POZNÁMKA: Jak v případě, že Investor vstoupil do jednání se statutárním městem Pardubice před zahájením projekčních prací ve smyslu čl. II. odst. 1. Zásad, tak v případě, že Investor má již zpracovanou předběžnou</w:t>
      </w:r>
    </w:p>
    <w:p w14:paraId="42042F96" w14:textId="77777777" w:rsidR="00EC1C40" w:rsidRDefault="00000000">
      <w:pPr>
        <w:pStyle w:val="Zhlavnebozpat0"/>
        <w:framePr w:wrap="none" w:vAnchor="page" w:hAnchor="page" w:x="5947" w:y="15855"/>
        <w:rPr>
          <w:sz w:val="22"/>
          <w:szCs w:val="22"/>
        </w:rPr>
      </w:pPr>
      <w:r>
        <w:rPr>
          <w:color w:val="231E20"/>
          <w:sz w:val="22"/>
          <w:szCs w:val="22"/>
        </w:rPr>
        <w:t>19</w:t>
      </w:r>
    </w:p>
    <w:p w14:paraId="35A26828"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32829821" w14:textId="77777777" w:rsidR="00EC1C40" w:rsidRDefault="00EC1C40">
      <w:pPr>
        <w:spacing w:line="1" w:lineRule="exact"/>
      </w:pPr>
    </w:p>
    <w:p w14:paraId="5712FC69" w14:textId="77777777" w:rsidR="00EC1C40" w:rsidRDefault="00000000">
      <w:pPr>
        <w:pStyle w:val="Zkladntext1"/>
        <w:framePr w:w="9710" w:h="13632" w:hRule="exact" w:wrap="none" w:vAnchor="page" w:hAnchor="page" w:x="1222" w:y="1546"/>
        <w:spacing w:after="160" w:line="254" w:lineRule="auto"/>
        <w:jc w:val="both"/>
      </w:pPr>
      <w:r>
        <w:rPr>
          <w:i/>
          <w:iCs/>
        </w:rPr>
        <w:t>verzi projektové dokumentace Investičního záměru dle čl. II odst. 2 Zásad, je třeba, aby Investor doložil co nejpřesnější informace a zvažované parametry plánovaného Investičního záměru tak, aby z něj bylo možné dovodit velikost a umístění záměru, jeho nároky na veřejnou infrastrukturu a zejména hrubou podlažní plochu Investičního záměru pro stanovení hrubého odhadu výše Investičního příspěvku. Investorem poskytnuté informace, nebo odkaz na existující dokumentaci Investičního záměru, budou uvedeny přímo v čl. 1.2 Smlouvy o spolupráci. Podle toho se návrh smlouvy musí upravit, doplnit či změnit. Součástí Investičního záměru může být též Adaptační opatření dle čl. I. odst. 17 Zásad, jehož konkrétní parametry rovněž závisí na dohodě Investora se statutárním městem Pardubice. Poslední věta čl. 1.2 Smlouvy předpokládá závazek Investora realizovat určitá Adaptační opatření ve smyslu čl. I odst. 17 Zásad. V případě, že Investor žádná Adaptační opatření nerealizuje, bude tato věta ze Smlouvy vypuštěna.</w:t>
      </w:r>
    </w:p>
    <w:p w14:paraId="0E6A1A7E" w14:textId="77777777" w:rsidR="00EC1C40" w:rsidRDefault="00000000">
      <w:pPr>
        <w:pStyle w:val="Zkladntext1"/>
        <w:framePr w:w="9710" w:h="13632" w:hRule="exact" w:wrap="none" w:vAnchor="page" w:hAnchor="page" w:x="1222" w:y="1546"/>
        <w:numPr>
          <w:ilvl w:val="1"/>
          <w:numId w:val="69"/>
        </w:numPr>
        <w:tabs>
          <w:tab w:val="left" w:pos="709"/>
        </w:tabs>
        <w:spacing w:after="260"/>
        <w:jc w:val="both"/>
      </w:pPr>
      <w:r>
        <w:t>Předmětem této Smlouvy je závazek Investora poskytnout Městu Investiční příspěvek ve formě níže specifikovaného Peněžité plnění anebo Nepeněžního plnění ve smyslu čl. I. odst. 7. a 8. Zásad za účelem pokrytí nákladů na novou Veřejnou infrastrukturu nebo Veřejnou službu, kterou vyvolá realizace Investičního záměru dle čl. 1.2 této Smlouvy, a závazek Města poskytnout Investorovi nezbytnou součinnost při realizaci Investičního záměru.</w:t>
      </w:r>
    </w:p>
    <w:p w14:paraId="17871F27" w14:textId="77777777" w:rsidR="00EC1C40" w:rsidRDefault="00000000">
      <w:pPr>
        <w:pStyle w:val="Zkladntext1"/>
        <w:framePr w:w="9710" w:h="13632" w:hRule="exact" w:wrap="none" w:vAnchor="page" w:hAnchor="page" w:x="1222" w:y="1546"/>
        <w:numPr>
          <w:ilvl w:val="1"/>
          <w:numId w:val="69"/>
        </w:numPr>
        <w:tabs>
          <w:tab w:val="left" w:pos="709"/>
        </w:tabs>
        <w:spacing w:after="260"/>
        <w:jc w:val="both"/>
      </w:pPr>
      <w:r>
        <w:t xml:space="preserve">Investiční záměr uvedený v čl. 1.2 této Smlouvy klade ve smyslu § 88 </w:t>
      </w:r>
      <w:proofErr w:type="spellStart"/>
      <w:r>
        <w:t>StavZ</w:t>
      </w:r>
      <w:proofErr w:type="spellEnd"/>
      <w:r>
        <w:t xml:space="preserve"> na veřejnou dopravní a technickou infrastrukturu takové požadavky, že jej nelze realizovat bez vybudování příslušných nových staveb a zařízení nebo úpravy stávajících. Předmětem této smlouvy je tudíž rovněž níže specifikovaný závazek Investora na vlastní náklady takovou veřejnou dopravní a technickou infrastrukturu vybudovat či upravit a převést vlastnické právo k této veřejné dopravní a technické infrastruktuře na Město.</w:t>
      </w:r>
    </w:p>
    <w:p w14:paraId="35C2EAAB" w14:textId="77777777" w:rsidR="00EC1C40" w:rsidRDefault="00000000">
      <w:pPr>
        <w:pStyle w:val="Zkladntext1"/>
        <w:framePr w:w="9710" w:h="13632" w:hRule="exact" w:wrap="none" w:vAnchor="page" w:hAnchor="page" w:x="1222" w:y="1546"/>
        <w:numPr>
          <w:ilvl w:val="1"/>
          <w:numId w:val="69"/>
        </w:numPr>
        <w:tabs>
          <w:tab w:val="left" w:pos="709"/>
        </w:tabs>
        <w:spacing w:after="40"/>
        <w:jc w:val="both"/>
      </w:pPr>
      <w:r>
        <w:t>Předmětem této Smlouvy je závazek Investora v rámci Investičního záměru realizovat Adaptační opatření ve smyslu čl. I odst. 17 Zásad, přičemž parametry Adaptačních opatření jsou konkretizována v příloze č. 3 této Smlouvy. Po ověření realizace dodržení parametrů Adaptačních opatření Městem má Investor nárok na poskytnutí slevy z Investičního příspěvku dle čl. 3.5 této Smlouvy.</w:t>
      </w:r>
    </w:p>
    <w:p w14:paraId="11B17140" w14:textId="77777777" w:rsidR="00EC1C40" w:rsidRDefault="00000000">
      <w:pPr>
        <w:pStyle w:val="Zkladntext1"/>
        <w:framePr w:w="9710" w:h="13632" w:hRule="exact" w:wrap="none" w:vAnchor="page" w:hAnchor="page" w:x="1222" w:y="1546"/>
        <w:numPr>
          <w:ilvl w:val="0"/>
          <w:numId w:val="70"/>
        </w:numPr>
        <w:tabs>
          <w:tab w:val="left" w:pos="709"/>
        </w:tabs>
        <w:spacing w:after="260" w:line="216" w:lineRule="auto"/>
        <w:jc w:val="both"/>
        <w:rPr>
          <w:sz w:val="24"/>
          <w:szCs w:val="24"/>
        </w:rPr>
      </w:pPr>
      <w:r>
        <w:rPr>
          <w:color w:val="142A56"/>
          <w:sz w:val="24"/>
          <w:szCs w:val="24"/>
        </w:rPr>
        <w:t>Závazky Investora</w:t>
      </w:r>
    </w:p>
    <w:p w14:paraId="5F525088" w14:textId="77777777" w:rsidR="00EC1C40" w:rsidRDefault="00000000">
      <w:pPr>
        <w:pStyle w:val="Nadpis60"/>
        <w:framePr w:w="9710" w:h="13632" w:hRule="exact" w:wrap="none" w:vAnchor="page" w:hAnchor="page" w:x="1222" w:y="1546"/>
        <w:spacing w:after="0"/>
        <w:jc w:val="both"/>
      </w:pPr>
      <w:bookmarkStart w:id="116" w:name="bookmark233"/>
      <w:r>
        <w:t>Investiční příspěvek a jeho předpokládaná výše</w:t>
      </w:r>
      <w:bookmarkEnd w:id="116"/>
    </w:p>
    <w:p w14:paraId="73E858A8" w14:textId="77777777" w:rsidR="00EC1C40" w:rsidRDefault="00000000">
      <w:pPr>
        <w:pStyle w:val="Zkladntext1"/>
        <w:framePr w:w="9710" w:h="13632" w:hRule="exact" w:wrap="none" w:vAnchor="page" w:hAnchor="page" w:x="1222" w:y="1546"/>
        <w:numPr>
          <w:ilvl w:val="1"/>
          <w:numId w:val="71"/>
        </w:numPr>
        <w:tabs>
          <w:tab w:val="left" w:pos="709"/>
        </w:tabs>
        <w:spacing w:after="260"/>
        <w:jc w:val="both"/>
      </w:pPr>
      <w:r>
        <w:t>Investor se zavazuje poskytnout Městu dále specifikované Peněžité plnění anebo dále specifikované Nepeněžní plnění za účelem uvedeným v čl. 1.3 této Smlouvy. Celková předpokládaná výše Investičního příspěvku ve smyslu čl. I odst. 6 Zásad je pro Investiční záměr stanovena jako násobek počtu m</w:t>
      </w:r>
      <w:r>
        <w:rPr>
          <w:sz w:val="11"/>
          <w:szCs w:val="11"/>
        </w:rPr>
        <w:t xml:space="preserve">2 </w:t>
      </w:r>
      <w:r>
        <w:t>hrubé podlažní plochy Investičního záměru, uvedené v DÚR, a částky (doplnit dle čl. III. odst. 3 Zásad podle navýšení o roční míru inflace). Celková předpokládaná výše Investičního příspěvku tak činí (doplnit) ,-Kč (slovy (doplnit) korun českých). Z toho předpokládaná výše Peněžitého plnění činí (doplnit) ,-Kč (slovy (doplnit) korun českých.</w:t>
      </w:r>
    </w:p>
    <w:p w14:paraId="339E0A69" w14:textId="77777777" w:rsidR="00EC1C40" w:rsidRDefault="00000000">
      <w:pPr>
        <w:pStyle w:val="Nadpis60"/>
        <w:framePr w:w="9710" w:h="13632" w:hRule="exact" w:wrap="none" w:vAnchor="page" w:hAnchor="page" w:x="1222" w:y="1546"/>
        <w:spacing w:after="0"/>
        <w:jc w:val="both"/>
      </w:pPr>
      <w:bookmarkStart w:id="117" w:name="bookmark235"/>
      <w:r>
        <w:t>Kompenzační záloha</w:t>
      </w:r>
      <w:bookmarkEnd w:id="117"/>
    </w:p>
    <w:p w14:paraId="51022ED7" w14:textId="77777777" w:rsidR="00EC1C40" w:rsidRDefault="00000000">
      <w:pPr>
        <w:pStyle w:val="Zkladntext1"/>
        <w:framePr w:w="9710" w:h="13632" w:hRule="exact" w:wrap="none" w:vAnchor="page" w:hAnchor="page" w:x="1222" w:y="1546"/>
        <w:numPr>
          <w:ilvl w:val="1"/>
          <w:numId w:val="71"/>
        </w:numPr>
        <w:tabs>
          <w:tab w:val="left" w:pos="709"/>
        </w:tabs>
        <w:spacing w:after="260"/>
        <w:jc w:val="both"/>
      </w:pPr>
      <w:r>
        <w:t>Investor se zavazuje poskytnout Městu v souladu s čl. I odst. 18 Zásad kompenzační zálohu ve výši (doplnit) % předpokládané výše Peněžitého plnění dle čl. 2.1 této Smlouvy, tj. ve výši (doplnit),-Kč (slovy (doplnit) korun českých).</w:t>
      </w:r>
    </w:p>
    <w:p w14:paraId="5BCBDFFF" w14:textId="77777777" w:rsidR="00EC1C40" w:rsidRDefault="00000000">
      <w:pPr>
        <w:pStyle w:val="Zkladntext1"/>
        <w:framePr w:w="9710" w:h="13632" w:hRule="exact" w:wrap="none" w:vAnchor="page" w:hAnchor="page" w:x="1222" w:y="1546"/>
        <w:numPr>
          <w:ilvl w:val="1"/>
          <w:numId w:val="71"/>
        </w:numPr>
        <w:tabs>
          <w:tab w:val="left" w:pos="709"/>
        </w:tabs>
        <w:spacing w:after="260"/>
        <w:jc w:val="both"/>
      </w:pPr>
      <w:r>
        <w:t>Kompenzační záloha bude Investorem složena do Programu veřejné infrastruktury, a to ve lhůtě do 30 dní ode dne nabytí právní moci územního rozhodnutí, společného povolení nebo jiného srovnatelného správního aktu nebo srovnatelného právního jednání stavebního úřadu, vydaného pro Investiční záměr.</w:t>
      </w:r>
    </w:p>
    <w:p w14:paraId="375D1713" w14:textId="77777777" w:rsidR="00EC1C40" w:rsidRDefault="00000000">
      <w:pPr>
        <w:pStyle w:val="Zkladntext1"/>
        <w:framePr w:w="9710" w:h="13632" w:hRule="exact" w:wrap="none" w:vAnchor="page" w:hAnchor="page" w:x="1222" w:y="1546"/>
        <w:numPr>
          <w:ilvl w:val="1"/>
          <w:numId w:val="71"/>
        </w:numPr>
        <w:tabs>
          <w:tab w:val="left" w:pos="709"/>
        </w:tabs>
        <w:spacing w:after="260"/>
        <w:jc w:val="both"/>
      </w:pPr>
      <w:r>
        <w:t>Kompenzační záloha bude v případě splnění závazků Investora započítána na Investiční příspěvek.</w:t>
      </w:r>
    </w:p>
    <w:p w14:paraId="094AFACA" w14:textId="77777777" w:rsidR="00EC1C40" w:rsidRDefault="00000000">
      <w:pPr>
        <w:pStyle w:val="Zkladntext1"/>
        <w:framePr w:w="9710" w:h="13632" w:hRule="exact" w:wrap="none" w:vAnchor="page" w:hAnchor="page" w:x="1222" w:y="1546"/>
        <w:spacing w:after="0"/>
        <w:jc w:val="both"/>
      </w:pPr>
      <w:r>
        <w:rPr>
          <w:b/>
          <w:bCs/>
        </w:rPr>
        <w:t>Konečná výše Investičního příspěvku</w:t>
      </w:r>
    </w:p>
    <w:p w14:paraId="1C83C46B" w14:textId="77777777" w:rsidR="00EC1C40" w:rsidRDefault="00000000">
      <w:pPr>
        <w:pStyle w:val="Zhlavnebozpat0"/>
        <w:framePr w:wrap="none" w:vAnchor="page" w:hAnchor="page" w:x="5945" w:y="15855"/>
        <w:rPr>
          <w:sz w:val="22"/>
          <w:szCs w:val="22"/>
        </w:rPr>
      </w:pPr>
      <w:r>
        <w:rPr>
          <w:color w:val="231E20"/>
          <w:sz w:val="22"/>
          <w:szCs w:val="22"/>
        </w:rPr>
        <w:t>20</w:t>
      </w:r>
    </w:p>
    <w:p w14:paraId="0612F6B8"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208FAD03" w14:textId="77777777" w:rsidR="00EC1C40" w:rsidRDefault="00EC1C40">
      <w:pPr>
        <w:spacing w:line="1" w:lineRule="exact"/>
      </w:pPr>
    </w:p>
    <w:p w14:paraId="42ED2076" w14:textId="77777777" w:rsidR="00EC1C40" w:rsidRDefault="00000000">
      <w:pPr>
        <w:pStyle w:val="Zkladntext1"/>
        <w:framePr w:w="9730" w:h="13709" w:hRule="exact" w:wrap="none" w:vAnchor="page" w:hAnchor="page" w:x="1212" w:y="1546"/>
        <w:numPr>
          <w:ilvl w:val="1"/>
          <w:numId w:val="71"/>
        </w:numPr>
        <w:tabs>
          <w:tab w:val="left" w:pos="738"/>
        </w:tabs>
        <w:spacing w:after="0"/>
        <w:jc w:val="both"/>
      </w:pPr>
      <w:r>
        <w:t xml:space="preserve">Investor se zavazuje poskytnout Městu Investiční příspěvek, jehož </w:t>
      </w:r>
      <w:r>
        <w:rPr>
          <w:b/>
          <w:bCs/>
        </w:rPr>
        <w:t xml:space="preserve">konečná výše </w:t>
      </w:r>
      <w:r>
        <w:t>bude vypočtena jako násobek příslušného počtu m</w:t>
      </w:r>
      <w:r>
        <w:rPr>
          <w:vertAlign w:val="superscript"/>
        </w:rPr>
        <w:t>2</w:t>
      </w:r>
      <w:r>
        <w:t xml:space="preserve"> hrubé podlažní plochy Investičního záměru, ke kterým bylo vydáno pravomocné územní rozhodnutí, pravomocné společné povolení nebo k němuž nabyl právní účinky územní souhlas, nebo ke kterým byl vydán stavebním úřadem souhlas s ohlášenou změnou v užívání stavby nebo k němuž byla uzavřena veřejnoprávní smlouva nahrazující územní rozhodnutí, a částky (doplnit dle čl. III. odst. 3 Zásad podle navýšení o roční míru inflace); od takto stanovené částky bude v případě, že Investor podle podmínek této Smlouvy poskytuje Městu také Nepeněžní plnění, odečtena fixní hodnota tohoto Nepeněžního plnění ve výši dle čl. 2.9 </w:t>
      </w:r>
      <w:proofErr w:type="spellStart"/>
      <w:r>
        <w:t>an</w:t>
      </w:r>
      <w:proofErr w:type="spellEnd"/>
      <w:r>
        <w:t>. této Smlouvy.</w:t>
      </w:r>
    </w:p>
    <w:p w14:paraId="1E031693" w14:textId="77777777" w:rsidR="00EC1C40" w:rsidRDefault="00000000">
      <w:pPr>
        <w:pStyle w:val="Zkladntext1"/>
        <w:framePr w:w="9730" w:h="13709" w:hRule="exact" w:wrap="none" w:vAnchor="page" w:hAnchor="page" w:x="1212" w:y="1546"/>
        <w:spacing w:after="260"/>
        <w:jc w:val="both"/>
      </w:pPr>
      <w:r>
        <w:t>Pro vyloučení jakýchkoli pochybností platí, že případný rozdíl mezi předpokládanou výší Investičního příspěvku a konečnou výší Investičního příspěvku jde výhradně k tíži Investora, s výjimkou případu, kdy tento rozdíl vznikne v důsledku poskytnuté slevy za Adaptační opatření.</w:t>
      </w:r>
    </w:p>
    <w:p w14:paraId="7785D8B8" w14:textId="77777777" w:rsidR="00EC1C40" w:rsidRDefault="00000000">
      <w:pPr>
        <w:pStyle w:val="Zkladntext1"/>
        <w:framePr w:w="9730" w:h="13709" w:hRule="exact" w:wrap="none" w:vAnchor="page" w:hAnchor="page" w:x="1212" w:y="1546"/>
        <w:spacing w:after="260"/>
        <w:jc w:val="both"/>
      </w:pPr>
      <w:r>
        <w:rPr>
          <w:i/>
          <w:iCs/>
        </w:rPr>
        <w:t>POZNÁMKA: V případě, že součástí Investičního záměru bude Adaptační opatření může Zastupitelstvo města Pardubic rozhodnout o poskytnutí slevy Investorovi až do výše 200 Kč z 1m</w:t>
      </w:r>
      <w:r>
        <w:rPr>
          <w:i/>
          <w:iCs/>
          <w:vertAlign w:val="superscript"/>
        </w:rPr>
        <w:t>2</w:t>
      </w:r>
      <w:r>
        <w:rPr>
          <w:i/>
          <w:iCs/>
        </w:rPr>
        <w:t xml:space="preserve"> HPP Investičního záměru ve smyslu čl. III odst. 4 Zásad.</w:t>
      </w:r>
    </w:p>
    <w:p w14:paraId="64D80A72" w14:textId="77777777" w:rsidR="00EC1C40" w:rsidRDefault="00000000">
      <w:pPr>
        <w:pStyle w:val="Nadpis60"/>
        <w:framePr w:w="9730" w:h="13709" w:hRule="exact" w:wrap="none" w:vAnchor="page" w:hAnchor="page" w:x="1212" w:y="1546"/>
        <w:spacing w:after="0"/>
        <w:jc w:val="both"/>
      </w:pPr>
      <w:bookmarkStart w:id="118" w:name="bookmark237"/>
      <w:r>
        <w:t>Splatnost Investičního příspěvku</w:t>
      </w:r>
      <w:bookmarkEnd w:id="118"/>
    </w:p>
    <w:p w14:paraId="4F159E24" w14:textId="77777777" w:rsidR="00EC1C40" w:rsidRDefault="00000000">
      <w:pPr>
        <w:pStyle w:val="Zkladntext1"/>
        <w:framePr w:w="9730" w:h="13709" w:hRule="exact" w:wrap="none" w:vAnchor="page" w:hAnchor="page" w:x="1212" w:y="1546"/>
        <w:numPr>
          <w:ilvl w:val="1"/>
          <w:numId w:val="72"/>
        </w:numPr>
        <w:tabs>
          <w:tab w:val="left" w:pos="738"/>
        </w:tabs>
        <w:spacing w:after="260"/>
        <w:jc w:val="both"/>
      </w:pPr>
      <w:r>
        <w:t xml:space="preserve">Investiční příspěvek je splatný do konce třetího měsíce následujícího po kalendářním měsíci, v němž bude vydáno pro Investiční záměr první pravomocné stavební povolení, společné povolení nebo jiný srovnatelný správní akt stavebního úřadu či právní jednání umožňující Investorovi začít stavět Investiční záměr (např. společný územní souhlas a souhlas s provedením ohlášeného stavebního záměru nebo veřejnoprávní smlouva nahrazující stavební povolení podle § 116 </w:t>
      </w:r>
      <w:proofErr w:type="spellStart"/>
      <w:r>
        <w:t>StavZ</w:t>
      </w:r>
      <w:proofErr w:type="spellEnd"/>
      <w:r>
        <w:t xml:space="preserve">), anebo do konce třetího měsíce následujícího po kalendářním měsíci, v němž Investorovi vznikne právo provést oznámený Investiční záměr podle § 117 odst. 5 </w:t>
      </w:r>
      <w:proofErr w:type="spellStart"/>
      <w:r>
        <w:t>StavZ</w:t>
      </w:r>
      <w:proofErr w:type="spellEnd"/>
      <w:r>
        <w:t>.</w:t>
      </w:r>
    </w:p>
    <w:p w14:paraId="0B60A60B" w14:textId="77777777" w:rsidR="00EC1C40" w:rsidRDefault="00000000">
      <w:pPr>
        <w:pStyle w:val="Zkladntext1"/>
        <w:framePr w:w="9730" w:h="13709" w:hRule="exact" w:wrap="none" w:vAnchor="page" w:hAnchor="page" w:x="1212" w:y="1546"/>
        <w:spacing w:after="260"/>
        <w:jc w:val="both"/>
      </w:pPr>
      <w:r>
        <w:rPr>
          <w:i/>
          <w:iCs/>
        </w:rPr>
        <w:t xml:space="preserve">POZNÁMKA: „v odůvodněných případech“ může být dohodnuta jiná lhůta splatnosti (např. pokud bude namísto peněžního plnění Investiční příspěvek plněn formou Nepeněžního plnění). Znění reflektuje nutnost pokrýt všechny eventuality umožňující Investorovi začít stavět Investiční záměr (nebo jeho část), proto lze pod sousloví „jiný srovnatelný správní akt či právní jednání stavebního úřadu umožňující Investorovi začít stavět Investiční záměr nebo jeho část“ podřadit nejen veřejnoprávní smlouvu dle § 116 </w:t>
      </w:r>
      <w:proofErr w:type="spellStart"/>
      <w:r>
        <w:rPr>
          <w:i/>
          <w:iCs/>
        </w:rPr>
        <w:t>StavZ</w:t>
      </w:r>
      <w:proofErr w:type="spellEnd"/>
      <w:r>
        <w:rPr>
          <w:i/>
          <w:iCs/>
        </w:rPr>
        <w:t xml:space="preserve">, ale v případě Investičních záměrů nevyžadujících stavební povolení také územní rozhodnutí nebo jej nahrazující veřejnoprávní smlouvu dle § 78a </w:t>
      </w:r>
      <w:proofErr w:type="spellStart"/>
      <w:r>
        <w:rPr>
          <w:i/>
          <w:iCs/>
        </w:rPr>
        <w:t>StavZ</w:t>
      </w:r>
      <w:proofErr w:type="spellEnd"/>
      <w:r>
        <w:rPr>
          <w:i/>
          <w:iCs/>
        </w:rPr>
        <w:t xml:space="preserve">, územní souhlas dle § 96 </w:t>
      </w:r>
      <w:proofErr w:type="spellStart"/>
      <w:r>
        <w:rPr>
          <w:i/>
          <w:iCs/>
        </w:rPr>
        <w:t>StavZ</w:t>
      </w:r>
      <w:proofErr w:type="spellEnd"/>
      <w:r>
        <w:rPr>
          <w:i/>
          <w:iCs/>
        </w:rPr>
        <w:t xml:space="preserve">, společný souhlas dle § 96a </w:t>
      </w:r>
      <w:proofErr w:type="spellStart"/>
      <w:r>
        <w:rPr>
          <w:i/>
          <w:iCs/>
        </w:rPr>
        <w:t>StavZ</w:t>
      </w:r>
      <w:proofErr w:type="spellEnd"/>
      <w:r>
        <w:rPr>
          <w:i/>
          <w:iCs/>
        </w:rPr>
        <w:t xml:space="preserve">, společné povolení dle § 94y </w:t>
      </w:r>
      <w:proofErr w:type="spellStart"/>
      <w:r>
        <w:rPr>
          <w:i/>
          <w:iCs/>
        </w:rPr>
        <w:t>StavZ</w:t>
      </w:r>
      <w:proofErr w:type="spellEnd"/>
      <w:r>
        <w:rPr>
          <w:i/>
          <w:iCs/>
        </w:rPr>
        <w:t>, případně souhlas s ohlášenou stavbou nebo změnou v užívání stavby.</w:t>
      </w:r>
    </w:p>
    <w:p w14:paraId="15CEBB1B" w14:textId="77777777" w:rsidR="00EC1C40" w:rsidRDefault="00000000">
      <w:pPr>
        <w:pStyle w:val="Zkladntext1"/>
        <w:framePr w:w="9730" w:h="13709" w:hRule="exact" w:wrap="none" w:vAnchor="page" w:hAnchor="page" w:x="1212" w:y="1546"/>
        <w:numPr>
          <w:ilvl w:val="1"/>
          <w:numId w:val="72"/>
        </w:numPr>
        <w:tabs>
          <w:tab w:val="left" w:pos="738"/>
        </w:tabs>
        <w:spacing w:after="260"/>
        <w:jc w:val="both"/>
      </w:pPr>
      <w:r>
        <w:t>Investiční příspěvek ve své konečné výši, snížené o poskytnutou slevu dle čl. III odst. 4 Zásad (bude-li poskytnuta) bude Investorem uhrazen vždy pouze bezhotovostně ve lhůtě splatnosti uvedené v čl. 2.7 této Smlouvy na transparentní účet Města číslo: (doplnit číslo účtu). Variabilním symbolem bude IČO Investora (v případě právnické osoby) nebo rodné číslo Investora (v případě fyzické osoby).</w:t>
      </w:r>
    </w:p>
    <w:p w14:paraId="36ECBCBF" w14:textId="77777777" w:rsidR="00EC1C40" w:rsidRDefault="00000000">
      <w:pPr>
        <w:pStyle w:val="Nadpis60"/>
        <w:framePr w:w="9730" w:h="13709" w:hRule="exact" w:wrap="none" w:vAnchor="page" w:hAnchor="page" w:x="1212" w:y="1546"/>
        <w:spacing w:after="0"/>
        <w:jc w:val="both"/>
      </w:pPr>
      <w:bookmarkStart w:id="119" w:name="bookmark239"/>
      <w:r>
        <w:t>Nepeněžní plnění</w:t>
      </w:r>
      <w:bookmarkEnd w:id="119"/>
    </w:p>
    <w:p w14:paraId="3311BF3C" w14:textId="77777777" w:rsidR="00EC1C40" w:rsidRDefault="00000000">
      <w:pPr>
        <w:pStyle w:val="Zkladntext1"/>
        <w:framePr w:w="9730" w:h="13709" w:hRule="exact" w:wrap="none" w:vAnchor="page" w:hAnchor="page" w:x="1212" w:y="1546"/>
        <w:numPr>
          <w:ilvl w:val="1"/>
          <w:numId w:val="72"/>
        </w:numPr>
        <w:tabs>
          <w:tab w:val="left" w:pos="738"/>
        </w:tabs>
        <w:spacing w:after="0"/>
        <w:jc w:val="both"/>
      </w:pPr>
      <w:r>
        <w:t>Investor se zavazuje poskytnout Městu následující Nepeněžní plnění:</w:t>
      </w:r>
    </w:p>
    <w:p w14:paraId="4AE21E16" w14:textId="77777777" w:rsidR="00EC1C40" w:rsidRDefault="00000000">
      <w:pPr>
        <w:pStyle w:val="Zkladntext1"/>
        <w:framePr w:w="9730" w:h="13709" w:hRule="exact" w:wrap="none" w:vAnchor="page" w:hAnchor="page" w:x="1212" w:y="1546"/>
        <w:numPr>
          <w:ilvl w:val="0"/>
          <w:numId w:val="73"/>
        </w:numPr>
        <w:tabs>
          <w:tab w:val="left" w:pos="738"/>
        </w:tabs>
        <w:spacing w:after="0"/>
        <w:ind w:left="760" w:hanging="360"/>
        <w:jc w:val="both"/>
      </w:pPr>
      <w:r>
        <w:t xml:space="preserve">vybudování nové Veřejné infrastruktury ve smyslu § 2 odst. 1 písm. k) </w:t>
      </w:r>
      <w:proofErr w:type="spellStart"/>
      <w:r>
        <w:t>StavZ</w:t>
      </w:r>
      <w:proofErr w:type="spellEnd"/>
      <w:r>
        <w:t>, konkrétně (doplnit popis veřejné infrastruktury, obsahující kromě charakteristiky nové veřejné infrastruktury také potřebnou kapacitu této nové infrastruktury, její polohu nebo trasu, způsob a místo napojení na stávající veřejnou infrastrukturu);</w:t>
      </w:r>
    </w:p>
    <w:p w14:paraId="5FA92229" w14:textId="77777777" w:rsidR="00EC1C40" w:rsidRDefault="00000000">
      <w:pPr>
        <w:pStyle w:val="Zkladntext1"/>
        <w:framePr w:w="9730" w:h="13709" w:hRule="exact" w:wrap="none" w:vAnchor="page" w:hAnchor="page" w:x="1212" w:y="1546"/>
        <w:numPr>
          <w:ilvl w:val="0"/>
          <w:numId w:val="73"/>
        </w:numPr>
        <w:tabs>
          <w:tab w:val="left" w:pos="738"/>
        </w:tabs>
        <w:spacing w:after="0"/>
        <w:ind w:left="760" w:hanging="360"/>
        <w:jc w:val="both"/>
      </w:pPr>
      <w:r>
        <w:t xml:space="preserve">úpravy stávající Veřejné infrastruktury ve smyslu § 2 odst. 1 písm. k) </w:t>
      </w:r>
      <w:proofErr w:type="spellStart"/>
      <w:r>
        <w:t>StavZ</w:t>
      </w:r>
      <w:proofErr w:type="spellEnd"/>
      <w:r>
        <w:t>, konkrétně (doplnit popis obdobně dle písmene a))</w:t>
      </w:r>
    </w:p>
    <w:p w14:paraId="76905582" w14:textId="77777777" w:rsidR="00EC1C40" w:rsidRDefault="00000000">
      <w:pPr>
        <w:pStyle w:val="Zkladntext1"/>
        <w:framePr w:w="9730" w:h="13709" w:hRule="exact" w:wrap="none" w:vAnchor="page" w:hAnchor="page" w:x="1212" w:y="1546"/>
        <w:numPr>
          <w:ilvl w:val="0"/>
          <w:numId w:val="73"/>
        </w:numPr>
        <w:tabs>
          <w:tab w:val="left" w:pos="738"/>
        </w:tabs>
        <w:spacing w:after="0"/>
        <w:ind w:left="760" w:hanging="360"/>
        <w:jc w:val="both"/>
      </w:pPr>
      <w:r>
        <w:t>vybudování nové bytové jednotky či nových bytových jednotek, konkrétně (doplnit podrobný popis) nebo</w:t>
      </w:r>
    </w:p>
    <w:p w14:paraId="1A2D5B88" w14:textId="77777777" w:rsidR="00EC1C40" w:rsidRDefault="00000000">
      <w:pPr>
        <w:pStyle w:val="Zkladntext1"/>
        <w:framePr w:w="9730" w:h="13709" w:hRule="exact" w:wrap="none" w:vAnchor="page" w:hAnchor="page" w:x="1212" w:y="1546"/>
        <w:numPr>
          <w:ilvl w:val="0"/>
          <w:numId w:val="73"/>
        </w:numPr>
        <w:tabs>
          <w:tab w:val="left" w:pos="738"/>
        </w:tabs>
        <w:spacing w:after="0"/>
        <w:ind w:left="760" w:hanging="360"/>
        <w:jc w:val="both"/>
      </w:pPr>
      <w:r>
        <w:t>jinou movitou nebo nemovitou věc, na které se smluvní strany dohodnou (např. převod pozemku). (doplnit podrobný popis),</w:t>
      </w:r>
    </w:p>
    <w:p w14:paraId="591D3B42" w14:textId="77777777" w:rsidR="00EC1C40" w:rsidRDefault="00000000">
      <w:pPr>
        <w:pStyle w:val="Zhlavnebozpat0"/>
        <w:framePr w:wrap="none" w:vAnchor="page" w:hAnchor="page" w:x="5954" w:y="15855"/>
        <w:rPr>
          <w:sz w:val="22"/>
          <w:szCs w:val="22"/>
        </w:rPr>
      </w:pPr>
      <w:r>
        <w:rPr>
          <w:color w:val="231E20"/>
          <w:sz w:val="22"/>
          <w:szCs w:val="22"/>
        </w:rPr>
        <w:t>21</w:t>
      </w:r>
    </w:p>
    <w:p w14:paraId="51773E6C"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66A2A134" w14:textId="77777777" w:rsidR="00EC1C40" w:rsidRDefault="00EC1C40">
      <w:pPr>
        <w:spacing w:line="1" w:lineRule="exact"/>
      </w:pPr>
    </w:p>
    <w:p w14:paraId="080F3E48" w14:textId="77777777" w:rsidR="00EC1C40" w:rsidRDefault="00000000">
      <w:pPr>
        <w:pStyle w:val="Zkladntext1"/>
        <w:framePr w:w="9730" w:h="13814" w:hRule="exact" w:wrap="none" w:vAnchor="page" w:hAnchor="page" w:x="1212" w:y="1546"/>
        <w:numPr>
          <w:ilvl w:val="0"/>
          <w:numId w:val="73"/>
        </w:numPr>
        <w:tabs>
          <w:tab w:val="left" w:pos="741"/>
        </w:tabs>
        <w:spacing w:after="0"/>
        <w:ind w:left="760" w:hanging="360"/>
        <w:jc w:val="both"/>
      </w:pPr>
      <w:r>
        <w:t>vypracování dokumentace nové či upravované Veřejné infrastruktury uvedené v písm. a) anebo b) ve smyslu vyhlášky č. 499/2006 Sb., o dokumentaci staveb, ve znění pozdějších předpisů</w:t>
      </w:r>
    </w:p>
    <w:p w14:paraId="4BD50355" w14:textId="77777777" w:rsidR="00EC1C40" w:rsidRDefault="00000000">
      <w:pPr>
        <w:pStyle w:val="Zkladntext1"/>
        <w:framePr w:w="9730" w:h="13814" w:hRule="exact" w:wrap="none" w:vAnchor="page" w:hAnchor="page" w:x="1212" w:y="1546"/>
        <w:numPr>
          <w:ilvl w:val="0"/>
          <w:numId w:val="73"/>
        </w:numPr>
        <w:tabs>
          <w:tab w:val="left" w:pos="741"/>
        </w:tabs>
        <w:spacing w:after="0"/>
        <w:ind w:left="760" w:hanging="360"/>
        <w:jc w:val="both"/>
      </w:pPr>
      <w:r>
        <w:t>organizaci architektonické anebo urbanistické soutěže v souladu se soutěžním řádem České komory architektů týkající se (doplnit popis předmětu architektonické nebo urbanistické soutěže).</w:t>
      </w:r>
    </w:p>
    <w:p w14:paraId="45EDB00A" w14:textId="77777777" w:rsidR="00EC1C40" w:rsidRDefault="00000000">
      <w:pPr>
        <w:pStyle w:val="Zkladntext1"/>
        <w:framePr w:w="9730" w:h="13814" w:hRule="exact" w:wrap="none" w:vAnchor="page" w:hAnchor="page" w:x="1212" w:y="1546"/>
        <w:spacing w:after="0"/>
        <w:jc w:val="both"/>
      </w:pPr>
      <w:r>
        <w:t>V případě Nepeněžního plnění uvedeného výše v písm. a), b) anebo c) bude toto plnění popsáno obdobně, jako je popsán Investiční záměr v čl. 1.2 této Smlouvy, včetně počtu m</w:t>
      </w:r>
      <w:r>
        <w:rPr>
          <w:vertAlign w:val="superscript"/>
        </w:rPr>
        <w:t>2</w:t>
      </w:r>
      <w:r>
        <w:t xml:space="preserve"> HPP Nepeněžního plnění.</w:t>
      </w:r>
    </w:p>
    <w:p w14:paraId="4A875982" w14:textId="77777777" w:rsidR="00EC1C40" w:rsidRDefault="00000000">
      <w:pPr>
        <w:pStyle w:val="Zkladntext1"/>
        <w:framePr w:w="9730" w:h="13814" w:hRule="exact" w:wrap="none" w:vAnchor="page" w:hAnchor="page" w:x="1212" w:y="1546"/>
        <w:spacing w:after="260"/>
        <w:jc w:val="both"/>
      </w:pPr>
      <w:r>
        <w:t>Hodnota výše uvedeného Nepeněžního plnění je odborně odhadnuta na základě výše uvedeného popisu a případně též podrobnější dokumentace Nepeněžního plnění poskytnuté Investorem a stanovena fixní částkou a činí (doplnit) ,-Kč (slovy (doplnit) korun českých). V případě, že je Nepeněžním plněním vybudování Veřejné infrastruktury dle písm. a) tohoto ustanovení a Investor se rozhodne v souladu s čl. 2.12 této Smlouvy předat Městu tuto Veřejnou infrastrukturu spolu s pozemkem či pozemky, na kterých se nachází, nebude hodnota takového pozemku či pozemků součástí odhadované hodnoty Nepeněžního plnění.</w:t>
      </w:r>
    </w:p>
    <w:p w14:paraId="45819CF4" w14:textId="77777777" w:rsidR="00EC1C40" w:rsidRDefault="00000000">
      <w:pPr>
        <w:pStyle w:val="Zkladntext1"/>
        <w:framePr w:w="9730" w:h="13814" w:hRule="exact" w:wrap="none" w:vAnchor="page" w:hAnchor="page" w:x="1212" w:y="1546"/>
        <w:spacing w:after="160" w:line="254" w:lineRule="auto"/>
        <w:jc w:val="both"/>
      </w:pPr>
      <w:r>
        <w:rPr>
          <w:i/>
          <w:iCs/>
        </w:rPr>
        <w:t>POZNÁMKA: konkrétní popis jednotlivých Nepeněžních plnění bude vždy výsledkem dohody mezi Investorem a Městem, které bude v souladu s čl. II. odst. 2. a 3. Zásad uplatňovat vůči Investorovi své podmínky a požadavky na Nepeněžní plnění, tj. na vybudování či úpravy nové Veřejné infrastruktury nebo na vybudování nových bytových jednotek či poskytnutí jiné nemovité věci, tak, aby toto Nepeněžní plnění mělo Městem požadované vlastnosti. Podle toho se návrh smlouvy musí upravit, doplnit či změnit. Samotný popis Nepeněžního plnění v čl. 2.9 této Smlouvy by měl odpovídat popisu Investičního záměru v čl. 1.2 této Smlouvy, tj. i v případě Nepeněžního plnění bude uvedeno, o jaký záměr se jedná, na jakém pozemku bude umístěn, jaké budou jeho základní parametry, včetně jeho rozlohy v m</w:t>
      </w:r>
      <w:r>
        <w:rPr>
          <w:i/>
          <w:iCs/>
          <w:vertAlign w:val="superscript"/>
        </w:rPr>
        <w:t>2</w:t>
      </w:r>
      <w:r>
        <w:rPr>
          <w:i/>
          <w:iCs/>
        </w:rPr>
        <w:t xml:space="preserve"> HPP, a jaké bude Nepeněžní plnění klást nároky na veřejnou infrastrukturu.</w:t>
      </w:r>
    </w:p>
    <w:p w14:paraId="186F167B" w14:textId="77777777" w:rsidR="00EC1C40" w:rsidRDefault="00000000">
      <w:pPr>
        <w:pStyle w:val="Zkladntext1"/>
        <w:framePr w:w="9730" w:h="13814" w:hRule="exact" w:wrap="none" w:vAnchor="page" w:hAnchor="page" w:x="1212" w:y="1546"/>
        <w:numPr>
          <w:ilvl w:val="1"/>
          <w:numId w:val="72"/>
        </w:numPr>
        <w:tabs>
          <w:tab w:val="left" w:pos="741"/>
        </w:tabs>
        <w:spacing w:after="260"/>
        <w:jc w:val="both"/>
      </w:pPr>
      <w:r>
        <w:t xml:space="preserve">Pokud je Nepeněžní plnění, uvedené v čl. 2.9 této Smlouvy, tvořené více stavbami ve smyslu § 2 odst. 3 </w:t>
      </w:r>
      <w:proofErr w:type="spellStart"/>
      <w:r>
        <w:t>StavZ</w:t>
      </w:r>
      <w:proofErr w:type="spellEnd"/>
      <w:r>
        <w:t>, které je možné samostatně užívat, může Investor plnit Nepeněžní plnění po částech, tvořených jednotlivými stavbami tak, jak jsou vymezeny výše. Jinak plní Investor Nepeněžní plnění jako celek.</w:t>
      </w:r>
    </w:p>
    <w:p w14:paraId="78BE3E5A" w14:textId="77777777" w:rsidR="00EC1C40" w:rsidRDefault="00000000">
      <w:pPr>
        <w:pStyle w:val="Zkladntext1"/>
        <w:framePr w:w="9730" w:h="13814" w:hRule="exact" w:wrap="none" w:vAnchor="page" w:hAnchor="page" w:x="1212" w:y="1546"/>
        <w:numPr>
          <w:ilvl w:val="1"/>
          <w:numId w:val="72"/>
        </w:numPr>
        <w:tabs>
          <w:tab w:val="left" w:pos="741"/>
        </w:tabs>
        <w:spacing w:after="0"/>
        <w:jc w:val="both"/>
      </w:pPr>
      <w:r>
        <w:t>Investor se v případě Nepeněžního plnění, uvedeného v čl. 2.9 této Smlouvy, zavazuje na vlastní náklady zajistit</w:t>
      </w:r>
    </w:p>
    <w:p w14:paraId="356B0273" w14:textId="77777777" w:rsidR="00EC1C40" w:rsidRDefault="00000000">
      <w:pPr>
        <w:pStyle w:val="Zkladntext1"/>
        <w:framePr w:w="9730" w:h="13814" w:hRule="exact" w:wrap="none" w:vAnchor="page" w:hAnchor="page" w:x="1212" w:y="1546"/>
        <w:numPr>
          <w:ilvl w:val="0"/>
          <w:numId w:val="74"/>
        </w:numPr>
        <w:tabs>
          <w:tab w:val="left" w:pos="741"/>
        </w:tabs>
        <w:spacing w:after="0"/>
        <w:ind w:left="760" w:hanging="360"/>
        <w:jc w:val="both"/>
      </w:pPr>
      <w:r>
        <w:t>vypracování příslušné dokumentace stavby ve smyslu vyhlášky č. 499/2006 Sb., o dokumentaci staveb, ve znění pozdějších předpisů,</w:t>
      </w:r>
    </w:p>
    <w:p w14:paraId="6549C413" w14:textId="77777777" w:rsidR="00EC1C40" w:rsidRDefault="00000000">
      <w:pPr>
        <w:pStyle w:val="Zkladntext1"/>
        <w:framePr w:w="9730" w:h="13814" w:hRule="exact" w:wrap="none" w:vAnchor="page" w:hAnchor="page" w:x="1212" w:y="1546"/>
        <w:numPr>
          <w:ilvl w:val="0"/>
          <w:numId w:val="74"/>
        </w:numPr>
        <w:tabs>
          <w:tab w:val="left" w:pos="741"/>
        </w:tabs>
        <w:spacing w:after="0"/>
        <w:ind w:left="760" w:hanging="360"/>
        <w:jc w:val="both"/>
      </w:pPr>
      <w:r>
        <w:t>geodetické zaměření Nepeněžního plnění a vyhotovení příslušné dokumentace související se zápisem Nepeněžního plnění do katastru nemovitostí, a</w:t>
      </w:r>
    </w:p>
    <w:p w14:paraId="59F405FC" w14:textId="77777777" w:rsidR="00EC1C40" w:rsidRDefault="00000000">
      <w:pPr>
        <w:pStyle w:val="Zkladntext1"/>
        <w:framePr w:w="9730" w:h="13814" w:hRule="exact" w:wrap="none" w:vAnchor="page" w:hAnchor="page" w:x="1212" w:y="1546"/>
        <w:numPr>
          <w:ilvl w:val="0"/>
          <w:numId w:val="74"/>
        </w:numPr>
        <w:tabs>
          <w:tab w:val="left" w:pos="741"/>
        </w:tabs>
        <w:spacing w:after="0"/>
        <w:ind w:left="760" w:hanging="360"/>
        <w:jc w:val="both"/>
      </w:pPr>
      <w:r>
        <w:t>obstarat si veškerá potřebná rozhodnutí, povolení, stanoviska a souhlasy potřebné pro realizaci takového Nepeněžního plnění v souladu s právními předpisy a příslušnými technickými normami.</w:t>
      </w:r>
    </w:p>
    <w:p w14:paraId="019682C5" w14:textId="77777777" w:rsidR="00EC1C40" w:rsidRDefault="00000000">
      <w:pPr>
        <w:pStyle w:val="Zkladntext1"/>
        <w:framePr w:w="9730" w:h="13814" w:hRule="exact" w:wrap="none" w:vAnchor="page" w:hAnchor="page" w:x="1212" w:y="1546"/>
        <w:spacing w:after="260"/>
        <w:jc w:val="both"/>
      </w:pPr>
      <w:r>
        <w:t xml:space="preserve">Dále Investor zajistí v souladu s příslušnými právními předpisy, že pro Nepeněžní plnění, uvedené v čl. 2.9 této Smlouvy anebo každou část takového Nepeněžního plnění řádně vznikne právo tuto stavbu užívat ve smyslu § 119 </w:t>
      </w:r>
      <w:proofErr w:type="spellStart"/>
      <w:r>
        <w:t>an</w:t>
      </w:r>
      <w:proofErr w:type="spellEnd"/>
      <w:r>
        <w:t xml:space="preserve">. </w:t>
      </w:r>
      <w:proofErr w:type="spellStart"/>
      <w:r>
        <w:t>StavZ</w:t>
      </w:r>
      <w:proofErr w:type="spellEnd"/>
      <w:r>
        <w:t xml:space="preserve"> (tj. že každá stavba tvořící Nepeněžní plnění bude řádně zkolaudována).</w:t>
      </w:r>
    </w:p>
    <w:p w14:paraId="06237A77" w14:textId="77777777" w:rsidR="00EC1C40" w:rsidRDefault="00000000">
      <w:pPr>
        <w:pStyle w:val="Zkladntext1"/>
        <w:framePr w:w="9730" w:h="13814" w:hRule="exact" w:wrap="none" w:vAnchor="page" w:hAnchor="page" w:x="1212" w:y="1546"/>
        <w:numPr>
          <w:ilvl w:val="1"/>
          <w:numId w:val="72"/>
        </w:numPr>
        <w:tabs>
          <w:tab w:val="left" w:pos="741"/>
        </w:tabs>
        <w:spacing w:after="0"/>
        <w:jc w:val="both"/>
      </w:pPr>
      <w:r>
        <w:t>Investor se zavazuje převést Nepeněžní plnění, uvedené v čl. 2.9 této Smlouvy, do vlastnictví Města, a to ve lhůtě do (doplnit) dní od vydání pravomocného kolaudační rozhodnutí pro Nepeněžní plnění nebo ode dne právních účinků kolaudačního souhlasu pro takové Nepeněžní plnění. Spolu s Nepeněžním plněním je Investor povinen předat Městu také dokumentaci skutečného provedení převáděného či poskytovaného Nepeněžního plnění, zpracovanou podle vyhlášky č. 499/2006 Sb., o dokumentaci staveb, ve znění pozdějších předpisů, geometrický plán, záruční listy, technické listy, prohlášení o shodě a další související dokumentaci převáděného či poskytovaného Nepeněžního plnění, a to pro řádné, nerušené a bezpečné užívání předmětu Nepeněžitého plnění.</w:t>
      </w:r>
    </w:p>
    <w:p w14:paraId="1A1DD1DE" w14:textId="77777777" w:rsidR="00EC1C40" w:rsidRDefault="00000000">
      <w:pPr>
        <w:pStyle w:val="Zkladntext1"/>
        <w:framePr w:w="9730" w:h="13814" w:hRule="exact" w:wrap="none" w:vAnchor="page" w:hAnchor="page" w:x="1212" w:y="1546"/>
        <w:spacing w:after="0"/>
        <w:jc w:val="both"/>
      </w:pPr>
      <w:r>
        <w:t>Takto Investorem převáděné Nepeněžní plnění nesmí být (pokud nedojde k jiné dohodě) zatíženo věcným břemenem, zástavním právem na něm váznoucím či jiným věcným právem třetí osoby k předmětu Nepeněžního plnění. V případě, že je Nepeněžním plněním Veřejná infrastruktura, musí být Městu předána Investorem buď spolu s pozemkem či pozemky, na kterých se nachází, anebo musí Investor ve prospěch</w:t>
      </w:r>
    </w:p>
    <w:p w14:paraId="0508FE30" w14:textId="77777777" w:rsidR="00EC1C40" w:rsidRDefault="00000000">
      <w:pPr>
        <w:pStyle w:val="Zhlavnebozpat0"/>
        <w:framePr w:wrap="none" w:vAnchor="page" w:hAnchor="page" w:x="5950" w:y="15855"/>
        <w:rPr>
          <w:sz w:val="22"/>
          <w:szCs w:val="22"/>
        </w:rPr>
      </w:pPr>
      <w:r>
        <w:rPr>
          <w:color w:val="231E20"/>
          <w:sz w:val="22"/>
          <w:szCs w:val="22"/>
        </w:rPr>
        <w:t>22</w:t>
      </w:r>
    </w:p>
    <w:p w14:paraId="450C250D"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7DF636CC" w14:textId="77777777" w:rsidR="00EC1C40" w:rsidRDefault="00EC1C40">
      <w:pPr>
        <w:spacing w:line="1" w:lineRule="exact"/>
      </w:pPr>
    </w:p>
    <w:p w14:paraId="69A122AC" w14:textId="77777777" w:rsidR="00EC1C40" w:rsidRDefault="00000000">
      <w:pPr>
        <w:pStyle w:val="Zkladntext1"/>
        <w:framePr w:w="9730" w:h="13891" w:hRule="exact" w:wrap="none" w:vAnchor="page" w:hAnchor="page" w:x="1212" w:y="1546"/>
        <w:spacing w:after="260"/>
        <w:jc w:val="both"/>
      </w:pPr>
      <w:r>
        <w:t>Města zřídit na takovém pozemku či pozemcích, na nichž se Veřejná infrastruktura nachází, služebnost ve prospěch Města.</w:t>
      </w:r>
    </w:p>
    <w:p w14:paraId="65BC1658" w14:textId="77777777" w:rsidR="00EC1C40" w:rsidRDefault="00000000">
      <w:pPr>
        <w:pStyle w:val="Zkladntext1"/>
        <w:framePr w:w="9730" w:h="13891" w:hRule="exact" w:wrap="none" w:vAnchor="page" w:hAnchor="page" w:x="1212" w:y="1546"/>
        <w:spacing w:after="260"/>
        <w:jc w:val="both"/>
      </w:pPr>
      <w:r>
        <w:rPr>
          <w:i/>
          <w:iCs/>
        </w:rPr>
        <w:t>POZNÁMKA: ustanovení čl. 2.12 Smlouvy předpokládá, že Investorem převáděné Nepeněžní plnění nebude zatíženo žádnými věcnými břemeny (služebnostmi, reálnými břemeny), avšak zejména v případě tzv. služebností inženýrské sítě ve smyslu § 1267 OZ lze připustit zatížení Nepeněžního plnění těmito služebnostmi (např. vedení rozvodu vysokého napětí nad pozemkem); tyto služebnosti však musí být ve Smlouvě dále konkretizovány. Podotýkáme, že zřízení služebností inženýrské sítě je coby soukromoprávní institut nezávislé na veřejnoprávních omezeních vlastníků dotčených nemovitostí plynoucích přímo ze zvláštních právních předpisů (např. § 24 odst. 3 písm. e) až h) zákona č. 458/2000 Sb., energetického zákona, ve znění pozdějších předpisů), přičemž pro tato veřejnoprávní omezení ani nemusí být zřizována odpovídající věcná břemena. V harmonogramu by měl být vždy uveden termín kolaudace Nepeněžního plnění.</w:t>
      </w:r>
    </w:p>
    <w:p w14:paraId="7BB22374" w14:textId="77777777" w:rsidR="00EC1C40" w:rsidRDefault="00000000">
      <w:pPr>
        <w:pStyle w:val="Zkladntext1"/>
        <w:framePr w:w="9730" w:h="13891" w:hRule="exact" w:wrap="none" w:vAnchor="page" w:hAnchor="page" w:x="1212" w:y="1546"/>
        <w:numPr>
          <w:ilvl w:val="1"/>
          <w:numId w:val="72"/>
        </w:numPr>
        <w:tabs>
          <w:tab w:val="left" w:pos="715"/>
        </w:tabs>
        <w:spacing w:after="260"/>
        <w:jc w:val="both"/>
      </w:pPr>
      <w:r>
        <w:t>Investor zajistí převod ze záruk za jakost týkajících se Nepeněžního plnění, uvedeného v čl. 2.12 této Smlouvy, na Město anebo sám poskytne Městu na takové Nepeněžní plnění záruky, a to po dobu trvání minimálně 60 měsíců ode dne předání stavby městu takového Nepeněžního plnění anebo každé části Nepeněžního plnění.</w:t>
      </w:r>
    </w:p>
    <w:p w14:paraId="7C071225" w14:textId="77777777" w:rsidR="00EC1C40" w:rsidRDefault="00000000">
      <w:pPr>
        <w:pStyle w:val="Nadpis60"/>
        <w:framePr w:w="9730" w:h="13891" w:hRule="exact" w:wrap="none" w:vAnchor="page" w:hAnchor="page" w:x="1212" w:y="1546"/>
        <w:spacing w:after="160"/>
        <w:jc w:val="both"/>
      </w:pPr>
      <w:bookmarkStart w:id="120" w:name="bookmark241"/>
      <w:r>
        <w:t>Vybudování a úpravy nezbytné veřejné dopravní či technické infrastruktury</w:t>
      </w:r>
      <w:bookmarkEnd w:id="120"/>
    </w:p>
    <w:p w14:paraId="36502322" w14:textId="77777777" w:rsidR="00EC1C40" w:rsidRDefault="00000000">
      <w:pPr>
        <w:pStyle w:val="Zkladntext1"/>
        <w:framePr w:w="9730" w:h="13891" w:hRule="exact" w:wrap="none" w:vAnchor="page" w:hAnchor="page" w:x="1212" w:y="1546"/>
        <w:numPr>
          <w:ilvl w:val="1"/>
          <w:numId w:val="72"/>
        </w:numPr>
        <w:tabs>
          <w:tab w:val="left" w:pos="715"/>
        </w:tabs>
        <w:spacing w:after="260"/>
        <w:jc w:val="both"/>
      </w:pPr>
      <w:r>
        <w:t xml:space="preserve">K realizaci Investičního záměru uvedeného v čl. 1.2 této Smlouvy je ve smyslu § 88 </w:t>
      </w:r>
      <w:proofErr w:type="spellStart"/>
      <w:r>
        <w:t>StavZ</w:t>
      </w:r>
      <w:proofErr w:type="spellEnd"/>
      <w:r>
        <w:t xml:space="preserve"> nutné vybudovat nebo upravit stavby a zařízení veřejné dopravní nebo technické infrastruktury, rozumí se jí následující veřejná dopravní anebo technická infrastruktura: (doplnit popis veřejné dopravní či technické infrastruktury, obsahující kromě její charakteristiky také potřebnou kapacitu této nové infrastruktury, její polohu nebo trasu, způsob a místo napojení na stávající veřejnou dopravní či technickou infrastrukturu).</w:t>
      </w:r>
    </w:p>
    <w:p w14:paraId="3B609569" w14:textId="77777777" w:rsidR="00EC1C40" w:rsidRDefault="00000000">
      <w:pPr>
        <w:pStyle w:val="Zkladntext1"/>
        <w:framePr w:w="9730" w:h="13891" w:hRule="exact" w:wrap="none" w:vAnchor="page" w:hAnchor="page" w:x="1212" w:y="1546"/>
        <w:spacing w:after="260"/>
        <w:jc w:val="both"/>
      </w:pPr>
      <w:r>
        <w:rPr>
          <w:i/>
          <w:iCs/>
        </w:rPr>
        <w:t>POZNÁMKA: konkrétní popis nezbytné veřejné dopravní nebo technické infrastruktury bude vždy výsledkem dohody mezi Investorem na straně jedné a Městem na straně druhé, které budou v souladu s čl. II. odst. 2 až 4 Zásad uplatňovat vůči Investorovi své podmínky a požadavky na tuto veřejnou infrastrukturu tak, aby tato veřejná infrastruktura měla Městem požadované vlastnosti. Podle toho se návrh smlouvy musí upravit, doplnit či změnit.</w:t>
      </w:r>
    </w:p>
    <w:p w14:paraId="0350B09E" w14:textId="77777777" w:rsidR="00EC1C40" w:rsidRDefault="00000000">
      <w:pPr>
        <w:pStyle w:val="Zkladntext1"/>
        <w:framePr w:w="9730" w:h="13891" w:hRule="exact" w:wrap="none" w:vAnchor="page" w:hAnchor="page" w:x="1212" w:y="1546"/>
        <w:numPr>
          <w:ilvl w:val="1"/>
          <w:numId w:val="72"/>
        </w:numPr>
        <w:tabs>
          <w:tab w:val="left" w:pos="715"/>
        </w:tabs>
        <w:spacing w:after="0"/>
        <w:jc w:val="both"/>
      </w:pPr>
      <w:r>
        <w:t>Investor se zavazuje vybudovat anebo upravit veřejnou infrastrukturu, uvedenou v čl. 2.14 této Smlouvy, svým jménem, na své náklady a na svoji odpovědnost. Součástí nákladů Investora jsou veškeré výdaje, které jsou potřebné pro sjednaný účel nebo přímo souvisí s vybudováním nové či úpravami stávající veřejné infrastruktury, uvedené v čl. 2.14 této Smlouvy. Investor se zavazuje, že nebude po Městu požadovat úhradu těchto nákladů.</w:t>
      </w:r>
    </w:p>
    <w:p w14:paraId="49945E36" w14:textId="77777777" w:rsidR="00EC1C40" w:rsidRDefault="00000000">
      <w:pPr>
        <w:pStyle w:val="Zkladntext1"/>
        <w:framePr w:w="9730" w:h="13891" w:hRule="exact" w:wrap="none" w:vAnchor="page" w:hAnchor="page" w:x="1212" w:y="1546"/>
        <w:spacing w:after="0"/>
        <w:jc w:val="both"/>
      </w:pPr>
      <w:r>
        <w:t>Investor se dále zavazuje k tomu, že na vlastní náklady zajistí geodetické zaměření veřejné infrastruktury, uvedené v čl. 2.14 této Smlouvy, a vyhotovení příslušné dokumentace související se zápisem takové veřejné infrastruktury do katastru nemovitostí.</w:t>
      </w:r>
    </w:p>
    <w:p w14:paraId="5BEF1C07" w14:textId="77777777" w:rsidR="00EC1C40" w:rsidRDefault="00000000">
      <w:pPr>
        <w:pStyle w:val="Zkladntext1"/>
        <w:framePr w:w="9730" w:h="13891" w:hRule="exact" w:wrap="none" w:vAnchor="page" w:hAnchor="page" w:x="1212" w:y="1546"/>
        <w:spacing w:after="260"/>
        <w:jc w:val="both"/>
      </w:pPr>
      <w:r>
        <w:t>Pro vyloučení jakýchkoli pochybností smluvní strany konstatují, že závazek Investora podílet se na vybudování anebo úpravách veřejné infrastruktury, uvedené v čl. 2.14 této Smlouvy, není Nepeněžním plněním dle čl. 2.9 této Smlouvy a nelze jej tudíž odečíst od Investičního příspěvku dle čl. 2.5 této Smlouvy (a to včetně hodnoty pozemku či pozemků Investorem předávaných Městu spolu s veřejnou infrastrukturou dle čl. 2.17 této Smlouvy).</w:t>
      </w:r>
    </w:p>
    <w:p w14:paraId="7F132449" w14:textId="77777777" w:rsidR="00EC1C40" w:rsidRDefault="00000000">
      <w:pPr>
        <w:pStyle w:val="Zkladntext1"/>
        <w:framePr w:w="9730" w:h="13891" w:hRule="exact" w:wrap="none" w:vAnchor="page" w:hAnchor="page" w:x="1212" w:y="1546"/>
        <w:numPr>
          <w:ilvl w:val="1"/>
          <w:numId w:val="72"/>
        </w:numPr>
        <w:tabs>
          <w:tab w:val="left" w:pos="715"/>
        </w:tabs>
        <w:spacing w:after="0"/>
        <w:jc w:val="both"/>
      </w:pPr>
      <w:r>
        <w:t>Veřejnou infrastrukturu, uvedenou v čl. 2.14 této Smlouvy, se Investor zavazuje vybudovat či upravit do (doplnit počet) měsíců ode dne prvního pravomocného stavebního povolení, společného povolení nebo jiného srovnatelného správního aktu stavebního úřadu či právního jednání, umožňující investorovi začít budovat či upravit uvedenou Veřejnou infrastrukturu. Investor se rovněž zavazuje veřejnou infrastrukturu, uvedenou v čl. 2.14 této Smlouvy, řádně zkolaudovat do (doplnit počet) měsíců ode dne dokončení jejího vybudování či úprav tak, aby mohla být bez omezení užívána či provozována.</w:t>
      </w:r>
    </w:p>
    <w:p w14:paraId="1C640C5E" w14:textId="77777777" w:rsidR="00EC1C40" w:rsidRDefault="00000000">
      <w:pPr>
        <w:pStyle w:val="Zhlavnebozpat0"/>
        <w:framePr w:wrap="none" w:vAnchor="page" w:hAnchor="page" w:x="5950" w:y="15855"/>
        <w:rPr>
          <w:sz w:val="22"/>
          <w:szCs w:val="22"/>
        </w:rPr>
      </w:pPr>
      <w:r>
        <w:rPr>
          <w:color w:val="231E20"/>
          <w:sz w:val="22"/>
          <w:szCs w:val="22"/>
        </w:rPr>
        <w:t>23</w:t>
      </w:r>
    </w:p>
    <w:p w14:paraId="453B31C3"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0AF0E7DA" w14:textId="77777777" w:rsidR="00EC1C40" w:rsidRDefault="00EC1C40">
      <w:pPr>
        <w:spacing w:line="1" w:lineRule="exact"/>
      </w:pPr>
    </w:p>
    <w:p w14:paraId="56FB39C9" w14:textId="77777777" w:rsidR="00EC1C40" w:rsidRDefault="00000000">
      <w:pPr>
        <w:pStyle w:val="Zkladntext1"/>
        <w:framePr w:w="9730" w:h="13531" w:hRule="exact" w:wrap="none" w:vAnchor="page" w:hAnchor="page" w:x="1212" w:y="1815"/>
        <w:numPr>
          <w:ilvl w:val="1"/>
          <w:numId w:val="72"/>
        </w:numPr>
        <w:tabs>
          <w:tab w:val="left" w:pos="732"/>
        </w:tabs>
        <w:spacing w:after="0"/>
        <w:jc w:val="both"/>
      </w:pPr>
      <w:r>
        <w:t>Investor se zavazuje</w:t>
      </w:r>
    </w:p>
    <w:p w14:paraId="7EE4B892" w14:textId="77777777" w:rsidR="00EC1C40" w:rsidRDefault="00000000">
      <w:pPr>
        <w:pStyle w:val="Zkladntext1"/>
        <w:framePr w:w="9730" w:h="13531" w:hRule="exact" w:wrap="none" w:vAnchor="page" w:hAnchor="page" w:x="1212" w:y="1815"/>
        <w:numPr>
          <w:ilvl w:val="0"/>
          <w:numId w:val="75"/>
        </w:numPr>
        <w:tabs>
          <w:tab w:val="left" w:pos="732"/>
        </w:tabs>
        <w:spacing w:after="0"/>
        <w:ind w:left="760" w:hanging="360"/>
        <w:jc w:val="both"/>
      </w:pPr>
      <w:r>
        <w:t>vodohospodářskou infrastrukturu, která je součástí veřejné infrastruktury uvedené v čl. 2.14 této Smlouvy, ve lhůtě do (doplnit) dní od její kolaudace převést Městu;</w:t>
      </w:r>
    </w:p>
    <w:p w14:paraId="2789B01A" w14:textId="77777777" w:rsidR="00EC1C40" w:rsidRDefault="00000000">
      <w:pPr>
        <w:pStyle w:val="Zkladntext1"/>
        <w:framePr w:w="9730" w:h="13531" w:hRule="exact" w:wrap="none" w:vAnchor="page" w:hAnchor="page" w:x="1212" w:y="1815"/>
        <w:numPr>
          <w:ilvl w:val="0"/>
          <w:numId w:val="75"/>
        </w:numPr>
        <w:tabs>
          <w:tab w:val="left" w:pos="732"/>
        </w:tabs>
        <w:spacing w:after="0"/>
        <w:ind w:left="760" w:hanging="360"/>
        <w:jc w:val="both"/>
      </w:pPr>
      <w:r>
        <w:t>veřejnou dopravní infrastrukturu a veřejné osvětlení, která je součástí veřejné infrastruktury uvedené v čl. 2.14 této Smlouvy, převést Městu ve lhůtě do (doplnit) dní od její kolaudace. Město si však vyhrazuje právo odmítnout takovou veřejnou infrastrukturu od Investora převzít do doby, než bude postaven Investiční záměr v rozsahu alespoň (doplnit) % z celkového Investičního záměru;</w:t>
      </w:r>
    </w:p>
    <w:p w14:paraId="6835A10C" w14:textId="77777777" w:rsidR="00EC1C40" w:rsidRDefault="00000000">
      <w:pPr>
        <w:pStyle w:val="Zkladntext1"/>
        <w:framePr w:w="9730" w:h="13531" w:hRule="exact" w:wrap="none" w:vAnchor="page" w:hAnchor="page" w:x="1212" w:y="1815"/>
        <w:numPr>
          <w:ilvl w:val="0"/>
          <w:numId w:val="75"/>
        </w:numPr>
        <w:tabs>
          <w:tab w:val="left" w:pos="732"/>
        </w:tabs>
        <w:spacing w:after="0"/>
        <w:ind w:left="760" w:hanging="360"/>
        <w:jc w:val="both"/>
      </w:pPr>
      <w:r>
        <w:t>jinou veřejnou infrastrukturu než v písm. a) a b) tohoto ustanovení ve lhůtě do (doplnit) dní od kolaudace veřejné infrastruktury, uvedené v čl. 2.14 této Smlouvy, převést takovouto veřejnou infrastrukturu Městu.</w:t>
      </w:r>
    </w:p>
    <w:p w14:paraId="6C702DC3" w14:textId="77777777" w:rsidR="00EC1C40" w:rsidRDefault="00000000">
      <w:pPr>
        <w:pStyle w:val="Zkladntext1"/>
        <w:framePr w:w="9730" w:h="13531" w:hRule="exact" w:wrap="none" w:vAnchor="page" w:hAnchor="page" w:x="1212" w:y="1815"/>
        <w:spacing w:after="260"/>
        <w:jc w:val="both"/>
      </w:pPr>
      <w:r>
        <w:t>Články 2.12 a 2.13 této Smlouvy, týkající se závazků Investora předat Městu nepeněžní plnění, jeho dokumentaci a zajistit převod záruk za jakost na Město, se aplikují v případě veřejné infrastruktury uvedené v čl. 2.14 této Smlouvy přiměřeně. Pro vyloučení jakýchkoli pochybností tato přiměřená aplikace zahrnuje zejména ustanovení čl. 2.12 této Smlouvy, podle něhož se Investor zavazuje bezúplatně předat Městu pozemek či pozemky, na kterých se nachází veřejná infrastruktura.</w:t>
      </w:r>
    </w:p>
    <w:p w14:paraId="26987AF7" w14:textId="77777777" w:rsidR="00EC1C40" w:rsidRDefault="00000000">
      <w:pPr>
        <w:pStyle w:val="Zkladntext1"/>
        <w:framePr w:w="9730" w:h="13531" w:hRule="exact" w:wrap="none" w:vAnchor="page" w:hAnchor="page" w:x="1212" w:y="1815"/>
        <w:spacing w:after="260"/>
        <w:jc w:val="both"/>
      </w:pPr>
      <w:r>
        <w:rPr>
          <w:i/>
          <w:iCs/>
        </w:rPr>
        <w:t>POZNÁMKA: obdobná aplikace čl. 2.12 a 2.13 Smlouvy v případě převedení Veřejné infrastruktury dle čl. 2.17 Smlouvy mimo jiné znamená, že takto Investorem vybudovaná a Městu převedená Veřejná infrastruktura (pokud nebude dohodnuto jinak) nesmí být zatížena věcným břemenem ani zástavním právem na něm váznoucím či jiným věcným právem třetí osoby k Veřejné infrastruktuře. Veřejná infrastruktura musí být Městu převedena Investorem buď spolu s pozemkem či pozemky, na kterých se nachází, anebo musí Investor ve prospěch Města zřídit na takovém pozemku či pozemcích, na nichž se Veřejná infrastruktura nachází, služebnost ve prospěch Města. Ohledně přípustných věcných břemen viz poznámka u čl. 2.12 Smlouvy výše.</w:t>
      </w:r>
    </w:p>
    <w:p w14:paraId="42B22993" w14:textId="77777777" w:rsidR="00EC1C40" w:rsidRDefault="00000000">
      <w:pPr>
        <w:pStyle w:val="Nadpis60"/>
        <w:framePr w:w="9730" w:h="13531" w:hRule="exact" w:wrap="none" w:vAnchor="page" w:hAnchor="page" w:x="1212" w:y="1815"/>
        <w:spacing w:after="0"/>
        <w:jc w:val="both"/>
      </w:pPr>
      <w:bookmarkStart w:id="121" w:name="bookmark243"/>
      <w:r>
        <w:t>Další závazky Investora</w:t>
      </w:r>
      <w:bookmarkEnd w:id="121"/>
    </w:p>
    <w:p w14:paraId="47F1D00F" w14:textId="77777777" w:rsidR="00EC1C40" w:rsidRDefault="00000000">
      <w:pPr>
        <w:pStyle w:val="Zkladntext1"/>
        <w:framePr w:w="9730" w:h="13531" w:hRule="exact" w:wrap="none" w:vAnchor="page" w:hAnchor="page" w:x="1212" w:y="1815"/>
        <w:numPr>
          <w:ilvl w:val="1"/>
          <w:numId w:val="72"/>
        </w:numPr>
        <w:tabs>
          <w:tab w:val="left" w:pos="732"/>
        </w:tabs>
        <w:spacing w:after="40"/>
        <w:jc w:val="both"/>
      </w:pPr>
      <w:r>
        <w:t>Investor se zavazuje v případě, že se rozhodne realizovat svůj Investiční záměr (neboť z této smlouvy mu neplyne povinnost svůj Investiční záměr realizovat), realizovat jej v souladu s čl. 1.2 této Smlouvy a dle příslušných termínů uvedených v harmonogramu vybudování Investičního záměru, Nepeněžního plnění anebo vybudování nové či úpravy stávající veřejné infrastruktury dle čl. 2.14 této Smlouvy. Harmonogram je přílohou č. 1 této Smlouvy.</w:t>
      </w:r>
    </w:p>
    <w:p w14:paraId="22C79941" w14:textId="77777777" w:rsidR="00EC1C40" w:rsidRDefault="00000000">
      <w:pPr>
        <w:pStyle w:val="Zkladntext1"/>
        <w:framePr w:w="9730" w:h="13531" w:hRule="exact" w:wrap="none" w:vAnchor="page" w:hAnchor="page" w:x="1212" w:y="1815"/>
        <w:numPr>
          <w:ilvl w:val="0"/>
          <w:numId w:val="70"/>
        </w:numPr>
        <w:tabs>
          <w:tab w:val="left" w:pos="732"/>
        </w:tabs>
        <w:spacing w:after="40" w:line="216" w:lineRule="auto"/>
        <w:jc w:val="both"/>
        <w:rPr>
          <w:sz w:val="24"/>
          <w:szCs w:val="24"/>
        </w:rPr>
      </w:pPr>
      <w:r>
        <w:rPr>
          <w:color w:val="142A56"/>
          <w:sz w:val="24"/>
          <w:szCs w:val="24"/>
        </w:rPr>
        <w:t>Závazky Města</w:t>
      </w:r>
    </w:p>
    <w:p w14:paraId="5E4F293B" w14:textId="77777777" w:rsidR="00EC1C40" w:rsidRDefault="00000000">
      <w:pPr>
        <w:pStyle w:val="Zkladntext1"/>
        <w:framePr w:w="9730" w:h="13531" w:hRule="exact" w:wrap="none" w:vAnchor="page" w:hAnchor="page" w:x="1212" w:y="1815"/>
        <w:numPr>
          <w:ilvl w:val="1"/>
          <w:numId w:val="76"/>
        </w:numPr>
        <w:tabs>
          <w:tab w:val="left" w:pos="732"/>
        </w:tabs>
        <w:spacing w:after="0"/>
        <w:jc w:val="both"/>
      </w:pPr>
      <w:r>
        <w:t xml:space="preserve">Město se zavazuje poskytnout Investorovi </w:t>
      </w:r>
      <w:r>
        <w:rPr>
          <w:b/>
          <w:bCs/>
        </w:rPr>
        <w:t xml:space="preserve">veškerou nezbytnou součinnost v rámci své samostatné působnosti </w:t>
      </w:r>
      <w:r>
        <w:t>pro realizaci jeho Investičního záměru ve smyslu čl. IV. odst. 2. Zásad. V rámci této součinnosti Město poskytne Investorovi součinnost k získání potřebných veřejnoprávních povolení, rozhodnutí či stanovisek a poskytne Investorovi veškerou potřebnou součinnost ve správních řízeních týkajících se umístění a realizace Investičního záměru (zejména v územním řízení, společném řízení, stavebním řízení a v řízeních souvisejících, včetně případného řízení o posuzování vlivů na životní prostředí), a to vždy na základě předchozí výzvy Investora k poskytnutí konkrétní součinnosti. Pokud si smluvní strany nesjednají jinak, je Město povinno poskytnout součinnost do patnácti (15) pracovních dní ode dne doručení výzvy Investora. Pro vyloučení jakýchkoli pochybností smluvní strany této Smlouvy konstatují, že Město není v rámci veškeré nezbytné součinnosti oprávněno zasahovat do výkonu státní správy.</w:t>
      </w:r>
    </w:p>
    <w:p w14:paraId="1DED9560" w14:textId="77777777" w:rsidR="00EC1C40" w:rsidRDefault="00000000">
      <w:pPr>
        <w:pStyle w:val="Zkladntext1"/>
        <w:framePr w:w="9730" w:h="13531" w:hRule="exact" w:wrap="none" w:vAnchor="page" w:hAnchor="page" w:x="1212" w:y="1815"/>
        <w:spacing w:after="260"/>
        <w:jc w:val="both"/>
      </w:pPr>
      <w:r>
        <w:t xml:space="preserve">Protože realizace Investičního záměru vyžaduje vybudování nové či úpravy stávající veřejné dopravní anebo technické infrastruktury dle čl. 2.14 </w:t>
      </w:r>
      <w:proofErr w:type="spellStart"/>
      <w:r>
        <w:t>an</w:t>
      </w:r>
      <w:proofErr w:type="spellEnd"/>
      <w:r>
        <w:t>. této Smlouvy, vztahuje se toto poskytování součinnosti i na vybudování takové veřejné infrastruktury.</w:t>
      </w:r>
    </w:p>
    <w:p w14:paraId="3E884EA7" w14:textId="77777777" w:rsidR="00EC1C40" w:rsidRDefault="00000000">
      <w:pPr>
        <w:pStyle w:val="Zkladntext1"/>
        <w:framePr w:w="9730" w:h="13531" w:hRule="exact" w:wrap="none" w:vAnchor="page" w:hAnchor="page" w:x="1212" w:y="1815"/>
        <w:spacing w:after="0"/>
        <w:jc w:val="both"/>
      </w:pPr>
      <w:r>
        <w:rPr>
          <w:i/>
          <w:iCs/>
        </w:rPr>
        <w:t>POZNÁMKA: konkrétní součinnost, vyžadovaná Investorem, bude muset být specifikována pro každý konkrétní Investiční záměr. Základním východiskem možných závazků Města je čl. IV. odst. 2. písm. a) až d) Zásad, to však smluvním stranám nebrání dohodnout si i poskytnutí součinnosti jiným způsobem. Město však bude vždy limitováno rozsahem své samostatné působnosti a právními předpisy, včetně obsahu obecně závazné vyhlášky č. 4/2019, kterou se vydává Statutu města Pardubic, ve znění pozdějších předpisů.</w:t>
      </w:r>
    </w:p>
    <w:p w14:paraId="0E3E4126" w14:textId="77777777" w:rsidR="00EC1C40" w:rsidRDefault="00000000">
      <w:pPr>
        <w:pStyle w:val="Zhlavnebozpat0"/>
        <w:framePr w:wrap="none" w:vAnchor="page" w:hAnchor="page" w:x="5950" w:y="15855"/>
        <w:rPr>
          <w:sz w:val="22"/>
          <w:szCs w:val="22"/>
        </w:rPr>
      </w:pPr>
      <w:r>
        <w:rPr>
          <w:color w:val="231E20"/>
          <w:sz w:val="22"/>
          <w:szCs w:val="22"/>
        </w:rPr>
        <w:t>24</w:t>
      </w:r>
    </w:p>
    <w:p w14:paraId="0556188A"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52F80F6B" w14:textId="77777777" w:rsidR="00EC1C40" w:rsidRDefault="00EC1C40">
      <w:pPr>
        <w:spacing w:line="1" w:lineRule="exact"/>
      </w:pPr>
    </w:p>
    <w:p w14:paraId="117458EF" w14:textId="77777777" w:rsidR="00EC1C40" w:rsidRDefault="00000000">
      <w:pPr>
        <w:pStyle w:val="Zkladntext1"/>
        <w:framePr w:w="9730" w:h="13531" w:hRule="exact" w:wrap="none" w:vAnchor="page" w:hAnchor="page" w:x="1212" w:y="1815"/>
        <w:numPr>
          <w:ilvl w:val="1"/>
          <w:numId w:val="76"/>
        </w:numPr>
        <w:tabs>
          <w:tab w:val="left" w:pos="742"/>
        </w:tabs>
        <w:spacing w:after="260"/>
        <w:jc w:val="both"/>
      </w:pPr>
      <w:r>
        <w:t>Město si vyhrazuje možnost odmítnout poskytnout Investorovi nezbytnou součinnost požadovanou Investorem dle čl. 3.1 této smlouvy v případě, že bude zjištěno, že Investiční záměr může mít negativní dopady zjištěné v řízení dle zákona č. 100/2001 Sb., o posuzování vlivů na životní prostředí, ve znění pozdějších předpisů, nebo Investor nebude plnit své závazky vůči Městu.</w:t>
      </w:r>
    </w:p>
    <w:p w14:paraId="3784933B" w14:textId="77777777" w:rsidR="00EC1C40" w:rsidRDefault="00000000">
      <w:pPr>
        <w:pStyle w:val="Zkladntext1"/>
        <w:framePr w:w="9730" w:h="13531" w:hRule="exact" w:wrap="none" w:vAnchor="page" w:hAnchor="page" w:x="1212" w:y="1815"/>
        <w:numPr>
          <w:ilvl w:val="1"/>
          <w:numId w:val="76"/>
        </w:numPr>
        <w:tabs>
          <w:tab w:val="left" w:pos="742"/>
        </w:tabs>
        <w:spacing w:after="260"/>
        <w:jc w:val="both"/>
      </w:pPr>
      <w:r>
        <w:t xml:space="preserve">Město se zavazuje poskytnout Investorovi veškerou nezbytnou součinnost v rámci své samostatné působnosti pro uskutečnění Nepeněžního plnění, uvedeného v čl. 2.9 </w:t>
      </w:r>
      <w:proofErr w:type="spellStart"/>
      <w:r>
        <w:t>an</w:t>
      </w:r>
      <w:proofErr w:type="spellEnd"/>
      <w:r>
        <w:t>. této smlouvy, a to ve lhůtě a v rozsahu odpovídajícímu součinnosti poskytované Městem dle čl. 3.1 této smlouvy.</w:t>
      </w:r>
    </w:p>
    <w:p w14:paraId="74110011" w14:textId="77777777" w:rsidR="00EC1C40" w:rsidRDefault="00000000">
      <w:pPr>
        <w:pStyle w:val="Zkladntext1"/>
        <w:framePr w:w="9730" w:h="13531" w:hRule="exact" w:wrap="none" w:vAnchor="page" w:hAnchor="page" w:x="1212" w:y="1815"/>
        <w:numPr>
          <w:ilvl w:val="1"/>
          <w:numId w:val="76"/>
        </w:numPr>
        <w:tabs>
          <w:tab w:val="left" w:pos="742"/>
        </w:tabs>
        <w:spacing w:after="0"/>
        <w:jc w:val="both"/>
      </w:pPr>
      <w:r>
        <w:t xml:space="preserve">Město se zavazuje ve lhůtě do sto dvaceti (120) dní ode dne předchozí výzvy Investora </w:t>
      </w:r>
      <w:r>
        <w:rPr>
          <w:b/>
          <w:bCs/>
        </w:rPr>
        <w:t xml:space="preserve">převzít do svého vlastnictví </w:t>
      </w:r>
      <w:r>
        <w:t xml:space="preserve">Investorem převáděné či poskytované Nepeněžní plnění dle čl. 2.9 </w:t>
      </w:r>
      <w:proofErr w:type="spellStart"/>
      <w:r>
        <w:t>an</w:t>
      </w:r>
      <w:proofErr w:type="spellEnd"/>
      <w:r>
        <w:t>. této Smlouvy, nebo jeho část, a toto Nepeněžní plnění dále spravovat pod podmínkou, že jej Investor vybuduje či upraví v souladu s touto Smlouvou. Pro případ, že by Nepeněžní plnění</w:t>
      </w:r>
    </w:p>
    <w:p w14:paraId="4B3C90E0" w14:textId="77777777" w:rsidR="00EC1C40" w:rsidRDefault="00000000">
      <w:pPr>
        <w:pStyle w:val="Zkladntext1"/>
        <w:framePr w:w="9730" w:h="13531" w:hRule="exact" w:wrap="none" w:vAnchor="page" w:hAnchor="page" w:x="1212" w:y="1815"/>
        <w:numPr>
          <w:ilvl w:val="0"/>
          <w:numId w:val="77"/>
        </w:numPr>
        <w:tabs>
          <w:tab w:val="left" w:pos="742"/>
        </w:tabs>
        <w:spacing w:after="0"/>
        <w:ind w:firstLine="400"/>
        <w:jc w:val="both"/>
      </w:pPr>
      <w:r>
        <w:t>nebylo Investorem vybudováno či upraveno v souladu s touto Smlouvou,</w:t>
      </w:r>
    </w:p>
    <w:p w14:paraId="6D8EAF39" w14:textId="77777777" w:rsidR="00EC1C40" w:rsidRDefault="00000000">
      <w:pPr>
        <w:pStyle w:val="Zkladntext1"/>
        <w:framePr w:w="9730" w:h="13531" w:hRule="exact" w:wrap="none" w:vAnchor="page" w:hAnchor="page" w:x="1212" w:y="1815"/>
        <w:numPr>
          <w:ilvl w:val="0"/>
          <w:numId w:val="77"/>
        </w:numPr>
        <w:tabs>
          <w:tab w:val="left" w:pos="742"/>
        </w:tabs>
        <w:spacing w:after="0"/>
        <w:ind w:firstLine="400"/>
        <w:jc w:val="both"/>
      </w:pPr>
      <w:r>
        <w:t>nebylo řádně zkolaudováno, nebo</w:t>
      </w:r>
    </w:p>
    <w:p w14:paraId="15E51359" w14:textId="77777777" w:rsidR="00EC1C40" w:rsidRDefault="00000000">
      <w:pPr>
        <w:pStyle w:val="Zkladntext1"/>
        <w:framePr w:w="9730" w:h="13531" w:hRule="exact" w:wrap="none" w:vAnchor="page" w:hAnchor="page" w:x="1212" w:y="1815"/>
        <w:numPr>
          <w:ilvl w:val="0"/>
          <w:numId w:val="77"/>
        </w:numPr>
        <w:tabs>
          <w:tab w:val="left" w:pos="742"/>
        </w:tabs>
        <w:spacing w:after="0"/>
        <w:ind w:firstLine="400"/>
        <w:jc w:val="both"/>
      </w:pPr>
      <w:r>
        <w:t>Investor neposkytne Městu na Nepeněžní plnění nebo jeho část záruky dle čl. 2.13 této Smlouvy je Město oprávněno takové Nepeněžní plnění nepřevzít.</w:t>
      </w:r>
    </w:p>
    <w:p w14:paraId="1023F7B4" w14:textId="77777777" w:rsidR="00EC1C40" w:rsidRDefault="00000000">
      <w:pPr>
        <w:pStyle w:val="Zkladntext1"/>
        <w:framePr w:w="9730" w:h="13531" w:hRule="exact" w:wrap="none" w:vAnchor="page" w:hAnchor="page" w:x="1212" w:y="1815"/>
        <w:spacing w:after="260"/>
        <w:jc w:val="both"/>
      </w:pPr>
      <w:r>
        <w:t>Protože předmětem této Smlouvy je také závazek Investora vybudovat anebo upravit veřejnou infrastrukturu, uvedenou v čl. 2.14 této Smlouvy, uplatní se čl. 3.4 této Smlouvy ohledně podmínek převzetí takové veřejné infrastruktury Městem a následné správy takové veřejné infrastruktury přiměřeně.</w:t>
      </w:r>
    </w:p>
    <w:p w14:paraId="4EE27AF9" w14:textId="77777777" w:rsidR="00EC1C40" w:rsidRDefault="00000000">
      <w:pPr>
        <w:pStyle w:val="Zkladntext1"/>
        <w:framePr w:w="9730" w:h="13531" w:hRule="exact" w:wrap="none" w:vAnchor="page" w:hAnchor="page" w:x="1212" w:y="1815"/>
        <w:numPr>
          <w:ilvl w:val="1"/>
          <w:numId w:val="76"/>
        </w:numPr>
        <w:tabs>
          <w:tab w:val="left" w:pos="742"/>
        </w:tabs>
        <w:spacing w:after="260"/>
        <w:jc w:val="both"/>
      </w:pPr>
      <w:r>
        <w:t>Město se zavazuje ověřit realizaci Investorem provedeného Adaptačního opatření, konkretizovaného v příloze č. 3 této Smlouvy, a to ve lhůtě do konce třetího měsíce následujícího po měsíci, v němž bude vydáno pravomocné kolaudační rozhodnutí pro Investiční záměr nebo v němž nabude právních účinků kolaudační souhlas pro Investiční záměr. Pokud bude výsledkem tohoto ověření zjištění, že Adaptační opatření nebylo realizováno v souladu s touto Smlouvou, bude Investor písemně Městem vyzván k doplacení částky odpovídající slevě z Investičního příspěvku poskytnuté Městem dle čl. III odst. 4 Zásad, která činí (doplnit) ,- Kč (slovy (doplnit) korun českých), a to ve lhůtě do 30 dní od doručení písemné výzvy Města na účet uvedený v čl. I odst. 2.8 této Smlouvy.</w:t>
      </w:r>
    </w:p>
    <w:p w14:paraId="61948057" w14:textId="77777777" w:rsidR="00EC1C40" w:rsidRDefault="00000000">
      <w:pPr>
        <w:pStyle w:val="Zkladntext1"/>
        <w:framePr w:w="9730" w:h="13531" w:hRule="exact" w:wrap="none" w:vAnchor="page" w:hAnchor="page" w:x="1212" w:y="1815"/>
        <w:spacing w:after="40"/>
        <w:jc w:val="both"/>
      </w:pPr>
      <w:r>
        <w:rPr>
          <w:i/>
          <w:iCs/>
        </w:rPr>
        <w:t>POZNÁMKA: sleva, poskytovaná Městem Investorovi na základě čl. III odst. 4 Zásad, se promítá do určení konečné výše Investičního příspěvku. Sleva za realizaci Adaptačního opatření je tedy poskytnuta dříve, než dojde k samotné realizaci Investičního záměru. Proto je třeba dodatečně ověřit, zda k realizaci Adaptačního opatření došlo v souladu s čl. I odst. 1.5 této Smlouvy. K samotnému ověření dojde obvykle během kolaudace Investičního záměru, jak to předpokládají Zásady. Pokud se zjistí, že k realizaci uvedeného opatření nedošlo v souladu se Smlouvou, je Investor povinen poskytnutou slevu „vrátit“ Městu.</w:t>
      </w:r>
    </w:p>
    <w:p w14:paraId="190C7A4D" w14:textId="77777777" w:rsidR="00EC1C40" w:rsidRDefault="00000000">
      <w:pPr>
        <w:pStyle w:val="Zkladntext1"/>
        <w:framePr w:w="9730" w:h="13531" w:hRule="exact" w:wrap="none" w:vAnchor="page" w:hAnchor="page" w:x="1212" w:y="1815"/>
        <w:numPr>
          <w:ilvl w:val="0"/>
          <w:numId w:val="70"/>
        </w:numPr>
        <w:tabs>
          <w:tab w:val="left" w:pos="742"/>
        </w:tabs>
        <w:spacing w:after="40" w:line="216" w:lineRule="auto"/>
        <w:jc w:val="both"/>
        <w:rPr>
          <w:sz w:val="24"/>
          <w:szCs w:val="24"/>
        </w:rPr>
      </w:pPr>
      <w:r>
        <w:rPr>
          <w:color w:val="142A56"/>
          <w:sz w:val="24"/>
          <w:szCs w:val="24"/>
        </w:rPr>
        <w:t>Další ujednání smluvních stran</w:t>
      </w:r>
    </w:p>
    <w:p w14:paraId="0EBC96A5" w14:textId="77777777" w:rsidR="00EC1C40" w:rsidRDefault="00000000">
      <w:pPr>
        <w:pStyle w:val="Zkladntext1"/>
        <w:framePr w:w="9730" w:h="13531" w:hRule="exact" w:wrap="none" w:vAnchor="page" w:hAnchor="page" w:x="1212" w:y="1815"/>
        <w:numPr>
          <w:ilvl w:val="1"/>
          <w:numId w:val="78"/>
        </w:numPr>
        <w:tabs>
          <w:tab w:val="left" w:pos="742"/>
        </w:tabs>
        <w:spacing w:after="0"/>
        <w:jc w:val="both"/>
      </w:pPr>
      <w:r>
        <w:t>Investor jako záruku k zajištění svých závazků uvedených v čl. 2.1, 2.2, 2.5, 2.9, 2.11 až 2.13, 2.14 až 2.18, 5.2 a čl. 5.6 této Smlouvy ve lhůtě do (doplnit počet) dnů ode dne uzavření Smlouvy:</w:t>
      </w:r>
    </w:p>
    <w:p w14:paraId="73EBF408" w14:textId="77777777" w:rsidR="00EC1C40" w:rsidRDefault="00000000">
      <w:pPr>
        <w:pStyle w:val="Zkladntext1"/>
        <w:framePr w:w="9730" w:h="13531" w:hRule="exact" w:wrap="none" w:vAnchor="page" w:hAnchor="page" w:x="1212" w:y="1815"/>
        <w:numPr>
          <w:ilvl w:val="0"/>
          <w:numId w:val="79"/>
        </w:numPr>
        <w:tabs>
          <w:tab w:val="left" w:pos="742"/>
        </w:tabs>
        <w:spacing w:after="0"/>
        <w:ind w:left="760" w:hanging="360"/>
        <w:jc w:val="both"/>
      </w:pPr>
      <w:r>
        <w:t xml:space="preserve">uzavře a zřídí ve prospěch Města bankovní záruku ve smyslu § 2029 </w:t>
      </w:r>
      <w:proofErr w:type="spellStart"/>
      <w:r>
        <w:t>an</w:t>
      </w:r>
      <w:proofErr w:type="spellEnd"/>
      <w:r>
        <w:t>. OZ ve výši Investičního příspěvku, a to v rozsahu a znění předem Městem schváleným, a předloží originál záruční listiny předmětné bankovní záruky Městu, nebo</w:t>
      </w:r>
    </w:p>
    <w:p w14:paraId="3DFDCAAC" w14:textId="77777777" w:rsidR="00EC1C40" w:rsidRDefault="00000000">
      <w:pPr>
        <w:pStyle w:val="Zkladntext1"/>
        <w:framePr w:w="9730" w:h="13531" w:hRule="exact" w:wrap="none" w:vAnchor="page" w:hAnchor="page" w:x="1212" w:y="1815"/>
        <w:numPr>
          <w:ilvl w:val="0"/>
          <w:numId w:val="79"/>
        </w:numPr>
        <w:tabs>
          <w:tab w:val="left" w:pos="742"/>
        </w:tabs>
        <w:spacing w:after="0"/>
        <w:ind w:left="760" w:hanging="360"/>
        <w:jc w:val="both"/>
      </w:pPr>
      <w:r>
        <w:t xml:space="preserve">zřídí ve prospěch Města ve smyslu § 1309 </w:t>
      </w:r>
      <w:r>
        <w:rPr>
          <w:lang w:val="en-US" w:eastAsia="en-US" w:bidi="en-US"/>
        </w:rPr>
        <w:t xml:space="preserve">an. </w:t>
      </w:r>
      <w:r>
        <w:t>OZ zástavu k věci nemovité, a to: (doplnit konkrétní specifikaci), bytu nebo nebytového prostoru (doplnit konkrétní specifikaci), obchodnímu podílu (doplnit konkrétní specifikaci) nebo k cennému papíru (doplnit konkrétní specifikaci), nebo (</w:t>
      </w:r>
      <w:r>
        <w:rPr>
          <w:i/>
          <w:iCs/>
        </w:rPr>
        <w:t>POZNÁMKA: nehodící se v konkrétní uzavírané smlouvě vypustí, na konkrétní podobě zajištění se smluvní strany dohodnou</w:t>
      </w:r>
      <w:r>
        <w:t>.)</w:t>
      </w:r>
    </w:p>
    <w:p w14:paraId="4C54F463" w14:textId="77777777" w:rsidR="00EC1C40" w:rsidRDefault="00000000">
      <w:pPr>
        <w:pStyle w:val="Zkladntext1"/>
        <w:framePr w:w="9730" w:h="13531" w:hRule="exact" w:wrap="none" w:vAnchor="page" w:hAnchor="page" w:x="1212" w:y="1815"/>
        <w:numPr>
          <w:ilvl w:val="0"/>
          <w:numId w:val="79"/>
        </w:numPr>
        <w:tabs>
          <w:tab w:val="left" w:pos="742"/>
        </w:tabs>
        <w:spacing w:after="0"/>
        <w:ind w:firstLine="400"/>
        <w:jc w:val="both"/>
      </w:pPr>
      <w:r>
        <w:t>sjedná s Městem níže konkretizované smluvní pokuty.</w:t>
      </w:r>
    </w:p>
    <w:p w14:paraId="723053E0" w14:textId="77777777" w:rsidR="00EC1C40" w:rsidRDefault="00000000">
      <w:pPr>
        <w:pStyle w:val="Zkladntext1"/>
        <w:framePr w:w="9730" w:h="13531" w:hRule="exact" w:wrap="none" w:vAnchor="page" w:hAnchor="page" w:x="1212" w:y="1815"/>
        <w:spacing w:after="0"/>
        <w:jc w:val="both"/>
      </w:pPr>
      <w:r>
        <w:t>Na konkrétní podobě zajištění shora uvedených závazků Investora se smluvní strany dohodnou v souladu s čl. VI. Zásad.</w:t>
      </w:r>
    </w:p>
    <w:p w14:paraId="430EB761" w14:textId="77777777" w:rsidR="00EC1C40" w:rsidRDefault="00000000">
      <w:pPr>
        <w:pStyle w:val="Zhlavnebozpat0"/>
        <w:framePr w:wrap="none" w:vAnchor="page" w:hAnchor="page" w:x="5950" w:y="15855"/>
        <w:rPr>
          <w:sz w:val="22"/>
          <w:szCs w:val="22"/>
        </w:rPr>
      </w:pPr>
      <w:r>
        <w:rPr>
          <w:color w:val="231E20"/>
          <w:sz w:val="22"/>
          <w:szCs w:val="22"/>
        </w:rPr>
        <w:t>25</w:t>
      </w:r>
    </w:p>
    <w:p w14:paraId="269DD995"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10B0FEB3" w14:textId="77777777" w:rsidR="00EC1C40" w:rsidRDefault="00EC1C40">
      <w:pPr>
        <w:spacing w:line="1" w:lineRule="exact"/>
      </w:pPr>
    </w:p>
    <w:p w14:paraId="7127DD22" w14:textId="77777777" w:rsidR="00EC1C40" w:rsidRDefault="00000000">
      <w:pPr>
        <w:pStyle w:val="Zkladntext1"/>
        <w:framePr w:w="9710" w:h="13531" w:hRule="exact" w:wrap="none" w:vAnchor="page" w:hAnchor="page" w:x="1222" w:y="1815"/>
        <w:spacing w:after="0"/>
        <w:jc w:val="both"/>
      </w:pPr>
      <w:r>
        <w:rPr>
          <w:i/>
          <w:iCs/>
        </w:rPr>
        <w:t>POZNÁMKA: Pokud Investor poskytne Městu bankovní záruku dle čl. 4.1 písm. a) této Smlouvy, touto zárukou bude ve prospěch Města neodvolatelně a bezpodmínečně zajištěna povinnost Investora řádně splnit své závazky, uvedené v této Smlouvě. Město bude oprávněno uplatnit písemně právo z bankovní záruky v případě, že Investor bude v prodlení s plněním některého svého závazku zajištěného bankovní zárukou po dobu delší (doplnit) dnů, a to i přes písemnou výzvu Města ke splnění takového závazku. Investor bude povinen nejpozději při podpisu této Smlouvy předložit Městu originál záruční listiny obsahující bezpodmínečný závazek banky vyplatit Městu bankovní záruku v případě nesplnění závazku Investora. Investor bude povinen zajistit platnost bankovní záruky po celou dobu trvání této Smlouvy.</w:t>
      </w:r>
    </w:p>
    <w:p w14:paraId="215B65D4" w14:textId="77777777" w:rsidR="00EC1C40" w:rsidRDefault="00000000">
      <w:pPr>
        <w:pStyle w:val="Zkladntext1"/>
        <w:framePr w:w="9710" w:h="13531" w:hRule="exact" w:wrap="none" w:vAnchor="page" w:hAnchor="page" w:x="1222" w:y="1815"/>
        <w:spacing w:after="260"/>
        <w:jc w:val="both"/>
      </w:pPr>
      <w:r>
        <w:rPr>
          <w:i/>
          <w:iCs/>
        </w:rPr>
        <w:t>Pokud si smluvní strany namísto bankovní záruky a namísto zřízení zástavy sjednají smluvní pokuty, musí konkretizovat závazky Investora těmito pokutami zajištěné (doplnit konkrétní závazky zajištění smluvní pokutou spolu s určením výše smluvní pokuty za každý den prodlení buď procentem z dlužné částky, nebo fixní částkou). Investor nebude v prodlení v případě, že mu Město v rozporu s touto Smlouvou odmítne po předchozí písemné výzvě Investora poskytnout součinnost nutnou ke splnění závazku. Nedohodnou-li si smluvní strany něco jiného, bude platit, že zaplacením smluvní pokuty dohodnuté v této Smlouvě se neruší povinnost Investora závazek splnit, ani právo Města vedle smluvní pokuty požadovat i náhradu škody přesahující uhrazenou smluvní pokutu v plné výši.</w:t>
      </w:r>
    </w:p>
    <w:p w14:paraId="4A5E2EE3" w14:textId="77777777" w:rsidR="00EC1C40" w:rsidRDefault="00000000">
      <w:pPr>
        <w:pStyle w:val="Zkladntext1"/>
        <w:framePr w:w="9710" w:h="13531" w:hRule="exact" w:wrap="none" w:vAnchor="page" w:hAnchor="page" w:x="1222" w:y="1815"/>
        <w:numPr>
          <w:ilvl w:val="1"/>
          <w:numId w:val="78"/>
        </w:numPr>
        <w:tabs>
          <w:tab w:val="left" w:pos="703"/>
          <w:tab w:val="left" w:pos="720"/>
        </w:tabs>
        <w:spacing w:after="0"/>
        <w:jc w:val="both"/>
      </w:pPr>
      <w:r>
        <w:t>Poruší-li Investor povinnost informovat své právní nástupce o existenci a obsahu této Smlouvy včetně</w:t>
      </w:r>
    </w:p>
    <w:p w14:paraId="1A398F23" w14:textId="77777777" w:rsidR="00EC1C40" w:rsidRDefault="00000000">
      <w:pPr>
        <w:pStyle w:val="Zkladntext1"/>
        <w:framePr w:w="9710" w:h="13531" w:hRule="exact" w:wrap="none" w:vAnchor="page" w:hAnchor="page" w:x="1222" w:y="1815"/>
        <w:spacing w:after="260"/>
        <w:jc w:val="both"/>
      </w:pPr>
      <w:r>
        <w:t>všech jejích pozdějších dodatků v souladu s čl. 5.7 této Smlouvy, zavazuje se na výzvu Města bez jakýchkoli výhrad či podmínek zaplatit Městu smluvní pokutu ve výši 10.000,- Kč za každé jednotlivé porušení této informační povinnosti, a to do čtrnácti (14) dnů ode dne doručení výzvy.</w:t>
      </w:r>
    </w:p>
    <w:p w14:paraId="2D34EEEF" w14:textId="77777777" w:rsidR="00EC1C40" w:rsidRDefault="00000000">
      <w:pPr>
        <w:pStyle w:val="Zkladntext1"/>
        <w:framePr w:w="9710" w:h="13531" w:hRule="exact" w:wrap="none" w:vAnchor="page" w:hAnchor="page" w:x="1222" w:y="1815"/>
        <w:spacing w:after="40"/>
        <w:jc w:val="both"/>
      </w:pPr>
      <w:r>
        <w:rPr>
          <w:i/>
          <w:iCs/>
        </w:rPr>
        <w:t>POZNÁMKA: v souladu s čl. VI. odst. 1 Zásad musí být odpovídajícím způsobem zajištěny nejen závazky Investora, ale též závazky Města, obsažené v čl. 3.1, 3.3, 3.4 a 5.2 této Smlouvy (jinak by Smlouva byla nevyvážená). Konkrétní výše zajištění, stejně jako navržených smluvních pokut, bude vždy určena s ohledem na obsah konkrétní Smlouvy, totiž s ohledem na závazky Města.</w:t>
      </w:r>
    </w:p>
    <w:p w14:paraId="62BF09A9" w14:textId="77777777" w:rsidR="00EC1C40" w:rsidRDefault="00000000">
      <w:pPr>
        <w:pStyle w:val="Zkladntext1"/>
        <w:framePr w:w="9710" w:h="13531" w:hRule="exact" w:wrap="none" w:vAnchor="page" w:hAnchor="page" w:x="1222" w:y="1815"/>
        <w:numPr>
          <w:ilvl w:val="0"/>
          <w:numId w:val="70"/>
        </w:numPr>
        <w:tabs>
          <w:tab w:val="left" w:pos="703"/>
        </w:tabs>
        <w:spacing w:after="40" w:line="216" w:lineRule="auto"/>
        <w:jc w:val="both"/>
        <w:rPr>
          <w:sz w:val="24"/>
          <w:szCs w:val="24"/>
        </w:rPr>
      </w:pPr>
      <w:r>
        <w:rPr>
          <w:color w:val="142A56"/>
          <w:sz w:val="24"/>
          <w:szCs w:val="24"/>
        </w:rPr>
        <w:t>Závěrečná ustanovení</w:t>
      </w:r>
    </w:p>
    <w:p w14:paraId="55E27322" w14:textId="77777777" w:rsidR="00EC1C40" w:rsidRDefault="00000000">
      <w:pPr>
        <w:pStyle w:val="Zkladntext1"/>
        <w:framePr w:w="9710" w:h="13531" w:hRule="exact" w:wrap="none" w:vAnchor="page" w:hAnchor="page" w:x="1222" w:y="1815"/>
        <w:numPr>
          <w:ilvl w:val="1"/>
          <w:numId w:val="80"/>
        </w:numPr>
        <w:tabs>
          <w:tab w:val="left" w:pos="703"/>
        </w:tabs>
        <w:spacing w:after="260"/>
        <w:jc w:val="both"/>
      </w:pPr>
      <w:r>
        <w:t>Smluvní strany prohlašují, že tuto Smlouvu uzavírají po vzájemném projednání dobrovolně, dle jejich pravé, vážné a svobodné vůle, nikoli v tísni za nevýhodných podmínek. Smluvní strany dále prohlašují, že si tuto smlouvu před jejím podpisem přečetly a jsou si vědomy veškerých svých práv a povinností z této Smlouvy vyplývajících.</w:t>
      </w:r>
    </w:p>
    <w:p w14:paraId="6B67B7EA" w14:textId="77777777" w:rsidR="00EC1C40" w:rsidRDefault="00000000">
      <w:pPr>
        <w:pStyle w:val="Zkladntext1"/>
        <w:framePr w:w="9710" w:h="13531" w:hRule="exact" w:wrap="none" w:vAnchor="page" w:hAnchor="page" w:x="1222" w:y="1815"/>
        <w:numPr>
          <w:ilvl w:val="1"/>
          <w:numId w:val="80"/>
        </w:numPr>
        <w:tabs>
          <w:tab w:val="left" w:pos="703"/>
        </w:tabs>
        <w:spacing w:after="260"/>
        <w:jc w:val="both"/>
      </w:pPr>
      <w:r>
        <w:t>Smluvní strany se zavazují řádně spolupracovat a včas se navzájem informovat o všech podstatných okolnostech, které mohou mít vliv na řádné plnění účelu této Smlouvy. Takovou podstatnou okolností je také vydání stavebního povolení, společného povolení nebo jiného srovnatelného správního aktu stavebního úřadu či právního jednání umožňujícího Investorovi začít stavět Investiční záměr.</w:t>
      </w:r>
    </w:p>
    <w:p w14:paraId="050780AD" w14:textId="77777777" w:rsidR="00EC1C40" w:rsidRDefault="00000000">
      <w:pPr>
        <w:pStyle w:val="Zkladntext1"/>
        <w:framePr w:w="9710" w:h="13531" w:hRule="exact" w:wrap="none" w:vAnchor="page" w:hAnchor="page" w:x="1222" w:y="1815"/>
        <w:numPr>
          <w:ilvl w:val="1"/>
          <w:numId w:val="80"/>
        </w:numPr>
        <w:tabs>
          <w:tab w:val="left" w:pos="703"/>
        </w:tabs>
        <w:spacing w:after="260"/>
        <w:jc w:val="both"/>
      </w:pPr>
      <w:r>
        <w:t xml:space="preserve">Tato Smlouva se vyhotovuje v </w:t>
      </w:r>
      <w:r>
        <w:rPr>
          <w:b/>
          <w:bCs/>
        </w:rPr>
        <w:t xml:space="preserve">pěti </w:t>
      </w:r>
      <w:r>
        <w:t>vyhotoveních, přičemž každá smluvní strana obdrží po dvou vyhotoveních a jedno vyhotovení bude předloženo příslušnému stavebnímu úřadu.</w:t>
      </w:r>
    </w:p>
    <w:p w14:paraId="0BE01949" w14:textId="77777777" w:rsidR="00EC1C40" w:rsidRDefault="00000000">
      <w:pPr>
        <w:pStyle w:val="Zkladntext1"/>
        <w:framePr w:w="9710" w:h="13531" w:hRule="exact" w:wrap="none" w:vAnchor="page" w:hAnchor="page" w:x="1222" w:y="1815"/>
        <w:numPr>
          <w:ilvl w:val="1"/>
          <w:numId w:val="80"/>
        </w:numPr>
        <w:tabs>
          <w:tab w:val="left" w:pos="703"/>
        </w:tabs>
        <w:spacing w:after="260"/>
        <w:jc w:val="both"/>
      </w:pPr>
      <w:r>
        <w:t>Tato Smlouva může být měněna pouze písemnými číslovanými dodatky, podepsanými oprávněnými zástupci smluvních stran. Jiná forma změn Smlouvy je vyloučena.</w:t>
      </w:r>
    </w:p>
    <w:p w14:paraId="2F36ADFB" w14:textId="77777777" w:rsidR="00EC1C40" w:rsidRDefault="00000000">
      <w:pPr>
        <w:pStyle w:val="Zkladntext1"/>
        <w:framePr w:w="9710" w:h="13531" w:hRule="exact" w:wrap="none" w:vAnchor="page" w:hAnchor="page" w:x="1222" w:y="1815"/>
        <w:numPr>
          <w:ilvl w:val="1"/>
          <w:numId w:val="80"/>
        </w:numPr>
        <w:tabs>
          <w:tab w:val="left" w:pos="703"/>
        </w:tabs>
        <w:spacing w:after="260"/>
        <w:jc w:val="both"/>
      </w:pPr>
      <w:r>
        <w:t>Tato Smlouva je uzavřena na dobu určitou a to na dobu do dokončení Investičního záměru Investora, uvedeného v čl. 1.2 této Smlouvy.</w:t>
      </w:r>
    </w:p>
    <w:p w14:paraId="5FBD5351" w14:textId="77777777" w:rsidR="00EC1C40" w:rsidRDefault="00000000">
      <w:pPr>
        <w:pStyle w:val="Zkladntext1"/>
        <w:framePr w:w="9710" w:h="13531" w:hRule="exact" w:wrap="none" w:vAnchor="page" w:hAnchor="page" w:x="1222" w:y="1815"/>
        <w:numPr>
          <w:ilvl w:val="1"/>
          <w:numId w:val="80"/>
        </w:numPr>
        <w:tabs>
          <w:tab w:val="left" w:pos="703"/>
        </w:tabs>
        <w:spacing w:after="0"/>
        <w:jc w:val="both"/>
      </w:pPr>
      <w:r>
        <w:t>V případě úmyslu Investora převést svá práva a povinnosti k Investičnímu záměru na jiný subjekt, je Investor povinen Město o tomto svém úmyslu bez zbytečného odkladu písemnou formou vyrozumět. V případě, že se Investor rozhodne záměr nerealizovat a převede svůj Investiční záměr jako celek ve stejné podobě na třetí osobu, zavazuje se zajistit postoupení všech práv a povinností vyplývajících z této Smlouvy</w:t>
      </w:r>
    </w:p>
    <w:p w14:paraId="7D324228" w14:textId="77777777" w:rsidR="00EC1C40" w:rsidRDefault="00000000">
      <w:pPr>
        <w:pStyle w:val="Zhlavnebozpat0"/>
        <w:framePr w:wrap="none" w:vAnchor="page" w:hAnchor="page" w:x="5940" w:y="15855"/>
        <w:rPr>
          <w:sz w:val="22"/>
          <w:szCs w:val="22"/>
        </w:rPr>
      </w:pPr>
      <w:r>
        <w:rPr>
          <w:color w:val="231E20"/>
          <w:sz w:val="22"/>
          <w:szCs w:val="22"/>
        </w:rPr>
        <w:t>26</w:t>
      </w:r>
    </w:p>
    <w:p w14:paraId="0C2102C7"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697444B6" w14:textId="77777777" w:rsidR="00EC1C40" w:rsidRDefault="00000000">
      <w:pPr>
        <w:spacing w:line="1" w:lineRule="exact"/>
      </w:pPr>
      <w:r>
        <w:rPr>
          <w:noProof/>
        </w:rPr>
        <w:lastRenderedPageBreak/>
        <mc:AlternateContent>
          <mc:Choice Requires="wps">
            <w:drawing>
              <wp:anchor distT="0" distB="0" distL="114300" distR="114300" simplePos="0" relativeHeight="251709952" behindDoc="1" locked="0" layoutInCell="1" allowOverlap="1" wp14:anchorId="6E362C4D" wp14:editId="2F4E7398">
                <wp:simplePos x="0" y="0"/>
                <wp:positionH relativeFrom="page">
                  <wp:posOffset>803910</wp:posOffset>
                </wp:positionH>
                <wp:positionV relativeFrom="page">
                  <wp:posOffset>8293100</wp:posOffset>
                </wp:positionV>
                <wp:extent cx="2155190" cy="0"/>
                <wp:effectExtent l="0" t="0" r="0" b="0"/>
                <wp:wrapNone/>
                <wp:docPr id="129" name="Shape 129"/>
                <wp:cNvGraphicFramePr/>
                <a:graphic xmlns:a="http://schemas.openxmlformats.org/drawingml/2006/main">
                  <a:graphicData uri="http://schemas.microsoft.com/office/word/2010/wordprocessingShape">
                    <wps:wsp>
                      <wps:cNvCnPr/>
                      <wps:spPr>
                        <a:xfrm>
                          <a:off x="0" y="0"/>
                          <a:ext cx="2155190" cy="0"/>
                        </a:xfrm>
                        <a:prstGeom prst="straightConnector1">
                          <a:avLst/>
                        </a:prstGeom>
                        <a:ln w="8890">
                          <a:solidFill/>
                        </a:ln>
                      </wps:spPr>
                      <wps:bodyPr/>
                    </wps:wsp>
                  </a:graphicData>
                </a:graphic>
              </wp:anchor>
            </w:drawing>
          </mc:Choice>
          <mc:Fallback>
            <w:pict>
              <v:shape o:spt="32" o:oned="true" path="m,l21600,21600e" style="position:absolute;margin-left:63.300000000000004pt;margin-top:653.pt;width:169.70000000000002pt;height:0;z-index:-251658240;mso-position-horizontal-relative:page;mso-position-vertical-relative:page">
                <v:stroke weight="0.70000000000000007pt"/>
              </v:shape>
            </w:pict>
          </mc:Fallback>
        </mc:AlternateContent>
      </w:r>
      <w:r>
        <w:rPr>
          <w:noProof/>
        </w:rPr>
        <mc:AlternateContent>
          <mc:Choice Requires="wps">
            <w:drawing>
              <wp:anchor distT="0" distB="0" distL="114300" distR="114300" simplePos="0" relativeHeight="251710976" behindDoc="1" locked="0" layoutInCell="1" allowOverlap="1" wp14:anchorId="6FB55E2A" wp14:editId="1BEA6A32">
                <wp:simplePos x="0" y="0"/>
                <wp:positionH relativeFrom="page">
                  <wp:posOffset>4397375</wp:posOffset>
                </wp:positionH>
                <wp:positionV relativeFrom="page">
                  <wp:posOffset>8293100</wp:posOffset>
                </wp:positionV>
                <wp:extent cx="2155190" cy="0"/>
                <wp:effectExtent l="0" t="0" r="0" b="0"/>
                <wp:wrapNone/>
                <wp:docPr id="130" name="Shape 130"/>
                <wp:cNvGraphicFramePr/>
                <a:graphic xmlns:a="http://schemas.openxmlformats.org/drawingml/2006/main">
                  <a:graphicData uri="http://schemas.microsoft.com/office/word/2010/wordprocessingShape">
                    <wps:wsp>
                      <wps:cNvCnPr/>
                      <wps:spPr>
                        <a:xfrm>
                          <a:off x="0" y="0"/>
                          <a:ext cx="2155190" cy="0"/>
                        </a:xfrm>
                        <a:prstGeom prst="straightConnector1">
                          <a:avLst/>
                        </a:prstGeom>
                        <a:ln w="8890">
                          <a:solidFill/>
                        </a:ln>
                      </wps:spPr>
                      <wps:bodyPr/>
                    </wps:wsp>
                  </a:graphicData>
                </a:graphic>
              </wp:anchor>
            </w:drawing>
          </mc:Choice>
          <mc:Fallback>
            <w:pict>
              <v:shape o:spt="32" o:oned="true" path="m,l21600,21600e" style="position:absolute;margin-left:346.25pt;margin-top:653.pt;width:169.70000000000002pt;height:0;z-index:-251658240;mso-position-horizontal-relative:page;mso-position-vertical-relative:page">
                <v:stroke weight="0.70000000000000007pt"/>
              </v:shape>
            </w:pict>
          </mc:Fallback>
        </mc:AlternateContent>
      </w:r>
    </w:p>
    <w:p w14:paraId="2C7CF1B4" w14:textId="77777777" w:rsidR="00EC1C40" w:rsidRDefault="00000000">
      <w:pPr>
        <w:pStyle w:val="Zkladntext1"/>
        <w:framePr w:w="9715" w:h="10234" w:hRule="exact" w:wrap="none" w:vAnchor="page" w:hAnchor="page" w:x="1219" w:y="1546"/>
        <w:spacing w:after="260"/>
        <w:jc w:val="both"/>
      </w:pPr>
      <w:r>
        <w:t xml:space="preserve">na třetí subjekt, Město k tomu poskytne nezbytnou součinnost. Smluvní strany prohlašují, že povaha Smlouvy postoupení nevylučuje, a souhlasí s ním. Pro případ, že by převod práva povinností z této smlouvy nebyl možný podle § 1895 </w:t>
      </w:r>
      <w:proofErr w:type="spellStart"/>
      <w:r>
        <w:t>an</w:t>
      </w:r>
      <w:proofErr w:type="spellEnd"/>
      <w:r>
        <w:t>. OZ, zavazují se smluvní strany do 3 měsíců od doručení výzvy některé z nich uzavřít dodatek k této Smlouvě, jehož předmětem bude převod práv a povinností z této Smlouvy.</w:t>
      </w:r>
    </w:p>
    <w:p w14:paraId="50515C55" w14:textId="77777777" w:rsidR="00EC1C40" w:rsidRDefault="00000000">
      <w:pPr>
        <w:pStyle w:val="Zkladntext1"/>
        <w:framePr w:w="9715" w:h="10234" w:hRule="exact" w:wrap="none" w:vAnchor="page" w:hAnchor="page" w:x="1219" w:y="1546"/>
        <w:numPr>
          <w:ilvl w:val="1"/>
          <w:numId w:val="80"/>
        </w:numPr>
        <w:tabs>
          <w:tab w:val="left" w:pos="710"/>
        </w:tabs>
        <w:spacing w:after="260"/>
        <w:jc w:val="both"/>
      </w:pPr>
      <w:r>
        <w:t>Investor se zavazuje k tomu, že smluvně zaváže své případné právní nástupce k převzetí práv a povinností plynoucích z této Smlouvy. Pokud Investor tuto povinnost poruší, odpovídá Městu za škodu, která mu postupem v rozporu s tímto ujednáním vznikne.</w:t>
      </w:r>
    </w:p>
    <w:p w14:paraId="5C500FD4" w14:textId="77777777" w:rsidR="00EC1C40" w:rsidRDefault="00000000">
      <w:pPr>
        <w:pStyle w:val="Zkladntext1"/>
        <w:framePr w:w="9715" w:h="10234" w:hRule="exact" w:wrap="none" w:vAnchor="page" w:hAnchor="page" w:x="1219" w:y="1546"/>
        <w:numPr>
          <w:ilvl w:val="1"/>
          <w:numId w:val="80"/>
        </w:numPr>
        <w:tabs>
          <w:tab w:val="left" w:pos="710"/>
        </w:tabs>
        <w:spacing w:after="260"/>
        <w:jc w:val="both"/>
      </w:pPr>
      <w:r>
        <w:t>Investor se zavazuje k tomu, že bude své případné právní nástupce prokazatelně informovat o existenci a obsahu této Smlouvy ve znění všech případných pozdějších dodatků, a dále se Investor zavazuje, že smluvně zaváže své případné právní nástupce k tomu, že i tito budou mít povinnost informovat své případné právní nástupce o existenci a obsahu této Smlouvy ve znění všech případných pozdějších dodatků.</w:t>
      </w:r>
    </w:p>
    <w:p w14:paraId="067C27E3" w14:textId="77777777" w:rsidR="00EC1C40" w:rsidRDefault="00000000">
      <w:pPr>
        <w:pStyle w:val="Zkladntext1"/>
        <w:framePr w:w="9715" w:h="10234" w:hRule="exact" w:wrap="none" w:vAnchor="page" w:hAnchor="page" w:x="1219" w:y="1546"/>
        <w:spacing w:after="260"/>
        <w:jc w:val="both"/>
      </w:pPr>
      <w:r>
        <w:rPr>
          <w:i/>
          <w:iCs/>
        </w:rPr>
        <w:t>POZNÁMKA: Je na Investorovi, jak bude své právní nástupce informovat o existenci a obsahu Smlouvy včetně všech pozdějších dodatků, např. zda od nich bude vyžadovat podepsané písemné prohlášení, že byli informováni, zda jim zašle doporučený dopis s dodejkou s přiloženou Smlouvou nebo zda je bude informovat jiným způsobem.</w:t>
      </w:r>
    </w:p>
    <w:p w14:paraId="6412EA35" w14:textId="77777777" w:rsidR="00EC1C40" w:rsidRDefault="00000000">
      <w:pPr>
        <w:pStyle w:val="Zkladntext1"/>
        <w:framePr w:w="9715" w:h="10234" w:hRule="exact" w:wrap="none" w:vAnchor="page" w:hAnchor="page" w:x="1219" w:y="1546"/>
        <w:numPr>
          <w:ilvl w:val="1"/>
          <w:numId w:val="80"/>
        </w:numPr>
        <w:tabs>
          <w:tab w:val="left" w:pos="710"/>
        </w:tabs>
        <w:spacing w:after="0"/>
        <w:jc w:val="both"/>
      </w:pPr>
      <w:r>
        <w:t>Smlouva nabývá platnosti dnem jejího podpisu poslední smluvní stranou, účinnosti pak nabývá dnem uveřejnění v registru smluv v souladu se zákonem č. 340/2015 Sb., o registru smluv, ve znění pozdějších předpisů (dále též „ZRS“). Uveřejnění Smlouvy zajistí Město, a to ve lhůtě do 30 dní ode dne uzavření této Smlouvy. Neprodleně po uveřejnění této Smlouvy v registru smluv o tomto uveřejnění písemně informuje Investora. Investor není povinen správnost uveřejnění Smlouvy zkontrolovat. V případě, že Město z nějakého důvodu Smlouvu v registru smluv v uvedené lhůtě neuveřejní, vyhrazuje si Investor právo Smlouvu po uplynutí uvedené lhůty uveřejnit prostřednictvím registru smluv.</w:t>
      </w:r>
    </w:p>
    <w:p w14:paraId="44AFDCAE" w14:textId="77777777" w:rsidR="00EC1C40" w:rsidRDefault="00000000">
      <w:pPr>
        <w:pStyle w:val="Zkladntext1"/>
        <w:framePr w:w="9715" w:h="10234" w:hRule="exact" w:wrap="none" w:vAnchor="page" w:hAnchor="page" w:x="1219" w:y="1546"/>
        <w:spacing w:after="260"/>
        <w:jc w:val="both"/>
      </w:pPr>
      <w:r>
        <w:t>Smluvní strana, která provedla opravu uveřejněné Smlouvy dle § 5 odst. 7 ZRS, odpovídá za její správnost obdobně. Druhá smluvní strana není povinna správnost provedené opravy zkontrolovat.</w:t>
      </w:r>
    </w:p>
    <w:p w14:paraId="29B1C87E" w14:textId="77777777" w:rsidR="00EC1C40" w:rsidRDefault="00000000">
      <w:pPr>
        <w:pStyle w:val="Zkladntext1"/>
        <w:framePr w:w="9715" w:h="10234" w:hRule="exact" w:wrap="none" w:vAnchor="page" w:hAnchor="page" w:x="1219" w:y="1546"/>
        <w:numPr>
          <w:ilvl w:val="1"/>
          <w:numId w:val="80"/>
        </w:numPr>
        <w:tabs>
          <w:tab w:val="left" w:pos="710"/>
        </w:tabs>
        <w:spacing w:after="0"/>
        <w:jc w:val="both"/>
      </w:pPr>
      <w:r>
        <w:t>Pro vyloučení jakýchkoli pochybností smluvní strany prohlašují, že souhlasí s uveřejněním výše uvedené smlouvy včetně všech jejích příloh, jakož i pozdějších změn Smlouvy prostřednictvím dodatků uzavřených smluvními stranami dle čl. 5.4 této Smlouvy, prostřednictvím registru smluv v rozsahu a způsobem vyplývajícím ze zákona č. 340/2015 Sb., o registru smluv, ve znění pozdějších předpisů.</w:t>
      </w:r>
    </w:p>
    <w:p w14:paraId="246555FA" w14:textId="77777777" w:rsidR="00EC1C40" w:rsidRDefault="00000000">
      <w:pPr>
        <w:pStyle w:val="Zkladntext1"/>
        <w:framePr w:w="9715" w:h="10234" w:hRule="exact" w:wrap="none" w:vAnchor="page" w:hAnchor="page" w:x="1219" w:y="1546"/>
        <w:spacing w:after="260"/>
        <w:jc w:val="both"/>
      </w:pPr>
      <w:r>
        <w:t>Smlouva neobsahuje žádné informace, které by nemohly být uveřejněny podle ZRS, resp. které by nemohly být poskytnuty podle právních předpisů upravujících svobodný přístup k informacím.</w:t>
      </w:r>
    </w:p>
    <w:p w14:paraId="5EA0273E" w14:textId="77777777" w:rsidR="00EC1C40" w:rsidRDefault="00000000">
      <w:pPr>
        <w:pStyle w:val="Zkladntext1"/>
        <w:framePr w:w="9715" w:h="10234" w:hRule="exact" w:wrap="none" w:vAnchor="page" w:hAnchor="page" w:x="1219" w:y="1546"/>
        <w:numPr>
          <w:ilvl w:val="1"/>
          <w:numId w:val="80"/>
        </w:numPr>
        <w:tabs>
          <w:tab w:val="left" w:pos="710"/>
        </w:tabs>
        <w:spacing w:after="0"/>
        <w:jc w:val="both"/>
      </w:pPr>
      <w:r>
        <w:t xml:space="preserve">Tato Smlouva by a schválena usnesením Zastupitelstva města Pardubic č. (doplnit) na jeho (doplnit) zasedání, konaném dne (doplnit datum ve formátu </w:t>
      </w:r>
      <w:proofErr w:type="spellStart"/>
      <w:r>
        <w:t>den.měsíc.rok</w:t>
      </w:r>
      <w:proofErr w:type="spellEnd"/>
      <w:r>
        <w:t>).</w:t>
      </w:r>
    </w:p>
    <w:p w14:paraId="410E640B" w14:textId="77777777" w:rsidR="00EC1C40" w:rsidRDefault="00000000">
      <w:pPr>
        <w:pStyle w:val="Zkladntext1"/>
        <w:framePr w:wrap="none" w:vAnchor="page" w:hAnchor="page" w:x="1243" w:y="12015"/>
        <w:spacing w:after="0"/>
      </w:pPr>
      <w:r>
        <w:t>V Pardubicích dne (doplnit)</w:t>
      </w:r>
    </w:p>
    <w:p w14:paraId="6020D0C3" w14:textId="77777777" w:rsidR="00EC1C40" w:rsidRDefault="00000000">
      <w:pPr>
        <w:pStyle w:val="Zkladntext1"/>
        <w:framePr w:wrap="none" w:vAnchor="page" w:hAnchor="page" w:x="6902" w:y="12015"/>
        <w:spacing w:after="0"/>
      </w:pPr>
      <w:r>
        <w:t>V (doplnit) dne (doplnit)</w:t>
      </w:r>
    </w:p>
    <w:p w14:paraId="65F5AFB7" w14:textId="77777777" w:rsidR="00EC1C40" w:rsidRDefault="00000000">
      <w:pPr>
        <w:pStyle w:val="Zkladntext1"/>
        <w:framePr w:w="8491" w:h="557" w:hRule="exact" w:wrap="none" w:vAnchor="page" w:hAnchor="page" w:x="2443" w:y="13272"/>
        <w:spacing w:after="0"/>
      </w:pPr>
      <w:r>
        <w:t>(doplnit zástupce statutárního města Pardubice)</w:t>
      </w:r>
      <w:r>
        <w:br/>
        <w:t>Investora)</w:t>
      </w:r>
    </w:p>
    <w:p w14:paraId="1D62E862" w14:textId="77777777" w:rsidR="00EC1C40" w:rsidRDefault="00000000">
      <w:pPr>
        <w:pStyle w:val="Zkladntext1"/>
        <w:framePr w:wrap="none" w:vAnchor="page" w:hAnchor="page" w:x="7622" w:y="13272"/>
        <w:spacing w:after="0"/>
      </w:pPr>
      <w:r>
        <w:t>(doplnit osobu jednající za</w:t>
      </w:r>
    </w:p>
    <w:p w14:paraId="7679B677" w14:textId="77777777" w:rsidR="00EC1C40" w:rsidRDefault="00000000">
      <w:pPr>
        <w:pStyle w:val="Zkladntext1"/>
        <w:framePr w:w="1186" w:h="610" w:hRule="exact" w:wrap="none" w:vAnchor="page" w:hAnchor="page" w:x="1258" w:y="14650"/>
        <w:spacing w:after="0"/>
        <w:rPr>
          <w:sz w:val="24"/>
          <w:szCs w:val="24"/>
        </w:rPr>
      </w:pPr>
      <w:r>
        <w:rPr>
          <w:color w:val="142A56"/>
          <w:sz w:val="24"/>
          <w:szCs w:val="24"/>
        </w:rPr>
        <w:t>Přílohy</w:t>
      </w:r>
    </w:p>
    <w:p w14:paraId="3659DC48" w14:textId="77777777" w:rsidR="00EC1C40" w:rsidRDefault="00000000">
      <w:pPr>
        <w:pStyle w:val="Zkladntext1"/>
        <w:framePr w:w="1186" w:h="610" w:hRule="exact" w:wrap="none" w:vAnchor="page" w:hAnchor="page" w:x="1258" w:y="14650"/>
        <w:spacing w:after="0"/>
      </w:pPr>
      <w:r>
        <w:t>Příloha č. 1 -</w:t>
      </w:r>
    </w:p>
    <w:p w14:paraId="3064831C" w14:textId="77777777" w:rsidR="00EC1C40" w:rsidRDefault="00000000">
      <w:pPr>
        <w:pStyle w:val="Zkladntext1"/>
        <w:framePr w:w="8491" w:h="547" w:hRule="exact" w:wrap="none" w:vAnchor="page" w:hAnchor="page" w:x="2443" w:y="14976"/>
        <w:spacing w:after="0" w:line="233" w:lineRule="auto"/>
        <w:ind w:left="240"/>
      </w:pPr>
      <w:r>
        <w:t>harmonogram realizace Investičního záměru, Nepeněžního plnění anebo vybudování nové či úpravy stávající veřejné infrastruktury</w:t>
      </w:r>
    </w:p>
    <w:p w14:paraId="1B06918E" w14:textId="77777777" w:rsidR="00EC1C40" w:rsidRDefault="00000000">
      <w:pPr>
        <w:pStyle w:val="Zhlavnebozpat0"/>
        <w:framePr w:wrap="none" w:vAnchor="page" w:hAnchor="page" w:x="5957" w:y="15855"/>
        <w:rPr>
          <w:sz w:val="22"/>
          <w:szCs w:val="22"/>
        </w:rPr>
      </w:pPr>
      <w:r>
        <w:rPr>
          <w:color w:val="231E20"/>
          <w:sz w:val="22"/>
          <w:szCs w:val="22"/>
        </w:rPr>
        <w:t>27</w:t>
      </w:r>
    </w:p>
    <w:p w14:paraId="660AB9E5"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448A60B4" w14:textId="77777777" w:rsidR="00EC1C40" w:rsidRDefault="00EC1C40">
      <w:pPr>
        <w:spacing w:line="1" w:lineRule="exact"/>
      </w:pPr>
    </w:p>
    <w:tbl>
      <w:tblPr>
        <w:tblOverlap w:val="never"/>
        <w:tblW w:w="0" w:type="auto"/>
        <w:tblLayout w:type="fixed"/>
        <w:tblCellMar>
          <w:left w:w="10" w:type="dxa"/>
          <w:right w:w="10" w:type="dxa"/>
        </w:tblCellMar>
        <w:tblLook w:val="0000" w:firstRow="0" w:lastRow="0" w:firstColumn="0" w:lastColumn="0" w:noHBand="0" w:noVBand="0"/>
      </w:tblPr>
      <w:tblGrid>
        <w:gridCol w:w="1296"/>
        <w:gridCol w:w="6370"/>
      </w:tblGrid>
      <w:tr w:rsidR="00EC1C40" w14:paraId="4907F684" w14:textId="77777777">
        <w:tblPrEx>
          <w:tblCellMar>
            <w:top w:w="0" w:type="dxa"/>
            <w:bottom w:w="0" w:type="dxa"/>
          </w:tblCellMar>
        </w:tblPrEx>
        <w:trPr>
          <w:trHeight w:hRule="exact" w:val="514"/>
        </w:trPr>
        <w:tc>
          <w:tcPr>
            <w:tcW w:w="1296" w:type="dxa"/>
            <w:shd w:val="clear" w:color="auto" w:fill="auto"/>
          </w:tcPr>
          <w:p w14:paraId="0BACC36B" w14:textId="77777777" w:rsidR="00EC1C40" w:rsidRDefault="00000000">
            <w:pPr>
              <w:pStyle w:val="Jin0"/>
              <w:framePr w:w="7666" w:h="514" w:wrap="none" w:vAnchor="page" w:hAnchor="page" w:x="2055" w:y="1580"/>
              <w:spacing w:after="0"/>
            </w:pPr>
            <w:r>
              <w:t>Příloha č. 2 -</w:t>
            </w:r>
          </w:p>
          <w:p w14:paraId="7DD1942B" w14:textId="77777777" w:rsidR="00EC1C40" w:rsidRDefault="00000000">
            <w:pPr>
              <w:pStyle w:val="Jin0"/>
              <w:framePr w:w="7666" w:h="514" w:wrap="none" w:vAnchor="page" w:hAnchor="page" w:x="2055" w:y="1580"/>
              <w:spacing w:after="0"/>
            </w:pPr>
            <w:r>
              <w:t>Příloha č. 3 -</w:t>
            </w:r>
          </w:p>
        </w:tc>
        <w:tc>
          <w:tcPr>
            <w:tcW w:w="6370" w:type="dxa"/>
            <w:shd w:val="clear" w:color="auto" w:fill="auto"/>
          </w:tcPr>
          <w:p w14:paraId="6C2E2D94" w14:textId="77777777" w:rsidR="00EC1C40" w:rsidRDefault="00000000">
            <w:pPr>
              <w:pStyle w:val="Jin0"/>
              <w:framePr w:w="7666" w:h="514" w:wrap="none" w:vAnchor="page" w:hAnchor="page" w:x="2055" w:y="1580"/>
              <w:spacing w:after="0"/>
            </w:pPr>
            <w:r>
              <w:t>koordinační situační výkres Investičního záměru</w:t>
            </w:r>
          </w:p>
          <w:p w14:paraId="42977FA0" w14:textId="77777777" w:rsidR="00EC1C40" w:rsidRDefault="00000000">
            <w:pPr>
              <w:pStyle w:val="Jin0"/>
              <w:framePr w:w="7666" w:h="514" w:wrap="none" w:vAnchor="page" w:hAnchor="page" w:x="2055" w:y="1580"/>
              <w:spacing w:after="0"/>
            </w:pPr>
            <w:r>
              <w:t>parametry Adaptačních opatření, k jejichž realizaci se Investor zavázal</w:t>
            </w:r>
          </w:p>
        </w:tc>
      </w:tr>
    </w:tbl>
    <w:p w14:paraId="5188F42D" w14:textId="77777777" w:rsidR="00EC1C40" w:rsidRDefault="00000000">
      <w:pPr>
        <w:pStyle w:val="Zhlavnebozpat0"/>
        <w:framePr w:wrap="none" w:vAnchor="page" w:hAnchor="page" w:x="6754" w:y="15855"/>
        <w:rPr>
          <w:sz w:val="22"/>
          <w:szCs w:val="22"/>
        </w:rPr>
      </w:pPr>
      <w:r>
        <w:rPr>
          <w:color w:val="231E20"/>
          <w:sz w:val="22"/>
          <w:szCs w:val="22"/>
        </w:rPr>
        <w:t>28</w:t>
      </w:r>
    </w:p>
    <w:p w14:paraId="0E0C5478"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0A112536" w14:textId="77777777" w:rsidR="00EC1C40" w:rsidRDefault="00EC1C40">
      <w:pPr>
        <w:spacing w:line="1" w:lineRule="exact"/>
      </w:pPr>
    </w:p>
    <w:p w14:paraId="4ECD4323" w14:textId="77777777" w:rsidR="00EC1C40" w:rsidRDefault="00000000">
      <w:pPr>
        <w:pStyle w:val="Zkladntext80"/>
        <w:framePr w:w="10531" w:h="638" w:hRule="exact" w:wrap="none" w:vAnchor="page" w:hAnchor="page" w:x="826" w:y="5079"/>
        <w:rPr>
          <w:sz w:val="50"/>
          <w:szCs w:val="50"/>
        </w:rPr>
      </w:pPr>
      <w:r>
        <w:t>Příloh</w:t>
      </w:r>
      <w:r>
        <w:rPr>
          <w:rFonts w:ascii="Calibri" w:eastAsia="Calibri" w:hAnsi="Calibri" w:cs="Calibri"/>
          <w:b/>
          <w:bCs/>
          <w:smallCaps/>
          <w:sz w:val="50"/>
          <w:szCs w:val="50"/>
        </w:rPr>
        <w:t>a</w:t>
      </w:r>
      <w:r>
        <w:t xml:space="preserve"> č. </w:t>
      </w:r>
      <w:r>
        <w:rPr>
          <w:rFonts w:ascii="Calibri" w:eastAsia="Calibri" w:hAnsi="Calibri" w:cs="Calibri"/>
          <w:b/>
          <w:bCs/>
          <w:smallCaps/>
          <w:sz w:val="50"/>
          <w:szCs w:val="50"/>
        </w:rPr>
        <w:t>10</w:t>
      </w:r>
    </w:p>
    <w:p w14:paraId="33956A3C"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06195572" w14:textId="77777777" w:rsidR="00EC1C40" w:rsidRDefault="00EC1C40">
      <w:pPr>
        <w:spacing w:line="1" w:lineRule="exact"/>
      </w:pPr>
    </w:p>
    <w:p w14:paraId="14EF9B22" w14:textId="77777777" w:rsidR="00EC1C40" w:rsidRDefault="00000000">
      <w:pPr>
        <w:pStyle w:val="Jin0"/>
        <w:framePr w:w="10531" w:h="893" w:hRule="exact" w:wrap="none" w:vAnchor="page" w:hAnchor="page" w:x="874" w:y="1034"/>
        <w:spacing w:after="0"/>
        <w:ind w:right="5722"/>
        <w:jc w:val="both"/>
        <w:rPr>
          <w:sz w:val="36"/>
          <w:szCs w:val="36"/>
        </w:rPr>
      </w:pPr>
      <w:r>
        <w:rPr>
          <w:color w:val="48494B"/>
          <w:sz w:val="36"/>
          <w:szCs w:val="36"/>
        </w:rPr>
        <w:t>STATUTÁRNÍ MĚSTO PARDUBICE</w:t>
      </w:r>
    </w:p>
    <w:p w14:paraId="471F1AFA" w14:textId="77777777" w:rsidR="00EC1C40" w:rsidRDefault="00000000">
      <w:pPr>
        <w:pStyle w:val="Jin0"/>
        <w:framePr w:w="10531" w:h="893" w:hRule="exact" w:wrap="none" w:vAnchor="page" w:hAnchor="page" w:x="874" w:y="1034"/>
        <w:pBdr>
          <w:bottom w:val="single" w:sz="4" w:space="0" w:color="auto"/>
        </w:pBdr>
        <w:spacing w:after="0" w:line="230" w:lineRule="auto"/>
        <w:ind w:right="5722"/>
        <w:jc w:val="both"/>
        <w:rPr>
          <w:sz w:val="36"/>
          <w:szCs w:val="36"/>
        </w:rPr>
      </w:pPr>
      <w:r>
        <w:rPr>
          <w:color w:val="48494B"/>
          <w:sz w:val="36"/>
          <w:szCs w:val="36"/>
        </w:rPr>
        <w:t>ZASTUPITELSTVO MĚSTA</w:t>
      </w:r>
    </w:p>
    <w:p w14:paraId="0F5AC86F" w14:textId="77777777" w:rsidR="00EC1C40" w:rsidRDefault="00000000">
      <w:pPr>
        <w:framePr w:wrap="none" w:vAnchor="page" w:hAnchor="page" w:x="9255" w:y="1068"/>
        <w:rPr>
          <w:sz w:val="2"/>
          <w:szCs w:val="2"/>
        </w:rPr>
      </w:pPr>
      <w:r>
        <w:rPr>
          <w:noProof/>
        </w:rPr>
        <w:drawing>
          <wp:inline distT="0" distB="0" distL="0" distR="0" wp14:anchorId="0AF8BA3D" wp14:editId="030D60E0">
            <wp:extent cx="475615" cy="494030"/>
            <wp:effectExtent l="0" t="0" r="0" b="0"/>
            <wp:docPr id="131" name="Picutre 131"/>
            <wp:cNvGraphicFramePr/>
            <a:graphic xmlns:a="http://schemas.openxmlformats.org/drawingml/2006/main">
              <a:graphicData uri="http://schemas.openxmlformats.org/drawingml/2006/picture">
                <pic:pic xmlns:pic="http://schemas.openxmlformats.org/drawingml/2006/picture">
                  <pic:nvPicPr>
                    <pic:cNvPr id="131" name="Picture 131"/>
                    <pic:cNvPicPr/>
                  </pic:nvPicPr>
                  <pic:blipFill>
                    <a:blip r:embed="rId16"/>
                    <a:stretch/>
                  </pic:blipFill>
                  <pic:spPr>
                    <a:xfrm>
                      <a:off x="0" y="0"/>
                      <a:ext cx="475615" cy="494030"/>
                    </a:xfrm>
                    <a:prstGeom prst="rect">
                      <a:avLst/>
                    </a:prstGeom>
                  </pic:spPr>
                </pic:pic>
              </a:graphicData>
            </a:graphic>
          </wp:inline>
        </w:drawing>
      </w:r>
    </w:p>
    <w:p w14:paraId="28C7F51C" w14:textId="77777777" w:rsidR="00EC1C40" w:rsidRDefault="00000000">
      <w:pPr>
        <w:pStyle w:val="Nadpis30"/>
        <w:framePr w:w="10531" w:h="1430" w:hRule="exact" w:wrap="none" w:vAnchor="page" w:hAnchor="page" w:x="874" w:y="2608"/>
      </w:pPr>
      <w:bookmarkStart w:id="122" w:name="bookmark245"/>
      <w:r>
        <w:t>Zásady výstavby veřejné infrastruktury určené pro</w:t>
      </w:r>
      <w:r>
        <w:br/>
        <w:t>následný převod do majetku města</w:t>
      </w:r>
      <w:bookmarkEnd w:id="122"/>
    </w:p>
    <w:p w14:paraId="1A130226" w14:textId="77777777" w:rsidR="00EC1C40" w:rsidRDefault="00000000">
      <w:pPr>
        <w:pStyle w:val="Zkladntext100"/>
        <w:framePr w:w="10531" w:h="1430" w:hRule="exact" w:wrap="none" w:vAnchor="page" w:hAnchor="page" w:x="874" w:y="2608"/>
        <w:spacing w:after="0"/>
        <w:ind w:left="0" w:firstLine="0"/>
        <w:jc w:val="center"/>
        <w:rPr>
          <w:sz w:val="32"/>
          <w:szCs w:val="32"/>
        </w:rPr>
      </w:pPr>
      <w:r>
        <w:rPr>
          <w:b/>
          <w:bCs/>
          <w:w w:val="80"/>
          <w:sz w:val="26"/>
          <w:szCs w:val="26"/>
        </w:rPr>
        <w:t xml:space="preserve">(dále jen </w:t>
      </w:r>
      <w:r>
        <w:rPr>
          <w:b/>
          <w:bCs/>
          <w:i/>
          <w:iCs/>
          <w:sz w:val="32"/>
          <w:szCs w:val="32"/>
        </w:rPr>
        <w:t>„zásady"</w:t>
      </w:r>
      <w:r>
        <w:rPr>
          <w:rFonts w:ascii="Courier New" w:eastAsia="Courier New" w:hAnsi="Courier New" w:cs="Courier New"/>
          <w:i/>
          <w:iCs/>
          <w:sz w:val="32"/>
          <w:szCs w:val="32"/>
        </w:rPr>
        <w:t>)</w:t>
      </w:r>
    </w:p>
    <w:p w14:paraId="66463083" w14:textId="77777777" w:rsidR="00EC1C40" w:rsidRDefault="00000000">
      <w:pPr>
        <w:pStyle w:val="Zkladntext100"/>
        <w:framePr w:w="10531" w:h="10483" w:hRule="exact" w:wrap="none" w:vAnchor="page" w:hAnchor="page" w:x="874" w:y="5445"/>
        <w:spacing w:after="0" w:line="230" w:lineRule="auto"/>
        <w:ind w:left="0" w:firstLine="0"/>
        <w:jc w:val="center"/>
        <w:rPr>
          <w:sz w:val="24"/>
          <w:szCs w:val="24"/>
        </w:rPr>
      </w:pPr>
      <w:r>
        <w:rPr>
          <w:b/>
          <w:bCs/>
          <w:sz w:val="24"/>
          <w:szCs w:val="24"/>
        </w:rPr>
        <w:t>či. i.</w:t>
      </w:r>
    </w:p>
    <w:p w14:paraId="2DC00116" w14:textId="77777777" w:rsidR="00EC1C40" w:rsidRDefault="00000000">
      <w:pPr>
        <w:pStyle w:val="Zkladntext100"/>
        <w:framePr w:w="10531" w:h="10483" w:hRule="exact" w:wrap="none" w:vAnchor="page" w:hAnchor="page" w:x="874" w:y="5445"/>
        <w:spacing w:after="260" w:line="230" w:lineRule="auto"/>
        <w:ind w:left="0" w:firstLine="0"/>
        <w:jc w:val="center"/>
        <w:rPr>
          <w:sz w:val="24"/>
          <w:szCs w:val="24"/>
        </w:rPr>
      </w:pPr>
      <w:r>
        <w:rPr>
          <w:b/>
          <w:bCs/>
          <w:sz w:val="24"/>
          <w:szCs w:val="24"/>
        </w:rPr>
        <w:t>Předmět úpravy</w:t>
      </w:r>
    </w:p>
    <w:p w14:paraId="39F66742" w14:textId="77777777" w:rsidR="00EC1C40" w:rsidRDefault="00000000">
      <w:pPr>
        <w:pStyle w:val="Nadpis60"/>
        <w:framePr w:w="10531" w:h="10483" w:hRule="exact" w:wrap="none" w:vAnchor="page" w:hAnchor="page" w:x="874" w:y="5445"/>
        <w:spacing w:after="260" w:line="252" w:lineRule="auto"/>
        <w:ind w:firstLine="380"/>
        <w:jc w:val="both"/>
      </w:pPr>
      <w:bookmarkStart w:id="123" w:name="bookmark247"/>
      <w:r>
        <w:t>Tyto zásady</w:t>
      </w:r>
      <w:r>
        <w:rPr>
          <w:b w:val="0"/>
          <w:bCs w:val="0"/>
        </w:rPr>
        <w:t>:</w:t>
      </w:r>
      <w:bookmarkEnd w:id="123"/>
    </w:p>
    <w:p w14:paraId="3CE426A5" w14:textId="77777777" w:rsidR="00EC1C40" w:rsidRDefault="00000000">
      <w:pPr>
        <w:pStyle w:val="Zkladntext100"/>
        <w:framePr w:w="10531" w:h="10483" w:hRule="exact" w:wrap="none" w:vAnchor="page" w:hAnchor="page" w:x="874" w:y="5445"/>
        <w:numPr>
          <w:ilvl w:val="0"/>
          <w:numId w:val="81"/>
        </w:numPr>
        <w:tabs>
          <w:tab w:val="left" w:pos="740"/>
        </w:tabs>
        <w:spacing w:after="260" w:line="252" w:lineRule="auto"/>
        <w:ind w:left="720" w:hanging="300"/>
        <w:jc w:val="both"/>
      </w:pPr>
      <w:r>
        <w:t>stanovují technické a procesní podmínky pro výstavbu a převod veřejné infrastruktury - pozemní komunikace, veřejné osvětlení, veřejná zeleň, přístřešky pro tuhý komunální odpad (TKO), vodní díla, dětská hřiště a drobný mobiliář (společně dále jen „</w:t>
      </w:r>
      <w:r>
        <w:rPr>
          <w:b/>
          <w:bCs/>
          <w:i/>
          <w:iCs/>
        </w:rPr>
        <w:t>veřejná infrastruktura</w:t>
      </w:r>
      <w:r>
        <w:t>" nebo jednotlivě „</w:t>
      </w:r>
      <w:r>
        <w:rPr>
          <w:b/>
          <w:bCs/>
          <w:i/>
          <w:iCs/>
        </w:rPr>
        <w:t>objekt veřejné infrastruktury</w:t>
      </w:r>
      <w:r>
        <w:t>") - po jejich dokončení do majetku statutárního města Pardubice (dále jen „</w:t>
      </w:r>
      <w:r>
        <w:rPr>
          <w:b/>
          <w:bCs/>
          <w:i/>
          <w:iCs/>
        </w:rPr>
        <w:t>město</w:t>
      </w:r>
      <w:r>
        <w:t>").</w:t>
      </w:r>
    </w:p>
    <w:p w14:paraId="17AB4F5A" w14:textId="77777777" w:rsidR="00EC1C40" w:rsidRDefault="00000000">
      <w:pPr>
        <w:pStyle w:val="Zkladntext100"/>
        <w:framePr w:w="10531" w:h="10483" w:hRule="exact" w:wrap="none" w:vAnchor="page" w:hAnchor="page" w:x="874" w:y="5445"/>
        <w:numPr>
          <w:ilvl w:val="0"/>
          <w:numId w:val="81"/>
        </w:numPr>
        <w:tabs>
          <w:tab w:val="left" w:pos="724"/>
        </w:tabs>
        <w:spacing w:after="260" w:line="252" w:lineRule="auto"/>
        <w:ind w:left="0" w:firstLine="380"/>
        <w:jc w:val="both"/>
      </w:pPr>
      <w:r>
        <w:t>upravují správu převáděné veřejné infrastruktury po dokončení jejich výstavby.</w:t>
      </w:r>
    </w:p>
    <w:p w14:paraId="220FE725" w14:textId="77777777" w:rsidR="00EC1C40" w:rsidRDefault="00000000">
      <w:pPr>
        <w:pStyle w:val="Zkladntext100"/>
        <w:framePr w:w="10531" w:h="10483" w:hRule="exact" w:wrap="none" w:vAnchor="page" w:hAnchor="page" w:x="874" w:y="5445"/>
        <w:numPr>
          <w:ilvl w:val="0"/>
          <w:numId w:val="81"/>
        </w:numPr>
        <w:tabs>
          <w:tab w:val="left" w:pos="759"/>
        </w:tabs>
        <w:spacing w:after="260" w:line="252" w:lineRule="auto"/>
        <w:ind w:left="720" w:hanging="300"/>
        <w:jc w:val="both"/>
      </w:pPr>
      <w:r>
        <w:t>navazují na „Zásady pro nakládání s pozemky a pro umísťování reklamních zařízení na pozemcích a stavbách ve vlastnictví statutárního města Pardubice" a „Zásady statutárního města Pardubice pro spolupráci s investory."</w:t>
      </w:r>
    </w:p>
    <w:p w14:paraId="572339CD" w14:textId="77777777" w:rsidR="00EC1C40" w:rsidRDefault="00000000">
      <w:pPr>
        <w:pStyle w:val="Zkladntext100"/>
        <w:framePr w:w="10531" w:h="10483" w:hRule="exact" w:wrap="none" w:vAnchor="page" w:hAnchor="page" w:x="874" w:y="5445"/>
        <w:numPr>
          <w:ilvl w:val="0"/>
          <w:numId w:val="81"/>
        </w:numPr>
        <w:tabs>
          <w:tab w:val="left" w:pos="764"/>
        </w:tabs>
        <w:spacing w:after="600" w:line="254" w:lineRule="auto"/>
        <w:ind w:left="720" w:hanging="300"/>
        <w:jc w:val="both"/>
      </w:pPr>
      <w:r>
        <w:t>nevylučují, aby město nebo příslušný budoucí správce veřejné infrastruktury uplatnil další podmínky, jejichž splnění bude vyžadováno, a to zejména s ohledem na individuální vlastnosti konkrétního případu.</w:t>
      </w:r>
    </w:p>
    <w:p w14:paraId="7D6D529F" w14:textId="77777777" w:rsidR="00EC1C40" w:rsidRDefault="00000000">
      <w:pPr>
        <w:pStyle w:val="Zkladntext100"/>
        <w:framePr w:w="10531" w:h="10483" w:hRule="exact" w:wrap="none" w:vAnchor="page" w:hAnchor="page" w:x="874" w:y="5445"/>
        <w:spacing w:after="0" w:line="230" w:lineRule="auto"/>
        <w:ind w:left="0" w:firstLine="0"/>
        <w:jc w:val="center"/>
        <w:rPr>
          <w:sz w:val="24"/>
          <w:szCs w:val="24"/>
        </w:rPr>
      </w:pPr>
      <w:r>
        <w:rPr>
          <w:b/>
          <w:bCs/>
          <w:sz w:val="24"/>
          <w:szCs w:val="24"/>
        </w:rPr>
        <w:t xml:space="preserve">Či. </w:t>
      </w:r>
      <w:proofErr w:type="spellStart"/>
      <w:r>
        <w:rPr>
          <w:b/>
          <w:bCs/>
          <w:sz w:val="24"/>
          <w:szCs w:val="24"/>
        </w:rPr>
        <w:t>ii</w:t>
      </w:r>
      <w:proofErr w:type="spellEnd"/>
      <w:r>
        <w:rPr>
          <w:b/>
          <w:bCs/>
          <w:sz w:val="24"/>
          <w:szCs w:val="24"/>
        </w:rPr>
        <w:t>.</w:t>
      </w:r>
    </w:p>
    <w:p w14:paraId="6607A634" w14:textId="77777777" w:rsidR="00EC1C40" w:rsidRDefault="00000000">
      <w:pPr>
        <w:pStyle w:val="Zkladntext100"/>
        <w:framePr w:w="10531" w:h="10483" w:hRule="exact" w:wrap="none" w:vAnchor="page" w:hAnchor="page" w:x="874" w:y="5445"/>
        <w:spacing w:after="260" w:line="230" w:lineRule="auto"/>
        <w:ind w:left="0" w:firstLine="0"/>
        <w:jc w:val="center"/>
        <w:rPr>
          <w:sz w:val="24"/>
          <w:szCs w:val="24"/>
        </w:rPr>
      </w:pPr>
      <w:r>
        <w:rPr>
          <w:b/>
          <w:bCs/>
          <w:sz w:val="24"/>
          <w:szCs w:val="24"/>
        </w:rPr>
        <w:t>Technické podmínky pro výstavbu veřejné infrastruktury</w:t>
      </w:r>
    </w:p>
    <w:p w14:paraId="4E801040" w14:textId="77777777" w:rsidR="00EC1C40" w:rsidRDefault="00000000">
      <w:pPr>
        <w:pStyle w:val="Nadpis60"/>
        <w:framePr w:w="10531" w:h="10483" w:hRule="exact" w:wrap="none" w:vAnchor="page" w:hAnchor="page" w:x="874" w:y="5445"/>
        <w:numPr>
          <w:ilvl w:val="0"/>
          <w:numId w:val="82"/>
        </w:numPr>
        <w:tabs>
          <w:tab w:val="left" w:pos="700"/>
        </w:tabs>
        <w:spacing w:after="260" w:line="252" w:lineRule="auto"/>
        <w:ind w:firstLine="380"/>
        <w:jc w:val="both"/>
      </w:pPr>
      <w:bookmarkStart w:id="124" w:name="bookmark249"/>
      <w:r>
        <w:t>Požadavky na výstavbu pozemní komunikace</w:t>
      </w:r>
      <w:r>
        <w:rPr>
          <w:b w:val="0"/>
          <w:bCs w:val="0"/>
        </w:rPr>
        <w:t>:</w:t>
      </w:r>
      <w:bookmarkEnd w:id="124"/>
    </w:p>
    <w:p w14:paraId="21FC4EA7" w14:textId="77777777" w:rsidR="00EC1C40" w:rsidRDefault="00000000">
      <w:pPr>
        <w:pStyle w:val="Zkladntext100"/>
        <w:framePr w:w="10531" w:h="10483" w:hRule="exact" w:wrap="none" w:vAnchor="page" w:hAnchor="page" w:x="874" w:y="5445"/>
        <w:numPr>
          <w:ilvl w:val="0"/>
          <w:numId w:val="83"/>
        </w:numPr>
        <w:tabs>
          <w:tab w:val="left" w:pos="1148"/>
        </w:tabs>
        <w:spacing w:after="260" w:line="252" w:lineRule="auto"/>
        <w:ind w:left="1100" w:hanging="380"/>
        <w:jc w:val="both"/>
      </w:pPr>
      <w:r>
        <w:t>projektová dokumentace nové výstavby bude vypracována tak, aby odpovídala podmínkám zák. č. 13/1997 Sb., o pozemních komunikacích, ve znění pozdějších předpisů, příslušným ČSN a souvisejícím právním předpisům, nově navrhované pozemní komunikace budou mít charakter městské výstavby;</w:t>
      </w:r>
    </w:p>
    <w:p w14:paraId="6762299E" w14:textId="77777777" w:rsidR="00EC1C40" w:rsidRDefault="00000000">
      <w:pPr>
        <w:pStyle w:val="Zkladntext100"/>
        <w:framePr w:w="10531" w:h="10483" w:hRule="exact" w:wrap="none" w:vAnchor="page" w:hAnchor="page" w:x="874" w:y="5445"/>
        <w:numPr>
          <w:ilvl w:val="0"/>
          <w:numId w:val="83"/>
        </w:numPr>
        <w:tabs>
          <w:tab w:val="left" w:pos="1173"/>
        </w:tabs>
        <w:spacing w:after="260"/>
        <w:ind w:left="1100" w:hanging="300"/>
        <w:jc w:val="both"/>
      </w:pPr>
      <w:r>
        <w:t>nově navrhované pozemní komunikace budou umožňovat dopravní obslužnost případných stávajících i nově navrhovaných objektů veřejné infrastruktury (vjezd a pohyb vozidel integrovaného záchranného systému, svozu TKO, čištění, zimní i letní údržbu, opravy atd.);</w:t>
      </w:r>
    </w:p>
    <w:p w14:paraId="3BE38125" w14:textId="77777777" w:rsidR="00EC1C40" w:rsidRDefault="00000000">
      <w:pPr>
        <w:pStyle w:val="Zkladntext100"/>
        <w:framePr w:w="10531" w:h="10483" w:hRule="exact" w:wrap="none" w:vAnchor="page" w:hAnchor="page" w:x="874" w:y="5445"/>
        <w:numPr>
          <w:ilvl w:val="0"/>
          <w:numId w:val="83"/>
        </w:numPr>
        <w:tabs>
          <w:tab w:val="left" w:pos="1154"/>
        </w:tabs>
        <w:spacing w:after="0"/>
        <w:ind w:left="1100" w:hanging="300"/>
        <w:jc w:val="both"/>
      </w:pPr>
      <w:r>
        <w:t>pozemky mezi pozemními komunikacemi a soukromými pozemky budou ponechány v dostatečné šíři (odpovídající platným normám) potřebám pro uložení inženýrských sítí, k územnímu řízení bude doložen návrh oddělení pozemků pro umístění předmětných pozemních komunikací a pozemků pro umístění inženýrských sítí a zeleně; a</w:t>
      </w:r>
    </w:p>
    <w:p w14:paraId="21DE2DC1" w14:textId="77777777" w:rsidR="00EC1C40" w:rsidRDefault="00000000">
      <w:pPr>
        <w:pStyle w:val="Zhlavnebozpat0"/>
        <w:framePr w:wrap="none" w:vAnchor="page" w:hAnchor="page" w:x="6053" w:y="16864"/>
        <w:rPr>
          <w:sz w:val="24"/>
          <w:szCs w:val="24"/>
        </w:rPr>
      </w:pPr>
      <w:r>
        <w:rPr>
          <w:color w:val="231E20"/>
          <w:sz w:val="24"/>
          <w:szCs w:val="24"/>
        </w:rPr>
        <w:t>1</w:t>
      </w:r>
    </w:p>
    <w:p w14:paraId="638DF943"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58A0695D" w14:textId="77777777" w:rsidR="00EC1C40" w:rsidRDefault="00EC1C40">
      <w:pPr>
        <w:spacing w:line="1" w:lineRule="exact"/>
      </w:pPr>
    </w:p>
    <w:p w14:paraId="1CF6EF73" w14:textId="77777777" w:rsidR="00EC1C40" w:rsidRDefault="00000000">
      <w:pPr>
        <w:pStyle w:val="Zkladntext100"/>
        <w:framePr w:w="10531" w:h="14861" w:hRule="exact" w:wrap="none" w:vAnchor="page" w:hAnchor="page" w:x="874" w:y="1068"/>
        <w:numPr>
          <w:ilvl w:val="0"/>
          <w:numId w:val="83"/>
        </w:numPr>
        <w:tabs>
          <w:tab w:val="left" w:pos="1045"/>
        </w:tabs>
        <w:spacing w:line="252" w:lineRule="auto"/>
        <w:ind w:left="1040"/>
        <w:jc w:val="both"/>
      </w:pPr>
      <w:r>
        <w:t>v rámci územního řízení bude doloženo, že počet dopravních napojení lokality je dostatečný pro zásah IZS a běžný provoz i v případě havárie na některé z připojovacích pozemních komunikací. Zároveň budou zajištěny návaznosti na stávající infrastrukturu pro pěší a cyklisty.</w:t>
      </w:r>
    </w:p>
    <w:p w14:paraId="484CE060" w14:textId="77777777" w:rsidR="00EC1C40" w:rsidRDefault="00000000">
      <w:pPr>
        <w:pStyle w:val="Nadpis60"/>
        <w:framePr w:w="10531" w:h="14861" w:hRule="exact" w:wrap="none" w:vAnchor="page" w:hAnchor="page" w:x="874" w:y="1068"/>
        <w:numPr>
          <w:ilvl w:val="0"/>
          <w:numId w:val="82"/>
        </w:numPr>
        <w:tabs>
          <w:tab w:val="left" w:pos="676"/>
        </w:tabs>
        <w:spacing w:after="280" w:line="252" w:lineRule="auto"/>
        <w:ind w:firstLine="340"/>
        <w:jc w:val="both"/>
      </w:pPr>
      <w:bookmarkStart w:id="125" w:name="bookmark251"/>
      <w:r>
        <w:t>Požadavky na výstavbu veřejného osvětlení</w:t>
      </w:r>
      <w:r>
        <w:rPr>
          <w:b w:val="0"/>
          <w:bCs w:val="0"/>
        </w:rPr>
        <w:t>:</w:t>
      </w:r>
      <w:bookmarkEnd w:id="125"/>
    </w:p>
    <w:p w14:paraId="4848954C" w14:textId="77777777" w:rsidR="00EC1C40" w:rsidRDefault="00000000">
      <w:pPr>
        <w:pStyle w:val="Zkladntext100"/>
        <w:framePr w:w="10531" w:h="14861" w:hRule="exact" w:wrap="none" w:vAnchor="page" w:hAnchor="page" w:x="874" w:y="1068"/>
        <w:numPr>
          <w:ilvl w:val="0"/>
          <w:numId w:val="84"/>
        </w:numPr>
        <w:tabs>
          <w:tab w:val="left" w:pos="1045"/>
        </w:tabs>
        <w:ind w:left="1040"/>
        <w:jc w:val="both"/>
      </w:pPr>
      <w:r>
        <w:t>technické řešení bude vždy před vydáním územního rozhodnutí odsouhlaseno investičním oddělením společnosti Služby města Pardubic a.s., IČO 25262572, se sídlem Hůrka 1803, 530 12 Pardubice (dále jen „</w:t>
      </w:r>
      <w:proofErr w:type="spellStart"/>
      <w:r>
        <w:rPr>
          <w:b/>
          <w:bCs/>
          <w:i/>
          <w:iCs/>
        </w:rPr>
        <w:t>SmP</w:t>
      </w:r>
      <w:proofErr w:type="spellEnd"/>
      <w:r>
        <w:rPr>
          <w:b/>
          <w:bCs/>
          <w:i/>
          <w:iCs/>
        </w:rPr>
        <w:t xml:space="preserve"> a.s</w:t>
      </w:r>
      <w:r>
        <w:t>."), včetně veškerých změn, které budou provedeny v dalších stupních projektové dokumentace či při provádění stavby;</w:t>
      </w:r>
    </w:p>
    <w:p w14:paraId="239456F5" w14:textId="77777777" w:rsidR="00EC1C40" w:rsidRDefault="00000000">
      <w:pPr>
        <w:pStyle w:val="Zkladntext100"/>
        <w:framePr w:w="10531" w:h="14861" w:hRule="exact" w:wrap="none" w:vAnchor="page" w:hAnchor="page" w:x="874" w:y="1068"/>
        <w:numPr>
          <w:ilvl w:val="0"/>
          <w:numId w:val="84"/>
        </w:numPr>
        <w:tabs>
          <w:tab w:val="left" w:pos="1045"/>
        </w:tabs>
        <w:ind w:left="1040"/>
        <w:jc w:val="both"/>
      </w:pPr>
      <w:r>
        <w:t>veškeré zařízení souboru veřejného osvětlení (dále též „</w:t>
      </w:r>
      <w:r>
        <w:rPr>
          <w:b/>
          <w:bCs/>
          <w:i/>
          <w:iCs/>
        </w:rPr>
        <w:t>VO</w:t>
      </w:r>
      <w:r>
        <w:t>") bude umístěno na veřejně přístupném prostranství. Při umísťování (i drobných) staveb a výsadbě zeleně musí být dodrženy všechny platné normy, předpisy a ochranné pásmo od kabelového vedení VO minimálně 1m, zejména norma ČSN 33 2000-5-52 a ČSN 73 6005 o prostorovém uspořádání sítí technického vybavení;</w:t>
      </w:r>
    </w:p>
    <w:p w14:paraId="0CD8C063" w14:textId="77777777" w:rsidR="00EC1C40" w:rsidRDefault="00000000">
      <w:pPr>
        <w:pStyle w:val="Zkladntext100"/>
        <w:framePr w:w="10531" w:h="14861" w:hRule="exact" w:wrap="none" w:vAnchor="page" w:hAnchor="page" w:x="874" w:y="1068"/>
        <w:numPr>
          <w:ilvl w:val="0"/>
          <w:numId w:val="84"/>
        </w:numPr>
        <w:tabs>
          <w:tab w:val="left" w:pos="1045"/>
        </w:tabs>
        <w:ind w:left="1040"/>
        <w:jc w:val="both"/>
      </w:pPr>
      <w:r>
        <w:t xml:space="preserve">VO lze připojit k souboru veřejného osvětlení </w:t>
      </w:r>
      <w:proofErr w:type="spellStart"/>
      <w:r>
        <w:t>SmP</w:t>
      </w:r>
      <w:proofErr w:type="spellEnd"/>
      <w:r>
        <w:t xml:space="preserve"> a.s. pouze při splnění podmínek daných technickým předpisem „Zásady výstavby veřejného osvětlení na území města Pardubic" vydaným </w:t>
      </w:r>
      <w:proofErr w:type="spellStart"/>
      <w:r>
        <w:t>SmP</w:t>
      </w:r>
      <w:proofErr w:type="spellEnd"/>
      <w:r>
        <w:t xml:space="preserve"> a.s., a za podmínky doložení „Protokolu o kontrole dokončené stavby veřejného osvětlení", potvrzeného investičním oddělením a divizí VO </w:t>
      </w:r>
      <w:proofErr w:type="spellStart"/>
      <w:r>
        <w:t>SmP</w:t>
      </w:r>
      <w:proofErr w:type="spellEnd"/>
      <w:r>
        <w:t xml:space="preserve"> a.s. a po doporučujícím vyjádření Odboru dopravy Magistrátu města Pardubic, a souhlasu s budoucím převzetím předmětného souboru VO do majetku města a následně do majetku </w:t>
      </w:r>
      <w:proofErr w:type="spellStart"/>
      <w:r>
        <w:t>SmP</w:t>
      </w:r>
      <w:proofErr w:type="spellEnd"/>
      <w:r>
        <w:t xml:space="preserve"> a.s.; a</w:t>
      </w:r>
    </w:p>
    <w:p w14:paraId="72593F19" w14:textId="77777777" w:rsidR="00EC1C40" w:rsidRDefault="00000000">
      <w:pPr>
        <w:pStyle w:val="Zkladntext100"/>
        <w:framePr w:w="10531" w:h="14861" w:hRule="exact" w:wrap="none" w:vAnchor="page" w:hAnchor="page" w:x="874" w:y="1068"/>
        <w:numPr>
          <w:ilvl w:val="0"/>
          <w:numId w:val="84"/>
        </w:numPr>
        <w:tabs>
          <w:tab w:val="left" w:pos="1045"/>
        </w:tabs>
        <w:spacing w:line="252" w:lineRule="auto"/>
        <w:ind w:left="0" w:firstLine="720"/>
        <w:jc w:val="both"/>
      </w:pPr>
      <w:r>
        <w:t xml:space="preserve">ve prospěch VO bude k tíži dotčených pozemků, bez rozdílů vlastníků, zřízeno věcné břemeno „in </w:t>
      </w:r>
      <w:proofErr w:type="spellStart"/>
      <w:r>
        <w:t>rem</w:t>
      </w:r>
      <w:proofErr w:type="spellEnd"/>
      <w:r>
        <w:t>".</w:t>
      </w:r>
    </w:p>
    <w:p w14:paraId="64D69791" w14:textId="77777777" w:rsidR="00EC1C40" w:rsidRDefault="00000000">
      <w:pPr>
        <w:pStyle w:val="Nadpis60"/>
        <w:framePr w:w="10531" w:h="14861" w:hRule="exact" w:wrap="none" w:vAnchor="page" w:hAnchor="page" w:x="874" w:y="1068"/>
        <w:numPr>
          <w:ilvl w:val="0"/>
          <w:numId w:val="82"/>
        </w:numPr>
        <w:tabs>
          <w:tab w:val="left" w:pos="676"/>
        </w:tabs>
        <w:spacing w:after="280" w:line="252" w:lineRule="auto"/>
        <w:ind w:firstLine="340"/>
        <w:jc w:val="both"/>
      </w:pPr>
      <w:bookmarkStart w:id="126" w:name="bookmark253"/>
      <w:r>
        <w:t>Požadavky na založení zeleně, výstavbu dětských hřišť a drobného mobiliáře</w:t>
      </w:r>
      <w:r>
        <w:rPr>
          <w:b w:val="0"/>
          <w:bCs w:val="0"/>
        </w:rPr>
        <w:t>:</w:t>
      </w:r>
      <w:bookmarkEnd w:id="126"/>
    </w:p>
    <w:p w14:paraId="17818EB0" w14:textId="77777777" w:rsidR="00EC1C40" w:rsidRDefault="00000000">
      <w:pPr>
        <w:pStyle w:val="Zkladntext100"/>
        <w:framePr w:w="10531" w:h="14861" w:hRule="exact" w:wrap="none" w:vAnchor="page" w:hAnchor="page" w:x="874" w:y="1068"/>
        <w:numPr>
          <w:ilvl w:val="0"/>
          <w:numId w:val="85"/>
        </w:numPr>
        <w:tabs>
          <w:tab w:val="left" w:pos="1045"/>
        </w:tabs>
        <w:spacing w:line="252" w:lineRule="auto"/>
        <w:ind w:left="1040"/>
        <w:jc w:val="both"/>
      </w:pPr>
      <w:r>
        <w:t xml:space="preserve">investiční záměr bude předem projednán s Odborem životního prostředí Magistrátu města Pardubic, příslušným městským obvodem a </w:t>
      </w:r>
      <w:proofErr w:type="spellStart"/>
      <w:r>
        <w:t>SmP</w:t>
      </w:r>
      <w:proofErr w:type="spellEnd"/>
      <w:r>
        <w:t xml:space="preserve"> a.s. Záměr bude posuzován především z hlediska míry zásahu do stávajících ploch zeleně, z hlediska kvality nově vznikajících ploch zeleně, druhové skladby a prostorového uspořádání vegetačních prvků a zapojení systémů modrozelené infrastruktury. Realizace a následná péče musí probíhat v souladu s platnými normami (především ČSN 46 4902 Výpěstky okrasných dřevin, souboru norem ČSN Technologie vegetačních úprav v krajině) a Standardy péče o přírodu a krajinu (především </w:t>
      </w:r>
      <w:r>
        <w:rPr>
          <w:lang w:val="en-US" w:eastAsia="en-US" w:bidi="en-US"/>
        </w:rPr>
        <w:t xml:space="preserve">SPPK </w:t>
      </w:r>
      <w:r>
        <w:t xml:space="preserve">A02 001:2013 Výsadba stromů </w:t>
      </w:r>
      <w:r>
        <w:rPr>
          <w:lang w:val="en-US" w:eastAsia="en-US" w:bidi="en-US"/>
        </w:rPr>
        <w:t xml:space="preserve">a SPPK </w:t>
      </w:r>
      <w:r>
        <w:t>A02 003:2022 Výsadba a řez keřů a lián);</w:t>
      </w:r>
    </w:p>
    <w:p w14:paraId="604BB6D3" w14:textId="77777777" w:rsidR="00EC1C40" w:rsidRDefault="00000000">
      <w:pPr>
        <w:pStyle w:val="Zkladntext100"/>
        <w:framePr w:w="10531" w:h="14861" w:hRule="exact" w:wrap="none" w:vAnchor="page" w:hAnchor="page" w:x="874" w:y="1068"/>
        <w:numPr>
          <w:ilvl w:val="0"/>
          <w:numId w:val="85"/>
        </w:numPr>
        <w:tabs>
          <w:tab w:val="left" w:pos="1045"/>
        </w:tabs>
        <w:spacing w:line="254" w:lineRule="auto"/>
        <w:ind w:left="1040"/>
        <w:jc w:val="both"/>
      </w:pPr>
      <w:r>
        <w:t>podle zákona č. 22/1997 Sb., o technických požadavcích na výrobky a o změně a doplnění některých zákonů, ve znění pozdějších předpisů, který byl konkretizovaný v nařízení vlády č. 173/1997 Sb., kterým se stanoví vybrané výrobky k posuzování shody, ve znění pozdějších předpisů, musí nová zařízení dětských hřišť odpovídat bezpečnostním požadavkům, které jsou stanoveny evropskými normami (ČSN EN 1176 - Zařízení dětských hřišť a ČSN EN 1177 - Povrch hřiště tlumící náraz — Bezpečnostní požadavky a zkušební metody). Dodavatel nového zařízení dětských hřišť předloží příslušný certifikát typu a prohlášení o shodě; a</w:t>
      </w:r>
    </w:p>
    <w:p w14:paraId="53B1A208" w14:textId="77777777" w:rsidR="00EC1C40" w:rsidRDefault="00000000">
      <w:pPr>
        <w:pStyle w:val="Zkladntext100"/>
        <w:framePr w:w="10531" w:h="14861" w:hRule="exact" w:wrap="none" w:vAnchor="page" w:hAnchor="page" w:x="874" w:y="1068"/>
        <w:numPr>
          <w:ilvl w:val="0"/>
          <w:numId w:val="85"/>
        </w:numPr>
        <w:tabs>
          <w:tab w:val="left" w:pos="1045"/>
        </w:tabs>
        <w:spacing w:after="0" w:line="252" w:lineRule="auto"/>
        <w:ind w:left="1040"/>
        <w:jc w:val="both"/>
      </w:pPr>
      <w:r>
        <w:t xml:space="preserve">stavební práce v blízkosti stávajících dřevin musí být prováděny tak, aby byly dodrženy postupy a realizována opatření na ochranu dřevin v souladu s ČSN 83 9061 (2006) Technologie vegetačních úprav v krajině - Ochrana stromů, porostů a vegetačních ploch při stavebních pracích a se Standardem péče o přírodu a krajinu SPPK A01 002:2017 Ochrana dřevin při stavební činnosti. Součástí projektové přípravy nebo jako první krok při zpracování projektové dokumentace musí být zhodnocení a výběr stávajících dřevin pro ochranu, ve spolupráci projektanta stavby, krajinářského architekta a </w:t>
      </w:r>
      <w:proofErr w:type="spellStart"/>
      <w:r>
        <w:t>arboristy</w:t>
      </w:r>
      <w:proofErr w:type="spellEnd"/>
      <w:r>
        <w:t>. Je nutné provést dendrologický průzkum nejen v hranicích staveniště, ale hodnotí se i stromy ve vzdálenosti menší než 5 m od hranic staveniště, případně i jiných ploch dotčených stavební činností. Výběr dřevin pro</w:t>
      </w:r>
    </w:p>
    <w:p w14:paraId="60A1DD87" w14:textId="77777777" w:rsidR="00EC1C40" w:rsidRDefault="00000000">
      <w:pPr>
        <w:pStyle w:val="Zhlavnebozpat0"/>
        <w:framePr w:wrap="none" w:vAnchor="page" w:hAnchor="page" w:x="5977" w:y="16596"/>
        <w:rPr>
          <w:sz w:val="24"/>
          <w:szCs w:val="24"/>
        </w:rPr>
      </w:pPr>
      <w:r>
        <w:rPr>
          <w:color w:val="231E20"/>
          <w:sz w:val="24"/>
          <w:szCs w:val="24"/>
        </w:rPr>
        <w:t>2</w:t>
      </w:r>
    </w:p>
    <w:p w14:paraId="3CBC6EF7"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23F9DB4A" w14:textId="77777777" w:rsidR="00EC1C40" w:rsidRDefault="00EC1C40">
      <w:pPr>
        <w:spacing w:line="1" w:lineRule="exact"/>
      </w:pPr>
    </w:p>
    <w:p w14:paraId="435E6C64" w14:textId="77777777" w:rsidR="00EC1C40" w:rsidRDefault="00000000">
      <w:pPr>
        <w:pStyle w:val="Zkladntext100"/>
        <w:framePr w:w="10531" w:h="1747" w:hRule="exact" w:wrap="none" w:vAnchor="page" w:hAnchor="page" w:x="874" w:y="1034"/>
        <w:spacing w:after="0" w:line="254" w:lineRule="auto"/>
        <w:ind w:left="1040" w:firstLine="0"/>
        <w:jc w:val="both"/>
      </w:pPr>
      <w:r>
        <w:t xml:space="preserve">ochranu probíhá v případech, kdy lze předpokládat, že by mohlo umístěním stavby nebo souvisejícími aktivitami dojít k ovlivnění dřevin nebo jejich růstových podmínek. V případě, že dojde v následujících fázích ke změně hranic staveniště nebo jeho částí, je nutná aktualizace či doplnění dendrologického průzkumu. Metodika a rozsah dendrologického průzkumu odpovídá Standardu péče o přírodu a krajinu </w:t>
      </w:r>
      <w:r>
        <w:rPr>
          <w:lang w:val="en-US" w:eastAsia="en-US" w:bidi="en-US"/>
        </w:rPr>
        <w:t xml:space="preserve">SPPK </w:t>
      </w:r>
      <w:r>
        <w:t xml:space="preserve">A01 001:2018 - Hodnocení stavu stromů a Standardu péče o přírodu a krajinu </w:t>
      </w:r>
      <w:r>
        <w:rPr>
          <w:lang w:val="en-US" w:eastAsia="en-US" w:bidi="en-US"/>
        </w:rPr>
        <w:t xml:space="preserve">SPPK </w:t>
      </w:r>
      <w:r>
        <w:t>A02 008:2023 - Zakládání a péče o porosty dřevin.</w:t>
      </w:r>
    </w:p>
    <w:p w14:paraId="18710F3F" w14:textId="77777777" w:rsidR="00EC1C40" w:rsidRDefault="00000000">
      <w:pPr>
        <w:pStyle w:val="Zhlavnebozpat0"/>
        <w:framePr w:wrap="none" w:vAnchor="page" w:hAnchor="page" w:x="5977" w:y="16855"/>
        <w:rPr>
          <w:sz w:val="24"/>
          <w:szCs w:val="24"/>
        </w:rPr>
      </w:pPr>
      <w:r>
        <w:rPr>
          <w:color w:val="231E20"/>
          <w:sz w:val="24"/>
          <w:szCs w:val="24"/>
        </w:rPr>
        <w:t>3</w:t>
      </w:r>
    </w:p>
    <w:p w14:paraId="4462B256"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19606DE7" w14:textId="77777777" w:rsidR="00EC1C40" w:rsidRDefault="00EC1C40">
      <w:pPr>
        <w:spacing w:line="1" w:lineRule="exact"/>
      </w:pPr>
    </w:p>
    <w:p w14:paraId="2364F689" w14:textId="77777777" w:rsidR="00EC1C40" w:rsidRDefault="00000000">
      <w:pPr>
        <w:pStyle w:val="Nadpis60"/>
        <w:framePr w:w="10531" w:h="11386" w:hRule="exact" w:wrap="none" w:vAnchor="page" w:hAnchor="page" w:x="898" w:y="984"/>
        <w:numPr>
          <w:ilvl w:val="0"/>
          <w:numId w:val="82"/>
        </w:numPr>
        <w:tabs>
          <w:tab w:val="left" w:pos="629"/>
        </w:tabs>
        <w:spacing w:after="0" w:line="252" w:lineRule="auto"/>
        <w:ind w:firstLine="280"/>
        <w:jc w:val="both"/>
      </w:pPr>
      <w:bookmarkStart w:id="127" w:name="bookmark255"/>
      <w:r>
        <w:t>Požadavky na stavební objekty předávané do majetku města z hlediska odpadového</w:t>
      </w:r>
      <w:bookmarkEnd w:id="127"/>
    </w:p>
    <w:p w14:paraId="7352A169" w14:textId="77777777" w:rsidR="00EC1C40" w:rsidRDefault="00000000">
      <w:pPr>
        <w:pStyle w:val="Nadpis60"/>
        <w:framePr w:w="10531" w:h="11386" w:hRule="exact" w:wrap="none" w:vAnchor="page" w:hAnchor="page" w:x="898" w:y="984"/>
        <w:spacing w:after="280" w:line="252" w:lineRule="auto"/>
        <w:ind w:firstLine="640"/>
        <w:jc w:val="both"/>
      </w:pPr>
      <w:r>
        <w:t>hospodářství</w:t>
      </w:r>
      <w:r>
        <w:rPr>
          <w:b w:val="0"/>
          <w:bCs w:val="0"/>
        </w:rPr>
        <w:t>:</w:t>
      </w:r>
    </w:p>
    <w:p w14:paraId="44072976" w14:textId="77777777" w:rsidR="00EC1C40" w:rsidRDefault="00000000">
      <w:pPr>
        <w:pStyle w:val="Zkladntext100"/>
        <w:framePr w:w="10531" w:h="11386" w:hRule="exact" w:wrap="none" w:vAnchor="page" w:hAnchor="page" w:x="898" w:y="984"/>
        <w:numPr>
          <w:ilvl w:val="0"/>
          <w:numId w:val="86"/>
        </w:numPr>
        <w:tabs>
          <w:tab w:val="left" w:pos="1119"/>
        </w:tabs>
        <w:spacing w:line="252" w:lineRule="auto"/>
        <w:ind w:hanging="180"/>
        <w:jc w:val="both"/>
      </w:pPr>
      <w:r>
        <w:t>plochy pro umístění kontejneru na směsný komunální odpad, hnízd na separovaný sběr, by měly mít zpevněný povrch, měly by být opatřeny zástěnou nebo zádržným systémem, proti samovolnému pohybu nádob mimo kontejnerové stanoviště, dále by mělo odpovídat velikostí umístěnému typu kontejneru - souboru norem ČSN Pojízdné kontejnery na odpad a recyklaci a být dostupné pro obslužnou techniku;</w:t>
      </w:r>
    </w:p>
    <w:p w14:paraId="61CE787F" w14:textId="77777777" w:rsidR="00EC1C40" w:rsidRDefault="00000000">
      <w:pPr>
        <w:pStyle w:val="Zkladntext100"/>
        <w:framePr w:w="10531" w:h="11386" w:hRule="exact" w:wrap="none" w:vAnchor="page" w:hAnchor="page" w:x="898" w:y="984"/>
        <w:numPr>
          <w:ilvl w:val="0"/>
          <w:numId w:val="86"/>
        </w:numPr>
        <w:tabs>
          <w:tab w:val="left" w:pos="1018"/>
        </w:tabs>
        <w:ind w:hanging="300"/>
        <w:jc w:val="both"/>
      </w:pPr>
      <w:r>
        <w:t xml:space="preserve">dostatečný počet nádob na směsný komunální odpad a separovaný sběr - optimální objem unifikovaných nádob na směsný komunální odpad je 30 l/osoba/týden, na papír 10 l/osoba/týden a na plasty 15 l/osoba/týden (dle projektu </w:t>
      </w:r>
      <w:proofErr w:type="spellStart"/>
      <w:r>
        <w:t>VaV</w:t>
      </w:r>
      <w:proofErr w:type="spellEnd"/>
      <w:r>
        <w:t>/720/2/00 - Intenzifikace sběru, dopravy a třídění komunálního odpadu);</w:t>
      </w:r>
    </w:p>
    <w:p w14:paraId="48F177CD" w14:textId="77777777" w:rsidR="00EC1C40" w:rsidRDefault="00000000">
      <w:pPr>
        <w:pStyle w:val="Zkladntext100"/>
        <w:framePr w:w="10531" w:h="11386" w:hRule="exact" w:wrap="none" w:vAnchor="page" w:hAnchor="page" w:x="898" w:y="984"/>
        <w:numPr>
          <w:ilvl w:val="0"/>
          <w:numId w:val="86"/>
        </w:numPr>
        <w:tabs>
          <w:tab w:val="left" w:pos="999"/>
        </w:tabs>
        <w:spacing w:line="254" w:lineRule="auto"/>
        <w:ind w:hanging="300"/>
        <w:jc w:val="both"/>
      </w:pPr>
      <w:r>
        <w:t>přístřešky pro sběrné nádoby směsného komunálního odpadu budou umožňovat bezpečný přístup občanům a bezpečnou manipulaci při svozu; a</w:t>
      </w:r>
    </w:p>
    <w:p w14:paraId="728DE13D" w14:textId="77777777" w:rsidR="00EC1C40" w:rsidRDefault="00000000">
      <w:pPr>
        <w:pStyle w:val="Zkladntext100"/>
        <w:framePr w:w="10531" w:h="11386" w:hRule="exact" w:wrap="none" w:vAnchor="page" w:hAnchor="page" w:x="898" w:y="984"/>
        <w:numPr>
          <w:ilvl w:val="0"/>
          <w:numId w:val="86"/>
        </w:numPr>
        <w:tabs>
          <w:tab w:val="left" w:pos="1013"/>
        </w:tabs>
        <w:spacing w:line="252" w:lineRule="auto"/>
        <w:ind w:hanging="300"/>
        <w:jc w:val="both"/>
      </w:pPr>
      <w:r>
        <w:t xml:space="preserve">převzetí stavby bude podmíněno souhlasem s technickým provedením stavby </w:t>
      </w:r>
      <w:proofErr w:type="spellStart"/>
      <w:r>
        <w:t>SmP</w:t>
      </w:r>
      <w:proofErr w:type="spellEnd"/>
      <w:r>
        <w:t xml:space="preserve"> - Odpady a.s. Technické řešení bude vždy před vydáním povolení stavebního úřadu odsouhlaseno investičním oddělením </w:t>
      </w:r>
      <w:proofErr w:type="spellStart"/>
      <w:r>
        <w:t>SmP</w:t>
      </w:r>
      <w:proofErr w:type="spellEnd"/>
      <w:r>
        <w:t xml:space="preserve"> a.s., včetně veškerých změn, které budou provedeny v dalších stupních projektové dokumentace či při provádění stavby.</w:t>
      </w:r>
    </w:p>
    <w:p w14:paraId="4806E555" w14:textId="77777777" w:rsidR="00EC1C40" w:rsidRDefault="00000000">
      <w:pPr>
        <w:pStyle w:val="Nadpis60"/>
        <w:framePr w:w="10531" w:h="11386" w:hRule="exact" w:wrap="none" w:vAnchor="page" w:hAnchor="page" w:x="898" w:y="984"/>
        <w:numPr>
          <w:ilvl w:val="0"/>
          <w:numId w:val="82"/>
        </w:numPr>
        <w:tabs>
          <w:tab w:val="left" w:pos="629"/>
        </w:tabs>
        <w:spacing w:after="280" w:line="252" w:lineRule="auto"/>
        <w:ind w:firstLine="280"/>
        <w:jc w:val="both"/>
      </w:pPr>
      <w:bookmarkStart w:id="128" w:name="bookmark258"/>
      <w:r>
        <w:t>Požadavky na výstavbu vodních děl</w:t>
      </w:r>
      <w:r>
        <w:rPr>
          <w:b w:val="0"/>
          <w:bCs w:val="0"/>
        </w:rPr>
        <w:t>:</w:t>
      </w:r>
      <w:bookmarkEnd w:id="128"/>
    </w:p>
    <w:p w14:paraId="4B98D79A" w14:textId="77777777" w:rsidR="00EC1C40" w:rsidRDefault="00000000">
      <w:pPr>
        <w:pStyle w:val="Zkladntext100"/>
        <w:framePr w:w="10531" w:h="11386" w:hRule="exact" w:wrap="none" w:vAnchor="page" w:hAnchor="page" w:x="898" w:y="984"/>
        <w:numPr>
          <w:ilvl w:val="0"/>
          <w:numId w:val="87"/>
        </w:numPr>
        <w:tabs>
          <w:tab w:val="left" w:pos="975"/>
        </w:tabs>
        <w:spacing w:line="252" w:lineRule="auto"/>
        <w:ind w:hanging="360"/>
        <w:jc w:val="both"/>
      </w:pPr>
      <w:r>
        <w:t>vodní díla budou stavěna na veřejně přístupných pozemcích. Při umísťování (i drobných) staveb a výsadbě zeleně musí být dodrženy všechny platné normy, předpisy a ochranné pásmo vodovodního a kanalizačního řadu, zejména norma ČSN 33 2000-5-52 a ČSN 73 6005 o prostorovém uspořádání sítí technického vybavení;</w:t>
      </w:r>
    </w:p>
    <w:p w14:paraId="41941419" w14:textId="77777777" w:rsidR="00EC1C40" w:rsidRDefault="00000000">
      <w:pPr>
        <w:pStyle w:val="Zkladntext100"/>
        <w:framePr w:w="10531" w:h="11386" w:hRule="exact" w:wrap="none" w:vAnchor="page" w:hAnchor="page" w:x="898" w:y="984"/>
        <w:numPr>
          <w:ilvl w:val="0"/>
          <w:numId w:val="87"/>
        </w:numPr>
        <w:tabs>
          <w:tab w:val="left" w:pos="975"/>
        </w:tabs>
        <w:spacing w:line="254" w:lineRule="auto"/>
        <w:ind w:hanging="360"/>
        <w:jc w:val="both"/>
      </w:pPr>
      <w:r>
        <w:t xml:space="preserve">pro vodovodní a kanalizační řady bude na všech pozemcích, na kterých se řad a jeho ochranné pásmo nalézá, bez rozdílů vlastníků zřízeno věcné břemeno „in </w:t>
      </w:r>
      <w:proofErr w:type="spellStart"/>
      <w:r>
        <w:t>rem</w:t>
      </w:r>
      <w:proofErr w:type="spellEnd"/>
      <w:r>
        <w:t>", ve prospěch řadu;</w:t>
      </w:r>
    </w:p>
    <w:p w14:paraId="68D3E529" w14:textId="77777777" w:rsidR="00EC1C40" w:rsidRDefault="00000000">
      <w:pPr>
        <w:pStyle w:val="Zkladntext100"/>
        <w:framePr w:w="10531" w:h="11386" w:hRule="exact" w:wrap="none" w:vAnchor="page" w:hAnchor="page" w:x="898" w:y="984"/>
        <w:numPr>
          <w:ilvl w:val="0"/>
          <w:numId w:val="87"/>
        </w:numPr>
        <w:tabs>
          <w:tab w:val="left" w:pos="975"/>
        </w:tabs>
        <w:ind w:hanging="360"/>
        <w:jc w:val="both"/>
      </w:pPr>
      <w:r>
        <w:t>čerpací stanice budou umísťovány na samostatných pozemcích a budou do majetku města předávány včetně pozemku, na kterém se nachází; a</w:t>
      </w:r>
    </w:p>
    <w:p w14:paraId="240B4D2F" w14:textId="77777777" w:rsidR="00EC1C40" w:rsidRDefault="00000000">
      <w:pPr>
        <w:pStyle w:val="Zkladntext100"/>
        <w:framePr w:w="10531" w:h="11386" w:hRule="exact" w:wrap="none" w:vAnchor="page" w:hAnchor="page" w:x="898" w:y="984"/>
        <w:numPr>
          <w:ilvl w:val="0"/>
          <w:numId w:val="87"/>
        </w:numPr>
        <w:tabs>
          <w:tab w:val="left" w:pos="975"/>
        </w:tabs>
        <w:spacing w:line="252" w:lineRule="auto"/>
        <w:ind w:hanging="360"/>
        <w:jc w:val="both"/>
      </w:pPr>
      <w:r>
        <w:t>technické řešení včetně použitých materiálů a technologie, bude vždy před vydáním územního rozhodnutí/stavebního povolení, odsouhlaseno společností Vodovody a kanalizace Pardubice, a.s., IČO 60108631, se sídlem Teplého 2014, 530 02 Pardubice, včetně veškerých změn, které budou provedeny v dalších stupních projektové dokumentace či při provádění stavby.</w:t>
      </w:r>
    </w:p>
    <w:p w14:paraId="609CBE24" w14:textId="77777777" w:rsidR="00EC1C40" w:rsidRDefault="00000000">
      <w:pPr>
        <w:pStyle w:val="Zkladntext100"/>
        <w:framePr w:w="10531" w:h="11386" w:hRule="exact" w:wrap="none" w:vAnchor="page" w:hAnchor="page" w:x="898" w:y="984"/>
        <w:numPr>
          <w:ilvl w:val="0"/>
          <w:numId w:val="82"/>
        </w:numPr>
        <w:tabs>
          <w:tab w:val="left" w:pos="629"/>
        </w:tabs>
        <w:spacing w:after="0" w:line="254" w:lineRule="auto"/>
        <w:ind w:left="640"/>
        <w:jc w:val="both"/>
      </w:pPr>
      <w:r>
        <w:rPr>
          <w:b/>
          <w:bCs/>
        </w:rPr>
        <w:t xml:space="preserve">Do majetku města nebudou přijímány </w:t>
      </w:r>
      <w:r>
        <w:t>tzv. vsakovací jímky (galerie) na dešťovou vodu, zasakovací prohlubně nebo retenční nádrže a rybníčky a podobné stavby.</w:t>
      </w:r>
    </w:p>
    <w:p w14:paraId="78376283" w14:textId="77777777" w:rsidR="00EC1C40" w:rsidRDefault="00000000">
      <w:pPr>
        <w:pStyle w:val="Zhlavnebozpat0"/>
        <w:framePr w:wrap="none" w:vAnchor="page" w:hAnchor="page" w:x="5991" w:y="16805"/>
        <w:rPr>
          <w:sz w:val="24"/>
          <w:szCs w:val="24"/>
        </w:rPr>
      </w:pPr>
      <w:r>
        <w:rPr>
          <w:color w:val="231E20"/>
          <w:sz w:val="24"/>
          <w:szCs w:val="24"/>
        </w:rPr>
        <w:t>4</w:t>
      </w:r>
    </w:p>
    <w:p w14:paraId="7FCB29F5"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30158B46" w14:textId="77777777" w:rsidR="00EC1C40" w:rsidRDefault="00EC1C40">
      <w:pPr>
        <w:spacing w:line="1" w:lineRule="exact"/>
      </w:pPr>
    </w:p>
    <w:p w14:paraId="458CCC3A" w14:textId="77777777" w:rsidR="00EC1C40" w:rsidRDefault="00000000">
      <w:pPr>
        <w:pStyle w:val="Zkladntext100"/>
        <w:framePr w:w="10243" w:h="12662" w:hRule="exact" w:wrap="none" w:vAnchor="page" w:hAnchor="page" w:x="1090" w:y="994"/>
        <w:spacing w:after="0" w:line="216" w:lineRule="auto"/>
        <w:ind w:left="0" w:firstLine="0"/>
        <w:jc w:val="center"/>
        <w:rPr>
          <w:sz w:val="24"/>
          <w:szCs w:val="24"/>
        </w:rPr>
      </w:pPr>
      <w:r>
        <w:rPr>
          <w:b/>
          <w:bCs/>
          <w:sz w:val="24"/>
          <w:szCs w:val="24"/>
        </w:rPr>
        <w:t xml:space="preserve">ČI. </w:t>
      </w:r>
      <w:r>
        <w:rPr>
          <w:b/>
          <w:bCs/>
          <w:sz w:val="24"/>
          <w:szCs w:val="24"/>
          <w:lang w:val="en-US" w:eastAsia="en-US" w:bidi="en-US"/>
        </w:rPr>
        <w:t>III.</w:t>
      </w:r>
    </w:p>
    <w:p w14:paraId="4583B811" w14:textId="77777777" w:rsidR="00EC1C40" w:rsidRDefault="00000000">
      <w:pPr>
        <w:pStyle w:val="Zkladntext100"/>
        <w:framePr w:w="10243" w:h="12662" w:hRule="exact" w:wrap="none" w:vAnchor="page" w:hAnchor="page" w:x="1090" w:y="994"/>
        <w:spacing w:line="216" w:lineRule="auto"/>
        <w:ind w:left="0" w:firstLine="0"/>
        <w:jc w:val="center"/>
        <w:rPr>
          <w:sz w:val="24"/>
          <w:szCs w:val="24"/>
        </w:rPr>
      </w:pPr>
      <w:r>
        <w:rPr>
          <w:b/>
          <w:bCs/>
          <w:sz w:val="24"/>
          <w:szCs w:val="24"/>
        </w:rPr>
        <w:t>Obecné právní požadavky pro převod veřejné infrastruktury do majetku města</w:t>
      </w:r>
    </w:p>
    <w:p w14:paraId="69394CB3" w14:textId="77777777" w:rsidR="00EC1C40" w:rsidRDefault="00000000">
      <w:pPr>
        <w:pStyle w:val="Zkladntext100"/>
        <w:framePr w:w="10243" w:h="12662" w:hRule="exact" w:wrap="none" w:vAnchor="page" w:hAnchor="page" w:x="1090" w:y="994"/>
        <w:numPr>
          <w:ilvl w:val="0"/>
          <w:numId w:val="88"/>
        </w:numPr>
        <w:tabs>
          <w:tab w:val="left" w:pos="336"/>
        </w:tabs>
        <w:ind w:left="360" w:hanging="360"/>
        <w:jc w:val="both"/>
      </w:pPr>
      <w:r>
        <w:t>V případě, že má investor zájem realizovat výstavbu veřejné infrastruktury na pozemcích ve vlastnictví města, je povinen si k těmto pozemkům zajistit řádný užívací titul. Projednání a rozhodování o uzavření příslušného smluvního vztahu se řídí „Zásadami pro nakládání s pozemky a pro umísťování reklamních zařízení na pozemcích a stavbách ve vlastnictví statutárního města Pardubice". V rámci projednání/rozhodování o užívacím titulu k pozemkům města, bude rovněž řešeno budoucí majetkoprávní vypořádání vybudované veřejné infrastruktury, tj. její případný následný převod do vlastnictví města.</w:t>
      </w:r>
    </w:p>
    <w:p w14:paraId="564057C7" w14:textId="77777777" w:rsidR="00EC1C40" w:rsidRDefault="00000000">
      <w:pPr>
        <w:pStyle w:val="Zkladntext100"/>
        <w:framePr w:w="10243" w:h="12662" w:hRule="exact" w:wrap="none" w:vAnchor="page" w:hAnchor="page" w:x="1090" w:y="994"/>
        <w:numPr>
          <w:ilvl w:val="0"/>
          <w:numId w:val="88"/>
        </w:numPr>
        <w:tabs>
          <w:tab w:val="left" w:pos="336"/>
        </w:tabs>
        <w:ind w:left="360" w:hanging="360"/>
        <w:jc w:val="both"/>
      </w:pPr>
      <w:r>
        <w:t>V případě, že má investor zájem realizovat výstavbu veřejné infrastruktury na svém pozemku a následně převést tyto stavby do vlastnictví města, pak i v tomto případě je povinen svůj záměr předem projednat s Odborem majetku a investic Magistrátu města Pardubic, a to před podáním žádosti k zahájení územního/stavebního řízení. O budoucím majetkoprávním vypořádání bude mezi městem a investorem uzavřena příslušná smlouva.</w:t>
      </w:r>
    </w:p>
    <w:p w14:paraId="7D744495" w14:textId="77777777" w:rsidR="00EC1C40" w:rsidRDefault="00000000">
      <w:pPr>
        <w:pStyle w:val="Zkladntext100"/>
        <w:framePr w:w="10243" w:h="12662" w:hRule="exact" w:wrap="none" w:vAnchor="page" w:hAnchor="page" w:x="1090" w:y="994"/>
        <w:numPr>
          <w:ilvl w:val="0"/>
          <w:numId w:val="88"/>
        </w:numPr>
        <w:tabs>
          <w:tab w:val="left" w:pos="336"/>
        </w:tabs>
        <w:ind w:left="360" w:hanging="360"/>
        <w:jc w:val="both"/>
      </w:pPr>
      <w:r>
        <w:t>Druhy/formy/způsob spolupráce mezi městem a investorem jsou upraveny v „Zásadách statutárního města Pardubice pro spolupráci s investory".</w:t>
      </w:r>
    </w:p>
    <w:p w14:paraId="7077F96B" w14:textId="77777777" w:rsidR="00EC1C40" w:rsidRDefault="00000000">
      <w:pPr>
        <w:pStyle w:val="Zkladntext100"/>
        <w:framePr w:w="10243" w:h="12662" w:hRule="exact" w:wrap="none" w:vAnchor="page" w:hAnchor="page" w:x="1090" w:y="994"/>
        <w:numPr>
          <w:ilvl w:val="0"/>
          <w:numId w:val="88"/>
        </w:numPr>
        <w:tabs>
          <w:tab w:val="left" w:pos="336"/>
        </w:tabs>
        <w:ind w:left="360" w:hanging="360"/>
        <w:jc w:val="both"/>
      </w:pPr>
      <w:r>
        <w:t>Skutečnost, že záměr investora je schválen úřadem územního plánování či stavebním úřadem/že na stavební záměr investora již bylo vydáno příslušné rozhodnutí stavebního úřadu vyžadované veřejnoprávními předpisy, neznamená, že je tento záměr v souladu s těmito zásadami; proto je v zájmu investora, aby s městem, resp. s příslušnými odbory Magistrátu města Pardubice, konzultoval předmětné záležitosti již ve fázi přípravy svého záměru.</w:t>
      </w:r>
    </w:p>
    <w:p w14:paraId="45A87049" w14:textId="77777777" w:rsidR="00EC1C40" w:rsidRDefault="00000000">
      <w:pPr>
        <w:pStyle w:val="Zkladntext100"/>
        <w:framePr w:w="10243" w:h="12662" w:hRule="exact" w:wrap="none" w:vAnchor="page" w:hAnchor="page" w:x="1090" w:y="994"/>
        <w:numPr>
          <w:ilvl w:val="0"/>
          <w:numId w:val="88"/>
        </w:numPr>
        <w:tabs>
          <w:tab w:val="left" w:pos="336"/>
        </w:tabs>
        <w:ind w:left="360" w:hanging="360"/>
        <w:jc w:val="both"/>
      </w:pPr>
      <w:r>
        <w:t>Veřejná infrastruktura bude převáděna do majetku města vždy komplexně, případně po jednotlivých objektech veřejné infrastruktury (včetně veškerých součástí a příslušenství), nelze převádět jen jejich jednotlivé části. Nebudou přebírány etapy, u kterých se předpokládá návaznost stavebních prací v rámci navazující výstavby.</w:t>
      </w:r>
    </w:p>
    <w:p w14:paraId="69E88871" w14:textId="77777777" w:rsidR="00EC1C40" w:rsidRDefault="00000000">
      <w:pPr>
        <w:pStyle w:val="Zkladntext100"/>
        <w:framePr w:w="10243" w:h="12662" w:hRule="exact" w:wrap="none" w:vAnchor="page" w:hAnchor="page" w:x="1090" w:y="994"/>
        <w:numPr>
          <w:ilvl w:val="0"/>
          <w:numId w:val="88"/>
        </w:numPr>
        <w:tabs>
          <w:tab w:val="left" w:pos="336"/>
        </w:tabs>
        <w:ind w:left="360" w:hanging="360"/>
        <w:jc w:val="both"/>
      </w:pPr>
      <w:r>
        <w:t>Součástí příslušné smlouvy o převodu veřejné infrastruktury, bude protokol, potvrzující, že veřejná infrastruktura byla vybudována v souladu s těmito zásadami, příp. s dalšími požadavky, uplatněnými dle čl. I. odst. 4 těchto zásad. Investor je povinen po dokončení výstavby veřejné infrastruktury doložit městu veškeré listiny, vyžadované čl. IV. těchto zásad. Bez těchto listin nebude možné vyhotovit výše zmíněný protokol.</w:t>
      </w:r>
    </w:p>
    <w:p w14:paraId="18C754C8" w14:textId="77777777" w:rsidR="00EC1C40" w:rsidRDefault="00000000">
      <w:pPr>
        <w:pStyle w:val="Zkladntext100"/>
        <w:framePr w:w="10243" w:h="12662" w:hRule="exact" w:wrap="none" w:vAnchor="page" w:hAnchor="page" w:x="1090" w:y="994"/>
        <w:numPr>
          <w:ilvl w:val="0"/>
          <w:numId w:val="88"/>
        </w:numPr>
        <w:tabs>
          <w:tab w:val="left" w:pos="336"/>
        </w:tabs>
        <w:ind w:left="360" w:hanging="360"/>
        <w:jc w:val="both"/>
      </w:pPr>
      <w:r>
        <w:t xml:space="preserve">Tam, kde to povaha jednotlivých objektů veřejné infrastruktury umožňuje (např. inženýrské sítě), </w:t>
      </w:r>
      <w:r>
        <w:rPr>
          <w:lang w:val="en-US" w:eastAsia="en-US" w:bidi="en-US"/>
        </w:rPr>
        <w:t xml:space="preserve">event. </w:t>
      </w:r>
      <w:r>
        <w:t xml:space="preserve">v případech vyžádaných městem, bude ve prospěch objektů veřejné infrastruktury zřízeno věcné břemeno „in </w:t>
      </w:r>
      <w:proofErr w:type="spellStart"/>
      <w:r>
        <w:t>rem</w:t>
      </w:r>
      <w:proofErr w:type="spellEnd"/>
      <w:r>
        <w:t xml:space="preserve">", </w:t>
      </w:r>
      <w:proofErr w:type="spellStart"/>
      <w:r>
        <w:t>ktíži</w:t>
      </w:r>
      <w:proofErr w:type="spellEnd"/>
      <w:r>
        <w:t xml:space="preserve"> dotčených pozemků, bez rozdílů vlastníků.</w:t>
      </w:r>
    </w:p>
    <w:p w14:paraId="320C4E8E" w14:textId="77777777" w:rsidR="00EC1C40" w:rsidRDefault="00000000">
      <w:pPr>
        <w:pStyle w:val="Zkladntext100"/>
        <w:framePr w:w="10243" w:h="12662" w:hRule="exact" w:wrap="none" w:vAnchor="page" w:hAnchor="page" w:x="1090" w:y="994"/>
        <w:numPr>
          <w:ilvl w:val="0"/>
          <w:numId w:val="88"/>
        </w:numPr>
        <w:tabs>
          <w:tab w:val="left" w:pos="336"/>
        </w:tabs>
        <w:spacing w:line="254" w:lineRule="auto"/>
        <w:ind w:left="360" w:hanging="360"/>
        <w:jc w:val="both"/>
      </w:pPr>
      <w:r>
        <w:t>Nedílnou součástí převodu veřejné infrastruktury bude i převod pozemků, na nichž bude veřejná infrastruktura umístěna. Pozemky nesmí být zatíženy žádnými závazky a právy třetích osob (vyjma zatížení věcnými břemeny pro umístění inženýrských sítí). Pozemky musí být výhradně ve vlastnictví investora a investor musí být oprávněn s těmito pozemky zcela disponovat.</w:t>
      </w:r>
    </w:p>
    <w:p w14:paraId="1D2E6585" w14:textId="77777777" w:rsidR="00EC1C40" w:rsidRDefault="00000000">
      <w:pPr>
        <w:pStyle w:val="Zkladntext100"/>
        <w:framePr w:w="10243" w:h="12662" w:hRule="exact" w:wrap="none" w:vAnchor="page" w:hAnchor="page" w:x="1090" w:y="994"/>
        <w:numPr>
          <w:ilvl w:val="0"/>
          <w:numId w:val="88"/>
        </w:numPr>
        <w:tabs>
          <w:tab w:val="left" w:pos="336"/>
        </w:tabs>
        <w:spacing w:after="0" w:line="254" w:lineRule="auto"/>
        <w:ind w:left="360" w:hanging="360"/>
        <w:jc w:val="both"/>
      </w:pPr>
      <w:r>
        <w:t>Převáděný pozemek s vybudovanou veřejnou infrastrukturou nesmí být dotčen jakoukoliv podzemní stavbou (zejména podzemní garáže atd.), ani přesahem jiné nemovité věci na tento pozemek. V opačném případě město takový pozemek do svého majetku nepřevezme.</w:t>
      </w:r>
    </w:p>
    <w:p w14:paraId="17F9612E" w14:textId="77777777" w:rsidR="00EC1C40" w:rsidRDefault="00000000">
      <w:pPr>
        <w:pStyle w:val="Zhlavnebozpat0"/>
        <w:framePr w:wrap="none" w:vAnchor="page" w:hAnchor="page" w:x="5991" w:y="16820"/>
        <w:rPr>
          <w:sz w:val="24"/>
          <w:szCs w:val="24"/>
        </w:rPr>
      </w:pPr>
      <w:r>
        <w:rPr>
          <w:rFonts w:ascii="Times New Roman" w:eastAsia="Times New Roman" w:hAnsi="Times New Roman" w:cs="Times New Roman"/>
          <w:color w:val="231E20"/>
          <w:sz w:val="24"/>
          <w:szCs w:val="24"/>
        </w:rPr>
        <w:t>5</w:t>
      </w:r>
    </w:p>
    <w:p w14:paraId="5511EE96"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2BFAD845" w14:textId="77777777" w:rsidR="00EC1C40" w:rsidRDefault="00EC1C40">
      <w:pPr>
        <w:spacing w:line="1" w:lineRule="exact"/>
      </w:pPr>
    </w:p>
    <w:p w14:paraId="5147987F" w14:textId="77777777" w:rsidR="00EC1C40" w:rsidRDefault="00000000">
      <w:pPr>
        <w:pStyle w:val="Zkladntext100"/>
        <w:framePr w:w="10531" w:h="15192" w:hRule="exact" w:wrap="none" w:vAnchor="page" w:hAnchor="page" w:x="807" w:y="992"/>
        <w:spacing w:after="0" w:line="228" w:lineRule="auto"/>
        <w:ind w:left="0" w:firstLine="0"/>
        <w:jc w:val="center"/>
        <w:rPr>
          <w:sz w:val="24"/>
          <w:szCs w:val="24"/>
        </w:rPr>
      </w:pPr>
      <w:r>
        <w:rPr>
          <w:b/>
          <w:bCs/>
          <w:sz w:val="24"/>
          <w:szCs w:val="24"/>
          <w:lang w:val="en-US" w:eastAsia="en-US" w:bidi="en-US"/>
        </w:rPr>
        <w:t>Cl. IV.</w:t>
      </w:r>
    </w:p>
    <w:p w14:paraId="42B21A47" w14:textId="77777777" w:rsidR="00EC1C40" w:rsidRDefault="00000000">
      <w:pPr>
        <w:pStyle w:val="Zkladntext100"/>
        <w:framePr w:w="10531" w:h="15192" w:hRule="exact" w:wrap="none" w:vAnchor="page" w:hAnchor="page" w:x="807" w:y="992"/>
        <w:spacing w:after="540" w:line="228" w:lineRule="auto"/>
        <w:ind w:left="0" w:firstLine="0"/>
        <w:jc w:val="center"/>
        <w:rPr>
          <w:sz w:val="24"/>
          <w:szCs w:val="24"/>
        </w:rPr>
      </w:pPr>
      <w:r>
        <w:rPr>
          <w:b/>
          <w:bCs/>
          <w:sz w:val="24"/>
          <w:szCs w:val="24"/>
        </w:rPr>
        <w:t xml:space="preserve">Podklady </w:t>
      </w:r>
      <w:r>
        <w:rPr>
          <w:b/>
          <w:bCs/>
          <w:sz w:val="24"/>
          <w:szCs w:val="24"/>
          <w:lang w:val="en-US" w:eastAsia="en-US" w:bidi="en-US"/>
        </w:rPr>
        <w:t xml:space="preserve">pro </w:t>
      </w:r>
      <w:r>
        <w:rPr>
          <w:b/>
          <w:bCs/>
          <w:sz w:val="24"/>
          <w:szCs w:val="24"/>
        </w:rPr>
        <w:t>převod veřejné infrastruktury do majetku města</w:t>
      </w:r>
    </w:p>
    <w:p w14:paraId="45A6DCFA" w14:textId="77777777" w:rsidR="00EC1C40" w:rsidRDefault="00000000">
      <w:pPr>
        <w:pStyle w:val="Nadpis60"/>
        <w:framePr w:w="10531" w:h="15192" w:hRule="exact" w:wrap="none" w:vAnchor="page" w:hAnchor="page" w:x="807" w:y="992"/>
        <w:numPr>
          <w:ilvl w:val="0"/>
          <w:numId w:val="89"/>
        </w:numPr>
        <w:tabs>
          <w:tab w:val="left" w:pos="341"/>
        </w:tabs>
        <w:spacing w:after="260" w:line="269" w:lineRule="auto"/>
        <w:jc w:val="both"/>
      </w:pPr>
      <w:bookmarkStart w:id="129" w:name="bookmark260"/>
      <w:r>
        <w:t>K návrhu převodu pozemních komunikací bude investorem doloženo</w:t>
      </w:r>
      <w:r>
        <w:rPr>
          <w:b w:val="0"/>
          <w:bCs w:val="0"/>
        </w:rPr>
        <w:t>:</w:t>
      </w:r>
      <w:bookmarkEnd w:id="129"/>
    </w:p>
    <w:p w14:paraId="2D782BBA" w14:textId="77777777" w:rsidR="00EC1C40" w:rsidRDefault="00000000">
      <w:pPr>
        <w:pStyle w:val="Zkladntext100"/>
        <w:framePr w:w="10531" w:h="15192" w:hRule="exact" w:wrap="none" w:vAnchor="page" w:hAnchor="page" w:x="807" w:y="992"/>
        <w:numPr>
          <w:ilvl w:val="0"/>
          <w:numId w:val="90"/>
        </w:numPr>
        <w:tabs>
          <w:tab w:val="left" w:pos="1041"/>
        </w:tabs>
        <w:spacing w:after="0" w:line="269" w:lineRule="auto"/>
        <w:ind w:left="1060" w:hanging="700"/>
        <w:jc w:val="both"/>
      </w:pPr>
      <w:r>
        <w:t>stavební povolení včetně ověřené projektové dokumentace,</w:t>
      </w:r>
    </w:p>
    <w:p w14:paraId="76324E4B" w14:textId="77777777" w:rsidR="00EC1C40" w:rsidRDefault="00000000">
      <w:pPr>
        <w:pStyle w:val="Zkladntext100"/>
        <w:framePr w:w="10531" w:h="15192" w:hRule="exact" w:wrap="none" w:vAnchor="page" w:hAnchor="page" w:x="807" w:y="992"/>
        <w:numPr>
          <w:ilvl w:val="0"/>
          <w:numId w:val="90"/>
        </w:numPr>
        <w:tabs>
          <w:tab w:val="left" w:pos="1041"/>
        </w:tabs>
        <w:spacing w:after="0"/>
        <w:ind w:left="1060" w:hanging="700"/>
        <w:jc w:val="both"/>
      </w:pPr>
      <w:r>
        <w:t>kolaudační souhlas nebo rozhodnutí s doložkou o nabytí právní moci,</w:t>
      </w:r>
    </w:p>
    <w:p w14:paraId="02F27748" w14:textId="77777777" w:rsidR="00EC1C40" w:rsidRDefault="00000000">
      <w:pPr>
        <w:pStyle w:val="Zkladntext100"/>
        <w:framePr w:w="10531" w:h="15192" w:hRule="exact" w:wrap="none" w:vAnchor="page" w:hAnchor="page" w:x="807" w:y="992"/>
        <w:numPr>
          <w:ilvl w:val="0"/>
          <w:numId w:val="90"/>
        </w:numPr>
        <w:tabs>
          <w:tab w:val="left" w:pos="1041"/>
          <w:tab w:val="left" w:pos="1056"/>
        </w:tabs>
        <w:spacing w:after="0" w:line="269" w:lineRule="auto"/>
        <w:ind w:left="1060" w:hanging="700"/>
        <w:jc w:val="both"/>
      </w:pPr>
      <w:r>
        <w:t>kompletní projektová dokumentace skutečného provedení stavby,</w:t>
      </w:r>
    </w:p>
    <w:p w14:paraId="2AD6A527" w14:textId="77777777" w:rsidR="00EC1C40" w:rsidRDefault="00000000">
      <w:pPr>
        <w:pStyle w:val="Zkladntext100"/>
        <w:framePr w:w="10531" w:h="15192" w:hRule="exact" w:wrap="none" w:vAnchor="page" w:hAnchor="page" w:x="807" w:y="992"/>
        <w:numPr>
          <w:ilvl w:val="0"/>
          <w:numId w:val="90"/>
        </w:numPr>
        <w:tabs>
          <w:tab w:val="left" w:pos="1041"/>
          <w:tab w:val="left" w:pos="1056"/>
        </w:tabs>
        <w:spacing w:after="0" w:line="269" w:lineRule="auto"/>
        <w:ind w:left="1060" w:hanging="700"/>
        <w:jc w:val="both"/>
      </w:pPr>
      <w:r>
        <w:t>geometrické zaměření stavby,</w:t>
      </w:r>
    </w:p>
    <w:p w14:paraId="078A9227" w14:textId="77777777" w:rsidR="00EC1C40" w:rsidRDefault="00000000">
      <w:pPr>
        <w:pStyle w:val="Zkladntext100"/>
        <w:framePr w:w="10531" w:h="15192" w:hRule="exact" w:wrap="none" w:vAnchor="page" w:hAnchor="page" w:x="807" w:y="992"/>
        <w:numPr>
          <w:ilvl w:val="0"/>
          <w:numId w:val="90"/>
        </w:numPr>
        <w:tabs>
          <w:tab w:val="left" w:pos="1041"/>
        </w:tabs>
        <w:spacing w:after="0"/>
        <w:ind w:left="1060" w:hanging="700"/>
        <w:jc w:val="both"/>
      </w:pPr>
      <w:r>
        <w:t>předávací protokoly, případně i doklad o odstranění vad a nedodělků díla,</w:t>
      </w:r>
    </w:p>
    <w:p w14:paraId="6A15A97F" w14:textId="77777777" w:rsidR="00EC1C40" w:rsidRDefault="00000000">
      <w:pPr>
        <w:pStyle w:val="Zkladntext100"/>
        <w:framePr w:w="10531" w:h="15192" w:hRule="exact" w:wrap="none" w:vAnchor="page" w:hAnchor="page" w:x="807" w:y="992"/>
        <w:numPr>
          <w:ilvl w:val="0"/>
          <w:numId w:val="90"/>
        </w:numPr>
        <w:tabs>
          <w:tab w:val="left" w:pos="1041"/>
          <w:tab w:val="left" w:pos="1056"/>
        </w:tabs>
        <w:spacing w:after="0" w:line="269" w:lineRule="auto"/>
        <w:ind w:left="1060" w:hanging="700"/>
        <w:jc w:val="both"/>
      </w:pPr>
      <w:r>
        <w:t>vyčíslení skutečné finanční hodnoty díla,</w:t>
      </w:r>
    </w:p>
    <w:p w14:paraId="5C146A57" w14:textId="77777777" w:rsidR="00EC1C40" w:rsidRDefault="00000000">
      <w:pPr>
        <w:pStyle w:val="Zkladntext100"/>
        <w:framePr w:w="10531" w:h="15192" w:hRule="exact" w:wrap="none" w:vAnchor="page" w:hAnchor="page" w:x="807" w:y="992"/>
        <w:numPr>
          <w:ilvl w:val="0"/>
          <w:numId w:val="90"/>
        </w:numPr>
        <w:tabs>
          <w:tab w:val="left" w:pos="1041"/>
        </w:tabs>
        <w:spacing w:after="260"/>
        <w:ind w:left="1060" w:hanging="700"/>
        <w:jc w:val="both"/>
      </w:pPr>
      <w:r>
        <w:t>smlouvy o dílo mezi investorem a dodavatelem, s právním dokladem umožňujícím reklamace (záruky) díla (investor a město si sjednají záruční dobu v délce trvání minimálně 4 roky ode dne převzetí objektů veřejné infrastruktury do majetku města)</w:t>
      </w:r>
    </w:p>
    <w:p w14:paraId="16407974" w14:textId="77777777" w:rsidR="00EC1C40" w:rsidRDefault="00000000">
      <w:pPr>
        <w:pStyle w:val="Nadpis60"/>
        <w:framePr w:w="10531" w:h="15192" w:hRule="exact" w:wrap="none" w:vAnchor="page" w:hAnchor="page" w:x="807" w:y="992"/>
        <w:numPr>
          <w:ilvl w:val="0"/>
          <w:numId w:val="89"/>
        </w:numPr>
        <w:tabs>
          <w:tab w:val="left" w:pos="344"/>
        </w:tabs>
        <w:spacing w:after="260" w:line="269" w:lineRule="auto"/>
        <w:jc w:val="both"/>
      </w:pPr>
      <w:bookmarkStart w:id="130" w:name="bookmark262"/>
      <w:r>
        <w:t>K návrhu převodu VO bude investorem doloženo</w:t>
      </w:r>
      <w:r>
        <w:rPr>
          <w:b w:val="0"/>
          <w:bCs w:val="0"/>
        </w:rPr>
        <w:t>:</w:t>
      </w:r>
      <w:bookmarkEnd w:id="130"/>
    </w:p>
    <w:p w14:paraId="4280158E" w14:textId="77777777" w:rsidR="00EC1C40" w:rsidRDefault="00000000">
      <w:pPr>
        <w:pStyle w:val="Zkladntext100"/>
        <w:framePr w:w="10531" w:h="15192" w:hRule="exact" w:wrap="none" w:vAnchor="page" w:hAnchor="page" w:x="807" w:y="992"/>
        <w:numPr>
          <w:ilvl w:val="0"/>
          <w:numId w:val="91"/>
        </w:numPr>
        <w:tabs>
          <w:tab w:val="left" w:pos="1041"/>
        </w:tabs>
        <w:spacing w:after="0" w:line="266" w:lineRule="auto"/>
        <w:ind w:left="1060" w:hanging="700"/>
        <w:jc w:val="both"/>
      </w:pPr>
      <w:r>
        <w:t>stavební povolení včetně ověřené projektové dokumentace,</w:t>
      </w:r>
    </w:p>
    <w:p w14:paraId="46C7CE30" w14:textId="77777777" w:rsidR="00EC1C40" w:rsidRDefault="00000000">
      <w:pPr>
        <w:pStyle w:val="Zkladntext100"/>
        <w:framePr w:w="10531" w:h="15192" w:hRule="exact" w:wrap="none" w:vAnchor="page" w:hAnchor="page" w:x="807" w:y="992"/>
        <w:numPr>
          <w:ilvl w:val="0"/>
          <w:numId w:val="91"/>
        </w:numPr>
        <w:tabs>
          <w:tab w:val="left" w:pos="1041"/>
          <w:tab w:val="left" w:pos="1056"/>
        </w:tabs>
        <w:spacing w:after="0" w:line="266" w:lineRule="auto"/>
        <w:ind w:left="1060" w:hanging="700"/>
        <w:jc w:val="both"/>
      </w:pPr>
      <w:r>
        <w:t>revizní zpráva/y,</w:t>
      </w:r>
    </w:p>
    <w:p w14:paraId="7A3DECF6" w14:textId="77777777" w:rsidR="00EC1C40" w:rsidRDefault="00000000">
      <w:pPr>
        <w:pStyle w:val="Zkladntext100"/>
        <w:framePr w:w="10531" w:h="15192" w:hRule="exact" w:wrap="none" w:vAnchor="page" w:hAnchor="page" w:x="807" w:y="992"/>
        <w:numPr>
          <w:ilvl w:val="0"/>
          <w:numId w:val="91"/>
        </w:numPr>
        <w:tabs>
          <w:tab w:val="left" w:pos="1041"/>
        </w:tabs>
        <w:spacing w:after="0" w:line="266" w:lineRule="auto"/>
        <w:ind w:left="1060" w:hanging="700"/>
        <w:jc w:val="both"/>
      </w:pPr>
      <w:r>
        <w:t>kolaudační rozhodnutí s doložkou o nabytí právní moci,</w:t>
      </w:r>
    </w:p>
    <w:p w14:paraId="34B89E4A" w14:textId="77777777" w:rsidR="00EC1C40" w:rsidRDefault="00000000">
      <w:pPr>
        <w:pStyle w:val="Zkladntext100"/>
        <w:framePr w:w="10531" w:h="15192" w:hRule="exact" w:wrap="none" w:vAnchor="page" w:hAnchor="page" w:x="807" w:y="992"/>
        <w:numPr>
          <w:ilvl w:val="0"/>
          <w:numId w:val="91"/>
        </w:numPr>
        <w:tabs>
          <w:tab w:val="left" w:pos="1041"/>
          <w:tab w:val="left" w:pos="1056"/>
        </w:tabs>
        <w:spacing w:after="0" w:line="266" w:lineRule="auto"/>
        <w:ind w:left="1060" w:hanging="700"/>
        <w:jc w:val="both"/>
      </w:pPr>
      <w:r>
        <w:t>kompletní projektová dokumentace skutečného provedení stavby,</w:t>
      </w:r>
    </w:p>
    <w:p w14:paraId="299D5FB7" w14:textId="77777777" w:rsidR="00EC1C40" w:rsidRDefault="00000000">
      <w:pPr>
        <w:pStyle w:val="Zkladntext100"/>
        <w:framePr w:w="10531" w:h="15192" w:hRule="exact" w:wrap="none" w:vAnchor="page" w:hAnchor="page" w:x="807" w:y="992"/>
        <w:numPr>
          <w:ilvl w:val="0"/>
          <w:numId w:val="91"/>
        </w:numPr>
        <w:tabs>
          <w:tab w:val="left" w:pos="1041"/>
        </w:tabs>
        <w:spacing w:after="0"/>
        <w:ind w:left="1060" w:hanging="700"/>
        <w:jc w:val="both"/>
      </w:pPr>
      <w:r>
        <w:t>geometrické zaměření stavby se situací na podkladě katastrální mapy a technické mapy,</w:t>
      </w:r>
    </w:p>
    <w:p w14:paraId="156DB95D" w14:textId="77777777" w:rsidR="00EC1C40" w:rsidRDefault="00000000">
      <w:pPr>
        <w:pStyle w:val="Zkladntext100"/>
        <w:framePr w:w="10531" w:h="15192" w:hRule="exact" w:wrap="none" w:vAnchor="page" w:hAnchor="page" w:x="807" w:y="992"/>
        <w:numPr>
          <w:ilvl w:val="0"/>
          <w:numId w:val="91"/>
        </w:numPr>
        <w:tabs>
          <w:tab w:val="left" w:pos="1041"/>
        </w:tabs>
        <w:spacing w:after="0"/>
        <w:ind w:left="1060" w:hanging="700"/>
        <w:jc w:val="both"/>
      </w:pPr>
      <w:r>
        <w:t xml:space="preserve">předávací protokoly - „Protokol o kontrole dokončené stavby veřejného osvětlení" se souhlasným stanoviskem </w:t>
      </w:r>
      <w:proofErr w:type="spellStart"/>
      <w:r>
        <w:t>SmP</w:t>
      </w:r>
      <w:proofErr w:type="spellEnd"/>
      <w:r>
        <w:t xml:space="preserve"> a.s. divize VO a investičního oddělení </w:t>
      </w:r>
      <w:proofErr w:type="spellStart"/>
      <w:r>
        <w:t>SmP</w:t>
      </w:r>
      <w:proofErr w:type="spellEnd"/>
      <w:r>
        <w:t xml:space="preserve"> a.s., „Protokol o ohlášení a doložení změn obsahu technické mapy - Technická mapa Pardubice",</w:t>
      </w:r>
    </w:p>
    <w:p w14:paraId="2D6CDC02" w14:textId="77777777" w:rsidR="00EC1C40" w:rsidRDefault="00000000">
      <w:pPr>
        <w:pStyle w:val="Zkladntext100"/>
        <w:framePr w:w="10531" w:h="15192" w:hRule="exact" w:wrap="none" w:vAnchor="page" w:hAnchor="page" w:x="807" w:y="992"/>
        <w:numPr>
          <w:ilvl w:val="0"/>
          <w:numId w:val="91"/>
        </w:numPr>
        <w:tabs>
          <w:tab w:val="left" w:pos="1041"/>
        </w:tabs>
        <w:spacing w:after="0" w:line="266" w:lineRule="auto"/>
        <w:ind w:left="1060" w:hanging="700"/>
        <w:jc w:val="both"/>
      </w:pPr>
      <w:r>
        <w:t>doklad o odstranění vad a nedodělků díla,</w:t>
      </w:r>
    </w:p>
    <w:p w14:paraId="44410D8C" w14:textId="77777777" w:rsidR="00EC1C40" w:rsidRDefault="00000000">
      <w:pPr>
        <w:pStyle w:val="Zkladntext100"/>
        <w:framePr w:w="10531" w:h="15192" w:hRule="exact" w:wrap="none" w:vAnchor="page" w:hAnchor="page" w:x="807" w:y="992"/>
        <w:numPr>
          <w:ilvl w:val="0"/>
          <w:numId w:val="91"/>
        </w:numPr>
        <w:tabs>
          <w:tab w:val="left" w:pos="1041"/>
        </w:tabs>
        <w:spacing w:after="0" w:line="266" w:lineRule="auto"/>
        <w:ind w:left="1060" w:hanging="700"/>
        <w:jc w:val="both"/>
      </w:pPr>
      <w:r>
        <w:t>vyčíslení skutečné finanční hodnoty díla,</w:t>
      </w:r>
    </w:p>
    <w:p w14:paraId="0EB17F04" w14:textId="77777777" w:rsidR="00EC1C40" w:rsidRDefault="00000000">
      <w:pPr>
        <w:pStyle w:val="Zkladntext100"/>
        <w:framePr w:w="10531" w:h="15192" w:hRule="exact" w:wrap="none" w:vAnchor="page" w:hAnchor="page" w:x="807" w:y="992"/>
        <w:numPr>
          <w:ilvl w:val="0"/>
          <w:numId w:val="91"/>
        </w:numPr>
        <w:tabs>
          <w:tab w:val="left" w:pos="1041"/>
        </w:tabs>
        <w:spacing w:after="0"/>
        <w:ind w:left="1060" w:hanging="700"/>
        <w:jc w:val="both"/>
      </w:pPr>
      <w:r>
        <w:t>smlouvy o dílo mezi investorem a dodavatelem, s právním dokladem umožňujícím reklamace (záruky) díla (investor a město si sjednají záruční dobu v délce trvání minimálně 4 roky ode dne převzetí objektů veřejné infrastruktury do majetku města),</w:t>
      </w:r>
    </w:p>
    <w:p w14:paraId="4A62770C" w14:textId="77777777" w:rsidR="00EC1C40" w:rsidRDefault="00000000">
      <w:pPr>
        <w:pStyle w:val="Zkladntext100"/>
        <w:framePr w:w="10531" w:h="15192" w:hRule="exact" w:wrap="none" w:vAnchor="page" w:hAnchor="page" w:x="807" w:y="992"/>
        <w:numPr>
          <w:ilvl w:val="0"/>
          <w:numId w:val="91"/>
        </w:numPr>
        <w:tabs>
          <w:tab w:val="left" w:pos="1041"/>
        </w:tabs>
        <w:spacing w:after="0"/>
        <w:ind w:left="960" w:hanging="600"/>
        <w:jc w:val="both"/>
      </w:pPr>
      <w:r>
        <w:t>aktualizovaný výpočet osvětlení dle skutečně instalovaných typů svítidel včetně specifikace použitých svítidel (dodací list),</w:t>
      </w:r>
    </w:p>
    <w:p w14:paraId="3E7DE2D9" w14:textId="77777777" w:rsidR="00EC1C40" w:rsidRDefault="00000000">
      <w:pPr>
        <w:pStyle w:val="Zkladntext100"/>
        <w:framePr w:w="10531" w:h="15192" w:hRule="exact" w:wrap="none" w:vAnchor="page" w:hAnchor="page" w:x="807" w:y="992"/>
        <w:numPr>
          <w:ilvl w:val="0"/>
          <w:numId w:val="91"/>
        </w:numPr>
        <w:tabs>
          <w:tab w:val="left" w:pos="1041"/>
        </w:tabs>
        <w:spacing w:after="260"/>
        <w:ind w:left="0" w:firstLine="360"/>
        <w:jc w:val="both"/>
      </w:pPr>
      <w:r>
        <w:t>protokol o ověření osvětlenosti pozemních komunikací certifikovanou laboratoří</w:t>
      </w:r>
    </w:p>
    <w:p w14:paraId="7E74705A" w14:textId="77777777" w:rsidR="00EC1C40" w:rsidRDefault="00000000">
      <w:pPr>
        <w:pStyle w:val="Nadpis60"/>
        <w:framePr w:w="10531" w:h="15192" w:hRule="exact" w:wrap="none" w:vAnchor="page" w:hAnchor="page" w:x="807" w:y="992"/>
        <w:numPr>
          <w:ilvl w:val="0"/>
          <w:numId w:val="89"/>
        </w:numPr>
        <w:tabs>
          <w:tab w:val="left" w:pos="341"/>
        </w:tabs>
        <w:spacing w:after="260"/>
        <w:jc w:val="both"/>
      </w:pPr>
      <w:bookmarkStart w:id="131" w:name="bookmark264"/>
      <w:r>
        <w:t>K návrhu převodu pozemků se založenou zelení bude investorem doloženo</w:t>
      </w:r>
      <w:r>
        <w:rPr>
          <w:b w:val="0"/>
          <w:bCs w:val="0"/>
        </w:rPr>
        <w:t>:</w:t>
      </w:r>
      <w:bookmarkEnd w:id="131"/>
    </w:p>
    <w:p w14:paraId="54071E83" w14:textId="77777777" w:rsidR="00EC1C40" w:rsidRDefault="00000000">
      <w:pPr>
        <w:pStyle w:val="Zkladntext100"/>
        <w:framePr w:w="10531" w:h="15192" w:hRule="exact" w:wrap="none" w:vAnchor="page" w:hAnchor="page" w:x="807" w:y="992"/>
        <w:numPr>
          <w:ilvl w:val="0"/>
          <w:numId w:val="92"/>
        </w:numPr>
        <w:tabs>
          <w:tab w:val="left" w:pos="1041"/>
          <w:tab w:val="left" w:pos="1061"/>
          <w:tab w:val="center" w:pos="5218"/>
        </w:tabs>
        <w:spacing w:after="0" w:line="269" w:lineRule="auto"/>
        <w:ind w:left="0" w:firstLine="360"/>
        <w:jc w:val="both"/>
      </w:pPr>
      <w:r>
        <w:t>projektová dokumentace skutečného</w:t>
      </w:r>
      <w:r>
        <w:tab/>
        <w:t>provedení stavby,</w:t>
      </w:r>
    </w:p>
    <w:p w14:paraId="302A5E22" w14:textId="77777777" w:rsidR="00EC1C40" w:rsidRDefault="00000000">
      <w:pPr>
        <w:pStyle w:val="Zkladntext100"/>
        <w:framePr w:w="10531" w:h="15192" w:hRule="exact" w:wrap="none" w:vAnchor="page" w:hAnchor="page" w:x="807" w:y="992"/>
        <w:numPr>
          <w:ilvl w:val="0"/>
          <w:numId w:val="92"/>
        </w:numPr>
        <w:tabs>
          <w:tab w:val="left" w:pos="1041"/>
          <w:tab w:val="left" w:pos="1061"/>
        </w:tabs>
        <w:spacing w:after="0" w:line="269" w:lineRule="auto"/>
        <w:ind w:left="0" w:firstLine="360"/>
        <w:jc w:val="both"/>
      </w:pPr>
      <w:r>
        <w:t>předávací protokol,</w:t>
      </w:r>
    </w:p>
    <w:p w14:paraId="646A1052" w14:textId="77777777" w:rsidR="00EC1C40" w:rsidRDefault="00000000">
      <w:pPr>
        <w:pStyle w:val="Zkladntext100"/>
        <w:framePr w:w="10531" w:h="15192" w:hRule="exact" w:wrap="none" w:vAnchor="page" w:hAnchor="page" w:x="807" w:y="992"/>
        <w:numPr>
          <w:ilvl w:val="0"/>
          <w:numId w:val="92"/>
        </w:numPr>
        <w:tabs>
          <w:tab w:val="left" w:pos="1041"/>
          <w:tab w:val="left" w:pos="1061"/>
        </w:tabs>
        <w:spacing w:after="0" w:line="269" w:lineRule="auto"/>
        <w:ind w:left="0" w:firstLine="360"/>
        <w:jc w:val="both"/>
      </w:pPr>
      <w:r>
        <w:t>cena vč. DPH,</w:t>
      </w:r>
    </w:p>
    <w:p w14:paraId="54010F0D" w14:textId="77777777" w:rsidR="00EC1C40" w:rsidRDefault="00000000">
      <w:pPr>
        <w:pStyle w:val="Zkladntext100"/>
        <w:framePr w:w="10531" w:h="15192" w:hRule="exact" w:wrap="none" w:vAnchor="page" w:hAnchor="page" w:x="807" w:y="992"/>
        <w:numPr>
          <w:ilvl w:val="0"/>
          <w:numId w:val="92"/>
        </w:numPr>
        <w:tabs>
          <w:tab w:val="left" w:pos="1041"/>
          <w:tab w:val="left" w:pos="1061"/>
          <w:tab w:val="center" w:pos="4054"/>
          <w:tab w:val="center" w:pos="4224"/>
        </w:tabs>
        <w:spacing w:after="0" w:line="269" w:lineRule="auto"/>
        <w:ind w:left="0" w:firstLine="360"/>
        <w:jc w:val="both"/>
      </w:pPr>
      <w:r>
        <w:t>smlouvy o dílo mezi investorem</w:t>
      </w:r>
      <w:r>
        <w:tab/>
        <w:t>a</w:t>
      </w:r>
      <w:r>
        <w:tab/>
        <w:t>dodavatelem,</w:t>
      </w:r>
    </w:p>
    <w:p w14:paraId="47AB49D4" w14:textId="77777777" w:rsidR="00EC1C40" w:rsidRDefault="00000000">
      <w:pPr>
        <w:pStyle w:val="Zkladntext100"/>
        <w:framePr w:w="10531" w:h="15192" w:hRule="exact" w:wrap="none" w:vAnchor="page" w:hAnchor="page" w:x="807" w:y="992"/>
        <w:numPr>
          <w:ilvl w:val="0"/>
          <w:numId w:val="92"/>
        </w:numPr>
        <w:tabs>
          <w:tab w:val="left" w:pos="1041"/>
        </w:tabs>
        <w:spacing w:after="0" w:line="269" w:lineRule="auto"/>
        <w:ind w:left="0" w:firstLine="360"/>
        <w:jc w:val="both"/>
      </w:pPr>
      <w:r>
        <w:t>osoba nebo společnost zodpovídající za následnou péči a údržbu,</w:t>
      </w:r>
    </w:p>
    <w:p w14:paraId="113C1745" w14:textId="77777777" w:rsidR="00EC1C40" w:rsidRDefault="00000000">
      <w:pPr>
        <w:pStyle w:val="Zkladntext100"/>
        <w:framePr w:w="10531" w:h="15192" w:hRule="exact" w:wrap="none" w:vAnchor="page" w:hAnchor="page" w:x="807" w:y="992"/>
        <w:numPr>
          <w:ilvl w:val="0"/>
          <w:numId w:val="92"/>
        </w:numPr>
        <w:tabs>
          <w:tab w:val="left" w:pos="1041"/>
          <w:tab w:val="left" w:pos="1061"/>
        </w:tabs>
        <w:spacing w:after="300" w:line="269" w:lineRule="auto"/>
        <w:ind w:left="0" w:firstLine="360"/>
        <w:jc w:val="both"/>
      </w:pPr>
      <w:r>
        <w:t>daňový doklad (faktura)</w:t>
      </w:r>
    </w:p>
    <w:p w14:paraId="49556FF5" w14:textId="77777777" w:rsidR="00EC1C40" w:rsidRDefault="00000000">
      <w:pPr>
        <w:pStyle w:val="Nadpis60"/>
        <w:framePr w:w="10531" w:h="15192" w:hRule="exact" w:wrap="none" w:vAnchor="page" w:hAnchor="page" w:x="807" w:y="992"/>
        <w:numPr>
          <w:ilvl w:val="0"/>
          <w:numId w:val="89"/>
        </w:numPr>
        <w:tabs>
          <w:tab w:val="left" w:pos="349"/>
        </w:tabs>
        <w:spacing w:after="300"/>
        <w:jc w:val="both"/>
      </w:pPr>
      <w:bookmarkStart w:id="132" w:name="bookmark266"/>
      <w:r>
        <w:t>K návrhu převodu dětských hřišť a drobného mobiliáře, bude investorem doloženo</w:t>
      </w:r>
      <w:r>
        <w:rPr>
          <w:b w:val="0"/>
          <w:bCs w:val="0"/>
        </w:rPr>
        <w:t>:</w:t>
      </w:r>
      <w:bookmarkEnd w:id="132"/>
    </w:p>
    <w:p w14:paraId="6DB4E530" w14:textId="77777777" w:rsidR="00EC1C40" w:rsidRDefault="00000000">
      <w:pPr>
        <w:pStyle w:val="Zkladntext100"/>
        <w:framePr w:w="10531" w:h="15192" w:hRule="exact" w:wrap="none" w:vAnchor="page" w:hAnchor="page" w:x="807" w:y="992"/>
        <w:numPr>
          <w:ilvl w:val="0"/>
          <w:numId w:val="93"/>
        </w:numPr>
        <w:tabs>
          <w:tab w:val="left" w:pos="1041"/>
          <w:tab w:val="left" w:pos="1061"/>
        </w:tabs>
        <w:spacing w:after="0" w:line="283" w:lineRule="auto"/>
        <w:ind w:left="0" w:firstLine="360"/>
        <w:jc w:val="both"/>
      </w:pPr>
      <w:r>
        <w:t>projektová dokumentace skutečného provedení stavby,</w:t>
      </w:r>
    </w:p>
    <w:p w14:paraId="4FC964D0" w14:textId="77777777" w:rsidR="00EC1C40" w:rsidRDefault="00000000">
      <w:pPr>
        <w:pStyle w:val="Zkladntext100"/>
        <w:framePr w:w="10531" w:h="15192" w:hRule="exact" w:wrap="none" w:vAnchor="page" w:hAnchor="page" w:x="807" w:y="992"/>
        <w:numPr>
          <w:ilvl w:val="0"/>
          <w:numId w:val="93"/>
        </w:numPr>
        <w:tabs>
          <w:tab w:val="left" w:pos="1041"/>
        </w:tabs>
        <w:spacing w:after="0" w:line="264" w:lineRule="auto"/>
        <w:ind w:left="1060" w:hanging="700"/>
      </w:pPr>
      <w:r>
        <w:t>předávací protokol obsahující tyto údaje: specifikace zařízení (herní prvky dětských hřišť, mobiliář, označení typu a počet kusů, atd.),</w:t>
      </w:r>
    </w:p>
    <w:p w14:paraId="7C2D5B7F" w14:textId="77777777" w:rsidR="00EC1C40" w:rsidRDefault="00000000">
      <w:pPr>
        <w:pStyle w:val="Zkladntext100"/>
        <w:framePr w:w="10531" w:h="15192" w:hRule="exact" w:wrap="none" w:vAnchor="page" w:hAnchor="page" w:x="807" w:y="992"/>
        <w:numPr>
          <w:ilvl w:val="0"/>
          <w:numId w:val="93"/>
        </w:numPr>
        <w:tabs>
          <w:tab w:val="left" w:pos="1041"/>
        </w:tabs>
        <w:spacing w:after="0" w:line="283" w:lineRule="auto"/>
        <w:ind w:left="1060" w:hanging="700"/>
        <w:jc w:val="both"/>
      </w:pPr>
      <w:r>
        <w:t>místo provedených prací,</w:t>
      </w:r>
    </w:p>
    <w:p w14:paraId="731C1277" w14:textId="77777777" w:rsidR="00EC1C40" w:rsidRDefault="00000000">
      <w:pPr>
        <w:pStyle w:val="Zkladntext100"/>
        <w:framePr w:w="10531" w:h="15192" w:hRule="exact" w:wrap="none" w:vAnchor="page" w:hAnchor="page" w:x="807" w:y="992"/>
        <w:numPr>
          <w:ilvl w:val="0"/>
          <w:numId w:val="93"/>
        </w:numPr>
        <w:tabs>
          <w:tab w:val="left" w:pos="1041"/>
        </w:tabs>
        <w:spacing w:after="0" w:line="264" w:lineRule="auto"/>
        <w:ind w:left="1060" w:hanging="700"/>
        <w:jc w:val="both"/>
      </w:pPr>
      <w:r>
        <w:t>skutečná cena vč. DPH podle jednotlivých stavebních objektů a prvků,</w:t>
      </w:r>
    </w:p>
    <w:p w14:paraId="16FD5ED6" w14:textId="77777777" w:rsidR="00EC1C40" w:rsidRDefault="00000000">
      <w:pPr>
        <w:pStyle w:val="Zkladntext100"/>
        <w:framePr w:w="10531" w:h="15192" w:hRule="exact" w:wrap="none" w:vAnchor="page" w:hAnchor="page" w:x="807" w:y="992"/>
        <w:numPr>
          <w:ilvl w:val="0"/>
          <w:numId w:val="93"/>
        </w:numPr>
        <w:tabs>
          <w:tab w:val="left" w:pos="1041"/>
        </w:tabs>
        <w:spacing w:after="0" w:line="264" w:lineRule="auto"/>
        <w:ind w:left="1060" w:hanging="700"/>
        <w:jc w:val="both"/>
      </w:pPr>
      <w:r>
        <w:t>smlouvy o dílo mezi investorem a dodavatelem, s právním dokladem umožňujícím reklamace (záruky) díla (investor a město si sjednají záruční dobu v délce trvání minimálně 4 roky ode dne převzetí objektů veřejné infrastruktury do majetku města),</w:t>
      </w:r>
    </w:p>
    <w:p w14:paraId="112BF81C" w14:textId="77777777" w:rsidR="00EC1C40" w:rsidRDefault="00000000">
      <w:pPr>
        <w:pStyle w:val="Zhlavnebozpat0"/>
        <w:framePr w:wrap="none" w:vAnchor="page" w:hAnchor="page" w:x="5986" w:y="16817"/>
        <w:rPr>
          <w:sz w:val="24"/>
          <w:szCs w:val="24"/>
        </w:rPr>
      </w:pPr>
      <w:r>
        <w:rPr>
          <w:rFonts w:ascii="Times New Roman" w:eastAsia="Times New Roman" w:hAnsi="Times New Roman" w:cs="Times New Roman"/>
          <w:color w:val="231E20"/>
          <w:sz w:val="24"/>
          <w:szCs w:val="24"/>
        </w:rPr>
        <w:t>6</w:t>
      </w:r>
    </w:p>
    <w:p w14:paraId="5ED9FEC5"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6C0FB909" w14:textId="77777777" w:rsidR="00EC1C40" w:rsidRDefault="00EC1C40">
      <w:pPr>
        <w:spacing w:line="1" w:lineRule="exact"/>
      </w:pPr>
    </w:p>
    <w:p w14:paraId="323A7692" w14:textId="77777777" w:rsidR="00EC1C40" w:rsidRDefault="00000000">
      <w:pPr>
        <w:pStyle w:val="Zkladntext100"/>
        <w:framePr w:w="10531" w:h="11155" w:hRule="exact" w:wrap="none" w:vAnchor="page" w:hAnchor="page" w:x="807" w:y="992"/>
        <w:numPr>
          <w:ilvl w:val="0"/>
          <w:numId w:val="93"/>
        </w:numPr>
        <w:tabs>
          <w:tab w:val="left" w:pos="1015"/>
        </w:tabs>
        <w:spacing w:after="0" w:line="264" w:lineRule="auto"/>
        <w:ind w:left="1060" w:hanging="700"/>
        <w:jc w:val="both"/>
      </w:pPr>
      <w:r>
        <w:t>osoba nebo společnost zodpovídající za provoz,</w:t>
      </w:r>
    </w:p>
    <w:p w14:paraId="07E392E3" w14:textId="77777777" w:rsidR="00EC1C40" w:rsidRDefault="00000000">
      <w:pPr>
        <w:pStyle w:val="Zkladntext100"/>
        <w:framePr w:w="10531" w:h="11155" w:hRule="exact" w:wrap="none" w:vAnchor="page" w:hAnchor="page" w:x="807" w:y="992"/>
        <w:numPr>
          <w:ilvl w:val="0"/>
          <w:numId w:val="93"/>
        </w:numPr>
        <w:tabs>
          <w:tab w:val="left" w:pos="1015"/>
        </w:tabs>
        <w:spacing w:after="0" w:line="264" w:lineRule="auto"/>
        <w:ind w:left="1060" w:hanging="700"/>
        <w:jc w:val="both"/>
      </w:pPr>
      <w:r>
        <w:t>certifikát, který odpovídá bezpečnostním požadavkům stanovených evropskými normami (ČSN 1176 - Zařízení dětských hřišť, ČSN EN 1177 - Povrch hřiště tlumící náraz - Bezpečností požadavky a zkušební metody), prohlášení o shodě, pokyny pro provoz, pokyny k údržbě, katalogový list, pokyny ke kontrole zařízení,</w:t>
      </w:r>
    </w:p>
    <w:p w14:paraId="4086CBC2" w14:textId="77777777" w:rsidR="00EC1C40" w:rsidRDefault="00000000">
      <w:pPr>
        <w:pStyle w:val="Zkladntext100"/>
        <w:framePr w:w="10531" w:h="11155" w:hRule="exact" w:wrap="none" w:vAnchor="page" w:hAnchor="page" w:x="807" w:y="992"/>
        <w:numPr>
          <w:ilvl w:val="0"/>
          <w:numId w:val="93"/>
        </w:numPr>
        <w:tabs>
          <w:tab w:val="left" w:pos="1015"/>
        </w:tabs>
        <w:spacing w:line="264" w:lineRule="auto"/>
        <w:ind w:left="0" w:firstLine="360"/>
        <w:jc w:val="both"/>
      </w:pPr>
      <w:r>
        <w:t>daňový doklad (faktura)</w:t>
      </w:r>
    </w:p>
    <w:p w14:paraId="0E439B49" w14:textId="77777777" w:rsidR="00EC1C40" w:rsidRDefault="00000000">
      <w:pPr>
        <w:pStyle w:val="Nadpis60"/>
        <w:framePr w:w="10531" w:h="11155" w:hRule="exact" w:wrap="none" w:vAnchor="page" w:hAnchor="page" w:x="807" w:y="992"/>
        <w:numPr>
          <w:ilvl w:val="0"/>
          <w:numId w:val="89"/>
        </w:numPr>
        <w:tabs>
          <w:tab w:val="left" w:pos="341"/>
        </w:tabs>
        <w:spacing w:after="280"/>
        <w:jc w:val="both"/>
      </w:pPr>
      <w:bookmarkStart w:id="133" w:name="bookmark268"/>
      <w:r>
        <w:t>K návrhu převodu vodních děl bude investorem doloženo</w:t>
      </w:r>
      <w:r>
        <w:rPr>
          <w:b w:val="0"/>
          <w:bCs w:val="0"/>
        </w:rPr>
        <w:t>:</w:t>
      </w:r>
      <w:bookmarkEnd w:id="133"/>
    </w:p>
    <w:p w14:paraId="52A8EFC6" w14:textId="77777777" w:rsidR="00EC1C40" w:rsidRDefault="00000000">
      <w:pPr>
        <w:pStyle w:val="Zkladntext100"/>
        <w:framePr w:w="10531" w:h="11155" w:hRule="exact" w:wrap="none" w:vAnchor="page" w:hAnchor="page" w:x="807" w:y="992"/>
        <w:numPr>
          <w:ilvl w:val="0"/>
          <w:numId w:val="94"/>
        </w:numPr>
        <w:tabs>
          <w:tab w:val="left" w:pos="1015"/>
        </w:tabs>
        <w:spacing w:after="0"/>
        <w:ind w:left="0" w:firstLine="360"/>
      </w:pPr>
      <w:r>
        <w:t>vodoprávní (stavební povolení) vodoprávního úřadu ke zřízení vodního díla,</w:t>
      </w:r>
    </w:p>
    <w:p w14:paraId="360357DF" w14:textId="77777777" w:rsidR="00EC1C40" w:rsidRDefault="00000000">
      <w:pPr>
        <w:pStyle w:val="Zkladntext100"/>
        <w:framePr w:w="10531" w:h="11155" w:hRule="exact" w:wrap="none" w:vAnchor="page" w:hAnchor="page" w:x="807" w:y="992"/>
        <w:numPr>
          <w:ilvl w:val="0"/>
          <w:numId w:val="94"/>
        </w:numPr>
        <w:tabs>
          <w:tab w:val="left" w:pos="1015"/>
        </w:tabs>
        <w:spacing w:after="0"/>
        <w:ind w:left="0" w:firstLine="360"/>
      </w:pPr>
      <w:r>
        <w:t>kolaudační souhlas nebo rozhodnutí vodoprávního úřadu s doložkou o nabytí právní moci,</w:t>
      </w:r>
    </w:p>
    <w:p w14:paraId="394ED0CA" w14:textId="77777777" w:rsidR="00EC1C40" w:rsidRDefault="00000000">
      <w:pPr>
        <w:pStyle w:val="Zkladntext100"/>
        <w:framePr w:w="10531" w:h="11155" w:hRule="exact" w:wrap="none" w:vAnchor="page" w:hAnchor="page" w:x="807" w:y="992"/>
        <w:numPr>
          <w:ilvl w:val="0"/>
          <w:numId w:val="94"/>
        </w:numPr>
        <w:tabs>
          <w:tab w:val="left" w:pos="1015"/>
          <w:tab w:val="left" w:pos="1022"/>
        </w:tabs>
        <w:spacing w:after="0"/>
        <w:ind w:left="0" w:firstLine="360"/>
      </w:pPr>
      <w:r>
        <w:t>projektová dokumentace schválená ve vodoprávním řízení,</w:t>
      </w:r>
    </w:p>
    <w:p w14:paraId="1FACB9DD" w14:textId="77777777" w:rsidR="00EC1C40" w:rsidRDefault="00000000">
      <w:pPr>
        <w:pStyle w:val="Zkladntext100"/>
        <w:framePr w:w="10531" w:h="11155" w:hRule="exact" w:wrap="none" w:vAnchor="page" w:hAnchor="page" w:x="807" w:y="992"/>
        <w:numPr>
          <w:ilvl w:val="0"/>
          <w:numId w:val="94"/>
        </w:numPr>
        <w:tabs>
          <w:tab w:val="left" w:pos="1015"/>
          <w:tab w:val="left" w:pos="1022"/>
        </w:tabs>
        <w:spacing w:after="0"/>
        <w:ind w:left="0" w:firstLine="360"/>
      </w:pPr>
      <w:r>
        <w:t>projektová dokumentace skutečného provedení stavby,</w:t>
      </w:r>
    </w:p>
    <w:p w14:paraId="40631D04" w14:textId="77777777" w:rsidR="00EC1C40" w:rsidRDefault="00000000">
      <w:pPr>
        <w:pStyle w:val="Zkladntext100"/>
        <w:framePr w:w="10531" w:h="11155" w:hRule="exact" w:wrap="none" w:vAnchor="page" w:hAnchor="page" w:x="807" w:y="992"/>
        <w:numPr>
          <w:ilvl w:val="0"/>
          <w:numId w:val="94"/>
        </w:numPr>
        <w:tabs>
          <w:tab w:val="left" w:pos="1015"/>
        </w:tabs>
        <w:spacing w:after="0"/>
        <w:ind w:left="0" w:firstLine="360"/>
      </w:pPr>
      <w:r>
        <w:t>výsledky tlakových a těsnostních zkoušek,</w:t>
      </w:r>
    </w:p>
    <w:p w14:paraId="355CF21A" w14:textId="77777777" w:rsidR="00EC1C40" w:rsidRDefault="00000000">
      <w:pPr>
        <w:pStyle w:val="Zkladntext100"/>
        <w:framePr w:w="10531" w:h="11155" w:hRule="exact" w:wrap="none" w:vAnchor="page" w:hAnchor="page" w:x="807" w:y="992"/>
        <w:numPr>
          <w:ilvl w:val="0"/>
          <w:numId w:val="94"/>
        </w:numPr>
        <w:tabs>
          <w:tab w:val="left" w:pos="1015"/>
          <w:tab w:val="left" w:pos="1022"/>
        </w:tabs>
        <w:spacing w:after="0"/>
        <w:ind w:left="0" w:firstLine="360"/>
      </w:pPr>
      <w:r>
        <w:t>revize elektro přípojky,</w:t>
      </w:r>
    </w:p>
    <w:p w14:paraId="49C0AC82" w14:textId="77777777" w:rsidR="00EC1C40" w:rsidRDefault="00000000">
      <w:pPr>
        <w:pStyle w:val="Zkladntext100"/>
        <w:framePr w:w="10531" w:h="11155" w:hRule="exact" w:wrap="none" w:vAnchor="page" w:hAnchor="page" w:x="807" w:y="992"/>
        <w:numPr>
          <w:ilvl w:val="0"/>
          <w:numId w:val="94"/>
        </w:numPr>
        <w:tabs>
          <w:tab w:val="left" w:pos="1015"/>
          <w:tab w:val="left" w:pos="1022"/>
        </w:tabs>
        <w:spacing w:after="0"/>
        <w:ind w:left="0" w:firstLine="360"/>
      </w:pPr>
      <w:r>
        <w:t>revizní zpráva technologie,</w:t>
      </w:r>
    </w:p>
    <w:p w14:paraId="7FA6C1A0" w14:textId="77777777" w:rsidR="00EC1C40" w:rsidRDefault="00000000">
      <w:pPr>
        <w:pStyle w:val="Zkladntext100"/>
        <w:framePr w:w="10531" w:h="11155" w:hRule="exact" w:wrap="none" w:vAnchor="page" w:hAnchor="page" w:x="807" w:y="992"/>
        <w:numPr>
          <w:ilvl w:val="0"/>
          <w:numId w:val="94"/>
        </w:numPr>
        <w:tabs>
          <w:tab w:val="left" w:pos="1015"/>
          <w:tab w:val="left" w:pos="1022"/>
        </w:tabs>
        <w:spacing w:after="0"/>
        <w:ind w:left="0" w:firstLine="360"/>
      </w:pPr>
      <w:r>
        <w:t>provozní řád,</w:t>
      </w:r>
    </w:p>
    <w:p w14:paraId="3B5F257D" w14:textId="77777777" w:rsidR="00EC1C40" w:rsidRDefault="00000000">
      <w:pPr>
        <w:pStyle w:val="Zkladntext100"/>
        <w:framePr w:w="10531" w:h="11155" w:hRule="exact" w:wrap="none" w:vAnchor="page" w:hAnchor="page" w:x="807" w:y="992"/>
        <w:numPr>
          <w:ilvl w:val="0"/>
          <w:numId w:val="94"/>
        </w:numPr>
        <w:tabs>
          <w:tab w:val="left" w:pos="1015"/>
          <w:tab w:val="left" w:pos="1022"/>
          <w:tab w:val="left" w:pos="3915"/>
          <w:tab w:val="left" w:pos="4064"/>
        </w:tabs>
        <w:spacing w:after="0"/>
        <w:ind w:left="0" w:firstLine="360"/>
      </w:pPr>
      <w:r>
        <w:t>doklady od použitých čerpadel</w:t>
      </w:r>
      <w:r>
        <w:tab/>
        <w:t>a</w:t>
      </w:r>
      <w:r>
        <w:tab/>
        <w:t>technologie,</w:t>
      </w:r>
    </w:p>
    <w:p w14:paraId="4C2E0ABF" w14:textId="77777777" w:rsidR="00EC1C40" w:rsidRDefault="00000000">
      <w:pPr>
        <w:pStyle w:val="Zkladntext100"/>
        <w:framePr w:w="10531" w:h="11155" w:hRule="exact" w:wrap="none" w:vAnchor="page" w:hAnchor="page" w:x="807" w:y="992"/>
        <w:numPr>
          <w:ilvl w:val="0"/>
          <w:numId w:val="94"/>
        </w:numPr>
        <w:tabs>
          <w:tab w:val="left" w:pos="1015"/>
          <w:tab w:val="left" w:pos="1022"/>
          <w:tab w:val="left" w:pos="3901"/>
        </w:tabs>
        <w:spacing w:after="0"/>
        <w:ind w:left="0" w:firstLine="360"/>
      </w:pPr>
      <w:r>
        <w:t>prohlášení o shodě na použité</w:t>
      </w:r>
      <w:r>
        <w:tab/>
        <w:t>materiály,</w:t>
      </w:r>
    </w:p>
    <w:p w14:paraId="1D5F0F2A" w14:textId="77777777" w:rsidR="00EC1C40" w:rsidRDefault="00000000">
      <w:pPr>
        <w:pStyle w:val="Zkladntext100"/>
        <w:framePr w:w="10531" w:h="11155" w:hRule="exact" w:wrap="none" w:vAnchor="page" w:hAnchor="page" w:x="807" w:y="992"/>
        <w:numPr>
          <w:ilvl w:val="0"/>
          <w:numId w:val="94"/>
        </w:numPr>
        <w:tabs>
          <w:tab w:val="left" w:pos="1015"/>
          <w:tab w:val="left" w:pos="1022"/>
        </w:tabs>
        <w:spacing w:after="0"/>
        <w:ind w:left="0" w:firstLine="360"/>
      </w:pPr>
      <w:r>
        <w:t>smlouvy o případném zřízení věcných břemen,</w:t>
      </w:r>
    </w:p>
    <w:p w14:paraId="62D58690" w14:textId="77777777" w:rsidR="00EC1C40" w:rsidRDefault="00000000">
      <w:pPr>
        <w:pStyle w:val="Zkladntext100"/>
        <w:framePr w:w="10531" w:h="11155" w:hRule="exact" w:wrap="none" w:vAnchor="page" w:hAnchor="page" w:x="807" w:y="992"/>
        <w:numPr>
          <w:ilvl w:val="0"/>
          <w:numId w:val="94"/>
        </w:numPr>
        <w:tabs>
          <w:tab w:val="left" w:pos="1015"/>
          <w:tab w:val="left" w:pos="1022"/>
        </w:tabs>
        <w:spacing w:after="0"/>
        <w:ind w:left="0" w:firstLine="360"/>
      </w:pPr>
      <w:r>
        <w:t>výpis z KN dokládající zřízení věcného břemene ve prospěch řadů, včetně jejich ochranných pásem,</w:t>
      </w:r>
    </w:p>
    <w:p w14:paraId="34982704" w14:textId="77777777" w:rsidR="00EC1C40" w:rsidRDefault="00000000">
      <w:pPr>
        <w:pStyle w:val="Zkladntext100"/>
        <w:framePr w:w="10531" w:h="11155" w:hRule="exact" w:wrap="none" w:vAnchor="page" w:hAnchor="page" w:x="807" w:y="992"/>
        <w:numPr>
          <w:ilvl w:val="0"/>
          <w:numId w:val="94"/>
        </w:numPr>
        <w:tabs>
          <w:tab w:val="left" w:pos="1015"/>
        </w:tabs>
        <w:spacing w:after="0"/>
        <w:ind w:left="1060" w:hanging="700"/>
        <w:jc w:val="both"/>
      </w:pPr>
      <w:r>
        <w:t>geometrické zaměření skutečného provedení stavby se zákresem do katastrální mapy s vyznačením čísel pozemků,</w:t>
      </w:r>
    </w:p>
    <w:p w14:paraId="4C1DA316" w14:textId="77777777" w:rsidR="00EC1C40" w:rsidRDefault="00000000">
      <w:pPr>
        <w:pStyle w:val="Zkladntext100"/>
        <w:framePr w:w="10531" w:h="11155" w:hRule="exact" w:wrap="none" w:vAnchor="page" w:hAnchor="page" w:x="807" w:y="992"/>
        <w:numPr>
          <w:ilvl w:val="0"/>
          <w:numId w:val="94"/>
        </w:numPr>
        <w:tabs>
          <w:tab w:val="left" w:pos="1015"/>
        </w:tabs>
        <w:spacing w:after="0"/>
        <w:ind w:left="0" w:firstLine="360"/>
      </w:pPr>
      <w:r>
        <w:t>čestné prohlášení o tom, že na vodním díle neváznou žádné finanční závazky (dluhy, úvěr apod.),</w:t>
      </w:r>
    </w:p>
    <w:p w14:paraId="28066CA5" w14:textId="77777777" w:rsidR="00EC1C40" w:rsidRDefault="00000000">
      <w:pPr>
        <w:pStyle w:val="Zkladntext100"/>
        <w:framePr w:w="10531" w:h="11155" w:hRule="exact" w:wrap="none" w:vAnchor="page" w:hAnchor="page" w:x="807" w:y="992"/>
        <w:numPr>
          <w:ilvl w:val="0"/>
          <w:numId w:val="94"/>
        </w:numPr>
        <w:tabs>
          <w:tab w:val="left" w:pos="1015"/>
        </w:tabs>
        <w:spacing w:after="0"/>
        <w:ind w:left="0" w:firstLine="360"/>
        <w:jc w:val="both"/>
      </w:pPr>
      <w:r>
        <w:t>předávací a přejímací protokoly,</w:t>
      </w:r>
    </w:p>
    <w:p w14:paraId="1982ADC4" w14:textId="77777777" w:rsidR="00EC1C40" w:rsidRDefault="00000000">
      <w:pPr>
        <w:pStyle w:val="Zkladntext100"/>
        <w:framePr w:w="10531" w:h="11155" w:hRule="exact" w:wrap="none" w:vAnchor="page" w:hAnchor="page" w:x="807" w:y="992"/>
        <w:numPr>
          <w:ilvl w:val="0"/>
          <w:numId w:val="94"/>
        </w:numPr>
        <w:tabs>
          <w:tab w:val="left" w:pos="1015"/>
        </w:tabs>
        <w:spacing w:after="0"/>
        <w:ind w:left="0" w:firstLine="360"/>
        <w:jc w:val="both"/>
      </w:pPr>
      <w:r>
        <w:t>doklad o odstranění vad a nedodělků díla,</w:t>
      </w:r>
    </w:p>
    <w:p w14:paraId="4550F80B" w14:textId="77777777" w:rsidR="00EC1C40" w:rsidRDefault="00000000">
      <w:pPr>
        <w:pStyle w:val="Zkladntext100"/>
        <w:framePr w:w="10531" w:h="11155" w:hRule="exact" w:wrap="none" w:vAnchor="page" w:hAnchor="page" w:x="807" w:y="992"/>
        <w:numPr>
          <w:ilvl w:val="0"/>
          <w:numId w:val="94"/>
        </w:numPr>
        <w:tabs>
          <w:tab w:val="left" w:pos="1015"/>
        </w:tabs>
        <w:spacing w:after="0"/>
        <w:ind w:left="0" w:firstLine="360"/>
        <w:jc w:val="both"/>
      </w:pPr>
      <w:r>
        <w:t>vyčíslení skutečné finanční hodnoty díla podle jednotlivých stavebních objektů,</w:t>
      </w:r>
    </w:p>
    <w:p w14:paraId="4E488E8B" w14:textId="77777777" w:rsidR="00EC1C40" w:rsidRDefault="00000000">
      <w:pPr>
        <w:pStyle w:val="Zkladntext100"/>
        <w:framePr w:w="10531" w:h="11155" w:hRule="exact" w:wrap="none" w:vAnchor="page" w:hAnchor="page" w:x="807" w:y="992"/>
        <w:numPr>
          <w:ilvl w:val="0"/>
          <w:numId w:val="94"/>
        </w:numPr>
        <w:tabs>
          <w:tab w:val="left" w:pos="1015"/>
        </w:tabs>
        <w:spacing w:after="0"/>
        <w:ind w:left="0" w:firstLine="360"/>
        <w:jc w:val="both"/>
      </w:pPr>
      <w:r>
        <w:t>schválený manipulační a provozní řád,</w:t>
      </w:r>
    </w:p>
    <w:p w14:paraId="50914E73" w14:textId="77777777" w:rsidR="00EC1C40" w:rsidRDefault="00000000">
      <w:pPr>
        <w:pStyle w:val="Zkladntext100"/>
        <w:framePr w:w="10531" w:h="11155" w:hRule="exact" w:wrap="none" w:vAnchor="page" w:hAnchor="page" w:x="807" w:y="992"/>
        <w:numPr>
          <w:ilvl w:val="0"/>
          <w:numId w:val="94"/>
        </w:numPr>
        <w:tabs>
          <w:tab w:val="left" w:pos="1015"/>
        </w:tabs>
        <w:spacing w:after="0"/>
        <w:ind w:left="0" w:firstLine="360"/>
        <w:jc w:val="both"/>
      </w:pPr>
      <w:r>
        <w:t>související povolení k nakládání s vodami,</w:t>
      </w:r>
    </w:p>
    <w:p w14:paraId="717B7774" w14:textId="77777777" w:rsidR="00EC1C40" w:rsidRDefault="00000000">
      <w:pPr>
        <w:pStyle w:val="Zkladntext100"/>
        <w:framePr w:w="10531" w:h="11155" w:hRule="exact" w:wrap="none" w:vAnchor="page" w:hAnchor="page" w:x="807" w:y="992"/>
        <w:numPr>
          <w:ilvl w:val="0"/>
          <w:numId w:val="94"/>
        </w:numPr>
        <w:tabs>
          <w:tab w:val="left" w:pos="1015"/>
        </w:tabs>
        <w:spacing w:after="0"/>
        <w:ind w:left="0" w:firstLine="360"/>
        <w:jc w:val="both"/>
      </w:pPr>
      <w:r>
        <w:t>výsledky a vyhodnocení zkušebního provozu,</w:t>
      </w:r>
    </w:p>
    <w:p w14:paraId="28A289A3" w14:textId="77777777" w:rsidR="00EC1C40" w:rsidRDefault="00000000">
      <w:pPr>
        <w:pStyle w:val="Zkladntext100"/>
        <w:framePr w:w="10531" w:h="11155" w:hRule="exact" w:wrap="none" w:vAnchor="page" w:hAnchor="page" w:x="807" w:y="992"/>
        <w:numPr>
          <w:ilvl w:val="0"/>
          <w:numId w:val="94"/>
        </w:numPr>
        <w:tabs>
          <w:tab w:val="left" w:pos="1015"/>
          <w:tab w:val="left" w:pos="1027"/>
        </w:tabs>
        <w:spacing w:after="0"/>
        <w:ind w:left="0" w:firstLine="360"/>
        <w:jc w:val="both"/>
      </w:pPr>
      <w:r>
        <w:t>smlouvy o dílo mezi investorem a dodavatelem, s právním dokladem umožňujícím reklamace (záruky) díla</w:t>
      </w:r>
    </w:p>
    <w:p w14:paraId="7E870CA6" w14:textId="77777777" w:rsidR="00EC1C40" w:rsidRDefault="00000000">
      <w:pPr>
        <w:pStyle w:val="Zkladntext100"/>
        <w:framePr w:w="10531" w:h="11155" w:hRule="exact" w:wrap="none" w:vAnchor="page" w:hAnchor="page" w:x="807" w:y="992"/>
        <w:spacing w:after="0"/>
        <w:ind w:left="1060" w:firstLine="0"/>
        <w:jc w:val="both"/>
      </w:pPr>
      <w:r>
        <w:t>(investor a město si sjednají záruční dobu v délce trvání minimálně 4 roky ode dne převzetí objektů veřejné infrastruktury do majetku města),</w:t>
      </w:r>
    </w:p>
    <w:p w14:paraId="1DFD45BA" w14:textId="77777777" w:rsidR="00EC1C40" w:rsidRDefault="00000000">
      <w:pPr>
        <w:pStyle w:val="Zkladntext100"/>
        <w:framePr w:w="10531" w:h="11155" w:hRule="exact" w:wrap="none" w:vAnchor="page" w:hAnchor="page" w:x="807" w:y="992"/>
        <w:numPr>
          <w:ilvl w:val="0"/>
          <w:numId w:val="94"/>
        </w:numPr>
        <w:tabs>
          <w:tab w:val="left" w:pos="1015"/>
        </w:tabs>
        <w:spacing w:after="560"/>
        <w:ind w:left="0" w:firstLine="360"/>
        <w:jc w:val="both"/>
      </w:pPr>
      <w:r>
        <w:t>pachtovní smlouvy</w:t>
      </w:r>
    </w:p>
    <w:p w14:paraId="1868A925" w14:textId="77777777" w:rsidR="00EC1C40" w:rsidRDefault="00000000">
      <w:pPr>
        <w:pStyle w:val="Zkladntext100"/>
        <w:framePr w:w="10531" w:h="11155" w:hRule="exact" w:wrap="none" w:vAnchor="page" w:hAnchor="page" w:x="807" w:y="992"/>
        <w:numPr>
          <w:ilvl w:val="0"/>
          <w:numId w:val="89"/>
        </w:numPr>
        <w:tabs>
          <w:tab w:val="left" w:pos="349"/>
        </w:tabs>
        <w:spacing w:after="0"/>
        <w:ind w:left="0" w:firstLine="0"/>
        <w:jc w:val="both"/>
      </w:pPr>
      <w:r>
        <w:t>K návrhu převodu jakéhokoliv, v tomto čl. uvedeného, objektu veřejné infrastruktury, musí investor doložit také geodetickou dokumentaci stavby pro potřeby digitální technické mapy v rozsahu, formě a za podmínek vyhlášky č. 393/2020 Sb., o digitální technické mapě kraje, v platném znění.</w:t>
      </w:r>
    </w:p>
    <w:p w14:paraId="022DA93E" w14:textId="77777777" w:rsidR="00EC1C40" w:rsidRDefault="00000000">
      <w:pPr>
        <w:pStyle w:val="Zhlavnebozpat0"/>
        <w:framePr w:wrap="none" w:vAnchor="page" w:hAnchor="page" w:x="5986" w:y="16822"/>
        <w:rPr>
          <w:sz w:val="24"/>
          <w:szCs w:val="24"/>
        </w:rPr>
      </w:pPr>
      <w:r>
        <w:rPr>
          <w:rFonts w:ascii="Times New Roman" w:eastAsia="Times New Roman" w:hAnsi="Times New Roman" w:cs="Times New Roman"/>
          <w:color w:val="231E20"/>
          <w:sz w:val="24"/>
          <w:szCs w:val="24"/>
        </w:rPr>
        <w:t>7</w:t>
      </w:r>
    </w:p>
    <w:p w14:paraId="2CC256DD"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368B1DA0" w14:textId="77777777" w:rsidR="00EC1C40" w:rsidRDefault="00EC1C40">
      <w:pPr>
        <w:spacing w:line="1" w:lineRule="exact"/>
      </w:pPr>
    </w:p>
    <w:p w14:paraId="11FC5C98" w14:textId="77777777" w:rsidR="00EC1C40" w:rsidRDefault="00000000">
      <w:pPr>
        <w:pStyle w:val="Zkladntext100"/>
        <w:framePr w:w="10531" w:h="634" w:hRule="exact" w:wrap="none" w:vAnchor="page" w:hAnchor="page" w:x="802" w:y="984"/>
        <w:spacing w:after="0"/>
        <w:ind w:left="0" w:firstLine="0"/>
        <w:jc w:val="center"/>
        <w:rPr>
          <w:sz w:val="24"/>
          <w:szCs w:val="24"/>
        </w:rPr>
      </w:pPr>
      <w:r>
        <w:rPr>
          <w:b/>
          <w:bCs/>
          <w:sz w:val="24"/>
          <w:szCs w:val="24"/>
        </w:rPr>
        <w:t>Cl. v.</w:t>
      </w:r>
    </w:p>
    <w:p w14:paraId="1978E20D" w14:textId="77777777" w:rsidR="00EC1C40" w:rsidRDefault="00000000">
      <w:pPr>
        <w:pStyle w:val="Zkladntext100"/>
        <w:framePr w:w="10531" w:h="634" w:hRule="exact" w:wrap="none" w:vAnchor="page" w:hAnchor="page" w:x="802" w:y="984"/>
        <w:spacing w:after="0"/>
        <w:ind w:left="0" w:firstLine="0"/>
        <w:jc w:val="center"/>
        <w:rPr>
          <w:sz w:val="24"/>
          <w:szCs w:val="24"/>
        </w:rPr>
      </w:pPr>
      <w:r>
        <w:rPr>
          <w:b/>
          <w:bCs/>
          <w:sz w:val="24"/>
          <w:szCs w:val="24"/>
        </w:rPr>
        <w:t>Správa a údržba převáděné veřejné infrastruktury</w:t>
      </w:r>
    </w:p>
    <w:p w14:paraId="4D84D45B" w14:textId="77777777" w:rsidR="00EC1C40" w:rsidRDefault="00000000">
      <w:pPr>
        <w:pStyle w:val="Zkladntext100"/>
        <w:framePr w:w="10531" w:h="1709" w:hRule="exact" w:wrap="none" w:vAnchor="page" w:hAnchor="page" w:x="802" w:y="1882"/>
        <w:numPr>
          <w:ilvl w:val="0"/>
          <w:numId w:val="95"/>
        </w:numPr>
        <w:tabs>
          <w:tab w:val="left" w:pos="709"/>
        </w:tabs>
        <w:ind w:left="720" w:hanging="380"/>
        <w:jc w:val="both"/>
      </w:pPr>
      <w:r>
        <w:t>Správu a údržbu jednotlivých objektů veřejné infrastruktury do doby jejich převzetí do majetku města, zajišťuje v plném rozsahu investor.</w:t>
      </w:r>
    </w:p>
    <w:p w14:paraId="7BD37368" w14:textId="77777777" w:rsidR="00EC1C40" w:rsidRDefault="00000000">
      <w:pPr>
        <w:pStyle w:val="Zkladntext100"/>
        <w:framePr w:w="10531" w:h="1709" w:hRule="exact" w:wrap="none" w:vAnchor="page" w:hAnchor="page" w:x="802" w:y="1882"/>
        <w:numPr>
          <w:ilvl w:val="0"/>
          <w:numId w:val="95"/>
        </w:numPr>
        <w:tabs>
          <w:tab w:val="left" w:pos="709"/>
        </w:tabs>
        <w:spacing w:after="0"/>
        <w:ind w:left="720" w:hanging="380"/>
        <w:jc w:val="both"/>
      </w:pPr>
      <w:r>
        <w:t>Pokud veřejná infrastruktura nebude převedena do majetku města, případně pokud ji město nepřijme do svého vlastnictví, tak vtom případě město nebude zajišťovat žádnou správu a údržbu a ta bude i nadále věcí investora/jejich vlastníka. Tato informace bude předána příslušným správcům veřejné infrastruktury.</w:t>
      </w:r>
    </w:p>
    <w:p w14:paraId="79FF6081" w14:textId="77777777" w:rsidR="00EC1C40" w:rsidRDefault="00000000">
      <w:pPr>
        <w:pStyle w:val="Zkladntext100"/>
        <w:framePr w:w="10531" w:h="629" w:hRule="exact" w:wrap="none" w:vAnchor="page" w:hAnchor="page" w:x="802" w:y="4450"/>
        <w:spacing w:after="0"/>
        <w:ind w:left="0" w:firstLine="0"/>
        <w:jc w:val="center"/>
        <w:rPr>
          <w:sz w:val="24"/>
          <w:szCs w:val="24"/>
        </w:rPr>
      </w:pPr>
      <w:r>
        <w:rPr>
          <w:b/>
          <w:bCs/>
          <w:sz w:val="24"/>
          <w:szCs w:val="24"/>
        </w:rPr>
        <w:t>Cl. VI.</w:t>
      </w:r>
    </w:p>
    <w:p w14:paraId="55261B4A" w14:textId="77777777" w:rsidR="00EC1C40" w:rsidRDefault="00000000">
      <w:pPr>
        <w:pStyle w:val="Zkladntext100"/>
        <w:framePr w:w="10531" w:h="629" w:hRule="exact" w:wrap="none" w:vAnchor="page" w:hAnchor="page" w:x="802" w:y="4450"/>
        <w:spacing w:after="0"/>
        <w:ind w:left="0" w:firstLine="0"/>
        <w:jc w:val="center"/>
        <w:rPr>
          <w:sz w:val="24"/>
          <w:szCs w:val="24"/>
        </w:rPr>
      </w:pPr>
      <w:r>
        <w:rPr>
          <w:b/>
          <w:bCs/>
          <w:sz w:val="24"/>
          <w:szCs w:val="24"/>
        </w:rPr>
        <w:t>Platební podmínky převodu</w:t>
      </w:r>
    </w:p>
    <w:p w14:paraId="31F1CB69" w14:textId="77777777" w:rsidR="00EC1C40" w:rsidRDefault="00000000">
      <w:pPr>
        <w:pStyle w:val="Zkladntext100"/>
        <w:framePr w:w="10531" w:h="1709" w:hRule="exact" w:wrap="none" w:vAnchor="page" w:hAnchor="page" w:x="802" w:y="5319"/>
        <w:numPr>
          <w:ilvl w:val="0"/>
          <w:numId w:val="96"/>
        </w:numPr>
        <w:tabs>
          <w:tab w:val="left" w:pos="709"/>
        </w:tabs>
        <w:spacing w:line="252" w:lineRule="auto"/>
        <w:ind w:left="720" w:hanging="380"/>
        <w:jc w:val="both"/>
      </w:pPr>
      <w:r>
        <w:t>Objekty veřejné infrastruktury budou převedeny včetně všech součástí a příslušenství investorem do majetku města za kupní cenu ve výši 1.000,- Kč (bez DPH), za každý jednotlivý nabízený objekt veřejné infrastruktury včetně jeho součástí a příslušenství, na základě kupních smluv.</w:t>
      </w:r>
    </w:p>
    <w:p w14:paraId="241559B5" w14:textId="77777777" w:rsidR="00EC1C40" w:rsidRDefault="00000000">
      <w:pPr>
        <w:pStyle w:val="Zkladntext100"/>
        <w:framePr w:w="10531" w:h="1709" w:hRule="exact" w:wrap="none" w:vAnchor="page" w:hAnchor="page" w:x="802" w:y="5319"/>
        <w:numPr>
          <w:ilvl w:val="0"/>
          <w:numId w:val="96"/>
        </w:numPr>
        <w:tabs>
          <w:tab w:val="left" w:pos="709"/>
        </w:tabs>
        <w:spacing w:after="0"/>
        <w:ind w:left="720" w:hanging="380"/>
        <w:jc w:val="both"/>
      </w:pPr>
      <w:r>
        <w:t>Příslušné pozemky dotčené veřejnou infrastrukturou budou převedeny včetně všech součástí a příslušenství investorem do majetku města za souhrnnou kupní cenu ve výši 1.000,- Kč (bez DPH), na základě kupních smluv.</w:t>
      </w:r>
    </w:p>
    <w:p w14:paraId="621F3112" w14:textId="77777777" w:rsidR="00EC1C40" w:rsidRDefault="00000000">
      <w:pPr>
        <w:pStyle w:val="Zkladntext100"/>
        <w:framePr w:w="10531" w:h="610" w:hRule="exact" w:wrap="none" w:vAnchor="page" w:hAnchor="page" w:x="802" w:y="7872"/>
        <w:spacing w:after="0"/>
        <w:ind w:left="0" w:firstLine="0"/>
        <w:jc w:val="center"/>
        <w:rPr>
          <w:sz w:val="24"/>
          <w:szCs w:val="24"/>
        </w:rPr>
      </w:pPr>
      <w:r>
        <w:rPr>
          <w:b/>
          <w:bCs/>
          <w:sz w:val="24"/>
          <w:szCs w:val="24"/>
          <w:lang w:val="en-US" w:eastAsia="en-US" w:bidi="en-US"/>
        </w:rPr>
        <w:t xml:space="preserve">Cl. </w:t>
      </w:r>
      <w:r>
        <w:rPr>
          <w:b/>
          <w:bCs/>
          <w:sz w:val="24"/>
          <w:szCs w:val="24"/>
        </w:rPr>
        <w:t>VII.</w:t>
      </w:r>
    </w:p>
    <w:p w14:paraId="61AA61D8" w14:textId="77777777" w:rsidR="00EC1C40" w:rsidRDefault="00000000">
      <w:pPr>
        <w:pStyle w:val="Zkladntext100"/>
        <w:framePr w:w="10531" w:h="610" w:hRule="exact" w:wrap="none" w:vAnchor="page" w:hAnchor="page" w:x="802" w:y="7872"/>
        <w:spacing w:after="0"/>
        <w:ind w:left="0" w:firstLine="0"/>
        <w:jc w:val="center"/>
        <w:rPr>
          <w:sz w:val="24"/>
          <w:szCs w:val="24"/>
        </w:rPr>
      </w:pPr>
      <w:r>
        <w:rPr>
          <w:b/>
          <w:bCs/>
          <w:sz w:val="24"/>
          <w:szCs w:val="24"/>
        </w:rPr>
        <w:t>Závěrečná ustanovení</w:t>
      </w:r>
    </w:p>
    <w:p w14:paraId="6078814B" w14:textId="77777777" w:rsidR="00EC1C40" w:rsidRDefault="00000000">
      <w:pPr>
        <w:pStyle w:val="Zkladntext100"/>
        <w:framePr w:w="10531" w:h="3413" w:hRule="exact" w:wrap="none" w:vAnchor="page" w:hAnchor="page" w:x="802" w:y="8722"/>
        <w:numPr>
          <w:ilvl w:val="0"/>
          <w:numId w:val="97"/>
        </w:numPr>
        <w:tabs>
          <w:tab w:val="left" w:pos="709"/>
        </w:tabs>
        <w:ind w:left="720" w:hanging="380"/>
        <w:jc w:val="both"/>
      </w:pPr>
      <w:r>
        <w:t>Přijetím těchto zásad město nezavazuje sebe k převzetí nabízených pozemků a objektů veřejné infrastruktury do své správy, ani k jejich přijetí do svého vlastnictví, a to bez ohledu na splnění těmito zásadami stanovených podmínek investorem. Tyto úkony vždy podléhají schválení v příslušných orgánech města a do doby, než budou tyto úkony příslušným orgánem města schváleny, nebudou vzájemná jednání mezi investorem a městem považována za předsmluvní jednání, jejichž ukončení by vedlo k založení předsmluvní odpovědnosti u některé z jednajících stran.</w:t>
      </w:r>
    </w:p>
    <w:p w14:paraId="0A0514AF" w14:textId="77777777" w:rsidR="00EC1C40" w:rsidRDefault="00000000">
      <w:pPr>
        <w:pStyle w:val="Zkladntext100"/>
        <w:framePr w:w="10531" w:h="3413" w:hRule="exact" w:wrap="none" w:vAnchor="page" w:hAnchor="page" w:x="802" w:y="8722"/>
        <w:numPr>
          <w:ilvl w:val="0"/>
          <w:numId w:val="97"/>
        </w:numPr>
        <w:tabs>
          <w:tab w:val="left" w:pos="709"/>
        </w:tabs>
        <w:spacing w:after="580"/>
        <w:ind w:left="0" w:firstLine="300"/>
        <w:jc w:val="both"/>
      </w:pPr>
      <w:r>
        <w:t>Podle těchto zásad bude postupováno, počínaje jejich schválením Zastupitelstvem města Pardubic.</w:t>
      </w:r>
    </w:p>
    <w:p w14:paraId="7FF72967" w14:textId="77777777" w:rsidR="00EC1C40" w:rsidRDefault="00000000">
      <w:pPr>
        <w:pStyle w:val="Zkladntext100"/>
        <w:framePr w:w="10531" w:h="3413" w:hRule="exact" w:wrap="none" w:vAnchor="page" w:hAnchor="page" w:x="802" w:y="8722"/>
        <w:spacing w:after="0"/>
        <w:ind w:left="0" w:firstLine="0"/>
        <w:jc w:val="both"/>
      </w:pPr>
      <w:r>
        <w:rPr>
          <w:u w:val="single"/>
        </w:rPr>
        <w:t>Doložka dle § 41 zákona č. 128/2000 Sb., o obcích, ve znění pozdějších předpisů</w:t>
      </w:r>
    </w:p>
    <w:p w14:paraId="47FC5E96" w14:textId="77777777" w:rsidR="00EC1C40" w:rsidRDefault="00000000">
      <w:pPr>
        <w:pStyle w:val="Zkladntext100"/>
        <w:framePr w:w="10531" w:h="3413" w:hRule="exact" w:wrap="none" w:vAnchor="page" w:hAnchor="page" w:x="802" w:y="8722"/>
        <w:spacing w:after="0"/>
        <w:ind w:left="0" w:firstLine="0"/>
        <w:jc w:val="both"/>
      </w:pPr>
      <w:r>
        <w:t xml:space="preserve">Schváleno usnesením Zastupitelstva města Pardubice dne 27.5.2024, č. </w:t>
      </w:r>
      <w:proofErr w:type="spellStart"/>
      <w:r>
        <w:t>usneseníZ</w:t>
      </w:r>
      <w:proofErr w:type="spellEnd"/>
      <w:r>
        <w:t>/1260/2024</w:t>
      </w:r>
    </w:p>
    <w:p w14:paraId="37C5783C" w14:textId="77777777" w:rsidR="00EC1C40" w:rsidRDefault="00000000">
      <w:pPr>
        <w:pStyle w:val="Zkladntext100"/>
        <w:framePr w:wrap="none" w:vAnchor="page" w:hAnchor="page" w:x="802" w:y="12696"/>
        <w:spacing w:after="0"/>
        <w:ind w:left="0" w:firstLine="0"/>
        <w:jc w:val="both"/>
        <w:rPr>
          <w:sz w:val="24"/>
          <w:szCs w:val="24"/>
        </w:rPr>
      </w:pPr>
      <w:r>
        <w:rPr>
          <w:sz w:val="24"/>
          <w:szCs w:val="24"/>
        </w:rPr>
        <w:t>V Pardubicích 27.5.2024</w:t>
      </w:r>
    </w:p>
    <w:p w14:paraId="2DA2642C" w14:textId="77777777" w:rsidR="00EC1C40" w:rsidRDefault="00000000">
      <w:pPr>
        <w:pStyle w:val="Zkladntext100"/>
        <w:framePr w:w="10531" w:h="614" w:hRule="exact" w:wrap="none" w:vAnchor="page" w:hAnchor="page" w:x="802" w:y="13868"/>
        <w:spacing w:after="0"/>
        <w:ind w:left="5680" w:firstLine="0"/>
        <w:jc w:val="both"/>
        <w:rPr>
          <w:sz w:val="24"/>
          <w:szCs w:val="24"/>
        </w:rPr>
      </w:pPr>
      <w:r>
        <w:rPr>
          <w:sz w:val="24"/>
          <w:szCs w:val="24"/>
        </w:rPr>
        <w:t>Bc. Jan Nadrchal</w:t>
      </w:r>
    </w:p>
    <w:p w14:paraId="49E9C5AC" w14:textId="77777777" w:rsidR="00EC1C40" w:rsidRDefault="00000000">
      <w:pPr>
        <w:pStyle w:val="Zkladntext100"/>
        <w:framePr w:w="10531" w:h="614" w:hRule="exact" w:wrap="none" w:vAnchor="page" w:hAnchor="page" w:x="802" w:y="13868"/>
        <w:spacing w:after="0"/>
        <w:ind w:left="5680" w:firstLine="0"/>
        <w:jc w:val="both"/>
        <w:rPr>
          <w:sz w:val="24"/>
          <w:szCs w:val="24"/>
        </w:rPr>
      </w:pPr>
      <w:r>
        <w:rPr>
          <w:sz w:val="24"/>
          <w:szCs w:val="24"/>
        </w:rPr>
        <w:t>Primátor statutárního města Pardubice</w:t>
      </w:r>
    </w:p>
    <w:p w14:paraId="28514196" w14:textId="77777777" w:rsidR="00EC1C40" w:rsidRDefault="00000000">
      <w:pPr>
        <w:pStyle w:val="Zhlavnebozpat0"/>
        <w:framePr w:wrap="none" w:vAnchor="page" w:hAnchor="page" w:x="5991" w:y="16820"/>
        <w:rPr>
          <w:sz w:val="24"/>
          <w:szCs w:val="24"/>
        </w:rPr>
      </w:pPr>
      <w:r>
        <w:rPr>
          <w:rFonts w:ascii="Times New Roman" w:eastAsia="Times New Roman" w:hAnsi="Times New Roman" w:cs="Times New Roman"/>
          <w:color w:val="231E20"/>
          <w:sz w:val="24"/>
          <w:szCs w:val="24"/>
        </w:rPr>
        <w:t>8</w:t>
      </w:r>
    </w:p>
    <w:p w14:paraId="504DD2C3"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549B5051" w14:textId="77777777" w:rsidR="00EC1C40" w:rsidRDefault="00EC1C40">
      <w:pPr>
        <w:spacing w:line="1" w:lineRule="exact"/>
      </w:pPr>
    </w:p>
    <w:p w14:paraId="65650638" w14:textId="77777777" w:rsidR="00EC1C40" w:rsidRDefault="00000000">
      <w:pPr>
        <w:pStyle w:val="Zkladntext80"/>
        <w:framePr w:w="10531" w:h="638" w:hRule="exact" w:wrap="none" w:vAnchor="page" w:hAnchor="page" w:x="802" w:y="5079"/>
        <w:rPr>
          <w:sz w:val="50"/>
          <w:szCs w:val="50"/>
        </w:rPr>
      </w:pPr>
      <w:r>
        <w:t>Příloh</w:t>
      </w:r>
      <w:r>
        <w:rPr>
          <w:rFonts w:ascii="Calibri" w:eastAsia="Calibri" w:hAnsi="Calibri" w:cs="Calibri"/>
          <w:b/>
          <w:bCs/>
          <w:smallCaps/>
          <w:sz w:val="50"/>
          <w:szCs w:val="50"/>
        </w:rPr>
        <w:t>a</w:t>
      </w:r>
      <w:r>
        <w:t xml:space="preserve"> č. </w:t>
      </w:r>
      <w:r>
        <w:rPr>
          <w:rFonts w:ascii="Calibri" w:eastAsia="Calibri" w:hAnsi="Calibri" w:cs="Calibri"/>
          <w:b/>
          <w:bCs/>
          <w:smallCaps/>
          <w:sz w:val="50"/>
          <w:szCs w:val="50"/>
        </w:rPr>
        <w:t>11</w:t>
      </w:r>
    </w:p>
    <w:p w14:paraId="6FAC8787"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48D8498B" w14:textId="77777777" w:rsidR="00EC1C40" w:rsidRDefault="00EC1C40">
      <w:pPr>
        <w:spacing w:line="1" w:lineRule="exact"/>
      </w:pPr>
    </w:p>
    <w:tbl>
      <w:tblPr>
        <w:tblOverlap w:val="never"/>
        <w:tblW w:w="0" w:type="auto"/>
        <w:tblLayout w:type="fixed"/>
        <w:tblCellMar>
          <w:left w:w="10" w:type="dxa"/>
          <w:right w:w="10" w:type="dxa"/>
        </w:tblCellMar>
        <w:tblLook w:val="0000" w:firstRow="0" w:lastRow="0" w:firstColumn="0" w:lastColumn="0" w:noHBand="0" w:noVBand="0"/>
      </w:tblPr>
      <w:tblGrid>
        <w:gridCol w:w="2640"/>
        <w:gridCol w:w="835"/>
        <w:gridCol w:w="835"/>
        <w:gridCol w:w="1037"/>
        <w:gridCol w:w="1214"/>
        <w:gridCol w:w="1104"/>
      </w:tblGrid>
      <w:tr w:rsidR="00EC1C40" w14:paraId="57319895" w14:textId="77777777">
        <w:tblPrEx>
          <w:tblCellMar>
            <w:top w:w="0" w:type="dxa"/>
            <w:bottom w:w="0" w:type="dxa"/>
          </w:tblCellMar>
        </w:tblPrEx>
        <w:trPr>
          <w:trHeight w:hRule="exact" w:val="389"/>
        </w:trPr>
        <w:tc>
          <w:tcPr>
            <w:tcW w:w="2640" w:type="dxa"/>
            <w:vMerge w:val="restart"/>
            <w:tcBorders>
              <w:top w:val="single" w:sz="4" w:space="0" w:color="auto"/>
              <w:left w:val="single" w:sz="4" w:space="0" w:color="auto"/>
            </w:tcBorders>
            <w:shd w:val="clear" w:color="auto" w:fill="auto"/>
            <w:vAlign w:val="center"/>
          </w:tcPr>
          <w:p w14:paraId="2C8A2AF2" w14:textId="77777777" w:rsidR="00EC1C40" w:rsidRDefault="00000000">
            <w:pPr>
              <w:pStyle w:val="Jin0"/>
              <w:framePr w:w="7666" w:h="14698" w:wrap="none" w:vAnchor="page" w:hAnchor="page" w:x="1801" w:y="1392"/>
              <w:spacing w:after="0"/>
              <w:jc w:val="center"/>
              <w:rPr>
                <w:sz w:val="15"/>
                <w:szCs w:val="15"/>
              </w:rPr>
            </w:pPr>
            <w:r>
              <w:rPr>
                <w:b/>
                <w:bCs/>
                <w:sz w:val="15"/>
                <w:szCs w:val="15"/>
              </w:rPr>
              <w:t>OBJEKT/PATRO</w:t>
            </w:r>
          </w:p>
        </w:tc>
        <w:tc>
          <w:tcPr>
            <w:tcW w:w="835" w:type="dxa"/>
            <w:vMerge w:val="restart"/>
            <w:tcBorders>
              <w:top w:val="single" w:sz="4" w:space="0" w:color="auto"/>
              <w:left w:val="single" w:sz="4" w:space="0" w:color="auto"/>
            </w:tcBorders>
            <w:shd w:val="clear" w:color="auto" w:fill="auto"/>
            <w:vAlign w:val="center"/>
          </w:tcPr>
          <w:p w14:paraId="4B9E4A66" w14:textId="77777777" w:rsidR="00EC1C40" w:rsidRDefault="00000000">
            <w:pPr>
              <w:pStyle w:val="Jin0"/>
              <w:framePr w:w="7666" w:h="14698" w:wrap="none" w:vAnchor="page" w:hAnchor="page" w:x="1801" w:y="1392"/>
              <w:spacing w:after="0" w:line="269" w:lineRule="auto"/>
              <w:jc w:val="center"/>
              <w:rPr>
                <w:sz w:val="15"/>
                <w:szCs w:val="15"/>
              </w:rPr>
            </w:pPr>
            <w:r>
              <w:rPr>
                <w:b/>
                <w:bCs/>
                <w:sz w:val="15"/>
                <w:szCs w:val="15"/>
              </w:rPr>
              <w:t>HPP celkové (m2)</w:t>
            </w:r>
          </w:p>
        </w:tc>
        <w:tc>
          <w:tcPr>
            <w:tcW w:w="835" w:type="dxa"/>
            <w:vMerge w:val="restart"/>
            <w:tcBorders>
              <w:top w:val="single" w:sz="4" w:space="0" w:color="auto"/>
              <w:left w:val="single" w:sz="4" w:space="0" w:color="auto"/>
            </w:tcBorders>
            <w:shd w:val="clear" w:color="auto" w:fill="auto"/>
            <w:vAlign w:val="center"/>
          </w:tcPr>
          <w:p w14:paraId="129905A5" w14:textId="77777777" w:rsidR="00EC1C40" w:rsidRDefault="00000000">
            <w:pPr>
              <w:pStyle w:val="Jin0"/>
              <w:framePr w:w="7666" w:h="14698" w:wrap="none" w:vAnchor="page" w:hAnchor="page" w:x="1801" w:y="1392"/>
              <w:spacing w:after="0" w:line="252" w:lineRule="auto"/>
              <w:jc w:val="center"/>
              <w:rPr>
                <w:sz w:val="15"/>
                <w:szCs w:val="15"/>
              </w:rPr>
            </w:pPr>
            <w:r>
              <w:rPr>
                <w:b/>
                <w:bCs/>
                <w:sz w:val="15"/>
                <w:szCs w:val="15"/>
              </w:rPr>
              <w:t>HPP *) veřejná stavba</w:t>
            </w:r>
          </w:p>
        </w:tc>
        <w:tc>
          <w:tcPr>
            <w:tcW w:w="3355" w:type="dxa"/>
            <w:gridSpan w:val="3"/>
            <w:tcBorders>
              <w:top w:val="single" w:sz="4" w:space="0" w:color="auto"/>
              <w:left w:val="single" w:sz="4" w:space="0" w:color="auto"/>
              <w:right w:val="single" w:sz="4" w:space="0" w:color="auto"/>
            </w:tcBorders>
            <w:shd w:val="clear" w:color="auto" w:fill="auto"/>
            <w:vAlign w:val="center"/>
          </w:tcPr>
          <w:p w14:paraId="137A5593" w14:textId="77777777" w:rsidR="00EC1C40" w:rsidRDefault="00000000">
            <w:pPr>
              <w:pStyle w:val="Jin0"/>
              <w:framePr w:w="7666" w:h="14698" w:wrap="none" w:vAnchor="page" w:hAnchor="page" w:x="1801" w:y="1392"/>
              <w:spacing w:after="0"/>
              <w:jc w:val="center"/>
              <w:rPr>
                <w:sz w:val="15"/>
                <w:szCs w:val="15"/>
              </w:rPr>
            </w:pPr>
            <w:r>
              <w:rPr>
                <w:b/>
                <w:bCs/>
                <w:sz w:val="15"/>
                <w:szCs w:val="15"/>
              </w:rPr>
              <w:t>HPP - Investiční příspěvek</w:t>
            </w:r>
          </w:p>
        </w:tc>
      </w:tr>
      <w:tr w:rsidR="00EC1C40" w14:paraId="62EAAD3F" w14:textId="77777777">
        <w:tblPrEx>
          <w:tblCellMar>
            <w:top w:w="0" w:type="dxa"/>
            <w:bottom w:w="0" w:type="dxa"/>
          </w:tblCellMar>
        </w:tblPrEx>
        <w:trPr>
          <w:trHeight w:hRule="exact" w:val="691"/>
        </w:trPr>
        <w:tc>
          <w:tcPr>
            <w:tcW w:w="2640" w:type="dxa"/>
            <w:vMerge/>
            <w:tcBorders>
              <w:left w:val="single" w:sz="4" w:space="0" w:color="auto"/>
            </w:tcBorders>
            <w:shd w:val="clear" w:color="auto" w:fill="auto"/>
            <w:vAlign w:val="center"/>
          </w:tcPr>
          <w:p w14:paraId="24B75E1A" w14:textId="77777777" w:rsidR="00EC1C40" w:rsidRDefault="00EC1C40">
            <w:pPr>
              <w:framePr w:w="7666" w:h="14698" w:wrap="none" w:vAnchor="page" w:hAnchor="page" w:x="1801" w:y="1392"/>
            </w:pPr>
          </w:p>
        </w:tc>
        <w:tc>
          <w:tcPr>
            <w:tcW w:w="835" w:type="dxa"/>
            <w:vMerge/>
            <w:tcBorders>
              <w:left w:val="single" w:sz="4" w:space="0" w:color="auto"/>
            </w:tcBorders>
            <w:shd w:val="clear" w:color="auto" w:fill="auto"/>
            <w:vAlign w:val="center"/>
          </w:tcPr>
          <w:p w14:paraId="29A1DA59" w14:textId="77777777" w:rsidR="00EC1C40" w:rsidRDefault="00EC1C40">
            <w:pPr>
              <w:framePr w:w="7666" w:h="14698" w:wrap="none" w:vAnchor="page" w:hAnchor="page" w:x="1801" w:y="1392"/>
            </w:pPr>
          </w:p>
        </w:tc>
        <w:tc>
          <w:tcPr>
            <w:tcW w:w="835" w:type="dxa"/>
            <w:vMerge/>
            <w:tcBorders>
              <w:left w:val="single" w:sz="4" w:space="0" w:color="auto"/>
            </w:tcBorders>
            <w:shd w:val="clear" w:color="auto" w:fill="auto"/>
            <w:vAlign w:val="center"/>
          </w:tcPr>
          <w:p w14:paraId="41424613" w14:textId="77777777" w:rsidR="00EC1C40" w:rsidRDefault="00EC1C40">
            <w:pPr>
              <w:framePr w:w="7666" w:h="14698" w:wrap="none" w:vAnchor="page" w:hAnchor="page" w:x="1801" w:y="1392"/>
            </w:pPr>
          </w:p>
        </w:tc>
        <w:tc>
          <w:tcPr>
            <w:tcW w:w="1037" w:type="dxa"/>
            <w:tcBorders>
              <w:top w:val="single" w:sz="4" w:space="0" w:color="auto"/>
              <w:left w:val="single" w:sz="4" w:space="0" w:color="auto"/>
            </w:tcBorders>
            <w:shd w:val="clear" w:color="auto" w:fill="auto"/>
            <w:vAlign w:val="center"/>
          </w:tcPr>
          <w:p w14:paraId="26871428" w14:textId="77777777" w:rsidR="00EC1C40" w:rsidRDefault="00000000">
            <w:pPr>
              <w:pStyle w:val="Jin0"/>
              <w:framePr w:w="7666" w:h="14698" w:wrap="none" w:vAnchor="page" w:hAnchor="page" w:x="1801" w:y="1392"/>
              <w:spacing w:after="0" w:line="286" w:lineRule="auto"/>
              <w:jc w:val="center"/>
              <w:rPr>
                <w:sz w:val="15"/>
                <w:szCs w:val="15"/>
              </w:rPr>
            </w:pPr>
            <w:r>
              <w:rPr>
                <w:b/>
                <w:bCs/>
                <w:sz w:val="15"/>
                <w:szCs w:val="15"/>
              </w:rPr>
              <w:t>Plocha celkem (m2)</w:t>
            </w:r>
          </w:p>
        </w:tc>
        <w:tc>
          <w:tcPr>
            <w:tcW w:w="1214" w:type="dxa"/>
            <w:tcBorders>
              <w:top w:val="single" w:sz="4" w:space="0" w:color="auto"/>
              <w:left w:val="single" w:sz="4" w:space="0" w:color="auto"/>
            </w:tcBorders>
            <w:shd w:val="clear" w:color="auto" w:fill="auto"/>
            <w:vAlign w:val="center"/>
          </w:tcPr>
          <w:p w14:paraId="271D006D" w14:textId="77777777" w:rsidR="00EC1C40" w:rsidRDefault="00000000">
            <w:pPr>
              <w:pStyle w:val="Jin0"/>
              <w:framePr w:w="7666" w:h="14698" w:wrap="none" w:vAnchor="page" w:hAnchor="page" w:x="1801" w:y="1392"/>
              <w:spacing w:after="0" w:line="252" w:lineRule="auto"/>
              <w:jc w:val="center"/>
              <w:rPr>
                <w:sz w:val="15"/>
                <w:szCs w:val="15"/>
              </w:rPr>
            </w:pPr>
            <w:r>
              <w:rPr>
                <w:b/>
                <w:bCs/>
                <w:sz w:val="15"/>
                <w:szCs w:val="15"/>
              </w:rPr>
              <w:t xml:space="preserve">Plocha pro výpočet </w:t>
            </w:r>
            <w:proofErr w:type="spellStart"/>
            <w:r>
              <w:rPr>
                <w:b/>
                <w:bCs/>
                <w:sz w:val="15"/>
                <w:szCs w:val="15"/>
              </w:rPr>
              <w:t>přístpěvku</w:t>
            </w:r>
            <w:proofErr w:type="spellEnd"/>
            <w:r>
              <w:rPr>
                <w:b/>
                <w:bCs/>
                <w:sz w:val="15"/>
                <w:szCs w:val="15"/>
              </w:rPr>
              <w:t xml:space="preserve"> (%)</w:t>
            </w:r>
          </w:p>
        </w:tc>
        <w:tc>
          <w:tcPr>
            <w:tcW w:w="1104" w:type="dxa"/>
            <w:tcBorders>
              <w:top w:val="single" w:sz="4" w:space="0" w:color="auto"/>
              <w:left w:val="single" w:sz="4" w:space="0" w:color="auto"/>
              <w:right w:val="single" w:sz="4" w:space="0" w:color="auto"/>
            </w:tcBorders>
            <w:shd w:val="clear" w:color="auto" w:fill="auto"/>
            <w:vAlign w:val="center"/>
          </w:tcPr>
          <w:p w14:paraId="1EA60A6D" w14:textId="77777777" w:rsidR="00EC1C40" w:rsidRDefault="00000000">
            <w:pPr>
              <w:pStyle w:val="Jin0"/>
              <w:framePr w:w="7666" w:h="14698" w:wrap="none" w:vAnchor="page" w:hAnchor="page" w:x="1801" w:y="1392"/>
              <w:spacing w:after="0" w:line="252" w:lineRule="auto"/>
              <w:jc w:val="center"/>
              <w:rPr>
                <w:sz w:val="15"/>
                <w:szCs w:val="15"/>
              </w:rPr>
            </w:pPr>
            <w:r>
              <w:rPr>
                <w:b/>
                <w:bCs/>
                <w:sz w:val="15"/>
                <w:szCs w:val="15"/>
              </w:rPr>
              <w:t>Plocha pro výpočet příspěvku (m2)</w:t>
            </w:r>
          </w:p>
        </w:tc>
      </w:tr>
      <w:tr w:rsidR="00EC1C40" w14:paraId="7741A9BB" w14:textId="77777777">
        <w:tblPrEx>
          <w:tblCellMar>
            <w:top w:w="0" w:type="dxa"/>
            <w:bottom w:w="0" w:type="dxa"/>
          </w:tblCellMar>
        </w:tblPrEx>
        <w:trPr>
          <w:trHeight w:hRule="exact" w:val="192"/>
        </w:trPr>
        <w:tc>
          <w:tcPr>
            <w:tcW w:w="2640" w:type="dxa"/>
            <w:tcBorders>
              <w:top w:val="single" w:sz="4" w:space="0" w:color="auto"/>
              <w:left w:val="single" w:sz="4" w:space="0" w:color="auto"/>
            </w:tcBorders>
            <w:shd w:val="clear" w:color="auto" w:fill="F6EDD1"/>
          </w:tcPr>
          <w:p w14:paraId="600525D2" w14:textId="77777777" w:rsidR="00EC1C40" w:rsidRDefault="00000000">
            <w:pPr>
              <w:pStyle w:val="Jin0"/>
              <w:framePr w:w="7666" w:h="14698" w:wrap="none" w:vAnchor="page" w:hAnchor="page" w:x="1801" w:y="1392"/>
              <w:spacing w:after="0"/>
              <w:jc w:val="both"/>
              <w:rPr>
                <w:sz w:val="15"/>
                <w:szCs w:val="15"/>
              </w:rPr>
            </w:pPr>
            <w:r>
              <w:rPr>
                <w:b/>
                <w:bCs/>
                <w:sz w:val="15"/>
                <w:szCs w:val="15"/>
              </w:rPr>
              <w:t>ARÉNA</w:t>
            </w:r>
          </w:p>
        </w:tc>
        <w:tc>
          <w:tcPr>
            <w:tcW w:w="835" w:type="dxa"/>
            <w:tcBorders>
              <w:top w:val="single" w:sz="4" w:space="0" w:color="auto"/>
              <w:left w:val="single" w:sz="4" w:space="0" w:color="auto"/>
            </w:tcBorders>
            <w:shd w:val="clear" w:color="auto" w:fill="F6EDD1"/>
          </w:tcPr>
          <w:p w14:paraId="4088E49F" w14:textId="77777777" w:rsidR="00EC1C40" w:rsidRDefault="00000000">
            <w:pPr>
              <w:pStyle w:val="Jin0"/>
              <w:framePr w:w="7666" w:h="14698" w:wrap="none" w:vAnchor="page" w:hAnchor="page" w:x="1801" w:y="1392"/>
              <w:spacing w:after="0"/>
              <w:jc w:val="right"/>
              <w:rPr>
                <w:sz w:val="15"/>
                <w:szCs w:val="15"/>
              </w:rPr>
            </w:pPr>
            <w:r>
              <w:rPr>
                <w:b/>
                <w:bCs/>
                <w:sz w:val="15"/>
                <w:szCs w:val="15"/>
              </w:rPr>
              <w:t>133 721</w:t>
            </w:r>
          </w:p>
        </w:tc>
        <w:tc>
          <w:tcPr>
            <w:tcW w:w="835" w:type="dxa"/>
            <w:tcBorders>
              <w:top w:val="single" w:sz="4" w:space="0" w:color="auto"/>
              <w:left w:val="single" w:sz="4" w:space="0" w:color="auto"/>
            </w:tcBorders>
            <w:shd w:val="clear" w:color="auto" w:fill="auto"/>
          </w:tcPr>
          <w:p w14:paraId="5EB780DA" w14:textId="77777777" w:rsidR="00EC1C40" w:rsidRDefault="00EC1C40">
            <w:pPr>
              <w:framePr w:w="7666" w:h="14698" w:wrap="none" w:vAnchor="page" w:hAnchor="page" w:x="1801" w:y="1392"/>
              <w:rPr>
                <w:sz w:val="10"/>
                <w:szCs w:val="10"/>
              </w:rPr>
            </w:pPr>
          </w:p>
        </w:tc>
        <w:tc>
          <w:tcPr>
            <w:tcW w:w="1037" w:type="dxa"/>
            <w:tcBorders>
              <w:top w:val="single" w:sz="4" w:space="0" w:color="auto"/>
              <w:left w:val="single" w:sz="4" w:space="0" w:color="auto"/>
            </w:tcBorders>
            <w:shd w:val="clear" w:color="auto" w:fill="auto"/>
          </w:tcPr>
          <w:p w14:paraId="40D703E9" w14:textId="77777777" w:rsidR="00EC1C40" w:rsidRDefault="00EC1C40">
            <w:pPr>
              <w:framePr w:w="7666" w:h="14698" w:wrap="none" w:vAnchor="page" w:hAnchor="page" w:x="1801" w:y="1392"/>
              <w:rPr>
                <w:sz w:val="10"/>
                <w:szCs w:val="10"/>
              </w:rPr>
            </w:pPr>
          </w:p>
        </w:tc>
        <w:tc>
          <w:tcPr>
            <w:tcW w:w="1214" w:type="dxa"/>
            <w:tcBorders>
              <w:top w:val="single" w:sz="4" w:space="0" w:color="auto"/>
              <w:left w:val="single" w:sz="4" w:space="0" w:color="auto"/>
            </w:tcBorders>
            <w:shd w:val="clear" w:color="auto" w:fill="auto"/>
          </w:tcPr>
          <w:p w14:paraId="13BDDDE2" w14:textId="77777777" w:rsidR="00EC1C40" w:rsidRDefault="00EC1C40">
            <w:pPr>
              <w:framePr w:w="7666" w:h="14698" w:wrap="none" w:vAnchor="page" w:hAnchor="page" w:x="1801" w:y="1392"/>
              <w:rPr>
                <w:sz w:val="10"/>
                <w:szCs w:val="10"/>
              </w:rPr>
            </w:pPr>
          </w:p>
        </w:tc>
        <w:tc>
          <w:tcPr>
            <w:tcW w:w="1104" w:type="dxa"/>
            <w:tcBorders>
              <w:top w:val="single" w:sz="4" w:space="0" w:color="auto"/>
              <w:left w:val="single" w:sz="4" w:space="0" w:color="auto"/>
              <w:right w:val="single" w:sz="4" w:space="0" w:color="auto"/>
            </w:tcBorders>
            <w:shd w:val="clear" w:color="auto" w:fill="auto"/>
          </w:tcPr>
          <w:p w14:paraId="75F5F194" w14:textId="77777777" w:rsidR="00EC1C40" w:rsidRDefault="00EC1C40">
            <w:pPr>
              <w:framePr w:w="7666" w:h="14698" w:wrap="none" w:vAnchor="page" w:hAnchor="page" w:x="1801" w:y="1392"/>
              <w:rPr>
                <w:sz w:val="10"/>
                <w:szCs w:val="10"/>
              </w:rPr>
            </w:pPr>
          </w:p>
        </w:tc>
      </w:tr>
      <w:tr w:rsidR="00EC1C40" w14:paraId="726CB27E" w14:textId="77777777">
        <w:tblPrEx>
          <w:tblCellMar>
            <w:top w:w="0" w:type="dxa"/>
            <w:bottom w:w="0" w:type="dxa"/>
          </w:tblCellMar>
        </w:tblPrEx>
        <w:trPr>
          <w:trHeight w:hRule="exact" w:val="197"/>
        </w:trPr>
        <w:tc>
          <w:tcPr>
            <w:tcW w:w="2640" w:type="dxa"/>
            <w:tcBorders>
              <w:top w:val="single" w:sz="4" w:space="0" w:color="auto"/>
              <w:left w:val="single" w:sz="4" w:space="0" w:color="auto"/>
            </w:tcBorders>
            <w:shd w:val="clear" w:color="auto" w:fill="auto"/>
          </w:tcPr>
          <w:p w14:paraId="2D196B96" w14:textId="77777777" w:rsidR="00EC1C40" w:rsidRDefault="00000000">
            <w:pPr>
              <w:pStyle w:val="Jin0"/>
              <w:framePr w:w="7666" w:h="14698" w:wrap="none" w:vAnchor="page" w:hAnchor="page" w:x="1801" w:y="1392"/>
              <w:spacing w:after="0"/>
              <w:jc w:val="both"/>
              <w:rPr>
                <w:sz w:val="15"/>
                <w:szCs w:val="15"/>
              </w:rPr>
            </w:pPr>
            <w:r>
              <w:rPr>
                <w:b/>
                <w:bCs/>
                <w:sz w:val="15"/>
                <w:szCs w:val="15"/>
              </w:rPr>
              <w:t>2PP</w:t>
            </w:r>
          </w:p>
        </w:tc>
        <w:tc>
          <w:tcPr>
            <w:tcW w:w="835" w:type="dxa"/>
            <w:tcBorders>
              <w:top w:val="single" w:sz="4" w:space="0" w:color="auto"/>
              <w:left w:val="single" w:sz="4" w:space="0" w:color="auto"/>
            </w:tcBorders>
            <w:shd w:val="clear" w:color="auto" w:fill="auto"/>
          </w:tcPr>
          <w:p w14:paraId="43412EB0" w14:textId="77777777" w:rsidR="00EC1C40" w:rsidRDefault="00000000">
            <w:pPr>
              <w:pStyle w:val="Jin0"/>
              <w:framePr w:w="7666" w:h="14698" w:wrap="none" w:vAnchor="page" w:hAnchor="page" w:x="1801" w:y="1392"/>
              <w:spacing w:after="0"/>
              <w:ind w:firstLine="360"/>
              <w:jc w:val="both"/>
              <w:rPr>
                <w:sz w:val="15"/>
                <w:szCs w:val="15"/>
              </w:rPr>
            </w:pPr>
            <w:r>
              <w:rPr>
                <w:b/>
                <w:bCs/>
                <w:sz w:val="15"/>
                <w:szCs w:val="15"/>
              </w:rPr>
              <w:t>22 829</w:t>
            </w:r>
          </w:p>
        </w:tc>
        <w:tc>
          <w:tcPr>
            <w:tcW w:w="835" w:type="dxa"/>
            <w:tcBorders>
              <w:top w:val="single" w:sz="4" w:space="0" w:color="auto"/>
              <w:left w:val="single" w:sz="4" w:space="0" w:color="auto"/>
            </w:tcBorders>
            <w:shd w:val="clear" w:color="auto" w:fill="auto"/>
          </w:tcPr>
          <w:p w14:paraId="36A8DD92" w14:textId="77777777" w:rsidR="00EC1C40" w:rsidRDefault="00EC1C40">
            <w:pPr>
              <w:framePr w:w="7666" w:h="14698" w:wrap="none" w:vAnchor="page" w:hAnchor="page" w:x="1801" w:y="1392"/>
              <w:rPr>
                <w:sz w:val="10"/>
                <w:szCs w:val="10"/>
              </w:rPr>
            </w:pPr>
          </w:p>
        </w:tc>
        <w:tc>
          <w:tcPr>
            <w:tcW w:w="1037" w:type="dxa"/>
            <w:tcBorders>
              <w:top w:val="single" w:sz="4" w:space="0" w:color="auto"/>
              <w:left w:val="single" w:sz="4" w:space="0" w:color="auto"/>
            </w:tcBorders>
            <w:shd w:val="clear" w:color="auto" w:fill="auto"/>
          </w:tcPr>
          <w:p w14:paraId="0748F665" w14:textId="77777777" w:rsidR="00EC1C40" w:rsidRDefault="00EC1C40">
            <w:pPr>
              <w:framePr w:w="7666" w:h="14698" w:wrap="none" w:vAnchor="page" w:hAnchor="page" w:x="1801" w:y="1392"/>
              <w:rPr>
                <w:sz w:val="10"/>
                <w:szCs w:val="10"/>
              </w:rPr>
            </w:pPr>
          </w:p>
        </w:tc>
        <w:tc>
          <w:tcPr>
            <w:tcW w:w="1214" w:type="dxa"/>
            <w:tcBorders>
              <w:top w:val="single" w:sz="4" w:space="0" w:color="auto"/>
              <w:left w:val="single" w:sz="4" w:space="0" w:color="auto"/>
            </w:tcBorders>
            <w:shd w:val="clear" w:color="auto" w:fill="auto"/>
          </w:tcPr>
          <w:p w14:paraId="152137B1" w14:textId="77777777" w:rsidR="00EC1C40" w:rsidRDefault="00EC1C40">
            <w:pPr>
              <w:framePr w:w="7666" w:h="14698" w:wrap="none" w:vAnchor="page" w:hAnchor="page" w:x="1801" w:y="1392"/>
              <w:rPr>
                <w:sz w:val="10"/>
                <w:szCs w:val="10"/>
              </w:rPr>
            </w:pPr>
          </w:p>
        </w:tc>
        <w:tc>
          <w:tcPr>
            <w:tcW w:w="1104" w:type="dxa"/>
            <w:tcBorders>
              <w:top w:val="single" w:sz="4" w:space="0" w:color="auto"/>
              <w:left w:val="single" w:sz="4" w:space="0" w:color="auto"/>
              <w:right w:val="single" w:sz="4" w:space="0" w:color="auto"/>
            </w:tcBorders>
            <w:shd w:val="clear" w:color="auto" w:fill="auto"/>
          </w:tcPr>
          <w:p w14:paraId="36624137" w14:textId="77777777" w:rsidR="00EC1C40" w:rsidRDefault="00EC1C40">
            <w:pPr>
              <w:framePr w:w="7666" w:h="14698" w:wrap="none" w:vAnchor="page" w:hAnchor="page" w:x="1801" w:y="1392"/>
              <w:rPr>
                <w:sz w:val="10"/>
                <w:szCs w:val="10"/>
              </w:rPr>
            </w:pPr>
          </w:p>
        </w:tc>
      </w:tr>
      <w:tr w:rsidR="00EC1C40" w14:paraId="736E8CCF" w14:textId="77777777">
        <w:tblPrEx>
          <w:tblCellMar>
            <w:top w:w="0" w:type="dxa"/>
            <w:bottom w:w="0" w:type="dxa"/>
          </w:tblCellMar>
        </w:tblPrEx>
        <w:trPr>
          <w:trHeight w:hRule="exact" w:val="192"/>
        </w:trPr>
        <w:tc>
          <w:tcPr>
            <w:tcW w:w="2640" w:type="dxa"/>
            <w:tcBorders>
              <w:top w:val="single" w:sz="4" w:space="0" w:color="auto"/>
              <w:left w:val="single" w:sz="4" w:space="0" w:color="auto"/>
            </w:tcBorders>
            <w:shd w:val="clear" w:color="auto" w:fill="auto"/>
          </w:tcPr>
          <w:p w14:paraId="4F0891F8" w14:textId="77777777" w:rsidR="00EC1C40" w:rsidRDefault="00000000">
            <w:pPr>
              <w:pStyle w:val="Jin0"/>
              <w:framePr w:w="7666" w:h="14698" w:wrap="none" w:vAnchor="page" w:hAnchor="page" w:x="1801" w:y="1392"/>
              <w:spacing w:after="0"/>
              <w:jc w:val="both"/>
              <w:rPr>
                <w:sz w:val="15"/>
                <w:szCs w:val="15"/>
              </w:rPr>
            </w:pPr>
            <w:r>
              <w:rPr>
                <w:sz w:val="15"/>
                <w:szCs w:val="15"/>
              </w:rPr>
              <w:t>ARÉNA VEŘEJNOST</w:t>
            </w:r>
          </w:p>
        </w:tc>
        <w:tc>
          <w:tcPr>
            <w:tcW w:w="835" w:type="dxa"/>
            <w:tcBorders>
              <w:top w:val="single" w:sz="4" w:space="0" w:color="auto"/>
              <w:left w:val="single" w:sz="4" w:space="0" w:color="auto"/>
            </w:tcBorders>
            <w:shd w:val="clear" w:color="auto" w:fill="auto"/>
          </w:tcPr>
          <w:p w14:paraId="16D4BD39" w14:textId="77777777" w:rsidR="00EC1C40" w:rsidRDefault="00000000">
            <w:pPr>
              <w:pStyle w:val="Jin0"/>
              <w:framePr w:w="7666" w:h="14698" w:wrap="none" w:vAnchor="page" w:hAnchor="page" w:x="1801" w:y="1392"/>
              <w:spacing w:after="0"/>
              <w:ind w:firstLine="420"/>
              <w:jc w:val="both"/>
              <w:rPr>
                <w:sz w:val="15"/>
                <w:szCs w:val="15"/>
              </w:rPr>
            </w:pPr>
            <w:r>
              <w:rPr>
                <w:sz w:val="15"/>
                <w:szCs w:val="15"/>
              </w:rPr>
              <w:t>1 122</w:t>
            </w:r>
          </w:p>
        </w:tc>
        <w:tc>
          <w:tcPr>
            <w:tcW w:w="835" w:type="dxa"/>
            <w:tcBorders>
              <w:top w:val="single" w:sz="4" w:space="0" w:color="auto"/>
              <w:left w:val="single" w:sz="4" w:space="0" w:color="auto"/>
            </w:tcBorders>
            <w:shd w:val="clear" w:color="auto" w:fill="auto"/>
          </w:tcPr>
          <w:p w14:paraId="7A6BFD49" w14:textId="77777777" w:rsidR="00EC1C40" w:rsidRDefault="00000000">
            <w:pPr>
              <w:pStyle w:val="Jin0"/>
              <w:framePr w:w="7666" w:h="14698" w:wrap="none" w:vAnchor="page" w:hAnchor="page" w:x="1801" w:y="1392"/>
              <w:spacing w:after="0"/>
              <w:ind w:firstLine="420"/>
              <w:jc w:val="both"/>
              <w:rPr>
                <w:sz w:val="15"/>
                <w:szCs w:val="15"/>
              </w:rPr>
            </w:pPr>
            <w:r>
              <w:rPr>
                <w:sz w:val="15"/>
                <w:szCs w:val="15"/>
              </w:rPr>
              <w:t>1 122</w:t>
            </w:r>
          </w:p>
        </w:tc>
        <w:tc>
          <w:tcPr>
            <w:tcW w:w="1037" w:type="dxa"/>
            <w:tcBorders>
              <w:top w:val="single" w:sz="4" w:space="0" w:color="auto"/>
              <w:left w:val="single" w:sz="4" w:space="0" w:color="auto"/>
            </w:tcBorders>
            <w:shd w:val="clear" w:color="auto" w:fill="auto"/>
          </w:tcPr>
          <w:p w14:paraId="1BE0C199" w14:textId="77777777" w:rsidR="00EC1C40" w:rsidRDefault="00EC1C40">
            <w:pPr>
              <w:framePr w:w="7666" w:h="14698" w:wrap="none" w:vAnchor="page" w:hAnchor="page" w:x="1801" w:y="1392"/>
              <w:rPr>
                <w:sz w:val="10"/>
                <w:szCs w:val="10"/>
              </w:rPr>
            </w:pPr>
          </w:p>
        </w:tc>
        <w:tc>
          <w:tcPr>
            <w:tcW w:w="1214" w:type="dxa"/>
            <w:tcBorders>
              <w:top w:val="single" w:sz="4" w:space="0" w:color="auto"/>
              <w:left w:val="single" w:sz="4" w:space="0" w:color="auto"/>
            </w:tcBorders>
            <w:shd w:val="clear" w:color="auto" w:fill="auto"/>
          </w:tcPr>
          <w:p w14:paraId="186FC999" w14:textId="77777777" w:rsidR="00EC1C40" w:rsidRDefault="00EC1C40">
            <w:pPr>
              <w:framePr w:w="7666" w:h="14698" w:wrap="none" w:vAnchor="page" w:hAnchor="page" w:x="1801" w:y="1392"/>
              <w:rPr>
                <w:sz w:val="10"/>
                <w:szCs w:val="10"/>
              </w:rPr>
            </w:pPr>
          </w:p>
        </w:tc>
        <w:tc>
          <w:tcPr>
            <w:tcW w:w="1104" w:type="dxa"/>
            <w:tcBorders>
              <w:top w:val="single" w:sz="4" w:space="0" w:color="auto"/>
              <w:left w:val="single" w:sz="4" w:space="0" w:color="auto"/>
              <w:right w:val="single" w:sz="4" w:space="0" w:color="auto"/>
            </w:tcBorders>
            <w:shd w:val="clear" w:color="auto" w:fill="auto"/>
          </w:tcPr>
          <w:p w14:paraId="1395C335" w14:textId="77777777" w:rsidR="00EC1C40" w:rsidRDefault="00EC1C40">
            <w:pPr>
              <w:framePr w:w="7666" w:h="14698" w:wrap="none" w:vAnchor="page" w:hAnchor="page" w:x="1801" w:y="1392"/>
              <w:rPr>
                <w:sz w:val="10"/>
                <w:szCs w:val="10"/>
              </w:rPr>
            </w:pPr>
          </w:p>
        </w:tc>
      </w:tr>
      <w:tr w:rsidR="00EC1C40" w14:paraId="2C154844" w14:textId="77777777">
        <w:tblPrEx>
          <w:tblCellMar>
            <w:top w:w="0" w:type="dxa"/>
            <w:bottom w:w="0" w:type="dxa"/>
          </w:tblCellMar>
        </w:tblPrEx>
        <w:trPr>
          <w:trHeight w:hRule="exact" w:val="197"/>
        </w:trPr>
        <w:tc>
          <w:tcPr>
            <w:tcW w:w="2640" w:type="dxa"/>
            <w:tcBorders>
              <w:top w:val="single" w:sz="4" w:space="0" w:color="auto"/>
              <w:left w:val="single" w:sz="4" w:space="0" w:color="auto"/>
            </w:tcBorders>
            <w:shd w:val="clear" w:color="auto" w:fill="auto"/>
          </w:tcPr>
          <w:p w14:paraId="731CE91E" w14:textId="77777777" w:rsidR="00EC1C40" w:rsidRDefault="00000000">
            <w:pPr>
              <w:pStyle w:val="Jin0"/>
              <w:framePr w:w="7666" w:h="14698" w:wrap="none" w:vAnchor="page" w:hAnchor="page" w:x="1801" w:y="1392"/>
              <w:spacing w:after="0"/>
              <w:jc w:val="both"/>
              <w:rPr>
                <w:sz w:val="15"/>
                <w:szCs w:val="15"/>
              </w:rPr>
            </w:pPr>
            <w:r>
              <w:rPr>
                <w:sz w:val="15"/>
                <w:szCs w:val="15"/>
              </w:rPr>
              <w:t>ARÉNA ZÁZEMÍ</w:t>
            </w:r>
          </w:p>
        </w:tc>
        <w:tc>
          <w:tcPr>
            <w:tcW w:w="835" w:type="dxa"/>
            <w:tcBorders>
              <w:top w:val="single" w:sz="4" w:space="0" w:color="auto"/>
              <w:left w:val="single" w:sz="4" w:space="0" w:color="auto"/>
            </w:tcBorders>
            <w:shd w:val="clear" w:color="auto" w:fill="auto"/>
          </w:tcPr>
          <w:p w14:paraId="372810EC" w14:textId="77777777" w:rsidR="00EC1C40" w:rsidRDefault="00000000">
            <w:pPr>
              <w:pStyle w:val="Jin0"/>
              <w:framePr w:w="7666" w:h="14698" w:wrap="none" w:vAnchor="page" w:hAnchor="page" w:x="1801" w:y="1392"/>
              <w:spacing w:after="0"/>
              <w:ind w:firstLine="420"/>
              <w:jc w:val="both"/>
              <w:rPr>
                <w:sz w:val="15"/>
                <w:szCs w:val="15"/>
              </w:rPr>
            </w:pPr>
            <w:r>
              <w:rPr>
                <w:sz w:val="15"/>
                <w:szCs w:val="15"/>
              </w:rPr>
              <w:t>8 839</w:t>
            </w:r>
          </w:p>
        </w:tc>
        <w:tc>
          <w:tcPr>
            <w:tcW w:w="835" w:type="dxa"/>
            <w:tcBorders>
              <w:top w:val="single" w:sz="4" w:space="0" w:color="auto"/>
              <w:left w:val="single" w:sz="4" w:space="0" w:color="auto"/>
            </w:tcBorders>
            <w:shd w:val="clear" w:color="auto" w:fill="auto"/>
          </w:tcPr>
          <w:p w14:paraId="171DEC4D" w14:textId="77777777" w:rsidR="00EC1C40" w:rsidRDefault="00000000">
            <w:pPr>
              <w:pStyle w:val="Jin0"/>
              <w:framePr w:w="7666" w:h="14698" w:wrap="none" w:vAnchor="page" w:hAnchor="page" w:x="1801" w:y="1392"/>
              <w:spacing w:after="0"/>
              <w:ind w:firstLine="420"/>
              <w:jc w:val="both"/>
              <w:rPr>
                <w:sz w:val="15"/>
                <w:szCs w:val="15"/>
              </w:rPr>
            </w:pPr>
            <w:r>
              <w:rPr>
                <w:sz w:val="15"/>
                <w:szCs w:val="15"/>
              </w:rPr>
              <w:t>8 839</w:t>
            </w:r>
          </w:p>
        </w:tc>
        <w:tc>
          <w:tcPr>
            <w:tcW w:w="1037" w:type="dxa"/>
            <w:tcBorders>
              <w:top w:val="single" w:sz="4" w:space="0" w:color="auto"/>
              <w:left w:val="single" w:sz="4" w:space="0" w:color="auto"/>
            </w:tcBorders>
            <w:shd w:val="clear" w:color="auto" w:fill="auto"/>
          </w:tcPr>
          <w:p w14:paraId="71FF1325" w14:textId="77777777" w:rsidR="00EC1C40" w:rsidRDefault="00EC1C40">
            <w:pPr>
              <w:framePr w:w="7666" w:h="14698" w:wrap="none" w:vAnchor="page" w:hAnchor="page" w:x="1801" w:y="1392"/>
              <w:rPr>
                <w:sz w:val="10"/>
                <w:szCs w:val="10"/>
              </w:rPr>
            </w:pPr>
          </w:p>
        </w:tc>
        <w:tc>
          <w:tcPr>
            <w:tcW w:w="1214" w:type="dxa"/>
            <w:tcBorders>
              <w:top w:val="single" w:sz="4" w:space="0" w:color="auto"/>
              <w:left w:val="single" w:sz="4" w:space="0" w:color="auto"/>
            </w:tcBorders>
            <w:shd w:val="clear" w:color="auto" w:fill="auto"/>
          </w:tcPr>
          <w:p w14:paraId="618E7617" w14:textId="77777777" w:rsidR="00EC1C40" w:rsidRDefault="00EC1C40">
            <w:pPr>
              <w:framePr w:w="7666" w:h="14698" w:wrap="none" w:vAnchor="page" w:hAnchor="page" w:x="1801" w:y="1392"/>
              <w:rPr>
                <w:sz w:val="10"/>
                <w:szCs w:val="10"/>
              </w:rPr>
            </w:pPr>
          </w:p>
        </w:tc>
        <w:tc>
          <w:tcPr>
            <w:tcW w:w="1104" w:type="dxa"/>
            <w:tcBorders>
              <w:top w:val="single" w:sz="4" w:space="0" w:color="auto"/>
              <w:left w:val="single" w:sz="4" w:space="0" w:color="auto"/>
              <w:right w:val="single" w:sz="4" w:space="0" w:color="auto"/>
            </w:tcBorders>
            <w:shd w:val="clear" w:color="auto" w:fill="auto"/>
          </w:tcPr>
          <w:p w14:paraId="31552FBE" w14:textId="77777777" w:rsidR="00EC1C40" w:rsidRDefault="00EC1C40">
            <w:pPr>
              <w:framePr w:w="7666" w:h="14698" w:wrap="none" w:vAnchor="page" w:hAnchor="page" w:x="1801" w:y="1392"/>
              <w:rPr>
                <w:sz w:val="10"/>
                <w:szCs w:val="10"/>
              </w:rPr>
            </w:pPr>
          </w:p>
        </w:tc>
      </w:tr>
      <w:tr w:rsidR="00EC1C40" w14:paraId="1470EAE9" w14:textId="77777777">
        <w:tblPrEx>
          <w:tblCellMar>
            <w:top w:w="0" w:type="dxa"/>
            <w:bottom w:w="0" w:type="dxa"/>
          </w:tblCellMar>
        </w:tblPrEx>
        <w:trPr>
          <w:trHeight w:hRule="exact" w:val="197"/>
        </w:trPr>
        <w:tc>
          <w:tcPr>
            <w:tcW w:w="2640" w:type="dxa"/>
            <w:tcBorders>
              <w:top w:val="single" w:sz="4" w:space="0" w:color="auto"/>
              <w:left w:val="single" w:sz="4" w:space="0" w:color="auto"/>
            </w:tcBorders>
            <w:shd w:val="clear" w:color="auto" w:fill="auto"/>
            <w:vAlign w:val="bottom"/>
          </w:tcPr>
          <w:p w14:paraId="4782340A" w14:textId="77777777" w:rsidR="00EC1C40" w:rsidRDefault="00000000">
            <w:pPr>
              <w:pStyle w:val="Jin0"/>
              <w:framePr w:w="7666" w:h="14698" w:wrap="none" w:vAnchor="page" w:hAnchor="page" w:x="1801" w:y="1392"/>
              <w:spacing w:after="0"/>
              <w:rPr>
                <w:sz w:val="15"/>
                <w:szCs w:val="15"/>
              </w:rPr>
            </w:pPr>
            <w:r>
              <w:rPr>
                <w:sz w:val="15"/>
                <w:szCs w:val="15"/>
                <w:lang w:val="en-US" w:eastAsia="en-US" w:bidi="en-US"/>
              </w:rPr>
              <w:t>PARKING</w:t>
            </w:r>
          </w:p>
        </w:tc>
        <w:tc>
          <w:tcPr>
            <w:tcW w:w="835" w:type="dxa"/>
            <w:tcBorders>
              <w:top w:val="single" w:sz="4" w:space="0" w:color="auto"/>
              <w:left w:val="single" w:sz="4" w:space="0" w:color="auto"/>
            </w:tcBorders>
            <w:shd w:val="clear" w:color="auto" w:fill="auto"/>
            <w:vAlign w:val="bottom"/>
          </w:tcPr>
          <w:p w14:paraId="69134D94" w14:textId="77777777" w:rsidR="00EC1C40" w:rsidRDefault="00000000">
            <w:pPr>
              <w:pStyle w:val="Jin0"/>
              <w:framePr w:w="7666" w:h="14698" w:wrap="none" w:vAnchor="page" w:hAnchor="page" w:x="1801" w:y="1392"/>
              <w:spacing w:after="0"/>
              <w:ind w:firstLine="360"/>
              <w:jc w:val="both"/>
              <w:rPr>
                <w:sz w:val="15"/>
                <w:szCs w:val="15"/>
              </w:rPr>
            </w:pPr>
            <w:r>
              <w:rPr>
                <w:sz w:val="15"/>
                <w:szCs w:val="15"/>
              </w:rPr>
              <w:t>12 868</w:t>
            </w:r>
          </w:p>
        </w:tc>
        <w:tc>
          <w:tcPr>
            <w:tcW w:w="835" w:type="dxa"/>
            <w:tcBorders>
              <w:top w:val="single" w:sz="4" w:space="0" w:color="auto"/>
              <w:left w:val="single" w:sz="4" w:space="0" w:color="auto"/>
            </w:tcBorders>
            <w:shd w:val="clear" w:color="auto" w:fill="auto"/>
          </w:tcPr>
          <w:p w14:paraId="249420D3" w14:textId="77777777" w:rsidR="00EC1C40" w:rsidRDefault="00EC1C40">
            <w:pPr>
              <w:framePr w:w="7666" w:h="14698" w:wrap="none" w:vAnchor="page" w:hAnchor="page" w:x="1801" w:y="1392"/>
              <w:rPr>
                <w:sz w:val="10"/>
                <w:szCs w:val="10"/>
              </w:rPr>
            </w:pPr>
          </w:p>
        </w:tc>
        <w:tc>
          <w:tcPr>
            <w:tcW w:w="1037" w:type="dxa"/>
            <w:tcBorders>
              <w:top w:val="single" w:sz="4" w:space="0" w:color="auto"/>
              <w:left w:val="single" w:sz="4" w:space="0" w:color="auto"/>
            </w:tcBorders>
            <w:shd w:val="clear" w:color="auto" w:fill="auto"/>
            <w:vAlign w:val="bottom"/>
          </w:tcPr>
          <w:p w14:paraId="61BC145E" w14:textId="77777777" w:rsidR="00EC1C40" w:rsidRDefault="00000000">
            <w:pPr>
              <w:pStyle w:val="Jin0"/>
              <w:framePr w:w="7666" w:h="14698" w:wrap="none" w:vAnchor="page" w:hAnchor="page" w:x="1801" w:y="1392"/>
              <w:spacing w:after="0"/>
              <w:jc w:val="right"/>
              <w:rPr>
                <w:sz w:val="15"/>
                <w:szCs w:val="15"/>
              </w:rPr>
            </w:pPr>
            <w:r>
              <w:rPr>
                <w:sz w:val="15"/>
                <w:szCs w:val="15"/>
              </w:rPr>
              <w:t>12 868</w:t>
            </w:r>
          </w:p>
        </w:tc>
        <w:tc>
          <w:tcPr>
            <w:tcW w:w="1214" w:type="dxa"/>
            <w:tcBorders>
              <w:top w:val="single" w:sz="4" w:space="0" w:color="auto"/>
              <w:left w:val="single" w:sz="4" w:space="0" w:color="auto"/>
            </w:tcBorders>
            <w:shd w:val="clear" w:color="auto" w:fill="auto"/>
            <w:vAlign w:val="bottom"/>
          </w:tcPr>
          <w:p w14:paraId="07665290" w14:textId="77777777" w:rsidR="00EC1C40" w:rsidRDefault="00000000">
            <w:pPr>
              <w:pStyle w:val="Jin0"/>
              <w:framePr w:w="7666" w:h="14698" w:wrap="none" w:vAnchor="page" w:hAnchor="page" w:x="1801" w:y="1392"/>
              <w:spacing w:after="0"/>
              <w:jc w:val="right"/>
              <w:rPr>
                <w:sz w:val="15"/>
                <w:szCs w:val="15"/>
              </w:rPr>
            </w:pPr>
            <w:r>
              <w:rPr>
                <w:sz w:val="15"/>
                <w:szCs w:val="15"/>
              </w:rPr>
              <w:t>10%</w:t>
            </w:r>
          </w:p>
        </w:tc>
        <w:tc>
          <w:tcPr>
            <w:tcW w:w="1104" w:type="dxa"/>
            <w:tcBorders>
              <w:top w:val="single" w:sz="4" w:space="0" w:color="auto"/>
              <w:left w:val="single" w:sz="4" w:space="0" w:color="auto"/>
              <w:right w:val="single" w:sz="4" w:space="0" w:color="auto"/>
            </w:tcBorders>
            <w:shd w:val="clear" w:color="auto" w:fill="auto"/>
            <w:vAlign w:val="bottom"/>
          </w:tcPr>
          <w:p w14:paraId="7B7A0DD0" w14:textId="77777777" w:rsidR="00EC1C40" w:rsidRDefault="00000000">
            <w:pPr>
              <w:pStyle w:val="Jin0"/>
              <w:framePr w:w="7666" w:h="14698" w:wrap="none" w:vAnchor="page" w:hAnchor="page" w:x="1801" w:y="1392"/>
              <w:spacing w:after="0"/>
              <w:ind w:firstLine="680"/>
              <w:jc w:val="both"/>
              <w:rPr>
                <w:sz w:val="15"/>
                <w:szCs w:val="15"/>
              </w:rPr>
            </w:pPr>
            <w:r>
              <w:rPr>
                <w:sz w:val="15"/>
                <w:szCs w:val="15"/>
              </w:rPr>
              <w:t>1 287</w:t>
            </w:r>
          </w:p>
        </w:tc>
      </w:tr>
      <w:tr w:rsidR="00EC1C40" w14:paraId="29E59156" w14:textId="77777777">
        <w:tblPrEx>
          <w:tblCellMar>
            <w:top w:w="0" w:type="dxa"/>
            <w:bottom w:w="0" w:type="dxa"/>
          </w:tblCellMar>
        </w:tblPrEx>
        <w:trPr>
          <w:trHeight w:hRule="exact" w:val="192"/>
        </w:trPr>
        <w:tc>
          <w:tcPr>
            <w:tcW w:w="2640" w:type="dxa"/>
            <w:tcBorders>
              <w:top w:val="single" w:sz="4" w:space="0" w:color="auto"/>
              <w:left w:val="single" w:sz="4" w:space="0" w:color="auto"/>
            </w:tcBorders>
            <w:shd w:val="clear" w:color="auto" w:fill="auto"/>
          </w:tcPr>
          <w:p w14:paraId="4AF0BA58" w14:textId="77777777" w:rsidR="00EC1C40" w:rsidRDefault="00000000">
            <w:pPr>
              <w:pStyle w:val="Jin0"/>
              <w:framePr w:w="7666" w:h="14698" w:wrap="none" w:vAnchor="page" w:hAnchor="page" w:x="1801" w:y="1392"/>
              <w:spacing w:after="0"/>
              <w:jc w:val="both"/>
              <w:rPr>
                <w:sz w:val="15"/>
                <w:szCs w:val="15"/>
              </w:rPr>
            </w:pPr>
            <w:r>
              <w:rPr>
                <w:b/>
                <w:bCs/>
                <w:sz w:val="15"/>
                <w:szCs w:val="15"/>
              </w:rPr>
              <w:t>1PP</w:t>
            </w:r>
          </w:p>
        </w:tc>
        <w:tc>
          <w:tcPr>
            <w:tcW w:w="835" w:type="dxa"/>
            <w:tcBorders>
              <w:top w:val="single" w:sz="4" w:space="0" w:color="auto"/>
              <w:left w:val="single" w:sz="4" w:space="0" w:color="auto"/>
            </w:tcBorders>
            <w:shd w:val="clear" w:color="auto" w:fill="auto"/>
          </w:tcPr>
          <w:p w14:paraId="1029A9AC" w14:textId="77777777" w:rsidR="00EC1C40" w:rsidRDefault="00000000">
            <w:pPr>
              <w:pStyle w:val="Jin0"/>
              <w:framePr w:w="7666" w:h="14698" w:wrap="none" w:vAnchor="page" w:hAnchor="page" w:x="1801" w:y="1392"/>
              <w:spacing w:after="0"/>
              <w:ind w:firstLine="360"/>
              <w:jc w:val="both"/>
              <w:rPr>
                <w:sz w:val="15"/>
                <w:szCs w:val="15"/>
              </w:rPr>
            </w:pPr>
            <w:r>
              <w:rPr>
                <w:b/>
                <w:bCs/>
                <w:sz w:val="15"/>
                <w:szCs w:val="15"/>
              </w:rPr>
              <w:t>22 547</w:t>
            </w:r>
          </w:p>
        </w:tc>
        <w:tc>
          <w:tcPr>
            <w:tcW w:w="835" w:type="dxa"/>
            <w:tcBorders>
              <w:top w:val="single" w:sz="4" w:space="0" w:color="auto"/>
              <w:left w:val="single" w:sz="4" w:space="0" w:color="auto"/>
            </w:tcBorders>
            <w:shd w:val="clear" w:color="auto" w:fill="auto"/>
          </w:tcPr>
          <w:p w14:paraId="295EEDF3" w14:textId="77777777" w:rsidR="00EC1C40" w:rsidRDefault="00EC1C40">
            <w:pPr>
              <w:framePr w:w="7666" w:h="14698" w:wrap="none" w:vAnchor="page" w:hAnchor="page" w:x="1801" w:y="1392"/>
              <w:rPr>
                <w:sz w:val="10"/>
                <w:szCs w:val="10"/>
              </w:rPr>
            </w:pPr>
          </w:p>
        </w:tc>
        <w:tc>
          <w:tcPr>
            <w:tcW w:w="1037" w:type="dxa"/>
            <w:tcBorders>
              <w:top w:val="single" w:sz="4" w:space="0" w:color="auto"/>
              <w:left w:val="single" w:sz="4" w:space="0" w:color="auto"/>
            </w:tcBorders>
            <w:shd w:val="clear" w:color="auto" w:fill="auto"/>
          </w:tcPr>
          <w:p w14:paraId="39DB3B2D" w14:textId="77777777" w:rsidR="00EC1C40" w:rsidRDefault="00EC1C40">
            <w:pPr>
              <w:framePr w:w="7666" w:h="14698" w:wrap="none" w:vAnchor="page" w:hAnchor="page" w:x="1801" w:y="1392"/>
              <w:rPr>
                <w:sz w:val="10"/>
                <w:szCs w:val="10"/>
              </w:rPr>
            </w:pPr>
          </w:p>
        </w:tc>
        <w:tc>
          <w:tcPr>
            <w:tcW w:w="1214" w:type="dxa"/>
            <w:tcBorders>
              <w:top w:val="single" w:sz="4" w:space="0" w:color="auto"/>
              <w:left w:val="single" w:sz="4" w:space="0" w:color="auto"/>
            </w:tcBorders>
            <w:shd w:val="clear" w:color="auto" w:fill="auto"/>
          </w:tcPr>
          <w:p w14:paraId="2A79F428" w14:textId="77777777" w:rsidR="00EC1C40" w:rsidRDefault="00EC1C40">
            <w:pPr>
              <w:framePr w:w="7666" w:h="14698" w:wrap="none" w:vAnchor="page" w:hAnchor="page" w:x="1801" w:y="1392"/>
              <w:rPr>
                <w:sz w:val="10"/>
                <w:szCs w:val="10"/>
              </w:rPr>
            </w:pPr>
          </w:p>
        </w:tc>
        <w:tc>
          <w:tcPr>
            <w:tcW w:w="1104" w:type="dxa"/>
            <w:tcBorders>
              <w:top w:val="single" w:sz="4" w:space="0" w:color="auto"/>
              <w:left w:val="single" w:sz="4" w:space="0" w:color="auto"/>
              <w:right w:val="single" w:sz="4" w:space="0" w:color="auto"/>
            </w:tcBorders>
            <w:shd w:val="clear" w:color="auto" w:fill="auto"/>
          </w:tcPr>
          <w:p w14:paraId="23986EF6" w14:textId="77777777" w:rsidR="00EC1C40" w:rsidRDefault="00EC1C40">
            <w:pPr>
              <w:framePr w:w="7666" w:h="14698" w:wrap="none" w:vAnchor="page" w:hAnchor="page" w:x="1801" w:y="1392"/>
              <w:rPr>
                <w:sz w:val="10"/>
                <w:szCs w:val="10"/>
              </w:rPr>
            </w:pPr>
          </w:p>
        </w:tc>
      </w:tr>
      <w:tr w:rsidR="00EC1C40" w14:paraId="2EF3765C" w14:textId="77777777">
        <w:tblPrEx>
          <w:tblCellMar>
            <w:top w:w="0" w:type="dxa"/>
            <w:bottom w:w="0" w:type="dxa"/>
          </w:tblCellMar>
        </w:tblPrEx>
        <w:trPr>
          <w:trHeight w:hRule="exact" w:val="197"/>
        </w:trPr>
        <w:tc>
          <w:tcPr>
            <w:tcW w:w="2640" w:type="dxa"/>
            <w:tcBorders>
              <w:top w:val="single" w:sz="4" w:space="0" w:color="auto"/>
              <w:left w:val="single" w:sz="4" w:space="0" w:color="auto"/>
            </w:tcBorders>
            <w:shd w:val="clear" w:color="auto" w:fill="auto"/>
          </w:tcPr>
          <w:p w14:paraId="67054C08" w14:textId="77777777" w:rsidR="00EC1C40" w:rsidRDefault="00000000">
            <w:pPr>
              <w:pStyle w:val="Jin0"/>
              <w:framePr w:w="7666" w:h="14698" w:wrap="none" w:vAnchor="page" w:hAnchor="page" w:x="1801" w:y="1392"/>
              <w:spacing w:after="0"/>
              <w:jc w:val="both"/>
              <w:rPr>
                <w:sz w:val="15"/>
                <w:szCs w:val="15"/>
              </w:rPr>
            </w:pPr>
            <w:r>
              <w:rPr>
                <w:sz w:val="15"/>
                <w:szCs w:val="15"/>
              </w:rPr>
              <w:t>ARÉNA VEŘEJNOST</w:t>
            </w:r>
          </w:p>
        </w:tc>
        <w:tc>
          <w:tcPr>
            <w:tcW w:w="835" w:type="dxa"/>
            <w:tcBorders>
              <w:top w:val="single" w:sz="4" w:space="0" w:color="auto"/>
              <w:left w:val="single" w:sz="4" w:space="0" w:color="auto"/>
            </w:tcBorders>
            <w:shd w:val="clear" w:color="auto" w:fill="auto"/>
          </w:tcPr>
          <w:p w14:paraId="5142CD29" w14:textId="77777777" w:rsidR="00EC1C40" w:rsidRDefault="00000000">
            <w:pPr>
              <w:pStyle w:val="Jin0"/>
              <w:framePr w:w="7666" w:h="14698" w:wrap="none" w:vAnchor="page" w:hAnchor="page" w:x="1801" w:y="1392"/>
              <w:spacing w:after="0"/>
              <w:ind w:firstLine="540"/>
              <w:jc w:val="both"/>
              <w:rPr>
                <w:sz w:val="15"/>
                <w:szCs w:val="15"/>
              </w:rPr>
            </w:pPr>
            <w:r>
              <w:rPr>
                <w:sz w:val="15"/>
                <w:szCs w:val="15"/>
              </w:rPr>
              <w:t>769</w:t>
            </w:r>
          </w:p>
        </w:tc>
        <w:tc>
          <w:tcPr>
            <w:tcW w:w="835" w:type="dxa"/>
            <w:tcBorders>
              <w:top w:val="single" w:sz="4" w:space="0" w:color="auto"/>
              <w:left w:val="single" w:sz="4" w:space="0" w:color="auto"/>
            </w:tcBorders>
            <w:shd w:val="clear" w:color="auto" w:fill="auto"/>
          </w:tcPr>
          <w:p w14:paraId="0AC57A36" w14:textId="77777777" w:rsidR="00EC1C40" w:rsidRDefault="00000000">
            <w:pPr>
              <w:pStyle w:val="Jin0"/>
              <w:framePr w:w="7666" w:h="14698" w:wrap="none" w:vAnchor="page" w:hAnchor="page" w:x="1801" w:y="1392"/>
              <w:spacing w:after="0"/>
              <w:ind w:firstLine="540"/>
              <w:jc w:val="both"/>
              <w:rPr>
                <w:sz w:val="15"/>
                <w:szCs w:val="15"/>
              </w:rPr>
            </w:pPr>
            <w:r>
              <w:rPr>
                <w:sz w:val="15"/>
                <w:szCs w:val="15"/>
              </w:rPr>
              <w:t>769</w:t>
            </w:r>
          </w:p>
        </w:tc>
        <w:tc>
          <w:tcPr>
            <w:tcW w:w="1037" w:type="dxa"/>
            <w:tcBorders>
              <w:top w:val="single" w:sz="4" w:space="0" w:color="auto"/>
              <w:left w:val="single" w:sz="4" w:space="0" w:color="auto"/>
            </w:tcBorders>
            <w:shd w:val="clear" w:color="auto" w:fill="auto"/>
          </w:tcPr>
          <w:p w14:paraId="54EE14B3" w14:textId="77777777" w:rsidR="00EC1C40" w:rsidRDefault="00EC1C40">
            <w:pPr>
              <w:framePr w:w="7666" w:h="14698" w:wrap="none" w:vAnchor="page" w:hAnchor="page" w:x="1801" w:y="1392"/>
              <w:rPr>
                <w:sz w:val="10"/>
                <w:szCs w:val="10"/>
              </w:rPr>
            </w:pPr>
          </w:p>
        </w:tc>
        <w:tc>
          <w:tcPr>
            <w:tcW w:w="1214" w:type="dxa"/>
            <w:tcBorders>
              <w:top w:val="single" w:sz="4" w:space="0" w:color="auto"/>
              <w:left w:val="single" w:sz="4" w:space="0" w:color="auto"/>
            </w:tcBorders>
            <w:shd w:val="clear" w:color="auto" w:fill="auto"/>
          </w:tcPr>
          <w:p w14:paraId="4C9D01E0" w14:textId="77777777" w:rsidR="00EC1C40" w:rsidRDefault="00EC1C40">
            <w:pPr>
              <w:framePr w:w="7666" w:h="14698" w:wrap="none" w:vAnchor="page" w:hAnchor="page" w:x="1801" w:y="1392"/>
              <w:rPr>
                <w:sz w:val="10"/>
                <w:szCs w:val="10"/>
              </w:rPr>
            </w:pPr>
          </w:p>
        </w:tc>
        <w:tc>
          <w:tcPr>
            <w:tcW w:w="1104" w:type="dxa"/>
            <w:tcBorders>
              <w:top w:val="single" w:sz="4" w:space="0" w:color="auto"/>
              <w:left w:val="single" w:sz="4" w:space="0" w:color="auto"/>
              <w:right w:val="single" w:sz="4" w:space="0" w:color="auto"/>
            </w:tcBorders>
            <w:shd w:val="clear" w:color="auto" w:fill="auto"/>
          </w:tcPr>
          <w:p w14:paraId="3E5DC8F7" w14:textId="77777777" w:rsidR="00EC1C40" w:rsidRDefault="00EC1C40">
            <w:pPr>
              <w:framePr w:w="7666" w:h="14698" w:wrap="none" w:vAnchor="page" w:hAnchor="page" w:x="1801" w:y="1392"/>
              <w:rPr>
                <w:sz w:val="10"/>
                <w:szCs w:val="10"/>
              </w:rPr>
            </w:pPr>
          </w:p>
        </w:tc>
      </w:tr>
      <w:tr w:rsidR="00EC1C40" w14:paraId="7FB410FD" w14:textId="77777777">
        <w:tblPrEx>
          <w:tblCellMar>
            <w:top w:w="0" w:type="dxa"/>
            <w:bottom w:w="0" w:type="dxa"/>
          </w:tblCellMar>
        </w:tblPrEx>
        <w:trPr>
          <w:trHeight w:hRule="exact" w:val="192"/>
        </w:trPr>
        <w:tc>
          <w:tcPr>
            <w:tcW w:w="2640" w:type="dxa"/>
            <w:tcBorders>
              <w:top w:val="single" w:sz="4" w:space="0" w:color="auto"/>
              <w:left w:val="single" w:sz="4" w:space="0" w:color="auto"/>
            </w:tcBorders>
            <w:shd w:val="clear" w:color="auto" w:fill="auto"/>
          </w:tcPr>
          <w:p w14:paraId="4D107DF7" w14:textId="77777777" w:rsidR="00EC1C40" w:rsidRDefault="00000000">
            <w:pPr>
              <w:pStyle w:val="Jin0"/>
              <w:framePr w:w="7666" w:h="14698" w:wrap="none" w:vAnchor="page" w:hAnchor="page" w:x="1801" w:y="1392"/>
              <w:spacing w:after="0"/>
              <w:jc w:val="both"/>
              <w:rPr>
                <w:sz w:val="15"/>
                <w:szCs w:val="15"/>
              </w:rPr>
            </w:pPr>
            <w:r>
              <w:rPr>
                <w:sz w:val="15"/>
                <w:szCs w:val="15"/>
              </w:rPr>
              <w:t>ARÉNA ZÁZEMÍ</w:t>
            </w:r>
          </w:p>
        </w:tc>
        <w:tc>
          <w:tcPr>
            <w:tcW w:w="835" w:type="dxa"/>
            <w:tcBorders>
              <w:top w:val="single" w:sz="4" w:space="0" w:color="auto"/>
              <w:left w:val="single" w:sz="4" w:space="0" w:color="auto"/>
            </w:tcBorders>
            <w:shd w:val="clear" w:color="auto" w:fill="auto"/>
          </w:tcPr>
          <w:p w14:paraId="0CBD3EB5" w14:textId="77777777" w:rsidR="00EC1C40" w:rsidRDefault="00000000">
            <w:pPr>
              <w:pStyle w:val="Jin0"/>
              <w:framePr w:w="7666" w:h="14698" w:wrap="none" w:vAnchor="page" w:hAnchor="page" w:x="1801" w:y="1392"/>
              <w:spacing w:after="0"/>
              <w:ind w:firstLine="420"/>
              <w:jc w:val="both"/>
              <w:rPr>
                <w:sz w:val="15"/>
                <w:szCs w:val="15"/>
              </w:rPr>
            </w:pPr>
            <w:r>
              <w:rPr>
                <w:sz w:val="15"/>
                <w:szCs w:val="15"/>
              </w:rPr>
              <w:t>7 863</w:t>
            </w:r>
          </w:p>
        </w:tc>
        <w:tc>
          <w:tcPr>
            <w:tcW w:w="835" w:type="dxa"/>
            <w:tcBorders>
              <w:top w:val="single" w:sz="4" w:space="0" w:color="auto"/>
              <w:left w:val="single" w:sz="4" w:space="0" w:color="auto"/>
            </w:tcBorders>
            <w:shd w:val="clear" w:color="auto" w:fill="auto"/>
          </w:tcPr>
          <w:p w14:paraId="531B4E4A" w14:textId="77777777" w:rsidR="00EC1C40" w:rsidRDefault="00000000">
            <w:pPr>
              <w:pStyle w:val="Jin0"/>
              <w:framePr w:w="7666" w:h="14698" w:wrap="none" w:vAnchor="page" w:hAnchor="page" w:x="1801" w:y="1392"/>
              <w:spacing w:after="0"/>
              <w:ind w:firstLine="420"/>
              <w:jc w:val="both"/>
              <w:rPr>
                <w:sz w:val="15"/>
                <w:szCs w:val="15"/>
              </w:rPr>
            </w:pPr>
            <w:r>
              <w:rPr>
                <w:sz w:val="15"/>
                <w:szCs w:val="15"/>
              </w:rPr>
              <w:t>7 863</w:t>
            </w:r>
          </w:p>
        </w:tc>
        <w:tc>
          <w:tcPr>
            <w:tcW w:w="1037" w:type="dxa"/>
            <w:tcBorders>
              <w:top w:val="single" w:sz="4" w:space="0" w:color="auto"/>
              <w:left w:val="single" w:sz="4" w:space="0" w:color="auto"/>
            </w:tcBorders>
            <w:shd w:val="clear" w:color="auto" w:fill="auto"/>
          </w:tcPr>
          <w:p w14:paraId="599750FC" w14:textId="77777777" w:rsidR="00EC1C40" w:rsidRDefault="00EC1C40">
            <w:pPr>
              <w:framePr w:w="7666" w:h="14698" w:wrap="none" w:vAnchor="page" w:hAnchor="page" w:x="1801" w:y="1392"/>
              <w:rPr>
                <w:sz w:val="10"/>
                <w:szCs w:val="10"/>
              </w:rPr>
            </w:pPr>
          </w:p>
        </w:tc>
        <w:tc>
          <w:tcPr>
            <w:tcW w:w="1214" w:type="dxa"/>
            <w:tcBorders>
              <w:top w:val="single" w:sz="4" w:space="0" w:color="auto"/>
              <w:left w:val="single" w:sz="4" w:space="0" w:color="auto"/>
            </w:tcBorders>
            <w:shd w:val="clear" w:color="auto" w:fill="auto"/>
          </w:tcPr>
          <w:p w14:paraId="1D0AC72A" w14:textId="77777777" w:rsidR="00EC1C40" w:rsidRDefault="00EC1C40">
            <w:pPr>
              <w:framePr w:w="7666" w:h="14698" w:wrap="none" w:vAnchor="page" w:hAnchor="page" w:x="1801" w:y="1392"/>
              <w:rPr>
                <w:sz w:val="10"/>
                <w:szCs w:val="10"/>
              </w:rPr>
            </w:pPr>
          </w:p>
        </w:tc>
        <w:tc>
          <w:tcPr>
            <w:tcW w:w="1104" w:type="dxa"/>
            <w:tcBorders>
              <w:top w:val="single" w:sz="4" w:space="0" w:color="auto"/>
              <w:left w:val="single" w:sz="4" w:space="0" w:color="auto"/>
              <w:right w:val="single" w:sz="4" w:space="0" w:color="auto"/>
            </w:tcBorders>
            <w:shd w:val="clear" w:color="auto" w:fill="auto"/>
          </w:tcPr>
          <w:p w14:paraId="41875426" w14:textId="77777777" w:rsidR="00EC1C40" w:rsidRDefault="00EC1C40">
            <w:pPr>
              <w:framePr w:w="7666" w:h="14698" w:wrap="none" w:vAnchor="page" w:hAnchor="page" w:x="1801" w:y="1392"/>
              <w:rPr>
                <w:sz w:val="10"/>
                <w:szCs w:val="10"/>
              </w:rPr>
            </w:pPr>
          </w:p>
        </w:tc>
      </w:tr>
      <w:tr w:rsidR="00EC1C40" w14:paraId="6B2389A1" w14:textId="77777777">
        <w:tblPrEx>
          <w:tblCellMar>
            <w:top w:w="0" w:type="dxa"/>
            <w:bottom w:w="0" w:type="dxa"/>
          </w:tblCellMar>
        </w:tblPrEx>
        <w:trPr>
          <w:trHeight w:hRule="exact" w:val="197"/>
        </w:trPr>
        <w:tc>
          <w:tcPr>
            <w:tcW w:w="2640" w:type="dxa"/>
            <w:tcBorders>
              <w:top w:val="single" w:sz="4" w:space="0" w:color="auto"/>
              <w:left w:val="single" w:sz="4" w:space="0" w:color="auto"/>
            </w:tcBorders>
            <w:shd w:val="clear" w:color="auto" w:fill="auto"/>
            <w:vAlign w:val="bottom"/>
          </w:tcPr>
          <w:p w14:paraId="39FCBC49" w14:textId="77777777" w:rsidR="00EC1C40" w:rsidRDefault="00000000">
            <w:pPr>
              <w:pStyle w:val="Jin0"/>
              <w:framePr w:w="7666" w:h="14698" w:wrap="none" w:vAnchor="page" w:hAnchor="page" w:x="1801" w:y="1392"/>
              <w:spacing w:after="0"/>
              <w:rPr>
                <w:sz w:val="15"/>
                <w:szCs w:val="15"/>
              </w:rPr>
            </w:pPr>
            <w:r>
              <w:rPr>
                <w:sz w:val="15"/>
                <w:szCs w:val="15"/>
                <w:lang w:val="en-US" w:eastAsia="en-US" w:bidi="en-US"/>
              </w:rPr>
              <w:t>PARKING</w:t>
            </w:r>
          </w:p>
        </w:tc>
        <w:tc>
          <w:tcPr>
            <w:tcW w:w="835" w:type="dxa"/>
            <w:tcBorders>
              <w:top w:val="single" w:sz="4" w:space="0" w:color="auto"/>
              <w:left w:val="single" w:sz="4" w:space="0" w:color="auto"/>
            </w:tcBorders>
            <w:shd w:val="clear" w:color="auto" w:fill="auto"/>
            <w:vAlign w:val="bottom"/>
          </w:tcPr>
          <w:p w14:paraId="2FD01875" w14:textId="77777777" w:rsidR="00EC1C40" w:rsidRDefault="00000000">
            <w:pPr>
              <w:pStyle w:val="Jin0"/>
              <w:framePr w:w="7666" w:h="14698" w:wrap="none" w:vAnchor="page" w:hAnchor="page" w:x="1801" w:y="1392"/>
              <w:spacing w:after="0"/>
              <w:ind w:firstLine="360"/>
              <w:jc w:val="both"/>
              <w:rPr>
                <w:sz w:val="15"/>
                <w:szCs w:val="15"/>
              </w:rPr>
            </w:pPr>
            <w:r>
              <w:rPr>
                <w:sz w:val="15"/>
                <w:szCs w:val="15"/>
              </w:rPr>
              <w:t>13 916</w:t>
            </w:r>
          </w:p>
        </w:tc>
        <w:tc>
          <w:tcPr>
            <w:tcW w:w="835" w:type="dxa"/>
            <w:tcBorders>
              <w:top w:val="single" w:sz="4" w:space="0" w:color="auto"/>
              <w:left w:val="single" w:sz="4" w:space="0" w:color="auto"/>
            </w:tcBorders>
            <w:shd w:val="clear" w:color="auto" w:fill="auto"/>
          </w:tcPr>
          <w:p w14:paraId="5D471579" w14:textId="77777777" w:rsidR="00EC1C40" w:rsidRDefault="00EC1C40">
            <w:pPr>
              <w:framePr w:w="7666" w:h="14698" w:wrap="none" w:vAnchor="page" w:hAnchor="page" w:x="1801" w:y="1392"/>
              <w:rPr>
                <w:sz w:val="10"/>
                <w:szCs w:val="10"/>
              </w:rPr>
            </w:pPr>
          </w:p>
        </w:tc>
        <w:tc>
          <w:tcPr>
            <w:tcW w:w="1037" w:type="dxa"/>
            <w:tcBorders>
              <w:top w:val="single" w:sz="4" w:space="0" w:color="auto"/>
              <w:left w:val="single" w:sz="4" w:space="0" w:color="auto"/>
            </w:tcBorders>
            <w:shd w:val="clear" w:color="auto" w:fill="auto"/>
            <w:vAlign w:val="bottom"/>
          </w:tcPr>
          <w:p w14:paraId="0B0F9C0D" w14:textId="77777777" w:rsidR="00EC1C40" w:rsidRDefault="00000000">
            <w:pPr>
              <w:pStyle w:val="Jin0"/>
              <w:framePr w:w="7666" w:h="14698" w:wrap="none" w:vAnchor="page" w:hAnchor="page" w:x="1801" w:y="1392"/>
              <w:spacing w:after="0"/>
              <w:jc w:val="right"/>
              <w:rPr>
                <w:sz w:val="15"/>
                <w:szCs w:val="15"/>
              </w:rPr>
            </w:pPr>
            <w:r>
              <w:rPr>
                <w:sz w:val="15"/>
                <w:szCs w:val="15"/>
              </w:rPr>
              <w:t>13 916</w:t>
            </w:r>
          </w:p>
        </w:tc>
        <w:tc>
          <w:tcPr>
            <w:tcW w:w="1214" w:type="dxa"/>
            <w:tcBorders>
              <w:top w:val="single" w:sz="4" w:space="0" w:color="auto"/>
              <w:left w:val="single" w:sz="4" w:space="0" w:color="auto"/>
            </w:tcBorders>
            <w:shd w:val="clear" w:color="auto" w:fill="auto"/>
            <w:vAlign w:val="bottom"/>
          </w:tcPr>
          <w:p w14:paraId="70E25112" w14:textId="77777777" w:rsidR="00EC1C40" w:rsidRDefault="00000000">
            <w:pPr>
              <w:pStyle w:val="Jin0"/>
              <w:framePr w:w="7666" w:h="14698" w:wrap="none" w:vAnchor="page" w:hAnchor="page" w:x="1801" w:y="1392"/>
              <w:spacing w:after="0"/>
              <w:jc w:val="right"/>
              <w:rPr>
                <w:sz w:val="15"/>
                <w:szCs w:val="15"/>
              </w:rPr>
            </w:pPr>
            <w:r>
              <w:rPr>
                <w:sz w:val="15"/>
                <w:szCs w:val="15"/>
              </w:rPr>
              <w:t>10%</w:t>
            </w:r>
          </w:p>
        </w:tc>
        <w:tc>
          <w:tcPr>
            <w:tcW w:w="1104" w:type="dxa"/>
            <w:tcBorders>
              <w:top w:val="single" w:sz="4" w:space="0" w:color="auto"/>
              <w:left w:val="single" w:sz="4" w:space="0" w:color="auto"/>
              <w:right w:val="single" w:sz="4" w:space="0" w:color="auto"/>
            </w:tcBorders>
            <w:shd w:val="clear" w:color="auto" w:fill="auto"/>
            <w:vAlign w:val="bottom"/>
          </w:tcPr>
          <w:p w14:paraId="354D2224" w14:textId="77777777" w:rsidR="00EC1C40" w:rsidRDefault="00000000">
            <w:pPr>
              <w:pStyle w:val="Jin0"/>
              <w:framePr w:w="7666" w:h="14698" w:wrap="none" w:vAnchor="page" w:hAnchor="page" w:x="1801" w:y="1392"/>
              <w:spacing w:after="0"/>
              <w:ind w:firstLine="680"/>
              <w:jc w:val="both"/>
              <w:rPr>
                <w:sz w:val="15"/>
                <w:szCs w:val="15"/>
              </w:rPr>
            </w:pPr>
            <w:r>
              <w:rPr>
                <w:sz w:val="15"/>
                <w:szCs w:val="15"/>
              </w:rPr>
              <w:t>1 392</w:t>
            </w:r>
          </w:p>
        </w:tc>
      </w:tr>
      <w:tr w:rsidR="00EC1C40" w14:paraId="78DAF72E" w14:textId="77777777">
        <w:tblPrEx>
          <w:tblCellMar>
            <w:top w:w="0" w:type="dxa"/>
            <w:bottom w:w="0" w:type="dxa"/>
          </w:tblCellMar>
        </w:tblPrEx>
        <w:trPr>
          <w:trHeight w:hRule="exact" w:val="192"/>
        </w:trPr>
        <w:tc>
          <w:tcPr>
            <w:tcW w:w="2640" w:type="dxa"/>
            <w:tcBorders>
              <w:top w:val="single" w:sz="4" w:space="0" w:color="auto"/>
              <w:left w:val="single" w:sz="4" w:space="0" w:color="auto"/>
            </w:tcBorders>
            <w:shd w:val="clear" w:color="auto" w:fill="auto"/>
          </w:tcPr>
          <w:p w14:paraId="4D63DB6D" w14:textId="77777777" w:rsidR="00EC1C40" w:rsidRDefault="00000000">
            <w:pPr>
              <w:pStyle w:val="Jin0"/>
              <w:framePr w:w="7666" w:h="14698" w:wrap="none" w:vAnchor="page" w:hAnchor="page" w:x="1801" w:y="1392"/>
              <w:spacing w:after="0"/>
              <w:jc w:val="both"/>
              <w:rPr>
                <w:sz w:val="15"/>
                <w:szCs w:val="15"/>
              </w:rPr>
            </w:pPr>
            <w:r>
              <w:rPr>
                <w:b/>
                <w:bCs/>
                <w:sz w:val="15"/>
                <w:szCs w:val="15"/>
              </w:rPr>
              <w:t>1NP</w:t>
            </w:r>
          </w:p>
        </w:tc>
        <w:tc>
          <w:tcPr>
            <w:tcW w:w="835" w:type="dxa"/>
            <w:tcBorders>
              <w:top w:val="single" w:sz="4" w:space="0" w:color="auto"/>
              <w:left w:val="single" w:sz="4" w:space="0" w:color="auto"/>
            </w:tcBorders>
            <w:shd w:val="clear" w:color="auto" w:fill="auto"/>
          </w:tcPr>
          <w:p w14:paraId="0AE5BAD8" w14:textId="77777777" w:rsidR="00EC1C40" w:rsidRDefault="00000000">
            <w:pPr>
              <w:pStyle w:val="Jin0"/>
              <w:framePr w:w="7666" w:h="14698" w:wrap="none" w:vAnchor="page" w:hAnchor="page" w:x="1801" w:y="1392"/>
              <w:spacing w:after="0"/>
              <w:ind w:firstLine="360"/>
              <w:jc w:val="both"/>
              <w:rPr>
                <w:sz w:val="15"/>
                <w:szCs w:val="15"/>
              </w:rPr>
            </w:pPr>
            <w:r>
              <w:rPr>
                <w:b/>
                <w:bCs/>
                <w:sz w:val="15"/>
                <w:szCs w:val="15"/>
              </w:rPr>
              <w:t>16 249</w:t>
            </w:r>
          </w:p>
        </w:tc>
        <w:tc>
          <w:tcPr>
            <w:tcW w:w="835" w:type="dxa"/>
            <w:tcBorders>
              <w:top w:val="single" w:sz="4" w:space="0" w:color="auto"/>
              <w:left w:val="single" w:sz="4" w:space="0" w:color="auto"/>
            </w:tcBorders>
            <w:shd w:val="clear" w:color="auto" w:fill="auto"/>
          </w:tcPr>
          <w:p w14:paraId="2A3DA692" w14:textId="77777777" w:rsidR="00EC1C40" w:rsidRDefault="00EC1C40">
            <w:pPr>
              <w:framePr w:w="7666" w:h="14698" w:wrap="none" w:vAnchor="page" w:hAnchor="page" w:x="1801" w:y="1392"/>
              <w:rPr>
                <w:sz w:val="10"/>
                <w:szCs w:val="10"/>
              </w:rPr>
            </w:pPr>
          </w:p>
        </w:tc>
        <w:tc>
          <w:tcPr>
            <w:tcW w:w="1037" w:type="dxa"/>
            <w:tcBorders>
              <w:top w:val="single" w:sz="4" w:space="0" w:color="auto"/>
              <w:left w:val="single" w:sz="4" w:space="0" w:color="auto"/>
            </w:tcBorders>
            <w:shd w:val="clear" w:color="auto" w:fill="auto"/>
          </w:tcPr>
          <w:p w14:paraId="1A2BE810" w14:textId="77777777" w:rsidR="00EC1C40" w:rsidRDefault="00EC1C40">
            <w:pPr>
              <w:framePr w:w="7666" w:h="14698" w:wrap="none" w:vAnchor="page" w:hAnchor="page" w:x="1801" w:y="1392"/>
              <w:rPr>
                <w:sz w:val="10"/>
                <w:szCs w:val="10"/>
              </w:rPr>
            </w:pPr>
          </w:p>
        </w:tc>
        <w:tc>
          <w:tcPr>
            <w:tcW w:w="1214" w:type="dxa"/>
            <w:tcBorders>
              <w:top w:val="single" w:sz="4" w:space="0" w:color="auto"/>
              <w:left w:val="single" w:sz="4" w:space="0" w:color="auto"/>
            </w:tcBorders>
            <w:shd w:val="clear" w:color="auto" w:fill="auto"/>
          </w:tcPr>
          <w:p w14:paraId="21726A0F" w14:textId="77777777" w:rsidR="00EC1C40" w:rsidRDefault="00EC1C40">
            <w:pPr>
              <w:framePr w:w="7666" w:h="14698" w:wrap="none" w:vAnchor="page" w:hAnchor="page" w:x="1801" w:y="1392"/>
              <w:rPr>
                <w:sz w:val="10"/>
                <w:szCs w:val="10"/>
              </w:rPr>
            </w:pPr>
          </w:p>
        </w:tc>
        <w:tc>
          <w:tcPr>
            <w:tcW w:w="1104" w:type="dxa"/>
            <w:tcBorders>
              <w:top w:val="single" w:sz="4" w:space="0" w:color="auto"/>
              <w:left w:val="single" w:sz="4" w:space="0" w:color="auto"/>
              <w:right w:val="single" w:sz="4" w:space="0" w:color="auto"/>
            </w:tcBorders>
            <w:shd w:val="clear" w:color="auto" w:fill="auto"/>
          </w:tcPr>
          <w:p w14:paraId="3D5B766D" w14:textId="77777777" w:rsidR="00EC1C40" w:rsidRDefault="00EC1C40">
            <w:pPr>
              <w:framePr w:w="7666" w:h="14698" w:wrap="none" w:vAnchor="page" w:hAnchor="page" w:x="1801" w:y="1392"/>
              <w:rPr>
                <w:sz w:val="10"/>
                <w:szCs w:val="10"/>
              </w:rPr>
            </w:pPr>
          </w:p>
        </w:tc>
      </w:tr>
      <w:tr w:rsidR="00EC1C40" w14:paraId="2CC8AA97" w14:textId="77777777">
        <w:tblPrEx>
          <w:tblCellMar>
            <w:top w:w="0" w:type="dxa"/>
            <w:bottom w:w="0" w:type="dxa"/>
          </w:tblCellMar>
        </w:tblPrEx>
        <w:trPr>
          <w:trHeight w:hRule="exact" w:val="192"/>
        </w:trPr>
        <w:tc>
          <w:tcPr>
            <w:tcW w:w="2640" w:type="dxa"/>
            <w:tcBorders>
              <w:top w:val="single" w:sz="4" w:space="0" w:color="auto"/>
              <w:left w:val="single" w:sz="4" w:space="0" w:color="auto"/>
            </w:tcBorders>
            <w:shd w:val="clear" w:color="auto" w:fill="auto"/>
          </w:tcPr>
          <w:p w14:paraId="034999C6" w14:textId="77777777" w:rsidR="00EC1C40" w:rsidRDefault="00000000">
            <w:pPr>
              <w:pStyle w:val="Jin0"/>
              <w:framePr w:w="7666" w:h="14698" w:wrap="none" w:vAnchor="page" w:hAnchor="page" w:x="1801" w:y="1392"/>
              <w:spacing w:after="0"/>
              <w:jc w:val="both"/>
              <w:rPr>
                <w:sz w:val="15"/>
                <w:szCs w:val="15"/>
              </w:rPr>
            </w:pPr>
            <w:r>
              <w:rPr>
                <w:sz w:val="15"/>
                <w:szCs w:val="15"/>
              </w:rPr>
              <w:t>ARÉNA VEŘEJNOST</w:t>
            </w:r>
          </w:p>
        </w:tc>
        <w:tc>
          <w:tcPr>
            <w:tcW w:w="835" w:type="dxa"/>
            <w:tcBorders>
              <w:top w:val="single" w:sz="4" w:space="0" w:color="auto"/>
              <w:left w:val="single" w:sz="4" w:space="0" w:color="auto"/>
            </w:tcBorders>
            <w:shd w:val="clear" w:color="auto" w:fill="auto"/>
          </w:tcPr>
          <w:p w14:paraId="399CF05C" w14:textId="77777777" w:rsidR="00EC1C40" w:rsidRDefault="00000000">
            <w:pPr>
              <w:pStyle w:val="Jin0"/>
              <w:framePr w:w="7666" w:h="14698" w:wrap="none" w:vAnchor="page" w:hAnchor="page" w:x="1801" w:y="1392"/>
              <w:spacing w:after="0"/>
              <w:ind w:firstLine="420"/>
              <w:jc w:val="both"/>
              <w:rPr>
                <w:sz w:val="15"/>
                <w:szCs w:val="15"/>
              </w:rPr>
            </w:pPr>
            <w:r>
              <w:rPr>
                <w:sz w:val="15"/>
                <w:szCs w:val="15"/>
              </w:rPr>
              <w:t>5 342</w:t>
            </w:r>
          </w:p>
        </w:tc>
        <w:tc>
          <w:tcPr>
            <w:tcW w:w="835" w:type="dxa"/>
            <w:tcBorders>
              <w:top w:val="single" w:sz="4" w:space="0" w:color="auto"/>
              <w:left w:val="single" w:sz="4" w:space="0" w:color="auto"/>
            </w:tcBorders>
            <w:shd w:val="clear" w:color="auto" w:fill="auto"/>
          </w:tcPr>
          <w:p w14:paraId="54BDD270" w14:textId="77777777" w:rsidR="00EC1C40" w:rsidRDefault="00000000">
            <w:pPr>
              <w:pStyle w:val="Jin0"/>
              <w:framePr w:w="7666" w:h="14698" w:wrap="none" w:vAnchor="page" w:hAnchor="page" w:x="1801" w:y="1392"/>
              <w:spacing w:after="0"/>
              <w:ind w:firstLine="420"/>
              <w:jc w:val="both"/>
              <w:rPr>
                <w:sz w:val="15"/>
                <w:szCs w:val="15"/>
              </w:rPr>
            </w:pPr>
            <w:r>
              <w:rPr>
                <w:sz w:val="15"/>
                <w:szCs w:val="15"/>
              </w:rPr>
              <w:t>5 342</w:t>
            </w:r>
          </w:p>
        </w:tc>
        <w:tc>
          <w:tcPr>
            <w:tcW w:w="1037" w:type="dxa"/>
            <w:tcBorders>
              <w:top w:val="single" w:sz="4" w:space="0" w:color="auto"/>
              <w:left w:val="single" w:sz="4" w:space="0" w:color="auto"/>
            </w:tcBorders>
            <w:shd w:val="clear" w:color="auto" w:fill="auto"/>
          </w:tcPr>
          <w:p w14:paraId="113EFB71" w14:textId="77777777" w:rsidR="00EC1C40" w:rsidRDefault="00EC1C40">
            <w:pPr>
              <w:framePr w:w="7666" w:h="14698" w:wrap="none" w:vAnchor="page" w:hAnchor="page" w:x="1801" w:y="1392"/>
              <w:rPr>
                <w:sz w:val="10"/>
                <w:szCs w:val="10"/>
              </w:rPr>
            </w:pPr>
          </w:p>
        </w:tc>
        <w:tc>
          <w:tcPr>
            <w:tcW w:w="1214" w:type="dxa"/>
            <w:tcBorders>
              <w:top w:val="single" w:sz="4" w:space="0" w:color="auto"/>
              <w:left w:val="single" w:sz="4" w:space="0" w:color="auto"/>
            </w:tcBorders>
            <w:shd w:val="clear" w:color="auto" w:fill="auto"/>
          </w:tcPr>
          <w:p w14:paraId="3840CEFB" w14:textId="77777777" w:rsidR="00EC1C40" w:rsidRDefault="00EC1C40">
            <w:pPr>
              <w:framePr w:w="7666" w:h="14698" w:wrap="none" w:vAnchor="page" w:hAnchor="page" w:x="1801" w:y="1392"/>
              <w:rPr>
                <w:sz w:val="10"/>
                <w:szCs w:val="10"/>
              </w:rPr>
            </w:pPr>
          </w:p>
        </w:tc>
        <w:tc>
          <w:tcPr>
            <w:tcW w:w="1104" w:type="dxa"/>
            <w:tcBorders>
              <w:top w:val="single" w:sz="4" w:space="0" w:color="auto"/>
              <w:left w:val="single" w:sz="4" w:space="0" w:color="auto"/>
              <w:right w:val="single" w:sz="4" w:space="0" w:color="auto"/>
            </w:tcBorders>
            <w:shd w:val="clear" w:color="auto" w:fill="auto"/>
          </w:tcPr>
          <w:p w14:paraId="29513E1D" w14:textId="77777777" w:rsidR="00EC1C40" w:rsidRDefault="00EC1C40">
            <w:pPr>
              <w:framePr w:w="7666" w:h="14698" w:wrap="none" w:vAnchor="page" w:hAnchor="page" w:x="1801" w:y="1392"/>
              <w:rPr>
                <w:sz w:val="10"/>
                <w:szCs w:val="10"/>
              </w:rPr>
            </w:pPr>
          </w:p>
        </w:tc>
      </w:tr>
      <w:tr w:rsidR="00EC1C40" w14:paraId="140E632D" w14:textId="77777777">
        <w:tblPrEx>
          <w:tblCellMar>
            <w:top w:w="0" w:type="dxa"/>
            <w:bottom w:w="0" w:type="dxa"/>
          </w:tblCellMar>
        </w:tblPrEx>
        <w:trPr>
          <w:trHeight w:hRule="exact" w:val="197"/>
        </w:trPr>
        <w:tc>
          <w:tcPr>
            <w:tcW w:w="2640" w:type="dxa"/>
            <w:tcBorders>
              <w:top w:val="single" w:sz="4" w:space="0" w:color="auto"/>
              <w:left w:val="single" w:sz="4" w:space="0" w:color="auto"/>
            </w:tcBorders>
            <w:shd w:val="clear" w:color="auto" w:fill="auto"/>
          </w:tcPr>
          <w:p w14:paraId="29452458" w14:textId="77777777" w:rsidR="00EC1C40" w:rsidRDefault="00000000">
            <w:pPr>
              <w:pStyle w:val="Jin0"/>
              <w:framePr w:w="7666" w:h="14698" w:wrap="none" w:vAnchor="page" w:hAnchor="page" w:x="1801" w:y="1392"/>
              <w:spacing w:after="0"/>
              <w:jc w:val="both"/>
              <w:rPr>
                <w:sz w:val="15"/>
                <w:szCs w:val="15"/>
              </w:rPr>
            </w:pPr>
            <w:r>
              <w:rPr>
                <w:sz w:val="15"/>
                <w:szCs w:val="15"/>
              </w:rPr>
              <w:t>ARÉNA ZÁZEMÍ</w:t>
            </w:r>
          </w:p>
        </w:tc>
        <w:tc>
          <w:tcPr>
            <w:tcW w:w="835" w:type="dxa"/>
            <w:tcBorders>
              <w:top w:val="single" w:sz="4" w:space="0" w:color="auto"/>
              <w:left w:val="single" w:sz="4" w:space="0" w:color="auto"/>
            </w:tcBorders>
            <w:shd w:val="clear" w:color="auto" w:fill="auto"/>
          </w:tcPr>
          <w:p w14:paraId="5C90145E" w14:textId="77777777" w:rsidR="00EC1C40" w:rsidRDefault="00000000">
            <w:pPr>
              <w:pStyle w:val="Jin0"/>
              <w:framePr w:w="7666" w:h="14698" w:wrap="none" w:vAnchor="page" w:hAnchor="page" w:x="1801" w:y="1392"/>
              <w:spacing w:after="0"/>
              <w:ind w:firstLine="420"/>
              <w:jc w:val="both"/>
              <w:rPr>
                <w:sz w:val="15"/>
                <w:szCs w:val="15"/>
              </w:rPr>
            </w:pPr>
            <w:r>
              <w:rPr>
                <w:sz w:val="15"/>
                <w:szCs w:val="15"/>
              </w:rPr>
              <w:t>6 464</w:t>
            </w:r>
          </w:p>
        </w:tc>
        <w:tc>
          <w:tcPr>
            <w:tcW w:w="835" w:type="dxa"/>
            <w:tcBorders>
              <w:top w:val="single" w:sz="4" w:space="0" w:color="auto"/>
              <w:left w:val="single" w:sz="4" w:space="0" w:color="auto"/>
            </w:tcBorders>
            <w:shd w:val="clear" w:color="auto" w:fill="auto"/>
          </w:tcPr>
          <w:p w14:paraId="1E6A302B" w14:textId="77777777" w:rsidR="00EC1C40" w:rsidRDefault="00000000">
            <w:pPr>
              <w:pStyle w:val="Jin0"/>
              <w:framePr w:w="7666" w:h="14698" w:wrap="none" w:vAnchor="page" w:hAnchor="page" w:x="1801" w:y="1392"/>
              <w:spacing w:after="0"/>
              <w:ind w:firstLine="420"/>
              <w:jc w:val="both"/>
              <w:rPr>
                <w:sz w:val="15"/>
                <w:szCs w:val="15"/>
              </w:rPr>
            </w:pPr>
            <w:r>
              <w:rPr>
                <w:sz w:val="15"/>
                <w:szCs w:val="15"/>
              </w:rPr>
              <w:t>6 464</w:t>
            </w:r>
          </w:p>
        </w:tc>
        <w:tc>
          <w:tcPr>
            <w:tcW w:w="1037" w:type="dxa"/>
            <w:tcBorders>
              <w:top w:val="single" w:sz="4" w:space="0" w:color="auto"/>
              <w:left w:val="single" w:sz="4" w:space="0" w:color="auto"/>
            </w:tcBorders>
            <w:shd w:val="clear" w:color="auto" w:fill="auto"/>
          </w:tcPr>
          <w:p w14:paraId="6AC6A92D" w14:textId="77777777" w:rsidR="00EC1C40" w:rsidRDefault="00EC1C40">
            <w:pPr>
              <w:framePr w:w="7666" w:h="14698" w:wrap="none" w:vAnchor="page" w:hAnchor="page" w:x="1801" w:y="1392"/>
              <w:rPr>
                <w:sz w:val="10"/>
                <w:szCs w:val="10"/>
              </w:rPr>
            </w:pPr>
          </w:p>
        </w:tc>
        <w:tc>
          <w:tcPr>
            <w:tcW w:w="1214" w:type="dxa"/>
            <w:tcBorders>
              <w:top w:val="single" w:sz="4" w:space="0" w:color="auto"/>
              <w:left w:val="single" w:sz="4" w:space="0" w:color="auto"/>
            </w:tcBorders>
            <w:shd w:val="clear" w:color="auto" w:fill="auto"/>
          </w:tcPr>
          <w:p w14:paraId="62550F18" w14:textId="77777777" w:rsidR="00EC1C40" w:rsidRDefault="00EC1C40">
            <w:pPr>
              <w:framePr w:w="7666" w:h="14698" w:wrap="none" w:vAnchor="page" w:hAnchor="page" w:x="1801" w:y="1392"/>
              <w:rPr>
                <w:sz w:val="10"/>
                <w:szCs w:val="10"/>
              </w:rPr>
            </w:pPr>
          </w:p>
        </w:tc>
        <w:tc>
          <w:tcPr>
            <w:tcW w:w="1104" w:type="dxa"/>
            <w:tcBorders>
              <w:top w:val="single" w:sz="4" w:space="0" w:color="auto"/>
              <w:left w:val="single" w:sz="4" w:space="0" w:color="auto"/>
              <w:right w:val="single" w:sz="4" w:space="0" w:color="auto"/>
            </w:tcBorders>
            <w:shd w:val="clear" w:color="auto" w:fill="auto"/>
          </w:tcPr>
          <w:p w14:paraId="7430ED59" w14:textId="77777777" w:rsidR="00EC1C40" w:rsidRDefault="00EC1C40">
            <w:pPr>
              <w:framePr w:w="7666" w:h="14698" w:wrap="none" w:vAnchor="page" w:hAnchor="page" w:x="1801" w:y="1392"/>
              <w:rPr>
                <w:sz w:val="10"/>
                <w:szCs w:val="10"/>
              </w:rPr>
            </w:pPr>
          </w:p>
        </w:tc>
      </w:tr>
      <w:tr w:rsidR="00EC1C40" w14:paraId="3E19A6A4" w14:textId="77777777">
        <w:tblPrEx>
          <w:tblCellMar>
            <w:top w:w="0" w:type="dxa"/>
            <w:bottom w:w="0" w:type="dxa"/>
          </w:tblCellMar>
        </w:tblPrEx>
        <w:trPr>
          <w:trHeight w:hRule="exact" w:val="192"/>
        </w:trPr>
        <w:tc>
          <w:tcPr>
            <w:tcW w:w="2640" w:type="dxa"/>
            <w:tcBorders>
              <w:top w:val="single" w:sz="4" w:space="0" w:color="auto"/>
              <w:left w:val="single" w:sz="4" w:space="0" w:color="auto"/>
            </w:tcBorders>
            <w:shd w:val="clear" w:color="auto" w:fill="auto"/>
          </w:tcPr>
          <w:p w14:paraId="06FF61EF" w14:textId="77777777" w:rsidR="00EC1C40" w:rsidRDefault="00000000">
            <w:pPr>
              <w:pStyle w:val="Jin0"/>
              <w:framePr w:w="7666" w:h="14698" w:wrap="none" w:vAnchor="page" w:hAnchor="page" w:x="1801" w:y="1392"/>
              <w:spacing w:after="0"/>
              <w:rPr>
                <w:sz w:val="15"/>
                <w:szCs w:val="15"/>
              </w:rPr>
            </w:pPr>
            <w:r>
              <w:rPr>
                <w:sz w:val="15"/>
                <w:szCs w:val="15"/>
              </w:rPr>
              <w:t>KOMERČNÍ JEDNOTKA</w:t>
            </w:r>
          </w:p>
        </w:tc>
        <w:tc>
          <w:tcPr>
            <w:tcW w:w="835" w:type="dxa"/>
            <w:tcBorders>
              <w:top w:val="single" w:sz="4" w:space="0" w:color="auto"/>
              <w:left w:val="single" w:sz="4" w:space="0" w:color="auto"/>
            </w:tcBorders>
            <w:shd w:val="clear" w:color="auto" w:fill="auto"/>
          </w:tcPr>
          <w:p w14:paraId="0E5CC43A" w14:textId="77777777" w:rsidR="00EC1C40" w:rsidRDefault="00000000">
            <w:pPr>
              <w:pStyle w:val="Jin0"/>
              <w:framePr w:w="7666" w:h="14698" w:wrap="none" w:vAnchor="page" w:hAnchor="page" w:x="1801" w:y="1392"/>
              <w:spacing w:after="0"/>
              <w:ind w:firstLine="540"/>
              <w:jc w:val="both"/>
              <w:rPr>
                <w:sz w:val="15"/>
                <w:szCs w:val="15"/>
              </w:rPr>
            </w:pPr>
            <w:r>
              <w:rPr>
                <w:sz w:val="15"/>
                <w:szCs w:val="15"/>
              </w:rPr>
              <w:t>468</w:t>
            </w:r>
          </w:p>
        </w:tc>
        <w:tc>
          <w:tcPr>
            <w:tcW w:w="835" w:type="dxa"/>
            <w:tcBorders>
              <w:top w:val="single" w:sz="4" w:space="0" w:color="auto"/>
              <w:left w:val="single" w:sz="4" w:space="0" w:color="auto"/>
            </w:tcBorders>
            <w:shd w:val="clear" w:color="auto" w:fill="auto"/>
          </w:tcPr>
          <w:p w14:paraId="17E0939B" w14:textId="77777777" w:rsidR="00EC1C40" w:rsidRDefault="00EC1C40">
            <w:pPr>
              <w:framePr w:w="7666" w:h="14698" w:wrap="none" w:vAnchor="page" w:hAnchor="page" w:x="1801" w:y="1392"/>
              <w:rPr>
                <w:sz w:val="10"/>
                <w:szCs w:val="10"/>
              </w:rPr>
            </w:pPr>
          </w:p>
        </w:tc>
        <w:tc>
          <w:tcPr>
            <w:tcW w:w="1037" w:type="dxa"/>
            <w:tcBorders>
              <w:top w:val="single" w:sz="4" w:space="0" w:color="auto"/>
              <w:left w:val="single" w:sz="4" w:space="0" w:color="auto"/>
            </w:tcBorders>
            <w:shd w:val="clear" w:color="auto" w:fill="auto"/>
          </w:tcPr>
          <w:p w14:paraId="1D8B4D12" w14:textId="77777777" w:rsidR="00EC1C40" w:rsidRDefault="00000000">
            <w:pPr>
              <w:pStyle w:val="Jin0"/>
              <w:framePr w:w="7666" w:h="14698" w:wrap="none" w:vAnchor="page" w:hAnchor="page" w:x="1801" w:y="1392"/>
              <w:spacing w:after="0"/>
              <w:ind w:firstLine="740"/>
              <w:rPr>
                <w:sz w:val="15"/>
                <w:szCs w:val="15"/>
              </w:rPr>
            </w:pPr>
            <w:r>
              <w:rPr>
                <w:sz w:val="15"/>
                <w:szCs w:val="15"/>
              </w:rPr>
              <w:t>468</w:t>
            </w:r>
          </w:p>
        </w:tc>
        <w:tc>
          <w:tcPr>
            <w:tcW w:w="1214" w:type="dxa"/>
            <w:tcBorders>
              <w:top w:val="single" w:sz="4" w:space="0" w:color="auto"/>
              <w:left w:val="single" w:sz="4" w:space="0" w:color="auto"/>
            </w:tcBorders>
            <w:shd w:val="clear" w:color="auto" w:fill="auto"/>
          </w:tcPr>
          <w:p w14:paraId="04186204" w14:textId="77777777" w:rsidR="00EC1C40" w:rsidRDefault="00000000">
            <w:pPr>
              <w:pStyle w:val="Jin0"/>
              <w:framePr w:w="7666" w:h="14698" w:wrap="none" w:vAnchor="page" w:hAnchor="page" w:x="1801" w:y="1392"/>
              <w:spacing w:after="0"/>
              <w:jc w:val="right"/>
              <w:rPr>
                <w:sz w:val="15"/>
                <w:szCs w:val="15"/>
              </w:rPr>
            </w:pPr>
            <w:r>
              <w:rPr>
                <w:sz w:val="15"/>
                <w:szCs w:val="15"/>
              </w:rPr>
              <w:t>100%</w:t>
            </w:r>
          </w:p>
        </w:tc>
        <w:tc>
          <w:tcPr>
            <w:tcW w:w="1104" w:type="dxa"/>
            <w:tcBorders>
              <w:top w:val="single" w:sz="4" w:space="0" w:color="auto"/>
              <w:left w:val="single" w:sz="4" w:space="0" w:color="auto"/>
              <w:right w:val="single" w:sz="4" w:space="0" w:color="auto"/>
            </w:tcBorders>
            <w:shd w:val="clear" w:color="auto" w:fill="auto"/>
          </w:tcPr>
          <w:p w14:paraId="3674E8F4" w14:textId="77777777" w:rsidR="00EC1C40" w:rsidRDefault="00000000">
            <w:pPr>
              <w:pStyle w:val="Jin0"/>
              <w:framePr w:w="7666" w:h="14698" w:wrap="none" w:vAnchor="page" w:hAnchor="page" w:x="1801" w:y="1392"/>
              <w:spacing w:after="0"/>
              <w:jc w:val="right"/>
              <w:rPr>
                <w:sz w:val="15"/>
                <w:szCs w:val="15"/>
              </w:rPr>
            </w:pPr>
            <w:r>
              <w:rPr>
                <w:sz w:val="15"/>
                <w:szCs w:val="15"/>
              </w:rPr>
              <w:t>468</w:t>
            </w:r>
          </w:p>
        </w:tc>
      </w:tr>
      <w:tr w:rsidR="00EC1C40" w14:paraId="6020B7CB" w14:textId="77777777">
        <w:tblPrEx>
          <w:tblCellMar>
            <w:top w:w="0" w:type="dxa"/>
            <w:bottom w:w="0" w:type="dxa"/>
          </w:tblCellMar>
        </w:tblPrEx>
        <w:trPr>
          <w:trHeight w:hRule="exact" w:val="197"/>
        </w:trPr>
        <w:tc>
          <w:tcPr>
            <w:tcW w:w="2640" w:type="dxa"/>
            <w:tcBorders>
              <w:top w:val="single" w:sz="4" w:space="0" w:color="auto"/>
              <w:left w:val="single" w:sz="4" w:space="0" w:color="auto"/>
            </w:tcBorders>
            <w:shd w:val="clear" w:color="auto" w:fill="auto"/>
          </w:tcPr>
          <w:p w14:paraId="791ABEC9" w14:textId="77777777" w:rsidR="00EC1C40" w:rsidRDefault="00000000">
            <w:pPr>
              <w:pStyle w:val="Jin0"/>
              <w:framePr w:w="7666" w:h="14698" w:wrap="none" w:vAnchor="page" w:hAnchor="page" w:x="1801" w:y="1392"/>
              <w:spacing w:after="0"/>
              <w:rPr>
                <w:sz w:val="15"/>
                <w:szCs w:val="15"/>
              </w:rPr>
            </w:pPr>
            <w:r>
              <w:rPr>
                <w:sz w:val="15"/>
                <w:szCs w:val="15"/>
              </w:rPr>
              <w:t xml:space="preserve">BAZÉN </w:t>
            </w:r>
            <w:r>
              <w:rPr>
                <w:sz w:val="15"/>
                <w:szCs w:val="15"/>
                <w:lang w:val="en-US" w:eastAsia="en-US" w:bidi="en-US"/>
              </w:rPr>
              <w:t>A WELLNESS</w:t>
            </w:r>
          </w:p>
        </w:tc>
        <w:tc>
          <w:tcPr>
            <w:tcW w:w="835" w:type="dxa"/>
            <w:tcBorders>
              <w:top w:val="single" w:sz="4" w:space="0" w:color="auto"/>
              <w:left w:val="single" w:sz="4" w:space="0" w:color="auto"/>
            </w:tcBorders>
            <w:shd w:val="clear" w:color="auto" w:fill="auto"/>
          </w:tcPr>
          <w:p w14:paraId="121623BA" w14:textId="77777777" w:rsidR="00EC1C40" w:rsidRDefault="00000000">
            <w:pPr>
              <w:pStyle w:val="Jin0"/>
              <w:framePr w:w="7666" w:h="14698" w:wrap="none" w:vAnchor="page" w:hAnchor="page" w:x="1801" w:y="1392"/>
              <w:spacing w:after="0"/>
              <w:ind w:firstLine="420"/>
              <w:jc w:val="both"/>
              <w:rPr>
                <w:sz w:val="15"/>
                <w:szCs w:val="15"/>
              </w:rPr>
            </w:pPr>
            <w:r>
              <w:rPr>
                <w:sz w:val="15"/>
                <w:szCs w:val="15"/>
              </w:rPr>
              <w:t>1 560</w:t>
            </w:r>
          </w:p>
        </w:tc>
        <w:tc>
          <w:tcPr>
            <w:tcW w:w="835" w:type="dxa"/>
            <w:tcBorders>
              <w:top w:val="single" w:sz="4" w:space="0" w:color="auto"/>
              <w:left w:val="single" w:sz="4" w:space="0" w:color="auto"/>
            </w:tcBorders>
            <w:shd w:val="clear" w:color="auto" w:fill="auto"/>
          </w:tcPr>
          <w:p w14:paraId="7665500A" w14:textId="77777777" w:rsidR="00EC1C40" w:rsidRDefault="00EC1C40">
            <w:pPr>
              <w:framePr w:w="7666" w:h="14698" w:wrap="none" w:vAnchor="page" w:hAnchor="page" w:x="1801" w:y="1392"/>
              <w:rPr>
                <w:sz w:val="10"/>
                <w:szCs w:val="10"/>
              </w:rPr>
            </w:pPr>
          </w:p>
        </w:tc>
        <w:tc>
          <w:tcPr>
            <w:tcW w:w="1037" w:type="dxa"/>
            <w:tcBorders>
              <w:top w:val="single" w:sz="4" w:space="0" w:color="auto"/>
              <w:left w:val="single" w:sz="4" w:space="0" w:color="auto"/>
            </w:tcBorders>
            <w:shd w:val="clear" w:color="auto" w:fill="auto"/>
          </w:tcPr>
          <w:p w14:paraId="27BC75B0" w14:textId="77777777" w:rsidR="00EC1C40" w:rsidRDefault="00000000">
            <w:pPr>
              <w:pStyle w:val="Jin0"/>
              <w:framePr w:w="7666" w:h="14698" w:wrap="none" w:vAnchor="page" w:hAnchor="page" w:x="1801" w:y="1392"/>
              <w:spacing w:after="0"/>
              <w:ind w:firstLine="620"/>
              <w:jc w:val="both"/>
              <w:rPr>
                <w:sz w:val="15"/>
                <w:szCs w:val="15"/>
              </w:rPr>
            </w:pPr>
            <w:r>
              <w:rPr>
                <w:sz w:val="15"/>
                <w:szCs w:val="15"/>
              </w:rPr>
              <w:t>1 560</w:t>
            </w:r>
          </w:p>
        </w:tc>
        <w:tc>
          <w:tcPr>
            <w:tcW w:w="1214" w:type="dxa"/>
            <w:tcBorders>
              <w:top w:val="single" w:sz="4" w:space="0" w:color="auto"/>
              <w:left w:val="single" w:sz="4" w:space="0" w:color="auto"/>
            </w:tcBorders>
            <w:shd w:val="clear" w:color="auto" w:fill="auto"/>
          </w:tcPr>
          <w:p w14:paraId="03FBA3B4" w14:textId="77777777" w:rsidR="00EC1C40" w:rsidRDefault="00000000">
            <w:pPr>
              <w:pStyle w:val="Jin0"/>
              <w:framePr w:w="7666" w:h="14698" w:wrap="none" w:vAnchor="page" w:hAnchor="page" w:x="1801" w:y="1392"/>
              <w:spacing w:after="0"/>
              <w:jc w:val="right"/>
              <w:rPr>
                <w:sz w:val="15"/>
                <w:szCs w:val="15"/>
              </w:rPr>
            </w:pPr>
            <w:r>
              <w:rPr>
                <w:sz w:val="15"/>
                <w:szCs w:val="15"/>
              </w:rPr>
              <w:t>33%</w:t>
            </w:r>
          </w:p>
        </w:tc>
        <w:tc>
          <w:tcPr>
            <w:tcW w:w="1104" w:type="dxa"/>
            <w:tcBorders>
              <w:top w:val="single" w:sz="4" w:space="0" w:color="auto"/>
              <w:left w:val="single" w:sz="4" w:space="0" w:color="auto"/>
              <w:right w:val="single" w:sz="4" w:space="0" w:color="auto"/>
            </w:tcBorders>
            <w:shd w:val="clear" w:color="auto" w:fill="auto"/>
          </w:tcPr>
          <w:p w14:paraId="67C3DDCC" w14:textId="77777777" w:rsidR="00EC1C40" w:rsidRDefault="00000000">
            <w:pPr>
              <w:pStyle w:val="Jin0"/>
              <w:framePr w:w="7666" w:h="14698" w:wrap="none" w:vAnchor="page" w:hAnchor="page" w:x="1801" w:y="1392"/>
              <w:spacing w:after="0"/>
              <w:jc w:val="right"/>
              <w:rPr>
                <w:sz w:val="15"/>
                <w:szCs w:val="15"/>
              </w:rPr>
            </w:pPr>
            <w:r>
              <w:rPr>
                <w:sz w:val="15"/>
                <w:szCs w:val="15"/>
              </w:rPr>
              <w:t>515</w:t>
            </w:r>
          </w:p>
        </w:tc>
      </w:tr>
      <w:tr w:rsidR="00EC1C40" w14:paraId="5D49AD6A" w14:textId="77777777">
        <w:tblPrEx>
          <w:tblCellMar>
            <w:top w:w="0" w:type="dxa"/>
            <w:bottom w:w="0" w:type="dxa"/>
          </w:tblCellMar>
        </w:tblPrEx>
        <w:trPr>
          <w:trHeight w:hRule="exact" w:val="192"/>
        </w:trPr>
        <w:tc>
          <w:tcPr>
            <w:tcW w:w="2640" w:type="dxa"/>
            <w:tcBorders>
              <w:top w:val="single" w:sz="4" w:space="0" w:color="auto"/>
              <w:left w:val="single" w:sz="4" w:space="0" w:color="auto"/>
            </w:tcBorders>
            <w:shd w:val="clear" w:color="auto" w:fill="auto"/>
          </w:tcPr>
          <w:p w14:paraId="6237DB08" w14:textId="77777777" w:rsidR="00EC1C40" w:rsidRDefault="00000000">
            <w:pPr>
              <w:pStyle w:val="Jin0"/>
              <w:framePr w:w="7666" w:h="14698" w:wrap="none" w:vAnchor="page" w:hAnchor="page" w:x="1801" w:y="1392"/>
              <w:spacing w:after="0"/>
              <w:rPr>
                <w:sz w:val="15"/>
                <w:szCs w:val="15"/>
              </w:rPr>
            </w:pPr>
            <w:r>
              <w:rPr>
                <w:sz w:val="15"/>
                <w:szCs w:val="15"/>
              </w:rPr>
              <w:t>DYNAMO ZÁZEMÍ HOKEJ</w:t>
            </w:r>
          </w:p>
        </w:tc>
        <w:tc>
          <w:tcPr>
            <w:tcW w:w="835" w:type="dxa"/>
            <w:tcBorders>
              <w:top w:val="single" w:sz="4" w:space="0" w:color="auto"/>
              <w:left w:val="single" w:sz="4" w:space="0" w:color="auto"/>
            </w:tcBorders>
            <w:shd w:val="clear" w:color="auto" w:fill="auto"/>
          </w:tcPr>
          <w:p w14:paraId="13DABE84" w14:textId="77777777" w:rsidR="00EC1C40" w:rsidRDefault="00000000">
            <w:pPr>
              <w:pStyle w:val="Jin0"/>
              <w:framePr w:w="7666" w:h="14698" w:wrap="none" w:vAnchor="page" w:hAnchor="page" w:x="1801" w:y="1392"/>
              <w:spacing w:after="0"/>
              <w:ind w:firstLine="420"/>
              <w:jc w:val="both"/>
              <w:rPr>
                <w:sz w:val="15"/>
                <w:szCs w:val="15"/>
              </w:rPr>
            </w:pPr>
            <w:r>
              <w:rPr>
                <w:sz w:val="15"/>
                <w:szCs w:val="15"/>
              </w:rPr>
              <w:t>2 416</w:t>
            </w:r>
          </w:p>
        </w:tc>
        <w:tc>
          <w:tcPr>
            <w:tcW w:w="835" w:type="dxa"/>
            <w:tcBorders>
              <w:top w:val="single" w:sz="4" w:space="0" w:color="auto"/>
              <w:left w:val="single" w:sz="4" w:space="0" w:color="auto"/>
            </w:tcBorders>
            <w:shd w:val="clear" w:color="auto" w:fill="auto"/>
          </w:tcPr>
          <w:p w14:paraId="49CB840D" w14:textId="77777777" w:rsidR="00EC1C40" w:rsidRDefault="00EC1C40">
            <w:pPr>
              <w:framePr w:w="7666" w:h="14698" w:wrap="none" w:vAnchor="page" w:hAnchor="page" w:x="1801" w:y="1392"/>
              <w:rPr>
                <w:sz w:val="10"/>
                <w:szCs w:val="10"/>
              </w:rPr>
            </w:pPr>
          </w:p>
        </w:tc>
        <w:tc>
          <w:tcPr>
            <w:tcW w:w="1037" w:type="dxa"/>
            <w:tcBorders>
              <w:top w:val="single" w:sz="4" w:space="0" w:color="auto"/>
              <w:left w:val="single" w:sz="4" w:space="0" w:color="auto"/>
            </w:tcBorders>
            <w:shd w:val="clear" w:color="auto" w:fill="auto"/>
          </w:tcPr>
          <w:p w14:paraId="1F95C61C" w14:textId="77777777" w:rsidR="00EC1C40" w:rsidRDefault="00000000">
            <w:pPr>
              <w:pStyle w:val="Jin0"/>
              <w:framePr w:w="7666" w:h="14698" w:wrap="none" w:vAnchor="page" w:hAnchor="page" w:x="1801" w:y="1392"/>
              <w:spacing w:after="0"/>
              <w:ind w:firstLine="620"/>
              <w:jc w:val="both"/>
              <w:rPr>
                <w:sz w:val="15"/>
                <w:szCs w:val="15"/>
              </w:rPr>
            </w:pPr>
            <w:r>
              <w:rPr>
                <w:sz w:val="15"/>
                <w:szCs w:val="15"/>
              </w:rPr>
              <w:t>2 416</w:t>
            </w:r>
          </w:p>
        </w:tc>
        <w:tc>
          <w:tcPr>
            <w:tcW w:w="1214" w:type="dxa"/>
            <w:tcBorders>
              <w:top w:val="single" w:sz="4" w:space="0" w:color="auto"/>
              <w:left w:val="single" w:sz="4" w:space="0" w:color="auto"/>
            </w:tcBorders>
            <w:shd w:val="clear" w:color="auto" w:fill="auto"/>
          </w:tcPr>
          <w:p w14:paraId="4FDDDC6A" w14:textId="77777777" w:rsidR="00EC1C40" w:rsidRDefault="00000000">
            <w:pPr>
              <w:pStyle w:val="Jin0"/>
              <w:framePr w:w="7666" w:h="14698" w:wrap="none" w:vAnchor="page" w:hAnchor="page" w:x="1801" w:y="1392"/>
              <w:spacing w:after="0"/>
              <w:jc w:val="right"/>
              <w:rPr>
                <w:sz w:val="15"/>
                <w:szCs w:val="15"/>
              </w:rPr>
            </w:pPr>
            <w:r>
              <w:rPr>
                <w:sz w:val="15"/>
                <w:szCs w:val="15"/>
              </w:rPr>
              <w:t>70%</w:t>
            </w:r>
          </w:p>
        </w:tc>
        <w:tc>
          <w:tcPr>
            <w:tcW w:w="1104" w:type="dxa"/>
            <w:tcBorders>
              <w:top w:val="single" w:sz="4" w:space="0" w:color="auto"/>
              <w:left w:val="single" w:sz="4" w:space="0" w:color="auto"/>
              <w:right w:val="single" w:sz="4" w:space="0" w:color="auto"/>
            </w:tcBorders>
            <w:shd w:val="clear" w:color="auto" w:fill="auto"/>
          </w:tcPr>
          <w:p w14:paraId="0D5DA9D9" w14:textId="77777777" w:rsidR="00EC1C40" w:rsidRDefault="00000000">
            <w:pPr>
              <w:pStyle w:val="Jin0"/>
              <w:framePr w:w="7666" w:h="14698" w:wrap="none" w:vAnchor="page" w:hAnchor="page" w:x="1801" w:y="1392"/>
              <w:spacing w:after="0"/>
              <w:ind w:firstLine="680"/>
              <w:jc w:val="both"/>
              <w:rPr>
                <w:sz w:val="15"/>
                <w:szCs w:val="15"/>
              </w:rPr>
            </w:pPr>
            <w:r>
              <w:rPr>
                <w:sz w:val="15"/>
                <w:szCs w:val="15"/>
              </w:rPr>
              <w:t>1 691</w:t>
            </w:r>
          </w:p>
        </w:tc>
      </w:tr>
      <w:tr w:rsidR="00EC1C40" w14:paraId="147C008F" w14:textId="77777777">
        <w:tblPrEx>
          <w:tblCellMar>
            <w:top w:w="0" w:type="dxa"/>
            <w:bottom w:w="0" w:type="dxa"/>
          </w:tblCellMar>
        </w:tblPrEx>
        <w:trPr>
          <w:trHeight w:hRule="exact" w:val="197"/>
        </w:trPr>
        <w:tc>
          <w:tcPr>
            <w:tcW w:w="2640" w:type="dxa"/>
            <w:tcBorders>
              <w:top w:val="single" w:sz="4" w:space="0" w:color="auto"/>
              <w:left w:val="single" w:sz="4" w:space="0" w:color="auto"/>
            </w:tcBorders>
            <w:shd w:val="clear" w:color="auto" w:fill="auto"/>
          </w:tcPr>
          <w:p w14:paraId="6E8EB590" w14:textId="77777777" w:rsidR="00EC1C40" w:rsidRDefault="00000000">
            <w:pPr>
              <w:pStyle w:val="Jin0"/>
              <w:framePr w:w="7666" w:h="14698" w:wrap="none" w:vAnchor="page" w:hAnchor="page" w:x="1801" w:y="1392"/>
              <w:spacing w:after="0"/>
              <w:jc w:val="both"/>
              <w:rPr>
                <w:sz w:val="15"/>
                <w:szCs w:val="15"/>
              </w:rPr>
            </w:pPr>
            <w:r>
              <w:rPr>
                <w:b/>
                <w:bCs/>
                <w:sz w:val="15"/>
                <w:szCs w:val="15"/>
              </w:rPr>
              <w:t>2NP</w:t>
            </w:r>
          </w:p>
        </w:tc>
        <w:tc>
          <w:tcPr>
            <w:tcW w:w="835" w:type="dxa"/>
            <w:tcBorders>
              <w:top w:val="single" w:sz="4" w:space="0" w:color="auto"/>
              <w:left w:val="single" w:sz="4" w:space="0" w:color="auto"/>
            </w:tcBorders>
            <w:shd w:val="clear" w:color="auto" w:fill="auto"/>
          </w:tcPr>
          <w:p w14:paraId="73D85164" w14:textId="77777777" w:rsidR="00EC1C40" w:rsidRDefault="00000000">
            <w:pPr>
              <w:pStyle w:val="Jin0"/>
              <w:framePr w:w="7666" w:h="14698" w:wrap="none" w:vAnchor="page" w:hAnchor="page" w:x="1801" w:y="1392"/>
              <w:spacing w:after="0"/>
              <w:ind w:firstLine="360"/>
              <w:jc w:val="both"/>
              <w:rPr>
                <w:sz w:val="15"/>
                <w:szCs w:val="15"/>
              </w:rPr>
            </w:pPr>
            <w:r>
              <w:rPr>
                <w:b/>
                <w:bCs/>
                <w:sz w:val="15"/>
                <w:szCs w:val="15"/>
              </w:rPr>
              <w:t>13 200</w:t>
            </w:r>
          </w:p>
        </w:tc>
        <w:tc>
          <w:tcPr>
            <w:tcW w:w="835" w:type="dxa"/>
            <w:tcBorders>
              <w:top w:val="single" w:sz="4" w:space="0" w:color="auto"/>
              <w:left w:val="single" w:sz="4" w:space="0" w:color="auto"/>
            </w:tcBorders>
            <w:shd w:val="clear" w:color="auto" w:fill="auto"/>
          </w:tcPr>
          <w:p w14:paraId="4CB761BD" w14:textId="77777777" w:rsidR="00EC1C40" w:rsidRDefault="00EC1C40">
            <w:pPr>
              <w:framePr w:w="7666" w:h="14698" w:wrap="none" w:vAnchor="page" w:hAnchor="page" w:x="1801" w:y="1392"/>
              <w:rPr>
                <w:sz w:val="10"/>
                <w:szCs w:val="10"/>
              </w:rPr>
            </w:pPr>
          </w:p>
        </w:tc>
        <w:tc>
          <w:tcPr>
            <w:tcW w:w="1037" w:type="dxa"/>
            <w:tcBorders>
              <w:top w:val="single" w:sz="4" w:space="0" w:color="auto"/>
              <w:left w:val="single" w:sz="4" w:space="0" w:color="auto"/>
            </w:tcBorders>
            <w:shd w:val="clear" w:color="auto" w:fill="auto"/>
          </w:tcPr>
          <w:p w14:paraId="322D659B" w14:textId="77777777" w:rsidR="00EC1C40" w:rsidRDefault="00EC1C40">
            <w:pPr>
              <w:framePr w:w="7666" w:h="14698" w:wrap="none" w:vAnchor="page" w:hAnchor="page" w:x="1801" w:y="1392"/>
              <w:rPr>
                <w:sz w:val="10"/>
                <w:szCs w:val="10"/>
              </w:rPr>
            </w:pPr>
          </w:p>
        </w:tc>
        <w:tc>
          <w:tcPr>
            <w:tcW w:w="1214" w:type="dxa"/>
            <w:tcBorders>
              <w:top w:val="single" w:sz="4" w:space="0" w:color="auto"/>
              <w:left w:val="single" w:sz="4" w:space="0" w:color="auto"/>
            </w:tcBorders>
            <w:shd w:val="clear" w:color="auto" w:fill="auto"/>
          </w:tcPr>
          <w:p w14:paraId="129FABE6" w14:textId="77777777" w:rsidR="00EC1C40" w:rsidRDefault="00EC1C40">
            <w:pPr>
              <w:framePr w:w="7666" w:h="14698" w:wrap="none" w:vAnchor="page" w:hAnchor="page" w:x="1801" w:y="1392"/>
              <w:rPr>
                <w:sz w:val="10"/>
                <w:szCs w:val="10"/>
              </w:rPr>
            </w:pPr>
          </w:p>
        </w:tc>
        <w:tc>
          <w:tcPr>
            <w:tcW w:w="1104" w:type="dxa"/>
            <w:tcBorders>
              <w:top w:val="single" w:sz="4" w:space="0" w:color="auto"/>
              <w:left w:val="single" w:sz="4" w:space="0" w:color="auto"/>
              <w:right w:val="single" w:sz="4" w:space="0" w:color="auto"/>
            </w:tcBorders>
            <w:shd w:val="clear" w:color="auto" w:fill="auto"/>
          </w:tcPr>
          <w:p w14:paraId="12926010" w14:textId="77777777" w:rsidR="00EC1C40" w:rsidRDefault="00EC1C40">
            <w:pPr>
              <w:framePr w:w="7666" w:h="14698" w:wrap="none" w:vAnchor="page" w:hAnchor="page" w:x="1801" w:y="1392"/>
              <w:rPr>
                <w:sz w:val="10"/>
                <w:szCs w:val="10"/>
              </w:rPr>
            </w:pPr>
          </w:p>
        </w:tc>
      </w:tr>
      <w:tr w:rsidR="00EC1C40" w14:paraId="473E8AA0" w14:textId="77777777">
        <w:tblPrEx>
          <w:tblCellMar>
            <w:top w:w="0" w:type="dxa"/>
            <w:bottom w:w="0" w:type="dxa"/>
          </w:tblCellMar>
        </w:tblPrEx>
        <w:trPr>
          <w:trHeight w:hRule="exact" w:val="197"/>
        </w:trPr>
        <w:tc>
          <w:tcPr>
            <w:tcW w:w="2640" w:type="dxa"/>
            <w:tcBorders>
              <w:top w:val="single" w:sz="4" w:space="0" w:color="auto"/>
              <w:left w:val="single" w:sz="4" w:space="0" w:color="auto"/>
            </w:tcBorders>
            <w:shd w:val="clear" w:color="auto" w:fill="auto"/>
          </w:tcPr>
          <w:p w14:paraId="742E3102" w14:textId="77777777" w:rsidR="00EC1C40" w:rsidRDefault="00000000">
            <w:pPr>
              <w:pStyle w:val="Jin0"/>
              <w:framePr w:w="7666" w:h="14698" w:wrap="none" w:vAnchor="page" w:hAnchor="page" w:x="1801" w:y="1392"/>
              <w:spacing w:after="0"/>
              <w:jc w:val="both"/>
              <w:rPr>
                <w:sz w:val="15"/>
                <w:szCs w:val="15"/>
              </w:rPr>
            </w:pPr>
            <w:r>
              <w:rPr>
                <w:sz w:val="15"/>
                <w:szCs w:val="15"/>
              </w:rPr>
              <w:t>ARÉNA VEŘEJNOST</w:t>
            </w:r>
          </w:p>
        </w:tc>
        <w:tc>
          <w:tcPr>
            <w:tcW w:w="835" w:type="dxa"/>
            <w:tcBorders>
              <w:top w:val="single" w:sz="4" w:space="0" w:color="auto"/>
              <w:left w:val="single" w:sz="4" w:space="0" w:color="auto"/>
            </w:tcBorders>
            <w:shd w:val="clear" w:color="auto" w:fill="auto"/>
          </w:tcPr>
          <w:p w14:paraId="2B1B095F" w14:textId="77777777" w:rsidR="00EC1C40" w:rsidRDefault="00000000">
            <w:pPr>
              <w:pStyle w:val="Jin0"/>
              <w:framePr w:w="7666" w:h="14698" w:wrap="none" w:vAnchor="page" w:hAnchor="page" w:x="1801" w:y="1392"/>
              <w:spacing w:after="0"/>
              <w:ind w:firstLine="360"/>
              <w:jc w:val="both"/>
              <w:rPr>
                <w:sz w:val="15"/>
                <w:szCs w:val="15"/>
              </w:rPr>
            </w:pPr>
            <w:r>
              <w:rPr>
                <w:sz w:val="15"/>
                <w:szCs w:val="15"/>
              </w:rPr>
              <w:t>10 960</w:t>
            </w:r>
          </w:p>
        </w:tc>
        <w:tc>
          <w:tcPr>
            <w:tcW w:w="835" w:type="dxa"/>
            <w:tcBorders>
              <w:top w:val="single" w:sz="4" w:space="0" w:color="auto"/>
              <w:left w:val="single" w:sz="4" w:space="0" w:color="auto"/>
            </w:tcBorders>
            <w:shd w:val="clear" w:color="auto" w:fill="auto"/>
          </w:tcPr>
          <w:p w14:paraId="47434DDD" w14:textId="77777777" w:rsidR="00EC1C40" w:rsidRDefault="00000000">
            <w:pPr>
              <w:pStyle w:val="Jin0"/>
              <w:framePr w:w="7666" w:h="14698" w:wrap="none" w:vAnchor="page" w:hAnchor="page" w:x="1801" w:y="1392"/>
              <w:spacing w:after="0"/>
              <w:jc w:val="right"/>
              <w:rPr>
                <w:sz w:val="15"/>
                <w:szCs w:val="15"/>
              </w:rPr>
            </w:pPr>
            <w:r>
              <w:rPr>
                <w:sz w:val="15"/>
                <w:szCs w:val="15"/>
              </w:rPr>
              <w:t>10 960</w:t>
            </w:r>
          </w:p>
        </w:tc>
        <w:tc>
          <w:tcPr>
            <w:tcW w:w="1037" w:type="dxa"/>
            <w:tcBorders>
              <w:top w:val="single" w:sz="4" w:space="0" w:color="auto"/>
              <w:left w:val="single" w:sz="4" w:space="0" w:color="auto"/>
            </w:tcBorders>
            <w:shd w:val="clear" w:color="auto" w:fill="auto"/>
          </w:tcPr>
          <w:p w14:paraId="7C0EF4A4" w14:textId="77777777" w:rsidR="00EC1C40" w:rsidRDefault="00EC1C40">
            <w:pPr>
              <w:framePr w:w="7666" w:h="14698" w:wrap="none" w:vAnchor="page" w:hAnchor="page" w:x="1801" w:y="1392"/>
              <w:rPr>
                <w:sz w:val="10"/>
                <w:szCs w:val="10"/>
              </w:rPr>
            </w:pPr>
          </w:p>
        </w:tc>
        <w:tc>
          <w:tcPr>
            <w:tcW w:w="1214" w:type="dxa"/>
            <w:tcBorders>
              <w:top w:val="single" w:sz="4" w:space="0" w:color="auto"/>
              <w:left w:val="single" w:sz="4" w:space="0" w:color="auto"/>
            </w:tcBorders>
            <w:shd w:val="clear" w:color="auto" w:fill="auto"/>
          </w:tcPr>
          <w:p w14:paraId="64CC4437" w14:textId="77777777" w:rsidR="00EC1C40" w:rsidRDefault="00EC1C40">
            <w:pPr>
              <w:framePr w:w="7666" w:h="14698" w:wrap="none" w:vAnchor="page" w:hAnchor="page" w:x="1801" w:y="1392"/>
              <w:rPr>
                <w:sz w:val="10"/>
                <w:szCs w:val="10"/>
              </w:rPr>
            </w:pPr>
          </w:p>
        </w:tc>
        <w:tc>
          <w:tcPr>
            <w:tcW w:w="1104" w:type="dxa"/>
            <w:tcBorders>
              <w:top w:val="single" w:sz="4" w:space="0" w:color="auto"/>
              <w:left w:val="single" w:sz="4" w:space="0" w:color="auto"/>
              <w:right w:val="single" w:sz="4" w:space="0" w:color="auto"/>
            </w:tcBorders>
            <w:shd w:val="clear" w:color="auto" w:fill="auto"/>
          </w:tcPr>
          <w:p w14:paraId="0B61EFF0" w14:textId="77777777" w:rsidR="00EC1C40" w:rsidRDefault="00EC1C40">
            <w:pPr>
              <w:framePr w:w="7666" w:h="14698" w:wrap="none" w:vAnchor="page" w:hAnchor="page" w:x="1801" w:y="1392"/>
              <w:rPr>
                <w:sz w:val="10"/>
                <w:szCs w:val="10"/>
              </w:rPr>
            </w:pPr>
          </w:p>
        </w:tc>
      </w:tr>
      <w:tr w:rsidR="00EC1C40" w14:paraId="01E0CA7C" w14:textId="77777777">
        <w:tblPrEx>
          <w:tblCellMar>
            <w:top w:w="0" w:type="dxa"/>
            <w:bottom w:w="0" w:type="dxa"/>
          </w:tblCellMar>
        </w:tblPrEx>
        <w:trPr>
          <w:trHeight w:hRule="exact" w:val="192"/>
        </w:trPr>
        <w:tc>
          <w:tcPr>
            <w:tcW w:w="2640" w:type="dxa"/>
            <w:tcBorders>
              <w:top w:val="single" w:sz="4" w:space="0" w:color="auto"/>
              <w:left w:val="single" w:sz="4" w:space="0" w:color="auto"/>
            </w:tcBorders>
            <w:shd w:val="clear" w:color="auto" w:fill="auto"/>
          </w:tcPr>
          <w:p w14:paraId="4558FE0E" w14:textId="77777777" w:rsidR="00EC1C40" w:rsidRDefault="00000000">
            <w:pPr>
              <w:pStyle w:val="Jin0"/>
              <w:framePr w:w="7666" w:h="14698" w:wrap="none" w:vAnchor="page" w:hAnchor="page" w:x="1801" w:y="1392"/>
              <w:spacing w:after="0"/>
              <w:jc w:val="both"/>
              <w:rPr>
                <w:sz w:val="15"/>
                <w:szCs w:val="15"/>
              </w:rPr>
            </w:pPr>
            <w:r>
              <w:rPr>
                <w:sz w:val="15"/>
                <w:szCs w:val="15"/>
              </w:rPr>
              <w:t>ARÉNA ZÁZEMÍ</w:t>
            </w:r>
          </w:p>
        </w:tc>
        <w:tc>
          <w:tcPr>
            <w:tcW w:w="835" w:type="dxa"/>
            <w:tcBorders>
              <w:top w:val="single" w:sz="4" w:space="0" w:color="auto"/>
              <w:left w:val="single" w:sz="4" w:space="0" w:color="auto"/>
            </w:tcBorders>
            <w:shd w:val="clear" w:color="auto" w:fill="auto"/>
          </w:tcPr>
          <w:p w14:paraId="02174870" w14:textId="77777777" w:rsidR="00EC1C40" w:rsidRDefault="00000000">
            <w:pPr>
              <w:pStyle w:val="Jin0"/>
              <w:framePr w:w="7666" w:h="14698" w:wrap="none" w:vAnchor="page" w:hAnchor="page" w:x="1801" w:y="1392"/>
              <w:spacing w:after="0"/>
              <w:ind w:firstLine="540"/>
              <w:jc w:val="both"/>
              <w:rPr>
                <w:sz w:val="15"/>
                <w:szCs w:val="15"/>
              </w:rPr>
            </w:pPr>
            <w:r>
              <w:rPr>
                <w:sz w:val="15"/>
                <w:szCs w:val="15"/>
              </w:rPr>
              <w:t>444</w:t>
            </w:r>
          </w:p>
        </w:tc>
        <w:tc>
          <w:tcPr>
            <w:tcW w:w="835" w:type="dxa"/>
            <w:tcBorders>
              <w:top w:val="single" w:sz="4" w:space="0" w:color="auto"/>
              <w:left w:val="single" w:sz="4" w:space="0" w:color="auto"/>
            </w:tcBorders>
            <w:shd w:val="clear" w:color="auto" w:fill="auto"/>
          </w:tcPr>
          <w:p w14:paraId="5242B300" w14:textId="77777777" w:rsidR="00EC1C40" w:rsidRDefault="00000000">
            <w:pPr>
              <w:pStyle w:val="Jin0"/>
              <w:framePr w:w="7666" w:h="14698" w:wrap="none" w:vAnchor="page" w:hAnchor="page" w:x="1801" w:y="1392"/>
              <w:spacing w:after="0"/>
              <w:ind w:firstLine="540"/>
              <w:jc w:val="both"/>
              <w:rPr>
                <w:sz w:val="15"/>
                <w:szCs w:val="15"/>
              </w:rPr>
            </w:pPr>
            <w:r>
              <w:rPr>
                <w:sz w:val="15"/>
                <w:szCs w:val="15"/>
              </w:rPr>
              <w:t>444</w:t>
            </w:r>
          </w:p>
        </w:tc>
        <w:tc>
          <w:tcPr>
            <w:tcW w:w="1037" w:type="dxa"/>
            <w:tcBorders>
              <w:top w:val="single" w:sz="4" w:space="0" w:color="auto"/>
              <w:left w:val="single" w:sz="4" w:space="0" w:color="auto"/>
            </w:tcBorders>
            <w:shd w:val="clear" w:color="auto" w:fill="auto"/>
          </w:tcPr>
          <w:p w14:paraId="63D9D753" w14:textId="77777777" w:rsidR="00EC1C40" w:rsidRDefault="00EC1C40">
            <w:pPr>
              <w:framePr w:w="7666" w:h="14698" w:wrap="none" w:vAnchor="page" w:hAnchor="page" w:x="1801" w:y="1392"/>
              <w:rPr>
                <w:sz w:val="10"/>
                <w:szCs w:val="10"/>
              </w:rPr>
            </w:pPr>
          </w:p>
        </w:tc>
        <w:tc>
          <w:tcPr>
            <w:tcW w:w="1214" w:type="dxa"/>
            <w:tcBorders>
              <w:top w:val="single" w:sz="4" w:space="0" w:color="auto"/>
              <w:left w:val="single" w:sz="4" w:space="0" w:color="auto"/>
            </w:tcBorders>
            <w:shd w:val="clear" w:color="auto" w:fill="auto"/>
          </w:tcPr>
          <w:p w14:paraId="37267135" w14:textId="77777777" w:rsidR="00EC1C40" w:rsidRDefault="00EC1C40">
            <w:pPr>
              <w:framePr w:w="7666" w:h="14698" w:wrap="none" w:vAnchor="page" w:hAnchor="page" w:x="1801" w:y="1392"/>
              <w:rPr>
                <w:sz w:val="10"/>
                <w:szCs w:val="10"/>
              </w:rPr>
            </w:pPr>
          </w:p>
        </w:tc>
        <w:tc>
          <w:tcPr>
            <w:tcW w:w="1104" w:type="dxa"/>
            <w:tcBorders>
              <w:top w:val="single" w:sz="4" w:space="0" w:color="auto"/>
              <w:left w:val="single" w:sz="4" w:space="0" w:color="auto"/>
              <w:right w:val="single" w:sz="4" w:space="0" w:color="auto"/>
            </w:tcBorders>
            <w:shd w:val="clear" w:color="auto" w:fill="auto"/>
          </w:tcPr>
          <w:p w14:paraId="58D1C0DD" w14:textId="77777777" w:rsidR="00EC1C40" w:rsidRDefault="00EC1C40">
            <w:pPr>
              <w:framePr w:w="7666" w:h="14698" w:wrap="none" w:vAnchor="page" w:hAnchor="page" w:x="1801" w:y="1392"/>
              <w:rPr>
                <w:sz w:val="10"/>
                <w:szCs w:val="10"/>
              </w:rPr>
            </w:pPr>
          </w:p>
        </w:tc>
      </w:tr>
      <w:tr w:rsidR="00EC1C40" w14:paraId="5314037A" w14:textId="77777777">
        <w:tblPrEx>
          <w:tblCellMar>
            <w:top w:w="0" w:type="dxa"/>
            <w:bottom w:w="0" w:type="dxa"/>
          </w:tblCellMar>
        </w:tblPrEx>
        <w:trPr>
          <w:trHeight w:hRule="exact" w:val="197"/>
        </w:trPr>
        <w:tc>
          <w:tcPr>
            <w:tcW w:w="2640" w:type="dxa"/>
            <w:tcBorders>
              <w:top w:val="single" w:sz="4" w:space="0" w:color="auto"/>
              <w:left w:val="single" w:sz="4" w:space="0" w:color="auto"/>
            </w:tcBorders>
            <w:shd w:val="clear" w:color="auto" w:fill="auto"/>
            <w:vAlign w:val="bottom"/>
          </w:tcPr>
          <w:p w14:paraId="27C4B59D" w14:textId="77777777" w:rsidR="00EC1C40" w:rsidRDefault="00000000">
            <w:pPr>
              <w:pStyle w:val="Jin0"/>
              <w:framePr w:w="7666" w:h="14698" w:wrap="none" w:vAnchor="page" w:hAnchor="page" w:x="1801" w:y="1392"/>
              <w:spacing w:after="0"/>
              <w:rPr>
                <w:sz w:val="15"/>
                <w:szCs w:val="15"/>
              </w:rPr>
            </w:pPr>
            <w:r>
              <w:rPr>
                <w:sz w:val="15"/>
                <w:szCs w:val="15"/>
                <w:lang w:val="en-US" w:eastAsia="en-US" w:bidi="en-US"/>
              </w:rPr>
              <w:t>FANSHOP</w:t>
            </w:r>
          </w:p>
        </w:tc>
        <w:tc>
          <w:tcPr>
            <w:tcW w:w="835" w:type="dxa"/>
            <w:tcBorders>
              <w:top w:val="single" w:sz="4" w:space="0" w:color="auto"/>
              <w:left w:val="single" w:sz="4" w:space="0" w:color="auto"/>
            </w:tcBorders>
            <w:shd w:val="clear" w:color="auto" w:fill="auto"/>
            <w:vAlign w:val="bottom"/>
          </w:tcPr>
          <w:p w14:paraId="40781537" w14:textId="77777777" w:rsidR="00EC1C40" w:rsidRDefault="00000000">
            <w:pPr>
              <w:pStyle w:val="Jin0"/>
              <w:framePr w:w="7666" w:h="14698" w:wrap="none" w:vAnchor="page" w:hAnchor="page" w:x="1801" w:y="1392"/>
              <w:spacing w:after="0"/>
              <w:ind w:firstLine="540"/>
              <w:jc w:val="both"/>
              <w:rPr>
                <w:sz w:val="15"/>
                <w:szCs w:val="15"/>
              </w:rPr>
            </w:pPr>
            <w:r>
              <w:rPr>
                <w:sz w:val="15"/>
                <w:szCs w:val="15"/>
              </w:rPr>
              <w:t>512</w:t>
            </w:r>
          </w:p>
        </w:tc>
        <w:tc>
          <w:tcPr>
            <w:tcW w:w="835" w:type="dxa"/>
            <w:tcBorders>
              <w:top w:val="single" w:sz="4" w:space="0" w:color="auto"/>
              <w:left w:val="single" w:sz="4" w:space="0" w:color="auto"/>
            </w:tcBorders>
            <w:shd w:val="clear" w:color="auto" w:fill="auto"/>
          </w:tcPr>
          <w:p w14:paraId="59D2ACE8" w14:textId="77777777" w:rsidR="00EC1C40" w:rsidRDefault="00EC1C40">
            <w:pPr>
              <w:framePr w:w="7666" w:h="14698" w:wrap="none" w:vAnchor="page" w:hAnchor="page" w:x="1801" w:y="1392"/>
              <w:rPr>
                <w:sz w:val="10"/>
                <w:szCs w:val="10"/>
              </w:rPr>
            </w:pPr>
          </w:p>
        </w:tc>
        <w:tc>
          <w:tcPr>
            <w:tcW w:w="1037" w:type="dxa"/>
            <w:tcBorders>
              <w:top w:val="single" w:sz="4" w:space="0" w:color="auto"/>
              <w:left w:val="single" w:sz="4" w:space="0" w:color="auto"/>
            </w:tcBorders>
            <w:shd w:val="clear" w:color="auto" w:fill="auto"/>
            <w:vAlign w:val="bottom"/>
          </w:tcPr>
          <w:p w14:paraId="02401687" w14:textId="77777777" w:rsidR="00EC1C40" w:rsidRDefault="00000000">
            <w:pPr>
              <w:pStyle w:val="Jin0"/>
              <w:framePr w:w="7666" w:h="14698" w:wrap="none" w:vAnchor="page" w:hAnchor="page" w:x="1801" w:y="1392"/>
              <w:spacing w:after="0"/>
              <w:ind w:firstLine="740"/>
              <w:rPr>
                <w:sz w:val="15"/>
                <w:szCs w:val="15"/>
              </w:rPr>
            </w:pPr>
            <w:r>
              <w:rPr>
                <w:sz w:val="15"/>
                <w:szCs w:val="15"/>
              </w:rPr>
              <w:t>512</w:t>
            </w:r>
          </w:p>
        </w:tc>
        <w:tc>
          <w:tcPr>
            <w:tcW w:w="1214" w:type="dxa"/>
            <w:tcBorders>
              <w:top w:val="single" w:sz="4" w:space="0" w:color="auto"/>
              <w:left w:val="single" w:sz="4" w:space="0" w:color="auto"/>
            </w:tcBorders>
            <w:shd w:val="clear" w:color="auto" w:fill="auto"/>
            <w:vAlign w:val="bottom"/>
          </w:tcPr>
          <w:p w14:paraId="6FACEF23" w14:textId="77777777" w:rsidR="00EC1C40" w:rsidRDefault="00000000">
            <w:pPr>
              <w:pStyle w:val="Jin0"/>
              <w:framePr w:w="7666" w:h="14698" w:wrap="none" w:vAnchor="page" w:hAnchor="page" w:x="1801" w:y="1392"/>
              <w:spacing w:after="0"/>
              <w:jc w:val="right"/>
              <w:rPr>
                <w:sz w:val="15"/>
                <w:szCs w:val="15"/>
              </w:rPr>
            </w:pPr>
            <w:r>
              <w:rPr>
                <w:sz w:val="15"/>
                <w:szCs w:val="15"/>
              </w:rPr>
              <w:t>100%</w:t>
            </w:r>
          </w:p>
        </w:tc>
        <w:tc>
          <w:tcPr>
            <w:tcW w:w="1104" w:type="dxa"/>
            <w:tcBorders>
              <w:top w:val="single" w:sz="4" w:space="0" w:color="auto"/>
              <w:left w:val="single" w:sz="4" w:space="0" w:color="auto"/>
              <w:right w:val="single" w:sz="4" w:space="0" w:color="auto"/>
            </w:tcBorders>
            <w:shd w:val="clear" w:color="auto" w:fill="auto"/>
            <w:vAlign w:val="bottom"/>
          </w:tcPr>
          <w:p w14:paraId="585F1777" w14:textId="77777777" w:rsidR="00EC1C40" w:rsidRDefault="00000000">
            <w:pPr>
              <w:pStyle w:val="Jin0"/>
              <w:framePr w:w="7666" w:h="14698" w:wrap="none" w:vAnchor="page" w:hAnchor="page" w:x="1801" w:y="1392"/>
              <w:spacing w:after="0"/>
              <w:jc w:val="right"/>
              <w:rPr>
                <w:sz w:val="15"/>
                <w:szCs w:val="15"/>
              </w:rPr>
            </w:pPr>
            <w:r>
              <w:rPr>
                <w:sz w:val="15"/>
                <w:szCs w:val="15"/>
              </w:rPr>
              <w:t>512</w:t>
            </w:r>
          </w:p>
        </w:tc>
      </w:tr>
      <w:tr w:rsidR="00EC1C40" w14:paraId="774D1DA5" w14:textId="77777777">
        <w:tblPrEx>
          <w:tblCellMar>
            <w:top w:w="0" w:type="dxa"/>
            <w:bottom w:w="0" w:type="dxa"/>
          </w:tblCellMar>
        </w:tblPrEx>
        <w:trPr>
          <w:trHeight w:hRule="exact" w:val="192"/>
        </w:trPr>
        <w:tc>
          <w:tcPr>
            <w:tcW w:w="2640" w:type="dxa"/>
            <w:tcBorders>
              <w:top w:val="single" w:sz="4" w:space="0" w:color="auto"/>
              <w:left w:val="single" w:sz="4" w:space="0" w:color="auto"/>
            </w:tcBorders>
            <w:shd w:val="clear" w:color="auto" w:fill="auto"/>
          </w:tcPr>
          <w:p w14:paraId="41D63197" w14:textId="77777777" w:rsidR="00EC1C40" w:rsidRDefault="00000000">
            <w:pPr>
              <w:pStyle w:val="Jin0"/>
              <w:framePr w:w="7666" w:h="14698" w:wrap="none" w:vAnchor="page" w:hAnchor="page" w:x="1801" w:y="1392"/>
              <w:spacing w:after="0"/>
              <w:rPr>
                <w:sz w:val="15"/>
                <w:szCs w:val="15"/>
              </w:rPr>
            </w:pPr>
            <w:r>
              <w:rPr>
                <w:sz w:val="15"/>
                <w:szCs w:val="15"/>
              </w:rPr>
              <w:t>VÝSTAVNÍ PROSTOR</w:t>
            </w:r>
          </w:p>
        </w:tc>
        <w:tc>
          <w:tcPr>
            <w:tcW w:w="835" w:type="dxa"/>
            <w:tcBorders>
              <w:top w:val="single" w:sz="4" w:space="0" w:color="auto"/>
              <w:left w:val="single" w:sz="4" w:space="0" w:color="auto"/>
            </w:tcBorders>
            <w:shd w:val="clear" w:color="auto" w:fill="auto"/>
          </w:tcPr>
          <w:p w14:paraId="513958A1" w14:textId="77777777" w:rsidR="00EC1C40" w:rsidRDefault="00000000">
            <w:pPr>
              <w:pStyle w:val="Jin0"/>
              <w:framePr w:w="7666" w:h="14698" w:wrap="none" w:vAnchor="page" w:hAnchor="page" w:x="1801" w:y="1392"/>
              <w:spacing w:after="0"/>
              <w:ind w:firstLine="540"/>
              <w:jc w:val="both"/>
              <w:rPr>
                <w:sz w:val="15"/>
                <w:szCs w:val="15"/>
              </w:rPr>
            </w:pPr>
            <w:r>
              <w:rPr>
                <w:sz w:val="15"/>
                <w:szCs w:val="15"/>
              </w:rPr>
              <w:t>517</w:t>
            </w:r>
          </w:p>
        </w:tc>
        <w:tc>
          <w:tcPr>
            <w:tcW w:w="835" w:type="dxa"/>
            <w:tcBorders>
              <w:top w:val="single" w:sz="4" w:space="0" w:color="auto"/>
              <w:left w:val="single" w:sz="4" w:space="0" w:color="auto"/>
            </w:tcBorders>
            <w:shd w:val="clear" w:color="auto" w:fill="auto"/>
          </w:tcPr>
          <w:p w14:paraId="2009EC1C" w14:textId="77777777" w:rsidR="00EC1C40" w:rsidRDefault="00000000">
            <w:pPr>
              <w:pStyle w:val="Jin0"/>
              <w:framePr w:w="7666" w:h="14698" w:wrap="none" w:vAnchor="page" w:hAnchor="page" w:x="1801" w:y="1392"/>
              <w:spacing w:after="0"/>
              <w:ind w:firstLine="540"/>
              <w:jc w:val="both"/>
              <w:rPr>
                <w:sz w:val="15"/>
                <w:szCs w:val="15"/>
              </w:rPr>
            </w:pPr>
            <w:r>
              <w:rPr>
                <w:sz w:val="15"/>
                <w:szCs w:val="15"/>
              </w:rPr>
              <w:t>517</w:t>
            </w:r>
          </w:p>
        </w:tc>
        <w:tc>
          <w:tcPr>
            <w:tcW w:w="1037" w:type="dxa"/>
            <w:tcBorders>
              <w:top w:val="single" w:sz="4" w:space="0" w:color="auto"/>
              <w:left w:val="single" w:sz="4" w:space="0" w:color="auto"/>
            </w:tcBorders>
            <w:shd w:val="clear" w:color="auto" w:fill="auto"/>
          </w:tcPr>
          <w:p w14:paraId="37B3BCEC" w14:textId="77777777" w:rsidR="00EC1C40" w:rsidRDefault="00EC1C40">
            <w:pPr>
              <w:framePr w:w="7666" w:h="14698" w:wrap="none" w:vAnchor="page" w:hAnchor="page" w:x="1801" w:y="1392"/>
              <w:rPr>
                <w:sz w:val="10"/>
                <w:szCs w:val="10"/>
              </w:rPr>
            </w:pPr>
          </w:p>
        </w:tc>
        <w:tc>
          <w:tcPr>
            <w:tcW w:w="1214" w:type="dxa"/>
            <w:tcBorders>
              <w:top w:val="single" w:sz="4" w:space="0" w:color="auto"/>
              <w:left w:val="single" w:sz="4" w:space="0" w:color="auto"/>
            </w:tcBorders>
            <w:shd w:val="clear" w:color="auto" w:fill="auto"/>
          </w:tcPr>
          <w:p w14:paraId="05637FE8" w14:textId="77777777" w:rsidR="00EC1C40" w:rsidRDefault="00EC1C40">
            <w:pPr>
              <w:framePr w:w="7666" w:h="14698" w:wrap="none" w:vAnchor="page" w:hAnchor="page" w:x="1801" w:y="1392"/>
              <w:rPr>
                <w:sz w:val="10"/>
                <w:szCs w:val="10"/>
              </w:rPr>
            </w:pPr>
          </w:p>
        </w:tc>
        <w:tc>
          <w:tcPr>
            <w:tcW w:w="1104" w:type="dxa"/>
            <w:tcBorders>
              <w:top w:val="single" w:sz="4" w:space="0" w:color="auto"/>
              <w:left w:val="single" w:sz="4" w:space="0" w:color="auto"/>
              <w:right w:val="single" w:sz="4" w:space="0" w:color="auto"/>
            </w:tcBorders>
            <w:shd w:val="clear" w:color="auto" w:fill="auto"/>
          </w:tcPr>
          <w:p w14:paraId="552E9669" w14:textId="77777777" w:rsidR="00EC1C40" w:rsidRDefault="00EC1C40">
            <w:pPr>
              <w:framePr w:w="7666" w:h="14698" w:wrap="none" w:vAnchor="page" w:hAnchor="page" w:x="1801" w:y="1392"/>
              <w:rPr>
                <w:sz w:val="10"/>
                <w:szCs w:val="10"/>
              </w:rPr>
            </w:pPr>
          </w:p>
        </w:tc>
      </w:tr>
      <w:tr w:rsidR="00EC1C40" w14:paraId="61B9FB23" w14:textId="77777777">
        <w:tblPrEx>
          <w:tblCellMar>
            <w:top w:w="0" w:type="dxa"/>
            <w:bottom w:w="0" w:type="dxa"/>
          </w:tblCellMar>
        </w:tblPrEx>
        <w:trPr>
          <w:trHeight w:hRule="exact" w:val="192"/>
        </w:trPr>
        <w:tc>
          <w:tcPr>
            <w:tcW w:w="2640" w:type="dxa"/>
            <w:tcBorders>
              <w:top w:val="single" w:sz="4" w:space="0" w:color="auto"/>
              <w:left w:val="single" w:sz="4" w:space="0" w:color="auto"/>
            </w:tcBorders>
            <w:shd w:val="clear" w:color="auto" w:fill="auto"/>
          </w:tcPr>
          <w:p w14:paraId="64774B89" w14:textId="77777777" w:rsidR="00EC1C40" w:rsidRDefault="00000000">
            <w:pPr>
              <w:pStyle w:val="Jin0"/>
              <w:framePr w:w="7666" w:h="14698" w:wrap="none" w:vAnchor="page" w:hAnchor="page" w:x="1801" w:y="1392"/>
              <w:spacing w:after="0"/>
              <w:rPr>
                <w:sz w:val="15"/>
                <w:szCs w:val="15"/>
              </w:rPr>
            </w:pPr>
            <w:r>
              <w:rPr>
                <w:sz w:val="15"/>
                <w:szCs w:val="15"/>
                <w:lang w:val="en-US" w:eastAsia="en-US" w:bidi="en-US"/>
              </w:rPr>
              <w:t>SPORTBAR</w:t>
            </w:r>
          </w:p>
        </w:tc>
        <w:tc>
          <w:tcPr>
            <w:tcW w:w="835" w:type="dxa"/>
            <w:tcBorders>
              <w:top w:val="single" w:sz="4" w:space="0" w:color="auto"/>
              <w:left w:val="single" w:sz="4" w:space="0" w:color="auto"/>
            </w:tcBorders>
            <w:shd w:val="clear" w:color="auto" w:fill="auto"/>
          </w:tcPr>
          <w:p w14:paraId="4F99A5B4" w14:textId="77777777" w:rsidR="00EC1C40" w:rsidRDefault="00000000">
            <w:pPr>
              <w:pStyle w:val="Jin0"/>
              <w:framePr w:w="7666" w:h="14698" w:wrap="none" w:vAnchor="page" w:hAnchor="page" w:x="1801" w:y="1392"/>
              <w:spacing w:after="0"/>
              <w:ind w:firstLine="540"/>
              <w:jc w:val="both"/>
              <w:rPr>
                <w:sz w:val="15"/>
                <w:szCs w:val="15"/>
              </w:rPr>
            </w:pPr>
            <w:r>
              <w:rPr>
                <w:sz w:val="15"/>
                <w:szCs w:val="15"/>
              </w:rPr>
              <w:t>767</w:t>
            </w:r>
          </w:p>
        </w:tc>
        <w:tc>
          <w:tcPr>
            <w:tcW w:w="835" w:type="dxa"/>
            <w:tcBorders>
              <w:top w:val="single" w:sz="4" w:space="0" w:color="auto"/>
              <w:left w:val="single" w:sz="4" w:space="0" w:color="auto"/>
            </w:tcBorders>
            <w:shd w:val="clear" w:color="auto" w:fill="auto"/>
          </w:tcPr>
          <w:p w14:paraId="5476C98C" w14:textId="77777777" w:rsidR="00EC1C40" w:rsidRDefault="00EC1C40">
            <w:pPr>
              <w:framePr w:w="7666" w:h="14698" w:wrap="none" w:vAnchor="page" w:hAnchor="page" w:x="1801" w:y="1392"/>
              <w:rPr>
                <w:sz w:val="10"/>
                <w:szCs w:val="10"/>
              </w:rPr>
            </w:pPr>
          </w:p>
        </w:tc>
        <w:tc>
          <w:tcPr>
            <w:tcW w:w="1037" w:type="dxa"/>
            <w:tcBorders>
              <w:top w:val="single" w:sz="4" w:space="0" w:color="auto"/>
              <w:left w:val="single" w:sz="4" w:space="0" w:color="auto"/>
            </w:tcBorders>
            <w:shd w:val="clear" w:color="auto" w:fill="auto"/>
          </w:tcPr>
          <w:p w14:paraId="6C1EF3EC" w14:textId="77777777" w:rsidR="00EC1C40" w:rsidRDefault="00000000">
            <w:pPr>
              <w:pStyle w:val="Jin0"/>
              <w:framePr w:w="7666" w:h="14698" w:wrap="none" w:vAnchor="page" w:hAnchor="page" w:x="1801" w:y="1392"/>
              <w:spacing w:after="0"/>
              <w:ind w:firstLine="740"/>
              <w:rPr>
                <w:sz w:val="15"/>
                <w:szCs w:val="15"/>
              </w:rPr>
            </w:pPr>
            <w:r>
              <w:rPr>
                <w:sz w:val="15"/>
                <w:szCs w:val="15"/>
              </w:rPr>
              <w:t>767</w:t>
            </w:r>
          </w:p>
        </w:tc>
        <w:tc>
          <w:tcPr>
            <w:tcW w:w="1214" w:type="dxa"/>
            <w:tcBorders>
              <w:top w:val="single" w:sz="4" w:space="0" w:color="auto"/>
              <w:left w:val="single" w:sz="4" w:space="0" w:color="auto"/>
            </w:tcBorders>
            <w:shd w:val="clear" w:color="auto" w:fill="auto"/>
          </w:tcPr>
          <w:p w14:paraId="7A808C6F" w14:textId="77777777" w:rsidR="00EC1C40" w:rsidRDefault="00000000">
            <w:pPr>
              <w:pStyle w:val="Jin0"/>
              <w:framePr w:w="7666" w:h="14698" w:wrap="none" w:vAnchor="page" w:hAnchor="page" w:x="1801" w:y="1392"/>
              <w:spacing w:after="0"/>
              <w:jc w:val="right"/>
              <w:rPr>
                <w:sz w:val="15"/>
                <w:szCs w:val="15"/>
              </w:rPr>
            </w:pPr>
            <w:r>
              <w:rPr>
                <w:sz w:val="15"/>
                <w:szCs w:val="15"/>
              </w:rPr>
              <w:t>100%</w:t>
            </w:r>
          </w:p>
        </w:tc>
        <w:tc>
          <w:tcPr>
            <w:tcW w:w="1104" w:type="dxa"/>
            <w:tcBorders>
              <w:top w:val="single" w:sz="4" w:space="0" w:color="auto"/>
              <w:left w:val="single" w:sz="4" w:space="0" w:color="auto"/>
              <w:right w:val="single" w:sz="4" w:space="0" w:color="auto"/>
            </w:tcBorders>
            <w:shd w:val="clear" w:color="auto" w:fill="auto"/>
          </w:tcPr>
          <w:p w14:paraId="30986726" w14:textId="77777777" w:rsidR="00EC1C40" w:rsidRDefault="00000000">
            <w:pPr>
              <w:pStyle w:val="Jin0"/>
              <w:framePr w:w="7666" w:h="14698" w:wrap="none" w:vAnchor="page" w:hAnchor="page" w:x="1801" w:y="1392"/>
              <w:spacing w:after="0"/>
              <w:jc w:val="right"/>
              <w:rPr>
                <w:sz w:val="15"/>
                <w:szCs w:val="15"/>
              </w:rPr>
            </w:pPr>
            <w:r>
              <w:rPr>
                <w:sz w:val="15"/>
                <w:szCs w:val="15"/>
              </w:rPr>
              <w:t>767</w:t>
            </w:r>
          </w:p>
        </w:tc>
      </w:tr>
      <w:tr w:rsidR="00EC1C40" w14:paraId="187ADB54" w14:textId="77777777">
        <w:tblPrEx>
          <w:tblCellMar>
            <w:top w:w="0" w:type="dxa"/>
            <w:bottom w:w="0" w:type="dxa"/>
          </w:tblCellMar>
        </w:tblPrEx>
        <w:trPr>
          <w:trHeight w:hRule="exact" w:val="197"/>
        </w:trPr>
        <w:tc>
          <w:tcPr>
            <w:tcW w:w="2640" w:type="dxa"/>
            <w:tcBorders>
              <w:top w:val="single" w:sz="4" w:space="0" w:color="auto"/>
              <w:left w:val="single" w:sz="4" w:space="0" w:color="auto"/>
            </w:tcBorders>
            <w:shd w:val="clear" w:color="auto" w:fill="auto"/>
          </w:tcPr>
          <w:p w14:paraId="36E461DB" w14:textId="77777777" w:rsidR="00EC1C40" w:rsidRDefault="00000000">
            <w:pPr>
              <w:pStyle w:val="Jin0"/>
              <w:framePr w:w="7666" w:h="14698" w:wrap="none" w:vAnchor="page" w:hAnchor="page" w:x="1801" w:y="1392"/>
              <w:spacing w:after="0"/>
              <w:jc w:val="both"/>
              <w:rPr>
                <w:sz w:val="15"/>
                <w:szCs w:val="15"/>
              </w:rPr>
            </w:pPr>
            <w:r>
              <w:rPr>
                <w:b/>
                <w:bCs/>
                <w:sz w:val="15"/>
                <w:szCs w:val="15"/>
              </w:rPr>
              <w:t>3NP</w:t>
            </w:r>
          </w:p>
        </w:tc>
        <w:tc>
          <w:tcPr>
            <w:tcW w:w="835" w:type="dxa"/>
            <w:tcBorders>
              <w:top w:val="single" w:sz="4" w:space="0" w:color="auto"/>
              <w:left w:val="single" w:sz="4" w:space="0" w:color="auto"/>
            </w:tcBorders>
            <w:shd w:val="clear" w:color="auto" w:fill="auto"/>
          </w:tcPr>
          <w:p w14:paraId="728AD6DD" w14:textId="77777777" w:rsidR="00EC1C40" w:rsidRDefault="00000000">
            <w:pPr>
              <w:pStyle w:val="Jin0"/>
              <w:framePr w:w="7666" w:h="14698" w:wrap="none" w:vAnchor="page" w:hAnchor="page" w:x="1801" w:y="1392"/>
              <w:spacing w:after="0"/>
              <w:ind w:firstLine="420"/>
              <w:jc w:val="both"/>
              <w:rPr>
                <w:sz w:val="15"/>
                <w:szCs w:val="15"/>
              </w:rPr>
            </w:pPr>
            <w:r>
              <w:rPr>
                <w:b/>
                <w:bCs/>
                <w:sz w:val="15"/>
                <w:szCs w:val="15"/>
              </w:rPr>
              <w:t>5 661</w:t>
            </w:r>
          </w:p>
        </w:tc>
        <w:tc>
          <w:tcPr>
            <w:tcW w:w="835" w:type="dxa"/>
            <w:tcBorders>
              <w:top w:val="single" w:sz="4" w:space="0" w:color="auto"/>
              <w:left w:val="single" w:sz="4" w:space="0" w:color="auto"/>
            </w:tcBorders>
            <w:shd w:val="clear" w:color="auto" w:fill="auto"/>
          </w:tcPr>
          <w:p w14:paraId="5361C0FD" w14:textId="77777777" w:rsidR="00EC1C40" w:rsidRDefault="00EC1C40">
            <w:pPr>
              <w:framePr w:w="7666" w:h="14698" w:wrap="none" w:vAnchor="page" w:hAnchor="page" w:x="1801" w:y="1392"/>
              <w:rPr>
                <w:sz w:val="10"/>
                <w:szCs w:val="10"/>
              </w:rPr>
            </w:pPr>
          </w:p>
        </w:tc>
        <w:tc>
          <w:tcPr>
            <w:tcW w:w="1037" w:type="dxa"/>
            <w:tcBorders>
              <w:top w:val="single" w:sz="4" w:space="0" w:color="auto"/>
              <w:left w:val="single" w:sz="4" w:space="0" w:color="auto"/>
            </w:tcBorders>
            <w:shd w:val="clear" w:color="auto" w:fill="auto"/>
          </w:tcPr>
          <w:p w14:paraId="6835888B" w14:textId="77777777" w:rsidR="00EC1C40" w:rsidRDefault="00EC1C40">
            <w:pPr>
              <w:framePr w:w="7666" w:h="14698" w:wrap="none" w:vAnchor="page" w:hAnchor="page" w:x="1801" w:y="1392"/>
              <w:rPr>
                <w:sz w:val="10"/>
                <w:szCs w:val="10"/>
              </w:rPr>
            </w:pPr>
          </w:p>
        </w:tc>
        <w:tc>
          <w:tcPr>
            <w:tcW w:w="1214" w:type="dxa"/>
            <w:tcBorders>
              <w:top w:val="single" w:sz="4" w:space="0" w:color="auto"/>
              <w:left w:val="single" w:sz="4" w:space="0" w:color="auto"/>
            </w:tcBorders>
            <w:shd w:val="clear" w:color="auto" w:fill="auto"/>
          </w:tcPr>
          <w:p w14:paraId="68C42625" w14:textId="77777777" w:rsidR="00EC1C40" w:rsidRDefault="00EC1C40">
            <w:pPr>
              <w:framePr w:w="7666" w:h="14698" w:wrap="none" w:vAnchor="page" w:hAnchor="page" w:x="1801" w:y="1392"/>
              <w:rPr>
                <w:sz w:val="10"/>
                <w:szCs w:val="10"/>
              </w:rPr>
            </w:pPr>
          </w:p>
        </w:tc>
        <w:tc>
          <w:tcPr>
            <w:tcW w:w="1104" w:type="dxa"/>
            <w:tcBorders>
              <w:top w:val="single" w:sz="4" w:space="0" w:color="auto"/>
              <w:left w:val="single" w:sz="4" w:space="0" w:color="auto"/>
              <w:right w:val="single" w:sz="4" w:space="0" w:color="auto"/>
            </w:tcBorders>
            <w:shd w:val="clear" w:color="auto" w:fill="auto"/>
          </w:tcPr>
          <w:p w14:paraId="47F837A0" w14:textId="77777777" w:rsidR="00EC1C40" w:rsidRDefault="00EC1C40">
            <w:pPr>
              <w:framePr w:w="7666" w:h="14698" w:wrap="none" w:vAnchor="page" w:hAnchor="page" w:x="1801" w:y="1392"/>
              <w:rPr>
                <w:sz w:val="10"/>
                <w:szCs w:val="10"/>
              </w:rPr>
            </w:pPr>
          </w:p>
        </w:tc>
      </w:tr>
      <w:tr w:rsidR="00EC1C40" w14:paraId="2D7BD4FB" w14:textId="77777777">
        <w:tblPrEx>
          <w:tblCellMar>
            <w:top w:w="0" w:type="dxa"/>
            <w:bottom w:w="0" w:type="dxa"/>
          </w:tblCellMar>
        </w:tblPrEx>
        <w:trPr>
          <w:trHeight w:hRule="exact" w:val="192"/>
        </w:trPr>
        <w:tc>
          <w:tcPr>
            <w:tcW w:w="2640" w:type="dxa"/>
            <w:tcBorders>
              <w:top w:val="single" w:sz="4" w:space="0" w:color="auto"/>
              <w:left w:val="single" w:sz="4" w:space="0" w:color="auto"/>
            </w:tcBorders>
            <w:shd w:val="clear" w:color="auto" w:fill="auto"/>
          </w:tcPr>
          <w:p w14:paraId="3C3CF610" w14:textId="77777777" w:rsidR="00EC1C40" w:rsidRDefault="00000000">
            <w:pPr>
              <w:pStyle w:val="Jin0"/>
              <w:framePr w:w="7666" w:h="14698" w:wrap="none" w:vAnchor="page" w:hAnchor="page" w:x="1801" w:y="1392"/>
              <w:spacing w:after="0"/>
              <w:jc w:val="both"/>
              <w:rPr>
                <w:sz w:val="15"/>
                <w:szCs w:val="15"/>
              </w:rPr>
            </w:pPr>
            <w:r>
              <w:rPr>
                <w:sz w:val="15"/>
                <w:szCs w:val="15"/>
              </w:rPr>
              <w:t>ARÉNA VEŘEJNOST</w:t>
            </w:r>
          </w:p>
        </w:tc>
        <w:tc>
          <w:tcPr>
            <w:tcW w:w="835" w:type="dxa"/>
            <w:tcBorders>
              <w:top w:val="single" w:sz="4" w:space="0" w:color="auto"/>
              <w:left w:val="single" w:sz="4" w:space="0" w:color="auto"/>
            </w:tcBorders>
            <w:shd w:val="clear" w:color="auto" w:fill="auto"/>
          </w:tcPr>
          <w:p w14:paraId="09B8A7C5" w14:textId="77777777" w:rsidR="00EC1C40" w:rsidRDefault="00000000">
            <w:pPr>
              <w:pStyle w:val="Jin0"/>
              <w:framePr w:w="7666" w:h="14698" w:wrap="none" w:vAnchor="page" w:hAnchor="page" w:x="1801" w:y="1392"/>
              <w:spacing w:after="0"/>
              <w:ind w:firstLine="420"/>
              <w:jc w:val="both"/>
              <w:rPr>
                <w:sz w:val="15"/>
                <w:szCs w:val="15"/>
              </w:rPr>
            </w:pPr>
            <w:r>
              <w:rPr>
                <w:sz w:val="15"/>
                <w:szCs w:val="15"/>
              </w:rPr>
              <w:t>1 278</w:t>
            </w:r>
          </w:p>
        </w:tc>
        <w:tc>
          <w:tcPr>
            <w:tcW w:w="835" w:type="dxa"/>
            <w:tcBorders>
              <w:top w:val="single" w:sz="4" w:space="0" w:color="auto"/>
              <w:left w:val="single" w:sz="4" w:space="0" w:color="auto"/>
            </w:tcBorders>
            <w:shd w:val="clear" w:color="auto" w:fill="auto"/>
          </w:tcPr>
          <w:p w14:paraId="0C08EFE2" w14:textId="77777777" w:rsidR="00EC1C40" w:rsidRDefault="00000000">
            <w:pPr>
              <w:pStyle w:val="Jin0"/>
              <w:framePr w:w="7666" w:h="14698" w:wrap="none" w:vAnchor="page" w:hAnchor="page" w:x="1801" w:y="1392"/>
              <w:spacing w:after="0"/>
              <w:ind w:firstLine="420"/>
              <w:jc w:val="both"/>
              <w:rPr>
                <w:sz w:val="15"/>
                <w:szCs w:val="15"/>
              </w:rPr>
            </w:pPr>
            <w:r>
              <w:rPr>
                <w:sz w:val="15"/>
                <w:szCs w:val="15"/>
              </w:rPr>
              <w:t>1 278</w:t>
            </w:r>
          </w:p>
        </w:tc>
        <w:tc>
          <w:tcPr>
            <w:tcW w:w="1037" w:type="dxa"/>
            <w:tcBorders>
              <w:top w:val="single" w:sz="4" w:space="0" w:color="auto"/>
              <w:left w:val="single" w:sz="4" w:space="0" w:color="auto"/>
            </w:tcBorders>
            <w:shd w:val="clear" w:color="auto" w:fill="auto"/>
          </w:tcPr>
          <w:p w14:paraId="4DE7773C" w14:textId="77777777" w:rsidR="00EC1C40" w:rsidRDefault="00EC1C40">
            <w:pPr>
              <w:framePr w:w="7666" w:h="14698" w:wrap="none" w:vAnchor="page" w:hAnchor="page" w:x="1801" w:y="1392"/>
              <w:rPr>
                <w:sz w:val="10"/>
                <w:szCs w:val="10"/>
              </w:rPr>
            </w:pPr>
          </w:p>
        </w:tc>
        <w:tc>
          <w:tcPr>
            <w:tcW w:w="1214" w:type="dxa"/>
            <w:tcBorders>
              <w:top w:val="single" w:sz="4" w:space="0" w:color="auto"/>
              <w:left w:val="single" w:sz="4" w:space="0" w:color="auto"/>
            </w:tcBorders>
            <w:shd w:val="clear" w:color="auto" w:fill="auto"/>
          </w:tcPr>
          <w:p w14:paraId="43D6133C" w14:textId="77777777" w:rsidR="00EC1C40" w:rsidRDefault="00EC1C40">
            <w:pPr>
              <w:framePr w:w="7666" w:h="14698" w:wrap="none" w:vAnchor="page" w:hAnchor="page" w:x="1801" w:y="1392"/>
              <w:rPr>
                <w:sz w:val="10"/>
                <w:szCs w:val="10"/>
              </w:rPr>
            </w:pPr>
          </w:p>
        </w:tc>
        <w:tc>
          <w:tcPr>
            <w:tcW w:w="1104" w:type="dxa"/>
            <w:tcBorders>
              <w:top w:val="single" w:sz="4" w:space="0" w:color="auto"/>
              <w:left w:val="single" w:sz="4" w:space="0" w:color="auto"/>
              <w:right w:val="single" w:sz="4" w:space="0" w:color="auto"/>
            </w:tcBorders>
            <w:shd w:val="clear" w:color="auto" w:fill="auto"/>
          </w:tcPr>
          <w:p w14:paraId="06ACC7DB" w14:textId="77777777" w:rsidR="00EC1C40" w:rsidRDefault="00EC1C40">
            <w:pPr>
              <w:framePr w:w="7666" w:h="14698" w:wrap="none" w:vAnchor="page" w:hAnchor="page" w:x="1801" w:y="1392"/>
              <w:rPr>
                <w:sz w:val="10"/>
                <w:szCs w:val="10"/>
              </w:rPr>
            </w:pPr>
          </w:p>
        </w:tc>
      </w:tr>
      <w:tr w:rsidR="00EC1C40" w14:paraId="0E59C852" w14:textId="77777777">
        <w:tblPrEx>
          <w:tblCellMar>
            <w:top w:w="0" w:type="dxa"/>
            <w:bottom w:w="0" w:type="dxa"/>
          </w:tblCellMar>
        </w:tblPrEx>
        <w:trPr>
          <w:trHeight w:hRule="exact" w:val="197"/>
        </w:trPr>
        <w:tc>
          <w:tcPr>
            <w:tcW w:w="2640" w:type="dxa"/>
            <w:tcBorders>
              <w:top w:val="single" w:sz="4" w:space="0" w:color="auto"/>
              <w:left w:val="single" w:sz="4" w:space="0" w:color="auto"/>
            </w:tcBorders>
            <w:shd w:val="clear" w:color="auto" w:fill="auto"/>
          </w:tcPr>
          <w:p w14:paraId="02A67269" w14:textId="77777777" w:rsidR="00EC1C40" w:rsidRDefault="00000000">
            <w:pPr>
              <w:pStyle w:val="Jin0"/>
              <w:framePr w:w="7666" w:h="14698" w:wrap="none" w:vAnchor="page" w:hAnchor="page" w:x="1801" w:y="1392"/>
              <w:spacing w:after="0"/>
              <w:jc w:val="both"/>
              <w:rPr>
                <w:sz w:val="15"/>
                <w:szCs w:val="15"/>
              </w:rPr>
            </w:pPr>
            <w:r>
              <w:rPr>
                <w:sz w:val="15"/>
                <w:szCs w:val="15"/>
              </w:rPr>
              <w:t>ARÉNA ZÁZEMÍ</w:t>
            </w:r>
          </w:p>
        </w:tc>
        <w:tc>
          <w:tcPr>
            <w:tcW w:w="835" w:type="dxa"/>
            <w:tcBorders>
              <w:top w:val="single" w:sz="4" w:space="0" w:color="auto"/>
              <w:left w:val="single" w:sz="4" w:space="0" w:color="auto"/>
            </w:tcBorders>
            <w:shd w:val="clear" w:color="auto" w:fill="auto"/>
          </w:tcPr>
          <w:p w14:paraId="467FD5B9" w14:textId="77777777" w:rsidR="00EC1C40" w:rsidRDefault="00000000">
            <w:pPr>
              <w:pStyle w:val="Jin0"/>
              <w:framePr w:w="7666" w:h="14698" w:wrap="none" w:vAnchor="page" w:hAnchor="page" w:x="1801" w:y="1392"/>
              <w:spacing w:after="0"/>
              <w:ind w:firstLine="420"/>
              <w:jc w:val="both"/>
              <w:rPr>
                <w:sz w:val="15"/>
                <w:szCs w:val="15"/>
              </w:rPr>
            </w:pPr>
            <w:r>
              <w:rPr>
                <w:sz w:val="15"/>
                <w:szCs w:val="15"/>
              </w:rPr>
              <w:t>4 383</w:t>
            </w:r>
          </w:p>
        </w:tc>
        <w:tc>
          <w:tcPr>
            <w:tcW w:w="835" w:type="dxa"/>
            <w:tcBorders>
              <w:top w:val="single" w:sz="4" w:space="0" w:color="auto"/>
              <w:left w:val="single" w:sz="4" w:space="0" w:color="auto"/>
            </w:tcBorders>
            <w:shd w:val="clear" w:color="auto" w:fill="auto"/>
          </w:tcPr>
          <w:p w14:paraId="31370129" w14:textId="77777777" w:rsidR="00EC1C40" w:rsidRDefault="00000000">
            <w:pPr>
              <w:pStyle w:val="Jin0"/>
              <w:framePr w:w="7666" w:h="14698" w:wrap="none" w:vAnchor="page" w:hAnchor="page" w:x="1801" w:y="1392"/>
              <w:spacing w:after="0"/>
              <w:ind w:firstLine="420"/>
              <w:jc w:val="both"/>
              <w:rPr>
                <w:sz w:val="15"/>
                <w:szCs w:val="15"/>
              </w:rPr>
            </w:pPr>
            <w:r>
              <w:rPr>
                <w:sz w:val="15"/>
                <w:szCs w:val="15"/>
              </w:rPr>
              <w:t>4 383</w:t>
            </w:r>
          </w:p>
        </w:tc>
        <w:tc>
          <w:tcPr>
            <w:tcW w:w="1037" w:type="dxa"/>
            <w:tcBorders>
              <w:top w:val="single" w:sz="4" w:space="0" w:color="auto"/>
              <w:left w:val="single" w:sz="4" w:space="0" w:color="auto"/>
            </w:tcBorders>
            <w:shd w:val="clear" w:color="auto" w:fill="auto"/>
          </w:tcPr>
          <w:p w14:paraId="26346267" w14:textId="77777777" w:rsidR="00EC1C40" w:rsidRDefault="00EC1C40">
            <w:pPr>
              <w:framePr w:w="7666" w:h="14698" w:wrap="none" w:vAnchor="page" w:hAnchor="page" w:x="1801" w:y="1392"/>
              <w:rPr>
                <w:sz w:val="10"/>
                <w:szCs w:val="10"/>
              </w:rPr>
            </w:pPr>
          </w:p>
        </w:tc>
        <w:tc>
          <w:tcPr>
            <w:tcW w:w="1214" w:type="dxa"/>
            <w:tcBorders>
              <w:top w:val="single" w:sz="4" w:space="0" w:color="auto"/>
              <w:left w:val="single" w:sz="4" w:space="0" w:color="auto"/>
            </w:tcBorders>
            <w:shd w:val="clear" w:color="auto" w:fill="auto"/>
          </w:tcPr>
          <w:p w14:paraId="42AFE175" w14:textId="77777777" w:rsidR="00EC1C40" w:rsidRDefault="00EC1C40">
            <w:pPr>
              <w:framePr w:w="7666" w:h="14698" w:wrap="none" w:vAnchor="page" w:hAnchor="page" w:x="1801" w:y="1392"/>
              <w:rPr>
                <w:sz w:val="10"/>
                <w:szCs w:val="10"/>
              </w:rPr>
            </w:pPr>
          </w:p>
        </w:tc>
        <w:tc>
          <w:tcPr>
            <w:tcW w:w="1104" w:type="dxa"/>
            <w:tcBorders>
              <w:top w:val="single" w:sz="4" w:space="0" w:color="auto"/>
              <w:left w:val="single" w:sz="4" w:space="0" w:color="auto"/>
              <w:right w:val="single" w:sz="4" w:space="0" w:color="auto"/>
            </w:tcBorders>
            <w:shd w:val="clear" w:color="auto" w:fill="auto"/>
          </w:tcPr>
          <w:p w14:paraId="70692FC0" w14:textId="77777777" w:rsidR="00EC1C40" w:rsidRDefault="00EC1C40">
            <w:pPr>
              <w:framePr w:w="7666" w:h="14698" w:wrap="none" w:vAnchor="page" w:hAnchor="page" w:x="1801" w:y="1392"/>
              <w:rPr>
                <w:sz w:val="10"/>
                <w:szCs w:val="10"/>
              </w:rPr>
            </w:pPr>
          </w:p>
        </w:tc>
      </w:tr>
      <w:tr w:rsidR="00EC1C40" w14:paraId="360B60DA" w14:textId="77777777">
        <w:tblPrEx>
          <w:tblCellMar>
            <w:top w:w="0" w:type="dxa"/>
            <w:bottom w:w="0" w:type="dxa"/>
          </w:tblCellMar>
        </w:tblPrEx>
        <w:trPr>
          <w:trHeight w:hRule="exact" w:val="192"/>
        </w:trPr>
        <w:tc>
          <w:tcPr>
            <w:tcW w:w="2640" w:type="dxa"/>
            <w:tcBorders>
              <w:top w:val="single" w:sz="4" w:space="0" w:color="auto"/>
              <w:left w:val="single" w:sz="4" w:space="0" w:color="auto"/>
            </w:tcBorders>
            <w:shd w:val="clear" w:color="auto" w:fill="auto"/>
          </w:tcPr>
          <w:p w14:paraId="2566B71A" w14:textId="77777777" w:rsidR="00EC1C40" w:rsidRDefault="00000000">
            <w:pPr>
              <w:pStyle w:val="Jin0"/>
              <w:framePr w:w="7666" w:h="14698" w:wrap="none" w:vAnchor="page" w:hAnchor="page" w:x="1801" w:y="1392"/>
              <w:spacing w:after="0"/>
              <w:jc w:val="both"/>
              <w:rPr>
                <w:sz w:val="15"/>
                <w:szCs w:val="15"/>
              </w:rPr>
            </w:pPr>
            <w:r>
              <w:rPr>
                <w:b/>
                <w:bCs/>
                <w:sz w:val="15"/>
                <w:szCs w:val="15"/>
              </w:rPr>
              <w:t>4NP</w:t>
            </w:r>
          </w:p>
        </w:tc>
        <w:tc>
          <w:tcPr>
            <w:tcW w:w="835" w:type="dxa"/>
            <w:tcBorders>
              <w:top w:val="single" w:sz="4" w:space="0" w:color="auto"/>
              <w:left w:val="single" w:sz="4" w:space="0" w:color="auto"/>
            </w:tcBorders>
            <w:shd w:val="clear" w:color="auto" w:fill="auto"/>
          </w:tcPr>
          <w:p w14:paraId="708B1498" w14:textId="77777777" w:rsidR="00EC1C40" w:rsidRDefault="00000000">
            <w:pPr>
              <w:pStyle w:val="Jin0"/>
              <w:framePr w:w="7666" w:h="14698" w:wrap="none" w:vAnchor="page" w:hAnchor="page" w:x="1801" w:y="1392"/>
              <w:spacing w:after="0"/>
              <w:ind w:firstLine="360"/>
              <w:jc w:val="both"/>
              <w:rPr>
                <w:sz w:val="15"/>
                <w:szCs w:val="15"/>
              </w:rPr>
            </w:pPr>
            <w:r>
              <w:rPr>
                <w:b/>
                <w:bCs/>
                <w:sz w:val="15"/>
                <w:szCs w:val="15"/>
              </w:rPr>
              <w:t>11 777</w:t>
            </w:r>
          </w:p>
        </w:tc>
        <w:tc>
          <w:tcPr>
            <w:tcW w:w="835" w:type="dxa"/>
            <w:tcBorders>
              <w:top w:val="single" w:sz="4" w:space="0" w:color="auto"/>
              <w:left w:val="single" w:sz="4" w:space="0" w:color="auto"/>
            </w:tcBorders>
            <w:shd w:val="clear" w:color="auto" w:fill="auto"/>
          </w:tcPr>
          <w:p w14:paraId="22A1F53F" w14:textId="77777777" w:rsidR="00EC1C40" w:rsidRDefault="00EC1C40">
            <w:pPr>
              <w:framePr w:w="7666" w:h="14698" w:wrap="none" w:vAnchor="page" w:hAnchor="page" w:x="1801" w:y="1392"/>
              <w:rPr>
                <w:sz w:val="10"/>
                <w:szCs w:val="10"/>
              </w:rPr>
            </w:pPr>
          </w:p>
        </w:tc>
        <w:tc>
          <w:tcPr>
            <w:tcW w:w="1037" w:type="dxa"/>
            <w:tcBorders>
              <w:top w:val="single" w:sz="4" w:space="0" w:color="auto"/>
              <w:left w:val="single" w:sz="4" w:space="0" w:color="auto"/>
            </w:tcBorders>
            <w:shd w:val="clear" w:color="auto" w:fill="auto"/>
          </w:tcPr>
          <w:p w14:paraId="3A4A2643" w14:textId="77777777" w:rsidR="00EC1C40" w:rsidRDefault="00EC1C40">
            <w:pPr>
              <w:framePr w:w="7666" w:h="14698" w:wrap="none" w:vAnchor="page" w:hAnchor="page" w:x="1801" w:y="1392"/>
              <w:rPr>
                <w:sz w:val="10"/>
                <w:szCs w:val="10"/>
              </w:rPr>
            </w:pPr>
          </w:p>
        </w:tc>
        <w:tc>
          <w:tcPr>
            <w:tcW w:w="1214" w:type="dxa"/>
            <w:tcBorders>
              <w:top w:val="single" w:sz="4" w:space="0" w:color="auto"/>
              <w:left w:val="single" w:sz="4" w:space="0" w:color="auto"/>
            </w:tcBorders>
            <w:shd w:val="clear" w:color="auto" w:fill="auto"/>
          </w:tcPr>
          <w:p w14:paraId="49AAB0E8" w14:textId="77777777" w:rsidR="00EC1C40" w:rsidRDefault="00EC1C40">
            <w:pPr>
              <w:framePr w:w="7666" w:h="14698" w:wrap="none" w:vAnchor="page" w:hAnchor="page" w:x="1801" w:y="1392"/>
              <w:rPr>
                <w:sz w:val="10"/>
                <w:szCs w:val="10"/>
              </w:rPr>
            </w:pPr>
          </w:p>
        </w:tc>
        <w:tc>
          <w:tcPr>
            <w:tcW w:w="1104" w:type="dxa"/>
            <w:tcBorders>
              <w:top w:val="single" w:sz="4" w:space="0" w:color="auto"/>
              <w:left w:val="single" w:sz="4" w:space="0" w:color="auto"/>
              <w:right w:val="single" w:sz="4" w:space="0" w:color="auto"/>
            </w:tcBorders>
            <w:shd w:val="clear" w:color="auto" w:fill="auto"/>
          </w:tcPr>
          <w:p w14:paraId="34518295" w14:textId="77777777" w:rsidR="00EC1C40" w:rsidRDefault="00EC1C40">
            <w:pPr>
              <w:framePr w:w="7666" w:h="14698" w:wrap="none" w:vAnchor="page" w:hAnchor="page" w:x="1801" w:y="1392"/>
              <w:rPr>
                <w:sz w:val="10"/>
                <w:szCs w:val="10"/>
              </w:rPr>
            </w:pPr>
          </w:p>
        </w:tc>
      </w:tr>
      <w:tr w:rsidR="00EC1C40" w14:paraId="3465BFCB" w14:textId="77777777">
        <w:tblPrEx>
          <w:tblCellMar>
            <w:top w:w="0" w:type="dxa"/>
            <w:bottom w:w="0" w:type="dxa"/>
          </w:tblCellMar>
        </w:tblPrEx>
        <w:trPr>
          <w:trHeight w:hRule="exact" w:val="197"/>
        </w:trPr>
        <w:tc>
          <w:tcPr>
            <w:tcW w:w="2640" w:type="dxa"/>
            <w:tcBorders>
              <w:top w:val="single" w:sz="4" w:space="0" w:color="auto"/>
              <w:left w:val="single" w:sz="4" w:space="0" w:color="auto"/>
            </w:tcBorders>
            <w:shd w:val="clear" w:color="auto" w:fill="auto"/>
          </w:tcPr>
          <w:p w14:paraId="6D8F530D" w14:textId="77777777" w:rsidR="00EC1C40" w:rsidRDefault="00000000">
            <w:pPr>
              <w:pStyle w:val="Jin0"/>
              <w:framePr w:w="7666" w:h="14698" w:wrap="none" w:vAnchor="page" w:hAnchor="page" w:x="1801" w:y="1392"/>
              <w:spacing w:after="0"/>
              <w:jc w:val="both"/>
              <w:rPr>
                <w:sz w:val="15"/>
                <w:szCs w:val="15"/>
              </w:rPr>
            </w:pPr>
            <w:r>
              <w:rPr>
                <w:sz w:val="15"/>
                <w:szCs w:val="15"/>
              </w:rPr>
              <w:t>ARÉNA VEŘEJNOST</w:t>
            </w:r>
          </w:p>
        </w:tc>
        <w:tc>
          <w:tcPr>
            <w:tcW w:w="835" w:type="dxa"/>
            <w:tcBorders>
              <w:top w:val="single" w:sz="4" w:space="0" w:color="auto"/>
              <w:left w:val="single" w:sz="4" w:space="0" w:color="auto"/>
            </w:tcBorders>
            <w:shd w:val="clear" w:color="auto" w:fill="auto"/>
          </w:tcPr>
          <w:p w14:paraId="2E71FAFB" w14:textId="77777777" w:rsidR="00EC1C40" w:rsidRDefault="00000000">
            <w:pPr>
              <w:pStyle w:val="Jin0"/>
              <w:framePr w:w="7666" w:h="14698" w:wrap="none" w:vAnchor="page" w:hAnchor="page" w:x="1801" w:y="1392"/>
              <w:spacing w:after="0"/>
              <w:ind w:firstLine="360"/>
              <w:jc w:val="both"/>
              <w:rPr>
                <w:sz w:val="15"/>
                <w:szCs w:val="15"/>
              </w:rPr>
            </w:pPr>
            <w:r>
              <w:rPr>
                <w:sz w:val="15"/>
                <w:szCs w:val="15"/>
              </w:rPr>
              <w:t>11 023</w:t>
            </w:r>
          </w:p>
        </w:tc>
        <w:tc>
          <w:tcPr>
            <w:tcW w:w="835" w:type="dxa"/>
            <w:tcBorders>
              <w:top w:val="single" w:sz="4" w:space="0" w:color="auto"/>
              <w:left w:val="single" w:sz="4" w:space="0" w:color="auto"/>
            </w:tcBorders>
            <w:shd w:val="clear" w:color="auto" w:fill="auto"/>
          </w:tcPr>
          <w:p w14:paraId="65B64054" w14:textId="77777777" w:rsidR="00EC1C40" w:rsidRDefault="00000000">
            <w:pPr>
              <w:pStyle w:val="Jin0"/>
              <w:framePr w:w="7666" w:h="14698" w:wrap="none" w:vAnchor="page" w:hAnchor="page" w:x="1801" w:y="1392"/>
              <w:spacing w:after="0"/>
              <w:jc w:val="right"/>
              <w:rPr>
                <w:sz w:val="15"/>
                <w:szCs w:val="15"/>
              </w:rPr>
            </w:pPr>
            <w:r>
              <w:rPr>
                <w:sz w:val="15"/>
                <w:szCs w:val="15"/>
              </w:rPr>
              <w:t>11 023</w:t>
            </w:r>
          </w:p>
        </w:tc>
        <w:tc>
          <w:tcPr>
            <w:tcW w:w="1037" w:type="dxa"/>
            <w:tcBorders>
              <w:top w:val="single" w:sz="4" w:space="0" w:color="auto"/>
              <w:left w:val="single" w:sz="4" w:space="0" w:color="auto"/>
            </w:tcBorders>
            <w:shd w:val="clear" w:color="auto" w:fill="auto"/>
          </w:tcPr>
          <w:p w14:paraId="1BCECBDB" w14:textId="77777777" w:rsidR="00EC1C40" w:rsidRDefault="00EC1C40">
            <w:pPr>
              <w:framePr w:w="7666" w:h="14698" w:wrap="none" w:vAnchor="page" w:hAnchor="page" w:x="1801" w:y="1392"/>
              <w:rPr>
                <w:sz w:val="10"/>
                <w:szCs w:val="10"/>
              </w:rPr>
            </w:pPr>
          </w:p>
        </w:tc>
        <w:tc>
          <w:tcPr>
            <w:tcW w:w="1214" w:type="dxa"/>
            <w:tcBorders>
              <w:top w:val="single" w:sz="4" w:space="0" w:color="auto"/>
              <w:left w:val="single" w:sz="4" w:space="0" w:color="auto"/>
            </w:tcBorders>
            <w:shd w:val="clear" w:color="auto" w:fill="auto"/>
          </w:tcPr>
          <w:p w14:paraId="676F5544" w14:textId="77777777" w:rsidR="00EC1C40" w:rsidRDefault="00EC1C40">
            <w:pPr>
              <w:framePr w:w="7666" w:h="14698" w:wrap="none" w:vAnchor="page" w:hAnchor="page" w:x="1801" w:y="1392"/>
              <w:rPr>
                <w:sz w:val="10"/>
                <w:szCs w:val="10"/>
              </w:rPr>
            </w:pPr>
          </w:p>
        </w:tc>
        <w:tc>
          <w:tcPr>
            <w:tcW w:w="1104" w:type="dxa"/>
            <w:tcBorders>
              <w:top w:val="single" w:sz="4" w:space="0" w:color="auto"/>
              <w:left w:val="single" w:sz="4" w:space="0" w:color="auto"/>
              <w:right w:val="single" w:sz="4" w:space="0" w:color="auto"/>
            </w:tcBorders>
            <w:shd w:val="clear" w:color="auto" w:fill="auto"/>
          </w:tcPr>
          <w:p w14:paraId="35270133" w14:textId="77777777" w:rsidR="00EC1C40" w:rsidRDefault="00EC1C40">
            <w:pPr>
              <w:framePr w:w="7666" w:h="14698" w:wrap="none" w:vAnchor="page" w:hAnchor="page" w:x="1801" w:y="1392"/>
              <w:rPr>
                <w:sz w:val="10"/>
                <w:szCs w:val="10"/>
              </w:rPr>
            </w:pPr>
          </w:p>
        </w:tc>
      </w:tr>
      <w:tr w:rsidR="00EC1C40" w14:paraId="6B749A6A" w14:textId="77777777">
        <w:tblPrEx>
          <w:tblCellMar>
            <w:top w:w="0" w:type="dxa"/>
            <w:bottom w:w="0" w:type="dxa"/>
          </w:tblCellMar>
        </w:tblPrEx>
        <w:trPr>
          <w:trHeight w:hRule="exact" w:val="197"/>
        </w:trPr>
        <w:tc>
          <w:tcPr>
            <w:tcW w:w="2640" w:type="dxa"/>
            <w:tcBorders>
              <w:top w:val="single" w:sz="4" w:space="0" w:color="auto"/>
              <w:left w:val="single" w:sz="4" w:space="0" w:color="auto"/>
            </w:tcBorders>
            <w:shd w:val="clear" w:color="auto" w:fill="auto"/>
          </w:tcPr>
          <w:p w14:paraId="3E7BA66A" w14:textId="77777777" w:rsidR="00EC1C40" w:rsidRDefault="00000000">
            <w:pPr>
              <w:pStyle w:val="Jin0"/>
              <w:framePr w:w="7666" w:h="14698" w:wrap="none" w:vAnchor="page" w:hAnchor="page" w:x="1801" w:y="1392"/>
              <w:spacing w:after="0"/>
              <w:jc w:val="both"/>
              <w:rPr>
                <w:sz w:val="15"/>
                <w:szCs w:val="15"/>
              </w:rPr>
            </w:pPr>
            <w:r>
              <w:rPr>
                <w:sz w:val="15"/>
                <w:szCs w:val="15"/>
              </w:rPr>
              <w:t>ARÉNA ZÁZEMÍ</w:t>
            </w:r>
          </w:p>
        </w:tc>
        <w:tc>
          <w:tcPr>
            <w:tcW w:w="835" w:type="dxa"/>
            <w:tcBorders>
              <w:top w:val="single" w:sz="4" w:space="0" w:color="auto"/>
              <w:left w:val="single" w:sz="4" w:space="0" w:color="auto"/>
            </w:tcBorders>
            <w:shd w:val="clear" w:color="auto" w:fill="auto"/>
          </w:tcPr>
          <w:p w14:paraId="28ABF7EB" w14:textId="77777777" w:rsidR="00EC1C40" w:rsidRDefault="00000000">
            <w:pPr>
              <w:pStyle w:val="Jin0"/>
              <w:framePr w:w="7666" w:h="14698" w:wrap="none" w:vAnchor="page" w:hAnchor="page" w:x="1801" w:y="1392"/>
              <w:spacing w:after="0"/>
              <w:ind w:firstLine="540"/>
              <w:jc w:val="both"/>
              <w:rPr>
                <w:sz w:val="15"/>
                <w:szCs w:val="15"/>
              </w:rPr>
            </w:pPr>
            <w:r>
              <w:rPr>
                <w:sz w:val="15"/>
                <w:szCs w:val="15"/>
              </w:rPr>
              <w:t>754</w:t>
            </w:r>
          </w:p>
        </w:tc>
        <w:tc>
          <w:tcPr>
            <w:tcW w:w="835" w:type="dxa"/>
            <w:tcBorders>
              <w:top w:val="single" w:sz="4" w:space="0" w:color="auto"/>
              <w:left w:val="single" w:sz="4" w:space="0" w:color="auto"/>
            </w:tcBorders>
            <w:shd w:val="clear" w:color="auto" w:fill="auto"/>
          </w:tcPr>
          <w:p w14:paraId="6852A9D1" w14:textId="77777777" w:rsidR="00EC1C40" w:rsidRDefault="00000000">
            <w:pPr>
              <w:pStyle w:val="Jin0"/>
              <w:framePr w:w="7666" w:h="14698" w:wrap="none" w:vAnchor="page" w:hAnchor="page" w:x="1801" w:y="1392"/>
              <w:spacing w:after="0"/>
              <w:ind w:firstLine="540"/>
              <w:jc w:val="both"/>
              <w:rPr>
                <w:sz w:val="15"/>
                <w:szCs w:val="15"/>
              </w:rPr>
            </w:pPr>
            <w:r>
              <w:rPr>
                <w:sz w:val="15"/>
                <w:szCs w:val="15"/>
              </w:rPr>
              <w:t>754</w:t>
            </w:r>
          </w:p>
        </w:tc>
        <w:tc>
          <w:tcPr>
            <w:tcW w:w="1037" w:type="dxa"/>
            <w:tcBorders>
              <w:top w:val="single" w:sz="4" w:space="0" w:color="auto"/>
              <w:left w:val="single" w:sz="4" w:space="0" w:color="auto"/>
            </w:tcBorders>
            <w:shd w:val="clear" w:color="auto" w:fill="auto"/>
          </w:tcPr>
          <w:p w14:paraId="4649A0A6" w14:textId="77777777" w:rsidR="00EC1C40" w:rsidRDefault="00EC1C40">
            <w:pPr>
              <w:framePr w:w="7666" w:h="14698" w:wrap="none" w:vAnchor="page" w:hAnchor="page" w:x="1801" w:y="1392"/>
              <w:rPr>
                <w:sz w:val="10"/>
                <w:szCs w:val="10"/>
              </w:rPr>
            </w:pPr>
          </w:p>
        </w:tc>
        <w:tc>
          <w:tcPr>
            <w:tcW w:w="1214" w:type="dxa"/>
            <w:tcBorders>
              <w:top w:val="single" w:sz="4" w:space="0" w:color="auto"/>
              <w:left w:val="single" w:sz="4" w:space="0" w:color="auto"/>
            </w:tcBorders>
            <w:shd w:val="clear" w:color="auto" w:fill="auto"/>
          </w:tcPr>
          <w:p w14:paraId="11A4E576" w14:textId="77777777" w:rsidR="00EC1C40" w:rsidRDefault="00EC1C40">
            <w:pPr>
              <w:framePr w:w="7666" w:h="14698" w:wrap="none" w:vAnchor="page" w:hAnchor="page" w:x="1801" w:y="1392"/>
              <w:rPr>
                <w:sz w:val="10"/>
                <w:szCs w:val="10"/>
              </w:rPr>
            </w:pPr>
          </w:p>
        </w:tc>
        <w:tc>
          <w:tcPr>
            <w:tcW w:w="1104" w:type="dxa"/>
            <w:tcBorders>
              <w:top w:val="single" w:sz="4" w:space="0" w:color="auto"/>
              <w:left w:val="single" w:sz="4" w:space="0" w:color="auto"/>
              <w:right w:val="single" w:sz="4" w:space="0" w:color="auto"/>
            </w:tcBorders>
            <w:shd w:val="clear" w:color="auto" w:fill="auto"/>
          </w:tcPr>
          <w:p w14:paraId="7E039B95" w14:textId="77777777" w:rsidR="00EC1C40" w:rsidRDefault="00EC1C40">
            <w:pPr>
              <w:framePr w:w="7666" w:h="14698" w:wrap="none" w:vAnchor="page" w:hAnchor="page" w:x="1801" w:y="1392"/>
              <w:rPr>
                <w:sz w:val="10"/>
                <w:szCs w:val="10"/>
              </w:rPr>
            </w:pPr>
          </w:p>
        </w:tc>
      </w:tr>
      <w:tr w:rsidR="00EC1C40" w14:paraId="5B2686CE" w14:textId="77777777">
        <w:tblPrEx>
          <w:tblCellMar>
            <w:top w:w="0" w:type="dxa"/>
            <w:bottom w:w="0" w:type="dxa"/>
          </w:tblCellMar>
        </w:tblPrEx>
        <w:trPr>
          <w:trHeight w:hRule="exact" w:val="192"/>
        </w:trPr>
        <w:tc>
          <w:tcPr>
            <w:tcW w:w="2640" w:type="dxa"/>
            <w:tcBorders>
              <w:top w:val="single" w:sz="4" w:space="0" w:color="auto"/>
              <w:left w:val="single" w:sz="4" w:space="0" w:color="auto"/>
            </w:tcBorders>
            <w:shd w:val="clear" w:color="auto" w:fill="auto"/>
          </w:tcPr>
          <w:p w14:paraId="7354B4F0" w14:textId="77777777" w:rsidR="00EC1C40" w:rsidRDefault="00000000">
            <w:pPr>
              <w:pStyle w:val="Jin0"/>
              <w:framePr w:w="7666" w:h="14698" w:wrap="none" w:vAnchor="page" w:hAnchor="page" w:x="1801" w:y="1392"/>
              <w:spacing w:after="0"/>
              <w:jc w:val="both"/>
              <w:rPr>
                <w:sz w:val="15"/>
                <w:szCs w:val="15"/>
              </w:rPr>
            </w:pPr>
            <w:r>
              <w:rPr>
                <w:b/>
                <w:bCs/>
                <w:sz w:val="15"/>
                <w:szCs w:val="15"/>
              </w:rPr>
              <w:t>5NP</w:t>
            </w:r>
          </w:p>
        </w:tc>
        <w:tc>
          <w:tcPr>
            <w:tcW w:w="835" w:type="dxa"/>
            <w:tcBorders>
              <w:top w:val="single" w:sz="4" w:space="0" w:color="auto"/>
              <w:left w:val="single" w:sz="4" w:space="0" w:color="auto"/>
            </w:tcBorders>
            <w:shd w:val="clear" w:color="auto" w:fill="auto"/>
          </w:tcPr>
          <w:p w14:paraId="13AE52B3" w14:textId="77777777" w:rsidR="00EC1C40" w:rsidRDefault="00000000">
            <w:pPr>
              <w:pStyle w:val="Jin0"/>
              <w:framePr w:w="7666" w:h="14698" w:wrap="none" w:vAnchor="page" w:hAnchor="page" w:x="1801" w:y="1392"/>
              <w:spacing w:after="0"/>
              <w:ind w:firstLine="420"/>
              <w:jc w:val="both"/>
              <w:rPr>
                <w:sz w:val="15"/>
                <w:szCs w:val="15"/>
              </w:rPr>
            </w:pPr>
            <w:r>
              <w:rPr>
                <w:b/>
                <w:bCs/>
                <w:sz w:val="15"/>
                <w:szCs w:val="15"/>
              </w:rPr>
              <w:t>7 919</w:t>
            </w:r>
          </w:p>
        </w:tc>
        <w:tc>
          <w:tcPr>
            <w:tcW w:w="835" w:type="dxa"/>
            <w:tcBorders>
              <w:top w:val="single" w:sz="4" w:space="0" w:color="auto"/>
              <w:left w:val="single" w:sz="4" w:space="0" w:color="auto"/>
            </w:tcBorders>
            <w:shd w:val="clear" w:color="auto" w:fill="auto"/>
          </w:tcPr>
          <w:p w14:paraId="21A76C14" w14:textId="77777777" w:rsidR="00EC1C40" w:rsidRDefault="00EC1C40">
            <w:pPr>
              <w:framePr w:w="7666" w:h="14698" w:wrap="none" w:vAnchor="page" w:hAnchor="page" w:x="1801" w:y="1392"/>
              <w:rPr>
                <w:sz w:val="10"/>
                <w:szCs w:val="10"/>
              </w:rPr>
            </w:pPr>
          </w:p>
        </w:tc>
        <w:tc>
          <w:tcPr>
            <w:tcW w:w="1037" w:type="dxa"/>
            <w:tcBorders>
              <w:top w:val="single" w:sz="4" w:space="0" w:color="auto"/>
              <w:left w:val="single" w:sz="4" w:space="0" w:color="auto"/>
            </w:tcBorders>
            <w:shd w:val="clear" w:color="auto" w:fill="auto"/>
          </w:tcPr>
          <w:p w14:paraId="2EEA06F2" w14:textId="77777777" w:rsidR="00EC1C40" w:rsidRDefault="00EC1C40">
            <w:pPr>
              <w:framePr w:w="7666" w:h="14698" w:wrap="none" w:vAnchor="page" w:hAnchor="page" w:x="1801" w:y="1392"/>
              <w:rPr>
                <w:sz w:val="10"/>
                <w:szCs w:val="10"/>
              </w:rPr>
            </w:pPr>
          </w:p>
        </w:tc>
        <w:tc>
          <w:tcPr>
            <w:tcW w:w="1214" w:type="dxa"/>
            <w:tcBorders>
              <w:top w:val="single" w:sz="4" w:space="0" w:color="auto"/>
              <w:left w:val="single" w:sz="4" w:space="0" w:color="auto"/>
            </w:tcBorders>
            <w:shd w:val="clear" w:color="auto" w:fill="auto"/>
          </w:tcPr>
          <w:p w14:paraId="631936EC" w14:textId="77777777" w:rsidR="00EC1C40" w:rsidRDefault="00EC1C40">
            <w:pPr>
              <w:framePr w:w="7666" w:h="14698" w:wrap="none" w:vAnchor="page" w:hAnchor="page" w:x="1801" w:y="1392"/>
              <w:rPr>
                <w:sz w:val="10"/>
                <w:szCs w:val="10"/>
              </w:rPr>
            </w:pPr>
          </w:p>
        </w:tc>
        <w:tc>
          <w:tcPr>
            <w:tcW w:w="1104" w:type="dxa"/>
            <w:tcBorders>
              <w:top w:val="single" w:sz="4" w:space="0" w:color="auto"/>
              <w:left w:val="single" w:sz="4" w:space="0" w:color="auto"/>
              <w:right w:val="single" w:sz="4" w:space="0" w:color="auto"/>
            </w:tcBorders>
            <w:shd w:val="clear" w:color="auto" w:fill="auto"/>
          </w:tcPr>
          <w:p w14:paraId="595CE0BD" w14:textId="77777777" w:rsidR="00EC1C40" w:rsidRDefault="00EC1C40">
            <w:pPr>
              <w:framePr w:w="7666" w:h="14698" w:wrap="none" w:vAnchor="page" w:hAnchor="page" w:x="1801" w:y="1392"/>
              <w:rPr>
                <w:sz w:val="10"/>
                <w:szCs w:val="10"/>
              </w:rPr>
            </w:pPr>
          </w:p>
        </w:tc>
      </w:tr>
      <w:tr w:rsidR="00EC1C40" w14:paraId="3ABB0566" w14:textId="77777777">
        <w:tblPrEx>
          <w:tblCellMar>
            <w:top w:w="0" w:type="dxa"/>
            <w:bottom w:w="0" w:type="dxa"/>
          </w:tblCellMar>
        </w:tblPrEx>
        <w:trPr>
          <w:trHeight w:hRule="exact" w:val="197"/>
        </w:trPr>
        <w:tc>
          <w:tcPr>
            <w:tcW w:w="2640" w:type="dxa"/>
            <w:tcBorders>
              <w:top w:val="single" w:sz="4" w:space="0" w:color="auto"/>
              <w:left w:val="single" w:sz="4" w:space="0" w:color="auto"/>
            </w:tcBorders>
            <w:shd w:val="clear" w:color="auto" w:fill="auto"/>
          </w:tcPr>
          <w:p w14:paraId="700E65FF" w14:textId="77777777" w:rsidR="00EC1C40" w:rsidRDefault="00000000">
            <w:pPr>
              <w:pStyle w:val="Jin0"/>
              <w:framePr w:w="7666" w:h="14698" w:wrap="none" w:vAnchor="page" w:hAnchor="page" w:x="1801" w:y="1392"/>
              <w:spacing w:after="0"/>
              <w:jc w:val="both"/>
              <w:rPr>
                <w:sz w:val="15"/>
                <w:szCs w:val="15"/>
              </w:rPr>
            </w:pPr>
            <w:r>
              <w:rPr>
                <w:sz w:val="15"/>
                <w:szCs w:val="15"/>
              </w:rPr>
              <w:t>ARÉNA VEŘEJNOST</w:t>
            </w:r>
          </w:p>
        </w:tc>
        <w:tc>
          <w:tcPr>
            <w:tcW w:w="835" w:type="dxa"/>
            <w:tcBorders>
              <w:top w:val="single" w:sz="4" w:space="0" w:color="auto"/>
              <w:left w:val="single" w:sz="4" w:space="0" w:color="auto"/>
            </w:tcBorders>
            <w:shd w:val="clear" w:color="auto" w:fill="auto"/>
          </w:tcPr>
          <w:p w14:paraId="736BEDAE" w14:textId="77777777" w:rsidR="00EC1C40" w:rsidRDefault="00000000">
            <w:pPr>
              <w:pStyle w:val="Jin0"/>
              <w:framePr w:w="7666" w:h="14698" w:wrap="none" w:vAnchor="page" w:hAnchor="page" w:x="1801" w:y="1392"/>
              <w:spacing w:after="0"/>
              <w:ind w:firstLine="420"/>
              <w:jc w:val="both"/>
              <w:rPr>
                <w:sz w:val="15"/>
                <w:szCs w:val="15"/>
              </w:rPr>
            </w:pPr>
            <w:r>
              <w:rPr>
                <w:sz w:val="15"/>
                <w:szCs w:val="15"/>
              </w:rPr>
              <w:t>6 881</w:t>
            </w:r>
          </w:p>
        </w:tc>
        <w:tc>
          <w:tcPr>
            <w:tcW w:w="835" w:type="dxa"/>
            <w:tcBorders>
              <w:top w:val="single" w:sz="4" w:space="0" w:color="auto"/>
              <w:left w:val="single" w:sz="4" w:space="0" w:color="auto"/>
            </w:tcBorders>
            <w:shd w:val="clear" w:color="auto" w:fill="auto"/>
          </w:tcPr>
          <w:p w14:paraId="0E8A2AC5" w14:textId="77777777" w:rsidR="00EC1C40" w:rsidRDefault="00000000">
            <w:pPr>
              <w:pStyle w:val="Jin0"/>
              <w:framePr w:w="7666" w:h="14698" w:wrap="none" w:vAnchor="page" w:hAnchor="page" w:x="1801" w:y="1392"/>
              <w:spacing w:after="0"/>
              <w:ind w:firstLine="420"/>
              <w:jc w:val="both"/>
              <w:rPr>
                <w:sz w:val="15"/>
                <w:szCs w:val="15"/>
              </w:rPr>
            </w:pPr>
            <w:r>
              <w:rPr>
                <w:sz w:val="15"/>
                <w:szCs w:val="15"/>
              </w:rPr>
              <w:t>6 881</w:t>
            </w:r>
          </w:p>
        </w:tc>
        <w:tc>
          <w:tcPr>
            <w:tcW w:w="1037" w:type="dxa"/>
            <w:tcBorders>
              <w:top w:val="single" w:sz="4" w:space="0" w:color="auto"/>
              <w:left w:val="single" w:sz="4" w:space="0" w:color="auto"/>
            </w:tcBorders>
            <w:shd w:val="clear" w:color="auto" w:fill="auto"/>
          </w:tcPr>
          <w:p w14:paraId="65977319" w14:textId="77777777" w:rsidR="00EC1C40" w:rsidRDefault="00EC1C40">
            <w:pPr>
              <w:framePr w:w="7666" w:h="14698" w:wrap="none" w:vAnchor="page" w:hAnchor="page" w:x="1801" w:y="1392"/>
              <w:rPr>
                <w:sz w:val="10"/>
                <w:szCs w:val="10"/>
              </w:rPr>
            </w:pPr>
          </w:p>
        </w:tc>
        <w:tc>
          <w:tcPr>
            <w:tcW w:w="1214" w:type="dxa"/>
            <w:tcBorders>
              <w:top w:val="single" w:sz="4" w:space="0" w:color="auto"/>
              <w:left w:val="single" w:sz="4" w:space="0" w:color="auto"/>
            </w:tcBorders>
            <w:shd w:val="clear" w:color="auto" w:fill="auto"/>
          </w:tcPr>
          <w:p w14:paraId="7E27745F" w14:textId="77777777" w:rsidR="00EC1C40" w:rsidRDefault="00EC1C40">
            <w:pPr>
              <w:framePr w:w="7666" w:h="14698" w:wrap="none" w:vAnchor="page" w:hAnchor="page" w:x="1801" w:y="1392"/>
              <w:rPr>
                <w:sz w:val="10"/>
                <w:szCs w:val="10"/>
              </w:rPr>
            </w:pPr>
          </w:p>
        </w:tc>
        <w:tc>
          <w:tcPr>
            <w:tcW w:w="1104" w:type="dxa"/>
            <w:tcBorders>
              <w:top w:val="single" w:sz="4" w:space="0" w:color="auto"/>
              <w:left w:val="single" w:sz="4" w:space="0" w:color="auto"/>
              <w:right w:val="single" w:sz="4" w:space="0" w:color="auto"/>
            </w:tcBorders>
            <w:shd w:val="clear" w:color="auto" w:fill="auto"/>
          </w:tcPr>
          <w:p w14:paraId="4AA86F1A" w14:textId="77777777" w:rsidR="00EC1C40" w:rsidRDefault="00EC1C40">
            <w:pPr>
              <w:framePr w:w="7666" w:h="14698" w:wrap="none" w:vAnchor="page" w:hAnchor="page" w:x="1801" w:y="1392"/>
              <w:rPr>
                <w:sz w:val="10"/>
                <w:szCs w:val="10"/>
              </w:rPr>
            </w:pPr>
          </w:p>
        </w:tc>
      </w:tr>
      <w:tr w:rsidR="00EC1C40" w14:paraId="4CE505B2" w14:textId="77777777">
        <w:tblPrEx>
          <w:tblCellMar>
            <w:top w:w="0" w:type="dxa"/>
            <w:bottom w:w="0" w:type="dxa"/>
          </w:tblCellMar>
        </w:tblPrEx>
        <w:trPr>
          <w:trHeight w:hRule="exact" w:val="192"/>
        </w:trPr>
        <w:tc>
          <w:tcPr>
            <w:tcW w:w="2640" w:type="dxa"/>
            <w:tcBorders>
              <w:top w:val="single" w:sz="4" w:space="0" w:color="auto"/>
              <w:left w:val="single" w:sz="4" w:space="0" w:color="auto"/>
            </w:tcBorders>
            <w:shd w:val="clear" w:color="auto" w:fill="auto"/>
          </w:tcPr>
          <w:p w14:paraId="33CAE270" w14:textId="77777777" w:rsidR="00EC1C40" w:rsidRDefault="00000000">
            <w:pPr>
              <w:pStyle w:val="Jin0"/>
              <w:framePr w:w="7666" w:h="14698" w:wrap="none" w:vAnchor="page" w:hAnchor="page" w:x="1801" w:y="1392"/>
              <w:spacing w:after="0"/>
              <w:jc w:val="both"/>
              <w:rPr>
                <w:sz w:val="15"/>
                <w:szCs w:val="15"/>
              </w:rPr>
            </w:pPr>
            <w:r>
              <w:rPr>
                <w:sz w:val="15"/>
                <w:szCs w:val="15"/>
              </w:rPr>
              <w:t>ARÉNA ZÁZEMÍ</w:t>
            </w:r>
          </w:p>
        </w:tc>
        <w:tc>
          <w:tcPr>
            <w:tcW w:w="835" w:type="dxa"/>
            <w:tcBorders>
              <w:top w:val="single" w:sz="4" w:space="0" w:color="auto"/>
              <w:left w:val="single" w:sz="4" w:space="0" w:color="auto"/>
            </w:tcBorders>
            <w:shd w:val="clear" w:color="auto" w:fill="auto"/>
          </w:tcPr>
          <w:p w14:paraId="095DA800" w14:textId="77777777" w:rsidR="00EC1C40" w:rsidRDefault="00000000">
            <w:pPr>
              <w:pStyle w:val="Jin0"/>
              <w:framePr w:w="7666" w:h="14698" w:wrap="none" w:vAnchor="page" w:hAnchor="page" w:x="1801" w:y="1392"/>
              <w:spacing w:after="0"/>
              <w:ind w:firstLine="420"/>
              <w:jc w:val="both"/>
              <w:rPr>
                <w:sz w:val="15"/>
                <w:szCs w:val="15"/>
              </w:rPr>
            </w:pPr>
            <w:r>
              <w:rPr>
                <w:sz w:val="15"/>
                <w:szCs w:val="15"/>
              </w:rPr>
              <w:t>1 038</w:t>
            </w:r>
          </w:p>
        </w:tc>
        <w:tc>
          <w:tcPr>
            <w:tcW w:w="835" w:type="dxa"/>
            <w:tcBorders>
              <w:top w:val="single" w:sz="4" w:space="0" w:color="auto"/>
              <w:left w:val="single" w:sz="4" w:space="0" w:color="auto"/>
            </w:tcBorders>
            <w:shd w:val="clear" w:color="auto" w:fill="auto"/>
          </w:tcPr>
          <w:p w14:paraId="6902BC26" w14:textId="77777777" w:rsidR="00EC1C40" w:rsidRDefault="00000000">
            <w:pPr>
              <w:pStyle w:val="Jin0"/>
              <w:framePr w:w="7666" w:h="14698" w:wrap="none" w:vAnchor="page" w:hAnchor="page" w:x="1801" w:y="1392"/>
              <w:spacing w:after="0"/>
              <w:ind w:firstLine="420"/>
              <w:jc w:val="both"/>
              <w:rPr>
                <w:sz w:val="15"/>
                <w:szCs w:val="15"/>
              </w:rPr>
            </w:pPr>
            <w:r>
              <w:rPr>
                <w:sz w:val="15"/>
                <w:szCs w:val="15"/>
              </w:rPr>
              <w:t>1 038</w:t>
            </w:r>
          </w:p>
        </w:tc>
        <w:tc>
          <w:tcPr>
            <w:tcW w:w="1037" w:type="dxa"/>
            <w:tcBorders>
              <w:top w:val="single" w:sz="4" w:space="0" w:color="auto"/>
              <w:left w:val="single" w:sz="4" w:space="0" w:color="auto"/>
            </w:tcBorders>
            <w:shd w:val="clear" w:color="auto" w:fill="auto"/>
          </w:tcPr>
          <w:p w14:paraId="28F8E7D4" w14:textId="77777777" w:rsidR="00EC1C40" w:rsidRDefault="00EC1C40">
            <w:pPr>
              <w:framePr w:w="7666" w:h="14698" w:wrap="none" w:vAnchor="page" w:hAnchor="page" w:x="1801" w:y="1392"/>
              <w:rPr>
                <w:sz w:val="10"/>
                <w:szCs w:val="10"/>
              </w:rPr>
            </w:pPr>
          </w:p>
        </w:tc>
        <w:tc>
          <w:tcPr>
            <w:tcW w:w="1214" w:type="dxa"/>
            <w:tcBorders>
              <w:top w:val="single" w:sz="4" w:space="0" w:color="auto"/>
              <w:left w:val="single" w:sz="4" w:space="0" w:color="auto"/>
            </w:tcBorders>
            <w:shd w:val="clear" w:color="auto" w:fill="auto"/>
          </w:tcPr>
          <w:p w14:paraId="6FE28AAD" w14:textId="77777777" w:rsidR="00EC1C40" w:rsidRDefault="00EC1C40">
            <w:pPr>
              <w:framePr w:w="7666" w:h="14698" w:wrap="none" w:vAnchor="page" w:hAnchor="page" w:x="1801" w:y="1392"/>
              <w:rPr>
                <w:sz w:val="10"/>
                <w:szCs w:val="10"/>
              </w:rPr>
            </w:pPr>
          </w:p>
        </w:tc>
        <w:tc>
          <w:tcPr>
            <w:tcW w:w="1104" w:type="dxa"/>
            <w:tcBorders>
              <w:top w:val="single" w:sz="4" w:space="0" w:color="auto"/>
              <w:left w:val="single" w:sz="4" w:space="0" w:color="auto"/>
              <w:right w:val="single" w:sz="4" w:space="0" w:color="auto"/>
            </w:tcBorders>
            <w:shd w:val="clear" w:color="auto" w:fill="auto"/>
          </w:tcPr>
          <w:p w14:paraId="60EF06CE" w14:textId="77777777" w:rsidR="00EC1C40" w:rsidRDefault="00EC1C40">
            <w:pPr>
              <w:framePr w:w="7666" w:h="14698" w:wrap="none" w:vAnchor="page" w:hAnchor="page" w:x="1801" w:y="1392"/>
              <w:rPr>
                <w:sz w:val="10"/>
                <w:szCs w:val="10"/>
              </w:rPr>
            </w:pPr>
          </w:p>
        </w:tc>
      </w:tr>
      <w:tr w:rsidR="00EC1C40" w14:paraId="3AC022D6" w14:textId="77777777">
        <w:tblPrEx>
          <w:tblCellMar>
            <w:top w:w="0" w:type="dxa"/>
            <w:bottom w:w="0" w:type="dxa"/>
          </w:tblCellMar>
        </w:tblPrEx>
        <w:trPr>
          <w:trHeight w:hRule="exact" w:val="192"/>
        </w:trPr>
        <w:tc>
          <w:tcPr>
            <w:tcW w:w="2640" w:type="dxa"/>
            <w:tcBorders>
              <w:top w:val="single" w:sz="4" w:space="0" w:color="auto"/>
              <w:left w:val="single" w:sz="4" w:space="0" w:color="auto"/>
            </w:tcBorders>
            <w:shd w:val="clear" w:color="auto" w:fill="auto"/>
          </w:tcPr>
          <w:p w14:paraId="091856FB" w14:textId="77777777" w:rsidR="00EC1C40" w:rsidRDefault="00000000">
            <w:pPr>
              <w:pStyle w:val="Jin0"/>
              <w:framePr w:w="7666" w:h="14698" w:wrap="none" w:vAnchor="page" w:hAnchor="page" w:x="1801" w:y="1392"/>
              <w:spacing w:after="0"/>
              <w:jc w:val="both"/>
              <w:rPr>
                <w:sz w:val="15"/>
                <w:szCs w:val="15"/>
              </w:rPr>
            </w:pPr>
            <w:r>
              <w:rPr>
                <w:b/>
                <w:bCs/>
                <w:sz w:val="15"/>
                <w:szCs w:val="15"/>
              </w:rPr>
              <w:t>6NP</w:t>
            </w:r>
          </w:p>
        </w:tc>
        <w:tc>
          <w:tcPr>
            <w:tcW w:w="835" w:type="dxa"/>
            <w:tcBorders>
              <w:top w:val="single" w:sz="4" w:space="0" w:color="auto"/>
              <w:left w:val="single" w:sz="4" w:space="0" w:color="auto"/>
            </w:tcBorders>
            <w:shd w:val="clear" w:color="auto" w:fill="auto"/>
          </w:tcPr>
          <w:p w14:paraId="05CDA272" w14:textId="77777777" w:rsidR="00EC1C40" w:rsidRDefault="00000000">
            <w:pPr>
              <w:pStyle w:val="Jin0"/>
              <w:framePr w:w="7666" w:h="14698" w:wrap="none" w:vAnchor="page" w:hAnchor="page" w:x="1801" w:y="1392"/>
              <w:spacing w:after="0"/>
              <w:ind w:firstLine="420"/>
              <w:jc w:val="both"/>
              <w:rPr>
                <w:sz w:val="15"/>
                <w:szCs w:val="15"/>
              </w:rPr>
            </w:pPr>
            <w:r>
              <w:rPr>
                <w:b/>
                <w:bCs/>
                <w:sz w:val="15"/>
                <w:szCs w:val="15"/>
              </w:rPr>
              <w:t>8 464</w:t>
            </w:r>
          </w:p>
        </w:tc>
        <w:tc>
          <w:tcPr>
            <w:tcW w:w="835" w:type="dxa"/>
            <w:tcBorders>
              <w:top w:val="single" w:sz="4" w:space="0" w:color="auto"/>
              <w:left w:val="single" w:sz="4" w:space="0" w:color="auto"/>
            </w:tcBorders>
            <w:shd w:val="clear" w:color="auto" w:fill="auto"/>
          </w:tcPr>
          <w:p w14:paraId="3CDD98ED" w14:textId="77777777" w:rsidR="00EC1C40" w:rsidRDefault="00EC1C40">
            <w:pPr>
              <w:framePr w:w="7666" w:h="14698" w:wrap="none" w:vAnchor="page" w:hAnchor="page" w:x="1801" w:y="1392"/>
              <w:rPr>
                <w:sz w:val="10"/>
                <w:szCs w:val="10"/>
              </w:rPr>
            </w:pPr>
          </w:p>
        </w:tc>
        <w:tc>
          <w:tcPr>
            <w:tcW w:w="1037" w:type="dxa"/>
            <w:tcBorders>
              <w:top w:val="single" w:sz="4" w:space="0" w:color="auto"/>
              <w:left w:val="single" w:sz="4" w:space="0" w:color="auto"/>
            </w:tcBorders>
            <w:shd w:val="clear" w:color="auto" w:fill="auto"/>
          </w:tcPr>
          <w:p w14:paraId="1C4087B4" w14:textId="77777777" w:rsidR="00EC1C40" w:rsidRDefault="00EC1C40">
            <w:pPr>
              <w:framePr w:w="7666" w:h="14698" w:wrap="none" w:vAnchor="page" w:hAnchor="page" w:x="1801" w:y="1392"/>
              <w:rPr>
                <w:sz w:val="10"/>
                <w:szCs w:val="10"/>
              </w:rPr>
            </w:pPr>
          </w:p>
        </w:tc>
        <w:tc>
          <w:tcPr>
            <w:tcW w:w="1214" w:type="dxa"/>
            <w:tcBorders>
              <w:top w:val="single" w:sz="4" w:space="0" w:color="auto"/>
              <w:left w:val="single" w:sz="4" w:space="0" w:color="auto"/>
            </w:tcBorders>
            <w:shd w:val="clear" w:color="auto" w:fill="auto"/>
          </w:tcPr>
          <w:p w14:paraId="72A2C26E" w14:textId="77777777" w:rsidR="00EC1C40" w:rsidRDefault="00EC1C40">
            <w:pPr>
              <w:framePr w:w="7666" w:h="14698" w:wrap="none" w:vAnchor="page" w:hAnchor="page" w:x="1801" w:y="1392"/>
              <w:rPr>
                <w:sz w:val="10"/>
                <w:szCs w:val="10"/>
              </w:rPr>
            </w:pPr>
          </w:p>
        </w:tc>
        <w:tc>
          <w:tcPr>
            <w:tcW w:w="1104" w:type="dxa"/>
            <w:tcBorders>
              <w:top w:val="single" w:sz="4" w:space="0" w:color="auto"/>
              <w:left w:val="single" w:sz="4" w:space="0" w:color="auto"/>
              <w:right w:val="single" w:sz="4" w:space="0" w:color="auto"/>
            </w:tcBorders>
            <w:shd w:val="clear" w:color="auto" w:fill="auto"/>
          </w:tcPr>
          <w:p w14:paraId="6909DF15" w14:textId="77777777" w:rsidR="00EC1C40" w:rsidRDefault="00EC1C40">
            <w:pPr>
              <w:framePr w:w="7666" w:h="14698" w:wrap="none" w:vAnchor="page" w:hAnchor="page" w:x="1801" w:y="1392"/>
              <w:rPr>
                <w:sz w:val="10"/>
                <w:szCs w:val="10"/>
              </w:rPr>
            </w:pPr>
          </w:p>
        </w:tc>
      </w:tr>
      <w:tr w:rsidR="00EC1C40" w14:paraId="14D45F9B" w14:textId="77777777">
        <w:tblPrEx>
          <w:tblCellMar>
            <w:top w:w="0" w:type="dxa"/>
            <w:bottom w:w="0" w:type="dxa"/>
          </w:tblCellMar>
        </w:tblPrEx>
        <w:trPr>
          <w:trHeight w:hRule="exact" w:val="197"/>
        </w:trPr>
        <w:tc>
          <w:tcPr>
            <w:tcW w:w="2640" w:type="dxa"/>
            <w:tcBorders>
              <w:top w:val="single" w:sz="4" w:space="0" w:color="auto"/>
              <w:left w:val="single" w:sz="4" w:space="0" w:color="auto"/>
            </w:tcBorders>
            <w:shd w:val="clear" w:color="auto" w:fill="auto"/>
          </w:tcPr>
          <w:p w14:paraId="78054F65" w14:textId="77777777" w:rsidR="00EC1C40" w:rsidRDefault="00000000">
            <w:pPr>
              <w:pStyle w:val="Jin0"/>
              <w:framePr w:w="7666" w:h="14698" w:wrap="none" w:vAnchor="page" w:hAnchor="page" w:x="1801" w:y="1392"/>
              <w:spacing w:after="0"/>
              <w:jc w:val="both"/>
              <w:rPr>
                <w:sz w:val="15"/>
                <w:szCs w:val="15"/>
              </w:rPr>
            </w:pPr>
            <w:r>
              <w:rPr>
                <w:sz w:val="15"/>
                <w:szCs w:val="15"/>
              </w:rPr>
              <w:t>ARÉNA VEŘEJNOST</w:t>
            </w:r>
          </w:p>
        </w:tc>
        <w:tc>
          <w:tcPr>
            <w:tcW w:w="835" w:type="dxa"/>
            <w:tcBorders>
              <w:top w:val="single" w:sz="4" w:space="0" w:color="auto"/>
              <w:left w:val="single" w:sz="4" w:space="0" w:color="auto"/>
            </w:tcBorders>
            <w:shd w:val="clear" w:color="auto" w:fill="auto"/>
          </w:tcPr>
          <w:p w14:paraId="7EC3C5DB" w14:textId="77777777" w:rsidR="00EC1C40" w:rsidRDefault="00000000">
            <w:pPr>
              <w:pStyle w:val="Jin0"/>
              <w:framePr w:w="7666" w:h="14698" w:wrap="none" w:vAnchor="page" w:hAnchor="page" w:x="1801" w:y="1392"/>
              <w:spacing w:after="0"/>
              <w:ind w:firstLine="420"/>
              <w:jc w:val="both"/>
              <w:rPr>
                <w:sz w:val="15"/>
                <w:szCs w:val="15"/>
              </w:rPr>
            </w:pPr>
            <w:r>
              <w:rPr>
                <w:sz w:val="15"/>
                <w:szCs w:val="15"/>
              </w:rPr>
              <w:t>7 928</w:t>
            </w:r>
          </w:p>
        </w:tc>
        <w:tc>
          <w:tcPr>
            <w:tcW w:w="835" w:type="dxa"/>
            <w:tcBorders>
              <w:top w:val="single" w:sz="4" w:space="0" w:color="auto"/>
              <w:left w:val="single" w:sz="4" w:space="0" w:color="auto"/>
            </w:tcBorders>
            <w:shd w:val="clear" w:color="auto" w:fill="auto"/>
          </w:tcPr>
          <w:p w14:paraId="378A5F9D" w14:textId="77777777" w:rsidR="00EC1C40" w:rsidRDefault="00000000">
            <w:pPr>
              <w:pStyle w:val="Jin0"/>
              <w:framePr w:w="7666" w:h="14698" w:wrap="none" w:vAnchor="page" w:hAnchor="page" w:x="1801" w:y="1392"/>
              <w:spacing w:after="0"/>
              <w:ind w:firstLine="420"/>
              <w:jc w:val="both"/>
              <w:rPr>
                <w:sz w:val="15"/>
                <w:szCs w:val="15"/>
              </w:rPr>
            </w:pPr>
            <w:r>
              <w:rPr>
                <w:sz w:val="15"/>
                <w:szCs w:val="15"/>
              </w:rPr>
              <w:t>7 928</w:t>
            </w:r>
          </w:p>
        </w:tc>
        <w:tc>
          <w:tcPr>
            <w:tcW w:w="1037" w:type="dxa"/>
            <w:tcBorders>
              <w:top w:val="single" w:sz="4" w:space="0" w:color="auto"/>
              <w:left w:val="single" w:sz="4" w:space="0" w:color="auto"/>
            </w:tcBorders>
            <w:shd w:val="clear" w:color="auto" w:fill="auto"/>
          </w:tcPr>
          <w:p w14:paraId="5282EA04" w14:textId="77777777" w:rsidR="00EC1C40" w:rsidRDefault="00EC1C40">
            <w:pPr>
              <w:framePr w:w="7666" w:h="14698" w:wrap="none" w:vAnchor="page" w:hAnchor="page" w:x="1801" w:y="1392"/>
              <w:rPr>
                <w:sz w:val="10"/>
                <w:szCs w:val="10"/>
              </w:rPr>
            </w:pPr>
          </w:p>
        </w:tc>
        <w:tc>
          <w:tcPr>
            <w:tcW w:w="1214" w:type="dxa"/>
            <w:tcBorders>
              <w:top w:val="single" w:sz="4" w:space="0" w:color="auto"/>
              <w:left w:val="single" w:sz="4" w:space="0" w:color="auto"/>
            </w:tcBorders>
            <w:shd w:val="clear" w:color="auto" w:fill="auto"/>
          </w:tcPr>
          <w:p w14:paraId="03588F72" w14:textId="77777777" w:rsidR="00EC1C40" w:rsidRDefault="00EC1C40">
            <w:pPr>
              <w:framePr w:w="7666" w:h="14698" w:wrap="none" w:vAnchor="page" w:hAnchor="page" w:x="1801" w:y="1392"/>
              <w:rPr>
                <w:sz w:val="10"/>
                <w:szCs w:val="10"/>
              </w:rPr>
            </w:pPr>
          </w:p>
        </w:tc>
        <w:tc>
          <w:tcPr>
            <w:tcW w:w="1104" w:type="dxa"/>
            <w:tcBorders>
              <w:top w:val="single" w:sz="4" w:space="0" w:color="auto"/>
              <w:left w:val="single" w:sz="4" w:space="0" w:color="auto"/>
              <w:right w:val="single" w:sz="4" w:space="0" w:color="auto"/>
            </w:tcBorders>
            <w:shd w:val="clear" w:color="auto" w:fill="auto"/>
          </w:tcPr>
          <w:p w14:paraId="7783C2C8" w14:textId="77777777" w:rsidR="00EC1C40" w:rsidRDefault="00EC1C40">
            <w:pPr>
              <w:framePr w:w="7666" w:h="14698" w:wrap="none" w:vAnchor="page" w:hAnchor="page" w:x="1801" w:y="1392"/>
              <w:rPr>
                <w:sz w:val="10"/>
                <w:szCs w:val="10"/>
              </w:rPr>
            </w:pPr>
          </w:p>
        </w:tc>
      </w:tr>
      <w:tr w:rsidR="00EC1C40" w14:paraId="643C64AC" w14:textId="77777777">
        <w:tblPrEx>
          <w:tblCellMar>
            <w:top w:w="0" w:type="dxa"/>
            <w:bottom w:w="0" w:type="dxa"/>
          </w:tblCellMar>
        </w:tblPrEx>
        <w:trPr>
          <w:trHeight w:hRule="exact" w:val="192"/>
        </w:trPr>
        <w:tc>
          <w:tcPr>
            <w:tcW w:w="2640" w:type="dxa"/>
            <w:tcBorders>
              <w:top w:val="single" w:sz="4" w:space="0" w:color="auto"/>
              <w:left w:val="single" w:sz="4" w:space="0" w:color="auto"/>
            </w:tcBorders>
            <w:shd w:val="clear" w:color="auto" w:fill="auto"/>
          </w:tcPr>
          <w:p w14:paraId="326474FB" w14:textId="77777777" w:rsidR="00EC1C40" w:rsidRDefault="00000000">
            <w:pPr>
              <w:pStyle w:val="Jin0"/>
              <w:framePr w:w="7666" w:h="14698" w:wrap="none" w:vAnchor="page" w:hAnchor="page" w:x="1801" w:y="1392"/>
              <w:spacing w:after="0"/>
              <w:jc w:val="both"/>
              <w:rPr>
                <w:sz w:val="15"/>
                <w:szCs w:val="15"/>
              </w:rPr>
            </w:pPr>
            <w:r>
              <w:rPr>
                <w:sz w:val="15"/>
                <w:szCs w:val="15"/>
              </w:rPr>
              <w:t>ARÉNA ZÁZEMÍ</w:t>
            </w:r>
          </w:p>
        </w:tc>
        <w:tc>
          <w:tcPr>
            <w:tcW w:w="835" w:type="dxa"/>
            <w:tcBorders>
              <w:top w:val="single" w:sz="4" w:space="0" w:color="auto"/>
              <w:left w:val="single" w:sz="4" w:space="0" w:color="auto"/>
            </w:tcBorders>
            <w:shd w:val="clear" w:color="auto" w:fill="auto"/>
          </w:tcPr>
          <w:p w14:paraId="52E89973" w14:textId="77777777" w:rsidR="00EC1C40" w:rsidRDefault="00000000">
            <w:pPr>
              <w:pStyle w:val="Jin0"/>
              <w:framePr w:w="7666" w:h="14698" w:wrap="none" w:vAnchor="page" w:hAnchor="page" w:x="1801" w:y="1392"/>
              <w:spacing w:after="0"/>
              <w:ind w:firstLine="540"/>
              <w:jc w:val="both"/>
              <w:rPr>
                <w:sz w:val="15"/>
                <w:szCs w:val="15"/>
              </w:rPr>
            </w:pPr>
            <w:r>
              <w:rPr>
                <w:sz w:val="15"/>
                <w:szCs w:val="15"/>
              </w:rPr>
              <w:t>536</w:t>
            </w:r>
          </w:p>
        </w:tc>
        <w:tc>
          <w:tcPr>
            <w:tcW w:w="835" w:type="dxa"/>
            <w:tcBorders>
              <w:top w:val="single" w:sz="4" w:space="0" w:color="auto"/>
              <w:left w:val="single" w:sz="4" w:space="0" w:color="auto"/>
            </w:tcBorders>
            <w:shd w:val="clear" w:color="auto" w:fill="auto"/>
          </w:tcPr>
          <w:p w14:paraId="4053A991" w14:textId="77777777" w:rsidR="00EC1C40" w:rsidRDefault="00000000">
            <w:pPr>
              <w:pStyle w:val="Jin0"/>
              <w:framePr w:w="7666" w:h="14698" w:wrap="none" w:vAnchor="page" w:hAnchor="page" w:x="1801" w:y="1392"/>
              <w:spacing w:after="0"/>
              <w:ind w:firstLine="540"/>
              <w:jc w:val="both"/>
              <w:rPr>
                <w:sz w:val="15"/>
                <w:szCs w:val="15"/>
              </w:rPr>
            </w:pPr>
            <w:r>
              <w:rPr>
                <w:sz w:val="15"/>
                <w:szCs w:val="15"/>
              </w:rPr>
              <w:t>536</w:t>
            </w:r>
          </w:p>
        </w:tc>
        <w:tc>
          <w:tcPr>
            <w:tcW w:w="1037" w:type="dxa"/>
            <w:tcBorders>
              <w:top w:val="single" w:sz="4" w:space="0" w:color="auto"/>
              <w:left w:val="single" w:sz="4" w:space="0" w:color="auto"/>
            </w:tcBorders>
            <w:shd w:val="clear" w:color="auto" w:fill="auto"/>
          </w:tcPr>
          <w:p w14:paraId="649D02E1" w14:textId="77777777" w:rsidR="00EC1C40" w:rsidRDefault="00EC1C40">
            <w:pPr>
              <w:framePr w:w="7666" w:h="14698" w:wrap="none" w:vAnchor="page" w:hAnchor="page" w:x="1801" w:y="1392"/>
              <w:rPr>
                <w:sz w:val="10"/>
                <w:szCs w:val="10"/>
              </w:rPr>
            </w:pPr>
          </w:p>
        </w:tc>
        <w:tc>
          <w:tcPr>
            <w:tcW w:w="1214" w:type="dxa"/>
            <w:tcBorders>
              <w:top w:val="single" w:sz="4" w:space="0" w:color="auto"/>
              <w:left w:val="single" w:sz="4" w:space="0" w:color="auto"/>
            </w:tcBorders>
            <w:shd w:val="clear" w:color="auto" w:fill="auto"/>
          </w:tcPr>
          <w:p w14:paraId="76845E75" w14:textId="77777777" w:rsidR="00EC1C40" w:rsidRDefault="00EC1C40">
            <w:pPr>
              <w:framePr w:w="7666" w:h="14698" w:wrap="none" w:vAnchor="page" w:hAnchor="page" w:x="1801" w:y="1392"/>
              <w:rPr>
                <w:sz w:val="10"/>
                <w:szCs w:val="10"/>
              </w:rPr>
            </w:pPr>
          </w:p>
        </w:tc>
        <w:tc>
          <w:tcPr>
            <w:tcW w:w="1104" w:type="dxa"/>
            <w:tcBorders>
              <w:top w:val="single" w:sz="4" w:space="0" w:color="auto"/>
              <w:left w:val="single" w:sz="4" w:space="0" w:color="auto"/>
              <w:right w:val="single" w:sz="4" w:space="0" w:color="auto"/>
            </w:tcBorders>
            <w:shd w:val="clear" w:color="auto" w:fill="auto"/>
          </w:tcPr>
          <w:p w14:paraId="4F289DD9" w14:textId="77777777" w:rsidR="00EC1C40" w:rsidRDefault="00EC1C40">
            <w:pPr>
              <w:framePr w:w="7666" w:h="14698" w:wrap="none" w:vAnchor="page" w:hAnchor="page" w:x="1801" w:y="1392"/>
              <w:rPr>
                <w:sz w:val="10"/>
                <w:szCs w:val="10"/>
              </w:rPr>
            </w:pPr>
          </w:p>
        </w:tc>
      </w:tr>
      <w:tr w:rsidR="00EC1C40" w14:paraId="651094F5" w14:textId="77777777">
        <w:tblPrEx>
          <w:tblCellMar>
            <w:top w:w="0" w:type="dxa"/>
            <w:bottom w:w="0" w:type="dxa"/>
          </w:tblCellMar>
        </w:tblPrEx>
        <w:trPr>
          <w:trHeight w:hRule="exact" w:val="197"/>
        </w:trPr>
        <w:tc>
          <w:tcPr>
            <w:tcW w:w="2640" w:type="dxa"/>
            <w:tcBorders>
              <w:top w:val="single" w:sz="4" w:space="0" w:color="auto"/>
              <w:left w:val="single" w:sz="4" w:space="0" w:color="auto"/>
            </w:tcBorders>
            <w:shd w:val="clear" w:color="auto" w:fill="auto"/>
          </w:tcPr>
          <w:p w14:paraId="7BEF0853" w14:textId="77777777" w:rsidR="00EC1C40" w:rsidRDefault="00000000">
            <w:pPr>
              <w:pStyle w:val="Jin0"/>
              <w:framePr w:w="7666" w:h="14698" w:wrap="none" w:vAnchor="page" w:hAnchor="page" w:x="1801" w:y="1392"/>
              <w:spacing w:after="0"/>
              <w:jc w:val="both"/>
              <w:rPr>
                <w:sz w:val="15"/>
                <w:szCs w:val="15"/>
              </w:rPr>
            </w:pPr>
            <w:r>
              <w:rPr>
                <w:b/>
                <w:bCs/>
                <w:sz w:val="15"/>
                <w:szCs w:val="15"/>
              </w:rPr>
              <w:t>7NP</w:t>
            </w:r>
          </w:p>
        </w:tc>
        <w:tc>
          <w:tcPr>
            <w:tcW w:w="835" w:type="dxa"/>
            <w:tcBorders>
              <w:top w:val="single" w:sz="4" w:space="0" w:color="auto"/>
              <w:left w:val="single" w:sz="4" w:space="0" w:color="auto"/>
            </w:tcBorders>
            <w:shd w:val="clear" w:color="auto" w:fill="auto"/>
          </w:tcPr>
          <w:p w14:paraId="1C1F634C" w14:textId="77777777" w:rsidR="00EC1C40" w:rsidRDefault="00000000">
            <w:pPr>
              <w:pStyle w:val="Jin0"/>
              <w:framePr w:w="7666" w:h="14698" w:wrap="none" w:vAnchor="page" w:hAnchor="page" w:x="1801" w:y="1392"/>
              <w:spacing w:after="0"/>
              <w:ind w:firstLine="420"/>
              <w:jc w:val="both"/>
              <w:rPr>
                <w:sz w:val="15"/>
                <w:szCs w:val="15"/>
              </w:rPr>
            </w:pPr>
            <w:r>
              <w:rPr>
                <w:b/>
                <w:bCs/>
                <w:sz w:val="15"/>
                <w:szCs w:val="15"/>
              </w:rPr>
              <w:t>2 544</w:t>
            </w:r>
          </w:p>
        </w:tc>
        <w:tc>
          <w:tcPr>
            <w:tcW w:w="835" w:type="dxa"/>
            <w:tcBorders>
              <w:top w:val="single" w:sz="4" w:space="0" w:color="auto"/>
              <w:left w:val="single" w:sz="4" w:space="0" w:color="auto"/>
            </w:tcBorders>
            <w:shd w:val="clear" w:color="auto" w:fill="auto"/>
          </w:tcPr>
          <w:p w14:paraId="7B3119EC" w14:textId="77777777" w:rsidR="00EC1C40" w:rsidRDefault="00EC1C40">
            <w:pPr>
              <w:framePr w:w="7666" w:h="14698" w:wrap="none" w:vAnchor="page" w:hAnchor="page" w:x="1801" w:y="1392"/>
              <w:rPr>
                <w:sz w:val="10"/>
                <w:szCs w:val="10"/>
              </w:rPr>
            </w:pPr>
          </w:p>
        </w:tc>
        <w:tc>
          <w:tcPr>
            <w:tcW w:w="1037" w:type="dxa"/>
            <w:tcBorders>
              <w:top w:val="single" w:sz="4" w:space="0" w:color="auto"/>
              <w:left w:val="single" w:sz="4" w:space="0" w:color="auto"/>
            </w:tcBorders>
            <w:shd w:val="clear" w:color="auto" w:fill="auto"/>
          </w:tcPr>
          <w:p w14:paraId="25BC5F3C" w14:textId="77777777" w:rsidR="00EC1C40" w:rsidRDefault="00EC1C40">
            <w:pPr>
              <w:framePr w:w="7666" w:h="14698" w:wrap="none" w:vAnchor="page" w:hAnchor="page" w:x="1801" w:y="1392"/>
              <w:rPr>
                <w:sz w:val="10"/>
                <w:szCs w:val="10"/>
              </w:rPr>
            </w:pPr>
          </w:p>
        </w:tc>
        <w:tc>
          <w:tcPr>
            <w:tcW w:w="1214" w:type="dxa"/>
            <w:tcBorders>
              <w:top w:val="single" w:sz="4" w:space="0" w:color="auto"/>
              <w:left w:val="single" w:sz="4" w:space="0" w:color="auto"/>
            </w:tcBorders>
            <w:shd w:val="clear" w:color="auto" w:fill="auto"/>
          </w:tcPr>
          <w:p w14:paraId="469E34DF" w14:textId="77777777" w:rsidR="00EC1C40" w:rsidRDefault="00EC1C40">
            <w:pPr>
              <w:framePr w:w="7666" w:h="14698" w:wrap="none" w:vAnchor="page" w:hAnchor="page" w:x="1801" w:y="1392"/>
              <w:rPr>
                <w:sz w:val="10"/>
                <w:szCs w:val="10"/>
              </w:rPr>
            </w:pPr>
          </w:p>
        </w:tc>
        <w:tc>
          <w:tcPr>
            <w:tcW w:w="1104" w:type="dxa"/>
            <w:tcBorders>
              <w:top w:val="single" w:sz="4" w:space="0" w:color="auto"/>
              <w:left w:val="single" w:sz="4" w:space="0" w:color="auto"/>
              <w:right w:val="single" w:sz="4" w:space="0" w:color="auto"/>
            </w:tcBorders>
            <w:shd w:val="clear" w:color="auto" w:fill="auto"/>
          </w:tcPr>
          <w:p w14:paraId="3E5F3211" w14:textId="77777777" w:rsidR="00EC1C40" w:rsidRDefault="00EC1C40">
            <w:pPr>
              <w:framePr w:w="7666" w:h="14698" w:wrap="none" w:vAnchor="page" w:hAnchor="page" w:x="1801" w:y="1392"/>
              <w:rPr>
                <w:sz w:val="10"/>
                <w:szCs w:val="10"/>
              </w:rPr>
            </w:pPr>
          </w:p>
        </w:tc>
      </w:tr>
      <w:tr w:rsidR="00EC1C40" w14:paraId="2F0E388D" w14:textId="77777777">
        <w:tblPrEx>
          <w:tblCellMar>
            <w:top w:w="0" w:type="dxa"/>
            <w:bottom w:w="0" w:type="dxa"/>
          </w:tblCellMar>
        </w:tblPrEx>
        <w:trPr>
          <w:trHeight w:hRule="exact" w:val="192"/>
        </w:trPr>
        <w:tc>
          <w:tcPr>
            <w:tcW w:w="2640" w:type="dxa"/>
            <w:tcBorders>
              <w:top w:val="single" w:sz="4" w:space="0" w:color="auto"/>
              <w:left w:val="single" w:sz="4" w:space="0" w:color="auto"/>
            </w:tcBorders>
            <w:shd w:val="clear" w:color="auto" w:fill="auto"/>
          </w:tcPr>
          <w:p w14:paraId="482F7297" w14:textId="77777777" w:rsidR="00EC1C40" w:rsidRDefault="00000000">
            <w:pPr>
              <w:pStyle w:val="Jin0"/>
              <w:framePr w:w="7666" w:h="14698" w:wrap="none" w:vAnchor="page" w:hAnchor="page" w:x="1801" w:y="1392"/>
              <w:spacing w:after="0"/>
              <w:jc w:val="both"/>
              <w:rPr>
                <w:sz w:val="15"/>
                <w:szCs w:val="15"/>
              </w:rPr>
            </w:pPr>
            <w:r>
              <w:rPr>
                <w:sz w:val="15"/>
                <w:szCs w:val="15"/>
              </w:rPr>
              <w:t>ARÉNA VEŘEJNOST</w:t>
            </w:r>
          </w:p>
        </w:tc>
        <w:tc>
          <w:tcPr>
            <w:tcW w:w="835" w:type="dxa"/>
            <w:tcBorders>
              <w:top w:val="single" w:sz="4" w:space="0" w:color="auto"/>
              <w:left w:val="single" w:sz="4" w:space="0" w:color="auto"/>
            </w:tcBorders>
            <w:shd w:val="clear" w:color="auto" w:fill="auto"/>
          </w:tcPr>
          <w:p w14:paraId="5F4BE0CC" w14:textId="77777777" w:rsidR="00EC1C40" w:rsidRDefault="00000000">
            <w:pPr>
              <w:pStyle w:val="Jin0"/>
              <w:framePr w:w="7666" w:h="14698" w:wrap="none" w:vAnchor="page" w:hAnchor="page" w:x="1801" w:y="1392"/>
              <w:spacing w:after="0"/>
              <w:ind w:firstLine="540"/>
              <w:jc w:val="both"/>
              <w:rPr>
                <w:sz w:val="15"/>
                <w:szCs w:val="15"/>
              </w:rPr>
            </w:pPr>
            <w:r>
              <w:rPr>
                <w:sz w:val="15"/>
                <w:szCs w:val="15"/>
              </w:rPr>
              <w:t>954</w:t>
            </w:r>
          </w:p>
        </w:tc>
        <w:tc>
          <w:tcPr>
            <w:tcW w:w="835" w:type="dxa"/>
            <w:tcBorders>
              <w:top w:val="single" w:sz="4" w:space="0" w:color="auto"/>
              <w:left w:val="single" w:sz="4" w:space="0" w:color="auto"/>
            </w:tcBorders>
            <w:shd w:val="clear" w:color="auto" w:fill="auto"/>
          </w:tcPr>
          <w:p w14:paraId="7CFBD90F" w14:textId="77777777" w:rsidR="00EC1C40" w:rsidRDefault="00000000">
            <w:pPr>
              <w:pStyle w:val="Jin0"/>
              <w:framePr w:w="7666" w:h="14698" w:wrap="none" w:vAnchor="page" w:hAnchor="page" w:x="1801" w:y="1392"/>
              <w:spacing w:after="0"/>
              <w:ind w:firstLine="540"/>
              <w:jc w:val="both"/>
              <w:rPr>
                <w:sz w:val="15"/>
                <w:szCs w:val="15"/>
              </w:rPr>
            </w:pPr>
            <w:r>
              <w:rPr>
                <w:sz w:val="15"/>
                <w:szCs w:val="15"/>
              </w:rPr>
              <w:t>954</w:t>
            </w:r>
          </w:p>
        </w:tc>
        <w:tc>
          <w:tcPr>
            <w:tcW w:w="1037" w:type="dxa"/>
            <w:tcBorders>
              <w:top w:val="single" w:sz="4" w:space="0" w:color="auto"/>
              <w:left w:val="single" w:sz="4" w:space="0" w:color="auto"/>
            </w:tcBorders>
            <w:shd w:val="clear" w:color="auto" w:fill="auto"/>
          </w:tcPr>
          <w:p w14:paraId="64C30451" w14:textId="77777777" w:rsidR="00EC1C40" w:rsidRDefault="00EC1C40">
            <w:pPr>
              <w:framePr w:w="7666" w:h="14698" w:wrap="none" w:vAnchor="page" w:hAnchor="page" w:x="1801" w:y="1392"/>
              <w:rPr>
                <w:sz w:val="10"/>
                <w:szCs w:val="10"/>
              </w:rPr>
            </w:pPr>
          </w:p>
        </w:tc>
        <w:tc>
          <w:tcPr>
            <w:tcW w:w="1214" w:type="dxa"/>
            <w:tcBorders>
              <w:top w:val="single" w:sz="4" w:space="0" w:color="auto"/>
              <w:left w:val="single" w:sz="4" w:space="0" w:color="auto"/>
            </w:tcBorders>
            <w:shd w:val="clear" w:color="auto" w:fill="auto"/>
          </w:tcPr>
          <w:p w14:paraId="2889789C" w14:textId="77777777" w:rsidR="00EC1C40" w:rsidRDefault="00EC1C40">
            <w:pPr>
              <w:framePr w:w="7666" w:h="14698" w:wrap="none" w:vAnchor="page" w:hAnchor="page" w:x="1801" w:y="1392"/>
              <w:rPr>
                <w:sz w:val="10"/>
                <w:szCs w:val="10"/>
              </w:rPr>
            </w:pPr>
          </w:p>
        </w:tc>
        <w:tc>
          <w:tcPr>
            <w:tcW w:w="1104" w:type="dxa"/>
            <w:tcBorders>
              <w:top w:val="single" w:sz="4" w:space="0" w:color="auto"/>
              <w:left w:val="single" w:sz="4" w:space="0" w:color="auto"/>
              <w:right w:val="single" w:sz="4" w:space="0" w:color="auto"/>
            </w:tcBorders>
            <w:shd w:val="clear" w:color="auto" w:fill="auto"/>
          </w:tcPr>
          <w:p w14:paraId="3CE4C2B4" w14:textId="77777777" w:rsidR="00EC1C40" w:rsidRDefault="00EC1C40">
            <w:pPr>
              <w:framePr w:w="7666" w:h="14698" w:wrap="none" w:vAnchor="page" w:hAnchor="page" w:x="1801" w:y="1392"/>
              <w:rPr>
                <w:sz w:val="10"/>
                <w:szCs w:val="10"/>
              </w:rPr>
            </w:pPr>
          </w:p>
        </w:tc>
      </w:tr>
      <w:tr w:rsidR="00EC1C40" w14:paraId="43910936" w14:textId="77777777">
        <w:tblPrEx>
          <w:tblCellMar>
            <w:top w:w="0" w:type="dxa"/>
            <w:bottom w:w="0" w:type="dxa"/>
          </w:tblCellMar>
        </w:tblPrEx>
        <w:trPr>
          <w:trHeight w:hRule="exact" w:val="197"/>
        </w:trPr>
        <w:tc>
          <w:tcPr>
            <w:tcW w:w="2640" w:type="dxa"/>
            <w:tcBorders>
              <w:top w:val="single" w:sz="4" w:space="0" w:color="auto"/>
              <w:left w:val="single" w:sz="4" w:space="0" w:color="auto"/>
            </w:tcBorders>
            <w:shd w:val="clear" w:color="auto" w:fill="auto"/>
          </w:tcPr>
          <w:p w14:paraId="4F9C45CC" w14:textId="77777777" w:rsidR="00EC1C40" w:rsidRDefault="00000000">
            <w:pPr>
              <w:pStyle w:val="Jin0"/>
              <w:framePr w:w="7666" w:h="14698" w:wrap="none" w:vAnchor="page" w:hAnchor="page" w:x="1801" w:y="1392"/>
              <w:spacing w:after="0"/>
              <w:jc w:val="both"/>
              <w:rPr>
                <w:sz w:val="15"/>
                <w:szCs w:val="15"/>
              </w:rPr>
            </w:pPr>
            <w:r>
              <w:rPr>
                <w:sz w:val="15"/>
                <w:szCs w:val="15"/>
              </w:rPr>
              <w:t>ARÉNA ZÁZEMÍ</w:t>
            </w:r>
          </w:p>
        </w:tc>
        <w:tc>
          <w:tcPr>
            <w:tcW w:w="835" w:type="dxa"/>
            <w:tcBorders>
              <w:top w:val="single" w:sz="4" w:space="0" w:color="auto"/>
              <w:left w:val="single" w:sz="4" w:space="0" w:color="auto"/>
            </w:tcBorders>
            <w:shd w:val="clear" w:color="auto" w:fill="auto"/>
          </w:tcPr>
          <w:p w14:paraId="392E9560" w14:textId="77777777" w:rsidR="00EC1C40" w:rsidRDefault="00000000">
            <w:pPr>
              <w:pStyle w:val="Jin0"/>
              <w:framePr w:w="7666" w:h="14698" w:wrap="none" w:vAnchor="page" w:hAnchor="page" w:x="1801" w:y="1392"/>
              <w:spacing w:after="0"/>
              <w:ind w:firstLine="540"/>
              <w:jc w:val="both"/>
              <w:rPr>
                <w:sz w:val="15"/>
                <w:szCs w:val="15"/>
              </w:rPr>
            </w:pPr>
            <w:r>
              <w:rPr>
                <w:sz w:val="15"/>
                <w:szCs w:val="15"/>
              </w:rPr>
              <w:t>857</w:t>
            </w:r>
          </w:p>
        </w:tc>
        <w:tc>
          <w:tcPr>
            <w:tcW w:w="835" w:type="dxa"/>
            <w:tcBorders>
              <w:top w:val="single" w:sz="4" w:space="0" w:color="auto"/>
              <w:left w:val="single" w:sz="4" w:space="0" w:color="auto"/>
            </w:tcBorders>
            <w:shd w:val="clear" w:color="auto" w:fill="auto"/>
          </w:tcPr>
          <w:p w14:paraId="4B255DCA" w14:textId="77777777" w:rsidR="00EC1C40" w:rsidRDefault="00000000">
            <w:pPr>
              <w:pStyle w:val="Jin0"/>
              <w:framePr w:w="7666" w:h="14698" w:wrap="none" w:vAnchor="page" w:hAnchor="page" w:x="1801" w:y="1392"/>
              <w:spacing w:after="0"/>
              <w:ind w:firstLine="540"/>
              <w:jc w:val="both"/>
              <w:rPr>
                <w:sz w:val="15"/>
                <w:szCs w:val="15"/>
              </w:rPr>
            </w:pPr>
            <w:r>
              <w:rPr>
                <w:sz w:val="15"/>
                <w:szCs w:val="15"/>
              </w:rPr>
              <w:t>857</w:t>
            </w:r>
          </w:p>
        </w:tc>
        <w:tc>
          <w:tcPr>
            <w:tcW w:w="1037" w:type="dxa"/>
            <w:tcBorders>
              <w:top w:val="single" w:sz="4" w:space="0" w:color="auto"/>
              <w:left w:val="single" w:sz="4" w:space="0" w:color="auto"/>
            </w:tcBorders>
            <w:shd w:val="clear" w:color="auto" w:fill="auto"/>
          </w:tcPr>
          <w:p w14:paraId="738BE705" w14:textId="77777777" w:rsidR="00EC1C40" w:rsidRDefault="00EC1C40">
            <w:pPr>
              <w:framePr w:w="7666" w:h="14698" w:wrap="none" w:vAnchor="page" w:hAnchor="page" w:x="1801" w:y="1392"/>
              <w:rPr>
                <w:sz w:val="10"/>
                <w:szCs w:val="10"/>
              </w:rPr>
            </w:pPr>
          </w:p>
        </w:tc>
        <w:tc>
          <w:tcPr>
            <w:tcW w:w="1214" w:type="dxa"/>
            <w:tcBorders>
              <w:top w:val="single" w:sz="4" w:space="0" w:color="auto"/>
              <w:left w:val="single" w:sz="4" w:space="0" w:color="auto"/>
            </w:tcBorders>
            <w:shd w:val="clear" w:color="auto" w:fill="auto"/>
          </w:tcPr>
          <w:p w14:paraId="592AA672" w14:textId="77777777" w:rsidR="00EC1C40" w:rsidRDefault="00EC1C40">
            <w:pPr>
              <w:framePr w:w="7666" w:h="14698" w:wrap="none" w:vAnchor="page" w:hAnchor="page" w:x="1801" w:y="1392"/>
              <w:rPr>
                <w:sz w:val="10"/>
                <w:szCs w:val="10"/>
              </w:rPr>
            </w:pPr>
          </w:p>
        </w:tc>
        <w:tc>
          <w:tcPr>
            <w:tcW w:w="1104" w:type="dxa"/>
            <w:tcBorders>
              <w:top w:val="single" w:sz="4" w:space="0" w:color="auto"/>
              <w:left w:val="single" w:sz="4" w:space="0" w:color="auto"/>
              <w:right w:val="single" w:sz="4" w:space="0" w:color="auto"/>
            </w:tcBorders>
            <w:shd w:val="clear" w:color="auto" w:fill="auto"/>
          </w:tcPr>
          <w:p w14:paraId="54405887" w14:textId="77777777" w:rsidR="00EC1C40" w:rsidRDefault="00EC1C40">
            <w:pPr>
              <w:framePr w:w="7666" w:h="14698" w:wrap="none" w:vAnchor="page" w:hAnchor="page" w:x="1801" w:y="1392"/>
              <w:rPr>
                <w:sz w:val="10"/>
                <w:szCs w:val="10"/>
              </w:rPr>
            </w:pPr>
          </w:p>
        </w:tc>
      </w:tr>
      <w:tr w:rsidR="00EC1C40" w14:paraId="6CCFE0B6" w14:textId="77777777">
        <w:tblPrEx>
          <w:tblCellMar>
            <w:top w:w="0" w:type="dxa"/>
            <w:bottom w:w="0" w:type="dxa"/>
          </w:tblCellMar>
        </w:tblPrEx>
        <w:trPr>
          <w:trHeight w:hRule="exact" w:val="197"/>
        </w:trPr>
        <w:tc>
          <w:tcPr>
            <w:tcW w:w="2640" w:type="dxa"/>
            <w:tcBorders>
              <w:top w:val="single" w:sz="4" w:space="0" w:color="auto"/>
              <w:left w:val="single" w:sz="4" w:space="0" w:color="auto"/>
            </w:tcBorders>
            <w:shd w:val="clear" w:color="auto" w:fill="auto"/>
          </w:tcPr>
          <w:p w14:paraId="2E1B321D" w14:textId="77777777" w:rsidR="00EC1C40" w:rsidRDefault="00000000">
            <w:pPr>
              <w:pStyle w:val="Jin0"/>
              <w:framePr w:w="7666" w:h="14698" w:wrap="none" w:vAnchor="page" w:hAnchor="page" w:x="1801" w:y="1392"/>
              <w:spacing w:after="0"/>
              <w:rPr>
                <w:sz w:val="15"/>
                <w:szCs w:val="15"/>
              </w:rPr>
            </w:pPr>
            <w:r>
              <w:rPr>
                <w:sz w:val="15"/>
                <w:szCs w:val="15"/>
              </w:rPr>
              <w:t>UBYTOVÁNÍ MLÁDEŽ</w:t>
            </w:r>
          </w:p>
        </w:tc>
        <w:tc>
          <w:tcPr>
            <w:tcW w:w="835" w:type="dxa"/>
            <w:tcBorders>
              <w:top w:val="single" w:sz="4" w:space="0" w:color="auto"/>
              <w:left w:val="single" w:sz="4" w:space="0" w:color="auto"/>
            </w:tcBorders>
            <w:shd w:val="clear" w:color="auto" w:fill="auto"/>
          </w:tcPr>
          <w:p w14:paraId="645E3FAD" w14:textId="77777777" w:rsidR="00EC1C40" w:rsidRDefault="00000000">
            <w:pPr>
              <w:pStyle w:val="Jin0"/>
              <w:framePr w:w="7666" w:h="14698" w:wrap="none" w:vAnchor="page" w:hAnchor="page" w:x="1801" w:y="1392"/>
              <w:spacing w:after="0"/>
              <w:ind w:firstLine="540"/>
              <w:jc w:val="both"/>
              <w:rPr>
                <w:sz w:val="15"/>
                <w:szCs w:val="15"/>
              </w:rPr>
            </w:pPr>
            <w:r>
              <w:rPr>
                <w:sz w:val="15"/>
                <w:szCs w:val="15"/>
              </w:rPr>
              <w:t>733</w:t>
            </w:r>
          </w:p>
        </w:tc>
        <w:tc>
          <w:tcPr>
            <w:tcW w:w="835" w:type="dxa"/>
            <w:tcBorders>
              <w:top w:val="single" w:sz="4" w:space="0" w:color="auto"/>
              <w:left w:val="single" w:sz="4" w:space="0" w:color="auto"/>
            </w:tcBorders>
            <w:shd w:val="clear" w:color="auto" w:fill="auto"/>
          </w:tcPr>
          <w:p w14:paraId="0EBDB215" w14:textId="77777777" w:rsidR="00EC1C40" w:rsidRDefault="00000000">
            <w:pPr>
              <w:pStyle w:val="Jin0"/>
              <w:framePr w:w="7666" w:h="14698" w:wrap="none" w:vAnchor="page" w:hAnchor="page" w:x="1801" w:y="1392"/>
              <w:spacing w:after="0"/>
              <w:ind w:firstLine="540"/>
              <w:jc w:val="both"/>
              <w:rPr>
                <w:sz w:val="15"/>
                <w:szCs w:val="15"/>
              </w:rPr>
            </w:pPr>
            <w:r>
              <w:rPr>
                <w:sz w:val="15"/>
                <w:szCs w:val="15"/>
              </w:rPr>
              <w:t>733</w:t>
            </w:r>
          </w:p>
        </w:tc>
        <w:tc>
          <w:tcPr>
            <w:tcW w:w="1037" w:type="dxa"/>
            <w:tcBorders>
              <w:top w:val="single" w:sz="4" w:space="0" w:color="auto"/>
              <w:left w:val="single" w:sz="4" w:space="0" w:color="auto"/>
            </w:tcBorders>
            <w:shd w:val="clear" w:color="auto" w:fill="auto"/>
          </w:tcPr>
          <w:p w14:paraId="1E658821" w14:textId="77777777" w:rsidR="00EC1C40" w:rsidRDefault="00EC1C40">
            <w:pPr>
              <w:framePr w:w="7666" w:h="14698" w:wrap="none" w:vAnchor="page" w:hAnchor="page" w:x="1801" w:y="1392"/>
              <w:rPr>
                <w:sz w:val="10"/>
                <w:szCs w:val="10"/>
              </w:rPr>
            </w:pPr>
          </w:p>
        </w:tc>
        <w:tc>
          <w:tcPr>
            <w:tcW w:w="1214" w:type="dxa"/>
            <w:tcBorders>
              <w:top w:val="single" w:sz="4" w:space="0" w:color="auto"/>
              <w:left w:val="single" w:sz="4" w:space="0" w:color="auto"/>
            </w:tcBorders>
            <w:shd w:val="clear" w:color="auto" w:fill="auto"/>
          </w:tcPr>
          <w:p w14:paraId="38240BD1" w14:textId="77777777" w:rsidR="00EC1C40" w:rsidRDefault="00EC1C40">
            <w:pPr>
              <w:framePr w:w="7666" w:h="14698" w:wrap="none" w:vAnchor="page" w:hAnchor="page" w:x="1801" w:y="1392"/>
              <w:rPr>
                <w:sz w:val="10"/>
                <w:szCs w:val="10"/>
              </w:rPr>
            </w:pPr>
          </w:p>
        </w:tc>
        <w:tc>
          <w:tcPr>
            <w:tcW w:w="1104" w:type="dxa"/>
            <w:tcBorders>
              <w:top w:val="single" w:sz="4" w:space="0" w:color="auto"/>
              <w:left w:val="single" w:sz="4" w:space="0" w:color="auto"/>
              <w:right w:val="single" w:sz="4" w:space="0" w:color="auto"/>
            </w:tcBorders>
            <w:shd w:val="clear" w:color="auto" w:fill="auto"/>
          </w:tcPr>
          <w:p w14:paraId="59E622BF" w14:textId="77777777" w:rsidR="00EC1C40" w:rsidRDefault="00EC1C40">
            <w:pPr>
              <w:framePr w:w="7666" w:h="14698" w:wrap="none" w:vAnchor="page" w:hAnchor="page" w:x="1801" w:y="1392"/>
              <w:rPr>
                <w:sz w:val="10"/>
                <w:szCs w:val="10"/>
              </w:rPr>
            </w:pPr>
          </w:p>
        </w:tc>
      </w:tr>
      <w:tr w:rsidR="00EC1C40" w14:paraId="2031149A" w14:textId="77777777">
        <w:tblPrEx>
          <w:tblCellMar>
            <w:top w:w="0" w:type="dxa"/>
            <w:bottom w:w="0" w:type="dxa"/>
          </w:tblCellMar>
        </w:tblPrEx>
        <w:trPr>
          <w:trHeight w:hRule="exact" w:val="192"/>
        </w:trPr>
        <w:tc>
          <w:tcPr>
            <w:tcW w:w="2640" w:type="dxa"/>
            <w:tcBorders>
              <w:top w:val="single" w:sz="4" w:space="0" w:color="auto"/>
              <w:left w:val="single" w:sz="4" w:space="0" w:color="auto"/>
            </w:tcBorders>
            <w:shd w:val="clear" w:color="auto" w:fill="auto"/>
          </w:tcPr>
          <w:p w14:paraId="7DEC9276" w14:textId="77777777" w:rsidR="00EC1C40" w:rsidRDefault="00000000">
            <w:pPr>
              <w:pStyle w:val="Jin0"/>
              <w:framePr w:w="7666" w:h="14698" w:wrap="none" w:vAnchor="page" w:hAnchor="page" w:x="1801" w:y="1392"/>
              <w:spacing w:after="0"/>
              <w:jc w:val="both"/>
              <w:rPr>
                <w:sz w:val="15"/>
                <w:szCs w:val="15"/>
              </w:rPr>
            </w:pPr>
            <w:r>
              <w:rPr>
                <w:b/>
                <w:bCs/>
                <w:sz w:val="15"/>
                <w:szCs w:val="15"/>
              </w:rPr>
              <w:t>8NP</w:t>
            </w:r>
          </w:p>
        </w:tc>
        <w:tc>
          <w:tcPr>
            <w:tcW w:w="835" w:type="dxa"/>
            <w:tcBorders>
              <w:top w:val="single" w:sz="4" w:space="0" w:color="auto"/>
              <w:left w:val="single" w:sz="4" w:space="0" w:color="auto"/>
            </w:tcBorders>
            <w:shd w:val="clear" w:color="auto" w:fill="auto"/>
          </w:tcPr>
          <w:p w14:paraId="77BBABE1" w14:textId="77777777" w:rsidR="00EC1C40" w:rsidRDefault="00000000">
            <w:pPr>
              <w:pStyle w:val="Jin0"/>
              <w:framePr w:w="7666" w:h="14698" w:wrap="none" w:vAnchor="page" w:hAnchor="page" w:x="1801" w:y="1392"/>
              <w:spacing w:after="0"/>
              <w:ind w:firstLine="420"/>
              <w:jc w:val="both"/>
              <w:rPr>
                <w:sz w:val="15"/>
                <w:szCs w:val="15"/>
              </w:rPr>
            </w:pPr>
            <w:r>
              <w:rPr>
                <w:b/>
                <w:bCs/>
                <w:sz w:val="15"/>
                <w:szCs w:val="15"/>
              </w:rPr>
              <w:t>8 815</w:t>
            </w:r>
          </w:p>
        </w:tc>
        <w:tc>
          <w:tcPr>
            <w:tcW w:w="835" w:type="dxa"/>
            <w:tcBorders>
              <w:top w:val="single" w:sz="4" w:space="0" w:color="auto"/>
              <w:left w:val="single" w:sz="4" w:space="0" w:color="auto"/>
            </w:tcBorders>
            <w:shd w:val="clear" w:color="auto" w:fill="auto"/>
          </w:tcPr>
          <w:p w14:paraId="75BDD00B" w14:textId="77777777" w:rsidR="00EC1C40" w:rsidRDefault="00EC1C40">
            <w:pPr>
              <w:framePr w:w="7666" w:h="14698" w:wrap="none" w:vAnchor="page" w:hAnchor="page" w:x="1801" w:y="1392"/>
              <w:rPr>
                <w:sz w:val="10"/>
                <w:szCs w:val="10"/>
              </w:rPr>
            </w:pPr>
          </w:p>
        </w:tc>
        <w:tc>
          <w:tcPr>
            <w:tcW w:w="1037" w:type="dxa"/>
            <w:tcBorders>
              <w:top w:val="single" w:sz="4" w:space="0" w:color="auto"/>
              <w:left w:val="single" w:sz="4" w:space="0" w:color="auto"/>
            </w:tcBorders>
            <w:shd w:val="clear" w:color="auto" w:fill="auto"/>
          </w:tcPr>
          <w:p w14:paraId="0DE33933" w14:textId="77777777" w:rsidR="00EC1C40" w:rsidRDefault="00EC1C40">
            <w:pPr>
              <w:framePr w:w="7666" w:h="14698" w:wrap="none" w:vAnchor="page" w:hAnchor="page" w:x="1801" w:y="1392"/>
              <w:rPr>
                <w:sz w:val="10"/>
                <w:szCs w:val="10"/>
              </w:rPr>
            </w:pPr>
          </w:p>
        </w:tc>
        <w:tc>
          <w:tcPr>
            <w:tcW w:w="1214" w:type="dxa"/>
            <w:tcBorders>
              <w:top w:val="single" w:sz="4" w:space="0" w:color="auto"/>
              <w:left w:val="single" w:sz="4" w:space="0" w:color="auto"/>
            </w:tcBorders>
            <w:shd w:val="clear" w:color="auto" w:fill="auto"/>
          </w:tcPr>
          <w:p w14:paraId="61160F19" w14:textId="77777777" w:rsidR="00EC1C40" w:rsidRDefault="00EC1C40">
            <w:pPr>
              <w:framePr w:w="7666" w:h="14698" w:wrap="none" w:vAnchor="page" w:hAnchor="page" w:x="1801" w:y="1392"/>
              <w:rPr>
                <w:sz w:val="10"/>
                <w:szCs w:val="10"/>
              </w:rPr>
            </w:pPr>
          </w:p>
        </w:tc>
        <w:tc>
          <w:tcPr>
            <w:tcW w:w="1104" w:type="dxa"/>
            <w:tcBorders>
              <w:top w:val="single" w:sz="4" w:space="0" w:color="auto"/>
              <w:left w:val="single" w:sz="4" w:space="0" w:color="auto"/>
              <w:right w:val="single" w:sz="4" w:space="0" w:color="auto"/>
            </w:tcBorders>
            <w:shd w:val="clear" w:color="auto" w:fill="auto"/>
          </w:tcPr>
          <w:p w14:paraId="264E2D6A" w14:textId="77777777" w:rsidR="00EC1C40" w:rsidRDefault="00EC1C40">
            <w:pPr>
              <w:framePr w:w="7666" w:h="14698" w:wrap="none" w:vAnchor="page" w:hAnchor="page" w:x="1801" w:y="1392"/>
              <w:rPr>
                <w:sz w:val="10"/>
                <w:szCs w:val="10"/>
              </w:rPr>
            </w:pPr>
          </w:p>
        </w:tc>
      </w:tr>
      <w:tr w:rsidR="00EC1C40" w14:paraId="10B70D5F" w14:textId="77777777">
        <w:tblPrEx>
          <w:tblCellMar>
            <w:top w:w="0" w:type="dxa"/>
            <w:bottom w:w="0" w:type="dxa"/>
          </w:tblCellMar>
        </w:tblPrEx>
        <w:trPr>
          <w:trHeight w:hRule="exact" w:val="197"/>
        </w:trPr>
        <w:tc>
          <w:tcPr>
            <w:tcW w:w="2640" w:type="dxa"/>
            <w:tcBorders>
              <w:top w:val="single" w:sz="4" w:space="0" w:color="auto"/>
              <w:left w:val="single" w:sz="4" w:space="0" w:color="auto"/>
            </w:tcBorders>
            <w:shd w:val="clear" w:color="auto" w:fill="auto"/>
          </w:tcPr>
          <w:p w14:paraId="15F00A4D" w14:textId="77777777" w:rsidR="00EC1C40" w:rsidRDefault="00000000">
            <w:pPr>
              <w:pStyle w:val="Jin0"/>
              <w:framePr w:w="7666" w:h="14698" w:wrap="none" w:vAnchor="page" w:hAnchor="page" w:x="1801" w:y="1392"/>
              <w:spacing w:after="0"/>
              <w:jc w:val="both"/>
              <w:rPr>
                <w:sz w:val="15"/>
                <w:szCs w:val="15"/>
              </w:rPr>
            </w:pPr>
            <w:r>
              <w:rPr>
                <w:sz w:val="15"/>
                <w:szCs w:val="15"/>
              </w:rPr>
              <w:t>ARÉNA VEŘEJNOST</w:t>
            </w:r>
          </w:p>
        </w:tc>
        <w:tc>
          <w:tcPr>
            <w:tcW w:w="835" w:type="dxa"/>
            <w:tcBorders>
              <w:top w:val="single" w:sz="4" w:space="0" w:color="auto"/>
              <w:left w:val="single" w:sz="4" w:space="0" w:color="auto"/>
            </w:tcBorders>
            <w:shd w:val="clear" w:color="auto" w:fill="auto"/>
          </w:tcPr>
          <w:p w14:paraId="34C7E1D9" w14:textId="77777777" w:rsidR="00EC1C40" w:rsidRDefault="00000000">
            <w:pPr>
              <w:pStyle w:val="Jin0"/>
              <w:framePr w:w="7666" w:h="14698" w:wrap="none" w:vAnchor="page" w:hAnchor="page" w:x="1801" w:y="1392"/>
              <w:spacing w:after="0"/>
              <w:ind w:firstLine="420"/>
              <w:jc w:val="both"/>
              <w:rPr>
                <w:sz w:val="15"/>
                <w:szCs w:val="15"/>
              </w:rPr>
            </w:pPr>
            <w:r>
              <w:rPr>
                <w:sz w:val="15"/>
                <w:szCs w:val="15"/>
              </w:rPr>
              <w:t>5 029</w:t>
            </w:r>
          </w:p>
        </w:tc>
        <w:tc>
          <w:tcPr>
            <w:tcW w:w="835" w:type="dxa"/>
            <w:tcBorders>
              <w:top w:val="single" w:sz="4" w:space="0" w:color="auto"/>
              <w:left w:val="single" w:sz="4" w:space="0" w:color="auto"/>
            </w:tcBorders>
            <w:shd w:val="clear" w:color="auto" w:fill="auto"/>
          </w:tcPr>
          <w:p w14:paraId="73300C4F" w14:textId="77777777" w:rsidR="00EC1C40" w:rsidRDefault="00000000">
            <w:pPr>
              <w:pStyle w:val="Jin0"/>
              <w:framePr w:w="7666" w:h="14698" w:wrap="none" w:vAnchor="page" w:hAnchor="page" w:x="1801" w:y="1392"/>
              <w:spacing w:after="0"/>
              <w:ind w:firstLine="420"/>
              <w:jc w:val="both"/>
              <w:rPr>
                <w:sz w:val="15"/>
                <w:szCs w:val="15"/>
              </w:rPr>
            </w:pPr>
            <w:r>
              <w:rPr>
                <w:sz w:val="15"/>
                <w:szCs w:val="15"/>
              </w:rPr>
              <w:t>5 029</w:t>
            </w:r>
          </w:p>
        </w:tc>
        <w:tc>
          <w:tcPr>
            <w:tcW w:w="1037" w:type="dxa"/>
            <w:tcBorders>
              <w:top w:val="single" w:sz="4" w:space="0" w:color="auto"/>
              <w:left w:val="single" w:sz="4" w:space="0" w:color="auto"/>
            </w:tcBorders>
            <w:shd w:val="clear" w:color="auto" w:fill="auto"/>
          </w:tcPr>
          <w:p w14:paraId="155521AC" w14:textId="77777777" w:rsidR="00EC1C40" w:rsidRDefault="00EC1C40">
            <w:pPr>
              <w:framePr w:w="7666" w:h="14698" w:wrap="none" w:vAnchor="page" w:hAnchor="page" w:x="1801" w:y="1392"/>
              <w:rPr>
                <w:sz w:val="10"/>
                <w:szCs w:val="10"/>
              </w:rPr>
            </w:pPr>
          </w:p>
        </w:tc>
        <w:tc>
          <w:tcPr>
            <w:tcW w:w="1214" w:type="dxa"/>
            <w:tcBorders>
              <w:top w:val="single" w:sz="4" w:space="0" w:color="auto"/>
              <w:left w:val="single" w:sz="4" w:space="0" w:color="auto"/>
            </w:tcBorders>
            <w:shd w:val="clear" w:color="auto" w:fill="auto"/>
          </w:tcPr>
          <w:p w14:paraId="7DF97768" w14:textId="77777777" w:rsidR="00EC1C40" w:rsidRDefault="00EC1C40">
            <w:pPr>
              <w:framePr w:w="7666" w:h="14698" w:wrap="none" w:vAnchor="page" w:hAnchor="page" w:x="1801" w:y="1392"/>
              <w:rPr>
                <w:sz w:val="10"/>
                <w:szCs w:val="10"/>
              </w:rPr>
            </w:pPr>
          </w:p>
        </w:tc>
        <w:tc>
          <w:tcPr>
            <w:tcW w:w="1104" w:type="dxa"/>
            <w:tcBorders>
              <w:top w:val="single" w:sz="4" w:space="0" w:color="auto"/>
              <w:left w:val="single" w:sz="4" w:space="0" w:color="auto"/>
              <w:right w:val="single" w:sz="4" w:space="0" w:color="auto"/>
            </w:tcBorders>
            <w:shd w:val="clear" w:color="auto" w:fill="auto"/>
          </w:tcPr>
          <w:p w14:paraId="6666CC43" w14:textId="77777777" w:rsidR="00EC1C40" w:rsidRDefault="00EC1C40">
            <w:pPr>
              <w:framePr w:w="7666" w:h="14698" w:wrap="none" w:vAnchor="page" w:hAnchor="page" w:x="1801" w:y="1392"/>
              <w:rPr>
                <w:sz w:val="10"/>
                <w:szCs w:val="10"/>
              </w:rPr>
            </w:pPr>
          </w:p>
        </w:tc>
      </w:tr>
      <w:tr w:rsidR="00EC1C40" w14:paraId="41C845A5" w14:textId="77777777">
        <w:tblPrEx>
          <w:tblCellMar>
            <w:top w:w="0" w:type="dxa"/>
            <w:bottom w:w="0" w:type="dxa"/>
          </w:tblCellMar>
        </w:tblPrEx>
        <w:trPr>
          <w:trHeight w:hRule="exact" w:val="192"/>
        </w:trPr>
        <w:tc>
          <w:tcPr>
            <w:tcW w:w="2640" w:type="dxa"/>
            <w:tcBorders>
              <w:top w:val="single" w:sz="4" w:space="0" w:color="auto"/>
              <w:left w:val="single" w:sz="4" w:space="0" w:color="auto"/>
            </w:tcBorders>
            <w:shd w:val="clear" w:color="auto" w:fill="auto"/>
          </w:tcPr>
          <w:p w14:paraId="59889F9F" w14:textId="77777777" w:rsidR="00EC1C40" w:rsidRDefault="00000000">
            <w:pPr>
              <w:pStyle w:val="Jin0"/>
              <w:framePr w:w="7666" w:h="14698" w:wrap="none" w:vAnchor="page" w:hAnchor="page" w:x="1801" w:y="1392"/>
              <w:spacing w:after="0"/>
              <w:jc w:val="both"/>
              <w:rPr>
                <w:sz w:val="15"/>
                <w:szCs w:val="15"/>
              </w:rPr>
            </w:pPr>
            <w:r>
              <w:rPr>
                <w:sz w:val="15"/>
                <w:szCs w:val="15"/>
              </w:rPr>
              <w:t>ARÉNA ZÁZEMÍ</w:t>
            </w:r>
          </w:p>
        </w:tc>
        <w:tc>
          <w:tcPr>
            <w:tcW w:w="835" w:type="dxa"/>
            <w:tcBorders>
              <w:top w:val="single" w:sz="4" w:space="0" w:color="auto"/>
              <w:left w:val="single" w:sz="4" w:space="0" w:color="auto"/>
            </w:tcBorders>
            <w:shd w:val="clear" w:color="auto" w:fill="auto"/>
          </w:tcPr>
          <w:p w14:paraId="696073BF" w14:textId="77777777" w:rsidR="00EC1C40" w:rsidRDefault="00000000">
            <w:pPr>
              <w:pStyle w:val="Jin0"/>
              <w:framePr w:w="7666" w:h="14698" w:wrap="none" w:vAnchor="page" w:hAnchor="page" w:x="1801" w:y="1392"/>
              <w:spacing w:after="0"/>
              <w:ind w:firstLine="420"/>
              <w:jc w:val="both"/>
              <w:rPr>
                <w:sz w:val="15"/>
                <w:szCs w:val="15"/>
              </w:rPr>
            </w:pPr>
            <w:r>
              <w:rPr>
                <w:sz w:val="15"/>
                <w:szCs w:val="15"/>
              </w:rPr>
              <w:t>2 749</w:t>
            </w:r>
          </w:p>
        </w:tc>
        <w:tc>
          <w:tcPr>
            <w:tcW w:w="835" w:type="dxa"/>
            <w:tcBorders>
              <w:top w:val="single" w:sz="4" w:space="0" w:color="auto"/>
              <w:left w:val="single" w:sz="4" w:space="0" w:color="auto"/>
            </w:tcBorders>
            <w:shd w:val="clear" w:color="auto" w:fill="auto"/>
          </w:tcPr>
          <w:p w14:paraId="34455030" w14:textId="77777777" w:rsidR="00EC1C40" w:rsidRDefault="00000000">
            <w:pPr>
              <w:pStyle w:val="Jin0"/>
              <w:framePr w:w="7666" w:h="14698" w:wrap="none" w:vAnchor="page" w:hAnchor="page" w:x="1801" w:y="1392"/>
              <w:spacing w:after="0"/>
              <w:ind w:firstLine="420"/>
              <w:jc w:val="both"/>
              <w:rPr>
                <w:sz w:val="15"/>
                <w:szCs w:val="15"/>
              </w:rPr>
            </w:pPr>
            <w:r>
              <w:rPr>
                <w:sz w:val="15"/>
                <w:szCs w:val="15"/>
              </w:rPr>
              <w:t>2 749</w:t>
            </w:r>
          </w:p>
        </w:tc>
        <w:tc>
          <w:tcPr>
            <w:tcW w:w="1037" w:type="dxa"/>
            <w:tcBorders>
              <w:top w:val="single" w:sz="4" w:space="0" w:color="auto"/>
              <w:left w:val="single" w:sz="4" w:space="0" w:color="auto"/>
            </w:tcBorders>
            <w:shd w:val="clear" w:color="auto" w:fill="auto"/>
          </w:tcPr>
          <w:p w14:paraId="62220732" w14:textId="77777777" w:rsidR="00EC1C40" w:rsidRDefault="00EC1C40">
            <w:pPr>
              <w:framePr w:w="7666" w:h="14698" w:wrap="none" w:vAnchor="page" w:hAnchor="page" w:x="1801" w:y="1392"/>
              <w:rPr>
                <w:sz w:val="10"/>
                <w:szCs w:val="10"/>
              </w:rPr>
            </w:pPr>
          </w:p>
        </w:tc>
        <w:tc>
          <w:tcPr>
            <w:tcW w:w="1214" w:type="dxa"/>
            <w:tcBorders>
              <w:top w:val="single" w:sz="4" w:space="0" w:color="auto"/>
              <w:left w:val="single" w:sz="4" w:space="0" w:color="auto"/>
            </w:tcBorders>
            <w:shd w:val="clear" w:color="auto" w:fill="auto"/>
          </w:tcPr>
          <w:p w14:paraId="4E7AE720" w14:textId="77777777" w:rsidR="00EC1C40" w:rsidRDefault="00EC1C40">
            <w:pPr>
              <w:framePr w:w="7666" w:h="14698" w:wrap="none" w:vAnchor="page" w:hAnchor="page" w:x="1801" w:y="1392"/>
              <w:rPr>
                <w:sz w:val="10"/>
                <w:szCs w:val="10"/>
              </w:rPr>
            </w:pPr>
          </w:p>
        </w:tc>
        <w:tc>
          <w:tcPr>
            <w:tcW w:w="1104" w:type="dxa"/>
            <w:tcBorders>
              <w:top w:val="single" w:sz="4" w:space="0" w:color="auto"/>
              <w:left w:val="single" w:sz="4" w:space="0" w:color="auto"/>
              <w:right w:val="single" w:sz="4" w:space="0" w:color="auto"/>
            </w:tcBorders>
            <w:shd w:val="clear" w:color="auto" w:fill="auto"/>
          </w:tcPr>
          <w:p w14:paraId="5C0187EC" w14:textId="77777777" w:rsidR="00EC1C40" w:rsidRDefault="00EC1C40">
            <w:pPr>
              <w:framePr w:w="7666" w:h="14698" w:wrap="none" w:vAnchor="page" w:hAnchor="page" w:x="1801" w:y="1392"/>
              <w:rPr>
                <w:sz w:val="10"/>
                <w:szCs w:val="10"/>
              </w:rPr>
            </w:pPr>
          </w:p>
        </w:tc>
      </w:tr>
      <w:tr w:rsidR="00EC1C40" w14:paraId="65EBB276" w14:textId="77777777">
        <w:tblPrEx>
          <w:tblCellMar>
            <w:top w:w="0" w:type="dxa"/>
            <w:bottom w:w="0" w:type="dxa"/>
          </w:tblCellMar>
        </w:tblPrEx>
        <w:trPr>
          <w:trHeight w:hRule="exact" w:val="192"/>
        </w:trPr>
        <w:tc>
          <w:tcPr>
            <w:tcW w:w="2640" w:type="dxa"/>
            <w:tcBorders>
              <w:top w:val="single" w:sz="4" w:space="0" w:color="auto"/>
              <w:left w:val="single" w:sz="4" w:space="0" w:color="auto"/>
            </w:tcBorders>
            <w:shd w:val="clear" w:color="auto" w:fill="auto"/>
            <w:vAlign w:val="bottom"/>
          </w:tcPr>
          <w:p w14:paraId="3B24ADC6" w14:textId="77777777" w:rsidR="00EC1C40" w:rsidRDefault="00000000">
            <w:pPr>
              <w:pStyle w:val="Jin0"/>
              <w:framePr w:w="7666" w:h="14698" w:wrap="none" w:vAnchor="page" w:hAnchor="page" w:x="1801" w:y="1392"/>
              <w:spacing w:after="0"/>
              <w:rPr>
                <w:sz w:val="15"/>
                <w:szCs w:val="15"/>
              </w:rPr>
            </w:pPr>
            <w:r>
              <w:rPr>
                <w:sz w:val="15"/>
                <w:szCs w:val="15"/>
              </w:rPr>
              <w:t>DYNAMO KANCELÁŘE</w:t>
            </w:r>
          </w:p>
        </w:tc>
        <w:tc>
          <w:tcPr>
            <w:tcW w:w="835" w:type="dxa"/>
            <w:tcBorders>
              <w:top w:val="single" w:sz="4" w:space="0" w:color="auto"/>
              <w:left w:val="single" w:sz="4" w:space="0" w:color="auto"/>
            </w:tcBorders>
            <w:shd w:val="clear" w:color="auto" w:fill="auto"/>
            <w:vAlign w:val="bottom"/>
          </w:tcPr>
          <w:p w14:paraId="092B4ED0" w14:textId="77777777" w:rsidR="00EC1C40" w:rsidRDefault="00000000">
            <w:pPr>
              <w:pStyle w:val="Jin0"/>
              <w:framePr w:w="7666" w:h="14698" w:wrap="none" w:vAnchor="page" w:hAnchor="page" w:x="1801" w:y="1392"/>
              <w:spacing w:after="0"/>
              <w:ind w:firstLine="420"/>
              <w:jc w:val="both"/>
              <w:rPr>
                <w:sz w:val="15"/>
                <w:szCs w:val="15"/>
              </w:rPr>
            </w:pPr>
            <w:r>
              <w:rPr>
                <w:sz w:val="15"/>
                <w:szCs w:val="15"/>
              </w:rPr>
              <w:t>1 037</w:t>
            </w:r>
          </w:p>
        </w:tc>
        <w:tc>
          <w:tcPr>
            <w:tcW w:w="835" w:type="dxa"/>
            <w:tcBorders>
              <w:top w:val="single" w:sz="4" w:space="0" w:color="auto"/>
              <w:left w:val="single" w:sz="4" w:space="0" w:color="auto"/>
            </w:tcBorders>
            <w:shd w:val="clear" w:color="auto" w:fill="auto"/>
          </w:tcPr>
          <w:p w14:paraId="5D7B38C8" w14:textId="77777777" w:rsidR="00EC1C40" w:rsidRDefault="00EC1C40">
            <w:pPr>
              <w:framePr w:w="7666" w:h="14698" w:wrap="none" w:vAnchor="page" w:hAnchor="page" w:x="1801" w:y="1392"/>
              <w:rPr>
                <w:sz w:val="10"/>
                <w:szCs w:val="10"/>
              </w:rPr>
            </w:pPr>
          </w:p>
        </w:tc>
        <w:tc>
          <w:tcPr>
            <w:tcW w:w="1037" w:type="dxa"/>
            <w:tcBorders>
              <w:top w:val="single" w:sz="4" w:space="0" w:color="auto"/>
              <w:left w:val="single" w:sz="4" w:space="0" w:color="auto"/>
            </w:tcBorders>
            <w:shd w:val="clear" w:color="auto" w:fill="auto"/>
            <w:vAlign w:val="bottom"/>
          </w:tcPr>
          <w:p w14:paraId="5B3E4BD6" w14:textId="77777777" w:rsidR="00EC1C40" w:rsidRDefault="00000000">
            <w:pPr>
              <w:pStyle w:val="Jin0"/>
              <w:framePr w:w="7666" w:h="14698" w:wrap="none" w:vAnchor="page" w:hAnchor="page" w:x="1801" w:y="1392"/>
              <w:spacing w:after="0"/>
              <w:ind w:firstLine="620"/>
              <w:jc w:val="both"/>
              <w:rPr>
                <w:sz w:val="15"/>
                <w:szCs w:val="15"/>
              </w:rPr>
            </w:pPr>
            <w:r>
              <w:rPr>
                <w:sz w:val="15"/>
                <w:szCs w:val="15"/>
              </w:rPr>
              <w:t>1 037</w:t>
            </w:r>
          </w:p>
        </w:tc>
        <w:tc>
          <w:tcPr>
            <w:tcW w:w="1214" w:type="dxa"/>
            <w:tcBorders>
              <w:top w:val="single" w:sz="4" w:space="0" w:color="auto"/>
              <w:left w:val="single" w:sz="4" w:space="0" w:color="auto"/>
            </w:tcBorders>
            <w:shd w:val="clear" w:color="auto" w:fill="auto"/>
            <w:vAlign w:val="bottom"/>
          </w:tcPr>
          <w:p w14:paraId="7FF04241" w14:textId="77777777" w:rsidR="00EC1C40" w:rsidRDefault="00000000">
            <w:pPr>
              <w:pStyle w:val="Jin0"/>
              <w:framePr w:w="7666" w:h="14698" w:wrap="none" w:vAnchor="page" w:hAnchor="page" w:x="1801" w:y="1392"/>
              <w:spacing w:after="0"/>
              <w:jc w:val="right"/>
              <w:rPr>
                <w:sz w:val="15"/>
                <w:szCs w:val="15"/>
              </w:rPr>
            </w:pPr>
            <w:r>
              <w:rPr>
                <w:sz w:val="15"/>
                <w:szCs w:val="15"/>
              </w:rPr>
              <w:t>70%</w:t>
            </w:r>
          </w:p>
        </w:tc>
        <w:tc>
          <w:tcPr>
            <w:tcW w:w="1104" w:type="dxa"/>
            <w:tcBorders>
              <w:top w:val="single" w:sz="4" w:space="0" w:color="auto"/>
              <w:left w:val="single" w:sz="4" w:space="0" w:color="auto"/>
              <w:right w:val="single" w:sz="4" w:space="0" w:color="auto"/>
            </w:tcBorders>
            <w:shd w:val="clear" w:color="auto" w:fill="auto"/>
            <w:vAlign w:val="bottom"/>
          </w:tcPr>
          <w:p w14:paraId="3F2ABEEF" w14:textId="77777777" w:rsidR="00EC1C40" w:rsidRDefault="00000000">
            <w:pPr>
              <w:pStyle w:val="Jin0"/>
              <w:framePr w:w="7666" w:h="14698" w:wrap="none" w:vAnchor="page" w:hAnchor="page" w:x="1801" w:y="1392"/>
              <w:spacing w:after="0"/>
              <w:jc w:val="right"/>
              <w:rPr>
                <w:sz w:val="15"/>
                <w:szCs w:val="15"/>
              </w:rPr>
            </w:pPr>
            <w:r>
              <w:rPr>
                <w:sz w:val="15"/>
                <w:szCs w:val="15"/>
              </w:rPr>
              <w:t>726</w:t>
            </w:r>
          </w:p>
        </w:tc>
      </w:tr>
      <w:tr w:rsidR="00EC1C40" w14:paraId="0A425782" w14:textId="77777777">
        <w:tblPrEx>
          <w:tblCellMar>
            <w:top w:w="0" w:type="dxa"/>
            <w:bottom w:w="0" w:type="dxa"/>
          </w:tblCellMar>
        </w:tblPrEx>
        <w:trPr>
          <w:trHeight w:hRule="exact" w:val="197"/>
        </w:trPr>
        <w:tc>
          <w:tcPr>
            <w:tcW w:w="2640" w:type="dxa"/>
            <w:tcBorders>
              <w:top w:val="single" w:sz="4" w:space="0" w:color="auto"/>
              <w:left w:val="single" w:sz="4" w:space="0" w:color="auto"/>
            </w:tcBorders>
            <w:shd w:val="clear" w:color="auto" w:fill="auto"/>
          </w:tcPr>
          <w:p w14:paraId="1E2A3854" w14:textId="77777777" w:rsidR="00EC1C40" w:rsidRDefault="00000000">
            <w:pPr>
              <w:pStyle w:val="Jin0"/>
              <w:framePr w:w="7666" w:h="14698" w:wrap="none" w:vAnchor="page" w:hAnchor="page" w:x="1801" w:y="1392"/>
              <w:spacing w:after="0"/>
              <w:jc w:val="both"/>
              <w:rPr>
                <w:sz w:val="15"/>
                <w:szCs w:val="15"/>
              </w:rPr>
            </w:pPr>
            <w:r>
              <w:rPr>
                <w:b/>
                <w:bCs/>
                <w:sz w:val="15"/>
                <w:szCs w:val="15"/>
              </w:rPr>
              <w:t>9NP</w:t>
            </w:r>
          </w:p>
        </w:tc>
        <w:tc>
          <w:tcPr>
            <w:tcW w:w="835" w:type="dxa"/>
            <w:tcBorders>
              <w:top w:val="single" w:sz="4" w:space="0" w:color="auto"/>
              <w:left w:val="single" w:sz="4" w:space="0" w:color="auto"/>
            </w:tcBorders>
            <w:shd w:val="clear" w:color="auto" w:fill="auto"/>
          </w:tcPr>
          <w:p w14:paraId="54BFB1BA" w14:textId="77777777" w:rsidR="00EC1C40" w:rsidRDefault="00000000">
            <w:pPr>
              <w:pStyle w:val="Jin0"/>
              <w:framePr w:w="7666" w:h="14698" w:wrap="none" w:vAnchor="page" w:hAnchor="page" w:x="1801" w:y="1392"/>
              <w:spacing w:after="0"/>
              <w:ind w:firstLine="420"/>
              <w:jc w:val="both"/>
              <w:rPr>
                <w:sz w:val="15"/>
                <w:szCs w:val="15"/>
              </w:rPr>
            </w:pPr>
            <w:r>
              <w:rPr>
                <w:b/>
                <w:bCs/>
                <w:sz w:val="15"/>
                <w:szCs w:val="15"/>
              </w:rPr>
              <w:t>6 927</w:t>
            </w:r>
          </w:p>
        </w:tc>
        <w:tc>
          <w:tcPr>
            <w:tcW w:w="835" w:type="dxa"/>
            <w:tcBorders>
              <w:top w:val="single" w:sz="4" w:space="0" w:color="auto"/>
              <w:left w:val="single" w:sz="4" w:space="0" w:color="auto"/>
            </w:tcBorders>
            <w:shd w:val="clear" w:color="auto" w:fill="auto"/>
          </w:tcPr>
          <w:p w14:paraId="591203C9" w14:textId="77777777" w:rsidR="00EC1C40" w:rsidRDefault="00EC1C40">
            <w:pPr>
              <w:framePr w:w="7666" w:h="14698" w:wrap="none" w:vAnchor="page" w:hAnchor="page" w:x="1801" w:y="1392"/>
              <w:rPr>
                <w:sz w:val="10"/>
                <w:szCs w:val="10"/>
              </w:rPr>
            </w:pPr>
          </w:p>
        </w:tc>
        <w:tc>
          <w:tcPr>
            <w:tcW w:w="1037" w:type="dxa"/>
            <w:tcBorders>
              <w:top w:val="single" w:sz="4" w:space="0" w:color="auto"/>
              <w:left w:val="single" w:sz="4" w:space="0" w:color="auto"/>
            </w:tcBorders>
            <w:shd w:val="clear" w:color="auto" w:fill="auto"/>
          </w:tcPr>
          <w:p w14:paraId="23282058" w14:textId="77777777" w:rsidR="00EC1C40" w:rsidRDefault="00EC1C40">
            <w:pPr>
              <w:framePr w:w="7666" w:h="14698" w:wrap="none" w:vAnchor="page" w:hAnchor="page" w:x="1801" w:y="1392"/>
              <w:rPr>
                <w:sz w:val="10"/>
                <w:szCs w:val="10"/>
              </w:rPr>
            </w:pPr>
          </w:p>
        </w:tc>
        <w:tc>
          <w:tcPr>
            <w:tcW w:w="1214" w:type="dxa"/>
            <w:tcBorders>
              <w:top w:val="single" w:sz="4" w:space="0" w:color="auto"/>
              <w:left w:val="single" w:sz="4" w:space="0" w:color="auto"/>
            </w:tcBorders>
            <w:shd w:val="clear" w:color="auto" w:fill="auto"/>
          </w:tcPr>
          <w:p w14:paraId="556DA024" w14:textId="77777777" w:rsidR="00EC1C40" w:rsidRDefault="00EC1C40">
            <w:pPr>
              <w:framePr w:w="7666" w:h="14698" w:wrap="none" w:vAnchor="page" w:hAnchor="page" w:x="1801" w:y="1392"/>
              <w:rPr>
                <w:sz w:val="10"/>
                <w:szCs w:val="10"/>
              </w:rPr>
            </w:pPr>
          </w:p>
        </w:tc>
        <w:tc>
          <w:tcPr>
            <w:tcW w:w="1104" w:type="dxa"/>
            <w:tcBorders>
              <w:top w:val="single" w:sz="4" w:space="0" w:color="auto"/>
              <w:left w:val="single" w:sz="4" w:space="0" w:color="auto"/>
              <w:right w:val="single" w:sz="4" w:space="0" w:color="auto"/>
            </w:tcBorders>
            <w:shd w:val="clear" w:color="auto" w:fill="auto"/>
          </w:tcPr>
          <w:p w14:paraId="69A56C8D" w14:textId="77777777" w:rsidR="00EC1C40" w:rsidRDefault="00EC1C40">
            <w:pPr>
              <w:framePr w:w="7666" w:h="14698" w:wrap="none" w:vAnchor="page" w:hAnchor="page" w:x="1801" w:y="1392"/>
              <w:rPr>
                <w:sz w:val="10"/>
                <w:szCs w:val="10"/>
              </w:rPr>
            </w:pPr>
          </w:p>
        </w:tc>
      </w:tr>
      <w:tr w:rsidR="00EC1C40" w14:paraId="2DE01D93" w14:textId="77777777">
        <w:tblPrEx>
          <w:tblCellMar>
            <w:top w:w="0" w:type="dxa"/>
            <w:bottom w:w="0" w:type="dxa"/>
          </w:tblCellMar>
        </w:tblPrEx>
        <w:trPr>
          <w:trHeight w:hRule="exact" w:val="192"/>
        </w:trPr>
        <w:tc>
          <w:tcPr>
            <w:tcW w:w="2640" w:type="dxa"/>
            <w:tcBorders>
              <w:top w:val="single" w:sz="4" w:space="0" w:color="auto"/>
              <w:left w:val="single" w:sz="4" w:space="0" w:color="auto"/>
            </w:tcBorders>
            <w:shd w:val="clear" w:color="auto" w:fill="auto"/>
          </w:tcPr>
          <w:p w14:paraId="2E23DA7D" w14:textId="77777777" w:rsidR="00EC1C40" w:rsidRDefault="00000000">
            <w:pPr>
              <w:pStyle w:val="Jin0"/>
              <w:framePr w:w="7666" w:h="14698" w:wrap="none" w:vAnchor="page" w:hAnchor="page" w:x="1801" w:y="1392"/>
              <w:spacing w:after="0"/>
              <w:jc w:val="both"/>
              <w:rPr>
                <w:sz w:val="15"/>
                <w:szCs w:val="15"/>
              </w:rPr>
            </w:pPr>
            <w:r>
              <w:rPr>
                <w:sz w:val="15"/>
                <w:szCs w:val="15"/>
              </w:rPr>
              <w:t>ARÉNA VEŘEJNOST</w:t>
            </w:r>
          </w:p>
        </w:tc>
        <w:tc>
          <w:tcPr>
            <w:tcW w:w="835" w:type="dxa"/>
            <w:tcBorders>
              <w:top w:val="single" w:sz="4" w:space="0" w:color="auto"/>
              <w:left w:val="single" w:sz="4" w:space="0" w:color="auto"/>
            </w:tcBorders>
            <w:shd w:val="clear" w:color="auto" w:fill="auto"/>
          </w:tcPr>
          <w:p w14:paraId="3081B318" w14:textId="77777777" w:rsidR="00EC1C40" w:rsidRDefault="00000000">
            <w:pPr>
              <w:pStyle w:val="Jin0"/>
              <w:framePr w:w="7666" w:h="14698" w:wrap="none" w:vAnchor="page" w:hAnchor="page" w:x="1801" w:y="1392"/>
              <w:spacing w:after="0"/>
              <w:ind w:firstLine="420"/>
              <w:jc w:val="both"/>
              <w:rPr>
                <w:sz w:val="15"/>
                <w:szCs w:val="15"/>
              </w:rPr>
            </w:pPr>
            <w:r>
              <w:rPr>
                <w:sz w:val="15"/>
                <w:szCs w:val="15"/>
              </w:rPr>
              <w:t>6 422</w:t>
            </w:r>
          </w:p>
        </w:tc>
        <w:tc>
          <w:tcPr>
            <w:tcW w:w="835" w:type="dxa"/>
            <w:tcBorders>
              <w:top w:val="single" w:sz="4" w:space="0" w:color="auto"/>
              <w:left w:val="single" w:sz="4" w:space="0" w:color="auto"/>
            </w:tcBorders>
            <w:shd w:val="clear" w:color="auto" w:fill="auto"/>
          </w:tcPr>
          <w:p w14:paraId="7AC076B5" w14:textId="77777777" w:rsidR="00EC1C40" w:rsidRDefault="00000000">
            <w:pPr>
              <w:pStyle w:val="Jin0"/>
              <w:framePr w:w="7666" w:h="14698" w:wrap="none" w:vAnchor="page" w:hAnchor="page" w:x="1801" w:y="1392"/>
              <w:spacing w:after="0"/>
              <w:ind w:firstLine="420"/>
              <w:jc w:val="both"/>
              <w:rPr>
                <w:sz w:val="15"/>
                <w:szCs w:val="15"/>
              </w:rPr>
            </w:pPr>
            <w:r>
              <w:rPr>
                <w:sz w:val="15"/>
                <w:szCs w:val="15"/>
              </w:rPr>
              <w:t>6 422</w:t>
            </w:r>
          </w:p>
        </w:tc>
        <w:tc>
          <w:tcPr>
            <w:tcW w:w="1037" w:type="dxa"/>
            <w:tcBorders>
              <w:top w:val="single" w:sz="4" w:space="0" w:color="auto"/>
              <w:left w:val="single" w:sz="4" w:space="0" w:color="auto"/>
            </w:tcBorders>
            <w:shd w:val="clear" w:color="auto" w:fill="auto"/>
          </w:tcPr>
          <w:p w14:paraId="4496F989" w14:textId="77777777" w:rsidR="00EC1C40" w:rsidRDefault="00EC1C40">
            <w:pPr>
              <w:framePr w:w="7666" w:h="14698" w:wrap="none" w:vAnchor="page" w:hAnchor="page" w:x="1801" w:y="1392"/>
              <w:rPr>
                <w:sz w:val="10"/>
                <w:szCs w:val="10"/>
              </w:rPr>
            </w:pPr>
          </w:p>
        </w:tc>
        <w:tc>
          <w:tcPr>
            <w:tcW w:w="1214" w:type="dxa"/>
            <w:tcBorders>
              <w:top w:val="single" w:sz="4" w:space="0" w:color="auto"/>
              <w:left w:val="single" w:sz="4" w:space="0" w:color="auto"/>
            </w:tcBorders>
            <w:shd w:val="clear" w:color="auto" w:fill="auto"/>
          </w:tcPr>
          <w:p w14:paraId="6EEFD94E" w14:textId="77777777" w:rsidR="00EC1C40" w:rsidRDefault="00EC1C40">
            <w:pPr>
              <w:framePr w:w="7666" w:h="14698" w:wrap="none" w:vAnchor="page" w:hAnchor="page" w:x="1801" w:y="1392"/>
              <w:rPr>
                <w:sz w:val="10"/>
                <w:szCs w:val="10"/>
              </w:rPr>
            </w:pPr>
          </w:p>
        </w:tc>
        <w:tc>
          <w:tcPr>
            <w:tcW w:w="1104" w:type="dxa"/>
            <w:tcBorders>
              <w:top w:val="single" w:sz="4" w:space="0" w:color="auto"/>
              <w:left w:val="single" w:sz="4" w:space="0" w:color="auto"/>
              <w:right w:val="single" w:sz="4" w:space="0" w:color="auto"/>
            </w:tcBorders>
            <w:shd w:val="clear" w:color="auto" w:fill="auto"/>
          </w:tcPr>
          <w:p w14:paraId="02706BB1" w14:textId="77777777" w:rsidR="00EC1C40" w:rsidRDefault="00EC1C40">
            <w:pPr>
              <w:framePr w:w="7666" w:h="14698" w:wrap="none" w:vAnchor="page" w:hAnchor="page" w:x="1801" w:y="1392"/>
              <w:rPr>
                <w:sz w:val="10"/>
                <w:szCs w:val="10"/>
              </w:rPr>
            </w:pPr>
          </w:p>
        </w:tc>
      </w:tr>
      <w:tr w:rsidR="00EC1C40" w14:paraId="1E051617" w14:textId="77777777">
        <w:tblPrEx>
          <w:tblCellMar>
            <w:top w:w="0" w:type="dxa"/>
            <w:bottom w:w="0" w:type="dxa"/>
          </w:tblCellMar>
        </w:tblPrEx>
        <w:trPr>
          <w:trHeight w:hRule="exact" w:val="197"/>
        </w:trPr>
        <w:tc>
          <w:tcPr>
            <w:tcW w:w="2640" w:type="dxa"/>
            <w:tcBorders>
              <w:top w:val="single" w:sz="4" w:space="0" w:color="auto"/>
              <w:left w:val="single" w:sz="4" w:space="0" w:color="auto"/>
            </w:tcBorders>
            <w:shd w:val="clear" w:color="auto" w:fill="auto"/>
          </w:tcPr>
          <w:p w14:paraId="09DB53B2" w14:textId="77777777" w:rsidR="00EC1C40" w:rsidRDefault="00000000">
            <w:pPr>
              <w:pStyle w:val="Jin0"/>
              <w:framePr w:w="7666" w:h="14698" w:wrap="none" w:vAnchor="page" w:hAnchor="page" w:x="1801" w:y="1392"/>
              <w:spacing w:after="0"/>
              <w:jc w:val="both"/>
              <w:rPr>
                <w:sz w:val="15"/>
                <w:szCs w:val="15"/>
              </w:rPr>
            </w:pPr>
            <w:r>
              <w:rPr>
                <w:sz w:val="15"/>
                <w:szCs w:val="15"/>
              </w:rPr>
              <w:t>ARÉNA ZÁZEMÍ</w:t>
            </w:r>
          </w:p>
        </w:tc>
        <w:tc>
          <w:tcPr>
            <w:tcW w:w="835" w:type="dxa"/>
            <w:tcBorders>
              <w:top w:val="single" w:sz="4" w:space="0" w:color="auto"/>
              <w:left w:val="single" w:sz="4" w:space="0" w:color="auto"/>
            </w:tcBorders>
            <w:shd w:val="clear" w:color="auto" w:fill="auto"/>
          </w:tcPr>
          <w:p w14:paraId="3E267C20" w14:textId="77777777" w:rsidR="00EC1C40" w:rsidRDefault="00000000">
            <w:pPr>
              <w:pStyle w:val="Jin0"/>
              <w:framePr w:w="7666" w:h="14698" w:wrap="none" w:vAnchor="page" w:hAnchor="page" w:x="1801" w:y="1392"/>
              <w:spacing w:after="0"/>
              <w:ind w:firstLine="540"/>
              <w:jc w:val="both"/>
              <w:rPr>
                <w:sz w:val="15"/>
                <w:szCs w:val="15"/>
              </w:rPr>
            </w:pPr>
            <w:r>
              <w:rPr>
                <w:sz w:val="15"/>
                <w:szCs w:val="15"/>
              </w:rPr>
              <w:t>505</w:t>
            </w:r>
          </w:p>
        </w:tc>
        <w:tc>
          <w:tcPr>
            <w:tcW w:w="835" w:type="dxa"/>
            <w:tcBorders>
              <w:top w:val="single" w:sz="4" w:space="0" w:color="auto"/>
              <w:left w:val="single" w:sz="4" w:space="0" w:color="auto"/>
            </w:tcBorders>
            <w:shd w:val="clear" w:color="auto" w:fill="auto"/>
          </w:tcPr>
          <w:p w14:paraId="6574B4C2" w14:textId="77777777" w:rsidR="00EC1C40" w:rsidRDefault="00000000">
            <w:pPr>
              <w:pStyle w:val="Jin0"/>
              <w:framePr w:w="7666" w:h="14698" w:wrap="none" w:vAnchor="page" w:hAnchor="page" w:x="1801" w:y="1392"/>
              <w:spacing w:after="0"/>
              <w:ind w:firstLine="540"/>
              <w:jc w:val="both"/>
              <w:rPr>
                <w:sz w:val="15"/>
                <w:szCs w:val="15"/>
              </w:rPr>
            </w:pPr>
            <w:r>
              <w:rPr>
                <w:sz w:val="15"/>
                <w:szCs w:val="15"/>
              </w:rPr>
              <w:t>505</w:t>
            </w:r>
          </w:p>
        </w:tc>
        <w:tc>
          <w:tcPr>
            <w:tcW w:w="1037" w:type="dxa"/>
            <w:tcBorders>
              <w:top w:val="single" w:sz="4" w:space="0" w:color="auto"/>
              <w:left w:val="single" w:sz="4" w:space="0" w:color="auto"/>
            </w:tcBorders>
            <w:shd w:val="clear" w:color="auto" w:fill="auto"/>
          </w:tcPr>
          <w:p w14:paraId="49476E36" w14:textId="77777777" w:rsidR="00EC1C40" w:rsidRDefault="00EC1C40">
            <w:pPr>
              <w:framePr w:w="7666" w:h="14698" w:wrap="none" w:vAnchor="page" w:hAnchor="page" w:x="1801" w:y="1392"/>
              <w:rPr>
                <w:sz w:val="10"/>
                <w:szCs w:val="10"/>
              </w:rPr>
            </w:pPr>
          </w:p>
        </w:tc>
        <w:tc>
          <w:tcPr>
            <w:tcW w:w="1214" w:type="dxa"/>
            <w:tcBorders>
              <w:top w:val="single" w:sz="4" w:space="0" w:color="auto"/>
              <w:left w:val="single" w:sz="4" w:space="0" w:color="auto"/>
            </w:tcBorders>
            <w:shd w:val="clear" w:color="auto" w:fill="auto"/>
          </w:tcPr>
          <w:p w14:paraId="545BF17F" w14:textId="77777777" w:rsidR="00EC1C40" w:rsidRDefault="00EC1C40">
            <w:pPr>
              <w:framePr w:w="7666" w:h="14698" w:wrap="none" w:vAnchor="page" w:hAnchor="page" w:x="1801" w:y="1392"/>
              <w:rPr>
                <w:sz w:val="10"/>
                <w:szCs w:val="10"/>
              </w:rPr>
            </w:pPr>
          </w:p>
        </w:tc>
        <w:tc>
          <w:tcPr>
            <w:tcW w:w="1104" w:type="dxa"/>
            <w:tcBorders>
              <w:top w:val="single" w:sz="4" w:space="0" w:color="auto"/>
              <w:left w:val="single" w:sz="4" w:space="0" w:color="auto"/>
              <w:right w:val="single" w:sz="4" w:space="0" w:color="auto"/>
            </w:tcBorders>
            <w:shd w:val="clear" w:color="auto" w:fill="auto"/>
          </w:tcPr>
          <w:p w14:paraId="664C73D8" w14:textId="77777777" w:rsidR="00EC1C40" w:rsidRDefault="00EC1C40">
            <w:pPr>
              <w:framePr w:w="7666" w:h="14698" w:wrap="none" w:vAnchor="page" w:hAnchor="page" w:x="1801" w:y="1392"/>
              <w:rPr>
                <w:sz w:val="10"/>
                <w:szCs w:val="10"/>
              </w:rPr>
            </w:pPr>
          </w:p>
        </w:tc>
      </w:tr>
      <w:tr w:rsidR="00EC1C40" w14:paraId="4C459840" w14:textId="77777777">
        <w:tblPrEx>
          <w:tblCellMar>
            <w:top w:w="0" w:type="dxa"/>
            <w:bottom w:w="0" w:type="dxa"/>
          </w:tblCellMar>
        </w:tblPrEx>
        <w:trPr>
          <w:trHeight w:hRule="exact" w:val="192"/>
        </w:trPr>
        <w:tc>
          <w:tcPr>
            <w:tcW w:w="2640" w:type="dxa"/>
            <w:tcBorders>
              <w:top w:val="single" w:sz="4" w:space="0" w:color="auto"/>
              <w:left w:val="single" w:sz="4" w:space="0" w:color="auto"/>
            </w:tcBorders>
            <w:shd w:val="clear" w:color="auto" w:fill="auto"/>
          </w:tcPr>
          <w:p w14:paraId="442D240E" w14:textId="77777777" w:rsidR="00EC1C40" w:rsidRDefault="00000000">
            <w:pPr>
              <w:pStyle w:val="Jin0"/>
              <w:framePr w:w="7666" w:h="14698" w:wrap="none" w:vAnchor="page" w:hAnchor="page" w:x="1801" w:y="1392"/>
              <w:spacing w:after="0"/>
              <w:rPr>
                <w:sz w:val="15"/>
                <w:szCs w:val="15"/>
              </w:rPr>
            </w:pPr>
            <w:r>
              <w:rPr>
                <w:b/>
                <w:bCs/>
                <w:sz w:val="15"/>
                <w:szCs w:val="15"/>
              </w:rPr>
              <w:t>10NP</w:t>
            </w:r>
          </w:p>
        </w:tc>
        <w:tc>
          <w:tcPr>
            <w:tcW w:w="835" w:type="dxa"/>
            <w:tcBorders>
              <w:top w:val="single" w:sz="4" w:space="0" w:color="auto"/>
              <w:left w:val="single" w:sz="4" w:space="0" w:color="auto"/>
            </w:tcBorders>
            <w:shd w:val="clear" w:color="auto" w:fill="auto"/>
          </w:tcPr>
          <w:p w14:paraId="12CD13AA" w14:textId="77777777" w:rsidR="00EC1C40" w:rsidRDefault="00000000">
            <w:pPr>
              <w:pStyle w:val="Jin0"/>
              <w:framePr w:w="7666" w:h="14698" w:wrap="none" w:vAnchor="page" w:hAnchor="page" w:x="1801" w:y="1392"/>
              <w:spacing w:after="0"/>
              <w:ind w:firstLine="420"/>
              <w:jc w:val="both"/>
              <w:rPr>
                <w:sz w:val="15"/>
                <w:szCs w:val="15"/>
              </w:rPr>
            </w:pPr>
            <w:r>
              <w:rPr>
                <w:b/>
                <w:bCs/>
                <w:sz w:val="15"/>
                <w:szCs w:val="15"/>
              </w:rPr>
              <w:t>5 445</w:t>
            </w:r>
          </w:p>
        </w:tc>
        <w:tc>
          <w:tcPr>
            <w:tcW w:w="835" w:type="dxa"/>
            <w:tcBorders>
              <w:top w:val="single" w:sz="4" w:space="0" w:color="auto"/>
              <w:left w:val="single" w:sz="4" w:space="0" w:color="auto"/>
            </w:tcBorders>
            <w:shd w:val="clear" w:color="auto" w:fill="auto"/>
          </w:tcPr>
          <w:p w14:paraId="60782DC8" w14:textId="77777777" w:rsidR="00EC1C40" w:rsidRDefault="00EC1C40">
            <w:pPr>
              <w:framePr w:w="7666" w:h="14698" w:wrap="none" w:vAnchor="page" w:hAnchor="page" w:x="1801" w:y="1392"/>
              <w:rPr>
                <w:sz w:val="10"/>
                <w:szCs w:val="10"/>
              </w:rPr>
            </w:pPr>
          </w:p>
        </w:tc>
        <w:tc>
          <w:tcPr>
            <w:tcW w:w="1037" w:type="dxa"/>
            <w:tcBorders>
              <w:top w:val="single" w:sz="4" w:space="0" w:color="auto"/>
              <w:left w:val="single" w:sz="4" w:space="0" w:color="auto"/>
            </w:tcBorders>
            <w:shd w:val="clear" w:color="auto" w:fill="auto"/>
          </w:tcPr>
          <w:p w14:paraId="7D81475D" w14:textId="77777777" w:rsidR="00EC1C40" w:rsidRDefault="00EC1C40">
            <w:pPr>
              <w:framePr w:w="7666" w:h="14698" w:wrap="none" w:vAnchor="page" w:hAnchor="page" w:x="1801" w:y="1392"/>
              <w:rPr>
                <w:sz w:val="10"/>
                <w:szCs w:val="10"/>
              </w:rPr>
            </w:pPr>
          </w:p>
        </w:tc>
        <w:tc>
          <w:tcPr>
            <w:tcW w:w="1214" w:type="dxa"/>
            <w:tcBorders>
              <w:top w:val="single" w:sz="4" w:space="0" w:color="auto"/>
              <w:left w:val="single" w:sz="4" w:space="0" w:color="auto"/>
            </w:tcBorders>
            <w:shd w:val="clear" w:color="auto" w:fill="auto"/>
          </w:tcPr>
          <w:p w14:paraId="639BC8B3" w14:textId="77777777" w:rsidR="00EC1C40" w:rsidRDefault="00EC1C40">
            <w:pPr>
              <w:framePr w:w="7666" w:h="14698" w:wrap="none" w:vAnchor="page" w:hAnchor="page" w:x="1801" w:y="1392"/>
              <w:rPr>
                <w:sz w:val="10"/>
                <w:szCs w:val="10"/>
              </w:rPr>
            </w:pPr>
          </w:p>
        </w:tc>
        <w:tc>
          <w:tcPr>
            <w:tcW w:w="1104" w:type="dxa"/>
            <w:tcBorders>
              <w:top w:val="single" w:sz="4" w:space="0" w:color="auto"/>
              <w:left w:val="single" w:sz="4" w:space="0" w:color="auto"/>
              <w:right w:val="single" w:sz="4" w:space="0" w:color="auto"/>
            </w:tcBorders>
            <w:shd w:val="clear" w:color="auto" w:fill="auto"/>
          </w:tcPr>
          <w:p w14:paraId="6A6F5610" w14:textId="77777777" w:rsidR="00EC1C40" w:rsidRDefault="00EC1C40">
            <w:pPr>
              <w:framePr w:w="7666" w:h="14698" w:wrap="none" w:vAnchor="page" w:hAnchor="page" w:x="1801" w:y="1392"/>
              <w:rPr>
                <w:sz w:val="10"/>
                <w:szCs w:val="10"/>
              </w:rPr>
            </w:pPr>
          </w:p>
        </w:tc>
      </w:tr>
      <w:tr w:rsidR="00EC1C40" w14:paraId="39F32103" w14:textId="77777777">
        <w:tblPrEx>
          <w:tblCellMar>
            <w:top w:w="0" w:type="dxa"/>
            <w:bottom w:w="0" w:type="dxa"/>
          </w:tblCellMar>
        </w:tblPrEx>
        <w:trPr>
          <w:trHeight w:hRule="exact" w:val="197"/>
        </w:trPr>
        <w:tc>
          <w:tcPr>
            <w:tcW w:w="2640" w:type="dxa"/>
            <w:tcBorders>
              <w:top w:val="single" w:sz="4" w:space="0" w:color="auto"/>
              <w:left w:val="single" w:sz="4" w:space="0" w:color="auto"/>
            </w:tcBorders>
            <w:shd w:val="clear" w:color="auto" w:fill="auto"/>
          </w:tcPr>
          <w:p w14:paraId="24EEB36E" w14:textId="77777777" w:rsidR="00EC1C40" w:rsidRDefault="00000000">
            <w:pPr>
              <w:pStyle w:val="Jin0"/>
              <w:framePr w:w="7666" w:h="14698" w:wrap="none" w:vAnchor="page" w:hAnchor="page" w:x="1801" w:y="1392"/>
              <w:spacing w:after="0"/>
              <w:jc w:val="both"/>
              <w:rPr>
                <w:sz w:val="15"/>
                <w:szCs w:val="15"/>
              </w:rPr>
            </w:pPr>
            <w:r>
              <w:rPr>
                <w:sz w:val="15"/>
                <w:szCs w:val="15"/>
              </w:rPr>
              <w:t>ARÉNA VEŘEJNOST</w:t>
            </w:r>
          </w:p>
        </w:tc>
        <w:tc>
          <w:tcPr>
            <w:tcW w:w="835" w:type="dxa"/>
            <w:tcBorders>
              <w:top w:val="single" w:sz="4" w:space="0" w:color="auto"/>
              <w:left w:val="single" w:sz="4" w:space="0" w:color="auto"/>
            </w:tcBorders>
            <w:shd w:val="clear" w:color="auto" w:fill="auto"/>
          </w:tcPr>
          <w:p w14:paraId="7466572D" w14:textId="77777777" w:rsidR="00EC1C40" w:rsidRDefault="00000000">
            <w:pPr>
              <w:pStyle w:val="Jin0"/>
              <w:framePr w:w="7666" w:h="14698" w:wrap="none" w:vAnchor="page" w:hAnchor="page" w:x="1801" w:y="1392"/>
              <w:spacing w:after="0"/>
              <w:ind w:firstLine="420"/>
              <w:jc w:val="both"/>
              <w:rPr>
                <w:sz w:val="15"/>
                <w:szCs w:val="15"/>
              </w:rPr>
            </w:pPr>
            <w:r>
              <w:rPr>
                <w:sz w:val="15"/>
                <w:szCs w:val="15"/>
              </w:rPr>
              <w:t>3 425</w:t>
            </w:r>
          </w:p>
        </w:tc>
        <w:tc>
          <w:tcPr>
            <w:tcW w:w="835" w:type="dxa"/>
            <w:tcBorders>
              <w:top w:val="single" w:sz="4" w:space="0" w:color="auto"/>
              <w:left w:val="single" w:sz="4" w:space="0" w:color="auto"/>
            </w:tcBorders>
            <w:shd w:val="clear" w:color="auto" w:fill="auto"/>
          </w:tcPr>
          <w:p w14:paraId="152B5FD9" w14:textId="77777777" w:rsidR="00EC1C40" w:rsidRDefault="00000000">
            <w:pPr>
              <w:pStyle w:val="Jin0"/>
              <w:framePr w:w="7666" w:h="14698" w:wrap="none" w:vAnchor="page" w:hAnchor="page" w:x="1801" w:y="1392"/>
              <w:spacing w:after="0"/>
              <w:ind w:firstLine="420"/>
              <w:jc w:val="both"/>
              <w:rPr>
                <w:sz w:val="15"/>
                <w:szCs w:val="15"/>
              </w:rPr>
            </w:pPr>
            <w:r>
              <w:rPr>
                <w:sz w:val="15"/>
                <w:szCs w:val="15"/>
              </w:rPr>
              <w:t>3 425</w:t>
            </w:r>
          </w:p>
        </w:tc>
        <w:tc>
          <w:tcPr>
            <w:tcW w:w="1037" w:type="dxa"/>
            <w:tcBorders>
              <w:top w:val="single" w:sz="4" w:space="0" w:color="auto"/>
              <w:left w:val="single" w:sz="4" w:space="0" w:color="auto"/>
            </w:tcBorders>
            <w:shd w:val="clear" w:color="auto" w:fill="auto"/>
          </w:tcPr>
          <w:p w14:paraId="3C08BD1B" w14:textId="77777777" w:rsidR="00EC1C40" w:rsidRDefault="00EC1C40">
            <w:pPr>
              <w:framePr w:w="7666" w:h="14698" w:wrap="none" w:vAnchor="page" w:hAnchor="page" w:x="1801" w:y="1392"/>
              <w:rPr>
                <w:sz w:val="10"/>
                <w:szCs w:val="10"/>
              </w:rPr>
            </w:pPr>
          </w:p>
        </w:tc>
        <w:tc>
          <w:tcPr>
            <w:tcW w:w="1214" w:type="dxa"/>
            <w:tcBorders>
              <w:top w:val="single" w:sz="4" w:space="0" w:color="auto"/>
              <w:left w:val="single" w:sz="4" w:space="0" w:color="auto"/>
            </w:tcBorders>
            <w:shd w:val="clear" w:color="auto" w:fill="auto"/>
          </w:tcPr>
          <w:p w14:paraId="364B9445" w14:textId="77777777" w:rsidR="00EC1C40" w:rsidRDefault="00EC1C40">
            <w:pPr>
              <w:framePr w:w="7666" w:h="14698" w:wrap="none" w:vAnchor="page" w:hAnchor="page" w:x="1801" w:y="1392"/>
              <w:rPr>
                <w:sz w:val="10"/>
                <w:szCs w:val="10"/>
              </w:rPr>
            </w:pPr>
          </w:p>
        </w:tc>
        <w:tc>
          <w:tcPr>
            <w:tcW w:w="1104" w:type="dxa"/>
            <w:tcBorders>
              <w:top w:val="single" w:sz="4" w:space="0" w:color="auto"/>
              <w:left w:val="single" w:sz="4" w:space="0" w:color="auto"/>
              <w:right w:val="single" w:sz="4" w:space="0" w:color="auto"/>
            </w:tcBorders>
            <w:shd w:val="clear" w:color="auto" w:fill="auto"/>
          </w:tcPr>
          <w:p w14:paraId="0C83DE48" w14:textId="77777777" w:rsidR="00EC1C40" w:rsidRDefault="00EC1C40">
            <w:pPr>
              <w:framePr w:w="7666" w:h="14698" w:wrap="none" w:vAnchor="page" w:hAnchor="page" w:x="1801" w:y="1392"/>
              <w:rPr>
                <w:sz w:val="10"/>
                <w:szCs w:val="10"/>
              </w:rPr>
            </w:pPr>
          </w:p>
        </w:tc>
      </w:tr>
      <w:tr w:rsidR="00EC1C40" w14:paraId="4F73D9B6" w14:textId="77777777">
        <w:tblPrEx>
          <w:tblCellMar>
            <w:top w:w="0" w:type="dxa"/>
            <w:bottom w:w="0" w:type="dxa"/>
          </w:tblCellMar>
        </w:tblPrEx>
        <w:trPr>
          <w:trHeight w:hRule="exact" w:val="192"/>
        </w:trPr>
        <w:tc>
          <w:tcPr>
            <w:tcW w:w="2640" w:type="dxa"/>
            <w:tcBorders>
              <w:top w:val="single" w:sz="4" w:space="0" w:color="auto"/>
              <w:left w:val="single" w:sz="4" w:space="0" w:color="auto"/>
            </w:tcBorders>
            <w:shd w:val="clear" w:color="auto" w:fill="auto"/>
          </w:tcPr>
          <w:p w14:paraId="3F46340D" w14:textId="77777777" w:rsidR="00EC1C40" w:rsidRDefault="00000000">
            <w:pPr>
              <w:pStyle w:val="Jin0"/>
              <w:framePr w:w="7666" w:h="14698" w:wrap="none" w:vAnchor="page" w:hAnchor="page" w:x="1801" w:y="1392"/>
              <w:spacing w:after="0"/>
              <w:jc w:val="both"/>
              <w:rPr>
                <w:sz w:val="15"/>
                <w:szCs w:val="15"/>
              </w:rPr>
            </w:pPr>
            <w:r>
              <w:rPr>
                <w:sz w:val="15"/>
                <w:szCs w:val="15"/>
              </w:rPr>
              <w:t>ARÉNA ZÁZEMÍ</w:t>
            </w:r>
          </w:p>
        </w:tc>
        <w:tc>
          <w:tcPr>
            <w:tcW w:w="835" w:type="dxa"/>
            <w:tcBorders>
              <w:top w:val="single" w:sz="4" w:space="0" w:color="auto"/>
              <w:left w:val="single" w:sz="4" w:space="0" w:color="auto"/>
            </w:tcBorders>
            <w:shd w:val="clear" w:color="auto" w:fill="auto"/>
          </w:tcPr>
          <w:p w14:paraId="0347A6E6" w14:textId="77777777" w:rsidR="00EC1C40" w:rsidRDefault="00000000">
            <w:pPr>
              <w:pStyle w:val="Jin0"/>
              <w:framePr w:w="7666" w:h="14698" w:wrap="none" w:vAnchor="page" w:hAnchor="page" w:x="1801" w:y="1392"/>
              <w:spacing w:after="0"/>
              <w:ind w:firstLine="420"/>
              <w:jc w:val="both"/>
              <w:rPr>
                <w:sz w:val="15"/>
                <w:szCs w:val="15"/>
              </w:rPr>
            </w:pPr>
            <w:r>
              <w:rPr>
                <w:sz w:val="15"/>
                <w:szCs w:val="15"/>
              </w:rPr>
              <w:t>2 020</w:t>
            </w:r>
          </w:p>
        </w:tc>
        <w:tc>
          <w:tcPr>
            <w:tcW w:w="835" w:type="dxa"/>
            <w:tcBorders>
              <w:top w:val="single" w:sz="4" w:space="0" w:color="auto"/>
              <w:left w:val="single" w:sz="4" w:space="0" w:color="auto"/>
            </w:tcBorders>
            <w:shd w:val="clear" w:color="auto" w:fill="auto"/>
          </w:tcPr>
          <w:p w14:paraId="6EDA86AA" w14:textId="77777777" w:rsidR="00EC1C40" w:rsidRDefault="00000000">
            <w:pPr>
              <w:pStyle w:val="Jin0"/>
              <w:framePr w:w="7666" w:h="14698" w:wrap="none" w:vAnchor="page" w:hAnchor="page" w:x="1801" w:y="1392"/>
              <w:spacing w:after="0"/>
              <w:ind w:firstLine="420"/>
              <w:jc w:val="both"/>
              <w:rPr>
                <w:sz w:val="15"/>
                <w:szCs w:val="15"/>
              </w:rPr>
            </w:pPr>
            <w:r>
              <w:rPr>
                <w:sz w:val="15"/>
                <w:szCs w:val="15"/>
              </w:rPr>
              <w:t>2 020</w:t>
            </w:r>
          </w:p>
        </w:tc>
        <w:tc>
          <w:tcPr>
            <w:tcW w:w="1037" w:type="dxa"/>
            <w:tcBorders>
              <w:top w:val="single" w:sz="4" w:space="0" w:color="auto"/>
              <w:left w:val="single" w:sz="4" w:space="0" w:color="auto"/>
            </w:tcBorders>
            <w:shd w:val="clear" w:color="auto" w:fill="auto"/>
          </w:tcPr>
          <w:p w14:paraId="506D220B" w14:textId="77777777" w:rsidR="00EC1C40" w:rsidRDefault="00EC1C40">
            <w:pPr>
              <w:framePr w:w="7666" w:h="14698" w:wrap="none" w:vAnchor="page" w:hAnchor="page" w:x="1801" w:y="1392"/>
              <w:rPr>
                <w:sz w:val="10"/>
                <w:szCs w:val="10"/>
              </w:rPr>
            </w:pPr>
          </w:p>
        </w:tc>
        <w:tc>
          <w:tcPr>
            <w:tcW w:w="1214" w:type="dxa"/>
            <w:tcBorders>
              <w:top w:val="single" w:sz="4" w:space="0" w:color="auto"/>
              <w:left w:val="single" w:sz="4" w:space="0" w:color="auto"/>
            </w:tcBorders>
            <w:shd w:val="clear" w:color="auto" w:fill="auto"/>
          </w:tcPr>
          <w:p w14:paraId="05BFDB56" w14:textId="77777777" w:rsidR="00EC1C40" w:rsidRDefault="00EC1C40">
            <w:pPr>
              <w:framePr w:w="7666" w:h="14698" w:wrap="none" w:vAnchor="page" w:hAnchor="page" w:x="1801" w:y="1392"/>
              <w:rPr>
                <w:sz w:val="10"/>
                <w:szCs w:val="10"/>
              </w:rPr>
            </w:pPr>
          </w:p>
        </w:tc>
        <w:tc>
          <w:tcPr>
            <w:tcW w:w="1104" w:type="dxa"/>
            <w:tcBorders>
              <w:top w:val="single" w:sz="4" w:space="0" w:color="auto"/>
              <w:left w:val="single" w:sz="4" w:space="0" w:color="auto"/>
              <w:right w:val="single" w:sz="4" w:space="0" w:color="auto"/>
            </w:tcBorders>
            <w:shd w:val="clear" w:color="auto" w:fill="auto"/>
          </w:tcPr>
          <w:p w14:paraId="2C4E35D4" w14:textId="77777777" w:rsidR="00EC1C40" w:rsidRDefault="00EC1C40">
            <w:pPr>
              <w:framePr w:w="7666" w:h="14698" w:wrap="none" w:vAnchor="page" w:hAnchor="page" w:x="1801" w:y="1392"/>
              <w:rPr>
                <w:sz w:val="10"/>
                <w:szCs w:val="10"/>
              </w:rPr>
            </w:pPr>
          </w:p>
        </w:tc>
      </w:tr>
      <w:tr w:rsidR="00EC1C40" w14:paraId="1600BBAE" w14:textId="77777777">
        <w:tblPrEx>
          <w:tblCellMar>
            <w:top w:w="0" w:type="dxa"/>
            <w:bottom w:w="0" w:type="dxa"/>
          </w:tblCellMar>
        </w:tblPrEx>
        <w:trPr>
          <w:trHeight w:hRule="exact" w:val="197"/>
        </w:trPr>
        <w:tc>
          <w:tcPr>
            <w:tcW w:w="2640" w:type="dxa"/>
            <w:tcBorders>
              <w:top w:val="single" w:sz="4" w:space="0" w:color="auto"/>
              <w:left w:val="single" w:sz="4" w:space="0" w:color="auto"/>
            </w:tcBorders>
            <w:shd w:val="clear" w:color="auto" w:fill="auto"/>
            <w:vAlign w:val="bottom"/>
          </w:tcPr>
          <w:p w14:paraId="2A73F0D6" w14:textId="77777777" w:rsidR="00EC1C40" w:rsidRDefault="00000000">
            <w:pPr>
              <w:pStyle w:val="Jin0"/>
              <w:framePr w:w="7666" w:h="14698" w:wrap="none" w:vAnchor="page" w:hAnchor="page" w:x="1801" w:y="1392"/>
              <w:spacing w:after="0"/>
              <w:rPr>
                <w:sz w:val="15"/>
                <w:szCs w:val="15"/>
              </w:rPr>
            </w:pPr>
            <w:r>
              <w:rPr>
                <w:b/>
                <w:bCs/>
                <w:sz w:val="15"/>
                <w:szCs w:val="15"/>
              </w:rPr>
              <w:t>11NP</w:t>
            </w:r>
          </w:p>
        </w:tc>
        <w:tc>
          <w:tcPr>
            <w:tcW w:w="835" w:type="dxa"/>
            <w:tcBorders>
              <w:top w:val="single" w:sz="4" w:space="0" w:color="auto"/>
              <w:left w:val="single" w:sz="4" w:space="0" w:color="auto"/>
            </w:tcBorders>
            <w:shd w:val="clear" w:color="auto" w:fill="auto"/>
            <w:vAlign w:val="bottom"/>
          </w:tcPr>
          <w:p w14:paraId="3CEB13CA" w14:textId="77777777" w:rsidR="00EC1C40" w:rsidRDefault="00000000">
            <w:pPr>
              <w:pStyle w:val="Jin0"/>
              <w:framePr w:w="7666" w:h="14698" w:wrap="none" w:vAnchor="page" w:hAnchor="page" w:x="1801" w:y="1392"/>
              <w:spacing w:after="0"/>
              <w:ind w:firstLine="420"/>
              <w:jc w:val="both"/>
              <w:rPr>
                <w:sz w:val="15"/>
                <w:szCs w:val="15"/>
              </w:rPr>
            </w:pPr>
            <w:r>
              <w:rPr>
                <w:b/>
                <w:bCs/>
                <w:sz w:val="15"/>
                <w:szCs w:val="15"/>
              </w:rPr>
              <w:t>1 344</w:t>
            </w:r>
          </w:p>
        </w:tc>
        <w:tc>
          <w:tcPr>
            <w:tcW w:w="835" w:type="dxa"/>
            <w:tcBorders>
              <w:top w:val="single" w:sz="4" w:space="0" w:color="auto"/>
              <w:left w:val="single" w:sz="4" w:space="0" w:color="auto"/>
            </w:tcBorders>
            <w:shd w:val="clear" w:color="auto" w:fill="auto"/>
          </w:tcPr>
          <w:p w14:paraId="21630241" w14:textId="77777777" w:rsidR="00EC1C40" w:rsidRDefault="00EC1C40">
            <w:pPr>
              <w:framePr w:w="7666" w:h="14698" w:wrap="none" w:vAnchor="page" w:hAnchor="page" w:x="1801" w:y="1392"/>
              <w:rPr>
                <w:sz w:val="10"/>
                <w:szCs w:val="10"/>
              </w:rPr>
            </w:pPr>
          </w:p>
        </w:tc>
        <w:tc>
          <w:tcPr>
            <w:tcW w:w="1037" w:type="dxa"/>
            <w:tcBorders>
              <w:top w:val="single" w:sz="4" w:space="0" w:color="auto"/>
              <w:left w:val="single" w:sz="4" w:space="0" w:color="auto"/>
            </w:tcBorders>
            <w:shd w:val="clear" w:color="auto" w:fill="auto"/>
          </w:tcPr>
          <w:p w14:paraId="6E5A313B" w14:textId="77777777" w:rsidR="00EC1C40" w:rsidRDefault="00EC1C40">
            <w:pPr>
              <w:framePr w:w="7666" w:h="14698" w:wrap="none" w:vAnchor="page" w:hAnchor="page" w:x="1801" w:y="1392"/>
              <w:rPr>
                <w:sz w:val="10"/>
                <w:szCs w:val="10"/>
              </w:rPr>
            </w:pPr>
          </w:p>
        </w:tc>
        <w:tc>
          <w:tcPr>
            <w:tcW w:w="1214" w:type="dxa"/>
            <w:tcBorders>
              <w:top w:val="single" w:sz="4" w:space="0" w:color="auto"/>
              <w:left w:val="single" w:sz="4" w:space="0" w:color="auto"/>
            </w:tcBorders>
            <w:shd w:val="clear" w:color="auto" w:fill="auto"/>
          </w:tcPr>
          <w:p w14:paraId="151F986D" w14:textId="77777777" w:rsidR="00EC1C40" w:rsidRDefault="00EC1C40">
            <w:pPr>
              <w:framePr w:w="7666" w:h="14698" w:wrap="none" w:vAnchor="page" w:hAnchor="page" w:x="1801" w:y="1392"/>
              <w:rPr>
                <w:sz w:val="10"/>
                <w:szCs w:val="10"/>
              </w:rPr>
            </w:pPr>
          </w:p>
        </w:tc>
        <w:tc>
          <w:tcPr>
            <w:tcW w:w="1104" w:type="dxa"/>
            <w:tcBorders>
              <w:top w:val="single" w:sz="4" w:space="0" w:color="auto"/>
              <w:left w:val="single" w:sz="4" w:space="0" w:color="auto"/>
              <w:right w:val="single" w:sz="4" w:space="0" w:color="auto"/>
            </w:tcBorders>
            <w:shd w:val="clear" w:color="auto" w:fill="auto"/>
          </w:tcPr>
          <w:p w14:paraId="782747F7" w14:textId="77777777" w:rsidR="00EC1C40" w:rsidRDefault="00EC1C40">
            <w:pPr>
              <w:framePr w:w="7666" w:h="14698" w:wrap="none" w:vAnchor="page" w:hAnchor="page" w:x="1801" w:y="1392"/>
              <w:rPr>
                <w:sz w:val="10"/>
                <w:szCs w:val="10"/>
              </w:rPr>
            </w:pPr>
          </w:p>
        </w:tc>
      </w:tr>
      <w:tr w:rsidR="00EC1C40" w14:paraId="41C9CF15" w14:textId="77777777">
        <w:tblPrEx>
          <w:tblCellMar>
            <w:top w:w="0" w:type="dxa"/>
            <w:bottom w:w="0" w:type="dxa"/>
          </w:tblCellMar>
        </w:tblPrEx>
        <w:trPr>
          <w:trHeight w:hRule="exact" w:val="197"/>
        </w:trPr>
        <w:tc>
          <w:tcPr>
            <w:tcW w:w="2640" w:type="dxa"/>
            <w:tcBorders>
              <w:top w:val="single" w:sz="4" w:space="0" w:color="auto"/>
              <w:left w:val="single" w:sz="4" w:space="0" w:color="auto"/>
            </w:tcBorders>
            <w:shd w:val="clear" w:color="auto" w:fill="auto"/>
          </w:tcPr>
          <w:p w14:paraId="352CB9E2" w14:textId="77777777" w:rsidR="00EC1C40" w:rsidRDefault="00000000">
            <w:pPr>
              <w:pStyle w:val="Jin0"/>
              <w:framePr w:w="7666" w:h="14698" w:wrap="none" w:vAnchor="page" w:hAnchor="page" w:x="1801" w:y="1392"/>
              <w:spacing w:after="0"/>
              <w:jc w:val="both"/>
              <w:rPr>
                <w:sz w:val="15"/>
                <w:szCs w:val="15"/>
              </w:rPr>
            </w:pPr>
            <w:r>
              <w:rPr>
                <w:sz w:val="15"/>
                <w:szCs w:val="15"/>
              </w:rPr>
              <w:t>ARÉNA VEŘEJNOST</w:t>
            </w:r>
          </w:p>
        </w:tc>
        <w:tc>
          <w:tcPr>
            <w:tcW w:w="835" w:type="dxa"/>
            <w:tcBorders>
              <w:top w:val="single" w:sz="4" w:space="0" w:color="auto"/>
              <w:left w:val="single" w:sz="4" w:space="0" w:color="auto"/>
            </w:tcBorders>
            <w:shd w:val="clear" w:color="auto" w:fill="auto"/>
          </w:tcPr>
          <w:p w14:paraId="0FE3EB5F" w14:textId="77777777" w:rsidR="00EC1C40" w:rsidRDefault="00000000">
            <w:pPr>
              <w:pStyle w:val="Jin0"/>
              <w:framePr w:w="7666" w:h="14698" w:wrap="none" w:vAnchor="page" w:hAnchor="page" w:x="1801" w:y="1392"/>
              <w:spacing w:after="0"/>
              <w:ind w:firstLine="540"/>
              <w:jc w:val="both"/>
              <w:rPr>
                <w:sz w:val="15"/>
                <w:szCs w:val="15"/>
              </w:rPr>
            </w:pPr>
            <w:r>
              <w:rPr>
                <w:sz w:val="15"/>
                <w:szCs w:val="15"/>
              </w:rPr>
              <w:t>373</w:t>
            </w:r>
          </w:p>
        </w:tc>
        <w:tc>
          <w:tcPr>
            <w:tcW w:w="835" w:type="dxa"/>
            <w:tcBorders>
              <w:top w:val="single" w:sz="4" w:space="0" w:color="auto"/>
              <w:left w:val="single" w:sz="4" w:space="0" w:color="auto"/>
            </w:tcBorders>
            <w:shd w:val="clear" w:color="auto" w:fill="auto"/>
          </w:tcPr>
          <w:p w14:paraId="35C94DF0" w14:textId="77777777" w:rsidR="00EC1C40" w:rsidRDefault="00000000">
            <w:pPr>
              <w:pStyle w:val="Jin0"/>
              <w:framePr w:w="7666" w:h="14698" w:wrap="none" w:vAnchor="page" w:hAnchor="page" w:x="1801" w:y="1392"/>
              <w:spacing w:after="0"/>
              <w:ind w:firstLine="540"/>
              <w:jc w:val="both"/>
              <w:rPr>
                <w:sz w:val="15"/>
                <w:szCs w:val="15"/>
              </w:rPr>
            </w:pPr>
            <w:r>
              <w:rPr>
                <w:sz w:val="15"/>
                <w:szCs w:val="15"/>
              </w:rPr>
              <w:t>373</w:t>
            </w:r>
          </w:p>
        </w:tc>
        <w:tc>
          <w:tcPr>
            <w:tcW w:w="1037" w:type="dxa"/>
            <w:tcBorders>
              <w:top w:val="single" w:sz="4" w:space="0" w:color="auto"/>
              <w:left w:val="single" w:sz="4" w:space="0" w:color="auto"/>
            </w:tcBorders>
            <w:shd w:val="clear" w:color="auto" w:fill="auto"/>
          </w:tcPr>
          <w:p w14:paraId="06BFD365" w14:textId="77777777" w:rsidR="00EC1C40" w:rsidRDefault="00EC1C40">
            <w:pPr>
              <w:framePr w:w="7666" w:h="14698" w:wrap="none" w:vAnchor="page" w:hAnchor="page" w:x="1801" w:y="1392"/>
              <w:rPr>
                <w:sz w:val="10"/>
                <w:szCs w:val="10"/>
              </w:rPr>
            </w:pPr>
          </w:p>
        </w:tc>
        <w:tc>
          <w:tcPr>
            <w:tcW w:w="1214" w:type="dxa"/>
            <w:tcBorders>
              <w:top w:val="single" w:sz="4" w:space="0" w:color="auto"/>
              <w:left w:val="single" w:sz="4" w:space="0" w:color="auto"/>
            </w:tcBorders>
            <w:shd w:val="clear" w:color="auto" w:fill="auto"/>
          </w:tcPr>
          <w:p w14:paraId="081D900E" w14:textId="77777777" w:rsidR="00EC1C40" w:rsidRDefault="00EC1C40">
            <w:pPr>
              <w:framePr w:w="7666" w:h="14698" w:wrap="none" w:vAnchor="page" w:hAnchor="page" w:x="1801" w:y="1392"/>
              <w:rPr>
                <w:sz w:val="10"/>
                <w:szCs w:val="10"/>
              </w:rPr>
            </w:pPr>
          </w:p>
        </w:tc>
        <w:tc>
          <w:tcPr>
            <w:tcW w:w="1104" w:type="dxa"/>
            <w:tcBorders>
              <w:top w:val="single" w:sz="4" w:space="0" w:color="auto"/>
              <w:left w:val="single" w:sz="4" w:space="0" w:color="auto"/>
              <w:right w:val="single" w:sz="4" w:space="0" w:color="auto"/>
            </w:tcBorders>
            <w:shd w:val="clear" w:color="auto" w:fill="auto"/>
          </w:tcPr>
          <w:p w14:paraId="712C0BB3" w14:textId="77777777" w:rsidR="00EC1C40" w:rsidRDefault="00EC1C40">
            <w:pPr>
              <w:framePr w:w="7666" w:h="14698" w:wrap="none" w:vAnchor="page" w:hAnchor="page" w:x="1801" w:y="1392"/>
              <w:rPr>
                <w:sz w:val="10"/>
                <w:szCs w:val="10"/>
              </w:rPr>
            </w:pPr>
          </w:p>
        </w:tc>
      </w:tr>
      <w:tr w:rsidR="00EC1C40" w14:paraId="426102A2" w14:textId="77777777">
        <w:tblPrEx>
          <w:tblCellMar>
            <w:top w:w="0" w:type="dxa"/>
            <w:bottom w:w="0" w:type="dxa"/>
          </w:tblCellMar>
        </w:tblPrEx>
        <w:trPr>
          <w:trHeight w:hRule="exact" w:val="192"/>
        </w:trPr>
        <w:tc>
          <w:tcPr>
            <w:tcW w:w="2640" w:type="dxa"/>
            <w:tcBorders>
              <w:top w:val="single" w:sz="4" w:space="0" w:color="auto"/>
              <w:left w:val="single" w:sz="4" w:space="0" w:color="auto"/>
            </w:tcBorders>
            <w:shd w:val="clear" w:color="auto" w:fill="auto"/>
          </w:tcPr>
          <w:p w14:paraId="761A389C" w14:textId="77777777" w:rsidR="00EC1C40" w:rsidRDefault="00000000">
            <w:pPr>
              <w:pStyle w:val="Jin0"/>
              <w:framePr w:w="7666" w:h="14698" w:wrap="none" w:vAnchor="page" w:hAnchor="page" w:x="1801" w:y="1392"/>
              <w:spacing w:after="0"/>
              <w:jc w:val="both"/>
              <w:rPr>
                <w:sz w:val="15"/>
                <w:szCs w:val="15"/>
              </w:rPr>
            </w:pPr>
            <w:r>
              <w:rPr>
                <w:sz w:val="15"/>
                <w:szCs w:val="15"/>
              </w:rPr>
              <w:t>ARÉNA ZÁZEMÍ</w:t>
            </w:r>
          </w:p>
        </w:tc>
        <w:tc>
          <w:tcPr>
            <w:tcW w:w="835" w:type="dxa"/>
            <w:tcBorders>
              <w:top w:val="single" w:sz="4" w:space="0" w:color="auto"/>
              <w:left w:val="single" w:sz="4" w:space="0" w:color="auto"/>
            </w:tcBorders>
            <w:shd w:val="clear" w:color="auto" w:fill="auto"/>
          </w:tcPr>
          <w:p w14:paraId="66FAACA9" w14:textId="77777777" w:rsidR="00EC1C40" w:rsidRDefault="00000000">
            <w:pPr>
              <w:pStyle w:val="Jin0"/>
              <w:framePr w:w="7666" w:h="14698" w:wrap="none" w:vAnchor="page" w:hAnchor="page" w:x="1801" w:y="1392"/>
              <w:spacing w:after="0"/>
              <w:ind w:firstLine="540"/>
              <w:jc w:val="both"/>
              <w:rPr>
                <w:sz w:val="15"/>
                <w:szCs w:val="15"/>
              </w:rPr>
            </w:pPr>
            <w:r>
              <w:rPr>
                <w:sz w:val="15"/>
                <w:szCs w:val="15"/>
              </w:rPr>
              <w:t>971</w:t>
            </w:r>
          </w:p>
        </w:tc>
        <w:tc>
          <w:tcPr>
            <w:tcW w:w="835" w:type="dxa"/>
            <w:tcBorders>
              <w:top w:val="single" w:sz="4" w:space="0" w:color="auto"/>
              <w:left w:val="single" w:sz="4" w:space="0" w:color="auto"/>
            </w:tcBorders>
            <w:shd w:val="clear" w:color="auto" w:fill="auto"/>
          </w:tcPr>
          <w:p w14:paraId="39BEB021" w14:textId="77777777" w:rsidR="00EC1C40" w:rsidRDefault="00000000">
            <w:pPr>
              <w:pStyle w:val="Jin0"/>
              <w:framePr w:w="7666" w:h="14698" w:wrap="none" w:vAnchor="page" w:hAnchor="page" w:x="1801" w:y="1392"/>
              <w:spacing w:after="0"/>
              <w:ind w:firstLine="540"/>
              <w:jc w:val="both"/>
              <w:rPr>
                <w:sz w:val="15"/>
                <w:szCs w:val="15"/>
              </w:rPr>
            </w:pPr>
            <w:r>
              <w:rPr>
                <w:sz w:val="15"/>
                <w:szCs w:val="15"/>
              </w:rPr>
              <w:t>971</w:t>
            </w:r>
          </w:p>
        </w:tc>
        <w:tc>
          <w:tcPr>
            <w:tcW w:w="1037" w:type="dxa"/>
            <w:tcBorders>
              <w:top w:val="single" w:sz="4" w:space="0" w:color="auto"/>
              <w:left w:val="single" w:sz="4" w:space="0" w:color="auto"/>
            </w:tcBorders>
            <w:shd w:val="clear" w:color="auto" w:fill="auto"/>
          </w:tcPr>
          <w:p w14:paraId="6377A892" w14:textId="77777777" w:rsidR="00EC1C40" w:rsidRDefault="00EC1C40">
            <w:pPr>
              <w:framePr w:w="7666" w:h="14698" w:wrap="none" w:vAnchor="page" w:hAnchor="page" w:x="1801" w:y="1392"/>
              <w:rPr>
                <w:sz w:val="10"/>
                <w:szCs w:val="10"/>
              </w:rPr>
            </w:pPr>
          </w:p>
        </w:tc>
        <w:tc>
          <w:tcPr>
            <w:tcW w:w="1214" w:type="dxa"/>
            <w:tcBorders>
              <w:top w:val="single" w:sz="4" w:space="0" w:color="auto"/>
              <w:left w:val="single" w:sz="4" w:space="0" w:color="auto"/>
            </w:tcBorders>
            <w:shd w:val="clear" w:color="auto" w:fill="auto"/>
          </w:tcPr>
          <w:p w14:paraId="008AC6EE" w14:textId="77777777" w:rsidR="00EC1C40" w:rsidRDefault="00EC1C40">
            <w:pPr>
              <w:framePr w:w="7666" w:h="14698" w:wrap="none" w:vAnchor="page" w:hAnchor="page" w:x="1801" w:y="1392"/>
              <w:rPr>
                <w:sz w:val="10"/>
                <w:szCs w:val="10"/>
              </w:rPr>
            </w:pPr>
          </w:p>
        </w:tc>
        <w:tc>
          <w:tcPr>
            <w:tcW w:w="1104" w:type="dxa"/>
            <w:tcBorders>
              <w:top w:val="single" w:sz="4" w:space="0" w:color="auto"/>
              <w:left w:val="single" w:sz="4" w:space="0" w:color="auto"/>
              <w:right w:val="single" w:sz="4" w:space="0" w:color="auto"/>
            </w:tcBorders>
            <w:shd w:val="clear" w:color="auto" w:fill="auto"/>
          </w:tcPr>
          <w:p w14:paraId="66FE3C6D" w14:textId="77777777" w:rsidR="00EC1C40" w:rsidRDefault="00EC1C40">
            <w:pPr>
              <w:framePr w:w="7666" w:h="14698" w:wrap="none" w:vAnchor="page" w:hAnchor="page" w:x="1801" w:y="1392"/>
              <w:rPr>
                <w:sz w:val="10"/>
                <w:szCs w:val="10"/>
              </w:rPr>
            </w:pPr>
          </w:p>
        </w:tc>
      </w:tr>
      <w:tr w:rsidR="00EC1C40" w14:paraId="16C6EDCB" w14:textId="77777777">
        <w:tblPrEx>
          <w:tblCellMar>
            <w:top w:w="0" w:type="dxa"/>
            <w:bottom w:w="0" w:type="dxa"/>
          </w:tblCellMar>
        </w:tblPrEx>
        <w:trPr>
          <w:trHeight w:hRule="exact" w:val="197"/>
        </w:trPr>
        <w:tc>
          <w:tcPr>
            <w:tcW w:w="2640" w:type="dxa"/>
            <w:tcBorders>
              <w:top w:val="single" w:sz="4" w:space="0" w:color="auto"/>
              <w:left w:val="single" w:sz="4" w:space="0" w:color="auto"/>
            </w:tcBorders>
            <w:shd w:val="clear" w:color="auto" w:fill="auto"/>
          </w:tcPr>
          <w:p w14:paraId="1EAEC869" w14:textId="77777777" w:rsidR="00EC1C40" w:rsidRDefault="00EC1C40">
            <w:pPr>
              <w:framePr w:w="7666" w:h="14698" w:wrap="none" w:vAnchor="page" w:hAnchor="page" w:x="1801" w:y="1392"/>
              <w:rPr>
                <w:sz w:val="10"/>
                <w:szCs w:val="10"/>
              </w:rPr>
            </w:pPr>
          </w:p>
        </w:tc>
        <w:tc>
          <w:tcPr>
            <w:tcW w:w="835" w:type="dxa"/>
            <w:tcBorders>
              <w:top w:val="single" w:sz="4" w:space="0" w:color="auto"/>
              <w:left w:val="single" w:sz="4" w:space="0" w:color="auto"/>
            </w:tcBorders>
            <w:shd w:val="clear" w:color="auto" w:fill="auto"/>
          </w:tcPr>
          <w:p w14:paraId="324B2987" w14:textId="77777777" w:rsidR="00EC1C40" w:rsidRDefault="00EC1C40">
            <w:pPr>
              <w:framePr w:w="7666" w:h="14698" w:wrap="none" w:vAnchor="page" w:hAnchor="page" w:x="1801" w:y="1392"/>
              <w:rPr>
                <w:sz w:val="10"/>
                <w:szCs w:val="10"/>
              </w:rPr>
            </w:pPr>
          </w:p>
        </w:tc>
        <w:tc>
          <w:tcPr>
            <w:tcW w:w="835" w:type="dxa"/>
            <w:tcBorders>
              <w:top w:val="single" w:sz="4" w:space="0" w:color="auto"/>
              <w:left w:val="single" w:sz="4" w:space="0" w:color="auto"/>
            </w:tcBorders>
            <w:shd w:val="clear" w:color="auto" w:fill="auto"/>
          </w:tcPr>
          <w:p w14:paraId="08850187" w14:textId="77777777" w:rsidR="00EC1C40" w:rsidRDefault="00EC1C40">
            <w:pPr>
              <w:framePr w:w="7666" w:h="14698" w:wrap="none" w:vAnchor="page" w:hAnchor="page" w:x="1801" w:y="1392"/>
              <w:rPr>
                <w:sz w:val="10"/>
                <w:szCs w:val="10"/>
              </w:rPr>
            </w:pPr>
          </w:p>
        </w:tc>
        <w:tc>
          <w:tcPr>
            <w:tcW w:w="1037" w:type="dxa"/>
            <w:tcBorders>
              <w:top w:val="single" w:sz="4" w:space="0" w:color="auto"/>
              <w:left w:val="single" w:sz="4" w:space="0" w:color="auto"/>
            </w:tcBorders>
            <w:shd w:val="clear" w:color="auto" w:fill="auto"/>
          </w:tcPr>
          <w:p w14:paraId="71985794" w14:textId="77777777" w:rsidR="00EC1C40" w:rsidRDefault="00EC1C40">
            <w:pPr>
              <w:framePr w:w="7666" w:h="14698" w:wrap="none" w:vAnchor="page" w:hAnchor="page" w:x="1801" w:y="1392"/>
              <w:rPr>
                <w:sz w:val="10"/>
                <w:szCs w:val="10"/>
              </w:rPr>
            </w:pPr>
          </w:p>
        </w:tc>
        <w:tc>
          <w:tcPr>
            <w:tcW w:w="1214" w:type="dxa"/>
            <w:tcBorders>
              <w:top w:val="single" w:sz="4" w:space="0" w:color="auto"/>
              <w:left w:val="single" w:sz="4" w:space="0" w:color="auto"/>
            </w:tcBorders>
            <w:shd w:val="clear" w:color="auto" w:fill="auto"/>
          </w:tcPr>
          <w:p w14:paraId="7C64CA2A" w14:textId="77777777" w:rsidR="00EC1C40" w:rsidRDefault="00EC1C40">
            <w:pPr>
              <w:framePr w:w="7666" w:h="14698" w:wrap="none" w:vAnchor="page" w:hAnchor="page" w:x="1801" w:y="1392"/>
              <w:rPr>
                <w:sz w:val="10"/>
                <w:szCs w:val="10"/>
              </w:rPr>
            </w:pPr>
          </w:p>
        </w:tc>
        <w:tc>
          <w:tcPr>
            <w:tcW w:w="1104" w:type="dxa"/>
            <w:tcBorders>
              <w:top w:val="single" w:sz="4" w:space="0" w:color="auto"/>
              <w:left w:val="single" w:sz="4" w:space="0" w:color="auto"/>
              <w:right w:val="single" w:sz="4" w:space="0" w:color="auto"/>
            </w:tcBorders>
            <w:shd w:val="clear" w:color="auto" w:fill="auto"/>
          </w:tcPr>
          <w:p w14:paraId="41ACA1C6" w14:textId="77777777" w:rsidR="00EC1C40" w:rsidRDefault="00EC1C40">
            <w:pPr>
              <w:framePr w:w="7666" w:h="14698" w:wrap="none" w:vAnchor="page" w:hAnchor="page" w:x="1801" w:y="1392"/>
              <w:rPr>
                <w:sz w:val="10"/>
                <w:szCs w:val="10"/>
              </w:rPr>
            </w:pPr>
          </w:p>
        </w:tc>
      </w:tr>
      <w:tr w:rsidR="00EC1C40" w14:paraId="78791018" w14:textId="77777777">
        <w:tblPrEx>
          <w:tblCellMar>
            <w:top w:w="0" w:type="dxa"/>
            <w:bottom w:w="0" w:type="dxa"/>
          </w:tblCellMar>
        </w:tblPrEx>
        <w:trPr>
          <w:trHeight w:hRule="exact" w:val="192"/>
        </w:trPr>
        <w:tc>
          <w:tcPr>
            <w:tcW w:w="2640" w:type="dxa"/>
            <w:tcBorders>
              <w:top w:val="single" w:sz="4" w:space="0" w:color="auto"/>
              <w:left w:val="single" w:sz="4" w:space="0" w:color="auto"/>
            </w:tcBorders>
            <w:shd w:val="clear" w:color="auto" w:fill="F6EDD1"/>
          </w:tcPr>
          <w:p w14:paraId="689D3573" w14:textId="77777777" w:rsidR="00EC1C40" w:rsidRDefault="00000000">
            <w:pPr>
              <w:pStyle w:val="Jin0"/>
              <w:framePr w:w="7666" w:h="14698" w:wrap="none" w:vAnchor="page" w:hAnchor="page" w:x="1801" w:y="1392"/>
              <w:spacing w:after="0"/>
              <w:jc w:val="both"/>
              <w:rPr>
                <w:sz w:val="15"/>
                <w:szCs w:val="15"/>
              </w:rPr>
            </w:pPr>
            <w:r>
              <w:rPr>
                <w:b/>
                <w:bCs/>
                <w:sz w:val="15"/>
                <w:szCs w:val="15"/>
              </w:rPr>
              <w:t>HOTEL</w:t>
            </w:r>
          </w:p>
        </w:tc>
        <w:tc>
          <w:tcPr>
            <w:tcW w:w="835" w:type="dxa"/>
            <w:tcBorders>
              <w:top w:val="single" w:sz="4" w:space="0" w:color="auto"/>
              <w:left w:val="single" w:sz="4" w:space="0" w:color="auto"/>
            </w:tcBorders>
            <w:shd w:val="clear" w:color="auto" w:fill="F6EDD1"/>
          </w:tcPr>
          <w:p w14:paraId="72185929" w14:textId="77777777" w:rsidR="00EC1C40" w:rsidRDefault="00000000">
            <w:pPr>
              <w:pStyle w:val="Jin0"/>
              <w:framePr w:w="7666" w:h="14698" w:wrap="none" w:vAnchor="page" w:hAnchor="page" w:x="1801" w:y="1392"/>
              <w:spacing w:after="0"/>
              <w:ind w:firstLine="360"/>
              <w:jc w:val="both"/>
              <w:rPr>
                <w:sz w:val="15"/>
                <w:szCs w:val="15"/>
              </w:rPr>
            </w:pPr>
            <w:r>
              <w:rPr>
                <w:b/>
                <w:bCs/>
                <w:sz w:val="15"/>
                <w:szCs w:val="15"/>
              </w:rPr>
              <w:t>19 219</w:t>
            </w:r>
          </w:p>
        </w:tc>
        <w:tc>
          <w:tcPr>
            <w:tcW w:w="835" w:type="dxa"/>
            <w:tcBorders>
              <w:top w:val="single" w:sz="4" w:space="0" w:color="auto"/>
              <w:left w:val="single" w:sz="4" w:space="0" w:color="auto"/>
            </w:tcBorders>
            <w:shd w:val="clear" w:color="auto" w:fill="auto"/>
          </w:tcPr>
          <w:p w14:paraId="2B2178AD" w14:textId="77777777" w:rsidR="00EC1C40" w:rsidRDefault="00EC1C40">
            <w:pPr>
              <w:framePr w:w="7666" w:h="14698" w:wrap="none" w:vAnchor="page" w:hAnchor="page" w:x="1801" w:y="1392"/>
              <w:rPr>
                <w:sz w:val="10"/>
                <w:szCs w:val="10"/>
              </w:rPr>
            </w:pPr>
          </w:p>
        </w:tc>
        <w:tc>
          <w:tcPr>
            <w:tcW w:w="1037" w:type="dxa"/>
            <w:tcBorders>
              <w:top w:val="single" w:sz="4" w:space="0" w:color="auto"/>
              <w:left w:val="single" w:sz="4" w:space="0" w:color="auto"/>
            </w:tcBorders>
            <w:shd w:val="clear" w:color="auto" w:fill="auto"/>
          </w:tcPr>
          <w:p w14:paraId="3E1F4536" w14:textId="77777777" w:rsidR="00EC1C40" w:rsidRDefault="00EC1C40">
            <w:pPr>
              <w:framePr w:w="7666" w:h="14698" w:wrap="none" w:vAnchor="page" w:hAnchor="page" w:x="1801" w:y="1392"/>
              <w:rPr>
                <w:sz w:val="10"/>
                <w:szCs w:val="10"/>
              </w:rPr>
            </w:pPr>
          </w:p>
        </w:tc>
        <w:tc>
          <w:tcPr>
            <w:tcW w:w="1214" w:type="dxa"/>
            <w:tcBorders>
              <w:top w:val="single" w:sz="4" w:space="0" w:color="auto"/>
              <w:left w:val="single" w:sz="4" w:space="0" w:color="auto"/>
            </w:tcBorders>
            <w:shd w:val="clear" w:color="auto" w:fill="auto"/>
          </w:tcPr>
          <w:p w14:paraId="50AF0394" w14:textId="77777777" w:rsidR="00EC1C40" w:rsidRDefault="00EC1C40">
            <w:pPr>
              <w:framePr w:w="7666" w:h="14698" w:wrap="none" w:vAnchor="page" w:hAnchor="page" w:x="1801" w:y="1392"/>
              <w:rPr>
                <w:sz w:val="10"/>
                <w:szCs w:val="10"/>
              </w:rPr>
            </w:pPr>
          </w:p>
        </w:tc>
        <w:tc>
          <w:tcPr>
            <w:tcW w:w="1104" w:type="dxa"/>
            <w:tcBorders>
              <w:top w:val="single" w:sz="4" w:space="0" w:color="auto"/>
              <w:left w:val="single" w:sz="4" w:space="0" w:color="auto"/>
              <w:right w:val="single" w:sz="4" w:space="0" w:color="auto"/>
            </w:tcBorders>
            <w:shd w:val="clear" w:color="auto" w:fill="auto"/>
          </w:tcPr>
          <w:p w14:paraId="6529323C" w14:textId="77777777" w:rsidR="00EC1C40" w:rsidRDefault="00EC1C40">
            <w:pPr>
              <w:framePr w:w="7666" w:h="14698" w:wrap="none" w:vAnchor="page" w:hAnchor="page" w:x="1801" w:y="1392"/>
              <w:rPr>
                <w:sz w:val="10"/>
                <w:szCs w:val="10"/>
              </w:rPr>
            </w:pPr>
          </w:p>
        </w:tc>
      </w:tr>
      <w:tr w:rsidR="00EC1C40" w14:paraId="5F163DD7" w14:textId="77777777">
        <w:tblPrEx>
          <w:tblCellMar>
            <w:top w:w="0" w:type="dxa"/>
            <w:bottom w:w="0" w:type="dxa"/>
          </w:tblCellMar>
        </w:tblPrEx>
        <w:trPr>
          <w:trHeight w:hRule="exact" w:val="197"/>
        </w:trPr>
        <w:tc>
          <w:tcPr>
            <w:tcW w:w="2640" w:type="dxa"/>
            <w:tcBorders>
              <w:top w:val="single" w:sz="4" w:space="0" w:color="auto"/>
              <w:left w:val="single" w:sz="4" w:space="0" w:color="auto"/>
            </w:tcBorders>
            <w:shd w:val="clear" w:color="auto" w:fill="auto"/>
          </w:tcPr>
          <w:p w14:paraId="576B62ED" w14:textId="77777777" w:rsidR="00EC1C40" w:rsidRDefault="00000000">
            <w:pPr>
              <w:pStyle w:val="Jin0"/>
              <w:framePr w:w="7666" w:h="14698" w:wrap="none" w:vAnchor="page" w:hAnchor="page" w:x="1801" w:y="1392"/>
              <w:spacing w:after="0"/>
              <w:jc w:val="both"/>
              <w:rPr>
                <w:sz w:val="15"/>
                <w:szCs w:val="15"/>
              </w:rPr>
            </w:pPr>
            <w:r>
              <w:rPr>
                <w:b/>
                <w:bCs/>
                <w:sz w:val="15"/>
                <w:szCs w:val="15"/>
              </w:rPr>
              <w:t>2PP</w:t>
            </w:r>
          </w:p>
        </w:tc>
        <w:tc>
          <w:tcPr>
            <w:tcW w:w="835" w:type="dxa"/>
            <w:tcBorders>
              <w:top w:val="single" w:sz="4" w:space="0" w:color="auto"/>
              <w:left w:val="single" w:sz="4" w:space="0" w:color="auto"/>
            </w:tcBorders>
            <w:shd w:val="clear" w:color="auto" w:fill="auto"/>
          </w:tcPr>
          <w:p w14:paraId="4DBF01D4" w14:textId="77777777" w:rsidR="00EC1C40" w:rsidRDefault="00000000">
            <w:pPr>
              <w:pStyle w:val="Jin0"/>
              <w:framePr w:w="7666" w:h="14698" w:wrap="none" w:vAnchor="page" w:hAnchor="page" w:x="1801" w:y="1392"/>
              <w:spacing w:after="0"/>
              <w:ind w:firstLine="420"/>
              <w:jc w:val="both"/>
              <w:rPr>
                <w:sz w:val="15"/>
                <w:szCs w:val="15"/>
              </w:rPr>
            </w:pPr>
            <w:r>
              <w:rPr>
                <w:b/>
                <w:bCs/>
                <w:sz w:val="15"/>
                <w:szCs w:val="15"/>
              </w:rPr>
              <w:t>2 964</w:t>
            </w:r>
          </w:p>
        </w:tc>
        <w:tc>
          <w:tcPr>
            <w:tcW w:w="835" w:type="dxa"/>
            <w:tcBorders>
              <w:top w:val="single" w:sz="4" w:space="0" w:color="auto"/>
              <w:left w:val="single" w:sz="4" w:space="0" w:color="auto"/>
            </w:tcBorders>
            <w:shd w:val="clear" w:color="auto" w:fill="auto"/>
          </w:tcPr>
          <w:p w14:paraId="33B5F2CA" w14:textId="77777777" w:rsidR="00EC1C40" w:rsidRDefault="00EC1C40">
            <w:pPr>
              <w:framePr w:w="7666" w:h="14698" w:wrap="none" w:vAnchor="page" w:hAnchor="page" w:x="1801" w:y="1392"/>
              <w:rPr>
                <w:sz w:val="10"/>
                <w:szCs w:val="10"/>
              </w:rPr>
            </w:pPr>
          </w:p>
        </w:tc>
        <w:tc>
          <w:tcPr>
            <w:tcW w:w="1037" w:type="dxa"/>
            <w:tcBorders>
              <w:top w:val="single" w:sz="4" w:space="0" w:color="auto"/>
              <w:left w:val="single" w:sz="4" w:space="0" w:color="auto"/>
            </w:tcBorders>
            <w:shd w:val="clear" w:color="auto" w:fill="auto"/>
          </w:tcPr>
          <w:p w14:paraId="663001E0" w14:textId="77777777" w:rsidR="00EC1C40" w:rsidRDefault="00EC1C40">
            <w:pPr>
              <w:framePr w:w="7666" w:h="14698" w:wrap="none" w:vAnchor="page" w:hAnchor="page" w:x="1801" w:y="1392"/>
              <w:rPr>
                <w:sz w:val="10"/>
                <w:szCs w:val="10"/>
              </w:rPr>
            </w:pPr>
          </w:p>
        </w:tc>
        <w:tc>
          <w:tcPr>
            <w:tcW w:w="1214" w:type="dxa"/>
            <w:tcBorders>
              <w:top w:val="single" w:sz="4" w:space="0" w:color="auto"/>
              <w:left w:val="single" w:sz="4" w:space="0" w:color="auto"/>
            </w:tcBorders>
            <w:shd w:val="clear" w:color="auto" w:fill="auto"/>
          </w:tcPr>
          <w:p w14:paraId="5AC4EE0D" w14:textId="77777777" w:rsidR="00EC1C40" w:rsidRDefault="00EC1C40">
            <w:pPr>
              <w:framePr w:w="7666" w:h="14698" w:wrap="none" w:vAnchor="page" w:hAnchor="page" w:x="1801" w:y="1392"/>
              <w:rPr>
                <w:sz w:val="10"/>
                <w:szCs w:val="10"/>
              </w:rPr>
            </w:pPr>
          </w:p>
        </w:tc>
        <w:tc>
          <w:tcPr>
            <w:tcW w:w="1104" w:type="dxa"/>
            <w:tcBorders>
              <w:top w:val="single" w:sz="4" w:space="0" w:color="auto"/>
              <w:left w:val="single" w:sz="4" w:space="0" w:color="auto"/>
              <w:right w:val="single" w:sz="4" w:space="0" w:color="auto"/>
            </w:tcBorders>
            <w:shd w:val="clear" w:color="auto" w:fill="auto"/>
          </w:tcPr>
          <w:p w14:paraId="4FED5658" w14:textId="77777777" w:rsidR="00EC1C40" w:rsidRDefault="00EC1C40">
            <w:pPr>
              <w:framePr w:w="7666" w:h="14698" w:wrap="none" w:vAnchor="page" w:hAnchor="page" w:x="1801" w:y="1392"/>
              <w:rPr>
                <w:sz w:val="10"/>
                <w:szCs w:val="10"/>
              </w:rPr>
            </w:pPr>
          </w:p>
        </w:tc>
      </w:tr>
      <w:tr w:rsidR="00EC1C40" w14:paraId="16481B9E" w14:textId="77777777">
        <w:tblPrEx>
          <w:tblCellMar>
            <w:top w:w="0" w:type="dxa"/>
            <w:bottom w:w="0" w:type="dxa"/>
          </w:tblCellMar>
        </w:tblPrEx>
        <w:trPr>
          <w:trHeight w:hRule="exact" w:val="192"/>
        </w:trPr>
        <w:tc>
          <w:tcPr>
            <w:tcW w:w="2640" w:type="dxa"/>
            <w:tcBorders>
              <w:top w:val="single" w:sz="4" w:space="0" w:color="auto"/>
              <w:left w:val="single" w:sz="4" w:space="0" w:color="auto"/>
            </w:tcBorders>
            <w:shd w:val="clear" w:color="auto" w:fill="auto"/>
          </w:tcPr>
          <w:p w14:paraId="734F5312" w14:textId="77777777" w:rsidR="00EC1C40" w:rsidRDefault="00000000">
            <w:pPr>
              <w:pStyle w:val="Jin0"/>
              <w:framePr w:w="7666" w:h="14698" w:wrap="none" w:vAnchor="page" w:hAnchor="page" w:x="1801" w:y="1392"/>
              <w:spacing w:after="0"/>
              <w:jc w:val="both"/>
              <w:rPr>
                <w:sz w:val="15"/>
                <w:szCs w:val="15"/>
              </w:rPr>
            </w:pPr>
            <w:r>
              <w:rPr>
                <w:sz w:val="15"/>
                <w:szCs w:val="15"/>
              </w:rPr>
              <w:t>HOTEL HOSTÉ</w:t>
            </w:r>
          </w:p>
        </w:tc>
        <w:tc>
          <w:tcPr>
            <w:tcW w:w="835" w:type="dxa"/>
            <w:tcBorders>
              <w:top w:val="single" w:sz="4" w:space="0" w:color="auto"/>
              <w:left w:val="single" w:sz="4" w:space="0" w:color="auto"/>
            </w:tcBorders>
            <w:shd w:val="clear" w:color="auto" w:fill="auto"/>
          </w:tcPr>
          <w:p w14:paraId="4532BDF1" w14:textId="77777777" w:rsidR="00EC1C40" w:rsidRDefault="00000000">
            <w:pPr>
              <w:pStyle w:val="Jin0"/>
              <w:framePr w:w="7666" w:h="14698" w:wrap="none" w:vAnchor="page" w:hAnchor="page" w:x="1801" w:y="1392"/>
              <w:spacing w:after="0"/>
              <w:ind w:firstLine="540"/>
              <w:jc w:val="both"/>
              <w:rPr>
                <w:sz w:val="15"/>
                <w:szCs w:val="15"/>
              </w:rPr>
            </w:pPr>
            <w:r>
              <w:rPr>
                <w:sz w:val="15"/>
                <w:szCs w:val="15"/>
              </w:rPr>
              <w:t>180</w:t>
            </w:r>
          </w:p>
        </w:tc>
        <w:tc>
          <w:tcPr>
            <w:tcW w:w="835" w:type="dxa"/>
            <w:tcBorders>
              <w:top w:val="single" w:sz="4" w:space="0" w:color="auto"/>
              <w:left w:val="single" w:sz="4" w:space="0" w:color="auto"/>
            </w:tcBorders>
            <w:shd w:val="clear" w:color="auto" w:fill="auto"/>
          </w:tcPr>
          <w:p w14:paraId="46ADAFAD" w14:textId="77777777" w:rsidR="00EC1C40" w:rsidRDefault="00EC1C40">
            <w:pPr>
              <w:framePr w:w="7666" w:h="14698" w:wrap="none" w:vAnchor="page" w:hAnchor="page" w:x="1801" w:y="1392"/>
              <w:rPr>
                <w:sz w:val="10"/>
                <w:szCs w:val="10"/>
              </w:rPr>
            </w:pPr>
          </w:p>
        </w:tc>
        <w:tc>
          <w:tcPr>
            <w:tcW w:w="1037" w:type="dxa"/>
            <w:tcBorders>
              <w:top w:val="single" w:sz="4" w:space="0" w:color="auto"/>
              <w:left w:val="single" w:sz="4" w:space="0" w:color="auto"/>
            </w:tcBorders>
            <w:shd w:val="clear" w:color="auto" w:fill="auto"/>
          </w:tcPr>
          <w:p w14:paraId="1039539F" w14:textId="77777777" w:rsidR="00EC1C40" w:rsidRDefault="00000000">
            <w:pPr>
              <w:pStyle w:val="Jin0"/>
              <w:framePr w:w="7666" w:h="14698" w:wrap="none" w:vAnchor="page" w:hAnchor="page" w:x="1801" w:y="1392"/>
              <w:spacing w:after="0"/>
              <w:ind w:firstLine="740"/>
              <w:rPr>
                <w:sz w:val="15"/>
                <w:szCs w:val="15"/>
              </w:rPr>
            </w:pPr>
            <w:r>
              <w:rPr>
                <w:sz w:val="15"/>
                <w:szCs w:val="15"/>
              </w:rPr>
              <w:t>180</w:t>
            </w:r>
          </w:p>
        </w:tc>
        <w:tc>
          <w:tcPr>
            <w:tcW w:w="1214" w:type="dxa"/>
            <w:tcBorders>
              <w:top w:val="single" w:sz="4" w:space="0" w:color="auto"/>
              <w:left w:val="single" w:sz="4" w:space="0" w:color="auto"/>
            </w:tcBorders>
            <w:shd w:val="clear" w:color="auto" w:fill="auto"/>
          </w:tcPr>
          <w:p w14:paraId="0249B117" w14:textId="77777777" w:rsidR="00EC1C40" w:rsidRDefault="00000000">
            <w:pPr>
              <w:pStyle w:val="Jin0"/>
              <w:framePr w:w="7666" w:h="14698" w:wrap="none" w:vAnchor="page" w:hAnchor="page" w:x="1801" w:y="1392"/>
              <w:spacing w:after="0"/>
              <w:jc w:val="right"/>
              <w:rPr>
                <w:sz w:val="15"/>
                <w:szCs w:val="15"/>
              </w:rPr>
            </w:pPr>
            <w:r>
              <w:rPr>
                <w:sz w:val="15"/>
                <w:szCs w:val="15"/>
              </w:rPr>
              <w:t>100%</w:t>
            </w:r>
          </w:p>
        </w:tc>
        <w:tc>
          <w:tcPr>
            <w:tcW w:w="1104" w:type="dxa"/>
            <w:tcBorders>
              <w:top w:val="single" w:sz="4" w:space="0" w:color="auto"/>
              <w:left w:val="single" w:sz="4" w:space="0" w:color="auto"/>
              <w:right w:val="single" w:sz="4" w:space="0" w:color="auto"/>
            </w:tcBorders>
            <w:shd w:val="clear" w:color="auto" w:fill="auto"/>
          </w:tcPr>
          <w:p w14:paraId="601B66EA" w14:textId="77777777" w:rsidR="00EC1C40" w:rsidRDefault="00000000">
            <w:pPr>
              <w:pStyle w:val="Jin0"/>
              <w:framePr w:w="7666" w:h="14698" w:wrap="none" w:vAnchor="page" w:hAnchor="page" w:x="1801" w:y="1392"/>
              <w:spacing w:after="0"/>
              <w:jc w:val="right"/>
              <w:rPr>
                <w:sz w:val="15"/>
                <w:szCs w:val="15"/>
              </w:rPr>
            </w:pPr>
            <w:r>
              <w:rPr>
                <w:sz w:val="15"/>
                <w:szCs w:val="15"/>
              </w:rPr>
              <w:t>180</w:t>
            </w:r>
          </w:p>
        </w:tc>
      </w:tr>
      <w:tr w:rsidR="00EC1C40" w14:paraId="13FB3DBB" w14:textId="77777777">
        <w:tblPrEx>
          <w:tblCellMar>
            <w:top w:w="0" w:type="dxa"/>
            <w:bottom w:w="0" w:type="dxa"/>
          </w:tblCellMar>
        </w:tblPrEx>
        <w:trPr>
          <w:trHeight w:hRule="exact" w:val="192"/>
        </w:trPr>
        <w:tc>
          <w:tcPr>
            <w:tcW w:w="2640" w:type="dxa"/>
            <w:tcBorders>
              <w:top w:val="single" w:sz="4" w:space="0" w:color="auto"/>
              <w:left w:val="single" w:sz="4" w:space="0" w:color="auto"/>
            </w:tcBorders>
            <w:shd w:val="clear" w:color="auto" w:fill="auto"/>
            <w:vAlign w:val="bottom"/>
          </w:tcPr>
          <w:p w14:paraId="6758497F" w14:textId="77777777" w:rsidR="00EC1C40" w:rsidRDefault="00000000">
            <w:pPr>
              <w:pStyle w:val="Jin0"/>
              <w:framePr w:w="7666" w:h="14698" w:wrap="none" w:vAnchor="page" w:hAnchor="page" w:x="1801" w:y="1392"/>
              <w:spacing w:after="0"/>
              <w:jc w:val="both"/>
              <w:rPr>
                <w:sz w:val="15"/>
                <w:szCs w:val="15"/>
              </w:rPr>
            </w:pPr>
            <w:r>
              <w:rPr>
                <w:sz w:val="15"/>
                <w:szCs w:val="15"/>
              </w:rPr>
              <w:t>HOTEL ZÁZEMÍ</w:t>
            </w:r>
          </w:p>
        </w:tc>
        <w:tc>
          <w:tcPr>
            <w:tcW w:w="835" w:type="dxa"/>
            <w:tcBorders>
              <w:top w:val="single" w:sz="4" w:space="0" w:color="auto"/>
              <w:left w:val="single" w:sz="4" w:space="0" w:color="auto"/>
            </w:tcBorders>
            <w:shd w:val="clear" w:color="auto" w:fill="auto"/>
            <w:vAlign w:val="bottom"/>
          </w:tcPr>
          <w:p w14:paraId="410889D1" w14:textId="77777777" w:rsidR="00EC1C40" w:rsidRDefault="00000000">
            <w:pPr>
              <w:pStyle w:val="Jin0"/>
              <w:framePr w:w="7666" w:h="14698" w:wrap="none" w:vAnchor="page" w:hAnchor="page" w:x="1801" w:y="1392"/>
              <w:spacing w:after="0"/>
              <w:ind w:firstLine="540"/>
              <w:jc w:val="both"/>
              <w:rPr>
                <w:sz w:val="15"/>
                <w:szCs w:val="15"/>
              </w:rPr>
            </w:pPr>
            <w:r>
              <w:rPr>
                <w:sz w:val="15"/>
                <w:szCs w:val="15"/>
              </w:rPr>
              <w:t>722</w:t>
            </w:r>
          </w:p>
        </w:tc>
        <w:tc>
          <w:tcPr>
            <w:tcW w:w="835" w:type="dxa"/>
            <w:tcBorders>
              <w:top w:val="single" w:sz="4" w:space="0" w:color="auto"/>
              <w:left w:val="single" w:sz="4" w:space="0" w:color="auto"/>
            </w:tcBorders>
            <w:shd w:val="clear" w:color="auto" w:fill="auto"/>
          </w:tcPr>
          <w:p w14:paraId="7F9BFA5A" w14:textId="77777777" w:rsidR="00EC1C40" w:rsidRDefault="00EC1C40">
            <w:pPr>
              <w:framePr w:w="7666" w:h="14698" w:wrap="none" w:vAnchor="page" w:hAnchor="page" w:x="1801" w:y="1392"/>
              <w:rPr>
                <w:sz w:val="10"/>
                <w:szCs w:val="10"/>
              </w:rPr>
            </w:pPr>
          </w:p>
        </w:tc>
        <w:tc>
          <w:tcPr>
            <w:tcW w:w="1037" w:type="dxa"/>
            <w:tcBorders>
              <w:top w:val="single" w:sz="4" w:space="0" w:color="auto"/>
              <w:left w:val="single" w:sz="4" w:space="0" w:color="auto"/>
            </w:tcBorders>
            <w:shd w:val="clear" w:color="auto" w:fill="auto"/>
            <w:vAlign w:val="bottom"/>
          </w:tcPr>
          <w:p w14:paraId="1DE05053" w14:textId="77777777" w:rsidR="00EC1C40" w:rsidRDefault="00000000">
            <w:pPr>
              <w:pStyle w:val="Jin0"/>
              <w:framePr w:w="7666" w:h="14698" w:wrap="none" w:vAnchor="page" w:hAnchor="page" w:x="1801" w:y="1392"/>
              <w:spacing w:after="0"/>
              <w:ind w:firstLine="740"/>
              <w:rPr>
                <w:sz w:val="15"/>
                <w:szCs w:val="15"/>
              </w:rPr>
            </w:pPr>
            <w:r>
              <w:rPr>
                <w:sz w:val="15"/>
                <w:szCs w:val="15"/>
              </w:rPr>
              <w:t>722</w:t>
            </w:r>
          </w:p>
        </w:tc>
        <w:tc>
          <w:tcPr>
            <w:tcW w:w="1214" w:type="dxa"/>
            <w:tcBorders>
              <w:top w:val="single" w:sz="4" w:space="0" w:color="auto"/>
              <w:left w:val="single" w:sz="4" w:space="0" w:color="auto"/>
            </w:tcBorders>
            <w:shd w:val="clear" w:color="auto" w:fill="auto"/>
            <w:vAlign w:val="bottom"/>
          </w:tcPr>
          <w:p w14:paraId="41763CEB" w14:textId="77777777" w:rsidR="00EC1C40" w:rsidRDefault="00000000">
            <w:pPr>
              <w:pStyle w:val="Jin0"/>
              <w:framePr w:w="7666" w:h="14698" w:wrap="none" w:vAnchor="page" w:hAnchor="page" w:x="1801" w:y="1392"/>
              <w:spacing w:after="0"/>
              <w:jc w:val="right"/>
              <w:rPr>
                <w:sz w:val="15"/>
                <w:szCs w:val="15"/>
              </w:rPr>
            </w:pPr>
            <w:r>
              <w:rPr>
                <w:sz w:val="15"/>
                <w:szCs w:val="15"/>
              </w:rPr>
              <w:t>100%</w:t>
            </w:r>
          </w:p>
        </w:tc>
        <w:tc>
          <w:tcPr>
            <w:tcW w:w="1104" w:type="dxa"/>
            <w:tcBorders>
              <w:top w:val="single" w:sz="4" w:space="0" w:color="auto"/>
              <w:left w:val="single" w:sz="4" w:space="0" w:color="auto"/>
              <w:right w:val="single" w:sz="4" w:space="0" w:color="auto"/>
            </w:tcBorders>
            <w:shd w:val="clear" w:color="auto" w:fill="auto"/>
            <w:vAlign w:val="bottom"/>
          </w:tcPr>
          <w:p w14:paraId="700BE91F" w14:textId="77777777" w:rsidR="00EC1C40" w:rsidRDefault="00000000">
            <w:pPr>
              <w:pStyle w:val="Jin0"/>
              <w:framePr w:w="7666" w:h="14698" w:wrap="none" w:vAnchor="page" w:hAnchor="page" w:x="1801" w:y="1392"/>
              <w:spacing w:after="0"/>
              <w:jc w:val="right"/>
              <w:rPr>
                <w:sz w:val="15"/>
                <w:szCs w:val="15"/>
              </w:rPr>
            </w:pPr>
            <w:r>
              <w:rPr>
                <w:sz w:val="15"/>
                <w:szCs w:val="15"/>
              </w:rPr>
              <w:t>722</w:t>
            </w:r>
          </w:p>
        </w:tc>
      </w:tr>
      <w:tr w:rsidR="00EC1C40" w14:paraId="76B3ED64" w14:textId="77777777">
        <w:tblPrEx>
          <w:tblCellMar>
            <w:top w:w="0" w:type="dxa"/>
            <w:bottom w:w="0" w:type="dxa"/>
          </w:tblCellMar>
        </w:tblPrEx>
        <w:trPr>
          <w:trHeight w:hRule="exact" w:val="197"/>
        </w:trPr>
        <w:tc>
          <w:tcPr>
            <w:tcW w:w="2640" w:type="dxa"/>
            <w:tcBorders>
              <w:top w:val="single" w:sz="4" w:space="0" w:color="auto"/>
              <w:left w:val="single" w:sz="4" w:space="0" w:color="auto"/>
            </w:tcBorders>
            <w:shd w:val="clear" w:color="auto" w:fill="auto"/>
            <w:vAlign w:val="bottom"/>
          </w:tcPr>
          <w:p w14:paraId="287BDEF7" w14:textId="77777777" w:rsidR="00EC1C40" w:rsidRDefault="00000000">
            <w:pPr>
              <w:pStyle w:val="Jin0"/>
              <w:framePr w:w="7666" w:h="14698" w:wrap="none" w:vAnchor="page" w:hAnchor="page" w:x="1801" w:y="1392"/>
              <w:spacing w:after="0"/>
              <w:rPr>
                <w:sz w:val="15"/>
                <w:szCs w:val="15"/>
              </w:rPr>
            </w:pPr>
            <w:r>
              <w:rPr>
                <w:sz w:val="15"/>
                <w:szCs w:val="15"/>
                <w:lang w:val="en-US" w:eastAsia="en-US" w:bidi="en-US"/>
              </w:rPr>
              <w:t>PARKING</w:t>
            </w:r>
          </w:p>
        </w:tc>
        <w:tc>
          <w:tcPr>
            <w:tcW w:w="835" w:type="dxa"/>
            <w:tcBorders>
              <w:top w:val="single" w:sz="4" w:space="0" w:color="auto"/>
              <w:left w:val="single" w:sz="4" w:space="0" w:color="auto"/>
            </w:tcBorders>
            <w:shd w:val="clear" w:color="auto" w:fill="auto"/>
            <w:vAlign w:val="bottom"/>
          </w:tcPr>
          <w:p w14:paraId="33256DC4" w14:textId="77777777" w:rsidR="00EC1C40" w:rsidRDefault="00000000">
            <w:pPr>
              <w:pStyle w:val="Jin0"/>
              <w:framePr w:w="7666" w:h="14698" w:wrap="none" w:vAnchor="page" w:hAnchor="page" w:x="1801" w:y="1392"/>
              <w:spacing w:after="0"/>
              <w:ind w:firstLine="420"/>
              <w:jc w:val="both"/>
              <w:rPr>
                <w:sz w:val="15"/>
                <w:szCs w:val="15"/>
              </w:rPr>
            </w:pPr>
            <w:r>
              <w:rPr>
                <w:sz w:val="15"/>
                <w:szCs w:val="15"/>
              </w:rPr>
              <w:t>2 063</w:t>
            </w:r>
          </w:p>
        </w:tc>
        <w:tc>
          <w:tcPr>
            <w:tcW w:w="835" w:type="dxa"/>
            <w:tcBorders>
              <w:top w:val="single" w:sz="4" w:space="0" w:color="auto"/>
              <w:left w:val="single" w:sz="4" w:space="0" w:color="auto"/>
            </w:tcBorders>
            <w:shd w:val="clear" w:color="auto" w:fill="auto"/>
          </w:tcPr>
          <w:p w14:paraId="3DF0CF58" w14:textId="77777777" w:rsidR="00EC1C40" w:rsidRDefault="00EC1C40">
            <w:pPr>
              <w:framePr w:w="7666" w:h="14698" w:wrap="none" w:vAnchor="page" w:hAnchor="page" w:x="1801" w:y="1392"/>
              <w:rPr>
                <w:sz w:val="10"/>
                <w:szCs w:val="10"/>
              </w:rPr>
            </w:pPr>
          </w:p>
        </w:tc>
        <w:tc>
          <w:tcPr>
            <w:tcW w:w="1037" w:type="dxa"/>
            <w:tcBorders>
              <w:top w:val="single" w:sz="4" w:space="0" w:color="auto"/>
              <w:left w:val="single" w:sz="4" w:space="0" w:color="auto"/>
            </w:tcBorders>
            <w:shd w:val="clear" w:color="auto" w:fill="auto"/>
            <w:vAlign w:val="bottom"/>
          </w:tcPr>
          <w:p w14:paraId="5A4F4653" w14:textId="77777777" w:rsidR="00EC1C40" w:rsidRDefault="00000000">
            <w:pPr>
              <w:pStyle w:val="Jin0"/>
              <w:framePr w:w="7666" w:h="14698" w:wrap="none" w:vAnchor="page" w:hAnchor="page" w:x="1801" w:y="1392"/>
              <w:spacing w:after="0"/>
              <w:ind w:firstLine="620"/>
              <w:jc w:val="both"/>
              <w:rPr>
                <w:sz w:val="15"/>
                <w:szCs w:val="15"/>
              </w:rPr>
            </w:pPr>
            <w:r>
              <w:rPr>
                <w:sz w:val="15"/>
                <w:szCs w:val="15"/>
              </w:rPr>
              <w:t>2 063</w:t>
            </w:r>
          </w:p>
        </w:tc>
        <w:tc>
          <w:tcPr>
            <w:tcW w:w="1214" w:type="dxa"/>
            <w:tcBorders>
              <w:top w:val="single" w:sz="4" w:space="0" w:color="auto"/>
              <w:left w:val="single" w:sz="4" w:space="0" w:color="auto"/>
            </w:tcBorders>
            <w:shd w:val="clear" w:color="auto" w:fill="auto"/>
            <w:vAlign w:val="bottom"/>
          </w:tcPr>
          <w:p w14:paraId="2E49B273" w14:textId="77777777" w:rsidR="00EC1C40" w:rsidRDefault="00000000">
            <w:pPr>
              <w:pStyle w:val="Jin0"/>
              <w:framePr w:w="7666" w:h="14698" w:wrap="none" w:vAnchor="page" w:hAnchor="page" w:x="1801" w:y="1392"/>
              <w:spacing w:after="0"/>
              <w:jc w:val="right"/>
              <w:rPr>
                <w:sz w:val="15"/>
                <w:szCs w:val="15"/>
              </w:rPr>
            </w:pPr>
            <w:r>
              <w:rPr>
                <w:sz w:val="15"/>
                <w:szCs w:val="15"/>
              </w:rPr>
              <w:t>100%</w:t>
            </w:r>
          </w:p>
        </w:tc>
        <w:tc>
          <w:tcPr>
            <w:tcW w:w="1104" w:type="dxa"/>
            <w:tcBorders>
              <w:top w:val="single" w:sz="4" w:space="0" w:color="auto"/>
              <w:left w:val="single" w:sz="4" w:space="0" w:color="auto"/>
              <w:right w:val="single" w:sz="4" w:space="0" w:color="auto"/>
            </w:tcBorders>
            <w:shd w:val="clear" w:color="auto" w:fill="auto"/>
            <w:vAlign w:val="bottom"/>
          </w:tcPr>
          <w:p w14:paraId="5C4FA684" w14:textId="77777777" w:rsidR="00EC1C40" w:rsidRDefault="00000000">
            <w:pPr>
              <w:pStyle w:val="Jin0"/>
              <w:framePr w:w="7666" w:h="14698" w:wrap="none" w:vAnchor="page" w:hAnchor="page" w:x="1801" w:y="1392"/>
              <w:spacing w:after="0"/>
              <w:ind w:firstLine="680"/>
              <w:jc w:val="both"/>
              <w:rPr>
                <w:sz w:val="15"/>
                <w:szCs w:val="15"/>
              </w:rPr>
            </w:pPr>
            <w:r>
              <w:rPr>
                <w:sz w:val="15"/>
                <w:szCs w:val="15"/>
              </w:rPr>
              <w:t>2 063</w:t>
            </w:r>
          </w:p>
        </w:tc>
      </w:tr>
      <w:tr w:rsidR="00EC1C40" w14:paraId="2D3CF7CC" w14:textId="77777777">
        <w:tblPrEx>
          <w:tblCellMar>
            <w:top w:w="0" w:type="dxa"/>
            <w:bottom w:w="0" w:type="dxa"/>
          </w:tblCellMar>
        </w:tblPrEx>
        <w:trPr>
          <w:trHeight w:hRule="exact" w:val="192"/>
        </w:trPr>
        <w:tc>
          <w:tcPr>
            <w:tcW w:w="2640" w:type="dxa"/>
            <w:tcBorders>
              <w:top w:val="single" w:sz="4" w:space="0" w:color="auto"/>
              <w:left w:val="single" w:sz="4" w:space="0" w:color="auto"/>
            </w:tcBorders>
            <w:shd w:val="clear" w:color="auto" w:fill="auto"/>
          </w:tcPr>
          <w:p w14:paraId="6FA7148E" w14:textId="77777777" w:rsidR="00EC1C40" w:rsidRDefault="00000000">
            <w:pPr>
              <w:pStyle w:val="Jin0"/>
              <w:framePr w:w="7666" w:h="14698" w:wrap="none" w:vAnchor="page" w:hAnchor="page" w:x="1801" w:y="1392"/>
              <w:spacing w:after="0"/>
              <w:jc w:val="both"/>
              <w:rPr>
                <w:sz w:val="15"/>
                <w:szCs w:val="15"/>
              </w:rPr>
            </w:pPr>
            <w:r>
              <w:rPr>
                <w:b/>
                <w:bCs/>
                <w:sz w:val="15"/>
                <w:szCs w:val="15"/>
              </w:rPr>
              <w:t>1PP</w:t>
            </w:r>
          </w:p>
        </w:tc>
        <w:tc>
          <w:tcPr>
            <w:tcW w:w="835" w:type="dxa"/>
            <w:tcBorders>
              <w:top w:val="single" w:sz="4" w:space="0" w:color="auto"/>
              <w:left w:val="single" w:sz="4" w:space="0" w:color="auto"/>
            </w:tcBorders>
            <w:shd w:val="clear" w:color="auto" w:fill="auto"/>
          </w:tcPr>
          <w:p w14:paraId="77CC75E8" w14:textId="77777777" w:rsidR="00EC1C40" w:rsidRDefault="00000000">
            <w:pPr>
              <w:pStyle w:val="Jin0"/>
              <w:framePr w:w="7666" w:h="14698" w:wrap="none" w:vAnchor="page" w:hAnchor="page" w:x="1801" w:y="1392"/>
              <w:spacing w:after="0"/>
              <w:ind w:firstLine="420"/>
              <w:jc w:val="both"/>
              <w:rPr>
                <w:sz w:val="15"/>
                <w:szCs w:val="15"/>
              </w:rPr>
            </w:pPr>
            <w:r>
              <w:rPr>
                <w:b/>
                <w:bCs/>
                <w:sz w:val="15"/>
                <w:szCs w:val="15"/>
              </w:rPr>
              <w:t>2 726</w:t>
            </w:r>
          </w:p>
        </w:tc>
        <w:tc>
          <w:tcPr>
            <w:tcW w:w="835" w:type="dxa"/>
            <w:tcBorders>
              <w:top w:val="single" w:sz="4" w:space="0" w:color="auto"/>
              <w:left w:val="single" w:sz="4" w:space="0" w:color="auto"/>
            </w:tcBorders>
            <w:shd w:val="clear" w:color="auto" w:fill="auto"/>
          </w:tcPr>
          <w:p w14:paraId="79D43BE4" w14:textId="77777777" w:rsidR="00EC1C40" w:rsidRDefault="00EC1C40">
            <w:pPr>
              <w:framePr w:w="7666" w:h="14698" w:wrap="none" w:vAnchor="page" w:hAnchor="page" w:x="1801" w:y="1392"/>
              <w:rPr>
                <w:sz w:val="10"/>
                <w:szCs w:val="10"/>
              </w:rPr>
            </w:pPr>
          </w:p>
        </w:tc>
        <w:tc>
          <w:tcPr>
            <w:tcW w:w="1037" w:type="dxa"/>
            <w:tcBorders>
              <w:top w:val="single" w:sz="4" w:space="0" w:color="auto"/>
              <w:left w:val="single" w:sz="4" w:space="0" w:color="auto"/>
            </w:tcBorders>
            <w:shd w:val="clear" w:color="auto" w:fill="auto"/>
          </w:tcPr>
          <w:p w14:paraId="5E0A8859" w14:textId="77777777" w:rsidR="00EC1C40" w:rsidRDefault="00EC1C40">
            <w:pPr>
              <w:framePr w:w="7666" w:h="14698" w:wrap="none" w:vAnchor="page" w:hAnchor="page" w:x="1801" w:y="1392"/>
              <w:rPr>
                <w:sz w:val="10"/>
                <w:szCs w:val="10"/>
              </w:rPr>
            </w:pPr>
          </w:p>
        </w:tc>
        <w:tc>
          <w:tcPr>
            <w:tcW w:w="1214" w:type="dxa"/>
            <w:tcBorders>
              <w:top w:val="single" w:sz="4" w:space="0" w:color="auto"/>
              <w:left w:val="single" w:sz="4" w:space="0" w:color="auto"/>
            </w:tcBorders>
            <w:shd w:val="clear" w:color="auto" w:fill="auto"/>
          </w:tcPr>
          <w:p w14:paraId="551D952C" w14:textId="77777777" w:rsidR="00EC1C40" w:rsidRDefault="00EC1C40">
            <w:pPr>
              <w:framePr w:w="7666" w:h="14698" w:wrap="none" w:vAnchor="page" w:hAnchor="page" w:x="1801" w:y="1392"/>
              <w:rPr>
                <w:sz w:val="10"/>
                <w:szCs w:val="10"/>
              </w:rPr>
            </w:pPr>
          </w:p>
        </w:tc>
        <w:tc>
          <w:tcPr>
            <w:tcW w:w="1104" w:type="dxa"/>
            <w:tcBorders>
              <w:top w:val="single" w:sz="4" w:space="0" w:color="auto"/>
              <w:left w:val="single" w:sz="4" w:space="0" w:color="auto"/>
              <w:right w:val="single" w:sz="4" w:space="0" w:color="auto"/>
            </w:tcBorders>
            <w:shd w:val="clear" w:color="auto" w:fill="auto"/>
          </w:tcPr>
          <w:p w14:paraId="6AF0A6D4" w14:textId="77777777" w:rsidR="00EC1C40" w:rsidRDefault="00EC1C40">
            <w:pPr>
              <w:framePr w:w="7666" w:h="14698" w:wrap="none" w:vAnchor="page" w:hAnchor="page" w:x="1801" w:y="1392"/>
              <w:rPr>
                <w:sz w:val="10"/>
                <w:szCs w:val="10"/>
              </w:rPr>
            </w:pPr>
          </w:p>
        </w:tc>
      </w:tr>
      <w:tr w:rsidR="00EC1C40" w14:paraId="278F6F2C" w14:textId="77777777">
        <w:tblPrEx>
          <w:tblCellMar>
            <w:top w:w="0" w:type="dxa"/>
            <w:bottom w:w="0" w:type="dxa"/>
          </w:tblCellMar>
        </w:tblPrEx>
        <w:trPr>
          <w:trHeight w:hRule="exact" w:val="197"/>
        </w:trPr>
        <w:tc>
          <w:tcPr>
            <w:tcW w:w="2640" w:type="dxa"/>
            <w:tcBorders>
              <w:top w:val="single" w:sz="4" w:space="0" w:color="auto"/>
              <w:left w:val="single" w:sz="4" w:space="0" w:color="auto"/>
            </w:tcBorders>
            <w:shd w:val="clear" w:color="auto" w:fill="auto"/>
          </w:tcPr>
          <w:p w14:paraId="16FB0C6D" w14:textId="77777777" w:rsidR="00EC1C40" w:rsidRDefault="00000000">
            <w:pPr>
              <w:pStyle w:val="Jin0"/>
              <w:framePr w:w="7666" w:h="14698" w:wrap="none" w:vAnchor="page" w:hAnchor="page" w:x="1801" w:y="1392"/>
              <w:spacing w:after="0"/>
              <w:jc w:val="both"/>
              <w:rPr>
                <w:sz w:val="15"/>
                <w:szCs w:val="15"/>
              </w:rPr>
            </w:pPr>
            <w:r>
              <w:rPr>
                <w:sz w:val="15"/>
                <w:szCs w:val="15"/>
              </w:rPr>
              <w:t>HOTEL HOSTÉ</w:t>
            </w:r>
          </w:p>
        </w:tc>
        <w:tc>
          <w:tcPr>
            <w:tcW w:w="835" w:type="dxa"/>
            <w:tcBorders>
              <w:top w:val="single" w:sz="4" w:space="0" w:color="auto"/>
              <w:left w:val="single" w:sz="4" w:space="0" w:color="auto"/>
            </w:tcBorders>
            <w:shd w:val="clear" w:color="auto" w:fill="auto"/>
          </w:tcPr>
          <w:p w14:paraId="381877BB" w14:textId="77777777" w:rsidR="00EC1C40" w:rsidRDefault="00000000">
            <w:pPr>
              <w:pStyle w:val="Jin0"/>
              <w:framePr w:w="7666" w:h="14698" w:wrap="none" w:vAnchor="page" w:hAnchor="page" w:x="1801" w:y="1392"/>
              <w:spacing w:after="0"/>
              <w:ind w:firstLine="540"/>
              <w:jc w:val="both"/>
              <w:rPr>
                <w:sz w:val="15"/>
                <w:szCs w:val="15"/>
              </w:rPr>
            </w:pPr>
            <w:r>
              <w:rPr>
                <w:sz w:val="15"/>
                <w:szCs w:val="15"/>
              </w:rPr>
              <w:t>230</w:t>
            </w:r>
          </w:p>
        </w:tc>
        <w:tc>
          <w:tcPr>
            <w:tcW w:w="835" w:type="dxa"/>
            <w:tcBorders>
              <w:top w:val="single" w:sz="4" w:space="0" w:color="auto"/>
              <w:left w:val="single" w:sz="4" w:space="0" w:color="auto"/>
            </w:tcBorders>
            <w:shd w:val="clear" w:color="auto" w:fill="auto"/>
          </w:tcPr>
          <w:p w14:paraId="1DB61B60" w14:textId="77777777" w:rsidR="00EC1C40" w:rsidRDefault="00EC1C40">
            <w:pPr>
              <w:framePr w:w="7666" w:h="14698" w:wrap="none" w:vAnchor="page" w:hAnchor="page" w:x="1801" w:y="1392"/>
              <w:rPr>
                <w:sz w:val="10"/>
                <w:szCs w:val="10"/>
              </w:rPr>
            </w:pPr>
          </w:p>
        </w:tc>
        <w:tc>
          <w:tcPr>
            <w:tcW w:w="1037" w:type="dxa"/>
            <w:tcBorders>
              <w:top w:val="single" w:sz="4" w:space="0" w:color="auto"/>
              <w:left w:val="single" w:sz="4" w:space="0" w:color="auto"/>
            </w:tcBorders>
            <w:shd w:val="clear" w:color="auto" w:fill="auto"/>
          </w:tcPr>
          <w:p w14:paraId="6E44EE90" w14:textId="77777777" w:rsidR="00EC1C40" w:rsidRDefault="00000000">
            <w:pPr>
              <w:pStyle w:val="Jin0"/>
              <w:framePr w:w="7666" w:h="14698" w:wrap="none" w:vAnchor="page" w:hAnchor="page" w:x="1801" w:y="1392"/>
              <w:spacing w:after="0"/>
              <w:ind w:firstLine="740"/>
              <w:rPr>
                <w:sz w:val="15"/>
                <w:szCs w:val="15"/>
              </w:rPr>
            </w:pPr>
            <w:r>
              <w:rPr>
                <w:sz w:val="15"/>
                <w:szCs w:val="15"/>
              </w:rPr>
              <w:t>230</w:t>
            </w:r>
          </w:p>
        </w:tc>
        <w:tc>
          <w:tcPr>
            <w:tcW w:w="1214" w:type="dxa"/>
            <w:tcBorders>
              <w:top w:val="single" w:sz="4" w:space="0" w:color="auto"/>
              <w:left w:val="single" w:sz="4" w:space="0" w:color="auto"/>
            </w:tcBorders>
            <w:shd w:val="clear" w:color="auto" w:fill="auto"/>
          </w:tcPr>
          <w:p w14:paraId="65810F75" w14:textId="77777777" w:rsidR="00EC1C40" w:rsidRDefault="00000000">
            <w:pPr>
              <w:pStyle w:val="Jin0"/>
              <w:framePr w:w="7666" w:h="14698" w:wrap="none" w:vAnchor="page" w:hAnchor="page" w:x="1801" w:y="1392"/>
              <w:spacing w:after="0"/>
              <w:jc w:val="right"/>
              <w:rPr>
                <w:sz w:val="15"/>
                <w:szCs w:val="15"/>
              </w:rPr>
            </w:pPr>
            <w:r>
              <w:rPr>
                <w:sz w:val="15"/>
                <w:szCs w:val="15"/>
              </w:rPr>
              <w:t>100%</w:t>
            </w:r>
          </w:p>
        </w:tc>
        <w:tc>
          <w:tcPr>
            <w:tcW w:w="1104" w:type="dxa"/>
            <w:tcBorders>
              <w:top w:val="single" w:sz="4" w:space="0" w:color="auto"/>
              <w:left w:val="single" w:sz="4" w:space="0" w:color="auto"/>
              <w:right w:val="single" w:sz="4" w:space="0" w:color="auto"/>
            </w:tcBorders>
            <w:shd w:val="clear" w:color="auto" w:fill="auto"/>
          </w:tcPr>
          <w:p w14:paraId="233AF32B" w14:textId="77777777" w:rsidR="00EC1C40" w:rsidRDefault="00000000">
            <w:pPr>
              <w:pStyle w:val="Jin0"/>
              <w:framePr w:w="7666" w:h="14698" w:wrap="none" w:vAnchor="page" w:hAnchor="page" w:x="1801" w:y="1392"/>
              <w:spacing w:after="0"/>
              <w:jc w:val="right"/>
              <w:rPr>
                <w:sz w:val="15"/>
                <w:szCs w:val="15"/>
              </w:rPr>
            </w:pPr>
            <w:r>
              <w:rPr>
                <w:sz w:val="15"/>
                <w:szCs w:val="15"/>
              </w:rPr>
              <w:t>230</w:t>
            </w:r>
          </w:p>
        </w:tc>
      </w:tr>
      <w:tr w:rsidR="00EC1C40" w14:paraId="6E12744D" w14:textId="77777777">
        <w:tblPrEx>
          <w:tblCellMar>
            <w:top w:w="0" w:type="dxa"/>
            <w:bottom w:w="0" w:type="dxa"/>
          </w:tblCellMar>
        </w:tblPrEx>
        <w:trPr>
          <w:trHeight w:hRule="exact" w:val="197"/>
        </w:trPr>
        <w:tc>
          <w:tcPr>
            <w:tcW w:w="2640" w:type="dxa"/>
            <w:tcBorders>
              <w:top w:val="single" w:sz="4" w:space="0" w:color="auto"/>
              <w:left w:val="single" w:sz="4" w:space="0" w:color="auto"/>
            </w:tcBorders>
            <w:shd w:val="clear" w:color="auto" w:fill="auto"/>
          </w:tcPr>
          <w:p w14:paraId="44A8A774" w14:textId="77777777" w:rsidR="00EC1C40" w:rsidRDefault="00000000">
            <w:pPr>
              <w:pStyle w:val="Jin0"/>
              <w:framePr w:w="7666" w:h="14698" w:wrap="none" w:vAnchor="page" w:hAnchor="page" w:x="1801" w:y="1392"/>
              <w:spacing w:after="0"/>
              <w:jc w:val="both"/>
              <w:rPr>
                <w:sz w:val="15"/>
                <w:szCs w:val="15"/>
              </w:rPr>
            </w:pPr>
            <w:r>
              <w:rPr>
                <w:sz w:val="15"/>
                <w:szCs w:val="15"/>
              </w:rPr>
              <w:t>HOTEL ZÁZEMÍ</w:t>
            </w:r>
          </w:p>
        </w:tc>
        <w:tc>
          <w:tcPr>
            <w:tcW w:w="835" w:type="dxa"/>
            <w:tcBorders>
              <w:top w:val="single" w:sz="4" w:space="0" w:color="auto"/>
              <w:left w:val="single" w:sz="4" w:space="0" w:color="auto"/>
            </w:tcBorders>
            <w:shd w:val="clear" w:color="auto" w:fill="auto"/>
          </w:tcPr>
          <w:p w14:paraId="152CD706" w14:textId="77777777" w:rsidR="00EC1C40" w:rsidRDefault="00000000">
            <w:pPr>
              <w:pStyle w:val="Jin0"/>
              <w:framePr w:w="7666" w:h="14698" w:wrap="none" w:vAnchor="page" w:hAnchor="page" w:x="1801" w:y="1392"/>
              <w:spacing w:after="0"/>
              <w:ind w:firstLine="420"/>
              <w:jc w:val="both"/>
              <w:rPr>
                <w:sz w:val="15"/>
                <w:szCs w:val="15"/>
              </w:rPr>
            </w:pPr>
            <w:r>
              <w:rPr>
                <w:sz w:val="15"/>
                <w:szCs w:val="15"/>
              </w:rPr>
              <w:t>1 016</w:t>
            </w:r>
          </w:p>
        </w:tc>
        <w:tc>
          <w:tcPr>
            <w:tcW w:w="835" w:type="dxa"/>
            <w:tcBorders>
              <w:top w:val="single" w:sz="4" w:space="0" w:color="auto"/>
              <w:left w:val="single" w:sz="4" w:space="0" w:color="auto"/>
            </w:tcBorders>
            <w:shd w:val="clear" w:color="auto" w:fill="auto"/>
          </w:tcPr>
          <w:p w14:paraId="7441B866" w14:textId="77777777" w:rsidR="00EC1C40" w:rsidRDefault="00EC1C40">
            <w:pPr>
              <w:framePr w:w="7666" w:h="14698" w:wrap="none" w:vAnchor="page" w:hAnchor="page" w:x="1801" w:y="1392"/>
              <w:rPr>
                <w:sz w:val="10"/>
                <w:szCs w:val="10"/>
              </w:rPr>
            </w:pPr>
          </w:p>
        </w:tc>
        <w:tc>
          <w:tcPr>
            <w:tcW w:w="1037" w:type="dxa"/>
            <w:tcBorders>
              <w:top w:val="single" w:sz="4" w:space="0" w:color="auto"/>
              <w:left w:val="single" w:sz="4" w:space="0" w:color="auto"/>
            </w:tcBorders>
            <w:shd w:val="clear" w:color="auto" w:fill="auto"/>
          </w:tcPr>
          <w:p w14:paraId="184C1C3D" w14:textId="77777777" w:rsidR="00EC1C40" w:rsidRDefault="00000000">
            <w:pPr>
              <w:pStyle w:val="Jin0"/>
              <w:framePr w:w="7666" w:h="14698" w:wrap="none" w:vAnchor="page" w:hAnchor="page" w:x="1801" w:y="1392"/>
              <w:spacing w:after="0"/>
              <w:ind w:firstLine="620"/>
              <w:jc w:val="both"/>
              <w:rPr>
                <w:sz w:val="15"/>
                <w:szCs w:val="15"/>
              </w:rPr>
            </w:pPr>
            <w:r>
              <w:rPr>
                <w:sz w:val="15"/>
                <w:szCs w:val="15"/>
              </w:rPr>
              <w:t>1 016</w:t>
            </w:r>
          </w:p>
        </w:tc>
        <w:tc>
          <w:tcPr>
            <w:tcW w:w="1214" w:type="dxa"/>
            <w:tcBorders>
              <w:top w:val="single" w:sz="4" w:space="0" w:color="auto"/>
              <w:left w:val="single" w:sz="4" w:space="0" w:color="auto"/>
            </w:tcBorders>
            <w:shd w:val="clear" w:color="auto" w:fill="auto"/>
          </w:tcPr>
          <w:p w14:paraId="3AE41B50" w14:textId="77777777" w:rsidR="00EC1C40" w:rsidRDefault="00000000">
            <w:pPr>
              <w:pStyle w:val="Jin0"/>
              <w:framePr w:w="7666" w:h="14698" w:wrap="none" w:vAnchor="page" w:hAnchor="page" w:x="1801" w:y="1392"/>
              <w:spacing w:after="0"/>
              <w:jc w:val="right"/>
              <w:rPr>
                <w:sz w:val="15"/>
                <w:szCs w:val="15"/>
              </w:rPr>
            </w:pPr>
            <w:r>
              <w:rPr>
                <w:sz w:val="15"/>
                <w:szCs w:val="15"/>
              </w:rPr>
              <w:t>100%</w:t>
            </w:r>
          </w:p>
        </w:tc>
        <w:tc>
          <w:tcPr>
            <w:tcW w:w="1104" w:type="dxa"/>
            <w:tcBorders>
              <w:top w:val="single" w:sz="4" w:space="0" w:color="auto"/>
              <w:left w:val="single" w:sz="4" w:space="0" w:color="auto"/>
              <w:right w:val="single" w:sz="4" w:space="0" w:color="auto"/>
            </w:tcBorders>
            <w:shd w:val="clear" w:color="auto" w:fill="auto"/>
          </w:tcPr>
          <w:p w14:paraId="5BF8AD05" w14:textId="77777777" w:rsidR="00EC1C40" w:rsidRDefault="00000000">
            <w:pPr>
              <w:pStyle w:val="Jin0"/>
              <w:framePr w:w="7666" w:h="14698" w:wrap="none" w:vAnchor="page" w:hAnchor="page" w:x="1801" w:y="1392"/>
              <w:spacing w:after="0"/>
              <w:ind w:firstLine="680"/>
              <w:jc w:val="both"/>
              <w:rPr>
                <w:sz w:val="15"/>
                <w:szCs w:val="15"/>
              </w:rPr>
            </w:pPr>
            <w:r>
              <w:rPr>
                <w:sz w:val="15"/>
                <w:szCs w:val="15"/>
              </w:rPr>
              <w:t>1 016</w:t>
            </w:r>
          </w:p>
        </w:tc>
      </w:tr>
      <w:tr w:rsidR="00EC1C40" w14:paraId="422E497F" w14:textId="77777777">
        <w:tblPrEx>
          <w:tblCellMar>
            <w:top w:w="0" w:type="dxa"/>
            <w:bottom w:w="0" w:type="dxa"/>
          </w:tblCellMar>
        </w:tblPrEx>
        <w:trPr>
          <w:trHeight w:hRule="exact" w:val="192"/>
        </w:trPr>
        <w:tc>
          <w:tcPr>
            <w:tcW w:w="2640" w:type="dxa"/>
            <w:tcBorders>
              <w:top w:val="single" w:sz="4" w:space="0" w:color="auto"/>
              <w:left w:val="single" w:sz="4" w:space="0" w:color="auto"/>
            </w:tcBorders>
            <w:shd w:val="clear" w:color="auto" w:fill="auto"/>
          </w:tcPr>
          <w:p w14:paraId="5504A5DB" w14:textId="77777777" w:rsidR="00EC1C40" w:rsidRDefault="00000000">
            <w:pPr>
              <w:pStyle w:val="Jin0"/>
              <w:framePr w:w="7666" w:h="14698" w:wrap="none" w:vAnchor="page" w:hAnchor="page" w:x="1801" w:y="1392"/>
              <w:spacing w:after="0"/>
              <w:rPr>
                <w:sz w:val="15"/>
                <w:szCs w:val="15"/>
              </w:rPr>
            </w:pPr>
            <w:r>
              <w:rPr>
                <w:sz w:val="15"/>
                <w:szCs w:val="15"/>
                <w:lang w:val="en-US" w:eastAsia="en-US" w:bidi="en-US"/>
              </w:rPr>
              <w:t>PARKING</w:t>
            </w:r>
          </w:p>
        </w:tc>
        <w:tc>
          <w:tcPr>
            <w:tcW w:w="835" w:type="dxa"/>
            <w:tcBorders>
              <w:top w:val="single" w:sz="4" w:space="0" w:color="auto"/>
              <w:left w:val="single" w:sz="4" w:space="0" w:color="auto"/>
            </w:tcBorders>
            <w:shd w:val="clear" w:color="auto" w:fill="auto"/>
          </w:tcPr>
          <w:p w14:paraId="2E5BB460" w14:textId="77777777" w:rsidR="00EC1C40" w:rsidRDefault="00000000">
            <w:pPr>
              <w:pStyle w:val="Jin0"/>
              <w:framePr w:w="7666" w:h="14698" w:wrap="none" w:vAnchor="page" w:hAnchor="page" w:x="1801" w:y="1392"/>
              <w:spacing w:after="0"/>
              <w:ind w:firstLine="420"/>
              <w:jc w:val="both"/>
              <w:rPr>
                <w:sz w:val="15"/>
                <w:szCs w:val="15"/>
              </w:rPr>
            </w:pPr>
            <w:r>
              <w:rPr>
                <w:sz w:val="15"/>
                <w:szCs w:val="15"/>
              </w:rPr>
              <w:t>1 480</w:t>
            </w:r>
          </w:p>
        </w:tc>
        <w:tc>
          <w:tcPr>
            <w:tcW w:w="835" w:type="dxa"/>
            <w:tcBorders>
              <w:top w:val="single" w:sz="4" w:space="0" w:color="auto"/>
              <w:left w:val="single" w:sz="4" w:space="0" w:color="auto"/>
            </w:tcBorders>
            <w:shd w:val="clear" w:color="auto" w:fill="auto"/>
          </w:tcPr>
          <w:p w14:paraId="0F239D58" w14:textId="77777777" w:rsidR="00EC1C40" w:rsidRDefault="00EC1C40">
            <w:pPr>
              <w:framePr w:w="7666" w:h="14698" w:wrap="none" w:vAnchor="page" w:hAnchor="page" w:x="1801" w:y="1392"/>
              <w:rPr>
                <w:sz w:val="10"/>
                <w:szCs w:val="10"/>
              </w:rPr>
            </w:pPr>
          </w:p>
        </w:tc>
        <w:tc>
          <w:tcPr>
            <w:tcW w:w="1037" w:type="dxa"/>
            <w:tcBorders>
              <w:top w:val="single" w:sz="4" w:space="0" w:color="auto"/>
              <w:left w:val="single" w:sz="4" w:space="0" w:color="auto"/>
            </w:tcBorders>
            <w:shd w:val="clear" w:color="auto" w:fill="auto"/>
          </w:tcPr>
          <w:p w14:paraId="645803F8" w14:textId="77777777" w:rsidR="00EC1C40" w:rsidRDefault="00000000">
            <w:pPr>
              <w:pStyle w:val="Jin0"/>
              <w:framePr w:w="7666" w:h="14698" w:wrap="none" w:vAnchor="page" w:hAnchor="page" w:x="1801" w:y="1392"/>
              <w:spacing w:after="0"/>
              <w:ind w:firstLine="620"/>
              <w:jc w:val="both"/>
              <w:rPr>
                <w:sz w:val="15"/>
                <w:szCs w:val="15"/>
              </w:rPr>
            </w:pPr>
            <w:r>
              <w:rPr>
                <w:sz w:val="15"/>
                <w:szCs w:val="15"/>
              </w:rPr>
              <w:t>1 480</w:t>
            </w:r>
          </w:p>
        </w:tc>
        <w:tc>
          <w:tcPr>
            <w:tcW w:w="1214" w:type="dxa"/>
            <w:tcBorders>
              <w:top w:val="single" w:sz="4" w:space="0" w:color="auto"/>
              <w:left w:val="single" w:sz="4" w:space="0" w:color="auto"/>
            </w:tcBorders>
            <w:shd w:val="clear" w:color="auto" w:fill="auto"/>
          </w:tcPr>
          <w:p w14:paraId="1F9D3A7B" w14:textId="77777777" w:rsidR="00EC1C40" w:rsidRDefault="00000000">
            <w:pPr>
              <w:pStyle w:val="Jin0"/>
              <w:framePr w:w="7666" w:h="14698" w:wrap="none" w:vAnchor="page" w:hAnchor="page" w:x="1801" w:y="1392"/>
              <w:spacing w:after="0"/>
              <w:jc w:val="right"/>
              <w:rPr>
                <w:sz w:val="15"/>
                <w:szCs w:val="15"/>
              </w:rPr>
            </w:pPr>
            <w:r>
              <w:rPr>
                <w:sz w:val="15"/>
                <w:szCs w:val="15"/>
              </w:rPr>
              <w:t>100%</w:t>
            </w:r>
          </w:p>
        </w:tc>
        <w:tc>
          <w:tcPr>
            <w:tcW w:w="1104" w:type="dxa"/>
            <w:tcBorders>
              <w:top w:val="single" w:sz="4" w:space="0" w:color="auto"/>
              <w:left w:val="single" w:sz="4" w:space="0" w:color="auto"/>
              <w:right w:val="single" w:sz="4" w:space="0" w:color="auto"/>
            </w:tcBorders>
            <w:shd w:val="clear" w:color="auto" w:fill="auto"/>
          </w:tcPr>
          <w:p w14:paraId="6DD93E0C" w14:textId="77777777" w:rsidR="00EC1C40" w:rsidRDefault="00000000">
            <w:pPr>
              <w:pStyle w:val="Jin0"/>
              <w:framePr w:w="7666" w:h="14698" w:wrap="none" w:vAnchor="page" w:hAnchor="page" w:x="1801" w:y="1392"/>
              <w:spacing w:after="0"/>
              <w:ind w:firstLine="680"/>
              <w:jc w:val="both"/>
              <w:rPr>
                <w:sz w:val="15"/>
                <w:szCs w:val="15"/>
              </w:rPr>
            </w:pPr>
            <w:r>
              <w:rPr>
                <w:sz w:val="15"/>
                <w:szCs w:val="15"/>
              </w:rPr>
              <w:t>1 480</w:t>
            </w:r>
          </w:p>
        </w:tc>
      </w:tr>
      <w:tr w:rsidR="00EC1C40" w14:paraId="66F827D4" w14:textId="77777777">
        <w:tblPrEx>
          <w:tblCellMar>
            <w:top w:w="0" w:type="dxa"/>
            <w:bottom w:w="0" w:type="dxa"/>
          </w:tblCellMar>
        </w:tblPrEx>
        <w:trPr>
          <w:trHeight w:hRule="exact" w:val="197"/>
        </w:trPr>
        <w:tc>
          <w:tcPr>
            <w:tcW w:w="2640" w:type="dxa"/>
            <w:tcBorders>
              <w:top w:val="single" w:sz="4" w:space="0" w:color="auto"/>
              <w:left w:val="single" w:sz="4" w:space="0" w:color="auto"/>
            </w:tcBorders>
            <w:shd w:val="clear" w:color="auto" w:fill="auto"/>
          </w:tcPr>
          <w:p w14:paraId="04C65FC9" w14:textId="77777777" w:rsidR="00EC1C40" w:rsidRDefault="00000000">
            <w:pPr>
              <w:pStyle w:val="Jin0"/>
              <w:framePr w:w="7666" w:h="14698" w:wrap="none" w:vAnchor="page" w:hAnchor="page" w:x="1801" w:y="1392"/>
              <w:spacing w:after="0"/>
              <w:jc w:val="both"/>
              <w:rPr>
                <w:sz w:val="15"/>
                <w:szCs w:val="15"/>
              </w:rPr>
            </w:pPr>
            <w:r>
              <w:rPr>
                <w:b/>
                <w:bCs/>
                <w:sz w:val="15"/>
                <w:szCs w:val="15"/>
              </w:rPr>
              <w:t>1NP</w:t>
            </w:r>
          </w:p>
        </w:tc>
        <w:tc>
          <w:tcPr>
            <w:tcW w:w="835" w:type="dxa"/>
            <w:tcBorders>
              <w:top w:val="single" w:sz="4" w:space="0" w:color="auto"/>
              <w:left w:val="single" w:sz="4" w:space="0" w:color="auto"/>
            </w:tcBorders>
            <w:shd w:val="clear" w:color="auto" w:fill="auto"/>
          </w:tcPr>
          <w:p w14:paraId="495562E8" w14:textId="77777777" w:rsidR="00EC1C40" w:rsidRDefault="00000000">
            <w:pPr>
              <w:pStyle w:val="Jin0"/>
              <w:framePr w:w="7666" w:h="14698" w:wrap="none" w:vAnchor="page" w:hAnchor="page" w:x="1801" w:y="1392"/>
              <w:spacing w:after="0"/>
              <w:ind w:firstLine="420"/>
              <w:jc w:val="both"/>
              <w:rPr>
                <w:sz w:val="15"/>
                <w:szCs w:val="15"/>
              </w:rPr>
            </w:pPr>
            <w:r>
              <w:rPr>
                <w:b/>
                <w:bCs/>
                <w:sz w:val="15"/>
                <w:szCs w:val="15"/>
              </w:rPr>
              <w:t>2 978</w:t>
            </w:r>
          </w:p>
        </w:tc>
        <w:tc>
          <w:tcPr>
            <w:tcW w:w="835" w:type="dxa"/>
            <w:tcBorders>
              <w:top w:val="single" w:sz="4" w:space="0" w:color="auto"/>
              <w:left w:val="single" w:sz="4" w:space="0" w:color="auto"/>
            </w:tcBorders>
            <w:shd w:val="clear" w:color="auto" w:fill="auto"/>
          </w:tcPr>
          <w:p w14:paraId="6BC043A8" w14:textId="77777777" w:rsidR="00EC1C40" w:rsidRDefault="00EC1C40">
            <w:pPr>
              <w:framePr w:w="7666" w:h="14698" w:wrap="none" w:vAnchor="page" w:hAnchor="page" w:x="1801" w:y="1392"/>
              <w:rPr>
                <w:sz w:val="10"/>
                <w:szCs w:val="10"/>
              </w:rPr>
            </w:pPr>
          </w:p>
        </w:tc>
        <w:tc>
          <w:tcPr>
            <w:tcW w:w="1037" w:type="dxa"/>
            <w:tcBorders>
              <w:top w:val="single" w:sz="4" w:space="0" w:color="auto"/>
              <w:left w:val="single" w:sz="4" w:space="0" w:color="auto"/>
            </w:tcBorders>
            <w:shd w:val="clear" w:color="auto" w:fill="auto"/>
          </w:tcPr>
          <w:p w14:paraId="49F07B04" w14:textId="77777777" w:rsidR="00EC1C40" w:rsidRDefault="00EC1C40">
            <w:pPr>
              <w:framePr w:w="7666" w:h="14698" w:wrap="none" w:vAnchor="page" w:hAnchor="page" w:x="1801" w:y="1392"/>
              <w:rPr>
                <w:sz w:val="10"/>
                <w:szCs w:val="10"/>
              </w:rPr>
            </w:pPr>
          </w:p>
        </w:tc>
        <w:tc>
          <w:tcPr>
            <w:tcW w:w="1214" w:type="dxa"/>
            <w:tcBorders>
              <w:top w:val="single" w:sz="4" w:space="0" w:color="auto"/>
              <w:left w:val="single" w:sz="4" w:space="0" w:color="auto"/>
            </w:tcBorders>
            <w:shd w:val="clear" w:color="auto" w:fill="auto"/>
          </w:tcPr>
          <w:p w14:paraId="29AC3361" w14:textId="77777777" w:rsidR="00EC1C40" w:rsidRDefault="00EC1C40">
            <w:pPr>
              <w:framePr w:w="7666" w:h="14698" w:wrap="none" w:vAnchor="page" w:hAnchor="page" w:x="1801" w:y="1392"/>
              <w:rPr>
                <w:sz w:val="10"/>
                <w:szCs w:val="10"/>
              </w:rPr>
            </w:pPr>
          </w:p>
        </w:tc>
        <w:tc>
          <w:tcPr>
            <w:tcW w:w="1104" w:type="dxa"/>
            <w:tcBorders>
              <w:top w:val="single" w:sz="4" w:space="0" w:color="auto"/>
              <w:left w:val="single" w:sz="4" w:space="0" w:color="auto"/>
              <w:right w:val="single" w:sz="4" w:space="0" w:color="auto"/>
            </w:tcBorders>
            <w:shd w:val="clear" w:color="auto" w:fill="auto"/>
          </w:tcPr>
          <w:p w14:paraId="4E3BCB6E" w14:textId="77777777" w:rsidR="00EC1C40" w:rsidRDefault="00EC1C40">
            <w:pPr>
              <w:framePr w:w="7666" w:h="14698" w:wrap="none" w:vAnchor="page" w:hAnchor="page" w:x="1801" w:y="1392"/>
              <w:rPr>
                <w:sz w:val="10"/>
                <w:szCs w:val="10"/>
              </w:rPr>
            </w:pPr>
          </w:p>
        </w:tc>
      </w:tr>
      <w:tr w:rsidR="00EC1C40" w14:paraId="0FC2B7B2" w14:textId="77777777">
        <w:tblPrEx>
          <w:tblCellMar>
            <w:top w:w="0" w:type="dxa"/>
            <w:bottom w:w="0" w:type="dxa"/>
          </w:tblCellMar>
        </w:tblPrEx>
        <w:trPr>
          <w:trHeight w:hRule="exact" w:val="192"/>
        </w:trPr>
        <w:tc>
          <w:tcPr>
            <w:tcW w:w="2640" w:type="dxa"/>
            <w:tcBorders>
              <w:top w:val="single" w:sz="4" w:space="0" w:color="auto"/>
              <w:left w:val="single" w:sz="4" w:space="0" w:color="auto"/>
            </w:tcBorders>
            <w:shd w:val="clear" w:color="auto" w:fill="auto"/>
          </w:tcPr>
          <w:p w14:paraId="591CED4B" w14:textId="77777777" w:rsidR="00EC1C40" w:rsidRDefault="00000000">
            <w:pPr>
              <w:pStyle w:val="Jin0"/>
              <w:framePr w:w="7666" w:h="14698" w:wrap="none" w:vAnchor="page" w:hAnchor="page" w:x="1801" w:y="1392"/>
              <w:spacing w:after="0"/>
              <w:jc w:val="both"/>
              <w:rPr>
                <w:sz w:val="15"/>
                <w:szCs w:val="15"/>
              </w:rPr>
            </w:pPr>
            <w:r>
              <w:rPr>
                <w:sz w:val="15"/>
                <w:szCs w:val="15"/>
              </w:rPr>
              <w:t>HOTEL HOSTÉ</w:t>
            </w:r>
          </w:p>
        </w:tc>
        <w:tc>
          <w:tcPr>
            <w:tcW w:w="835" w:type="dxa"/>
            <w:tcBorders>
              <w:top w:val="single" w:sz="4" w:space="0" w:color="auto"/>
              <w:left w:val="single" w:sz="4" w:space="0" w:color="auto"/>
            </w:tcBorders>
            <w:shd w:val="clear" w:color="auto" w:fill="auto"/>
          </w:tcPr>
          <w:p w14:paraId="45C84B0F" w14:textId="77777777" w:rsidR="00EC1C40" w:rsidRDefault="00000000">
            <w:pPr>
              <w:pStyle w:val="Jin0"/>
              <w:framePr w:w="7666" w:h="14698" w:wrap="none" w:vAnchor="page" w:hAnchor="page" w:x="1801" w:y="1392"/>
              <w:spacing w:after="0"/>
              <w:ind w:firstLine="420"/>
              <w:jc w:val="both"/>
              <w:rPr>
                <w:sz w:val="15"/>
                <w:szCs w:val="15"/>
              </w:rPr>
            </w:pPr>
            <w:r>
              <w:rPr>
                <w:sz w:val="15"/>
                <w:szCs w:val="15"/>
              </w:rPr>
              <w:t>1 014</w:t>
            </w:r>
          </w:p>
        </w:tc>
        <w:tc>
          <w:tcPr>
            <w:tcW w:w="835" w:type="dxa"/>
            <w:tcBorders>
              <w:top w:val="single" w:sz="4" w:space="0" w:color="auto"/>
              <w:left w:val="single" w:sz="4" w:space="0" w:color="auto"/>
            </w:tcBorders>
            <w:shd w:val="clear" w:color="auto" w:fill="auto"/>
          </w:tcPr>
          <w:p w14:paraId="2FF45F1C" w14:textId="77777777" w:rsidR="00EC1C40" w:rsidRDefault="00EC1C40">
            <w:pPr>
              <w:framePr w:w="7666" w:h="14698" w:wrap="none" w:vAnchor="page" w:hAnchor="page" w:x="1801" w:y="1392"/>
              <w:rPr>
                <w:sz w:val="10"/>
                <w:szCs w:val="10"/>
              </w:rPr>
            </w:pPr>
          </w:p>
        </w:tc>
        <w:tc>
          <w:tcPr>
            <w:tcW w:w="1037" w:type="dxa"/>
            <w:tcBorders>
              <w:top w:val="single" w:sz="4" w:space="0" w:color="auto"/>
              <w:left w:val="single" w:sz="4" w:space="0" w:color="auto"/>
            </w:tcBorders>
            <w:shd w:val="clear" w:color="auto" w:fill="auto"/>
          </w:tcPr>
          <w:p w14:paraId="4CF174C9" w14:textId="77777777" w:rsidR="00EC1C40" w:rsidRDefault="00000000">
            <w:pPr>
              <w:pStyle w:val="Jin0"/>
              <w:framePr w:w="7666" w:h="14698" w:wrap="none" w:vAnchor="page" w:hAnchor="page" w:x="1801" w:y="1392"/>
              <w:spacing w:after="0"/>
              <w:ind w:firstLine="620"/>
              <w:jc w:val="both"/>
              <w:rPr>
                <w:sz w:val="15"/>
                <w:szCs w:val="15"/>
              </w:rPr>
            </w:pPr>
            <w:r>
              <w:rPr>
                <w:sz w:val="15"/>
                <w:szCs w:val="15"/>
              </w:rPr>
              <w:t>1 014</w:t>
            </w:r>
          </w:p>
        </w:tc>
        <w:tc>
          <w:tcPr>
            <w:tcW w:w="1214" w:type="dxa"/>
            <w:tcBorders>
              <w:top w:val="single" w:sz="4" w:space="0" w:color="auto"/>
              <w:left w:val="single" w:sz="4" w:space="0" w:color="auto"/>
            </w:tcBorders>
            <w:shd w:val="clear" w:color="auto" w:fill="auto"/>
          </w:tcPr>
          <w:p w14:paraId="661A2506" w14:textId="77777777" w:rsidR="00EC1C40" w:rsidRDefault="00000000">
            <w:pPr>
              <w:pStyle w:val="Jin0"/>
              <w:framePr w:w="7666" w:h="14698" w:wrap="none" w:vAnchor="page" w:hAnchor="page" w:x="1801" w:y="1392"/>
              <w:spacing w:after="0"/>
              <w:jc w:val="right"/>
              <w:rPr>
                <w:sz w:val="15"/>
                <w:szCs w:val="15"/>
              </w:rPr>
            </w:pPr>
            <w:r>
              <w:rPr>
                <w:sz w:val="15"/>
                <w:szCs w:val="15"/>
              </w:rPr>
              <w:t>100%</w:t>
            </w:r>
          </w:p>
        </w:tc>
        <w:tc>
          <w:tcPr>
            <w:tcW w:w="1104" w:type="dxa"/>
            <w:tcBorders>
              <w:top w:val="single" w:sz="4" w:space="0" w:color="auto"/>
              <w:left w:val="single" w:sz="4" w:space="0" w:color="auto"/>
              <w:right w:val="single" w:sz="4" w:space="0" w:color="auto"/>
            </w:tcBorders>
            <w:shd w:val="clear" w:color="auto" w:fill="auto"/>
          </w:tcPr>
          <w:p w14:paraId="140B4780" w14:textId="77777777" w:rsidR="00EC1C40" w:rsidRDefault="00000000">
            <w:pPr>
              <w:pStyle w:val="Jin0"/>
              <w:framePr w:w="7666" w:h="14698" w:wrap="none" w:vAnchor="page" w:hAnchor="page" w:x="1801" w:y="1392"/>
              <w:spacing w:after="0"/>
              <w:ind w:firstLine="680"/>
              <w:jc w:val="both"/>
              <w:rPr>
                <w:sz w:val="15"/>
                <w:szCs w:val="15"/>
              </w:rPr>
            </w:pPr>
            <w:r>
              <w:rPr>
                <w:sz w:val="15"/>
                <w:szCs w:val="15"/>
              </w:rPr>
              <w:t>1 014</w:t>
            </w:r>
          </w:p>
        </w:tc>
      </w:tr>
      <w:tr w:rsidR="00EC1C40" w14:paraId="30576C1F" w14:textId="77777777">
        <w:tblPrEx>
          <w:tblCellMar>
            <w:top w:w="0" w:type="dxa"/>
            <w:bottom w:w="0" w:type="dxa"/>
          </w:tblCellMar>
        </w:tblPrEx>
        <w:trPr>
          <w:trHeight w:hRule="exact" w:val="197"/>
        </w:trPr>
        <w:tc>
          <w:tcPr>
            <w:tcW w:w="2640" w:type="dxa"/>
            <w:tcBorders>
              <w:top w:val="single" w:sz="4" w:space="0" w:color="auto"/>
              <w:left w:val="single" w:sz="4" w:space="0" w:color="auto"/>
            </w:tcBorders>
            <w:shd w:val="clear" w:color="auto" w:fill="auto"/>
          </w:tcPr>
          <w:p w14:paraId="3C0DD200" w14:textId="77777777" w:rsidR="00EC1C40" w:rsidRDefault="00000000">
            <w:pPr>
              <w:pStyle w:val="Jin0"/>
              <w:framePr w:w="7666" w:h="14698" w:wrap="none" w:vAnchor="page" w:hAnchor="page" w:x="1801" w:y="1392"/>
              <w:spacing w:after="0"/>
              <w:jc w:val="both"/>
              <w:rPr>
                <w:sz w:val="15"/>
                <w:szCs w:val="15"/>
              </w:rPr>
            </w:pPr>
            <w:r>
              <w:rPr>
                <w:sz w:val="15"/>
                <w:szCs w:val="15"/>
              </w:rPr>
              <w:t>HOTEL ZÁZEMÍ</w:t>
            </w:r>
          </w:p>
        </w:tc>
        <w:tc>
          <w:tcPr>
            <w:tcW w:w="835" w:type="dxa"/>
            <w:tcBorders>
              <w:top w:val="single" w:sz="4" w:space="0" w:color="auto"/>
              <w:left w:val="single" w:sz="4" w:space="0" w:color="auto"/>
            </w:tcBorders>
            <w:shd w:val="clear" w:color="auto" w:fill="auto"/>
          </w:tcPr>
          <w:p w14:paraId="793E1586" w14:textId="77777777" w:rsidR="00EC1C40" w:rsidRDefault="00000000">
            <w:pPr>
              <w:pStyle w:val="Jin0"/>
              <w:framePr w:w="7666" w:h="14698" w:wrap="none" w:vAnchor="page" w:hAnchor="page" w:x="1801" w:y="1392"/>
              <w:spacing w:after="0"/>
              <w:ind w:firstLine="540"/>
              <w:jc w:val="both"/>
              <w:rPr>
                <w:sz w:val="15"/>
                <w:szCs w:val="15"/>
              </w:rPr>
            </w:pPr>
            <w:r>
              <w:rPr>
                <w:sz w:val="15"/>
                <w:szCs w:val="15"/>
              </w:rPr>
              <w:t>352</w:t>
            </w:r>
          </w:p>
        </w:tc>
        <w:tc>
          <w:tcPr>
            <w:tcW w:w="835" w:type="dxa"/>
            <w:tcBorders>
              <w:top w:val="single" w:sz="4" w:space="0" w:color="auto"/>
              <w:left w:val="single" w:sz="4" w:space="0" w:color="auto"/>
            </w:tcBorders>
            <w:shd w:val="clear" w:color="auto" w:fill="auto"/>
          </w:tcPr>
          <w:p w14:paraId="5DCCB97A" w14:textId="77777777" w:rsidR="00EC1C40" w:rsidRDefault="00EC1C40">
            <w:pPr>
              <w:framePr w:w="7666" w:h="14698" w:wrap="none" w:vAnchor="page" w:hAnchor="page" w:x="1801" w:y="1392"/>
              <w:rPr>
                <w:sz w:val="10"/>
                <w:szCs w:val="10"/>
              </w:rPr>
            </w:pPr>
          </w:p>
        </w:tc>
        <w:tc>
          <w:tcPr>
            <w:tcW w:w="1037" w:type="dxa"/>
            <w:tcBorders>
              <w:top w:val="single" w:sz="4" w:space="0" w:color="auto"/>
              <w:left w:val="single" w:sz="4" w:space="0" w:color="auto"/>
            </w:tcBorders>
            <w:shd w:val="clear" w:color="auto" w:fill="auto"/>
          </w:tcPr>
          <w:p w14:paraId="11F46AA5" w14:textId="77777777" w:rsidR="00EC1C40" w:rsidRDefault="00000000">
            <w:pPr>
              <w:pStyle w:val="Jin0"/>
              <w:framePr w:w="7666" w:h="14698" w:wrap="none" w:vAnchor="page" w:hAnchor="page" w:x="1801" w:y="1392"/>
              <w:spacing w:after="0"/>
              <w:ind w:firstLine="740"/>
              <w:rPr>
                <w:sz w:val="15"/>
                <w:szCs w:val="15"/>
              </w:rPr>
            </w:pPr>
            <w:r>
              <w:rPr>
                <w:sz w:val="15"/>
                <w:szCs w:val="15"/>
              </w:rPr>
              <w:t>352</w:t>
            </w:r>
          </w:p>
        </w:tc>
        <w:tc>
          <w:tcPr>
            <w:tcW w:w="1214" w:type="dxa"/>
            <w:tcBorders>
              <w:top w:val="single" w:sz="4" w:space="0" w:color="auto"/>
              <w:left w:val="single" w:sz="4" w:space="0" w:color="auto"/>
            </w:tcBorders>
            <w:shd w:val="clear" w:color="auto" w:fill="auto"/>
          </w:tcPr>
          <w:p w14:paraId="68ABEFF1" w14:textId="77777777" w:rsidR="00EC1C40" w:rsidRDefault="00000000">
            <w:pPr>
              <w:pStyle w:val="Jin0"/>
              <w:framePr w:w="7666" w:h="14698" w:wrap="none" w:vAnchor="page" w:hAnchor="page" w:x="1801" w:y="1392"/>
              <w:spacing w:after="0"/>
              <w:jc w:val="right"/>
              <w:rPr>
                <w:sz w:val="15"/>
                <w:szCs w:val="15"/>
              </w:rPr>
            </w:pPr>
            <w:r>
              <w:rPr>
                <w:sz w:val="15"/>
                <w:szCs w:val="15"/>
              </w:rPr>
              <w:t>100%</w:t>
            </w:r>
          </w:p>
        </w:tc>
        <w:tc>
          <w:tcPr>
            <w:tcW w:w="1104" w:type="dxa"/>
            <w:tcBorders>
              <w:top w:val="single" w:sz="4" w:space="0" w:color="auto"/>
              <w:left w:val="single" w:sz="4" w:space="0" w:color="auto"/>
              <w:right w:val="single" w:sz="4" w:space="0" w:color="auto"/>
            </w:tcBorders>
            <w:shd w:val="clear" w:color="auto" w:fill="auto"/>
          </w:tcPr>
          <w:p w14:paraId="2720CCA4" w14:textId="77777777" w:rsidR="00EC1C40" w:rsidRDefault="00000000">
            <w:pPr>
              <w:pStyle w:val="Jin0"/>
              <w:framePr w:w="7666" w:h="14698" w:wrap="none" w:vAnchor="page" w:hAnchor="page" w:x="1801" w:y="1392"/>
              <w:spacing w:after="0"/>
              <w:jc w:val="right"/>
              <w:rPr>
                <w:sz w:val="15"/>
                <w:szCs w:val="15"/>
              </w:rPr>
            </w:pPr>
            <w:r>
              <w:rPr>
                <w:sz w:val="15"/>
                <w:szCs w:val="15"/>
              </w:rPr>
              <w:t>352</w:t>
            </w:r>
          </w:p>
        </w:tc>
      </w:tr>
      <w:tr w:rsidR="00EC1C40" w14:paraId="08155B41" w14:textId="77777777">
        <w:tblPrEx>
          <w:tblCellMar>
            <w:top w:w="0" w:type="dxa"/>
            <w:bottom w:w="0" w:type="dxa"/>
          </w:tblCellMar>
        </w:tblPrEx>
        <w:trPr>
          <w:trHeight w:hRule="exact" w:val="192"/>
        </w:trPr>
        <w:tc>
          <w:tcPr>
            <w:tcW w:w="2640" w:type="dxa"/>
            <w:tcBorders>
              <w:top w:val="single" w:sz="4" w:space="0" w:color="auto"/>
              <w:left w:val="single" w:sz="4" w:space="0" w:color="auto"/>
            </w:tcBorders>
            <w:shd w:val="clear" w:color="auto" w:fill="auto"/>
          </w:tcPr>
          <w:p w14:paraId="24DBB21D" w14:textId="77777777" w:rsidR="00EC1C40" w:rsidRDefault="00000000">
            <w:pPr>
              <w:pStyle w:val="Jin0"/>
              <w:framePr w:w="7666" w:h="14698" w:wrap="none" w:vAnchor="page" w:hAnchor="page" w:x="1801" w:y="1392"/>
              <w:spacing w:after="0"/>
              <w:rPr>
                <w:sz w:val="15"/>
                <w:szCs w:val="15"/>
              </w:rPr>
            </w:pPr>
            <w:r>
              <w:rPr>
                <w:sz w:val="15"/>
                <w:szCs w:val="15"/>
              </w:rPr>
              <w:t>KONGRES</w:t>
            </w:r>
          </w:p>
        </w:tc>
        <w:tc>
          <w:tcPr>
            <w:tcW w:w="835" w:type="dxa"/>
            <w:tcBorders>
              <w:top w:val="single" w:sz="4" w:space="0" w:color="auto"/>
              <w:left w:val="single" w:sz="4" w:space="0" w:color="auto"/>
            </w:tcBorders>
            <w:shd w:val="clear" w:color="auto" w:fill="auto"/>
          </w:tcPr>
          <w:p w14:paraId="1B4CB5A4" w14:textId="77777777" w:rsidR="00EC1C40" w:rsidRDefault="00000000">
            <w:pPr>
              <w:pStyle w:val="Jin0"/>
              <w:framePr w:w="7666" w:h="14698" w:wrap="none" w:vAnchor="page" w:hAnchor="page" w:x="1801" w:y="1392"/>
              <w:spacing w:after="0"/>
              <w:ind w:firstLine="420"/>
              <w:jc w:val="both"/>
              <w:rPr>
                <w:sz w:val="15"/>
                <w:szCs w:val="15"/>
              </w:rPr>
            </w:pPr>
            <w:r>
              <w:rPr>
                <w:sz w:val="15"/>
                <w:szCs w:val="15"/>
              </w:rPr>
              <w:t>1 612</w:t>
            </w:r>
          </w:p>
        </w:tc>
        <w:tc>
          <w:tcPr>
            <w:tcW w:w="835" w:type="dxa"/>
            <w:tcBorders>
              <w:top w:val="single" w:sz="4" w:space="0" w:color="auto"/>
              <w:left w:val="single" w:sz="4" w:space="0" w:color="auto"/>
            </w:tcBorders>
            <w:shd w:val="clear" w:color="auto" w:fill="auto"/>
          </w:tcPr>
          <w:p w14:paraId="68E10368" w14:textId="77777777" w:rsidR="00EC1C40" w:rsidRDefault="00EC1C40">
            <w:pPr>
              <w:framePr w:w="7666" w:h="14698" w:wrap="none" w:vAnchor="page" w:hAnchor="page" w:x="1801" w:y="1392"/>
              <w:rPr>
                <w:sz w:val="10"/>
                <w:szCs w:val="10"/>
              </w:rPr>
            </w:pPr>
          </w:p>
        </w:tc>
        <w:tc>
          <w:tcPr>
            <w:tcW w:w="1037" w:type="dxa"/>
            <w:tcBorders>
              <w:top w:val="single" w:sz="4" w:space="0" w:color="auto"/>
              <w:left w:val="single" w:sz="4" w:space="0" w:color="auto"/>
            </w:tcBorders>
            <w:shd w:val="clear" w:color="auto" w:fill="auto"/>
          </w:tcPr>
          <w:p w14:paraId="1B4C9AC7" w14:textId="77777777" w:rsidR="00EC1C40" w:rsidRDefault="00000000">
            <w:pPr>
              <w:pStyle w:val="Jin0"/>
              <w:framePr w:w="7666" w:h="14698" w:wrap="none" w:vAnchor="page" w:hAnchor="page" w:x="1801" w:y="1392"/>
              <w:spacing w:after="0"/>
              <w:ind w:firstLine="620"/>
              <w:jc w:val="both"/>
              <w:rPr>
                <w:sz w:val="15"/>
                <w:szCs w:val="15"/>
              </w:rPr>
            </w:pPr>
            <w:r>
              <w:rPr>
                <w:sz w:val="15"/>
                <w:szCs w:val="15"/>
              </w:rPr>
              <w:t>1 612</w:t>
            </w:r>
          </w:p>
        </w:tc>
        <w:tc>
          <w:tcPr>
            <w:tcW w:w="1214" w:type="dxa"/>
            <w:tcBorders>
              <w:top w:val="single" w:sz="4" w:space="0" w:color="auto"/>
              <w:left w:val="single" w:sz="4" w:space="0" w:color="auto"/>
            </w:tcBorders>
            <w:shd w:val="clear" w:color="auto" w:fill="auto"/>
          </w:tcPr>
          <w:p w14:paraId="64DA90A5" w14:textId="77777777" w:rsidR="00EC1C40" w:rsidRDefault="00000000">
            <w:pPr>
              <w:pStyle w:val="Jin0"/>
              <w:framePr w:w="7666" w:h="14698" w:wrap="none" w:vAnchor="page" w:hAnchor="page" w:x="1801" w:y="1392"/>
              <w:spacing w:after="0"/>
              <w:jc w:val="right"/>
              <w:rPr>
                <w:sz w:val="15"/>
                <w:szCs w:val="15"/>
              </w:rPr>
            </w:pPr>
            <w:r>
              <w:rPr>
                <w:sz w:val="15"/>
                <w:szCs w:val="15"/>
              </w:rPr>
              <w:t>100%</w:t>
            </w:r>
          </w:p>
        </w:tc>
        <w:tc>
          <w:tcPr>
            <w:tcW w:w="1104" w:type="dxa"/>
            <w:tcBorders>
              <w:top w:val="single" w:sz="4" w:space="0" w:color="auto"/>
              <w:left w:val="single" w:sz="4" w:space="0" w:color="auto"/>
              <w:right w:val="single" w:sz="4" w:space="0" w:color="auto"/>
            </w:tcBorders>
            <w:shd w:val="clear" w:color="auto" w:fill="auto"/>
          </w:tcPr>
          <w:p w14:paraId="2FEBE74E" w14:textId="77777777" w:rsidR="00EC1C40" w:rsidRDefault="00000000">
            <w:pPr>
              <w:pStyle w:val="Jin0"/>
              <w:framePr w:w="7666" w:h="14698" w:wrap="none" w:vAnchor="page" w:hAnchor="page" w:x="1801" w:y="1392"/>
              <w:spacing w:after="0"/>
              <w:ind w:firstLine="680"/>
              <w:jc w:val="both"/>
              <w:rPr>
                <w:sz w:val="15"/>
                <w:szCs w:val="15"/>
              </w:rPr>
            </w:pPr>
            <w:r>
              <w:rPr>
                <w:sz w:val="15"/>
                <w:szCs w:val="15"/>
              </w:rPr>
              <w:t>1 612</w:t>
            </w:r>
          </w:p>
        </w:tc>
      </w:tr>
      <w:tr w:rsidR="00EC1C40" w14:paraId="69725F98" w14:textId="77777777">
        <w:tblPrEx>
          <w:tblCellMar>
            <w:top w:w="0" w:type="dxa"/>
            <w:bottom w:w="0" w:type="dxa"/>
          </w:tblCellMar>
        </w:tblPrEx>
        <w:trPr>
          <w:trHeight w:hRule="exact" w:val="197"/>
        </w:trPr>
        <w:tc>
          <w:tcPr>
            <w:tcW w:w="2640" w:type="dxa"/>
            <w:tcBorders>
              <w:top w:val="single" w:sz="4" w:space="0" w:color="auto"/>
              <w:left w:val="single" w:sz="4" w:space="0" w:color="auto"/>
            </w:tcBorders>
            <w:shd w:val="clear" w:color="auto" w:fill="auto"/>
          </w:tcPr>
          <w:p w14:paraId="365A7DC4" w14:textId="77777777" w:rsidR="00EC1C40" w:rsidRDefault="00000000">
            <w:pPr>
              <w:pStyle w:val="Jin0"/>
              <w:framePr w:w="7666" w:h="14698" w:wrap="none" w:vAnchor="page" w:hAnchor="page" w:x="1801" w:y="1392"/>
              <w:spacing w:after="0"/>
              <w:jc w:val="both"/>
              <w:rPr>
                <w:sz w:val="15"/>
                <w:szCs w:val="15"/>
              </w:rPr>
            </w:pPr>
            <w:r>
              <w:rPr>
                <w:b/>
                <w:bCs/>
                <w:sz w:val="15"/>
                <w:szCs w:val="15"/>
              </w:rPr>
              <w:t>2NP</w:t>
            </w:r>
          </w:p>
        </w:tc>
        <w:tc>
          <w:tcPr>
            <w:tcW w:w="835" w:type="dxa"/>
            <w:tcBorders>
              <w:top w:val="single" w:sz="4" w:space="0" w:color="auto"/>
              <w:left w:val="single" w:sz="4" w:space="0" w:color="auto"/>
            </w:tcBorders>
            <w:shd w:val="clear" w:color="auto" w:fill="auto"/>
          </w:tcPr>
          <w:p w14:paraId="4897A809" w14:textId="77777777" w:rsidR="00EC1C40" w:rsidRDefault="00000000">
            <w:pPr>
              <w:pStyle w:val="Jin0"/>
              <w:framePr w:w="7666" w:h="14698" w:wrap="none" w:vAnchor="page" w:hAnchor="page" w:x="1801" w:y="1392"/>
              <w:spacing w:after="0"/>
              <w:ind w:firstLine="420"/>
              <w:jc w:val="both"/>
              <w:rPr>
                <w:sz w:val="15"/>
                <w:szCs w:val="15"/>
              </w:rPr>
            </w:pPr>
            <w:r>
              <w:rPr>
                <w:b/>
                <w:bCs/>
                <w:sz w:val="15"/>
                <w:szCs w:val="15"/>
              </w:rPr>
              <w:t>2 311</w:t>
            </w:r>
          </w:p>
        </w:tc>
        <w:tc>
          <w:tcPr>
            <w:tcW w:w="835" w:type="dxa"/>
            <w:tcBorders>
              <w:top w:val="single" w:sz="4" w:space="0" w:color="auto"/>
              <w:left w:val="single" w:sz="4" w:space="0" w:color="auto"/>
            </w:tcBorders>
            <w:shd w:val="clear" w:color="auto" w:fill="auto"/>
          </w:tcPr>
          <w:p w14:paraId="7D164752" w14:textId="77777777" w:rsidR="00EC1C40" w:rsidRDefault="00EC1C40">
            <w:pPr>
              <w:framePr w:w="7666" w:h="14698" w:wrap="none" w:vAnchor="page" w:hAnchor="page" w:x="1801" w:y="1392"/>
              <w:rPr>
                <w:sz w:val="10"/>
                <w:szCs w:val="10"/>
              </w:rPr>
            </w:pPr>
          </w:p>
        </w:tc>
        <w:tc>
          <w:tcPr>
            <w:tcW w:w="1037" w:type="dxa"/>
            <w:tcBorders>
              <w:top w:val="single" w:sz="4" w:space="0" w:color="auto"/>
              <w:left w:val="single" w:sz="4" w:space="0" w:color="auto"/>
            </w:tcBorders>
            <w:shd w:val="clear" w:color="auto" w:fill="auto"/>
          </w:tcPr>
          <w:p w14:paraId="5ABAFDC3" w14:textId="77777777" w:rsidR="00EC1C40" w:rsidRDefault="00EC1C40">
            <w:pPr>
              <w:framePr w:w="7666" w:h="14698" w:wrap="none" w:vAnchor="page" w:hAnchor="page" w:x="1801" w:y="1392"/>
              <w:rPr>
                <w:sz w:val="10"/>
                <w:szCs w:val="10"/>
              </w:rPr>
            </w:pPr>
          </w:p>
        </w:tc>
        <w:tc>
          <w:tcPr>
            <w:tcW w:w="1214" w:type="dxa"/>
            <w:tcBorders>
              <w:top w:val="single" w:sz="4" w:space="0" w:color="auto"/>
              <w:left w:val="single" w:sz="4" w:space="0" w:color="auto"/>
            </w:tcBorders>
            <w:shd w:val="clear" w:color="auto" w:fill="auto"/>
          </w:tcPr>
          <w:p w14:paraId="52A60E1C" w14:textId="77777777" w:rsidR="00EC1C40" w:rsidRDefault="00EC1C40">
            <w:pPr>
              <w:framePr w:w="7666" w:h="14698" w:wrap="none" w:vAnchor="page" w:hAnchor="page" w:x="1801" w:y="1392"/>
              <w:rPr>
                <w:sz w:val="10"/>
                <w:szCs w:val="10"/>
              </w:rPr>
            </w:pPr>
          </w:p>
        </w:tc>
        <w:tc>
          <w:tcPr>
            <w:tcW w:w="1104" w:type="dxa"/>
            <w:tcBorders>
              <w:top w:val="single" w:sz="4" w:space="0" w:color="auto"/>
              <w:left w:val="single" w:sz="4" w:space="0" w:color="auto"/>
              <w:right w:val="single" w:sz="4" w:space="0" w:color="auto"/>
            </w:tcBorders>
            <w:shd w:val="clear" w:color="auto" w:fill="auto"/>
          </w:tcPr>
          <w:p w14:paraId="47783412" w14:textId="77777777" w:rsidR="00EC1C40" w:rsidRDefault="00EC1C40">
            <w:pPr>
              <w:framePr w:w="7666" w:h="14698" w:wrap="none" w:vAnchor="page" w:hAnchor="page" w:x="1801" w:y="1392"/>
              <w:rPr>
                <w:sz w:val="10"/>
                <w:szCs w:val="10"/>
              </w:rPr>
            </w:pPr>
          </w:p>
        </w:tc>
      </w:tr>
      <w:tr w:rsidR="00EC1C40" w14:paraId="5CCA0596" w14:textId="77777777">
        <w:tblPrEx>
          <w:tblCellMar>
            <w:top w:w="0" w:type="dxa"/>
            <w:bottom w:w="0" w:type="dxa"/>
          </w:tblCellMar>
        </w:tblPrEx>
        <w:trPr>
          <w:trHeight w:hRule="exact" w:val="192"/>
        </w:trPr>
        <w:tc>
          <w:tcPr>
            <w:tcW w:w="2640" w:type="dxa"/>
            <w:tcBorders>
              <w:top w:val="single" w:sz="4" w:space="0" w:color="auto"/>
              <w:left w:val="single" w:sz="4" w:space="0" w:color="auto"/>
            </w:tcBorders>
            <w:shd w:val="clear" w:color="auto" w:fill="auto"/>
          </w:tcPr>
          <w:p w14:paraId="63CA27E1" w14:textId="77777777" w:rsidR="00EC1C40" w:rsidRDefault="00000000">
            <w:pPr>
              <w:pStyle w:val="Jin0"/>
              <w:framePr w:w="7666" w:h="14698" w:wrap="none" w:vAnchor="page" w:hAnchor="page" w:x="1801" w:y="1392"/>
              <w:spacing w:after="0"/>
              <w:jc w:val="both"/>
              <w:rPr>
                <w:sz w:val="15"/>
                <w:szCs w:val="15"/>
              </w:rPr>
            </w:pPr>
            <w:r>
              <w:rPr>
                <w:sz w:val="15"/>
                <w:szCs w:val="15"/>
              </w:rPr>
              <w:t>E-SPORT</w:t>
            </w:r>
          </w:p>
        </w:tc>
        <w:tc>
          <w:tcPr>
            <w:tcW w:w="835" w:type="dxa"/>
            <w:tcBorders>
              <w:top w:val="single" w:sz="4" w:space="0" w:color="auto"/>
              <w:left w:val="single" w:sz="4" w:space="0" w:color="auto"/>
            </w:tcBorders>
            <w:shd w:val="clear" w:color="auto" w:fill="auto"/>
          </w:tcPr>
          <w:p w14:paraId="5D68BE86" w14:textId="77777777" w:rsidR="00EC1C40" w:rsidRDefault="00000000">
            <w:pPr>
              <w:pStyle w:val="Jin0"/>
              <w:framePr w:w="7666" w:h="14698" w:wrap="none" w:vAnchor="page" w:hAnchor="page" w:x="1801" w:y="1392"/>
              <w:spacing w:after="0"/>
              <w:ind w:firstLine="540"/>
              <w:jc w:val="both"/>
              <w:rPr>
                <w:sz w:val="15"/>
                <w:szCs w:val="15"/>
              </w:rPr>
            </w:pPr>
            <w:r>
              <w:rPr>
                <w:sz w:val="15"/>
                <w:szCs w:val="15"/>
              </w:rPr>
              <w:t>767</w:t>
            </w:r>
          </w:p>
        </w:tc>
        <w:tc>
          <w:tcPr>
            <w:tcW w:w="835" w:type="dxa"/>
            <w:tcBorders>
              <w:top w:val="single" w:sz="4" w:space="0" w:color="auto"/>
              <w:left w:val="single" w:sz="4" w:space="0" w:color="auto"/>
            </w:tcBorders>
            <w:shd w:val="clear" w:color="auto" w:fill="auto"/>
          </w:tcPr>
          <w:p w14:paraId="16620814" w14:textId="77777777" w:rsidR="00EC1C40" w:rsidRDefault="00EC1C40">
            <w:pPr>
              <w:framePr w:w="7666" w:h="14698" w:wrap="none" w:vAnchor="page" w:hAnchor="page" w:x="1801" w:y="1392"/>
              <w:rPr>
                <w:sz w:val="10"/>
                <w:szCs w:val="10"/>
              </w:rPr>
            </w:pPr>
          </w:p>
        </w:tc>
        <w:tc>
          <w:tcPr>
            <w:tcW w:w="1037" w:type="dxa"/>
            <w:tcBorders>
              <w:top w:val="single" w:sz="4" w:space="0" w:color="auto"/>
              <w:left w:val="single" w:sz="4" w:space="0" w:color="auto"/>
            </w:tcBorders>
            <w:shd w:val="clear" w:color="auto" w:fill="auto"/>
          </w:tcPr>
          <w:p w14:paraId="49DCA23C" w14:textId="77777777" w:rsidR="00EC1C40" w:rsidRDefault="00000000">
            <w:pPr>
              <w:pStyle w:val="Jin0"/>
              <w:framePr w:w="7666" w:h="14698" w:wrap="none" w:vAnchor="page" w:hAnchor="page" w:x="1801" w:y="1392"/>
              <w:spacing w:after="0"/>
              <w:ind w:firstLine="740"/>
              <w:rPr>
                <w:sz w:val="15"/>
                <w:szCs w:val="15"/>
              </w:rPr>
            </w:pPr>
            <w:r>
              <w:rPr>
                <w:sz w:val="15"/>
                <w:szCs w:val="15"/>
              </w:rPr>
              <w:t>767</w:t>
            </w:r>
          </w:p>
        </w:tc>
        <w:tc>
          <w:tcPr>
            <w:tcW w:w="1214" w:type="dxa"/>
            <w:tcBorders>
              <w:top w:val="single" w:sz="4" w:space="0" w:color="auto"/>
              <w:left w:val="single" w:sz="4" w:space="0" w:color="auto"/>
            </w:tcBorders>
            <w:shd w:val="clear" w:color="auto" w:fill="auto"/>
          </w:tcPr>
          <w:p w14:paraId="3048AFC4" w14:textId="77777777" w:rsidR="00EC1C40" w:rsidRDefault="00000000">
            <w:pPr>
              <w:pStyle w:val="Jin0"/>
              <w:framePr w:w="7666" w:h="14698" w:wrap="none" w:vAnchor="page" w:hAnchor="page" w:x="1801" w:y="1392"/>
              <w:spacing w:after="0"/>
              <w:jc w:val="right"/>
              <w:rPr>
                <w:sz w:val="15"/>
                <w:szCs w:val="15"/>
              </w:rPr>
            </w:pPr>
            <w:r>
              <w:rPr>
                <w:sz w:val="15"/>
                <w:szCs w:val="15"/>
              </w:rPr>
              <w:t>100%</w:t>
            </w:r>
          </w:p>
        </w:tc>
        <w:tc>
          <w:tcPr>
            <w:tcW w:w="1104" w:type="dxa"/>
            <w:tcBorders>
              <w:top w:val="single" w:sz="4" w:space="0" w:color="auto"/>
              <w:left w:val="single" w:sz="4" w:space="0" w:color="auto"/>
              <w:right w:val="single" w:sz="4" w:space="0" w:color="auto"/>
            </w:tcBorders>
            <w:shd w:val="clear" w:color="auto" w:fill="auto"/>
          </w:tcPr>
          <w:p w14:paraId="6F8BAF1E" w14:textId="77777777" w:rsidR="00EC1C40" w:rsidRDefault="00000000">
            <w:pPr>
              <w:pStyle w:val="Jin0"/>
              <w:framePr w:w="7666" w:h="14698" w:wrap="none" w:vAnchor="page" w:hAnchor="page" w:x="1801" w:y="1392"/>
              <w:spacing w:after="0"/>
              <w:jc w:val="right"/>
              <w:rPr>
                <w:sz w:val="15"/>
                <w:szCs w:val="15"/>
              </w:rPr>
            </w:pPr>
            <w:r>
              <w:rPr>
                <w:sz w:val="15"/>
                <w:szCs w:val="15"/>
              </w:rPr>
              <w:t>767</w:t>
            </w:r>
          </w:p>
        </w:tc>
      </w:tr>
      <w:tr w:rsidR="00EC1C40" w14:paraId="16E56DC6" w14:textId="77777777">
        <w:tblPrEx>
          <w:tblCellMar>
            <w:top w:w="0" w:type="dxa"/>
            <w:bottom w:w="0" w:type="dxa"/>
          </w:tblCellMar>
        </w:tblPrEx>
        <w:trPr>
          <w:trHeight w:hRule="exact" w:val="192"/>
        </w:trPr>
        <w:tc>
          <w:tcPr>
            <w:tcW w:w="2640" w:type="dxa"/>
            <w:tcBorders>
              <w:top w:val="single" w:sz="4" w:space="0" w:color="auto"/>
              <w:left w:val="single" w:sz="4" w:space="0" w:color="auto"/>
            </w:tcBorders>
            <w:shd w:val="clear" w:color="auto" w:fill="auto"/>
          </w:tcPr>
          <w:p w14:paraId="4D4536B7" w14:textId="77777777" w:rsidR="00EC1C40" w:rsidRDefault="00000000">
            <w:pPr>
              <w:pStyle w:val="Jin0"/>
              <w:framePr w:w="7666" w:h="14698" w:wrap="none" w:vAnchor="page" w:hAnchor="page" w:x="1801" w:y="1392"/>
              <w:spacing w:after="0"/>
              <w:jc w:val="both"/>
              <w:rPr>
                <w:sz w:val="15"/>
                <w:szCs w:val="15"/>
              </w:rPr>
            </w:pPr>
            <w:r>
              <w:rPr>
                <w:sz w:val="15"/>
                <w:szCs w:val="15"/>
              </w:rPr>
              <w:t>HOTEL HOSTÉ</w:t>
            </w:r>
          </w:p>
        </w:tc>
        <w:tc>
          <w:tcPr>
            <w:tcW w:w="835" w:type="dxa"/>
            <w:tcBorders>
              <w:top w:val="single" w:sz="4" w:space="0" w:color="auto"/>
              <w:left w:val="single" w:sz="4" w:space="0" w:color="auto"/>
            </w:tcBorders>
            <w:shd w:val="clear" w:color="auto" w:fill="auto"/>
          </w:tcPr>
          <w:p w14:paraId="7350E18B" w14:textId="77777777" w:rsidR="00EC1C40" w:rsidRDefault="00000000">
            <w:pPr>
              <w:pStyle w:val="Jin0"/>
              <w:framePr w:w="7666" w:h="14698" w:wrap="none" w:vAnchor="page" w:hAnchor="page" w:x="1801" w:y="1392"/>
              <w:spacing w:after="0"/>
              <w:ind w:firstLine="540"/>
              <w:jc w:val="both"/>
              <w:rPr>
                <w:sz w:val="15"/>
                <w:szCs w:val="15"/>
              </w:rPr>
            </w:pPr>
            <w:r>
              <w:rPr>
                <w:sz w:val="15"/>
                <w:szCs w:val="15"/>
              </w:rPr>
              <w:t>995</w:t>
            </w:r>
          </w:p>
        </w:tc>
        <w:tc>
          <w:tcPr>
            <w:tcW w:w="835" w:type="dxa"/>
            <w:tcBorders>
              <w:top w:val="single" w:sz="4" w:space="0" w:color="auto"/>
              <w:left w:val="single" w:sz="4" w:space="0" w:color="auto"/>
            </w:tcBorders>
            <w:shd w:val="clear" w:color="auto" w:fill="auto"/>
          </w:tcPr>
          <w:p w14:paraId="00E99440" w14:textId="77777777" w:rsidR="00EC1C40" w:rsidRDefault="00EC1C40">
            <w:pPr>
              <w:framePr w:w="7666" w:h="14698" w:wrap="none" w:vAnchor="page" w:hAnchor="page" w:x="1801" w:y="1392"/>
              <w:rPr>
                <w:sz w:val="10"/>
                <w:szCs w:val="10"/>
              </w:rPr>
            </w:pPr>
          </w:p>
        </w:tc>
        <w:tc>
          <w:tcPr>
            <w:tcW w:w="1037" w:type="dxa"/>
            <w:tcBorders>
              <w:top w:val="single" w:sz="4" w:space="0" w:color="auto"/>
              <w:left w:val="single" w:sz="4" w:space="0" w:color="auto"/>
            </w:tcBorders>
            <w:shd w:val="clear" w:color="auto" w:fill="auto"/>
          </w:tcPr>
          <w:p w14:paraId="1BE90D61" w14:textId="77777777" w:rsidR="00EC1C40" w:rsidRDefault="00000000">
            <w:pPr>
              <w:pStyle w:val="Jin0"/>
              <w:framePr w:w="7666" w:h="14698" w:wrap="none" w:vAnchor="page" w:hAnchor="page" w:x="1801" w:y="1392"/>
              <w:spacing w:after="0"/>
              <w:ind w:firstLine="740"/>
              <w:rPr>
                <w:sz w:val="15"/>
                <w:szCs w:val="15"/>
              </w:rPr>
            </w:pPr>
            <w:r>
              <w:rPr>
                <w:sz w:val="15"/>
                <w:szCs w:val="15"/>
              </w:rPr>
              <w:t>995</w:t>
            </w:r>
          </w:p>
        </w:tc>
        <w:tc>
          <w:tcPr>
            <w:tcW w:w="1214" w:type="dxa"/>
            <w:tcBorders>
              <w:top w:val="single" w:sz="4" w:space="0" w:color="auto"/>
              <w:left w:val="single" w:sz="4" w:space="0" w:color="auto"/>
            </w:tcBorders>
            <w:shd w:val="clear" w:color="auto" w:fill="auto"/>
          </w:tcPr>
          <w:p w14:paraId="56B30992" w14:textId="77777777" w:rsidR="00EC1C40" w:rsidRDefault="00000000">
            <w:pPr>
              <w:pStyle w:val="Jin0"/>
              <w:framePr w:w="7666" w:h="14698" w:wrap="none" w:vAnchor="page" w:hAnchor="page" w:x="1801" w:y="1392"/>
              <w:spacing w:after="0"/>
              <w:jc w:val="right"/>
              <w:rPr>
                <w:sz w:val="15"/>
                <w:szCs w:val="15"/>
              </w:rPr>
            </w:pPr>
            <w:r>
              <w:rPr>
                <w:sz w:val="15"/>
                <w:szCs w:val="15"/>
              </w:rPr>
              <w:t>100%</w:t>
            </w:r>
          </w:p>
        </w:tc>
        <w:tc>
          <w:tcPr>
            <w:tcW w:w="1104" w:type="dxa"/>
            <w:tcBorders>
              <w:top w:val="single" w:sz="4" w:space="0" w:color="auto"/>
              <w:left w:val="single" w:sz="4" w:space="0" w:color="auto"/>
              <w:right w:val="single" w:sz="4" w:space="0" w:color="auto"/>
            </w:tcBorders>
            <w:shd w:val="clear" w:color="auto" w:fill="auto"/>
          </w:tcPr>
          <w:p w14:paraId="2D830862" w14:textId="77777777" w:rsidR="00EC1C40" w:rsidRDefault="00000000">
            <w:pPr>
              <w:pStyle w:val="Jin0"/>
              <w:framePr w:w="7666" w:h="14698" w:wrap="none" w:vAnchor="page" w:hAnchor="page" w:x="1801" w:y="1392"/>
              <w:spacing w:after="0"/>
              <w:jc w:val="right"/>
              <w:rPr>
                <w:sz w:val="15"/>
                <w:szCs w:val="15"/>
              </w:rPr>
            </w:pPr>
            <w:r>
              <w:rPr>
                <w:sz w:val="15"/>
                <w:szCs w:val="15"/>
              </w:rPr>
              <w:t>995</w:t>
            </w:r>
          </w:p>
        </w:tc>
      </w:tr>
      <w:tr w:rsidR="00EC1C40" w14:paraId="7F9091B8" w14:textId="77777777">
        <w:tblPrEx>
          <w:tblCellMar>
            <w:top w:w="0" w:type="dxa"/>
            <w:bottom w:w="0" w:type="dxa"/>
          </w:tblCellMar>
        </w:tblPrEx>
        <w:trPr>
          <w:trHeight w:hRule="exact" w:val="197"/>
        </w:trPr>
        <w:tc>
          <w:tcPr>
            <w:tcW w:w="2640" w:type="dxa"/>
            <w:tcBorders>
              <w:top w:val="single" w:sz="4" w:space="0" w:color="auto"/>
              <w:left w:val="single" w:sz="4" w:space="0" w:color="auto"/>
            </w:tcBorders>
            <w:shd w:val="clear" w:color="auto" w:fill="auto"/>
          </w:tcPr>
          <w:p w14:paraId="7AB0F40E" w14:textId="77777777" w:rsidR="00EC1C40" w:rsidRDefault="00000000">
            <w:pPr>
              <w:pStyle w:val="Jin0"/>
              <w:framePr w:w="7666" w:h="14698" w:wrap="none" w:vAnchor="page" w:hAnchor="page" w:x="1801" w:y="1392"/>
              <w:spacing w:after="0"/>
              <w:jc w:val="both"/>
              <w:rPr>
                <w:sz w:val="15"/>
                <w:szCs w:val="15"/>
              </w:rPr>
            </w:pPr>
            <w:r>
              <w:rPr>
                <w:sz w:val="15"/>
                <w:szCs w:val="15"/>
              </w:rPr>
              <w:t>HOTEL ZÁZEMÍ</w:t>
            </w:r>
          </w:p>
        </w:tc>
        <w:tc>
          <w:tcPr>
            <w:tcW w:w="835" w:type="dxa"/>
            <w:tcBorders>
              <w:top w:val="single" w:sz="4" w:space="0" w:color="auto"/>
              <w:left w:val="single" w:sz="4" w:space="0" w:color="auto"/>
            </w:tcBorders>
            <w:shd w:val="clear" w:color="auto" w:fill="auto"/>
          </w:tcPr>
          <w:p w14:paraId="718FC6F4" w14:textId="77777777" w:rsidR="00EC1C40" w:rsidRDefault="00000000">
            <w:pPr>
              <w:pStyle w:val="Jin0"/>
              <w:framePr w:w="7666" w:h="14698" w:wrap="none" w:vAnchor="page" w:hAnchor="page" w:x="1801" w:y="1392"/>
              <w:spacing w:after="0"/>
              <w:ind w:firstLine="540"/>
              <w:jc w:val="both"/>
              <w:rPr>
                <w:sz w:val="15"/>
                <w:szCs w:val="15"/>
              </w:rPr>
            </w:pPr>
            <w:r>
              <w:rPr>
                <w:sz w:val="15"/>
                <w:szCs w:val="15"/>
              </w:rPr>
              <w:t>550</w:t>
            </w:r>
          </w:p>
        </w:tc>
        <w:tc>
          <w:tcPr>
            <w:tcW w:w="835" w:type="dxa"/>
            <w:tcBorders>
              <w:top w:val="single" w:sz="4" w:space="0" w:color="auto"/>
              <w:left w:val="single" w:sz="4" w:space="0" w:color="auto"/>
            </w:tcBorders>
            <w:shd w:val="clear" w:color="auto" w:fill="auto"/>
          </w:tcPr>
          <w:p w14:paraId="33D060DF" w14:textId="77777777" w:rsidR="00EC1C40" w:rsidRDefault="00EC1C40">
            <w:pPr>
              <w:framePr w:w="7666" w:h="14698" w:wrap="none" w:vAnchor="page" w:hAnchor="page" w:x="1801" w:y="1392"/>
              <w:rPr>
                <w:sz w:val="10"/>
                <w:szCs w:val="10"/>
              </w:rPr>
            </w:pPr>
          </w:p>
        </w:tc>
        <w:tc>
          <w:tcPr>
            <w:tcW w:w="1037" w:type="dxa"/>
            <w:tcBorders>
              <w:top w:val="single" w:sz="4" w:space="0" w:color="auto"/>
              <w:left w:val="single" w:sz="4" w:space="0" w:color="auto"/>
            </w:tcBorders>
            <w:shd w:val="clear" w:color="auto" w:fill="auto"/>
          </w:tcPr>
          <w:p w14:paraId="5C2129F2" w14:textId="77777777" w:rsidR="00EC1C40" w:rsidRDefault="00000000">
            <w:pPr>
              <w:pStyle w:val="Jin0"/>
              <w:framePr w:w="7666" w:h="14698" w:wrap="none" w:vAnchor="page" w:hAnchor="page" w:x="1801" w:y="1392"/>
              <w:spacing w:after="0"/>
              <w:ind w:firstLine="740"/>
              <w:rPr>
                <w:sz w:val="15"/>
                <w:szCs w:val="15"/>
              </w:rPr>
            </w:pPr>
            <w:r>
              <w:rPr>
                <w:sz w:val="15"/>
                <w:szCs w:val="15"/>
              </w:rPr>
              <w:t>550</w:t>
            </w:r>
          </w:p>
        </w:tc>
        <w:tc>
          <w:tcPr>
            <w:tcW w:w="1214" w:type="dxa"/>
            <w:tcBorders>
              <w:top w:val="single" w:sz="4" w:space="0" w:color="auto"/>
              <w:left w:val="single" w:sz="4" w:space="0" w:color="auto"/>
            </w:tcBorders>
            <w:shd w:val="clear" w:color="auto" w:fill="auto"/>
          </w:tcPr>
          <w:p w14:paraId="7F530812" w14:textId="77777777" w:rsidR="00EC1C40" w:rsidRDefault="00000000">
            <w:pPr>
              <w:pStyle w:val="Jin0"/>
              <w:framePr w:w="7666" w:h="14698" w:wrap="none" w:vAnchor="page" w:hAnchor="page" w:x="1801" w:y="1392"/>
              <w:spacing w:after="0"/>
              <w:jc w:val="right"/>
              <w:rPr>
                <w:sz w:val="15"/>
                <w:szCs w:val="15"/>
              </w:rPr>
            </w:pPr>
            <w:r>
              <w:rPr>
                <w:sz w:val="15"/>
                <w:szCs w:val="15"/>
              </w:rPr>
              <w:t>100%</w:t>
            </w:r>
          </w:p>
        </w:tc>
        <w:tc>
          <w:tcPr>
            <w:tcW w:w="1104" w:type="dxa"/>
            <w:tcBorders>
              <w:top w:val="single" w:sz="4" w:space="0" w:color="auto"/>
              <w:left w:val="single" w:sz="4" w:space="0" w:color="auto"/>
              <w:right w:val="single" w:sz="4" w:space="0" w:color="auto"/>
            </w:tcBorders>
            <w:shd w:val="clear" w:color="auto" w:fill="auto"/>
          </w:tcPr>
          <w:p w14:paraId="2F698E9B" w14:textId="77777777" w:rsidR="00EC1C40" w:rsidRDefault="00000000">
            <w:pPr>
              <w:pStyle w:val="Jin0"/>
              <w:framePr w:w="7666" w:h="14698" w:wrap="none" w:vAnchor="page" w:hAnchor="page" w:x="1801" w:y="1392"/>
              <w:spacing w:after="0"/>
              <w:jc w:val="right"/>
              <w:rPr>
                <w:sz w:val="15"/>
                <w:szCs w:val="15"/>
              </w:rPr>
            </w:pPr>
            <w:r>
              <w:rPr>
                <w:sz w:val="15"/>
                <w:szCs w:val="15"/>
              </w:rPr>
              <w:t>550</w:t>
            </w:r>
          </w:p>
        </w:tc>
      </w:tr>
      <w:tr w:rsidR="00EC1C40" w14:paraId="0859A798" w14:textId="77777777">
        <w:tblPrEx>
          <w:tblCellMar>
            <w:top w:w="0" w:type="dxa"/>
            <w:bottom w:w="0" w:type="dxa"/>
          </w:tblCellMar>
        </w:tblPrEx>
        <w:trPr>
          <w:trHeight w:hRule="exact" w:val="192"/>
        </w:trPr>
        <w:tc>
          <w:tcPr>
            <w:tcW w:w="2640" w:type="dxa"/>
            <w:tcBorders>
              <w:top w:val="single" w:sz="4" w:space="0" w:color="auto"/>
              <w:left w:val="single" w:sz="4" w:space="0" w:color="auto"/>
            </w:tcBorders>
            <w:shd w:val="clear" w:color="auto" w:fill="auto"/>
          </w:tcPr>
          <w:p w14:paraId="68332FA2" w14:textId="77777777" w:rsidR="00EC1C40" w:rsidRDefault="00000000">
            <w:pPr>
              <w:pStyle w:val="Jin0"/>
              <w:framePr w:w="7666" w:h="14698" w:wrap="none" w:vAnchor="page" w:hAnchor="page" w:x="1801" w:y="1392"/>
              <w:spacing w:after="0"/>
              <w:jc w:val="both"/>
              <w:rPr>
                <w:sz w:val="15"/>
                <w:szCs w:val="15"/>
              </w:rPr>
            </w:pPr>
            <w:r>
              <w:rPr>
                <w:b/>
                <w:bCs/>
                <w:sz w:val="15"/>
                <w:szCs w:val="15"/>
              </w:rPr>
              <w:t>3NP</w:t>
            </w:r>
          </w:p>
        </w:tc>
        <w:tc>
          <w:tcPr>
            <w:tcW w:w="835" w:type="dxa"/>
            <w:tcBorders>
              <w:top w:val="single" w:sz="4" w:space="0" w:color="auto"/>
              <w:left w:val="single" w:sz="4" w:space="0" w:color="auto"/>
            </w:tcBorders>
            <w:shd w:val="clear" w:color="auto" w:fill="auto"/>
          </w:tcPr>
          <w:p w14:paraId="0EB75A5B" w14:textId="77777777" w:rsidR="00EC1C40" w:rsidRDefault="00000000">
            <w:pPr>
              <w:pStyle w:val="Jin0"/>
              <w:framePr w:w="7666" w:h="14698" w:wrap="none" w:vAnchor="page" w:hAnchor="page" w:x="1801" w:y="1392"/>
              <w:spacing w:after="0"/>
              <w:ind w:firstLine="420"/>
              <w:jc w:val="both"/>
              <w:rPr>
                <w:sz w:val="15"/>
                <w:szCs w:val="15"/>
              </w:rPr>
            </w:pPr>
            <w:r>
              <w:rPr>
                <w:b/>
                <w:bCs/>
                <w:sz w:val="15"/>
                <w:szCs w:val="15"/>
              </w:rPr>
              <w:t>2 024</w:t>
            </w:r>
          </w:p>
        </w:tc>
        <w:tc>
          <w:tcPr>
            <w:tcW w:w="835" w:type="dxa"/>
            <w:tcBorders>
              <w:top w:val="single" w:sz="4" w:space="0" w:color="auto"/>
              <w:left w:val="single" w:sz="4" w:space="0" w:color="auto"/>
            </w:tcBorders>
            <w:shd w:val="clear" w:color="auto" w:fill="auto"/>
          </w:tcPr>
          <w:p w14:paraId="2B121C3E" w14:textId="77777777" w:rsidR="00EC1C40" w:rsidRDefault="00EC1C40">
            <w:pPr>
              <w:framePr w:w="7666" w:h="14698" w:wrap="none" w:vAnchor="page" w:hAnchor="page" w:x="1801" w:y="1392"/>
              <w:rPr>
                <w:sz w:val="10"/>
                <w:szCs w:val="10"/>
              </w:rPr>
            </w:pPr>
          </w:p>
        </w:tc>
        <w:tc>
          <w:tcPr>
            <w:tcW w:w="1037" w:type="dxa"/>
            <w:tcBorders>
              <w:top w:val="single" w:sz="4" w:space="0" w:color="auto"/>
              <w:left w:val="single" w:sz="4" w:space="0" w:color="auto"/>
            </w:tcBorders>
            <w:shd w:val="clear" w:color="auto" w:fill="auto"/>
          </w:tcPr>
          <w:p w14:paraId="70D23F6D" w14:textId="77777777" w:rsidR="00EC1C40" w:rsidRDefault="00EC1C40">
            <w:pPr>
              <w:framePr w:w="7666" w:h="14698" w:wrap="none" w:vAnchor="page" w:hAnchor="page" w:x="1801" w:y="1392"/>
              <w:rPr>
                <w:sz w:val="10"/>
                <w:szCs w:val="10"/>
              </w:rPr>
            </w:pPr>
          </w:p>
        </w:tc>
        <w:tc>
          <w:tcPr>
            <w:tcW w:w="1214" w:type="dxa"/>
            <w:tcBorders>
              <w:top w:val="single" w:sz="4" w:space="0" w:color="auto"/>
              <w:left w:val="single" w:sz="4" w:space="0" w:color="auto"/>
            </w:tcBorders>
            <w:shd w:val="clear" w:color="auto" w:fill="auto"/>
          </w:tcPr>
          <w:p w14:paraId="4CD82EAF" w14:textId="77777777" w:rsidR="00EC1C40" w:rsidRDefault="00EC1C40">
            <w:pPr>
              <w:framePr w:w="7666" w:h="14698" w:wrap="none" w:vAnchor="page" w:hAnchor="page" w:x="1801" w:y="1392"/>
              <w:rPr>
                <w:sz w:val="10"/>
                <w:szCs w:val="10"/>
              </w:rPr>
            </w:pPr>
          </w:p>
        </w:tc>
        <w:tc>
          <w:tcPr>
            <w:tcW w:w="1104" w:type="dxa"/>
            <w:tcBorders>
              <w:top w:val="single" w:sz="4" w:space="0" w:color="auto"/>
              <w:left w:val="single" w:sz="4" w:space="0" w:color="auto"/>
              <w:right w:val="single" w:sz="4" w:space="0" w:color="auto"/>
            </w:tcBorders>
            <w:shd w:val="clear" w:color="auto" w:fill="auto"/>
          </w:tcPr>
          <w:p w14:paraId="1C83D39B" w14:textId="77777777" w:rsidR="00EC1C40" w:rsidRDefault="00EC1C40">
            <w:pPr>
              <w:framePr w:w="7666" w:h="14698" w:wrap="none" w:vAnchor="page" w:hAnchor="page" w:x="1801" w:y="1392"/>
              <w:rPr>
                <w:sz w:val="10"/>
                <w:szCs w:val="10"/>
              </w:rPr>
            </w:pPr>
          </w:p>
        </w:tc>
      </w:tr>
      <w:tr w:rsidR="00EC1C40" w14:paraId="5C11F497" w14:textId="77777777">
        <w:tblPrEx>
          <w:tblCellMar>
            <w:top w:w="0" w:type="dxa"/>
            <w:bottom w:w="0" w:type="dxa"/>
          </w:tblCellMar>
        </w:tblPrEx>
        <w:trPr>
          <w:trHeight w:hRule="exact" w:val="206"/>
        </w:trPr>
        <w:tc>
          <w:tcPr>
            <w:tcW w:w="2640" w:type="dxa"/>
            <w:tcBorders>
              <w:top w:val="single" w:sz="4" w:space="0" w:color="auto"/>
              <w:left w:val="single" w:sz="4" w:space="0" w:color="auto"/>
              <w:bottom w:val="single" w:sz="4" w:space="0" w:color="auto"/>
            </w:tcBorders>
            <w:shd w:val="clear" w:color="auto" w:fill="auto"/>
          </w:tcPr>
          <w:p w14:paraId="727F343A" w14:textId="77777777" w:rsidR="00EC1C40" w:rsidRDefault="00000000">
            <w:pPr>
              <w:pStyle w:val="Jin0"/>
              <w:framePr w:w="7666" w:h="14698" w:wrap="none" w:vAnchor="page" w:hAnchor="page" w:x="1801" w:y="1392"/>
              <w:spacing w:after="0"/>
              <w:rPr>
                <w:sz w:val="15"/>
                <w:szCs w:val="15"/>
              </w:rPr>
            </w:pPr>
            <w:r>
              <w:rPr>
                <w:sz w:val="15"/>
                <w:szCs w:val="15"/>
              </w:rPr>
              <w:t>HOTEL HOSTÉ</w:t>
            </w:r>
          </w:p>
        </w:tc>
        <w:tc>
          <w:tcPr>
            <w:tcW w:w="835" w:type="dxa"/>
            <w:tcBorders>
              <w:top w:val="single" w:sz="4" w:space="0" w:color="auto"/>
              <w:left w:val="single" w:sz="4" w:space="0" w:color="auto"/>
              <w:bottom w:val="single" w:sz="4" w:space="0" w:color="auto"/>
            </w:tcBorders>
            <w:shd w:val="clear" w:color="auto" w:fill="auto"/>
          </w:tcPr>
          <w:p w14:paraId="15039640" w14:textId="77777777" w:rsidR="00EC1C40" w:rsidRDefault="00000000">
            <w:pPr>
              <w:pStyle w:val="Jin0"/>
              <w:framePr w:w="7666" w:h="14698" w:wrap="none" w:vAnchor="page" w:hAnchor="page" w:x="1801" w:y="1392"/>
              <w:spacing w:after="0"/>
              <w:ind w:firstLine="420"/>
              <w:jc w:val="both"/>
              <w:rPr>
                <w:sz w:val="15"/>
                <w:szCs w:val="15"/>
              </w:rPr>
            </w:pPr>
            <w:r>
              <w:rPr>
                <w:sz w:val="15"/>
                <w:szCs w:val="15"/>
              </w:rPr>
              <w:t>1 944</w:t>
            </w:r>
          </w:p>
        </w:tc>
        <w:tc>
          <w:tcPr>
            <w:tcW w:w="835" w:type="dxa"/>
            <w:tcBorders>
              <w:top w:val="single" w:sz="4" w:space="0" w:color="auto"/>
              <w:left w:val="single" w:sz="4" w:space="0" w:color="auto"/>
              <w:bottom w:val="single" w:sz="4" w:space="0" w:color="auto"/>
            </w:tcBorders>
            <w:shd w:val="clear" w:color="auto" w:fill="auto"/>
          </w:tcPr>
          <w:p w14:paraId="45A7CE6C" w14:textId="77777777" w:rsidR="00EC1C40" w:rsidRDefault="00EC1C40">
            <w:pPr>
              <w:framePr w:w="7666" w:h="14698" w:wrap="none" w:vAnchor="page" w:hAnchor="page" w:x="1801" w:y="1392"/>
              <w:rPr>
                <w:sz w:val="10"/>
                <w:szCs w:val="10"/>
              </w:rPr>
            </w:pPr>
          </w:p>
        </w:tc>
        <w:tc>
          <w:tcPr>
            <w:tcW w:w="1037" w:type="dxa"/>
            <w:tcBorders>
              <w:top w:val="single" w:sz="4" w:space="0" w:color="auto"/>
              <w:left w:val="single" w:sz="4" w:space="0" w:color="auto"/>
              <w:bottom w:val="single" w:sz="4" w:space="0" w:color="auto"/>
            </w:tcBorders>
            <w:shd w:val="clear" w:color="auto" w:fill="auto"/>
          </w:tcPr>
          <w:p w14:paraId="51A6CF6A" w14:textId="77777777" w:rsidR="00EC1C40" w:rsidRDefault="00000000">
            <w:pPr>
              <w:pStyle w:val="Jin0"/>
              <w:framePr w:w="7666" w:h="14698" w:wrap="none" w:vAnchor="page" w:hAnchor="page" w:x="1801" w:y="1392"/>
              <w:spacing w:after="0"/>
              <w:ind w:firstLine="620"/>
              <w:jc w:val="both"/>
              <w:rPr>
                <w:sz w:val="15"/>
                <w:szCs w:val="15"/>
              </w:rPr>
            </w:pPr>
            <w:r>
              <w:rPr>
                <w:sz w:val="15"/>
                <w:szCs w:val="15"/>
              </w:rPr>
              <w:t>1 944</w:t>
            </w:r>
          </w:p>
        </w:tc>
        <w:tc>
          <w:tcPr>
            <w:tcW w:w="1214" w:type="dxa"/>
            <w:tcBorders>
              <w:top w:val="single" w:sz="4" w:space="0" w:color="auto"/>
              <w:left w:val="single" w:sz="4" w:space="0" w:color="auto"/>
              <w:bottom w:val="single" w:sz="4" w:space="0" w:color="auto"/>
            </w:tcBorders>
            <w:shd w:val="clear" w:color="auto" w:fill="auto"/>
          </w:tcPr>
          <w:p w14:paraId="076FE89B" w14:textId="77777777" w:rsidR="00EC1C40" w:rsidRDefault="00000000">
            <w:pPr>
              <w:pStyle w:val="Jin0"/>
              <w:framePr w:w="7666" w:h="14698" w:wrap="none" w:vAnchor="page" w:hAnchor="page" w:x="1801" w:y="1392"/>
              <w:spacing w:after="0"/>
              <w:jc w:val="right"/>
              <w:rPr>
                <w:sz w:val="15"/>
                <w:szCs w:val="15"/>
              </w:rPr>
            </w:pPr>
            <w:r>
              <w:rPr>
                <w:sz w:val="15"/>
                <w:szCs w:val="15"/>
              </w:rPr>
              <w:t>100%</w:t>
            </w:r>
          </w:p>
        </w:tc>
        <w:tc>
          <w:tcPr>
            <w:tcW w:w="1104" w:type="dxa"/>
            <w:tcBorders>
              <w:top w:val="single" w:sz="4" w:space="0" w:color="auto"/>
              <w:left w:val="single" w:sz="4" w:space="0" w:color="auto"/>
              <w:bottom w:val="single" w:sz="4" w:space="0" w:color="auto"/>
              <w:right w:val="single" w:sz="4" w:space="0" w:color="auto"/>
            </w:tcBorders>
            <w:shd w:val="clear" w:color="auto" w:fill="auto"/>
          </w:tcPr>
          <w:p w14:paraId="6B3B46A4" w14:textId="77777777" w:rsidR="00EC1C40" w:rsidRDefault="00000000">
            <w:pPr>
              <w:pStyle w:val="Jin0"/>
              <w:framePr w:w="7666" w:h="14698" w:wrap="none" w:vAnchor="page" w:hAnchor="page" w:x="1801" w:y="1392"/>
              <w:spacing w:after="0"/>
              <w:ind w:firstLine="680"/>
              <w:jc w:val="both"/>
              <w:rPr>
                <w:sz w:val="15"/>
                <w:szCs w:val="15"/>
              </w:rPr>
            </w:pPr>
            <w:r>
              <w:rPr>
                <w:sz w:val="15"/>
                <w:szCs w:val="15"/>
              </w:rPr>
              <w:t>1 944</w:t>
            </w:r>
          </w:p>
        </w:tc>
      </w:tr>
    </w:tbl>
    <w:p w14:paraId="37E13E2A"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571AAE05" w14:textId="77777777" w:rsidR="00EC1C40" w:rsidRDefault="00EC1C40">
      <w:pPr>
        <w:spacing w:line="1" w:lineRule="exact"/>
      </w:pPr>
    </w:p>
    <w:tbl>
      <w:tblPr>
        <w:tblOverlap w:val="never"/>
        <w:tblW w:w="0" w:type="auto"/>
        <w:tblLayout w:type="fixed"/>
        <w:tblCellMar>
          <w:left w:w="10" w:type="dxa"/>
          <w:right w:w="10" w:type="dxa"/>
        </w:tblCellMar>
        <w:tblLook w:val="0000" w:firstRow="0" w:lastRow="0" w:firstColumn="0" w:lastColumn="0" w:noHBand="0" w:noVBand="0"/>
      </w:tblPr>
      <w:tblGrid>
        <w:gridCol w:w="2640"/>
        <w:gridCol w:w="835"/>
        <w:gridCol w:w="835"/>
        <w:gridCol w:w="1037"/>
        <w:gridCol w:w="1214"/>
        <w:gridCol w:w="1104"/>
      </w:tblGrid>
      <w:tr w:rsidR="00EC1C40" w14:paraId="36D04575" w14:textId="77777777">
        <w:tblPrEx>
          <w:tblCellMar>
            <w:top w:w="0" w:type="dxa"/>
            <w:bottom w:w="0" w:type="dxa"/>
          </w:tblCellMar>
        </w:tblPrEx>
        <w:trPr>
          <w:trHeight w:hRule="exact" w:val="202"/>
        </w:trPr>
        <w:tc>
          <w:tcPr>
            <w:tcW w:w="2640" w:type="dxa"/>
            <w:tcBorders>
              <w:top w:val="single" w:sz="4" w:space="0" w:color="auto"/>
              <w:left w:val="single" w:sz="4" w:space="0" w:color="auto"/>
            </w:tcBorders>
            <w:shd w:val="clear" w:color="auto" w:fill="auto"/>
            <w:vAlign w:val="bottom"/>
          </w:tcPr>
          <w:p w14:paraId="3592CAB6" w14:textId="77777777" w:rsidR="00EC1C40" w:rsidRDefault="00000000">
            <w:pPr>
              <w:pStyle w:val="Jin0"/>
              <w:framePr w:w="7666" w:h="12274" w:wrap="none" w:vAnchor="page" w:hAnchor="page" w:x="1801" w:y="1402"/>
              <w:spacing w:after="0"/>
              <w:rPr>
                <w:sz w:val="15"/>
                <w:szCs w:val="15"/>
              </w:rPr>
            </w:pPr>
            <w:r>
              <w:rPr>
                <w:sz w:val="15"/>
                <w:szCs w:val="15"/>
                <w:lang w:val="en-US" w:eastAsia="en-US" w:bidi="en-US"/>
              </w:rPr>
              <w:t xml:space="preserve">HOTEL </w:t>
            </w:r>
            <w:r>
              <w:rPr>
                <w:sz w:val="15"/>
                <w:szCs w:val="15"/>
              </w:rPr>
              <w:t>ZÁZEMÍ</w:t>
            </w:r>
          </w:p>
        </w:tc>
        <w:tc>
          <w:tcPr>
            <w:tcW w:w="835" w:type="dxa"/>
            <w:tcBorders>
              <w:top w:val="single" w:sz="4" w:space="0" w:color="auto"/>
              <w:left w:val="single" w:sz="4" w:space="0" w:color="auto"/>
            </w:tcBorders>
            <w:shd w:val="clear" w:color="auto" w:fill="auto"/>
            <w:vAlign w:val="bottom"/>
          </w:tcPr>
          <w:p w14:paraId="5B777A3D" w14:textId="77777777" w:rsidR="00EC1C40" w:rsidRDefault="00000000">
            <w:pPr>
              <w:pStyle w:val="Jin0"/>
              <w:framePr w:w="7666" w:h="12274" w:wrap="none" w:vAnchor="page" w:hAnchor="page" w:x="1801" w:y="1402"/>
              <w:spacing w:after="0"/>
              <w:ind w:firstLine="600"/>
              <w:jc w:val="both"/>
              <w:rPr>
                <w:sz w:val="15"/>
                <w:szCs w:val="15"/>
              </w:rPr>
            </w:pPr>
            <w:r>
              <w:rPr>
                <w:sz w:val="15"/>
                <w:szCs w:val="15"/>
              </w:rPr>
              <w:t>80</w:t>
            </w:r>
          </w:p>
        </w:tc>
        <w:tc>
          <w:tcPr>
            <w:tcW w:w="835" w:type="dxa"/>
            <w:tcBorders>
              <w:top w:val="single" w:sz="4" w:space="0" w:color="auto"/>
              <w:left w:val="single" w:sz="4" w:space="0" w:color="auto"/>
            </w:tcBorders>
            <w:shd w:val="clear" w:color="auto" w:fill="auto"/>
          </w:tcPr>
          <w:p w14:paraId="11995300" w14:textId="77777777" w:rsidR="00EC1C40" w:rsidRDefault="00EC1C40">
            <w:pPr>
              <w:framePr w:w="7666" w:h="12274" w:wrap="none" w:vAnchor="page" w:hAnchor="page" w:x="1801" w:y="1402"/>
              <w:rPr>
                <w:sz w:val="10"/>
                <w:szCs w:val="10"/>
              </w:rPr>
            </w:pPr>
          </w:p>
        </w:tc>
        <w:tc>
          <w:tcPr>
            <w:tcW w:w="1037" w:type="dxa"/>
            <w:tcBorders>
              <w:top w:val="single" w:sz="4" w:space="0" w:color="auto"/>
              <w:left w:val="single" w:sz="4" w:space="0" w:color="auto"/>
            </w:tcBorders>
            <w:shd w:val="clear" w:color="auto" w:fill="auto"/>
            <w:vAlign w:val="bottom"/>
          </w:tcPr>
          <w:p w14:paraId="4211DC80" w14:textId="77777777" w:rsidR="00EC1C40" w:rsidRDefault="00000000">
            <w:pPr>
              <w:pStyle w:val="Jin0"/>
              <w:framePr w:w="7666" w:h="12274" w:wrap="none" w:vAnchor="page" w:hAnchor="page" w:x="1801" w:y="1402"/>
              <w:spacing w:after="0"/>
              <w:jc w:val="right"/>
              <w:rPr>
                <w:sz w:val="15"/>
                <w:szCs w:val="15"/>
              </w:rPr>
            </w:pPr>
            <w:r>
              <w:rPr>
                <w:sz w:val="15"/>
                <w:szCs w:val="15"/>
              </w:rPr>
              <w:t>80</w:t>
            </w:r>
          </w:p>
        </w:tc>
        <w:tc>
          <w:tcPr>
            <w:tcW w:w="1214" w:type="dxa"/>
            <w:tcBorders>
              <w:top w:val="single" w:sz="4" w:space="0" w:color="auto"/>
              <w:left w:val="single" w:sz="4" w:space="0" w:color="auto"/>
            </w:tcBorders>
            <w:shd w:val="clear" w:color="auto" w:fill="auto"/>
            <w:vAlign w:val="bottom"/>
          </w:tcPr>
          <w:p w14:paraId="4244E880" w14:textId="77777777" w:rsidR="00EC1C40" w:rsidRDefault="00000000">
            <w:pPr>
              <w:pStyle w:val="Jin0"/>
              <w:framePr w:w="7666" w:h="12274" w:wrap="none" w:vAnchor="page" w:hAnchor="page" w:x="1801" w:y="1402"/>
              <w:spacing w:after="0"/>
              <w:ind w:firstLine="840"/>
              <w:jc w:val="both"/>
              <w:rPr>
                <w:sz w:val="15"/>
                <w:szCs w:val="15"/>
              </w:rPr>
            </w:pPr>
            <w:r>
              <w:rPr>
                <w:sz w:val="15"/>
                <w:szCs w:val="15"/>
              </w:rPr>
              <w:t>100%</w:t>
            </w:r>
          </w:p>
        </w:tc>
        <w:tc>
          <w:tcPr>
            <w:tcW w:w="1104" w:type="dxa"/>
            <w:tcBorders>
              <w:top w:val="single" w:sz="4" w:space="0" w:color="auto"/>
              <w:left w:val="single" w:sz="4" w:space="0" w:color="auto"/>
              <w:right w:val="single" w:sz="4" w:space="0" w:color="auto"/>
            </w:tcBorders>
            <w:shd w:val="clear" w:color="auto" w:fill="auto"/>
            <w:vAlign w:val="bottom"/>
          </w:tcPr>
          <w:p w14:paraId="689853B5" w14:textId="77777777" w:rsidR="00EC1C40" w:rsidRDefault="00000000">
            <w:pPr>
              <w:pStyle w:val="Jin0"/>
              <w:framePr w:w="7666" w:h="12274" w:wrap="none" w:vAnchor="page" w:hAnchor="page" w:x="1801" w:y="1402"/>
              <w:spacing w:after="0"/>
              <w:jc w:val="right"/>
              <w:rPr>
                <w:sz w:val="15"/>
                <w:szCs w:val="15"/>
              </w:rPr>
            </w:pPr>
            <w:r>
              <w:rPr>
                <w:sz w:val="15"/>
                <w:szCs w:val="15"/>
              </w:rPr>
              <w:t>80</w:t>
            </w:r>
          </w:p>
        </w:tc>
      </w:tr>
      <w:tr w:rsidR="00EC1C40" w14:paraId="7FD5CF47" w14:textId="77777777">
        <w:tblPrEx>
          <w:tblCellMar>
            <w:top w:w="0" w:type="dxa"/>
            <w:bottom w:w="0" w:type="dxa"/>
          </w:tblCellMar>
        </w:tblPrEx>
        <w:trPr>
          <w:trHeight w:hRule="exact" w:val="192"/>
        </w:trPr>
        <w:tc>
          <w:tcPr>
            <w:tcW w:w="2640" w:type="dxa"/>
            <w:tcBorders>
              <w:top w:val="single" w:sz="4" w:space="0" w:color="auto"/>
              <w:left w:val="single" w:sz="4" w:space="0" w:color="auto"/>
            </w:tcBorders>
            <w:shd w:val="clear" w:color="auto" w:fill="auto"/>
          </w:tcPr>
          <w:p w14:paraId="6F057942" w14:textId="77777777" w:rsidR="00EC1C40" w:rsidRDefault="00000000">
            <w:pPr>
              <w:pStyle w:val="Jin0"/>
              <w:framePr w:w="7666" w:h="12274" w:wrap="none" w:vAnchor="page" w:hAnchor="page" w:x="1801" w:y="1402"/>
              <w:spacing w:after="0"/>
              <w:rPr>
                <w:sz w:val="15"/>
                <w:szCs w:val="15"/>
              </w:rPr>
            </w:pPr>
            <w:r>
              <w:rPr>
                <w:b/>
                <w:bCs/>
                <w:sz w:val="15"/>
                <w:szCs w:val="15"/>
                <w:lang w:val="en-US" w:eastAsia="en-US" w:bidi="en-US"/>
              </w:rPr>
              <w:t>4NP</w:t>
            </w:r>
          </w:p>
        </w:tc>
        <w:tc>
          <w:tcPr>
            <w:tcW w:w="835" w:type="dxa"/>
            <w:tcBorders>
              <w:top w:val="single" w:sz="4" w:space="0" w:color="auto"/>
              <w:left w:val="single" w:sz="4" w:space="0" w:color="auto"/>
            </w:tcBorders>
            <w:shd w:val="clear" w:color="auto" w:fill="auto"/>
          </w:tcPr>
          <w:p w14:paraId="4009DE6D" w14:textId="77777777" w:rsidR="00EC1C40" w:rsidRDefault="00000000">
            <w:pPr>
              <w:pStyle w:val="Jin0"/>
              <w:framePr w:w="7666" w:h="12274" w:wrap="none" w:vAnchor="page" w:hAnchor="page" w:x="1801" w:y="1402"/>
              <w:spacing w:after="0"/>
              <w:ind w:firstLine="420"/>
              <w:jc w:val="both"/>
              <w:rPr>
                <w:sz w:val="15"/>
                <w:szCs w:val="15"/>
              </w:rPr>
            </w:pPr>
            <w:r>
              <w:rPr>
                <w:b/>
                <w:bCs/>
                <w:sz w:val="15"/>
                <w:szCs w:val="15"/>
              </w:rPr>
              <w:t>2 030</w:t>
            </w:r>
          </w:p>
        </w:tc>
        <w:tc>
          <w:tcPr>
            <w:tcW w:w="835" w:type="dxa"/>
            <w:tcBorders>
              <w:top w:val="single" w:sz="4" w:space="0" w:color="auto"/>
              <w:left w:val="single" w:sz="4" w:space="0" w:color="auto"/>
            </w:tcBorders>
            <w:shd w:val="clear" w:color="auto" w:fill="auto"/>
          </w:tcPr>
          <w:p w14:paraId="55A6C267" w14:textId="77777777" w:rsidR="00EC1C40" w:rsidRDefault="00EC1C40">
            <w:pPr>
              <w:framePr w:w="7666" w:h="12274" w:wrap="none" w:vAnchor="page" w:hAnchor="page" w:x="1801" w:y="1402"/>
              <w:rPr>
                <w:sz w:val="10"/>
                <w:szCs w:val="10"/>
              </w:rPr>
            </w:pPr>
          </w:p>
        </w:tc>
        <w:tc>
          <w:tcPr>
            <w:tcW w:w="1037" w:type="dxa"/>
            <w:tcBorders>
              <w:top w:val="single" w:sz="4" w:space="0" w:color="auto"/>
              <w:left w:val="single" w:sz="4" w:space="0" w:color="auto"/>
            </w:tcBorders>
            <w:shd w:val="clear" w:color="auto" w:fill="auto"/>
          </w:tcPr>
          <w:p w14:paraId="797CDC34" w14:textId="77777777" w:rsidR="00EC1C40" w:rsidRDefault="00EC1C40">
            <w:pPr>
              <w:framePr w:w="7666" w:h="12274" w:wrap="none" w:vAnchor="page" w:hAnchor="page" w:x="1801" w:y="1402"/>
              <w:rPr>
                <w:sz w:val="10"/>
                <w:szCs w:val="10"/>
              </w:rPr>
            </w:pPr>
          </w:p>
        </w:tc>
        <w:tc>
          <w:tcPr>
            <w:tcW w:w="1214" w:type="dxa"/>
            <w:tcBorders>
              <w:top w:val="single" w:sz="4" w:space="0" w:color="auto"/>
              <w:left w:val="single" w:sz="4" w:space="0" w:color="auto"/>
            </w:tcBorders>
            <w:shd w:val="clear" w:color="auto" w:fill="auto"/>
          </w:tcPr>
          <w:p w14:paraId="4618C195" w14:textId="77777777" w:rsidR="00EC1C40" w:rsidRDefault="00EC1C40">
            <w:pPr>
              <w:framePr w:w="7666" w:h="12274" w:wrap="none" w:vAnchor="page" w:hAnchor="page" w:x="1801" w:y="1402"/>
              <w:rPr>
                <w:sz w:val="10"/>
                <w:szCs w:val="10"/>
              </w:rPr>
            </w:pPr>
          </w:p>
        </w:tc>
        <w:tc>
          <w:tcPr>
            <w:tcW w:w="1104" w:type="dxa"/>
            <w:tcBorders>
              <w:top w:val="single" w:sz="4" w:space="0" w:color="auto"/>
              <w:left w:val="single" w:sz="4" w:space="0" w:color="auto"/>
              <w:right w:val="single" w:sz="4" w:space="0" w:color="auto"/>
            </w:tcBorders>
            <w:shd w:val="clear" w:color="auto" w:fill="auto"/>
          </w:tcPr>
          <w:p w14:paraId="3EC7535C" w14:textId="77777777" w:rsidR="00EC1C40" w:rsidRDefault="00EC1C40">
            <w:pPr>
              <w:framePr w:w="7666" w:h="12274" w:wrap="none" w:vAnchor="page" w:hAnchor="page" w:x="1801" w:y="1402"/>
              <w:rPr>
                <w:sz w:val="10"/>
                <w:szCs w:val="10"/>
              </w:rPr>
            </w:pPr>
          </w:p>
        </w:tc>
      </w:tr>
      <w:tr w:rsidR="00EC1C40" w14:paraId="19E4F6A9" w14:textId="77777777">
        <w:tblPrEx>
          <w:tblCellMar>
            <w:top w:w="0" w:type="dxa"/>
            <w:bottom w:w="0" w:type="dxa"/>
          </w:tblCellMar>
        </w:tblPrEx>
        <w:trPr>
          <w:trHeight w:hRule="exact" w:val="197"/>
        </w:trPr>
        <w:tc>
          <w:tcPr>
            <w:tcW w:w="2640" w:type="dxa"/>
            <w:tcBorders>
              <w:top w:val="single" w:sz="4" w:space="0" w:color="auto"/>
              <w:left w:val="single" w:sz="4" w:space="0" w:color="auto"/>
            </w:tcBorders>
            <w:shd w:val="clear" w:color="auto" w:fill="auto"/>
          </w:tcPr>
          <w:p w14:paraId="487DD559" w14:textId="77777777" w:rsidR="00EC1C40" w:rsidRDefault="00000000">
            <w:pPr>
              <w:pStyle w:val="Jin0"/>
              <w:framePr w:w="7666" w:h="12274" w:wrap="none" w:vAnchor="page" w:hAnchor="page" w:x="1801" w:y="1402"/>
              <w:spacing w:after="0"/>
              <w:rPr>
                <w:sz w:val="15"/>
                <w:szCs w:val="15"/>
              </w:rPr>
            </w:pPr>
            <w:r>
              <w:rPr>
                <w:sz w:val="15"/>
                <w:szCs w:val="15"/>
                <w:lang w:val="en-US" w:eastAsia="en-US" w:bidi="en-US"/>
              </w:rPr>
              <w:t xml:space="preserve">HOTEL </w:t>
            </w:r>
            <w:r>
              <w:rPr>
                <w:sz w:val="15"/>
                <w:szCs w:val="15"/>
              </w:rPr>
              <w:t>HOSTÉ</w:t>
            </w:r>
          </w:p>
        </w:tc>
        <w:tc>
          <w:tcPr>
            <w:tcW w:w="835" w:type="dxa"/>
            <w:tcBorders>
              <w:top w:val="single" w:sz="4" w:space="0" w:color="auto"/>
              <w:left w:val="single" w:sz="4" w:space="0" w:color="auto"/>
            </w:tcBorders>
            <w:shd w:val="clear" w:color="auto" w:fill="auto"/>
          </w:tcPr>
          <w:p w14:paraId="1E6E893B" w14:textId="77777777" w:rsidR="00EC1C40" w:rsidRDefault="00000000">
            <w:pPr>
              <w:pStyle w:val="Jin0"/>
              <w:framePr w:w="7666" w:h="12274" w:wrap="none" w:vAnchor="page" w:hAnchor="page" w:x="1801" w:y="1402"/>
              <w:spacing w:after="0"/>
              <w:ind w:firstLine="420"/>
              <w:jc w:val="both"/>
              <w:rPr>
                <w:sz w:val="15"/>
                <w:szCs w:val="15"/>
              </w:rPr>
            </w:pPr>
            <w:r>
              <w:rPr>
                <w:sz w:val="15"/>
                <w:szCs w:val="15"/>
              </w:rPr>
              <w:t>1 978</w:t>
            </w:r>
          </w:p>
        </w:tc>
        <w:tc>
          <w:tcPr>
            <w:tcW w:w="835" w:type="dxa"/>
            <w:tcBorders>
              <w:top w:val="single" w:sz="4" w:space="0" w:color="auto"/>
              <w:left w:val="single" w:sz="4" w:space="0" w:color="auto"/>
            </w:tcBorders>
            <w:shd w:val="clear" w:color="auto" w:fill="auto"/>
          </w:tcPr>
          <w:p w14:paraId="1193645E" w14:textId="77777777" w:rsidR="00EC1C40" w:rsidRDefault="00EC1C40">
            <w:pPr>
              <w:framePr w:w="7666" w:h="12274" w:wrap="none" w:vAnchor="page" w:hAnchor="page" w:x="1801" w:y="1402"/>
              <w:rPr>
                <w:sz w:val="10"/>
                <w:szCs w:val="10"/>
              </w:rPr>
            </w:pPr>
          </w:p>
        </w:tc>
        <w:tc>
          <w:tcPr>
            <w:tcW w:w="1037" w:type="dxa"/>
            <w:tcBorders>
              <w:top w:val="single" w:sz="4" w:space="0" w:color="auto"/>
              <w:left w:val="single" w:sz="4" w:space="0" w:color="auto"/>
            </w:tcBorders>
            <w:shd w:val="clear" w:color="auto" w:fill="auto"/>
          </w:tcPr>
          <w:p w14:paraId="5E7E2C02" w14:textId="77777777" w:rsidR="00EC1C40" w:rsidRDefault="00000000">
            <w:pPr>
              <w:pStyle w:val="Jin0"/>
              <w:framePr w:w="7666" w:h="12274" w:wrap="none" w:vAnchor="page" w:hAnchor="page" w:x="1801" w:y="1402"/>
              <w:spacing w:after="0"/>
              <w:jc w:val="right"/>
              <w:rPr>
                <w:sz w:val="15"/>
                <w:szCs w:val="15"/>
              </w:rPr>
            </w:pPr>
            <w:r>
              <w:rPr>
                <w:sz w:val="15"/>
                <w:szCs w:val="15"/>
              </w:rPr>
              <w:t>1 978</w:t>
            </w:r>
          </w:p>
        </w:tc>
        <w:tc>
          <w:tcPr>
            <w:tcW w:w="1214" w:type="dxa"/>
            <w:tcBorders>
              <w:top w:val="single" w:sz="4" w:space="0" w:color="auto"/>
              <w:left w:val="single" w:sz="4" w:space="0" w:color="auto"/>
            </w:tcBorders>
            <w:shd w:val="clear" w:color="auto" w:fill="auto"/>
          </w:tcPr>
          <w:p w14:paraId="296B3BF8" w14:textId="77777777" w:rsidR="00EC1C40" w:rsidRDefault="00000000">
            <w:pPr>
              <w:pStyle w:val="Jin0"/>
              <w:framePr w:w="7666" w:h="12274" w:wrap="none" w:vAnchor="page" w:hAnchor="page" w:x="1801" w:y="1402"/>
              <w:spacing w:after="0"/>
              <w:ind w:firstLine="840"/>
              <w:jc w:val="both"/>
              <w:rPr>
                <w:sz w:val="15"/>
                <w:szCs w:val="15"/>
              </w:rPr>
            </w:pPr>
            <w:r>
              <w:rPr>
                <w:sz w:val="15"/>
                <w:szCs w:val="15"/>
              </w:rPr>
              <w:t>100%</w:t>
            </w:r>
          </w:p>
        </w:tc>
        <w:tc>
          <w:tcPr>
            <w:tcW w:w="1104" w:type="dxa"/>
            <w:tcBorders>
              <w:top w:val="single" w:sz="4" w:space="0" w:color="auto"/>
              <w:left w:val="single" w:sz="4" w:space="0" w:color="auto"/>
              <w:right w:val="single" w:sz="4" w:space="0" w:color="auto"/>
            </w:tcBorders>
            <w:shd w:val="clear" w:color="auto" w:fill="auto"/>
          </w:tcPr>
          <w:p w14:paraId="11E85A82" w14:textId="77777777" w:rsidR="00EC1C40" w:rsidRDefault="00000000">
            <w:pPr>
              <w:pStyle w:val="Jin0"/>
              <w:framePr w:w="7666" w:h="12274" w:wrap="none" w:vAnchor="page" w:hAnchor="page" w:x="1801" w:y="1402"/>
              <w:spacing w:after="0"/>
              <w:jc w:val="right"/>
              <w:rPr>
                <w:sz w:val="15"/>
                <w:szCs w:val="15"/>
              </w:rPr>
            </w:pPr>
            <w:r>
              <w:rPr>
                <w:sz w:val="15"/>
                <w:szCs w:val="15"/>
              </w:rPr>
              <w:t>1 978</w:t>
            </w:r>
          </w:p>
        </w:tc>
      </w:tr>
      <w:tr w:rsidR="00EC1C40" w14:paraId="3F40C161" w14:textId="77777777">
        <w:tblPrEx>
          <w:tblCellMar>
            <w:top w:w="0" w:type="dxa"/>
            <w:bottom w:w="0" w:type="dxa"/>
          </w:tblCellMar>
        </w:tblPrEx>
        <w:trPr>
          <w:trHeight w:hRule="exact" w:val="192"/>
        </w:trPr>
        <w:tc>
          <w:tcPr>
            <w:tcW w:w="2640" w:type="dxa"/>
            <w:tcBorders>
              <w:top w:val="single" w:sz="4" w:space="0" w:color="auto"/>
              <w:left w:val="single" w:sz="4" w:space="0" w:color="auto"/>
            </w:tcBorders>
            <w:shd w:val="clear" w:color="auto" w:fill="auto"/>
          </w:tcPr>
          <w:p w14:paraId="7FD7652B" w14:textId="77777777" w:rsidR="00EC1C40" w:rsidRDefault="00000000">
            <w:pPr>
              <w:pStyle w:val="Jin0"/>
              <w:framePr w:w="7666" w:h="12274" w:wrap="none" w:vAnchor="page" w:hAnchor="page" w:x="1801" w:y="1402"/>
              <w:spacing w:after="0"/>
              <w:rPr>
                <w:sz w:val="15"/>
                <w:szCs w:val="15"/>
              </w:rPr>
            </w:pPr>
            <w:r>
              <w:rPr>
                <w:sz w:val="15"/>
                <w:szCs w:val="15"/>
                <w:lang w:val="en-US" w:eastAsia="en-US" w:bidi="en-US"/>
              </w:rPr>
              <w:t xml:space="preserve">HOTEL </w:t>
            </w:r>
            <w:r>
              <w:rPr>
                <w:sz w:val="15"/>
                <w:szCs w:val="15"/>
              </w:rPr>
              <w:t>ZÁZEMÍ</w:t>
            </w:r>
          </w:p>
        </w:tc>
        <w:tc>
          <w:tcPr>
            <w:tcW w:w="835" w:type="dxa"/>
            <w:tcBorders>
              <w:top w:val="single" w:sz="4" w:space="0" w:color="auto"/>
              <w:left w:val="single" w:sz="4" w:space="0" w:color="auto"/>
            </w:tcBorders>
            <w:shd w:val="clear" w:color="auto" w:fill="auto"/>
          </w:tcPr>
          <w:p w14:paraId="0551102C" w14:textId="77777777" w:rsidR="00EC1C40" w:rsidRDefault="00000000">
            <w:pPr>
              <w:pStyle w:val="Jin0"/>
              <w:framePr w:w="7666" w:h="12274" w:wrap="none" w:vAnchor="page" w:hAnchor="page" w:x="1801" w:y="1402"/>
              <w:spacing w:after="0"/>
              <w:ind w:firstLine="600"/>
              <w:jc w:val="both"/>
              <w:rPr>
                <w:sz w:val="15"/>
                <w:szCs w:val="15"/>
              </w:rPr>
            </w:pPr>
            <w:r>
              <w:rPr>
                <w:sz w:val="15"/>
                <w:szCs w:val="15"/>
              </w:rPr>
              <w:t>52</w:t>
            </w:r>
          </w:p>
        </w:tc>
        <w:tc>
          <w:tcPr>
            <w:tcW w:w="835" w:type="dxa"/>
            <w:tcBorders>
              <w:top w:val="single" w:sz="4" w:space="0" w:color="auto"/>
              <w:left w:val="single" w:sz="4" w:space="0" w:color="auto"/>
            </w:tcBorders>
            <w:shd w:val="clear" w:color="auto" w:fill="auto"/>
          </w:tcPr>
          <w:p w14:paraId="11E60AAE" w14:textId="77777777" w:rsidR="00EC1C40" w:rsidRDefault="00EC1C40">
            <w:pPr>
              <w:framePr w:w="7666" w:h="12274" w:wrap="none" w:vAnchor="page" w:hAnchor="page" w:x="1801" w:y="1402"/>
              <w:rPr>
                <w:sz w:val="10"/>
                <w:szCs w:val="10"/>
              </w:rPr>
            </w:pPr>
          </w:p>
        </w:tc>
        <w:tc>
          <w:tcPr>
            <w:tcW w:w="1037" w:type="dxa"/>
            <w:tcBorders>
              <w:top w:val="single" w:sz="4" w:space="0" w:color="auto"/>
              <w:left w:val="single" w:sz="4" w:space="0" w:color="auto"/>
            </w:tcBorders>
            <w:shd w:val="clear" w:color="auto" w:fill="auto"/>
          </w:tcPr>
          <w:p w14:paraId="41346C82" w14:textId="77777777" w:rsidR="00EC1C40" w:rsidRDefault="00000000">
            <w:pPr>
              <w:pStyle w:val="Jin0"/>
              <w:framePr w:w="7666" w:h="12274" w:wrap="none" w:vAnchor="page" w:hAnchor="page" w:x="1801" w:y="1402"/>
              <w:spacing w:after="0"/>
              <w:jc w:val="right"/>
              <w:rPr>
                <w:sz w:val="15"/>
                <w:szCs w:val="15"/>
              </w:rPr>
            </w:pPr>
            <w:r>
              <w:rPr>
                <w:sz w:val="15"/>
                <w:szCs w:val="15"/>
              </w:rPr>
              <w:t>52</w:t>
            </w:r>
          </w:p>
        </w:tc>
        <w:tc>
          <w:tcPr>
            <w:tcW w:w="1214" w:type="dxa"/>
            <w:tcBorders>
              <w:top w:val="single" w:sz="4" w:space="0" w:color="auto"/>
              <w:left w:val="single" w:sz="4" w:space="0" w:color="auto"/>
            </w:tcBorders>
            <w:shd w:val="clear" w:color="auto" w:fill="auto"/>
          </w:tcPr>
          <w:p w14:paraId="13339304" w14:textId="77777777" w:rsidR="00EC1C40" w:rsidRDefault="00000000">
            <w:pPr>
              <w:pStyle w:val="Jin0"/>
              <w:framePr w:w="7666" w:h="12274" w:wrap="none" w:vAnchor="page" w:hAnchor="page" w:x="1801" w:y="1402"/>
              <w:spacing w:after="0"/>
              <w:ind w:firstLine="840"/>
              <w:jc w:val="both"/>
              <w:rPr>
                <w:sz w:val="15"/>
                <w:szCs w:val="15"/>
              </w:rPr>
            </w:pPr>
            <w:r>
              <w:rPr>
                <w:sz w:val="15"/>
                <w:szCs w:val="15"/>
              </w:rPr>
              <w:t>100%</w:t>
            </w:r>
          </w:p>
        </w:tc>
        <w:tc>
          <w:tcPr>
            <w:tcW w:w="1104" w:type="dxa"/>
            <w:tcBorders>
              <w:top w:val="single" w:sz="4" w:space="0" w:color="auto"/>
              <w:left w:val="single" w:sz="4" w:space="0" w:color="auto"/>
              <w:right w:val="single" w:sz="4" w:space="0" w:color="auto"/>
            </w:tcBorders>
            <w:shd w:val="clear" w:color="auto" w:fill="auto"/>
          </w:tcPr>
          <w:p w14:paraId="3C9BC77C" w14:textId="77777777" w:rsidR="00EC1C40" w:rsidRDefault="00000000">
            <w:pPr>
              <w:pStyle w:val="Jin0"/>
              <w:framePr w:w="7666" w:h="12274" w:wrap="none" w:vAnchor="page" w:hAnchor="page" w:x="1801" w:y="1402"/>
              <w:spacing w:after="0"/>
              <w:jc w:val="right"/>
              <w:rPr>
                <w:sz w:val="15"/>
                <w:szCs w:val="15"/>
              </w:rPr>
            </w:pPr>
            <w:r>
              <w:rPr>
                <w:sz w:val="15"/>
                <w:szCs w:val="15"/>
              </w:rPr>
              <w:t>52</w:t>
            </w:r>
          </w:p>
        </w:tc>
      </w:tr>
      <w:tr w:rsidR="00EC1C40" w14:paraId="223C0657" w14:textId="77777777">
        <w:tblPrEx>
          <w:tblCellMar>
            <w:top w:w="0" w:type="dxa"/>
            <w:bottom w:w="0" w:type="dxa"/>
          </w:tblCellMar>
        </w:tblPrEx>
        <w:trPr>
          <w:trHeight w:hRule="exact" w:val="192"/>
        </w:trPr>
        <w:tc>
          <w:tcPr>
            <w:tcW w:w="2640" w:type="dxa"/>
            <w:tcBorders>
              <w:top w:val="single" w:sz="4" w:space="0" w:color="auto"/>
              <w:left w:val="single" w:sz="4" w:space="0" w:color="auto"/>
            </w:tcBorders>
            <w:shd w:val="clear" w:color="auto" w:fill="auto"/>
            <w:vAlign w:val="bottom"/>
          </w:tcPr>
          <w:p w14:paraId="32477E35" w14:textId="77777777" w:rsidR="00EC1C40" w:rsidRDefault="00000000">
            <w:pPr>
              <w:pStyle w:val="Jin0"/>
              <w:framePr w:w="7666" w:h="12274" w:wrap="none" w:vAnchor="page" w:hAnchor="page" w:x="1801" w:y="1402"/>
              <w:spacing w:after="0"/>
              <w:rPr>
                <w:sz w:val="15"/>
                <w:szCs w:val="15"/>
              </w:rPr>
            </w:pPr>
            <w:r>
              <w:rPr>
                <w:b/>
                <w:bCs/>
                <w:sz w:val="15"/>
                <w:szCs w:val="15"/>
                <w:lang w:val="en-US" w:eastAsia="en-US" w:bidi="en-US"/>
              </w:rPr>
              <w:t>5NP</w:t>
            </w:r>
          </w:p>
        </w:tc>
        <w:tc>
          <w:tcPr>
            <w:tcW w:w="835" w:type="dxa"/>
            <w:tcBorders>
              <w:top w:val="single" w:sz="4" w:space="0" w:color="auto"/>
              <w:left w:val="single" w:sz="4" w:space="0" w:color="auto"/>
            </w:tcBorders>
            <w:shd w:val="clear" w:color="auto" w:fill="auto"/>
            <w:vAlign w:val="bottom"/>
          </w:tcPr>
          <w:p w14:paraId="7BC1742B" w14:textId="77777777" w:rsidR="00EC1C40" w:rsidRDefault="00000000">
            <w:pPr>
              <w:pStyle w:val="Jin0"/>
              <w:framePr w:w="7666" w:h="12274" w:wrap="none" w:vAnchor="page" w:hAnchor="page" w:x="1801" w:y="1402"/>
              <w:spacing w:after="0"/>
              <w:ind w:firstLine="420"/>
              <w:jc w:val="both"/>
              <w:rPr>
                <w:sz w:val="15"/>
                <w:szCs w:val="15"/>
              </w:rPr>
            </w:pPr>
            <w:r>
              <w:rPr>
                <w:b/>
                <w:bCs/>
                <w:sz w:val="15"/>
                <w:szCs w:val="15"/>
              </w:rPr>
              <w:t>2 073</w:t>
            </w:r>
          </w:p>
        </w:tc>
        <w:tc>
          <w:tcPr>
            <w:tcW w:w="835" w:type="dxa"/>
            <w:tcBorders>
              <w:top w:val="single" w:sz="4" w:space="0" w:color="auto"/>
              <w:left w:val="single" w:sz="4" w:space="0" w:color="auto"/>
            </w:tcBorders>
            <w:shd w:val="clear" w:color="auto" w:fill="auto"/>
          </w:tcPr>
          <w:p w14:paraId="4792894F" w14:textId="77777777" w:rsidR="00EC1C40" w:rsidRDefault="00EC1C40">
            <w:pPr>
              <w:framePr w:w="7666" w:h="12274" w:wrap="none" w:vAnchor="page" w:hAnchor="page" w:x="1801" w:y="1402"/>
              <w:rPr>
                <w:sz w:val="10"/>
                <w:szCs w:val="10"/>
              </w:rPr>
            </w:pPr>
          </w:p>
        </w:tc>
        <w:tc>
          <w:tcPr>
            <w:tcW w:w="1037" w:type="dxa"/>
            <w:tcBorders>
              <w:top w:val="single" w:sz="4" w:space="0" w:color="auto"/>
              <w:left w:val="single" w:sz="4" w:space="0" w:color="auto"/>
            </w:tcBorders>
            <w:shd w:val="clear" w:color="auto" w:fill="auto"/>
          </w:tcPr>
          <w:p w14:paraId="5BAA86EC" w14:textId="77777777" w:rsidR="00EC1C40" w:rsidRDefault="00EC1C40">
            <w:pPr>
              <w:framePr w:w="7666" w:h="12274" w:wrap="none" w:vAnchor="page" w:hAnchor="page" w:x="1801" w:y="1402"/>
              <w:rPr>
                <w:sz w:val="10"/>
                <w:szCs w:val="10"/>
              </w:rPr>
            </w:pPr>
          </w:p>
        </w:tc>
        <w:tc>
          <w:tcPr>
            <w:tcW w:w="1214" w:type="dxa"/>
            <w:tcBorders>
              <w:top w:val="single" w:sz="4" w:space="0" w:color="auto"/>
              <w:left w:val="single" w:sz="4" w:space="0" w:color="auto"/>
            </w:tcBorders>
            <w:shd w:val="clear" w:color="auto" w:fill="auto"/>
          </w:tcPr>
          <w:p w14:paraId="3806E2CD" w14:textId="77777777" w:rsidR="00EC1C40" w:rsidRDefault="00EC1C40">
            <w:pPr>
              <w:framePr w:w="7666" w:h="12274" w:wrap="none" w:vAnchor="page" w:hAnchor="page" w:x="1801" w:y="1402"/>
              <w:rPr>
                <w:sz w:val="10"/>
                <w:szCs w:val="10"/>
              </w:rPr>
            </w:pPr>
          </w:p>
        </w:tc>
        <w:tc>
          <w:tcPr>
            <w:tcW w:w="1104" w:type="dxa"/>
            <w:tcBorders>
              <w:top w:val="single" w:sz="4" w:space="0" w:color="auto"/>
              <w:left w:val="single" w:sz="4" w:space="0" w:color="auto"/>
              <w:right w:val="single" w:sz="4" w:space="0" w:color="auto"/>
            </w:tcBorders>
            <w:shd w:val="clear" w:color="auto" w:fill="auto"/>
          </w:tcPr>
          <w:p w14:paraId="7B37AEDB" w14:textId="77777777" w:rsidR="00EC1C40" w:rsidRDefault="00EC1C40">
            <w:pPr>
              <w:framePr w:w="7666" w:h="12274" w:wrap="none" w:vAnchor="page" w:hAnchor="page" w:x="1801" w:y="1402"/>
              <w:rPr>
                <w:sz w:val="10"/>
                <w:szCs w:val="10"/>
              </w:rPr>
            </w:pPr>
          </w:p>
        </w:tc>
      </w:tr>
      <w:tr w:rsidR="00EC1C40" w14:paraId="4A2626E1" w14:textId="77777777">
        <w:tblPrEx>
          <w:tblCellMar>
            <w:top w:w="0" w:type="dxa"/>
            <w:bottom w:w="0" w:type="dxa"/>
          </w:tblCellMar>
        </w:tblPrEx>
        <w:trPr>
          <w:trHeight w:hRule="exact" w:val="197"/>
        </w:trPr>
        <w:tc>
          <w:tcPr>
            <w:tcW w:w="2640" w:type="dxa"/>
            <w:tcBorders>
              <w:top w:val="single" w:sz="4" w:space="0" w:color="auto"/>
              <w:left w:val="single" w:sz="4" w:space="0" w:color="auto"/>
            </w:tcBorders>
            <w:shd w:val="clear" w:color="auto" w:fill="auto"/>
          </w:tcPr>
          <w:p w14:paraId="73CBF7F7" w14:textId="77777777" w:rsidR="00EC1C40" w:rsidRDefault="00000000">
            <w:pPr>
              <w:pStyle w:val="Jin0"/>
              <w:framePr w:w="7666" w:h="12274" w:wrap="none" w:vAnchor="page" w:hAnchor="page" w:x="1801" w:y="1402"/>
              <w:spacing w:after="0"/>
              <w:rPr>
                <w:sz w:val="15"/>
                <w:szCs w:val="15"/>
              </w:rPr>
            </w:pPr>
            <w:r>
              <w:rPr>
                <w:sz w:val="15"/>
                <w:szCs w:val="15"/>
                <w:lang w:val="en-US" w:eastAsia="en-US" w:bidi="en-US"/>
              </w:rPr>
              <w:t xml:space="preserve">HOTEL </w:t>
            </w:r>
            <w:r>
              <w:rPr>
                <w:sz w:val="15"/>
                <w:szCs w:val="15"/>
              </w:rPr>
              <w:t>HOSTÉ</w:t>
            </w:r>
          </w:p>
        </w:tc>
        <w:tc>
          <w:tcPr>
            <w:tcW w:w="835" w:type="dxa"/>
            <w:tcBorders>
              <w:top w:val="single" w:sz="4" w:space="0" w:color="auto"/>
              <w:left w:val="single" w:sz="4" w:space="0" w:color="auto"/>
            </w:tcBorders>
            <w:shd w:val="clear" w:color="auto" w:fill="auto"/>
          </w:tcPr>
          <w:p w14:paraId="72F4C00E" w14:textId="77777777" w:rsidR="00EC1C40" w:rsidRDefault="00000000">
            <w:pPr>
              <w:pStyle w:val="Jin0"/>
              <w:framePr w:w="7666" w:h="12274" w:wrap="none" w:vAnchor="page" w:hAnchor="page" w:x="1801" w:y="1402"/>
              <w:spacing w:after="0"/>
              <w:ind w:firstLine="420"/>
              <w:jc w:val="both"/>
              <w:rPr>
                <w:sz w:val="15"/>
                <w:szCs w:val="15"/>
              </w:rPr>
            </w:pPr>
            <w:r>
              <w:rPr>
                <w:sz w:val="15"/>
                <w:szCs w:val="15"/>
              </w:rPr>
              <w:t>2 006</w:t>
            </w:r>
          </w:p>
        </w:tc>
        <w:tc>
          <w:tcPr>
            <w:tcW w:w="835" w:type="dxa"/>
            <w:tcBorders>
              <w:top w:val="single" w:sz="4" w:space="0" w:color="auto"/>
              <w:left w:val="single" w:sz="4" w:space="0" w:color="auto"/>
            </w:tcBorders>
            <w:shd w:val="clear" w:color="auto" w:fill="auto"/>
          </w:tcPr>
          <w:p w14:paraId="3278C6B5" w14:textId="77777777" w:rsidR="00EC1C40" w:rsidRDefault="00EC1C40">
            <w:pPr>
              <w:framePr w:w="7666" w:h="12274" w:wrap="none" w:vAnchor="page" w:hAnchor="page" w:x="1801" w:y="1402"/>
              <w:rPr>
                <w:sz w:val="10"/>
                <w:szCs w:val="10"/>
              </w:rPr>
            </w:pPr>
          </w:p>
        </w:tc>
        <w:tc>
          <w:tcPr>
            <w:tcW w:w="1037" w:type="dxa"/>
            <w:tcBorders>
              <w:top w:val="single" w:sz="4" w:space="0" w:color="auto"/>
              <w:left w:val="single" w:sz="4" w:space="0" w:color="auto"/>
            </w:tcBorders>
            <w:shd w:val="clear" w:color="auto" w:fill="auto"/>
          </w:tcPr>
          <w:p w14:paraId="5E6BDDB3" w14:textId="77777777" w:rsidR="00EC1C40" w:rsidRDefault="00000000">
            <w:pPr>
              <w:pStyle w:val="Jin0"/>
              <w:framePr w:w="7666" w:h="12274" w:wrap="none" w:vAnchor="page" w:hAnchor="page" w:x="1801" w:y="1402"/>
              <w:spacing w:after="0"/>
              <w:jc w:val="right"/>
              <w:rPr>
                <w:sz w:val="15"/>
                <w:szCs w:val="15"/>
              </w:rPr>
            </w:pPr>
            <w:r>
              <w:rPr>
                <w:sz w:val="15"/>
                <w:szCs w:val="15"/>
              </w:rPr>
              <w:t>2 006</w:t>
            </w:r>
          </w:p>
        </w:tc>
        <w:tc>
          <w:tcPr>
            <w:tcW w:w="1214" w:type="dxa"/>
            <w:tcBorders>
              <w:top w:val="single" w:sz="4" w:space="0" w:color="auto"/>
              <w:left w:val="single" w:sz="4" w:space="0" w:color="auto"/>
            </w:tcBorders>
            <w:shd w:val="clear" w:color="auto" w:fill="auto"/>
          </w:tcPr>
          <w:p w14:paraId="6B2514F6" w14:textId="77777777" w:rsidR="00EC1C40" w:rsidRDefault="00000000">
            <w:pPr>
              <w:pStyle w:val="Jin0"/>
              <w:framePr w:w="7666" w:h="12274" w:wrap="none" w:vAnchor="page" w:hAnchor="page" w:x="1801" w:y="1402"/>
              <w:spacing w:after="0"/>
              <w:ind w:firstLine="840"/>
              <w:jc w:val="both"/>
              <w:rPr>
                <w:sz w:val="15"/>
                <w:szCs w:val="15"/>
              </w:rPr>
            </w:pPr>
            <w:r>
              <w:rPr>
                <w:sz w:val="15"/>
                <w:szCs w:val="15"/>
              </w:rPr>
              <w:t>100%</w:t>
            </w:r>
          </w:p>
        </w:tc>
        <w:tc>
          <w:tcPr>
            <w:tcW w:w="1104" w:type="dxa"/>
            <w:tcBorders>
              <w:top w:val="single" w:sz="4" w:space="0" w:color="auto"/>
              <w:left w:val="single" w:sz="4" w:space="0" w:color="auto"/>
              <w:right w:val="single" w:sz="4" w:space="0" w:color="auto"/>
            </w:tcBorders>
            <w:shd w:val="clear" w:color="auto" w:fill="auto"/>
          </w:tcPr>
          <w:p w14:paraId="08A201A7" w14:textId="77777777" w:rsidR="00EC1C40" w:rsidRDefault="00000000">
            <w:pPr>
              <w:pStyle w:val="Jin0"/>
              <w:framePr w:w="7666" w:h="12274" w:wrap="none" w:vAnchor="page" w:hAnchor="page" w:x="1801" w:y="1402"/>
              <w:spacing w:after="0"/>
              <w:jc w:val="right"/>
              <w:rPr>
                <w:sz w:val="15"/>
                <w:szCs w:val="15"/>
              </w:rPr>
            </w:pPr>
            <w:r>
              <w:rPr>
                <w:sz w:val="15"/>
                <w:szCs w:val="15"/>
              </w:rPr>
              <w:t>2 006</w:t>
            </w:r>
          </w:p>
        </w:tc>
      </w:tr>
      <w:tr w:rsidR="00EC1C40" w14:paraId="4290585E" w14:textId="77777777">
        <w:tblPrEx>
          <w:tblCellMar>
            <w:top w:w="0" w:type="dxa"/>
            <w:bottom w:w="0" w:type="dxa"/>
          </w:tblCellMar>
        </w:tblPrEx>
        <w:trPr>
          <w:trHeight w:hRule="exact" w:val="192"/>
        </w:trPr>
        <w:tc>
          <w:tcPr>
            <w:tcW w:w="2640" w:type="dxa"/>
            <w:tcBorders>
              <w:top w:val="single" w:sz="4" w:space="0" w:color="auto"/>
              <w:left w:val="single" w:sz="4" w:space="0" w:color="auto"/>
            </w:tcBorders>
            <w:shd w:val="clear" w:color="auto" w:fill="auto"/>
          </w:tcPr>
          <w:p w14:paraId="34AE5CF5" w14:textId="77777777" w:rsidR="00EC1C40" w:rsidRDefault="00000000">
            <w:pPr>
              <w:pStyle w:val="Jin0"/>
              <w:framePr w:w="7666" w:h="12274" w:wrap="none" w:vAnchor="page" w:hAnchor="page" w:x="1801" w:y="1402"/>
              <w:spacing w:after="0"/>
              <w:rPr>
                <w:sz w:val="15"/>
                <w:szCs w:val="15"/>
              </w:rPr>
            </w:pPr>
            <w:r>
              <w:rPr>
                <w:sz w:val="15"/>
                <w:szCs w:val="15"/>
                <w:lang w:val="en-US" w:eastAsia="en-US" w:bidi="en-US"/>
              </w:rPr>
              <w:t xml:space="preserve">HOTEL </w:t>
            </w:r>
            <w:r>
              <w:rPr>
                <w:sz w:val="15"/>
                <w:szCs w:val="15"/>
              </w:rPr>
              <w:t>ZÁZEMÍ</w:t>
            </w:r>
          </w:p>
        </w:tc>
        <w:tc>
          <w:tcPr>
            <w:tcW w:w="835" w:type="dxa"/>
            <w:tcBorders>
              <w:top w:val="single" w:sz="4" w:space="0" w:color="auto"/>
              <w:left w:val="single" w:sz="4" w:space="0" w:color="auto"/>
            </w:tcBorders>
            <w:shd w:val="clear" w:color="auto" w:fill="auto"/>
          </w:tcPr>
          <w:p w14:paraId="2030E6F7" w14:textId="77777777" w:rsidR="00EC1C40" w:rsidRDefault="00000000">
            <w:pPr>
              <w:pStyle w:val="Jin0"/>
              <w:framePr w:w="7666" w:h="12274" w:wrap="none" w:vAnchor="page" w:hAnchor="page" w:x="1801" w:y="1402"/>
              <w:spacing w:after="0"/>
              <w:ind w:firstLine="600"/>
              <w:jc w:val="both"/>
              <w:rPr>
                <w:sz w:val="15"/>
                <w:szCs w:val="15"/>
              </w:rPr>
            </w:pPr>
            <w:r>
              <w:rPr>
                <w:sz w:val="15"/>
                <w:szCs w:val="15"/>
              </w:rPr>
              <w:t>67</w:t>
            </w:r>
          </w:p>
        </w:tc>
        <w:tc>
          <w:tcPr>
            <w:tcW w:w="835" w:type="dxa"/>
            <w:tcBorders>
              <w:top w:val="single" w:sz="4" w:space="0" w:color="auto"/>
              <w:left w:val="single" w:sz="4" w:space="0" w:color="auto"/>
            </w:tcBorders>
            <w:shd w:val="clear" w:color="auto" w:fill="auto"/>
          </w:tcPr>
          <w:p w14:paraId="0F1961E8" w14:textId="77777777" w:rsidR="00EC1C40" w:rsidRDefault="00EC1C40">
            <w:pPr>
              <w:framePr w:w="7666" w:h="12274" w:wrap="none" w:vAnchor="page" w:hAnchor="page" w:x="1801" w:y="1402"/>
              <w:rPr>
                <w:sz w:val="10"/>
                <w:szCs w:val="10"/>
              </w:rPr>
            </w:pPr>
          </w:p>
        </w:tc>
        <w:tc>
          <w:tcPr>
            <w:tcW w:w="1037" w:type="dxa"/>
            <w:tcBorders>
              <w:top w:val="single" w:sz="4" w:space="0" w:color="auto"/>
              <w:left w:val="single" w:sz="4" w:space="0" w:color="auto"/>
            </w:tcBorders>
            <w:shd w:val="clear" w:color="auto" w:fill="auto"/>
          </w:tcPr>
          <w:p w14:paraId="5BCDC264" w14:textId="77777777" w:rsidR="00EC1C40" w:rsidRDefault="00000000">
            <w:pPr>
              <w:pStyle w:val="Jin0"/>
              <w:framePr w:w="7666" w:h="12274" w:wrap="none" w:vAnchor="page" w:hAnchor="page" w:x="1801" w:y="1402"/>
              <w:spacing w:after="0"/>
              <w:jc w:val="right"/>
              <w:rPr>
                <w:sz w:val="15"/>
                <w:szCs w:val="15"/>
              </w:rPr>
            </w:pPr>
            <w:r>
              <w:rPr>
                <w:sz w:val="15"/>
                <w:szCs w:val="15"/>
              </w:rPr>
              <w:t>67</w:t>
            </w:r>
          </w:p>
        </w:tc>
        <w:tc>
          <w:tcPr>
            <w:tcW w:w="1214" w:type="dxa"/>
            <w:tcBorders>
              <w:top w:val="single" w:sz="4" w:space="0" w:color="auto"/>
              <w:left w:val="single" w:sz="4" w:space="0" w:color="auto"/>
            </w:tcBorders>
            <w:shd w:val="clear" w:color="auto" w:fill="auto"/>
          </w:tcPr>
          <w:p w14:paraId="7FA7709C" w14:textId="77777777" w:rsidR="00EC1C40" w:rsidRDefault="00000000">
            <w:pPr>
              <w:pStyle w:val="Jin0"/>
              <w:framePr w:w="7666" w:h="12274" w:wrap="none" w:vAnchor="page" w:hAnchor="page" w:x="1801" w:y="1402"/>
              <w:spacing w:after="0"/>
              <w:ind w:firstLine="840"/>
              <w:jc w:val="both"/>
              <w:rPr>
                <w:sz w:val="15"/>
                <w:szCs w:val="15"/>
              </w:rPr>
            </w:pPr>
            <w:r>
              <w:rPr>
                <w:sz w:val="15"/>
                <w:szCs w:val="15"/>
              </w:rPr>
              <w:t>100%</w:t>
            </w:r>
          </w:p>
        </w:tc>
        <w:tc>
          <w:tcPr>
            <w:tcW w:w="1104" w:type="dxa"/>
            <w:tcBorders>
              <w:top w:val="single" w:sz="4" w:space="0" w:color="auto"/>
              <w:left w:val="single" w:sz="4" w:space="0" w:color="auto"/>
              <w:right w:val="single" w:sz="4" w:space="0" w:color="auto"/>
            </w:tcBorders>
            <w:shd w:val="clear" w:color="auto" w:fill="auto"/>
          </w:tcPr>
          <w:p w14:paraId="5597FB4B" w14:textId="77777777" w:rsidR="00EC1C40" w:rsidRDefault="00000000">
            <w:pPr>
              <w:pStyle w:val="Jin0"/>
              <w:framePr w:w="7666" w:h="12274" w:wrap="none" w:vAnchor="page" w:hAnchor="page" w:x="1801" w:y="1402"/>
              <w:spacing w:after="0"/>
              <w:jc w:val="right"/>
              <w:rPr>
                <w:sz w:val="15"/>
                <w:szCs w:val="15"/>
              </w:rPr>
            </w:pPr>
            <w:r>
              <w:rPr>
                <w:sz w:val="15"/>
                <w:szCs w:val="15"/>
              </w:rPr>
              <w:t>67</w:t>
            </w:r>
          </w:p>
        </w:tc>
      </w:tr>
      <w:tr w:rsidR="00EC1C40" w14:paraId="71578872" w14:textId="77777777">
        <w:tblPrEx>
          <w:tblCellMar>
            <w:top w:w="0" w:type="dxa"/>
            <w:bottom w:w="0" w:type="dxa"/>
          </w:tblCellMar>
        </w:tblPrEx>
        <w:trPr>
          <w:trHeight w:hRule="exact" w:val="197"/>
        </w:trPr>
        <w:tc>
          <w:tcPr>
            <w:tcW w:w="2640" w:type="dxa"/>
            <w:tcBorders>
              <w:top w:val="single" w:sz="4" w:space="0" w:color="auto"/>
              <w:left w:val="single" w:sz="4" w:space="0" w:color="auto"/>
            </w:tcBorders>
            <w:shd w:val="clear" w:color="auto" w:fill="auto"/>
            <w:vAlign w:val="bottom"/>
          </w:tcPr>
          <w:p w14:paraId="369AEC1C" w14:textId="77777777" w:rsidR="00EC1C40" w:rsidRDefault="00000000">
            <w:pPr>
              <w:pStyle w:val="Jin0"/>
              <w:framePr w:w="7666" w:h="12274" w:wrap="none" w:vAnchor="page" w:hAnchor="page" w:x="1801" w:y="1402"/>
              <w:spacing w:after="0"/>
              <w:rPr>
                <w:sz w:val="15"/>
                <w:szCs w:val="15"/>
              </w:rPr>
            </w:pPr>
            <w:r>
              <w:rPr>
                <w:b/>
                <w:bCs/>
                <w:sz w:val="15"/>
                <w:szCs w:val="15"/>
                <w:lang w:val="en-US" w:eastAsia="en-US" w:bidi="en-US"/>
              </w:rPr>
              <w:t>6NP</w:t>
            </w:r>
          </w:p>
        </w:tc>
        <w:tc>
          <w:tcPr>
            <w:tcW w:w="835" w:type="dxa"/>
            <w:tcBorders>
              <w:top w:val="single" w:sz="4" w:space="0" w:color="auto"/>
              <w:left w:val="single" w:sz="4" w:space="0" w:color="auto"/>
            </w:tcBorders>
            <w:shd w:val="clear" w:color="auto" w:fill="auto"/>
            <w:vAlign w:val="bottom"/>
          </w:tcPr>
          <w:p w14:paraId="7060BF77" w14:textId="77777777" w:rsidR="00EC1C40" w:rsidRDefault="00000000">
            <w:pPr>
              <w:pStyle w:val="Jin0"/>
              <w:framePr w:w="7666" w:h="12274" w:wrap="none" w:vAnchor="page" w:hAnchor="page" w:x="1801" w:y="1402"/>
              <w:spacing w:after="0"/>
              <w:ind w:firstLine="420"/>
              <w:jc w:val="both"/>
              <w:rPr>
                <w:sz w:val="15"/>
                <w:szCs w:val="15"/>
              </w:rPr>
            </w:pPr>
            <w:r>
              <w:rPr>
                <w:b/>
                <w:bCs/>
                <w:sz w:val="15"/>
                <w:szCs w:val="15"/>
              </w:rPr>
              <w:t>2 112</w:t>
            </w:r>
          </w:p>
        </w:tc>
        <w:tc>
          <w:tcPr>
            <w:tcW w:w="835" w:type="dxa"/>
            <w:tcBorders>
              <w:top w:val="single" w:sz="4" w:space="0" w:color="auto"/>
              <w:left w:val="single" w:sz="4" w:space="0" w:color="auto"/>
            </w:tcBorders>
            <w:shd w:val="clear" w:color="auto" w:fill="auto"/>
          </w:tcPr>
          <w:p w14:paraId="4A9E3B81" w14:textId="77777777" w:rsidR="00EC1C40" w:rsidRDefault="00EC1C40">
            <w:pPr>
              <w:framePr w:w="7666" w:h="12274" w:wrap="none" w:vAnchor="page" w:hAnchor="page" w:x="1801" w:y="1402"/>
              <w:rPr>
                <w:sz w:val="10"/>
                <w:szCs w:val="10"/>
              </w:rPr>
            </w:pPr>
          </w:p>
        </w:tc>
        <w:tc>
          <w:tcPr>
            <w:tcW w:w="1037" w:type="dxa"/>
            <w:tcBorders>
              <w:top w:val="single" w:sz="4" w:space="0" w:color="auto"/>
              <w:left w:val="single" w:sz="4" w:space="0" w:color="auto"/>
            </w:tcBorders>
            <w:shd w:val="clear" w:color="auto" w:fill="auto"/>
          </w:tcPr>
          <w:p w14:paraId="335DA6B2" w14:textId="77777777" w:rsidR="00EC1C40" w:rsidRDefault="00EC1C40">
            <w:pPr>
              <w:framePr w:w="7666" w:h="12274" w:wrap="none" w:vAnchor="page" w:hAnchor="page" w:x="1801" w:y="1402"/>
              <w:rPr>
                <w:sz w:val="10"/>
                <w:szCs w:val="10"/>
              </w:rPr>
            </w:pPr>
          </w:p>
        </w:tc>
        <w:tc>
          <w:tcPr>
            <w:tcW w:w="1214" w:type="dxa"/>
            <w:tcBorders>
              <w:top w:val="single" w:sz="4" w:space="0" w:color="auto"/>
              <w:left w:val="single" w:sz="4" w:space="0" w:color="auto"/>
            </w:tcBorders>
            <w:shd w:val="clear" w:color="auto" w:fill="auto"/>
          </w:tcPr>
          <w:p w14:paraId="2AD0C48C" w14:textId="77777777" w:rsidR="00EC1C40" w:rsidRDefault="00EC1C40">
            <w:pPr>
              <w:framePr w:w="7666" w:h="12274" w:wrap="none" w:vAnchor="page" w:hAnchor="page" w:x="1801" w:y="1402"/>
              <w:rPr>
                <w:sz w:val="10"/>
                <w:szCs w:val="10"/>
              </w:rPr>
            </w:pPr>
          </w:p>
        </w:tc>
        <w:tc>
          <w:tcPr>
            <w:tcW w:w="1104" w:type="dxa"/>
            <w:tcBorders>
              <w:top w:val="single" w:sz="4" w:space="0" w:color="auto"/>
              <w:left w:val="single" w:sz="4" w:space="0" w:color="auto"/>
              <w:right w:val="single" w:sz="4" w:space="0" w:color="auto"/>
            </w:tcBorders>
            <w:shd w:val="clear" w:color="auto" w:fill="auto"/>
          </w:tcPr>
          <w:p w14:paraId="2610E615" w14:textId="77777777" w:rsidR="00EC1C40" w:rsidRDefault="00EC1C40">
            <w:pPr>
              <w:framePr w:w="7666" w:h="12274" w:wrap="none" w:vAnchor="page" w:hAnchor="page" w:x="1801" w:y="1402"/>
              <w:rPr>
                <w:sz w:val="10"/>
                <w:szCs w:val="10"/>
              </w:rPr>
            </w:pPr>
          </w:p>
        </w:tc>
      </w:tr>
      <w:tr w:rsidR="00EC1C40" w14:paraId="48AB71B7" w14:textId="77777777">
        <w:tblPrEx>
          <w:tblCellMar>
            <w:top w:w="0" w:type="dxa"/>
            <w:bottom w:w="0" w:type="dxa"/>
          </w:tblCellMar>
        </w:tblPrEx>
        <w:trPr>
          <w:trHeight w:hRule="exact" w:val="192"/>
        </w:trPr>
        <w:tc>
          <w:tcPr>
            <w:tcW w:w="2640" w:type="dxa"/>
            <w:tcBorders>
              <w:top w:val="single" w:sz="4" w:space="0" w:color="auto"/>
              <w:left w:val="single" w:sz="4" w:space="0" w:color="auto"/>
            </w:tcBorders>
            <w:shd w:val="clear" w:color="auto" w:fill="auto"/>
          </w:tcPr>
          <w:p w14:paraId="461A6EEE" w14:textId="77777777" w:rsidR="00EC1C40" w:rsidRDefault="00000000">
            <w:pPr>
              <w:pStyle w:val="Jin0"/>
              <w:framePr w:w="7666" w:h="12274" w:wrap="none" w:vAnchor="page" w:hAnchor="page" w:x="1801" w:y="1402"/>
              <w:spacing w:after="0"/>
              <w:rPr>
                <w:sz w:val="15"/>
                <w:szCs w:val="15"/>
              </w:rPr>
            </w:pPr>
            <w:r>
              <w:rPr>
                <w:sz w:val="15"/>
                <w:szCs w:val="15"/>
                <w:lang w:val="en-US" w:eastAsia="en-US" w:bidi="en-US"/>
              </w:rPr>
              <w:t xml:space="preserve">HOTEL </w:t>
            </w:r>
            <w:r>
              <w:rPr>
                <w:sz w:val="15"/>
                <w:szCs w:val="15"/>
              </w:rPr>
              <w:t>HOSTÉ</w:t>
            </w:r>
          </w:p>
        </w:tc>
        <w:tc>
          <w:tcPr>
            <w:tcW w:w="835" w:type="dxa"/>
            <w:tcBorders>
              <w:top w:val="single" w:sz="4" w:space="0" w:color="auto"/>
              <w:left w:val="single" w:sz="4" w:space="0" w:color="auto"/>
            </w:tcBorders>
            <w:shd w:val="clear" w:color="auto" w:fill="auto"/>
          </w:tcPr>
          <w:p w14:paraId="7F1E817D" w14:textId="77777777" w:rsidR="00EC1C40" w:rsidRDefault="00000000">
            <w:pPr>
              <w:pStyle w:val="Jin0"/>
              <w:framePr w:w="7666" w:h="12274" w:wrap="none" w:vAnchor="page" w:hAnchor="page" w:x="1801" w:y="1402"/>
              <w:spacing w:after="0"/>
              <w:ind w:firstLine="420"/>
              <w:jc w:val="both"/>
              <w:rPr>
                <w:sz w:val="15"/>
                <w:szCs w:val="15"/>
              </w:rPr>
            </w:pPr>
            <w:r>
              <w:rPr>
                <w:sz w:val="15"/>
                <w:szCs w:val="15"/>
              </w:rPr>
              <w:t>2 017</w:t>
            </w:r>
          </w:p>
        </w:tc>
        <w:tc>
          <w:tcPr>
            <w:tcW w:w="835" w:type="dxa"/>
            <w:tcBorders>
              <w:top w:val="single" w:sz="4" w:space="0" w:color="auto"/>
              <w:left w:val="single" w:sz="4" w:space="0" w:color="auto"/>
            </w:tcBorders>
            <w:shd w:val="clear" w:color="auto" w:fill="auto"/>
          </w:tcPr>
          <w:p w14:paraId="505AA13B" w14:textId="77777777" w:rsidR="00EC1C40" w:rsidRDefault="00EC1C40">
            <w:pPr>
              <w:framePr w:w="7666" w:h="12274" w:wrap="none" w:vAnchor="page" w:hAnchor="page" w:x="1801" w:y="1402"/>
              <w:rPr>
                <w:sz w:val="10"/>
                <w:szCs w:val="10"/>
              </w:rPr>
            </w:pPr>
          </w:p>
        </w:tc>
        <w:tc>
          <w:tcPr>
            <w:tcW w:w="1037" w:type="dxa"/>
            <w:tcBorders>
              <w:top w:val="single" w:sz="4" w:space="0" w:color="auto"/>
              <w:left w:val="single" w:sz="4" w:space="0" w:color="auto"/>
            </w:tcBorders>
            <w:shd w:val="clear" w:color="auto" w:fill="auto"/>
          </w:tcPr>
          <w:p w14:paraId="3FE821FC" w14:textId="77777777" w:rsidR="00EC1C40" w:rsidRDefault="00000000">
            <w:pPr>
              <w:pStyle w:val="Jin0"/>
              <w:framePr w:w="7666" w:h="12274" w:wrap="none" w:vAnchor="page" w:hAnchor="page" w:x="1801" w:y="1402"/>
              <w:spacing w:after="0"/>
              <w:jc w:val="right"/>
              <w:rPr>
                <w:sz w:val="15"/>
                <w:szCs w:val="15"/>
              </w:rPr>
            </w:pPr>
            <w:r>
              <w:rPr>
                <w:sz w:val="15"/>
                <w:szCs w:val="15"/>
              </w:rPr>
              <w:t>2 017</w:t>
            </w:r>
          </w:p>
        </w:tc>
        <w:tc>
          <w:tcPr>
            <w:tcW w:w="1214" w:type="dxa"/>
            <w:tcBorders>
              <w:top w:val="single" w:sz="4" w:space="0" w:color="auto"/>
              <w:left w:val="single" w:sz="4" w:space="0" w:color="auto"/>
            </w:tcBorders>
            <w:shd w:val="clear" w:color="auto" w:fill="auto"/>
          </w:tcPr>
          <w:p w14:paraId="476C9A50" w14:textId="77777777" w:rsidR="00EC1C40" w:rsidRDefault="00000000">
            <w:pPr>
              <w:pStyle w:val="Jin0"/>
              <w:framePr w:w="7666" w:h="12274" w:wrap="none" w:vAnchor="page" w:hAnchor="page" w:x="1801" w:y="1402"/>
              <w:spacing w:after="0"/>
              <w:ind w:firstLine="840"/>
              <w:jc w:val="both"/>
              <w:rPr>
                <w:sz w:val="15"/>
                <w:szCs w:val="15"/>
              </w:rPr>
            </w:pPr>
            <w:r>
              <w:rPr>
                <w:sz w:val="15"/>
                <w:szCs w:val="15"/>
              </w:rPr>
              <w:t>100%</w:t>
            </w:r>
          </w:p>
        </w:tc>
        <w:tc>
          <w:tcPr>
            <w:tcW w:w="1104" w:type="dxa"/>
            <w:tcBorders>
              <w:top w:val="single" w:sz="4" w:space="0" w:color="auto"/>
              <w:left w:val="single" w:sz="4" w:space="0" w:color="auto"/>
              <w:right w:val="single" w:sz="4" w:space="0" w:color="auto"/>
            </w:tcBorders>
            <w:shd w:val="clear" w:color="auto" w:fill="auto"/>
          </w:tcPr>
          <w:p w14:paraId="2C68B9C4" w14:textId="77777777" w:rsidR="00EC1C40" w:rsidRDefault="00000000">
            <w:pPr>
              <w:pStyle w:val="Jin0"/>
              <w:framePr w:w="7666" w:h="12274" w:wrap="none" w:vAnchor="page" w:hAnchor="page" w:x="1801" w:y="1402"/>
              <w:spacing w:after="0"/>
              <w:jc w:val="right"/>
              <w:rPr>
                <w:sz w:val="15"/>
                <w:szCs w:val="15"/>
              </w:rPr>
            </w:pPr>
            <w:r>
              <w:rPr>
                <w:sz w:val="15"/>
                <w:szCs w:val="15"/>
              </w:rPr>
              <w:t>2 017</w:t>
            </w:r>
          </w:p>
        </w:tc>
      </w:tr>
      <w:tr w:rsidR="00EC1C40" w14:paraId="6AB76CBD" w14:textId="77777777">
        <w:tblPrEx>
          <w:tblCellMar>
            <w:top w:w="0" w:type="dxa"/>
            <w:bottom w:w="0" w:type="dxa"/>
          </w:tblCellMar>
        </w:tblPrEx>
        <w:trPr>
          <w:trHeight w:hRule="exact" w:val="197"/>
        </w:trPr>
        <w:tc>
          <w:tcPr>
            <w:tcW w:w="2640" w:type="dxa"/>
            <w:tcBorders>
              <w:top w:val="single" w:sz="4" w:space="0" w:color="auto"/>
              <w:left w:val="single" w:sz="4" w:space="0" w:color="auto"/>
            </w:tcBorders>
            <w:shd w:val="clear" w:color="auto" w:fill="auto"/>
          </w:tcPr>
          <w:p w14:paraId="74364754" w14:textId="77777777" w:rsidR="00EC1C40" w:rsidRDefault="00000000">
            <w:pPr>
              <w:pStyle w:val="Jin0"/>
              <w:framePr w:w="7666" w:h="12274" w:wrap="none" w:vAnchor="page" w:hAnchor="page" w:x="1801" w:y="1402"/>
              <w:spacing w:after="0"/>
              <w:rPr>
                <w:sz w:val="15"/>
                <w:szCs w:val="15"/>
              </w:rPr>
            </w:pPr>
            <w:r>
              <w:rPr>
                <w:sz w:val="15"/>
                <w:szCs w:val="15"/>
                <w:lang w:val="en-US" w:eastAsia="en-US" w:bidi="en-US"/>
              </w:rPr>
              <w:t xml:space="preserve">HOTEL </w:t>
            </w:r>
            <w:r>
              <w:rPr>
                <w:sz w:val="15"/>
                <w:szCs w:val="15"/>
              </w:rPr>
              <w:t>ZÁZEMÍ</w:t>
            </w:r>
          </w:p>
        </w:tc>
        <w:tc>
          <w:tcPr>
            <w:tcW w:w="835" w:type="dxa"/>
            <w:tcBorders>
              <w:top w:val="single" w:sz="4" w:space="0" w:color="auto"/>
              <w:left w:val="single" w:sz="4" w:space="0" w:color="auto"/>
            </w:tcBorders>
            <w:shd w:val="clear" w:color="auto" w:fill="auto"/>
          </w:tcPr>
          <w:p w14:paraId="615B5727" w14:textId="77777777" w:rsidR="00EC1C40" w:rsidRDefault="00000000">
            <w:pPr>
              <w:pStyle w:val="Jin0"/>
              <w:framePr w:w="7666" w:h="12274" w:wrap="none" w:vAnchor="page" w:hAnchor="page" w:x="1801" w:y="1402"/>
              <w:spacing w:after="0"/>
              <w:ind w:firstLine="600"/>
              <w:jc w:val="both"/>
              <w:rPr>
                <w:sz w:val="15"/>
                <w:szCs w:val="15"/>
              </w:rPr>
            </w:pPr>
            <w:r>
              <w:rPr>
                <w:sz w:val="15"/>
                <w:szCs w:val="15"/>
              </w:rPr>
              <w:t>95</w:t>
            </w:r>
          </w:p>
        </w:tc>
        <w:tc>
          <w:tcPr>
            <w:tcW w:w="835" w:type="dxa"/>
            <w:tcBorders>
              <w:top w:val="single" w:sz="4" w:space="0" w:color="auto"/>
              <w:left w:val="single" w:sz="4" w:space="0" w:color="auto"/>
            </w:tcBorders>
            <w:shd w:val="clear" w:color="auto" w:fill="auto"/>
          </w:tcPr>
          <w:p w14:paraId="082B53E7" w14:textId="77777777" w:rsidR="00EC1C40" w:rsidRDefault="00EC1C40">
            <w:pPr>
              <w:framePr w:w="7666" w:h="12274" w:wrap="none" w:vAnchor="page" w:hAnchor="page" w:x="1801" w:y="1402"/>
              <w:rPr>
                <w:sz w:val="10"/>
                <w:szCs w:val="10"/>
              </w:rPr>
            </w:pPr>
          </w:p>
        </w:tc>
        <w:tc>
          <w:tcPr>
            <w:tcW w:w="1037" w:type="dxa"/>
            <w:tcBorders>
              <w:top w:val="single" w:sz="4" w:space="0" w:color="auto"/>
              <w:left w:val="single" w:sz="4" w:space="0" w:color="auto"/>
            </w:tcBorders>
            <w:shd w:val="clear" w:color="auto" w:fill="auto"/>
          </w:tcPr>
          <w:p w14:paraId="013E8B81" w14:textId="77777777" w:rsidR="00EC1C40" w:rsidRDefault="00000000">
            <w:pPr>
              <w:pStyle w:val="Jin0"/>
              <w:framePr w:w="7666" w:h="12274" w:wrap="none" w:vAnchor="page" w:hAnchor="page" w:x="1801" w:y="1402"/>
              <w:spacing w:after="0"/>
              <w:jc w:val="right"/>
              <w:rPr>
                <w:sz w:val="15"/>
                <w:szCs w:val="15"/>
              </w:rPr>
            </w:pPr>
            <w:r>
              <w:rPr>
                <w:sz w:val="15"/>
                <w:szCs w:val="15"/>
              </w:rPr>
              <w:t>95</w:t>
            </w:r>
          </w:p>
        </w:tc>
        <w:tc>
          <w:tcPr>
            <w:tcW w:w="1214" w:type="dxa"/>
            <w:tcBorders>
              <w:top w:val="single" w:sz="4" w:space="0" w:color="auto"/>
              <w:left w:val="single" w:sz="4" w:space="0" w:color="auto"/>
            </w:tcBorders>
            <w:shd w:val="clear" w:color="auto" w:fill="auto"/>
          </w:tcPr>
          <w:p w14:paraId="577A8B62" w14:textId="77777777" w:rsidR="00EC1C40" w:rsidRDefault="00000000">
            <w:pPr>
              <w:pStyle w:val="Jin0"/>
              <w:framePr w:w="7666" w:h="12274" w:wrap="none" w:vAnchor="page" w:hAnchor="page" w:x="1801" w:y="1402"/>
              <w:spacing w:after="0"/>
              <w:ind w:firstLine="840"/>
              <w:jc w:val="both"/>
              <w:rPr>
                <w:sz w:val="15"/>
                <w:szCs w:val="15"/>
              </w:rPr>
            </w:pPr>
            <w:r>
              <w:rPr>
                <w:sz w:val="15"/>
                <w:szCs w:val="15"/>
              </w:rPr>
              <w:t>100%</w:t>
            </w:r>
          </w:p>
        </w:tc>
        <w:tc>
          <w:tcPr>
            <w:tcW w:w="1104" w:type="dxa"/>
            <w:tcBorders>
              <w:top w:val="single" w:sz="4" w:space="0" w:color="auto"/>
              <w:left w:val="single" w:sz="4" w:space="0" w:color="auto"/>
              <w:right w:val="single" w:sz="4" w:space="0" w:color="auto"/>
            </w:tcBorders>
            <w:shd w:val="clear" w:color="auto" w:fill="auto"/>
          </w:tcPr>
          <w:p w14:paraId="13421F4C" w14:textId="77777777" w:rsidR="00EC1C40" w:rsidRDefault="00000000">
            <w:pPr>
              <w:pStyle w:val="Jin0"/>
              <w:framePr w:w="7666" w:h="12274" w:wrap="none" w:vAnchor="page" w:hAnchor="page" w:x="1801" w:y="1402"/>
              <w:spacing w:after="0"/>
              <w:jc w:val="right"/>
              <w:rPr>
                <w:sz w:val="15"/>
                <w:szCs w:val="15"/>
              </w:rPr>
            </w:pPr>
            <w:r>
              <w:rPr>
                <w:sz w:val="15"/>
                <w:szCs w:val="15"/>
              </w:rPr>
              <w:t>95</w:t>
            </w:r>
          </w:p>
        </w:tc>
      </w:tr>
      <w:tr w:rsidR="00EC1C40" w14:paraId="43068D10" w14:textId="77777777">
        <w:tblPrEx>
          <w:tblCellMar>
            <w:top w:w="0" w:type="dxa"/>
            <w:bottom w:w="0" w:type="dxa"/>
          </w:tblCellMar>
        </w:tblPrEx>
        <w:trPr>
          <w:trHeight w:hRule="exact" w:val="197"/>
        </w:trPr>
        <w:tc>
          <w:tcPr>
            <w:tcW w:w="2640" w:type="dxa"/>
            <w:tcBorders>
              <w:top w:val="single" w:sz="4" w:space="0" w:color="auto"/>
              <w:left w:val="single" w:sz="4" w:space="0" w:color="auto"/>
            </w:tcBorders>
            <w:shd w:val="clear" w:color="auto" w:fill="auto"/>
          </w:tcPr>
          <w:p w14:paraId="19D38F77" w14:textId="77777777" w:rsidR="00EC1C40" w:rsidRDefault="00EC1C40">
            <w:pPr>
              <w:framePr w:w="7666" w:h="12274" w:wrap="none" w:vAnchor="page" w:hAnchor="page" w:x="1801" w:y="1402"/>
              <w:rPr>
                <w:sz w:val="10"/>
                <w:szCs w:val="10"/>
              </w:rPr>
            </w:pPr>
          </w:p>
        </w:tc>
        <w:tc>
          <w:tcPr>
            <w:tcW w:w="835" w:type="dxa"/>
            <w:tcBorders>
              <w:top w:val="single" w:sz="4" w:space="0" w:color="auto"/>
              <w:left w:val="single" w:sz="4" w:space="0" w:color="auto"/>
            </w:tcBorders>
            <w:shd w:val="clear" w:color="auto" w:fill="auto"/>
          </w:tcPr>
          <w:p w14:paraId="643384EC" w14:textId="77777777" w:rsidR="00EC1C40" w:rsidRDefault="00EC1C40">
            <w:pPr>
              <w:framePr w:w="7666" w:h="12274" w:wrap="none" w:vAnchor="page" w:hAnchor="page" w:x="1801" w:y="1402"/>
              <w:rPr>
                <w:sz w:val="10"/>
                <w:szCs w:val="10"/>
              </w:rPr>
            </w:pPr>
          </w:p>
        </w:tc>
        <w:tc>
          <w:tcPr>
            <w:tcW w:w="835" w:type="dxa"/>
            <w:tcBorders>
              <w:top w:val="single" w:sz="4" w:space="0" w:color="auto"/>
              <w:left w:val="single" w:sz="4" w:space="0" w:color="auto"/>
            </w:tcBorders>
            <w:shd w:val="clear" w:color="auto" w:fill="auto"/>
          </w:tcPr>
          <w:p w14:paraId="277F3085" w14:textId="77777777" w:rsidR="00EC1C40" w:rsidRDefault="00EC1C40">
            <w:pPr>
              <w:framePr w:w="7666" w:h="12274" w:wrap="none" w:vAnchor="page" w:hAnchor="page" w:x="1801" w:y="1402"/>
              <w:rPr>
                <w:sz w:val="10"/>
                <w:szCs w:val="10"/>
              </w:rPr>
            </w:pPr>
          </w:p>
        </w:tc>
        <w:tc>
          <w:tcPr>
            <w:tcW w:w="1037" w:type="dxa"/>
            <w:tcBorders>
              <w:top w:val="single" w:sz="4" w:space="0" w:color="auto"/>
              <w:left w:val="single" w:sz="4" w:space="0" w:color="auto"/>
            </w:tcBorders>
            <w:shd w:val="clear" w:color="auto" w:fill="auto"/>
          </w:tcPr>
          <w:p w14:paraId="55752F8A" w14:textId="77777777" w:rsidR="00EC1C40" w:rsidRDefault="00EC1C40">
            <w:pPr>
              <w:framePr w:w="7666" w:h="12274" w:wrap="none" w:vAnchor="page" w:hAnchor="page" w:x="1801" w:y="1402"/>
              <w:rPr>
                <w:sz w:val="10"/>
                <w:szCs w:val="10"/>
              </w:rPr>
            </w:pPr>
          </w:p>
        </w:tc>
        <w:tc>
          <w:tcPr>
            <w:tcW w:w="1214" w:type="dxa"/>
            <w:tcBorders>
              <w:top w:val="single" w:sz="4" w:space="0" w:color="auto"/>
              <w:left w:val="single" w:sz="4" w:space="0" w:color="auto"/>
            </w:tcBorders>
            <w:shd w:val="clear" w:color="auto" w:fill="auto"/>
          </w:tcPr>
          <w:p w14:paraId="0BAD9714" w14:textId="77777777" w:rsidR="00EC1C40" w:rsidRDefault="00EC1C40">
            <w:pPr>
              <w:framePr w:w="7666" w:h="12274" w:wrap="none" w:vAnchor="page" w:hAnchor="page" w:x="1801" w:y="1402"/>
              <w:rPr>
                <w:sz w:val="10"/>
                <w:szCs w:val="10"/>
              </w:rPr>
            </w:pPr>
          </w:p>
        </w:tc>
        <w:tc>
          <w:tcPr>
            <w:tcW w:w="1104" w:type="dxa"/>
            <w:tcBorders>
              <w:top w:val="single" w:sz="4" w:space="0" w:color="auto"/>
              <w:left w:val="single" w:sz="4" w:space="0" w:color="auto"/>
              <w:right w:val="single" w:sz="4" w:space="0" w:color="auto"/>
            </w:tcBorders>
            <w:shd w:val="clear" w:color="auto" w:fill="auto"/>
          </w:tcPr>
          <w:p w14:paraId="1D899ADB" w14:textId="77777777" w:rsidR="00EC1C40" w:rsidRDefault="00EC1C40">
            <w:pPr>
              <w:framePr w:w="7666" w:h="12274" w:wrap="none" w:vAnchor="page" w:hAnchor="page" w:x="1801" w:y="1402"/>
              <w:rPr>
                <w:sz w:val="10"/>
                <w:szCs w:val="10"/>
              </w:rPr>
            </w:pPr>
          </w:p>
        </w:tc>
      </w:tr>
      <w:tr w:rsidR="00EC1C40" w14:paraId="085526E9" w14:textId="77777777">
        <w:tblPrEx>
          <w:tblCellMar>
            <w:top w:w="0" w:type="dxa"/>
            <w:bottom w:w="0" w:type="dxa"/>
          </w:tblCellMar>
        </w:tblPrEx>
        <w:trPr>
          <w:trHeight w:hRule="exact" w:val="192"/>
        </w:trPr>
        <w:tc>
          <w:tcPr>
            <w:tcW w:w="2640" w:type="dxa"/>
            <w:tcBorders>
              <w:top w:val="single" w:sz="4" w:space="0" w:color="auto"/>
              <w:left w:val="single" w:sz="4" w:space="0" w:color="auto"/>
            </w:tcBorders>
            <w:shd w:val="clear" w:color="auto" w:fill="F6EDD1"/>
          </w:tcPr>
          <w:p w14:paraId="6D5E7FEB" w14:textId="77777777" w:rsidR="00EC1C40" w:rsidRDefault="00000000">
            <w:pPr>
              <w:pStyle w:val="Jin0"/>
              <w:framePr w:w="7666" w:h="12274" w:wrap="none" w:vAnchor="page" w:hAnchor="page" w:x="1801" w:y="1402"/>
              <w:spacing w:after="0"/>
              <w:rPr>
                <w:sz w:val="15"/>
                <w:szCs w:val="15"/>
              </w:rPr>
            </w:pPr>
            <w:r>
              <w:rPr>
                <w:b/>
                <w:bCs/>
                <w:sz w:val="15"/>
                <w:szCs w:val="15"/>
              </w:rPr>
              <w:t>TRÉNINKOVÁ ARÉNA</w:t>
            </w:r>
          </w:p>
        </w:tc>
        <w:tc>
          <w:tcPr>
            <w:tcW w:w="835" w:type="dxa"/>
            <w:tcBorders>
              <w:top w:val="single" w:sz="4" w:space="0" w:color="auto"/>
              <w:left w:val="single" w:sz="4" w:space="0" w:color="auto"/>
            </w:tcBorders>
            <w:shd w:val="clear" w:color="auto" w:fill="F6EDD1"/>
          </w:tcPr>
          <w:p w14:paraId="5D5E43CB" w14:textId="77777777" w:rsidR="00EC1C40" w:rsidRDefault="00000000">
            <w:pPr>
              <w:pStyle w:val="Jin0"/>
              <w:framePr w:w="7666" w:h="12274" w:wrap="none" w:vAnchor="page" w:hAnchor="page" w:x="1801" w:y="1402"/>
              <w:spacing w:after="0"/>
              <w:ind w:firstLine="360"/>
              <w:jc w:val="both"/>
              <w:rPr>
                <w:sz w:val="15"/>
                <w:szCs w:val="15"/>
              </w:rPr>
            </w:pPr>
            <w:r>
              <w:rPr>
                <w:b/>
                <w:bCs/>
                <w:sz w:val="15"/>
                <w:szCs w:val="15"/>
              </w:rPr>
              <w:t>12 999</w:t>
            </w:r>
          </w:p>
        </w:tc>
        <w:tc>
          <w:tcPr>
            <w:tcW w:w="835" w:type="dxa"/>
            <w:tcBorders>
              <w:top w:val="single" w:sz="4" w:space="0" w:color="auto"/>
              <w:left w:val="single" w:sz="4" w:space="0" w:color="auto"/>
            </w:tcBorders>
            <w:shd w:val="clear" w:color="auto" w:fill="auto"/>
          </w:tcPr>
          <w:p w14:paraId="045BB278" w14:textId="77777777" w:rsidR="00EC1C40" w:rsidRDefault="00EC1C40">
            <w:pPr>
              <w:framePr w:w="7666" w:h="12274" w:wrap="none" w:vAnchor="page" w:hAnchor="page" w:x="1801" w:y="1402"/>
              <w:rPr>
                <w:sz w:val="10"/>
                <w:szCs w:val="10"/>
              </w:rPr>
            </w:pPr>
          </w:p>
        </w:tc>
        <w:tc>
          <w:tcPr>
            <w:tcW w:w="1037" w:type="dxa"/>
            <w:tcBorders>
              <w:top w:val="single" w:sz="4" w:space="0" w:color="auto"/>
              <w:left w:val="single" w:sz="4" w:space="0" w:color="auto"/>
            </w:tcBorders>
            <w:shd w:val="clear" w:color="auto" w:fill="auto"/>
          </w:tcPr>
          <w:p w14:paraId="4CDA5267" w14:textId="77777777" w:rsidR="00EC1C40" w:rsidRDefault="00EC1C40">
            <w:pPr>
              <w:framePr w:w="7666" w:h="12274" w:wrap="none" w:vAnchor="page" w:hAnchor="page" w:x="1801" w:y="1402"/>
              <w:rPr>
                <w:sz w:val="10"/>
                <w:szCs w:val="10"/>
              </w:rPr>
            </w:pPr>
          </w:p>
        </w:tc>
        <w:tc>
          <w:tcPr>
            <w:tcW w:w="1214" w:type="dxa"/>
            <w:tcBorders>
              <w:top w:val="single" w:sz="4" w:space="0" w:color="auto"/>
              <w:left w:val="single" w:sz="4" w:space="0" w:color="auto"/>
            </w:tcBorders>
            <w:shd w:val="clear" w:color="auto" w:fill="auto"/>
          </w:tcPr>
          <w:p w14:paraId="6E9804B8" w14:textId="77777777" w:rsidR="00EC1C40" w:rsidRDefault="00EC1C40">
            <w:pPr>
              <w:framePr w:w="7666" w:h="12274" w:wrap="none" w:vAnchor="page" w:hAnchor="page" w:x="1801" w:y="1402"/>
              <w:rPr>
                <w:sz w:val="10"/>
                <w:szCs w:val="10"/>
              </w:rPr>
            </w:pPr>
          </w:p>
        </w:tc>
        <w:tc>
          <w:tcPr>
            <w:tcW w:w="1104" w:type="dxa"/>
            <w:tcBorders>
              <w:top w:val="single" w:sz="4" w:space="0" w:color="auto"/>
              <w:left w:val="single" w:sz="4" w:space="0" w:color="auto"/>
              <w:right w:val="single" w:sz="4" w:space="0" w:color="auto"/>
            </w:tcBorders>
            <w:shd w:val="clear" w:color="auto" w:fill="auto"/>
          </w:tcPr>
          <w:p w14:paraId="58F9F5BD" w14:textId="77777777" w:rsidR="00EC1C40" w:rsidRDefault="00EC1C40">
            <w:pPr>
              <w:framePr w:w="7666" w:h="12274" w:wrap="none" w:vAnchor="page" w:hAnchor="page" w:x="1801" w:y="1402"/>
              <w:rPr>
                <w:sz w:val="10"/>
                <w:szCs w:val="10"/>
              </w:rPr>
            </w:pPr>
          </w:p>
        </w:tc>
      </w:tr>
      <w:tr w:rsidR="00EC1C40" w14:paraId="4493F7AC" w14:textId="77777777">
        <w:tblPrEx>
          <w:tblCellMar>
            <w:top w:w="0" w:type="dxa"/>
            <w:bottom w:w="0" w:type="dxa"/>
          </w:tblCellMar>
        </w:tblPrEx>
        <w:trPr>
          <w:trHeight w:hRule="exact" w:val="197"/>
        </w:trPr>
        <w:tc>
          <w:tcPr>
            <w:tcW w:w="2640" w:type="dxa"/>
            <w:tcBorders>
              <w:top w:val="single" w:sz="4" w:space="0" w:color="auto"/>
              <w:left w:val="single" w:sz="4" w:space="0" w:color="auto"/>
            </w:tcBorders>
            <w:shd w:val="clear" w:color="auto" w:fill="auto"/>
          </w:tcPr>
          <w:p w14:paraId="45C2648D" w14:textId="77777777" w:rsidR="00EC1C40" w:rsidRDefault="00000000">
            <w:pPr>
              <w:pStyle w:val="Jin0"/>
              <w:framePr w:w="7666" w:h="12274" w:wrap="none" w:vAnchor="page" w:hAnchor="page" w:x="1801" w:y="1402"/>
              <w:spacing w:after="0"/>
              <w:rPr>
                <w:sz w:val="15"/>
                <w:szCs w:val="15"/>
              </w:rPr>
            </w:pPr>
            <w:r>
              <w:rPr>
                <w:b/>
                <w:bCs/>
                <w:sz w:val="15"/>
                <w:szCs w:val="15"/>
                <w:lang w:val="en-US" w:eastAsia="en-US" w:bidi="en-US"/>
              </w:rPr>
              <w:t>2PP</w:t>
            </w:r>
          </w:p>
        </w:tc>
        <w:tc>
          <w:tcPr>
            <w:tcW w:w="835" w:type="dxa"/>
            <w:tcBorders>
              <w:top w:val="single" w:sz="4" w:space="0" w:color="auto"/>
              <w:left w:val="single" w:sz="4" w:space="0" w:color="auto"/>
            </w:tcBorders>
            <w:shd w:val="clear" w:color="auto" w:fill="auto"/>
          </w:tcPr>
          <w:p w14:paraId="4D985FFF" w14:textId="77777777" w:rsidR="00EC1C40" w:rsidRDefault="00000000">
            <w:pPr>
              <w:pStyle w:val="Jin0"/>
              <w:framePr w:w="7666" w:h="12274" w:wrap="none" w:vAnchor="page" w:hAnchor="page" w:x="1801" w:y="1402"/>
              <w:spacing w:after="0"/>
              <w:ind w:firstLine="420"/>
              <w:jc w:val="both"/>
              <w:rPr>
                <w:sz w:val="15"/>
                <w:szCs w:val="15"/>
              </w:rPr>
            </w:pPr>
            <w:r>
              <w:rPr>
                <w:b/>
                <w:bCs/>
                <w:sz w:val="15"/>
                <w:szCs w:val="15"/>
              </w:rPr>
              <w:t>3 444</w:t>
            </w:r>
          </w:p>
        </w:tc>
        <w:tc>
          <w:tcPr>
            <w:tcW w:w="835" w:type="dxa"/>
            <w:tcBorders>
              <w:top w:val="single" w:sz="4" w:space="0" w:color="auto"/>
              <w:left w:val="single" w:sz="4" w:space="0" w:color="auto"/>
            </w:tcBorders>
            <w:shd w:val="clear" w:color="auto" w:fill="auto"/>
          </w:tcPr>
          <w:p w14:paraId="69A78D41" w14:textId="77777777" w:rsidR="00EC1C40" w:rsidRDefault="00EC1C40">
            <w:pPr>
              <w:framePr w:w="7666" w:h="12274" w:wrap="none" w:vAnchor="page" w:hAnchor="page" w:x="1801" w:y="1402"/>
              <w:rPr>
                <w:sz w:val="10"/>
                <w:szCs w:val="10"/>
              </w:rPr>
            </w:pPr>
          </w:p>
        </w:tc>
        <w:tc>
          <w:tcPr>
            <w:tcW w:w="1037" w:type="dxa"/>
            <w:tcBorders>
              <w:top w:val="single" w:sz="4" w:space="0" w:color="auto"/>
              <w:left w:val="single" w:sz="4" w:space="0" w:color="auto"/>
            </w:tcBorders>
            <w:shd w:val="clear" w:color="auto" w:fill="auto"/>
          </w:tcPr>
          <w:p w14:paraId="5BE2EBBA" w14:textId="77777777" w:rsidR="00EC1C40" w:rsidRDefault="00EC1C40">
            <w:pPr>
              <w:framePr w:w="7666" w:h="12274" w:wrap="none" w:vAnchor="page" w:hAnchor="page" w:x="1801" w:y="1402"/>
              <w:rPr>
                <w:sz w:val="10"/>
                <w:szCs w:val="10"/>
              </w:rPr>
            </w:pPr>
          </w:p>
        </w:tc>
        <w:tc>
          <w:tcPr>
            <w:tcW w:w="1214" w:type="dxa"/>
            <w:tcBorders>
              <w:top w:val="single" w:sz="4" w:space="0" w:color="auto"/>
              <w:left w:val="single" w:sz="4" w:space="0" w:color="auto"/>
            </w:tcBorders>
            <w:shd w:val="clear" w:color="auto" w:fill="auto"/>
          </w:tcPr>
          <w:p w14:paraId="2B7A14BD" w14:textId="77777777" w:rsidR="00EC1C40" w:rsidRDefault="00EC1C40">
            <w:pPr>
              <w:framePr w:w="7666" w:h="12274" w:wrap="none" w:vAnchor="page" w:hAnchor="page" w:x="1801" w:y="1402"/>
              <w:rPr>
                <w:sz w:val="10"/>
                <w:szCs w:val="10"/>
              </w:rPr>
            </w:pPr>
          </w:p>
        </w:tc>
        <w:tc>
          <w:tcPr>
            <w:tcW w:w="1104" w:type="dxa"/>
            <w:tcBorders>
              <w:top w:val="single" w:sz="4" w:space="0" w:color="auto"/>
              <w:left w:val="single" w:sz="4" w:space="0" w:color="auto"/>
              <w:right w:val="single" w:sz="4" w:space="0" w:color="auto"/>
            </w:tcBorders>
            <w:shd w:val="clear" w:color="auto" w:fill="auto"/>
          </w:tcPr>
          <w:p w14:paraId="057A6C28" w14:textId="77777777" w:rsidR="00EC1C40" w:rsidRDefault="00EC1C40">
            <w:pPr>
              <w:framePr w:w="7666" w:h="12274" w:wrap="none" w:vAnchor="page" w:hAnchor="page" w:x="1801" w:y="1402"/>
              <w:rPr>
                <w:sz w:val="10"/>
                <w:szCs w:val="10"/>
              </w:rPr>
            </w:pPr>
          </w:p>
        </w:tc>
      </w:tr>
      <w:tr w:rsidR="00EC1C40" w14:paraId="53AD2363" w14:textId="77777777">
        <w:tblPrEx>
          <w:tblCellMar>
            <w:top w:w="0" w:type="dxa"/>
            <w:bottom w:w="0" w:type="dxa"/>
          </w:tblCellMar>
        </w:tblPrEx>
        <w:trPr>
          <w:trHeight w:hRule="exact" w:val="192"/>
        </w:trPr>
        <w:tc>
          <w:tcPr>
            <w:tcW w:w="2640" w:type="dxa"/>
            <w:tcBorders>
              <w:top w:val="single" w:sz="4" w:space="0" w:color="auto"/>
              <w:left w:val="single" w:sz="4" w:space="0" w:color="auto"/>
            </w:tcBorders>
            <w:shd w:val="clear" w:color="auto" w:fill="auto"/>
          </w:tcPr>
          <w:p w14:paraId="7B9163B6" w14:textId="77777777" w:rsidR="00EC1C40" w:rsidRDefault="00000000">
            <w:pPr>
              <w:pStyle w:val="Jin0"/>
              <w:framePr w:w="7666" w:h="12274" w:wrap="none" w:vAnchor="page" w:hAnchor="page" w:x="1801" w:y="1402"/>
              <w:spacing w:after="0"/>
              <w:rPr>
                <w:sz w:val="15"/>
                <w:szCs w:val="15"/>
              </w:rPr>
            </w:pPr>
            <w:r>
              <w:rPr>
                <w:sz w:val="15"/>
                <w:szCs w:val="15"/>
                <w:lang w:val="en-US" w:eastAsia="en-US" w:bidi="en-US"/>
              </w:rPr>
              <w:t>PARKING</w:t>
            </w:r>
          </w:p>
        </w:tc>
        <w:tc>
          <w:tcPr>
            <w:tcW w:w="835" w:type="dxa"/>
            <w:tcBorders>
              <w:top w:val="single" w:sz="4" w:space="0" w:color="auto"/>
              <w:left w:val="single" w:sz="4" w:space="0" w:color="auto"/>
            </w:tcBorders>
            <w:shd w:val="clear" w:color="auto" w:fill="auto"/>
          </w:tcPr>
          <w:p w14:paraId="13AB4258" w14:textId="77777777" w:rsidR="00EC1C40" w:rsidRDefault="00000000">
            <w:pPr>
              <w:pStyle w:val="Jin0"/>
              <w:framePr w:w="7666" w:h="12274" w:wrap="none" w:vAnchor="page" w:hAnchor="page" w:x="1801" w:y="1402"/>
              <w:spacing w:after="0"/>
              <w:ind w:firstLine="420"/>
              <w:jc w:val="both"/>
              <w:rPr>
                <w:sz w:val="15"/>
                <w:szCs w:val="15"/>
              </w:rPr>
            </w:pPr>
            <w:r>
              <w:rPr>
                <w:sz w:val="15"/>
                <w:szCs w:val="15"/>
              </w:rPr>
              <w:t>2 591</w:t>
            </w:r>
          </w:p>
        </w:tc>
        <w:tc>
          <w:tcPr>
            <w:tcW w:w="835" w:type="dxa"/>
            <w:tcBorders>
              <w:top w:val="single" w:sz="4" w:space="0" w:color="auto"/>
              <w:left w:val="single" w:sz="4" w:space="0" w:color="auto"/>
            </w:tcBorders>
            <w:shd w:val="clear" w:color="auto" w:fill="auto"/>
          </w:tcPr>
          <w:p w14:paraId="2C1CDBF3" w14:textId="77777777" w:rsidR="00EC1C40" w:rsidRDefault="00000000">
            <w:pPr>
              <w:pStyle w:val="Jin0"/>
              <w:framePr w:w="7666" w:h="12274" w:wrap="none" w:vAnchor="page" w:hAnchor="page" w:x="1801" w:y="1402"/>
              <w:spacing w:after="0"/>
              <w:ind w:firstLine="420"/>
              <w:rPr>
                <w:sz w:val="15"/>
                <w:szCs w:val="15"/>
              </w:rPr>
            </w:pPr>
            <w:r>
              <w:rPr>
                <w:sz w:val="15"/>
                <w:szCs w:val="15"/>
              </w:rPr>
              <w:t>2 591</w:t>
            </w:r>
          </w:p>
        </w:tc>
        <w:tc>
          <w:tcPr>
            <w:tcW w:w="1037" w:type="dxa"/>
            <w:tcBorders>
              <w:top w:val="single" w:sz="4" w:space="0" w:color="auto"/>
              <w:left w:val="single" w:sz="4" w:space="0" w:color="auto"/>
            </w:tcBorders>
            <w:shd w:val="clear" w:color="auto" w:fill="auto"/>
          </w:tcPr>
          <w:p w14:paraId="6A2EB2AC" w14:textId="77777777" w:rsidR="00EC1C40" w:rsidRDefault="00EC1C40">
            <w:pPr>
              <w:framePr w:w="7666" w:h="12274" w:wrap="none" w:vAnchor="page" w:hAnchor="page" w:x="1801" w:y="1402"/>
              <w:rPr>
                <w:sz w:val="10"/>
                <w:szCs w:val="10"/>
              </w:rPr>
            </w:pPr>
          </w:p>
        </w:tc>
        <w:tc>
          <w:tcPr>
            <w:tcW w:w="1214" w:type="dxa"/>
            <w:tcBorders>
              <w:top w:val="single" w:sz="4" w:space="0" w:color="auto"/>
              <w:left w:val="single" w:sz="4" w:space="0" w:color="auto"/>
            </w:tcBorders>
            <w:shd w:val="clear" w:color="auto" w:fill="auto"/>
          </w:tcPr>
          <w:p w14:paraId="1C894F92" w14:textId="77777777" w:rsidR="00EC1C40" w:rsidRDefault="00EC1C40">
            <w:pPr>
              <w:framePr w:w="7666" w:h="12274" w:wrap="none" w:vAnchor="page" w:hAnchor="page" w:x="1801" w:y="1402"/>
              <w:rPr>
                <w:sz w:val="10"/>
                <w:szCs w:val="10"/>
              </w:rPr>
            </w:pPr>
          </w:p>
        </w:tc>
        <w:tc>
          <w:tcPr>
            <w:tcW w:w="1104" w:type="dxa"/>
            <w:tcBorders>
              <w:top w:val="single" w:sz="4" w:space="0" w:color="auto"/>
              <w:left w:val="single" w:sz="4" w:space="0" w:color="auto"/>
              <w:right w:val="single" w:sz="4" w:space="0" w:color="auto"/>
            </w:tcBorders>
            <w:shd w:val="clear" w:color="auto" w:fill="auto"/>
          </w:tcPr>
          <w:p w14:paraId="5ABE5AC5" w14:textId="77777777" w:rsidR="00EC1C40" w:rsidRDefault="00EC1C40">
            <w:pPr>
              <w:framePr w:w="7666" w:h="12274" w:wrap="none" w:vAnchor="page" w:hAnchor="page" w:x="1801" w:y="1402"/>
              <w:rPr>
                <w:sz w:val="10"/>
                <w:szCs w:val="10"/>
              </w:rPr>
            </w:pPr>
          </w:p>
        </w:tc>
      </w:tr>
      <w:tr w:rsidR="00EC1C40" w14:paraId="487A3A5F" w14:textId="77777777">
        <w:tblPrEx>
          <w:tblCellMar>
            <w:top w:w="0" w:type="dxa"/>
            <w:bottom w:w="0" w:type="dxa"/>
          </w:tblCellMar>
        </w:tblPrEx>
        <w:trPr>
          <w:trHeight w:hRule="exact" w:val="192"/>
        </w:trPr>
        <w:tc>
          <w:tcPr>
            <w:tcW w:w="2640" w:type="dxa"/>
            <w:tcBorders>
              <w:top w:val="single" w:sz="4" w:space="0" w:color="auto"/>
              <w:left w:val="single" w:sz="4" w:space="0" w:color="auto"/>
            </w:tcBorders>
            <w:shd w:val="clear" w:color="auto" w:fill="auto"/>
          </w:tcPr>
          <w:p w14:paraId="3433756A" w14:textId="77777777" w:rsidR="00EC1C40" w:rsidRDefault="00000000">
            <w:pPr>
              <w:pStyle w:val="Jin0"/>
              <w:framePr w:w="7666" w:h="12274" w:wrap="none" w:vAnchor="page" w:hAnchor="page" w:x="1801" w:y="1402"/>
              <w:spacing w:after="0"/>
              <w:rPr>
                <w:sz w:val="15"/>
                <w:szCs w:val="15"/>
              </w:rPr>
            </w:pPr>
            <w:r>
              <w:rPr>
                <w:sz w:val="15"/>
                <w:szCs w:val="15"/>
              </w:rPr>
              <w:t>TRÉNINKOVÁ HALA VEŘEJNOST</w:t>
            </w:r>
          </w:p>
        </w:tc>
        <w:tc>
          <w:tcPr>
            <w:tcW w:w="835" w:type="dxa"/>
            <w:tcBorders>
              <w:top w:val="single" w:sz="4" w:space="0" w:color="auto"/>
              <w:left w:val="single" w:sz="4" w:space="0" w:color="auto"/>
            </w:tcBorders>
            <w:shd w:val="clear" w:color="auto" w:fill="auto"/>
          </w:tcPr>
          <w:p w14:paraId="352C454A" w14:textId="77777777" w:rsidR="00EC1C40" w:rsidRDefault="00000000">
            <w:pPr>
              <w:pStyle w:val="Jin0"/>
              <w:framePr w:w="7666" w:h="12274" w:wrap="none" w:vAnchor="page" w:hAnchor="page" w:x="1801" w:y="1402"/>
              <w:spacing w:after="0"/>
              <w:ind w:firstLine="600"/>
              <w:jc w:val="both"/>
              <w:rPr>
                <w:sz w:val="15"/>
                <w:szCs w:val="15"/>
              </w:rPr>
            </w:pPr>
            <w:r>
              <w:rPr>
                <w:sz w:val="15"/>
                <w:szCs w:val="15"/>
              </w:rPr>
              <w:t>84</w:t>
            </w:r>
          </w:p>
        </w:tc>
        <w:tc>
          <w:tcPr>
            <w:tcW w:w="835" w:type="dxa"/>
            <w:tcBorders>
              <w:top w:val="single" w:sz="4" w:space="0" w:color="auto"/>
              <w:left w:val="single" w:sz="4" w:space="0" w:color="auto"/>
            </w:tcBorders>
            <w:shd w:val="clear" w:color="auto" w:fill="auto"/>
          </w:tcPr>
          <w:p w14:paraId="7E6B034B" w14:textId="77777777" w:rsidR="00EC1C40" w:rsidRDefault="00000000">
            <w:pPr>
              <w:pStyle w:val="Jin0"/>
              <w:framePr w:w="7666" w:h="12274" w:wrap="none" w:vAnchor="page" w:hAnchor="page" w:x="1801" w:y="1402"/>
              <w:spacing w:after="0"/>
              <w:jc w:val="right"/>
              <w:rPr>
                <w:sz w:val="15"/>
                <w:szCs w:val="15"/>
              </w:rPr>
            </w:pPr>
            <w:r>
              <w:rPr>
                <w:sz w:val="15"/>
                <w:szCs w:val="15"/>
              </w:rPr>
              <w:t>84</w:t>
            </w:r>
          </w:p>
        </w:tc>
        <w:tc>
          <w:tcPr>
            <w:tcW w:w="1037" w:type="dxa"/>
            <w:tcBorders>
              <w:top w:val="single" w:sz="4" w:space="0" w:color="auto"/>
              <w:left w:val="single" w:sz="4" w:space="0" w:color="auto"/>
            </w:tcBorders>
            <w:shd w:val="clear" w:color="auto" w:fill="auto"/>
          </w:tcPr>
          <w:p w14:paraId="6A6A4529" w14:textId="77777777" w:rsidR="00EC1C40" w:rsidRDefault="00EC1C40">
            <w:pPr>
              <w:framePr w:w="7666" w:h="12274" w:wrap="none" w:vAnchor="page" w:hAnchor="page" w:x="1801" w:y="1402"/>
              <w:rPr>
                <w:sz w:val="10"/>
                <w:szCs w:val="10"/>
              </w:rPr>
            </w:pPr>
          </w:p>
        </w:tc>
        <w:tc>
          <w:tcPr>
            <w:tcW w:w="1214" w:type="dxa"/>
            <w:tcBorders>
              <w:top w:val="single" w:sz="4" w:space="0" w:color="auto"/>
              <w:left w:val="single" w:sz="4" w:space="0" w:color="auto"/>
            </w:tcBorders>
            <w:shd w:val="clear" w:color="auto" w:fill="auto"/>
          </w:tcPr>
          <w:p w14:paraId="09EC2BE9" w14:textId="77777777" w:rsidR="00EC1C40" w:rsidRDefault="00EC1C40">
            <w:pPr>
              <w:framePr w:w="7666" w:h="12274" w:wrap="none" w:vAnchor="page" w:hAnchor="page" w:x="1801" w:y="1402"/>
              <w:rPr>
                <w:sz w:val="10"/>
                <w:szCs w:val="10"/>
              </w:rPr>
            </w:pPr>
          </w:p>
        </w:tc>
        <w:tc>
          <w:tcPr>
            <w:tcW w:w="1104" w:type="dxa"/>
            <w:tcBorders>
              <w:top w:val="single" w:sz="4" w:space="0" w:color="auto"/>
              <w:left w:val="single" w:sz="4" w:space="0" w:color="auto"/>
              <w:right w:val="single" w:sz="4" w:space="0" w:color="auto"/>
            </w:tcBorders>
            <w:shd w:val="clear" w:color="auto" w:fill="auto"/>
          </w:tcPr>
          <w:p w14:paraId="445D4058" w14:textId="77777777" w:rsidR="00EC1C40" w:rsidRDefault="00EC1C40">
            <w:pPr>
              <w:framePr w:w="7666" w:h="12274" w:wrap="none" w:vAnchor="page" w:hAnchor="page" w:x="1801" w:y="1402"/>
              <w:rPr>
                <w:sz w:val="10"/>
                <w:szCs w:val="10"/>
              </w:rPr>
            </w:pPr>
          </w:p>
        </w:tc>
      </w:tr>
      <w:tr w:rsidR="00EC1C40" w14:paraId="30A1F63A" w14:textId="77777777">
        <w:tblPrEx>
          <w:tblCellMar>
            <w:top w:w="0" w:type="dxa"/>
            <w:bottom w:w="0" w:type="dxa"/>
          </w:tblCellMar>
        </w:tblPrEx>
        <w:trPr>
          <w:trHeight w:hRule="exact" w:val="197"/>
        </w:trPr>
        <w:tc>
          <w:tcPr>
            <w:tcW w:w="2640" w:type="dxa"/>
            <w:tcBorders>
              <w:top w:val="single" w:sz="4" w:space="0" w:color="auto"/>
              <w:left w:val="single" w:sz="4" w:space="0" w:color="auto"/>
            </w:tcBorders>
            <w:shd w:val="clear" w:color="auto" w:fill="auto"/>
          </w:tcPr>
          <w:p w14:paraId="141E3684" w14:textId="77777777" w:rsidR="00EC1C40" w:rsidRDefault="00000000">
            <w:pPr>
              <w:pStyle w:val="Jin0"/>
              <w:framePr w:w="7666" w:h="12274" w:wrap="none" w:vAnchor="page" w:hAnchor="page" w:x="1801" w:y="1402"/>
              <w:spacing w:after="0"/>
              <w:rPr>
                <w:sz w:val="15"/>
                <w:szCs w:val="15"/>
              </w:rPr>
            </w:pPr>
            <w:r>
              <w:rPr>
                <w:sz w:val="15"/>
                <w:szCs w:val="15"/>
              </w:rPr>
              <w:t>TRÉNINKOVÁ HALA ZÁZEMÍ</w:t>
            </w:r>
          </w:p>
        </w:tc>
        <w:tc>
          <w:tcPr>
            <w:tcW w:w="835" w:type="dxa"/>
            <w:tcBorders>
              <w:top w:val="single" w:sz="4" w:space="0" w:color="auto"/>
              <w:left w:val="single" w:sz="4" w:space="0" w:color="auto"/>
            </w:tcBorders>
            <w:shd w:val="clear" w:color="auto" w:fill="auto"/>
          </w:tcPr>
          <w:p w14:paraId="661E1DEC" w14:textId="77777777" w:rsidR="00EC1C40" w:rsidRDefault="00000000">
            <w:pPr>
              <w:pStyle w:val="Jin0"/>
              <w:framePr w:w="7666" w:h="12274" w:wrap="none" w:vAnchor="page" w:hAnchor="page" w:x="1801" w:y="1402"/>
              <w:spacing w:after="0"/>
              <w:ind w:firstLine="540"/>
              <w:jc w:val="both"/>
              <w:rPr>
                <w:sz w:val="15"/>
                <w:szCs w:val="15"/>
              </w:rPr>
            </w:pPr>
            <w:r>
              <w:rPr>
                <w:sz w:val="15"/>
                <w:szCs w:val="15"/>
              </w:rPr>
              <w:t>769</w:t>
            </w:r>
          </w:p>
        </w:tc>
        <w:tc>
          <w:tcPr>
            <w:tcW w:w="835" w:type="dxa"/>
            <w:tcBorders>
              <w:top w:val="single" w:sz="4" w:space="0" w:color="auto"/>
              <w:left w:val="single" w:sz="4" w:space="0" w:color="auto"/>
            </w:tcBorders>
            <w:shd w:val="clear" w:color="auto" w:fill="auto"/>
          </w:tcPr>
          <w:p w14:paraId="2C6EDAE0" w14:textId="77777777" w:rsidR="00EC1C40" w:rsidRDefault="00000000">
            <w:pPr>
              <w:pStyle w:val="Jin0"/>
              <w:framePr w:w="7666" w:h="12274" w:wrap="none" w:vAnchor="page" w:hAnchor="page" w:x="1801" w:y="1402"/>
              <w:spacing w:after="0"/>
              <w:ind w:firstLine="540"/>
              <w:rPr>
                <w:sz w:val="15"/>
                <w:szCs w:val="15"/>
              </w:rPr>
            </w:pPr>
            <w:r>
              <w:rPr>
                <w:sz w:val="15"/>
                <w:szCs w:val="15"/>
              </w:rPr>
              <w:t>769</w:t>
            </w:r>
          </w:p>
        </w:tc>
        <w:tc>
          <w:tcPr>
            <w:tcW w:w="1037" w:type="dxa"/>
            <w:tcBorders>
              <w:top w:val="single" w:sz="4" w:space="0" w:color="auto"/>
              <w:left w:val="single" w:sz="4" w:space="0" w:color="auto"/>
            </w:tcBorders>
            <w:shd w:val="clear" w:color="auto" w:fill="auto"/>
          </w:tcPr>
          <w:p w14:paraId="33CF8BAF" w14:textId="77777777" w:rsidR="00EC1C40" w:rsidRDefault="00EC1C40">
            <w:pPr>
              <w:framePr w:w="7666" w:h="12274" w:wrap="none" w:vAnchor="page" w:hAnchor="page" w:x="1801" w:y="1402"/>
              <w:rPr>
                <w:sz w:val="10"/>
                <w:szCs w:val="10"/>
              </w:rPr>
            </w:pPr>
          </w:p>
        </w:tc>
        <w:tc>
          <w:tcPr>
            <w:tcW w:w="1214" w:type="dxa"/>
            <w:tcBorders>
              <w:top w:val="single" w:sz="4" w:space="0" w:color="auto"/>
              <w:left w:val="single" w:sz="4" w:space="0" w:color="auto"/>
            </w:tcBorders>
            <w:shd w:val="clear" w:color="auto" w:fill="auto"/>
          </w:tcPr>
          <w:p w14:paraId="3C2E76EA" w14:textId="77777777" w:rsidR="00EC1C40" w:rsidRDefault="00EC1C40">
            <w:pPr>
              <w:framePr w:w="7666" w:h="12274" w:wrap="none" w:vAnchor="page" w:hAnchor="page" w:x="1801" w:y="1402"/>
              <w:rPr>
                <w:sz w:val="10"/>
                <w:szCs w:val="10"/>
              </w:rPr>
            </w:pPr>
          </w:p>
        </w:tc>
        <w:tc>
          <w:tcPr>
            <w:tcW w:w="1104" w:type="dxa"/>
            <w:tcBorders>
              <w:top w:val="single" w:sz="4" w:space="0" w:color="auto"/>
              <w:left w:val="single" w:sz="4" w:space="0" w:color="auto"/>
              <w:right w:val="single" w:sz="4" w:space="0" w:color="auto"/>
            </w:tcBorders>
            <w:shd w:val="clear" w:color="auto" w:fill="auto"/>
          </w:tcPr>
          <w:p w14:paraId="5D94CDA4" w14:textId="77777777" w:rsidR="00EC1C40" w:rsidRDefault="00EC1C40">
            <w:pPr>
              <w:framePr w:w="7666" w:h="12274" w:wrap="none" w:vAnchor="page" w:hAnchor="page" w:x="1801" w:y="1402"/>
              <w:rPr>
                <w:sz w:val="10"/>
                <w:szCs w:val="10"/>
              </w:rPr>
            </w:pPr>
          </w:p>
        </w:tc>
      </w:tr>
      <w:tr w:rsidR="00EC1C40" w14:paraId="755439EB" w14:textId="77777777">
        <w:tblPrEx>
          <w:tblCellMar>
            <w:top w:w="0" w:type="dxa"/>
            <w:bottom w:w="0" w:type="dxa"/>
          </w:tblCellMar>
        </w:tblPrEx>
        <w:trPr>
          <w:trHeight w:hRule="exact" w:val="192"/>
        </w:trPr>
        <w:tc>
          <w:tcPr>
            <w:tcW w:w="2640" w:type="dxa"/>
            <w:tcBorders>
              <w:top w:val="single" w:sz="4" w:space="0" w:color="auto"/>
              <w:left w:val="single" w:sz="4" w:space="0" w:color="auto"/>
            </w:tcBorders>
            <w:shd w:val="clear" w:color="auto" w:fill="auto"/>
          </w:tcPr>
          <w:p w14:paraId="506FED41" w14:textId="77777777" w:rsidR="00EC1C40" w:rsidRDefault="00000000">
            <w:pPr>
              <w:pStyle w:val="Jin0"/>
              <w:framePr w:w="7666" w:h="12274" w:wrap="none" w:vAnchor="page" w:hAnchor="page" w:x="1801" w:y="1402"/>
              <w:spacing w:after="0"/>
              <w:rPr>
                <w:sz w:val="15"/>
                <w:szCs w:val="15"/>
              </w:rPr>
            </w:pPr>
            <w:r>
              <w:rPr>
                <w:b/>
                <w:bCs/>
                <w:sz w:val="15"/>
                <w:szCs w:val="15"/>
              </w:rPr>
              <w:t>1PP</w:t>
            </w:r>
          </w:p>
        </w:tc>
        <w:tc>
          <w:tcPr>
            <w:tcW w:w="835" w:type="dxa"/>
            <w:tcBorders>
              <w:top w:val="single" w:sz="4" w:space="0" w:color="auto"/>
              <w:left w:val="single" w:sz="4" w:space="0" w:color="auto"/>
            </w:tcBorders>
            <w:shd w:val="clear" w:color="auto" w:fill="auto"/>
          </w:tcPr>
          <w:p w14:paraId="70EDBCD0" w14:textId="77777777" w:rsidR="00EC1C40" w:rsidRDefault="00000000">
            <w:pPr>
              <w:pStyle w:val="Jin0"/>
              <w:framePr w:w="7666" w:h="12274" w:wrap="none" w:vAnchor="page" w:hAnchor="page" w:x="1801" w:y="1402"/>
              <w:spacing w:after="0"/>
              <w:ind w:firstLine="420"/>
              <w:jc w:val="both"/>
              <w:rPr>
                <w:sz w:val="15"/>
                <w:szCs w:val="15"/>
              </w:rPr>
            </w:pPr>
            <w:r>
              <w:rPr>
                <w:b/>
                <w:bCs/>
                <w:sz w:val="15"/>
                <w:szCs w:val="15"/>
              </w:rPr>
              <w:t>3 483</w:t>
            </w:r>
          </w:p>
        </w:tc>
        <w:tc>
          <w:tcPr>
            <w:tcW w:w="835" w:type="dxa"/>
            <w:tcBorders>
              <w:top w:val="single" w:sz="4" w:space="0" w:color="auto"/>
              <w:left w:val="single" w:sz="4" w:space="0" w:color="auto"/>
            </w:tcBorders>
            <w:shd w:val="clear" w:color="auto" w:fill="auto"/>
          </w:tcPr>
          <w:p w14:paraId="6B716E79" w14:textId="77777777" w:rsidR="00EC1C40" w:rsidRDefault="00EC1C40">
            <w:pPr>
              <w:framePr w:w="7666" w:h="12274" w:wrap="none" w:vAnchor="page" w:hAnchor="page" w:x="1801" w:y="1402"/>
              <w:rPr>
                <w:sz w:val="10"/>
                <w:szCs w:val="10"/>
              </w:rPr>
            </w:pPr>
          </w:p>
        </w:tc>
        <w:tc>
          <w:tcPr>
            <w:tcW w:w="1037" w:type="dxa"/>
            <w:tcBorders>
              <w:top w:val="single" w:sz="4" w:space="0" w:color="auto"/>
              <w:left w:val="single" w:sz="4" w:space="0" w:color="auto"/>
            </w:tcBorders>
            <w:shd w:val="clear" w:color="auto" w:fill="auto"/>
          </w:tcPr>
          <w:p w14:paraId="79A7FBFC" w14:textId="77777777" w:rsidR="00EC1C40" w:rsidRDefault="00EC1C40">
            <w:pPr>
              <w:framePr w:w="7666" w:h="12274" w:wrap="none" w:vAnchor="page" w:hAnchor="page" w:x="1801" w:y="1402"/>
              <w:rPr>
                <w:sz w:val="10"/>
                <w:szCs w:val="10"/>
              </w:rPr>
            </w:pPr>
          </w:p>
        </w:tc>
        <w:tc>
          <w:tcPr>
            <w:tcW w:w="1214" w:type="dxa"/>
            <w:tcBorders>
              <w:top w:val="single" w:sz="4" w:space="0" w:color="auto"/>
              <w:left w:val="single" w:sz="4" w:space="0" w:color="auto"/>
            </w:tcBorders>
            <w:shd w:val="clear" w:color="auto" w:fill="auto"/>
          </w:tcPr>
          <w:p w14:paraId="3C7ADF45" w14:textId="77777777" w:rsidR="00EC1C40" w:rsidRDefault="00EC1C40">
            <w:pPr>
              <w:framePr w:w="7666" w:h="12274" w:wrap="none" w:vAnchor="page" w:hAnchor="page" w:x="1801" w:y="1402"/>
              <w:rPr>
                <w:sz w:val="10"/>
                <w:szCs w:val="10"/>
              </w:rPr>
            </w:pPr>
          </w:p>
        </w:tc>
        <w:tc>
          <w:tcPr>
            <w:tcW w:w="1104" w:type="dxa"/>
            <w:tcBorders>
              <w:top w:val="single" w:sz="4" w:space="0" w:color="auto"/>
              <w:left w:val="single" w:sz="4" w:space="0" w:color="auto"/>
              <w:right w:val="single" w:sz="4" w:space="0" w:color="auto"/>
            </w:tcBorders>
            <w:shd w:val="clear" w:color="auto" w:fill="auto"/>
          </w:tcPr>
          <w:p w14:paraId="50D4231F" w14:textId="77777777" w:rsidR="00EC1C40" w:rsidRDefault="00EC1C40">
            <w:pPr>
              <w:framePr w:w="7666" w:h="12274" w:wrap="none" w:vAnchor="page" w:hAnchor="page" w:x="1801" w:y="1402"/>
              <w:rPr>
                <w:sz w:val="10"/>
                <w:szCs w:val="10"/>
              </w:rPr>
            </w:pPr>
          </w:p>
        </w:tc>
      </w:tr>
      <w:tr w:rsidR="00EC1C40" w14:paraId="6A105985" w14:textId="77777777">
        <w:tblPrEx>
          <w:tblCellMar>
            <w:top w:w="0" w:type="dxa"/>
            <w:bottom w:w="0" w:type="dxa"/>
          </w:tblCellMar>
        </w:tblPrEx>
        <w:trPr>
          <w:trHeight w:hRule="exact" w:val="197"/>
        </w:trPr>
        <w:tc>
          <w:tcPr>
            <w:tcW w:w="2640" w:type="dxa"/>
            <w:tcBorders>
              <w:top w:val="single" w:sz="4" w:space="0" w:color="auto"/>
              <w:left w:val="single" w:sz="4" w:space="0" w:color="auto"/>
            </w:tcBorders>
            <w:shd w:val="clear" w:color="auto" w:fill="auto"/>
            <w:vAlign w:val="bottom"/>
          </w:tcPr>
          <w:p w14:paraId="3B3EEE86" w14:textId="77777777" w:rsidR="00EC1C40" w:rsidRDefault="00000000">
            <w:pPr>
              <w:pStyle w:val="Jin0"/>
              <w:framePr w:w="7666" w:h="12274" w:wrap="none" w:vAnchor="page" w:hAnchor="page" w:x="1801" w:y="1402"/>
              <w:spacing w:after="0"/>
              <w:rPr>
                <w:sz w:val="15"/>
                <w:szCs w:val="15"/>
              </w:rPr>
            </w:pPr>
            <w:r>
              <w:rPr>
                <w:sz w:val="15"/>
                <w:szCs w:val="15"/>
                <w:lang w:val="en-US" w:eastAsia="en-US" w:bidi="en-US"/>
              </w:rPr>
              <w:t>PARKING</w:t>
            </w:r>
          </w:p>
        </w:tc>
        <w:tc>
          <w:tcPr>
            <w:tcW w:w="835" w:type="dxa"/>
            <w:tcBorders>
              <w:top w:val="single" w:sz="4" w:space="0" w:color="auto"/>
              <w:left w:val="single" w:sz="4" w:space="0" w:color="auto"/>
            </w:tcBorders>
            <w:shd w:val="clear" w:color="auto" w:fill="auto"/>
            <w:vAlign w:val="bottom"/>
          </w:tcPr>
          <w:p w14:paraId="785151C9" w14:textId="77777777" w:rsidR="00EC1C40" w:rsidRDefault="00000000">
            <w:pPr>
              <w:pStyle w:val="Jin0"/>
              <w:framePr w:w="7666" w:h="12274" w:wrap="none" w:vAnchor="page" w:hAnchor="page" w:x="1801" w:y="1402"/>
              <w:spacing w:after="0"/>
              <w:ind w:firstLine="420"/>
              <w:jc w:val="both"/>
              <w:rPr>
                <w:sz w:val="15"/>
                <w:szCs w:val="15"/>
              </w:rPr>
            </w:pPr>
            <w:r>
              <w:rPr>
                <w:sz w:val="15"/>
                <w:szCs w:val="15"/>
              </w:rPr>
              <w:t>2 559</w:t>
            </w:r>
          </w:p>
        </w:tc>
        <w:tc>
          <w:tcPr>
            <w:tcW w:w="835" w:type="dxa"/>
            <w:tcBorders>
              <w:top w:val="single" w:sz="4" w:space="0" w:color="auto"/>
              <w:left w:val="single" w:sz="4" w:space="0" w:color="auto"/>
            </w:tcBorders>
            <w:shd w:val="clear" w:color="auto" w:fill="auto"/>
            <w:vAlign w:val="bottom"/>
          </w:tcPr>
          <w:p w14:paraId="62BB7451" w14:textId="77777777" w:rsidR="00EC1C40" w:rsidRDefault="00000000">
            <w:pPr>
              <w:pStyle w:val="Jin0"/>
              <w:framePr w:w="7666" w:h="12274" w:wrap="none" w:vAnchor="page" w:hAnchor="page" w:x="1801" w:y="1402"/>
              <w:spacing w:after="0"/>
              <w:ind w:firstLine="420"/>
              <w:rPr>
                <w:sz w:val="15"/>
                <w:szCs w:val="15"/>
              </w:rPr>
            </w:pPr>
            <w:r>
              <w:rPr>
                <w:sz w:val="15"/>
                <w:szCs w:val="15"/>
              </w:rPr>
              <w:t>2 559</w:t>
            </w:r>
          </w:p>
        </w:tc>
        <w:tc>
          <w:tcPr>
            <w:tcW w:w="1037" w:type="dxa"/>
            <w:tcBorders>
              <w:top w:val="single" w:sz="4" w:space="0" w:color="auto"/>
              <w:left w:val="single" w:sz="4" w:space="0" w:color="auto"/>
            </w:tcBorders>
            <w:shd w:val="clear" w:color="auto" w:fill="auto"/>
          </w:tcPr>
          <w:p w14:paraId="4C6A41A2" w14:textId="77777777" w:rsidR="00EC1C40" w:rsidRDefault="00EC1C40">
            <w:pPr>
              <w:framePr w:w="7666" w:h="12274" w:wrap="none" w:vAnchor="page" w:hAnchor="page" w:x="1801" w:y="1402"/>
              <w:rPr>
                <w:sz w:val="10"/>
                <w:szCs w:val="10"/>
              </w:rPr>
            </w:pPr>
          </w:p>
        </w:tc>
        <w:tc>
          <w:tcPr>
            <w:tcW w:w="1214" w:type="dxa"/>
            <w:tcBorders>
              <w:top w:val="single" w:sz="4" w:space="0" w:color="auto"/>
              <w:left w:val="single" w:sz="4" w:space="0" w:color="auto"/>
            </w:tcBorders>
            <w:shd w:val="clear" w:color="auto" w:fill="auto"/>
          </w:tcPr>
          <w:p w14:paraId="2364C782" w14:textId="77777777" w:rsidR="00EC1C40" w:rsidRDefault="00EC1C40">
            <w:pPr>
              <w:framePr w:w="7666" w:h="12274" w:wrap="none" w:vAnchor="page" w:hAnchor="page" w:x="1801" w:y="1402"/>
              <w:rPr>
                <w:sz w:val="10"/>
                <w:szCs w:val="10"/>
              </w:rPr>
            </w:pPr>
          </w:p>
        </w:tc>
        <w:tc>
          <w:tcPr>
            <w:tcW w:w="1104" w:type="dxa"/>
            <w:tcBorders>
              <w:top w:val="single" w:sz="4" w:space="0" w:color="auto"/>
              <w:left w:val="single" w:sz="4" w:space="0" w:color="auto"/>
              <w:right w:val="single" w:sz="4" w:space="0" w:color="auto"/>
            </w:tcBorders>
            <w:shd w:val="clear" w:color="auto" w:fill="auto"/>
          </w:tcPr>
          <w:p w14:paraId="6C469007" w14:textId="77777777" w:rsidR="00EC1C40" w:rsidRDefault="00EC1C40">
            <w:pPr>
              <w:framePr w:w="7666" w:h="12274" w:wrap="none" w:vAnchor="page" w:hAnchor="page" w:x="1801" w:y="1402"/>
              <w:rPr>
                <w:sz w:val="10"/>
                <w:szCs w:val="10"/>
              </w:rPr>
            </w:pPr>
          </w:p>
        </w:tc>
      </w:tr>
      <w:tr w:rsidR="00EC1C40" w14:paraId="74C4AE87" w14:textId="77777777">
        <w:tblPrEx>
          <w:tblCellMar>
            <w:top w:w="0" w:type="dxa"/>
            <w:bottom w:w="0" w:type="dxa"/>
          </w:tblCellMar>
        </w:tblPrEx>
        <w:trPr>
          <w:trHeight w:hRule="exact" w:val="192"/>
        </w:trPr>
        <w:tc>
          <w:tcPr>
            <w:tcW w:w="2640" w:type="dxa"/>
            <w:tcBorders>
              <w:top w:val="single" w:sz="4" w:space="0" w:color="auto"/>
              <w:left w:val="single" w:sz="4" w:space="0" w:color="auto"/>
            </w:tcBorders>
            <w:shd w:val="clear" w:color="auto" w:fill="auto"/>
          </w:tcPr>
          <w:p w14:paraId="1047429F" w14:textId="77777777" w:rsidR="00EC1C40" w:rsidRDefault="00000000">
            <w:pPr>
              <w:pStyle w:val="Jin0"/>
              <w:framePr w:w="7666" w:h="12274" w:wrap="none" w:vAnchor="page" w:hAnchor="page" w:x="1801" w:y="1402"/>
              <w:spacing w:after="0"/>
              <w:rPr>
                <w:sz w:val="15"/>
                <w:szCs w:val="15"/>
              </w:rPr>
            </w:pPr>
            <w:r>
              <w:rPr>
                <w:sz w:val="15"/>
                <w:szCs w:val="15"/>
              </w:rPr>
              <w:t>TRÉNINKOVÁ HALA VEŘEJNOST</w:t>
            </w:r>
          </w:p>
        </w:tc>
        <w:tc>
          <w:tcPr>
            <w:tcW w:w="835" w:type="dxa"/>
            <w:tcBorders>
              <w:top w:val="single" w:sz="4" w:space="0" w:color="auto"/>
              <w:left w:val="single" w:sz="4" w:space="0" w:color="auto"/>
            </w:tcBorders>
            <w:shd w:val="clear" w:color="auto" w:fill="auto"/>
          </w:tcPr>
          <w:p w14:paraId="18D3988B" w14:textId="77777777" w:rsidR="00EC1C40" w:rsidRDefault="00000000">
            <w:pPr>
              <w:pStyle w:val="Jin0"/>
              <w:framePr w:w="7666" w:h="12274" w:wrap="none" w:vAnchor="page" w:hAnchor="page" w:x="1801" w:y="1402"/>
              <w:spacing w:after="0"/>
              <w:ind w:firstLine="600"/>
              <w:jc w:val="both"/>
              <w:rPr>
                <w:sz w:val="15"/>
                <w:szCs w:val="15"/>
              </w:rPr>
            </w:pPr>
            <w:r>
              <w:rPr>
                <w:sz w:val="15"/>
                <w:szCs w:val="15"/>
              </w:rPr>
              <w:t>73</w:t>
            </w:r>
          </w:p>
        </w:tc>
        <w:tc>
          <w:tcPr>
            <w:tcW w:w="835" w:type="dxa"/>
            <w:tcBorders>
              <w:top w:val="single" w:sz="4" w:space="0" w:color="auto"/>
              <w:left w:val="single" w:sz="4" w:space="0" w:color="auto"/>
            </w:tcBorders>
            <w:shd w:val="clear" w:color="auto" w:fill="auto"/>
          </w:tcPr>
          <w:p w14:paraId="088FCA9E" w14:textId="77777777" w:rsidR="00EC1C40" w:rsidRDefault="00000000">
            <w:pPr>
              <w:pStyle w:val="Jin0"/>
              <w:framePr w:w="7666" w:h="12274" w:wrap="none" w:vAnchor="page" w:hAnchor="page" w:x="1801" w:y="1402"/>
              <w:spacing w:after="0"/>
              <w:jc w:val="right"/>
              <w:rPr>
                <w:sz w:val="15"/>
                <w:szCs w:val="15"/>
              </w:rPr>
            </w:pPr>
            <w:r>
              <w:rPr>
                <w:sz w:val="15"/>
                <w:szCs w:val="15"/>
              </w:rPr>
              <w:t>73</w:t>
            </w:r>
          </w:p>
        </w:tc>
        <w:tc>
          <w:tcPr>
            <w:tcW w:w="1037" w:type="dxa"/>
            <w:tcBorders>
              <w:top w:val="single" w:sz="4" w:space="0" w:color="auto"/>
              <w:left w:val="single" w:sz="4" w:space="0" w:color="auto"/>
            </w:tcBorders>
            <w:shd w:val="clear" w:color="auto" w:fill="auto"/>
          </w:tcPr>
          <w:p w14:paraId="0F5CB2C5" w14:textId="77777777" w:rsidR="00EC1C40" w:rsidRDefault="00EC1C40">
            <w:pPr>
              <w:framePr w:w="7666" w:h="12274" w:wrap="none" w:vAnchor="page" w:hAnchor="page" w:x="1801" w:y="1402"/>
              <w:rPr>
                <w:sz w:val="10"/>
                <w:szCs w:val="10"/>
              </w:rPr>
            </w:pPr>
          </w:p>
        </w:tc>
        <w:tc>
          <w:tcPr>
            <w:tcW w:w="1214" w:type="dxa"/>
            <w:tcBorders>
              <w:top w:val="single" w:sz="4" w:space="0" w:color="auto"/>
              <w:left w:val="single" w:sz="4" w:space="0" w:color="auto"/>
            </w:tcBorders>
            <w:shd w:val="clear" w:color="auto" w:fill="auto"/>
          </w:tcPr>
          <w:p w14:paraId="7242D8D9" w14:textId="77777777" w:rsidR="00EC1C40" w:rsidRDefault="00EC1C40">
            <w:pPr>
              <w:framePr w:w="7666" w:h="12274" w:wrap="none" w:vAnchor="page" w:hAnchor="page" w:x="1801" w:y="1402"/>
              <w:rPr>
                <w:sz w:val="10"/>
                <w:szCs w:val="10"/>
              </w:rPr>
            </w:pPr>
          </w:p>
        </w:tc>
        <w:tc>
          <w:tcPr>
            <w:tcW w:w="1104" w:type="dxa"/>
            <w:tcBorders>
              <w:top w:val="single" w:sz="4" w:space="0" w:color="auto"/>
              <w:left w:val="single" w:sz="4" w:space="0" w:color="auto"/>
              <w:right w:val="single" w:sz="4" w:space="0" w:color="auto"/>
            </w:tcBorders>
            <w:shd w:val="clear" w:color="auto" w:fill="auto"/>
          </w:tcPr>
          <w:p w14:paraId="09860043" w14:textId="77777777" w:rsidR="00EC1C40" w:rsidRDefault="00EC1C40">
            <w:pPr>
              <w:framePr w:w="7666" w:h="12274" w:wrap="none" w:vAnchor="page" w:hAnchor="page" w:x="1801" w:y="1402"/>
              <w:rPr>
                <w:sz w:val="10"/>
                <w:szCs w:val="10"/>
              </w:rPr>
            </w:pPr>
          </w:p>
        </w:tc>
      </w:tr>
      <w:tr w:rsidR="00EC1C40" w14:paraId="34BF41D0" w14:textId="77777777">
        <w:tblPrEx>
          <w:tblCellMar>
            <w:top w:w="0" w:type="dxa"/>
            <w:bottom w:w="0" w:type="dxa"/>
          </w:tblCellMar>
        </w:tblPrEx>
        <w:trPr>
          <w:trHeight w:hRule="exact" w:val="197"/>
        </w:trPr>
        <w:tc>
          <w:tcPr>
            <w:tcW w:w="2640" w:type="dxa"/>
            <w:tcBorders>
              <w:top w:val="single" w:sz="4" w:space="0" w:color="auto"/>
              <w:left w:val="single" w:sz="4" w:space="0" w:color="auto"/>
            </w:tcBorders>
            <w:shd w:val="clear" w:color="auto" w:fill="auto"/>
          </w:tcPr>
          <w:p w14:paraId="386866FB" w14:textId="77777777" w:rsidR="00EC1C40" w:rsidRDefault="00000000">
            <w:pPr>
              <w:pStyle w:val="Jin0"/>
              <w:framePr w:w="7666" w:h="12274" w:wrap="none" w:vAnchor="page" w:hAnchor="page" w:x="1801" w:y="1402"/>
              <w:spacing w:after="0"/>
              <w:rPr>
                <w:sz w:val="15"/>
                <w:szCs w:val="15"/>
              </w:rPr>
            </w:pPr>
            <w:r>
              <w:rPr>
                <w:sz w:val="15"/>
                <w:szCs w:val="15"/>
              </w:rPr>
              <w:t>TRÉNINKOVÁ HALA ZÁZEMÍ</w:t>
            </w:r>
          </w:p>
        </w:tc>
        <w:tc>
          <w:tcPr>
            <w:tcW w:w="835" w:type="dxa"/>
            <w:tcBorders>
              <w:top w:val="single" w:sz="4" w:space="0" w:color="auto"/>
              <w:left w:val="single" w:sz="4" w:space="0" w:color="auto"/>
            </w:tcBorders>
            <w:shd w:val="clear" w:color="auto" w:fill="auto"/>
          </w:tcPr>
          <w:p w14:paraId="1843816E" w14:textId="77777777" w:rsidR="00EC1C40" w:rsidRDefault="00000000">
            <w:pPr>
              <w:pStyle w:val="Jin0"/>
              <w:framePr w:w="7666" w:h="12274" w:wrap="none" w:vAnchor="page" w:hAnchor="page" w:x="1801" w:y="1402"/>
              <w:spacing w:after="0"/>
              <w:ind w:firstLine="540"/>
              <w:jc w:val="both"/>
              <w:rPr>
                <w:sz w:val="15"/>
                <w:szCs w:val="15"/>
              </w:rPr>
            </w:pPr>
            <w:r>
              <w:rPr>
                <w:sz w:val="15"/>
                <w:szCs w:val="15"/>
              </w:rPr>
              <w:t>851</w:t>
            </w:r>
          </w:p>
        </w:tc>
        <w:tc>
          <w:tcPr>
            <w:tcW w:w="835" w:type="dxa"/>
            <w:tcBorders>
              <w:top w:val="single" w:sz="4" w:space="0" w:color="auto"/>
              <w:left w:val="single" w:sz="4" w:space="0" w:color="auto"/>
            </w:tcBorders>
            <w:shd w:val="clear" w:color="auto" w:fill="auto"/>
          </w:tcPr>
          <w:p w14:paraId="70C90F0E" w14:textId="77777777" w:rsidR="00EC1C40" w:rsidRDefault="00000000">
            <w:pPr>
              <w:pStyle w:val="Jin0"/>
              <w:framePr w:w="7666" w:h="12274" w:wrap="none" w:vAnchor="page" w:hAnchor="page" w:x="1801" w:y="1402"/>
              <w:spacing w:after="0"/>
              <w:ind w:firstLine="540"/>
              <w:rPr>
                <w:sz w:val="15"/>
                <w:szCs w:val="15"/>
              </w:rPr>
            </w:pPr>
            <w:r>
              <w:rPr>
                <w:sz w:val="15"/>
                <w:szCs w:val="15"/>
              </w:rPr>
              <w:t>851</w:t>
            </w:r>
          </w:p>
        </w:tc>
        <w:tc>
          <w:tcPr>
            <w:tcW w:w="1037" w:type="dxa"/>
            <w:tcBorders>
              <w:top w:val="single" w:sz="4" w:space="0" w:color="auto"/>
              <w:left w:val="single" w:sz="4" w:space="0" w:color="auto"/>
            </w:tcBorders>
            <w:shd w:val="clear" w:color="auto" w:fill="auto"/>
          </w:tcPr>
          <w:p w14:paraId="6C5391D5" w14:textId="77777777" w:rsidR="00EC1C40" w:rsidRDefault="00EC1C40">
            <w:pPr>
              <w:framePr w:w="7666" w:h="12274" w:wrap="none" w:vAnchor="page" w:hAnchor="page" w:x="1801" w:y="1402"/>
              <w:rPr>
                <w:sz w:val="10"/>
                <w:szCs w:val="10"/>
              </w:rPr>
            </w:pPr>
          </w:p>
        </w:tc>
        <w:tc>
          <w:tcPr>
            <w:tcW w:w="1214" w:type="dxa"/>
            <w:tcBorders>
              <w:top w:val="single" w:sz="4" w:space="0" w:color="auto"/>
              <w:left w:val="single" w:sz="4" w:space="0" w:color="auto"/>
            </w:tcBorders>
            <w:shd w:val="clear" w:color="auto" w:fill="auto"/>
          </w:tcPr>
          <w:p w14:paraId="5D0E7B0F" w14:textId="77777777" w:rsidR="00EC1C40" w:rsidRDefault="00EC1C40">
            <w:pPr>
              <w:framePr w:w="7666" w:h="12274" w:wrap="none" w:vAnchor="page" w:hAnchor="page" w:x="1801" w:y="1402"/>
              <w:rPr>
                <w:sz w:val="10"/>
                <w:szCs w:val="10"/>
              </w:rPr>
            </w:pPr>
          </w:p>
        </w:tc>
        <w:tc>
          <w:tcPr>
            <w:tcW w:w="1104" w:type="dxa"/>
            <w:tcBorders>
              <w:top w:val="single" w:sz="4" w:space="0" w:color="auto"/>
              <w:left w:val="single" w:sz="4" w:space="0" w:color="auto"/>
              <w:right w:val="single" w:sz="4" w:space="0" w:color="auto"/>
            </w:tcBorders>
            <w:shd w:val="clear" w:color="auto" w:fill="auto"/>
          </w:tcPr>
          <w:p w14:paraId="0F93D0D5" w14:textId="77777777" w:rsidR="00EC1C40" w:rsidRDefault="00EC1C40">
            <w:pPr>
              <w:framePr w:w="7666" w:h="12274" w:wrap="none" w:vAnchor="page" w:hAnchor="page" w:x="1801" w:y="1402"/>
              <w:rPr>
                <w:sz w:val="10"/>
                <w:szCs w:val="10"/>
              </w:rPr>
            </w:pPr>
          </w:p>
        </w:tc>
      </w:tr>
      <w:tr w:rsidR="00EC1C40" w14:paraId="5C155FC9" w14:textId="77777777">
        <w:tblPrEx>
          <w:tblCellMar>
            <w:top w:w="0" w:type="dxa"/>
            <w:bottom w:w="0" w:type="dxa"/>
          </w:tblCellMar>
        </w:tblPrEx>
        <w:trPr>
          <w:trHeight w:hRule="exact" w:val="197"/>
        </w:trPr>
        <w:tc>
          <w:tcPr>
            <w:tcW w:w="2640" w:type="dxa"/>
            <w:tcBorders>
              <w:top w:val="single" w:sz="4" w:space="0" w:color="auto"/>
              <w:left w:val="single" w:sz="4" w:space="0" w:color="auto"/>
            </w:tcBorders>
            <w:shd w:val="clear" w:color="auto" w:fill="auto"/>
          </w:tcPr>
          <w:p w14:paraId="284C9883" w14:textId="77777777" w:rsidR="00EC1C40" w:rsidRDefault="00000000">
            <w:pPr>
              <w:pStyle w:val="Jin0"/>
              <w:framePr w:w="7666" w:h="12274" w:wrap="none" w:vAnchor="page" w:hAnchor="page" w:x="1801" w:y="1402"/>
              <w:spacing w:after="0"/>
              <w:rPr>
                <w:sz w:val="15"/>
                <w:szCs w:val="15"/>
              </w:rPr>
            </w:pPr>
            <w:r>
              <w:rPr>
                <w:b/>
                <w:bCs/>
                <w:sz w:val="15"/>
                <w:szCs w:val="15"/>
              </w:rPr>
              <w:t>1NP</w:t>
            </w:r>
          </w:p>
        </w:tc>
        <w:tc>
          <w:tcPr>
            <w:tcW w:w="835" w:type="dxa"/>
            <w:tcBorders>
              <w:top w:val="single" w:sz="4" w:space="0" w:color="auto"/>
              <w:left w:val="single" w:sz="4" w:space="0" w:color="auto"/>
            </w:tcBorders>
            <w:shd w:val="clear" w:color="auto" w:fill="auto"/>
          </w:tcPr>
          <w:p w14:paraId="1D83AC2A" w14:textId="77777777" w:rsidR="00EC1C40" w:rsidRDefault="00000000">
            <w:pPr>
              <w:pStyle w:val="Jin0"/>
              <w:framePr w:w="7666" w:h="12274" w:wrap="none" w:vAnchor="page" w:hAnchor="page" w:x="1801" w:y="1402"/>
              <w:spacing w:after="0"/>
              <w:ind w:firstLine="420"/>
              <w:jc w:val="both"/>
              <w:rPr>
                <w:sz w:val="15"/>
                <w:szCs w:val="15"/>
              </w:rPr>
            </w:pPr>
            <w:r>
              <w:rPr>
                <w:b/>
                <w:bCs/>
                <w:sz w:val="15"/>
                <w:szCs w:val="15"/>
              </w:rPr>
              <w:t>3 839</w:t>
            </w:r>
          </w:p>
        </w:tc>
        <w:tc>
          <w:tcPr>
            <w:tcW w:w="835" w:type="dxa"/>
            <w:tcBorders>
              <w:top w:val="single" w:sz="4" w:space="0" w:color="auto"/>
              <w:left w:val="single" w:sz="4" w:space="0" w:color="auto"/>
            </w:tcBorders>
            <w:shd w:val="clear" w:color="auto" w:fill="auto"/>
          </w:tcPr>
          <w:p w14:paraId="5F70812D" w14:textId="77777777" w:rsidR="00EC1C40" w:rsidRDefault="00EC1C40">
            <w:pPr>
              <w:framePr w:w="7666" w:h="12274" w:wrap="none" w:vAnchor="page" w:hAnchor="page" w:x="1801" w:y="1402"/>
              <w:rPr>
                <w:sz w:val="10"/>
                <w:szCs w:val="10"/>
              </w:rPr>
            </w:pPr>
          </w:p>
        </w:tc>
        <w:tc>
          <w:tcPr>
            <w:tcW w:w="1037" w:type="dxa"/>
            <w:tcBorders>
              <w:top w:val="single" w:sz="4" w:space="0" w:color="auto"/>
              <w:left w:val="single" w:sz="4" w:space="0" w:color="auto"/>
            </w:tcBorders>
            <w:shd w:val="clear" w:color="auto" w:fill="auto"/>
          </w:tcPr>
          <w:p w14:paraId="7A1884D8" w14:textId="77777777" w:rsidR="00EC1C40" w:rsidRDefault="00EC1C40">
            <w:pPr>
              <w:framePr w:w="7666" w:h="12274" w:wrap="none" w:vAnchor="page" w:hAnchor="page" w:x="1801" w:y="1402"/>
              <w:rPr>
                <w:sz w:val="10"/>
                <w:szCs w:val="10"/>
              </w:rPr>
            </w:pPr>
          </w:p>
        </w:tc>
        <w:tc>
          <w:tcPr>
            <w:tcW w:w="1214" w:type="dxa"/>
            <w:tcBorders>
              <w:top w:val="single" w:sz="4" w:space="0" w:color="auto"/>
              <w:left w:val="single" w:sz="4" w:space="0" w:color="auto"/>
            </w:tcBorders>
            <w:shd w:val="clear" w:color="auto" w:fill="auto"/>
          </w:tcPr>
          <w:p w14:paraId="19AD4915" w14:textId="77777777" w:rsidR="00EC1C40" w:rsidRDefault="00EC1C40">
            <w:pPr>
              <w:framePr w:w="7666" w:h="12274" w:wrap="none" w:vAnchor="page" w:hAnchor="page" w:x="1801" w:y="1402"/>
              <w:rPr>
                <w:sz w:val="10"/>
                <w:szCs w:val="10"/>
              </w:rPr>
            </w:pPr>
          </w:p>
        </w:tc>
        <w:tc>
          <w:tcPr>
            <w:tcW w:w="1104" w:type="dxa"/>
            <w:tcBorders>
              <w:top w:val="single" w:sz="4" w:space="0" w:color="auto"/>
              <w:left w:val="single" w:sz="4" w:space="0" w:color="auto"/>
              <w:right w:val="single" w:sz="4" w:space="0" w:color="auto"/>
            </w:tcBorders>
            <w:shd w:val="clear" w:color="auto" w:fill="auto"/>
          </w:tcPr>
          <w:p w14:paraId="27D972C9" w14:textId="77777777" w:rsidR="00EC1C40" w:rsidRDefault="00EC1C40">
            <w:pPr>
              <w:framePr w:w="7666" w:h="12274" w:wrap="none" w:vAnchor="page" w:hAnchor="page" w:x="1801" w:y="1402"/>
              <w:rPr>
                <w:sz w:val="10"/>
                <w:szCs w:val="10"/>
              </w:rPr>
            </w:pPr>
          </w:p>
        </w:tc>
      </w:tr>
      <w:tr w:rsidR="00EC1C40" w14:paraId="25B07B9B" w14:textId="77777777">
        <w:tblPrEx>
          <w:tblCellMar>
            <w:top w:w="0" w:type="dxa"/>
            <w:bottom w:w="0" w:type="dxa"/>
          </w:tblCellMar>
        </w:tblPrEx>
        <w:trPr>
          <w:trHeight w:hRule="exact" w:val="192"/>
        </w:trPr>
        <w:tc>
          <w:tcPr>
            <w:tcW w:w="2640" w:type="dxa"/>
            <w:tcBorders>
              <w:top w:val="single" w:sz="4" w:space="0" w:color="auto"/>
              <w:left w:val="single" w:sz="4" w:space="0" w:color="auto"/>
            </w:tcBorders>
            <w:shd w:val="clear" w:color="auto" w:fill="auto"/>
          </w:tcPr>
          <w:p w14:paraId="3B0888E6" w14:textId="77777777" w:rsidR="00EC1C40" w:rsidRDefault="00000000">
            <w:pPr>
              <w:pStyle w:val="Jin0"/>
              <w:framePr w:w="7666" w:h="12274" w:wrap="none" w:vAnchor="page" w:hAnchor="page" w:x="1801" w:y="1402"/>
              <w:spacing w:after="0"/>
              <w:rPr>
                <w:sz w:val="15"/>
                <w:szCs w:val="15"/>
              </w:rPr>
            </w:pPr>
            <w:r>
              <w:rPr>
                <w:sz w:val="15"/>
                <w:szCs w:val="15"/>
              </w:rPr>
              <w:t>TRÉNINKOVÁ HALA VEŘEJNOST</w:t>
            </w:r>
          </w:p>
        </w:tc>
        <w:tc>
          <w:tcPr>
            <w:tcW w:w="835" w:type="dxa"/>
            <w:tcBorders>
              <w:top w:val="single" w:sz="4" w:space="0" w:color="auto"/>
              <w:left w:val="single" w:sz="4" w:space="0" w:color="auto"/>
            </w:tcBorders>
            <w:shd w:val="clear" w:color="auto" w:fill="auto"/>
          </w:tcPr>
          <w:p w14:paraId="5178A217" w14:textId="77777777" w:rsidR="00EC1C40" w:rsidRDefault="00000000">
            <w:pPr>
              <w:pStyle w:val="Jin0"/>
              <w:framePr w:w="7666" w:h="12274" w:wrap="none" w:vAnchor="page" w:hAnchor="page" w:x="1801" w:y="1402"/>
              <w:spacing w:after="0"/>
              <w:ind w:firstLine="420"/>
              <w:jc w:val="both"/>
              <w:rPr>
                <w:sz w:val="15"/>
                <w:szCs w:val="15"/>
              </w:rPr>
            </w:pPr>
            <w:r>
              <w:rPr>
                <w:sz w:val="15"/>
                <w:szCs w:val="15"/>
              </w:rPr>
              <w:t>1 188</w:t>
            </w:r>
          </w:p>
        </w:tc>
        <w:tc>
          <w:tcPr>
            <w:tcW w:w="835" w:type="dxa"/>
            <w:tcBorders>
              <w:top w:val="single" w:sz="4" w:space="0" w:color="auto"/>
              <w:left w:val="single" w:sz="4" w:space="0" w:color="auto"/>
            </w:tcBorders>
            <w:shd w:val="clear" w:color="auto" w:fill="auto"/>
          </w:tcPr>
          <w:p w14:paraId="1BEF3196" w14:textId="77777777" w:rsidR="00EC1C40" w:rsidRDefault="00000000">
            <w:pPr>
              <w:pStyle w:val="Jin0"/>
              <w:framePr w:w="7666" w:h="12274" w:wrap="none" w:vAnchor="page" w:hAnchor="page" w:x="1801" w:y="1402"/>
              <w:spacing w:after="0"/>
              <w:ind w:firstLine="420"/>
              <w:rPr>
                <w:sz w:val="15"/>
                <w:szCs w:val="15"/>
              </w:rPr>
            </w:pPr>
            <w:r>
              <w:rPr>
                <w:sz w:val="15"/>
                <w:szCs w:val="15"/>
              </w:rPr>
              <w:t>1 188</w:t>
            </w:r>
          </w:p>
        </w:tc>
        <w:tc>
          <w:tcPr>
            <w:tcW w:w="1037" w:type="dxa"/>
            <w:tcBorders>
              <w:top w:val="single" w:sz="4" w:space="0" w:color="auto"/>
              <w:left w:val="single" w:sz="4" w:space="0" w:color="auto"/>
            </w:tcBorders>
            <w:shd w:val="clear" w:color="auto" w:fill="auto"/>
          </w:tcPr>
          <w:p w14:paraId="424E0A2E" w14:textId="77777777" w:rsidR="00EC1C40" w:rsidRDefault="00EC1C40">
            <w:pPr>
              <w:framePr w:w="7666" w:h="12274" w:wrap="none" w:vAnchor="page" w:hAnchor="page" w:x="1801" w:y="1402"/>
              <w:rPr>
                <w:sz w:val="10"/>
                <w:szCs w:val="10"/>
              </w:rPr>
            </w:pPr>
          </w:p>
        </w:tc>
        <w:tc>
          <w:tcPr>
            <w:tcW w:w="1214" w:type="dxa"/>
            <w:tcBorders>
              <w:top w:val="single" w:sz="4" w:space="0" w:color="auto"/>
              <w:left w:val="single" w:sz="4" w:space="0" w:color="auto"/>
            </w:tcBorders>
            <w:shd w:val="clear" w:color="auto" w:fill="auto"/>
          </w:tcPr>
          <w:p w14:paraId="46E95383" w14:textId="77777777" w:rsidR="00EC1C40" w:rsidRDefault="00EC1C40">
            <w:pPr>
              <w:framePr w:w="7666" w:h="12274" w:wrap="none" w:vAnchor="page" w:hAnchor="page" w:x="1801" w:y="1402"/>
              <w:rPr>
                <w:sz w:val="10"/>
                <w:szCs w:val="10"/>
              </w:rPr>
            </w:pPr>
          </w:p>
        </w:tc>
        <w:tc>
          <w:tcPr>
            <w:tcW w:w="1104" w:type="dxa"/>
            <w:tcBorders>
              <w:top w:val="single" w:sz="4" w:space="0" w:color="auto"/>
              <w:left w:val="single" w:sz="4" w:space="0" w:color="auto"/>
              <w:right w:val="single" w:sz="4" w:space="0" w:color="auto"/>
            </w:tcBorders>
            <w:shd w:val="clear" w:color="auto" w:fill="auto"/>
          </w:tcPr>
          <w:p w14:paraId="0035A967" w14:textId="77777777" w:rsidR="00EC1C40" w:rsidRDefault="00EC1C40">
            <w:pPr>
              <w:framePr w:w="7666" w:h="12274" w:wrap="none" w:vAnchor="page" w:hAnchor="page" w:x="1801" w:y="1402"/>
              <w:rPr>
                <w:sz w:val="10"/>
                <w:szCs w:val="10"/>
              </w:rPr>
            </w:pPr>
          </w:p>
        </w:tc>
      </w:tr>
      <w:tr w:rsidR="00EC1C40" w14:paraId="4B6F8C7C" w14:textId="77777777">
        <w:tblPrEx>
          <w:tblCellMar>
            <w:top w:w="0" w:type="dxa"/>
            <w:bottom w:w="0" w:type="dxa"/>
          </w:tblCellMar>
        </w:tblPrEx>
        <w:trPr>
          <w:trHeight w:hRule="exact" w:val="197"/>
        </w:trPr>
        <w:tc>
          <w:tcPr>
            <w:tcW w:w="2640" w:type="dxa"/>
            <w:tcBorders>
              <w:top w:val="single" w:sz="4" w:space="0" w:color="auto"/>
              <w:left w:val="single" w:sz="4" w:space="0" w:color="auto"/>
            </w:tcBorders>
            <w:shd w:val="clear" w:color="auto" w:fill="auto"/>
          </w:tcPr>
          <w:p w14:paraId="7E82C312" w14:textId="77777777" w:rsidR="00EC1C40" w:rsidRDefault="00000000">
            <w:pPr>
              <w:pStyle w:val="Jin0"/>
              <w:framePr w:w="7666" w:h="12274" w:wrap="none" w:vAnchor="page" w:hAnchor="page" w:x="1801" w:y="1402"/>
              <w:spacing w:after="0"/>
              <w:rPr>
                <w:sz w:val="15"/>
                <w:szCs w:val="15"/>
              </w:rPr>
            </w:pPr>
            <w:r>
              <w:rPr>
                <w:sz w:val="15"/>
                <w:szCs w:val="15"/>
              </w:rPr>
              <w:t>TRÉNINKOVÁ HALA ZÁZEMÍ</w:t>
            </w:r>
          </w:p>
        </w:tc>
        <w:tc>
          <w:tcPr>
            <w:tcW w:w="835" w:type="dxa"/>
            <w:tcBorders>
              <w:top w:val="single" w:sz="4" w:space="0" w:color="auto"/>
              <w:left w:val="single" w:sz="4" w:space="0" w:color="auto"/>
            </w:tcBorders>
            <w:shd w:val="clear" w:color="auto" w:fill="auto"/>
          </w:tcPr>
          <w:p w14:paraId="798288FD" w14:textId="77777777" w:rsidR="00EC1C40" w:rsidRDefault="00000000">
            <w:pPr>
              <w:pStyle w:val="Jin0"/>
              <w:framePr w:w="7666" w:h="12274" w:wrap="none" w:vAnchor="page" w:hAnchor="page" w:x="1801" w:y="1402"/>
              <w:spacing w:after="0"/>
              <w:ind w:firstLine="420"/>
              <w:jc w:val="both"/>
              <w:rPr>
                <w:sz w:val="15"/>
                <w:szCs w:val="15"/>
              </w:rPr>
            </w:pPr>
            <w:r>
              <w:rPr>
                <w:sz w:val="15"/>
                <w:szCs w:val="15"/>
              </w:rPr>
              <w:t>2 651</w:t>
            </w:r>
          </w:p>
        </w:tc>
        <w:tc>
          <w:tcPr>
            <w:tcW w:w="835" w:type="dxa"/>
            <w:tcBorders>
              <w:top w:val="single" w:sz="4" w:space="0" w:color="auto"/>
              <w:left w:val="single" w:sz="4" w:space="0" w:color="auto"/>
            </w:tcBorders>
            <w:shd w:val="clear" w:color="auto" w:fill="auto"/>
          </w:tcPr>
          <w:p w14:paraId="1FCE5111" w14:textId="77777777" w:rsidR="00EC1C40" w:rsidRDefault="00000000">
            <w:pPr>
              <w:pStyle w:val="Jin0"/>
              <w:framePr w:w="7666" w:h="12274" w:wrap="none" w:vAnchor="page" w:hAnchor="page" w:x="1801" w:y="1402"/>
              <w:spacing w:after="0"/>
              <w:ind w:firstLine="420"/>
              <w:rPr>
                <w:sz w:val="15"/>
                <w:szCs w:val="15"/>
              </w:rPr>
            </w:pPr>
            <w:r>
              <w:rPr>
                <w:sz w:val="15"/>
                <w:szCs w:val="15"/>
              </w:rPr>
              <w:t>2 651</w:t>
            </w:r>
          </w:p>
        </w:tc>
        <w:tc>
          <w:tcPr>
            <w:tcW w:w="1037" w:type="dxa"/>
            <w:tcBorders>
              <w:top w:val="single" w:sz="4" w:space="0" w:color="auto"/>
              <w:left w:val="single" w:sz="4" w:space="0" w:color="auto"/>
            </w:tcBorders>
            <w:shd w:val="clear" w:color="auto" w:fill="auto"/>
          </w:tcPr>
          <w:p w14:paraId="4908B618" w14:textId="77777777" w:rsidR="00EC1C40" w:rsidRDefault="00EC1C40">
            <w:pPr>
              <w:framePr w:w="7666" w:h="12274" w:wrap="none" w:vAnchor="page" w:hAnchor="page" w:x="1801" w:y="1402"/>
              <w:rPr>
                <w:sz w:val="10"/>
                <w:szCs w:val="10"/>
              </w:rPr>
            </w:pPr>
          </w:p>
        </w:tc>
        <w:tc>
          <w:tcPr>
            <w:tcW w:w="1214" w:type="dxa"/>
            <w:tcBorders>
              <w:top w:val="single" w:sz="4" w:space="0" w:color="auto"/>
              <w:left w:val="single" w:sz="4" w:space="0" w:color="auto"/>
            </w:tcBorders>
            <w:shd w:val="clear" w:color="auto" w:fill="auto"/>
          </w:tcPr>
          <w:p w14:paraId="6E3E840B" w14:textId="77777777" w:rsidR="00EC1C40" w:rsidRDefault="00EC1C40">
            <w:pPr>
              <w:framePr w:w="7666" w:h="12274" w:wrap="none" w:vAnchor="page" w:hAnchor="page" w:x="1801" w:y="1402"/>
              <w:rPr>
                <w:sz w:val="10"/>
                <w:szCs w:val="10"/>
              </w:rPr>
            </w:pPr>
          </w:p>
        </w:tc>
        <w:tc>
          <w:tcPr>
            <w:tcW w:w="1104" w:type="dxa"/>
            <w:tcBorders>
              <w:top w:val="single" w:sz="4" w:space="0" w:color="auto"/>
              <w:left w:val="single" w:sz="4" w:space="0" w:color="auto"/>
              <w:right w:val="single" w:sz="4" w:space="0" w:color="auto"/>
            </w:tcBorders>
            <w:shd w:val="clear" w:color="auto" w:fill="auto"/>
          </w:tcPr>
          <w:p w14:paraId="6F5C8537" w14:textId="77777777" w:rsidR="00EC1C40" w:rsidRDefault="00EC1C40">
            <w:pPr>
              <w:framePr w:w="7666" w:h="12274" w:wrap="none" w:vAnchor="page" w:hAnchor="page" w:x="1801" w:y="1402"/>
              <w:rPr>
                <w:sz w:val="10"/>
                <w:szCs w:val="10"/>
              </w:rPr>
            </w:pPr>
          </w:p>
        </w:tc>
      </w:tr>
      <w:tr w:rsidR="00EC1C40" w14:paraId="02A6DC30" w14:textId="77777777">
        <w:tblPrEx>
          <w:tblCellMar>
            <w:top w:w="0" w:type="dxa"/>
            <w:bottom w:w="0" w:type="dxa"/>
          </w:tblCellMar>
        </w:tblPrEx>
        <w:trPr>
          <w:trHeight w:hRule="exact" w:val="192"/>
        </w:trPr>
        <w:tc>
          <w:tcPr>
            <w:tcW w:w="2640" w:type="dxa"/>
            <w:tcBorders>
              <w:top w:val="single" w:sz="4" w:space="0" w:color="auto"/>
              <w:left w:val="single" w:sz="4" w:space="0" w:color="auto"/>
            </w:tcBorders>
            <w:shd w:val="clear" w:color="auto" w:fill="auto"/>
          </w:tcPr>
          <w:p w14:paraId="116D547B" w14:textId="77777777" w:rsidR="00EC1C40" w:rsidRDefault="00000000">
            <w:pPr>
              <w:pStyle w:val="Jin0"/>
              <w:framePr w:w="7666" w:h="12274" w:wrap="none" w:vAnchor="page" w:hAnchor="page" w:x="1801" w:y="1402"/>
              <w:spacing w:after="0"/>
              <w:rPr>
                <w:sz w:val="15"/>
                <w:szCs w:val="15"/>
              </w:rPr>
            </w:pPr>
            <w:r>
              <w:rPr>
                <w:b/>
                <w:bCs/>
                <w:sz w:val="15"/>
                <w:szCs w:val="15"/>
              </w:rPr>
              <w:t>2NP</w:t>
            </w:r>
          </w:p>
        </w:tc>
        <w:tc>
          <w:tcPr>
            <w:tcW w:w="835" w:type="dxa"/>
            <w:tcBorders>
              <w:top w:val="single" w:sz="4" w:space="0" w:color="auto"/>
              <w:left w:val="single" w:sz="4" w:space="0" w:color="auto"/>
            </w:tcBorders>
            <w:shd w:val="clear" w:color="auto" w:fill="auto"/>
          </w:tcPr>
          <w:p w14:paraId="2A4EA796" w14:textId="77777777" w:rsidR="00EC1C40" w:rsidRDefault="00000000">
            <w:pPr>
              <w:pStyle w:val="Jin0"/>
              <w:framePr w:w="7666" w:h="12274" w:wrap="none" w:vAnchor="page" w:hAnchor="page" w:x="1801" w:y="1402"/>
              <w:spacing w:after="0"/>
              <w:ind w:firstLine="420"/>
              <w:jc w:val="both"/>
              <w:rPr>
                <w:sz w:val="15"/>
                <w:szCs w:val="15"/>
              </w:rPr>
            </w:pPr>
            <w:r>
              <w:rPr>
                <w:b/>
                <w:bCs/>
                <w:sz w:val="15"/>
                <w:szCs w:val="15"/>
              </w:rPr>
              <w:t>1 569</w:t>
            </w:r>
          </w:p>
        </w:tc>
        <w:tc>
          <w:tcPr>
            <w:tcW w:w="835" w:type="dxa"/>
            <w:tcBorders>
              <w:top w:val="single" w:sz="4" w:space="0" w:color="auto"/>
              <w:left w:val="single" w:sz="4" w:space="0" w:color="auto"/>
            </w:tcBorders>
            <w:shd w:val="clear" w:color="auto" w:fill="auto"/>
          </w:tcPr>
          <w:p w14:paraId="267FE21C" w14:textId="77777777" w:rsidR="00EC1C40" w:rsidRDefault="00EC1C40">
            <w:pPr>
              <w:framePr w:w="7666" w:h="12274" w:wrap="none" w:vAnchor="page" w:hAnchor="page" w:x="1801" w:y="1402"/>
              <w:rPr>
                <w:sz w:val="10"/>
                <w:szCs w:val="10"/>
              </w:rPr>
            </w:pPr>
          </w:p>
        </w:tc>
        <w:tc>
          <w:tcPr>
            <w:tcW w:w="1037" w:type="dxa"/>
            <w:tcBorders>
              <w:top w:val="single" w:sz="4" w:space="0" w:color="auto"/>
              <w:left w:val="single" w:sz="4" w:space="0" w:color="auto"/>
            </w:tcBorders>
            <w:shd w:val="clear" w:color="auto" w:fill="auto"/>
          </w:tcPr>
          <w:p w14:paraId="131223FE" w14:textId="77777777" w:rsidR="00EC1C40" w:rsidRDefault="00EC1C40">
            <w:pPr>
              <w:framePr w:w="7666" w:h="12274" w:wrap="none" w:vAnchor="page" w:hAnchor="page" w:x="1801" w:y="1402"/>
              <w:rPr>
                <w:sz w:val="10"/>
                <w:szCs w:val="10"/>
              </w:rPr>
            </w:pPr>
          </w:p>
        </w:tc>
        <w:tc>
          <w:tcPr>
            <w:tcW w:w="1214" w:type="dxa"/>
            <w:tcBorders>
              <w:top w:val="single" w:sz="4" w:space="0" w:color="auto"/>
              <w:left w:val="single" w:sz="4" w:space="0" w:color="auto"/>
            </w:tcBorders>
            <w:shd w:val="clear" w:color="auto" w:fill="auto"/>
          </w:tcPr>
          <w:p w14:paraId="39FB7641" w14:textId="77777777" w:rsidR="00EC1C40" w:rsidRDefault="00EC1C40">
            <w:pPr>
              <w:framePr w:w="7666" w:h="12274" w:wrap="none" w:vAnchor="page" w:hAnchor="page" w:x="1801" w:y="1402"/>
              <w:rPr>
                <w:sz w:val="10"/>
                <w:szCs w:val="10"/>
              </w:rPr>
            </w:pPr>
          </w:p>
        </w:tc>
        <w:tc>
          <w:tcPr>
            <w:tcW w:w="1104" w:type="dxa"/>
            <w:tcBorders>
              <w:top w:val="single" w:sz="4" w:space="0" w:color="auto"/>
              <w:left w:val="single" w:sz="4" w:space="0" w:color="auto"/>
              <w:right w:val="single" w:sz="4" w:space="0" w:color="auto"/>
            </w:tcBorders>
            <w:shd w:val="clear" w:color="auto" w:fill="auto"/>
          </w:tcPr>
          <w:p w14:paraId="7EF4712E" w14:textId="77777777" w:rsidR="00EC1C40" w:rsidRDefault="00EC1C40">
            <w:pPr>
              <w:framePr w:w="7666" w:h="12274" w:wrap="none" w:vAnchor="page" w:hAnchor="page" w:x="1801" w:y="1402"/>
              <w:rPr>
                <w:sz w:val="10"/>
                <w:szCs w:val="10"/>
              </w:rPr>
            </w:pPr>
          </w:p>
        </w:tc>
      </w:tr>
      <w:tr w:rsidR="00EC1C40" w14:paraId="6B7E5E56" w14:textId="77777777">
        <w:tblPrEx>
          <w:tblCellMar>
            <w:top w:w="0" w:type="dxa"/>
            <w:bottom w:w="0" w:type="dxa"/>
          </w:tblCellMar>
        </w:tblPrEx>
        <w:trPr>
          <w:trHeight w:hRule="exact" w:val="192"/>
        </w:trPr>
        <w:tc>
          <w:tcPr>
            <w:tcW w:w="2640" w:type="dxa"/>
            <w:tcBorders>
              <w:top w:val="single" w:sz="4" w:space="0" w:color="auto"/>
              <w:left w:val="single" w:sz="4" w:space="0" w:color="auto"/>
            </w:tcBorders>
            <w:shd w:val="clear" w:color="auto" w:fill="auto"/>
          </w:tcPr>
          <w:p w14:paraId="5659D542" w14:textId="77777777" w:rsidR="00EC1C40" w:rsidRDefault="00000000">
            <w:pPr>
              <w:pStyle w:val="Jin0"/>
              <w:framePr w:w="7666" w:h="12274" w:wrap="none" w:vAnchor="page" w:hAnchor="page" w:x="1801" w:y="1402"/>
              <w:spacing w:after="0"/>
              <w:rPr>
                <w:sz w:val="15"/>
                <w:szCs w:val="15"/>
              </w:rPr>
            </w:pPr>
            <w:r>
              <w:rPr>
                <w:sz w:val="15"/>
                <w:szCs w:val="15"/>
              </w:rPr>
              <w:t>TRÉNINKOVÁ HALA VEŘEJNOST</w:t>
            </w:r>
          </w:p>
        </w:tc>
        <w:tc>
          <w:tcPr>
            <w:tcW w:w="835" w:type="dxa"/>
            <w:tcBorders>
              <w:top w:val="single" w:sz="4" w:space="0" w:color="auto"/>
              <w:left w:val="single" w:sz="4" w:space="0" w:color="auto"/>
            </w:tcBorders>
            <w:shd w:val="clear" w:color="auto" w:fill="auto"/>
          </w:tcPr>
          <w:p w14:paraId="4F572B2E" w14:textId="77777777" w:rsidR="00EC1C40" w:rsidRDefault="00000000">
            <w:pPr>
              <w:pStyle w:val="Jin0"/>
              <w:framePr w:w="7666" w:h="12274" w:wrap="none" w:vAnchor="page" w:hAnchor="page" w:x="1801" w:y="1402"/>
              <w:spacing w:after="0"/>
              <w:ind w:firstLine="420"/>
              <w:jc w:val="both"/>
              <w:rPr>
                <w:sz w:val="15"/>
                <w:szCs w:val="15"/>
              </w:rPr>
            </w:pPr>
            <w:r>
              <w:rPr>
                <w:sz w:val="15"/>
                <w:szCs w:val="15"/>
              </w:rPr>
              <w:t>1 526</w:t>
            </w:r>
          </w:p>
        </w:tc>
        <w:tc>
          <w:tcPr>
            <w:tcW w:w="835" w:type="dxa"/>
            <w:tcBorders>
              <w:top w:val="single" w:sz="4" w:space="0" w:color="auto"/>
              <w:left w:val="single" w:sz="4" w:space="0" w:color="auto"/>
            </w:tcBorders>
            <w:shd w:val="clear" w:color="auto" w:fill="auto"/>
          </w:tcPr>
          <w:p w14:paraId="5E206B43" w14:textId="77777777" w:rsidR="00EC1C40" w:rsidRDefault="00000000">
            <w:pPr>
              <w:pStyle w:val="Jin0"/>
              <w:framePr w:w="7666" w:h="12274" w:wrap="none" w:vAnchor="page" w:hAnchor="page" w:x="1801" w:y="1402"/>
              <w:spacing w:after="0"/>
              <w:ind w:firstLine="420"/>
              <w:rPr>
                <w:sz w:val="15"/>
                <w:szCs w:val="15"/>
              </w:rPr>
            </w:pPr>
            <w:r>
              <w:rPr>
                <w:sz w:val="15"/>
                <w:szCs w:val="15"/>
              </w:rPr>
              <w:t>1 526</w:t>
            </w:r>
          </w:p>
        </w:tc>
        <w:tc>
          <w:tcPr>
            <w:tcW w:w="1037" w:type="dxa"/>
            <w:tcBorders>
              <w:top w:val="single" w:sz="4" w:space="0" w:color="auto"/>
              <w:left w:val="single" w:sz="4" w:space="0" w:color="auto"/>
            </w:tcBorders>
            <w:shd w:val="clear" w:color="auto" w:fill="auto"/>
          </w:tcPr>
          <w:p w14:paraId="1CBFC43B" w14:textId="77777777" w:rsidR="00EC1C40" w:rsidRDefault="00EC1C40">
            <w:pPr>
              <w:framePr w:w="7666" w:h="12274" w:wrap="none" w:vAnchor="page" w:hAnchor="page" w:x="1801" w:y="1402"/>
              <w:rPr>
                <w:sz w:val="10"/>
                <w:szCs w:val="10"/>
              </w:rPr>
            </w:pPr>
          </w:p>
        </w:tc>
        <w:tc>
          <w:tcPr>
            <w:tcW w:w="1214" w:type="dxa"/>
            <w:tcBorders>
              <w:top w:val="single" w:sz="4" w:space="0" w:color="auto"/>
              <w:left w:val="single" w:sz="4" w:space="0" w:color="auto"/>
            </w:tcBorders>
            <w:shd w:val="clear" w:color="auto" w:fill="auto"/>
          </w:tcPr>
          <w:p w14:paraId="03D7CB94" w14:textId="77777777" w:rsidR="00EC1C40" w:rsidRDefault="00EC1C40">
            <w:pPr>
              <w:framePr w:w="7666" w:h="12274" w:wrap="none" w:vAnchor="page" w:hAnchor="page" w:x="1801" w:y="1402"/>
              <w:rPr>
                <w:sz w:val="10"/>
                <w:szCs w:val="10"/>
              </w:rPr>
            </w:pPr>
          </w:p>
        </w:tc>
        <w:tc>
          <w:tcPr>
            <w:tcW w:w="1104" w:type="dxa"/>
            <w:tcBorders>
              <w:top w:val="single" w:sz="4" w:space="0" w:color="auto"/>
              <w:left w:val="single" w:sz="4" w:space="0" w:color="auto"/>
              <w:right w:val="single" w:sz="4" w:space="0" w:color="auto"/>
            </w:tcBorders>
            <w:shd w:val="clear" w:color="auto" w:fill="auto"/>
          </w:tcPr>
          <w:p w14:paraId="08A98C77" w14:textId="77777777" w:rsidR="00EC1C40" w:rsidRDefault="00EC1C40">
            <w:pPr>
              <w:framePr w:w="7666" w:h="12274" w:wrap="none" w:vAnchor="page" w:hAnchor="page" w:x="1801" w:y="1402"/>
              <w:rPr>
                <w:sz w:val="10"/>
                <w:szCs w:val="10"/>
              </w:rPr>
            </w:pPr>
          </w:p>
        </w:tc>
      </w:tr>
      <w:tr w:rsidR="00EC1C40" w14:paraId="601423B2" w14:textId="77777777">
        <w:tblPrEx>
          <w:tblCellMar>
            <w:top w:w="0" w:type="dxa"/>
            <w:bottom w:w="0" w:type="dxa"/>
          </w:tblCellMar>
        </w:tblPrEx>
        <w:trPr>
          <w:trHeight w:hRule="exact" w:val="197"/>
        </w:trPr>
        <w:tc>
          <w:tcPr>
            <w:tcW w:w="2640" w:type="dxa"/>
            <w:tcBorders>
              <w:top w:val="single" w:sz="4" w:space="0" w:color="auto"/>
              <w:left w:val="single" w:sz="4" w:space="0" w:color="auto"/>
            </w:tcBorders>
            <w:shd w:val="clear" w:color="auto" w:fill="auto"/>
          </w:tcPr>
          <w:p w14:paraId="69F5F06B" w14:textId="77777777" w:rsidR="00EC1C40" w:rsidRDefault="00000000">
            <w:pPr>
              <w:pStyle w:val="Jin0"/>
              <w:framePr w:w="7666" w:h="12274" w:wrap="none" w:vAnchor="page" w:hAnchor="page" w:x="1801" w:y="1402"/>
              <w:spacing w:after="0"/>
              <w:rPr>
                <w:sz w:val="15"/>
                <w:szCs w:val="15"/>
              </w:rPr>
            </w:pPr>
            <w:r>
              <w:rPr>
                <w:sz w:val="15"/>
                <w:szCs w:val="15"/>
              </w:rPr>
              <w:t>TRÉNINKOVÁ HALA ZÁZEMÍ</w:t>
            </w:r>
          </w:p>
        </w:tc>
        <w:tc>
          <w:tcPr>
            <w:tcW w:w="835" w:type="dxa"/>
            <w:tcBorders>
              <w:top w:val="single" w:sz="4" w:space="0" w:color="auto"/>
              <w:left w:val="single" w:sz="4" w:space="0" w:color="auto"/>
            </w:tcBorders>
            <w:shd w:val="clear" w:color="auto" w:fill="auto"/>
          </w:tcPr>
          <w:p w14:paraId="1B15175C" w14:textId="77777777" w:rsidR="00EC1C40" w:rsidRDefault="00000000">
            <w:pPr>
              <w:pStyle w:val="Jin0"/>
              <w:framePr w:w="7666" w:h="12274" w:wrap="none" w:vAnchor="page" w:hAnchor="page" w:x="1801" w:y="1402"/>
              <w:spacing w:after="0"/>
              <w:ind w:firstLine="600"/>
              <w:jc w:val="both"/>
              <w:rPr>
                <w:sz w:val="15"/>
                <w:szCs w:val="15"/>
              </w:rPr>
            </w:pPr>
            <w:r>
              <w:rPr>
                <w:sz w:val="15"/>
                <w:szCs w:val="15"/>
              </w:rPr>
              <w:t>43</w:t>
            </w:r>
          </w:p>
        </w:tc>
        <w:tc>
          <w:tcPr>
            <w:tcW w:w="835" w:type="dxa"/>
            <w:tcBorders>
              <w:top w:val="single" w:sz="4" w:space="0" w:color="auto"/>
              <w:left w:val="single" w:sz="4" w:space="0" w:color="auto"/>
            </w:tcBorders>
            <w:shd w:val="clear" w:color="auto" w:fill="auto"/>
          </w:tcPr>
          <w:p w14:paraId="132DD9C6" w14:textId="77777777" w:rsidR="00EC1C40" w:rsidRDefault="00000000">
            <w:pPr>
              <w:pStyle w:val="Jin0"/>
              <w:framePr w:w="7666" w:h="12274" w:wrap="none" w:vAnchor="page" w:hAnchor="page" w:x="1801" w:y="1402"/>
              <w:spacing w:after="0"/>
              <w:jc w:val="right"/>
              <w:rPr>
                <w:sz w:val="15"/>
                <w:szCs w:val="15"/>
              </w:rPr>
            </w:pPr>
            <w:r>
              <w:rPr>
                <w:sz w:val="15"/>
                <w:szCs w:val="15"/>
              </w:rPr>
              <w:t>43</w:t>
            </w:r>
          </w:p>
        </w:tc>
        <w:tc>
          <w:tcPr>
            <w:tcW w:w="1037" w:type="dxa"/>
            <w:tcBorders>
              <w:top w:val="single" w:sz="4" w:space="0" w:color="auto"/>
              <w:left w:val="single" w:sz="4" w:space="0" w:color="auto"/>
            </w:tcBorders>
            <w:shd w:val="clear" w:color="auto" w:fill="auto"/>
          </w:tcPr>
          <w:p w14:paraId="610840FE" w14:textId="77777777" w:rsidR="00EC1C40" w:rsidRDefault="00EC1C40">
            <w:pPr>
              <w:framePr w:w="7666" w:h="12274" w:wrap="none" w:vAnchor="page" w:hAnchor="page" w:x="1801" w:y="1402"/>
              <w:rPr>
                <w:sz w:val="10"/>
                <w:szCs w:val="10"/>
              </w:rPr>
            </w:pPr>
          </w:p>
        </w:tc>
        <w:tc>
          <w:tcPr>
            <w:tcW w:w="1214" w:type="dxa"/>
            <w:tcBorders>
              <w:top w:val="single" w:sz="4" w:space="0" w:color="auto"/>
              <w:left w:val="single" w:sz="4" w:space="0" w:color="auto"/>
            </w:tcBorders>
            <w:shd w:val="clear" w:color="auto" w:fill="auto"/>
          </w:tcPr>
          <w:p w14:paraId="14B235BB" w14:textId="77777777" w:rsidR="00EC1C40" w:rsidRDefault="00EC1C40">
            <w:pPr>
              <w:framePr w:w="7666" w:h="12274" w:wrap="none" w:vAnchor="page" w:hAnchor="page" w:x="1801" w:y="1402"/>
              <w:rPr>
                <w:sz w:val="10"/>
                <w:szCs w:val="10"/>
              </w:rPr>
            </w:pPr>
          </w:p>
        </w:tc>
        <w:tc>
          <w:tcPr>
            <w:tcW w:w="1104" w:type="dxa"/>
            <w:tcBorders>
              <w:top w:val="single" w:sz="4" w:space="0" w:color="auto"/>
              <w:left w:val="single" w:sz="4" w:space="0" w:color="auto"/>
              <w:right w:val="single" w:sz="4" w:space="0" w:color="auto"/>
            </w:tcBorders>
            <w:shd w:val="clear" w:color="auto" w:fill="auto"/>
          </w:tcPr>
          <w:p w14:paraId="13C3F82A" w14:textId="77777777" w:rsidR="00EC1C40" w:rsidRDefault="00EC1C40">
            <w:pPr>
              <w:framePr w:w="7666" w:h="12274" w:wrap="none" w:vAnchor="page" w:hAnchor="page" w:x="1801" w:y="1402"/>
              <w:rPr>
                <w:sz w:val="10"/>
                <w:szCs w:val="10"/>
              </w:rPr>
            </w:pPr>
          </w:p>
        </w:tc>
      </w:tr>
      <w:tr w:rsidR="00EC1C40" w14:paraId="2F767922" w14:textId="77777777">
        <w:tblPrEx>
          <w:tblCellMar>
            <w:top w:w="0" w:type="dxa"/>
            <w:bottom w:w="0" w:type="dxa"/>
          </w:tblCellMar>
        </w:tblPrEx>
        <w:trPr>
          <w:trHeight w:hRule="exact" w:val="192"/>
        </w:trPr>
        <w:tc>
          <w:tcPr>
            <w:tcW w:w="2640" w:type="dxa"/>
            <w:tcBorders>
              <w:top w:val="single" w:sz="4" w:space="0" w:color="auto"/>
              <w:left w:val="single" w:sz="4" w:space="0" w:color="auto"/>
            </w:tcBorders>
            <w:shd w:val="clear" w:color="auto" w:fill="auto"/>
          </w:tcPr>
          <w:p w14:paraId="7FAA4597" w14:textId="77777777" w:rsidR="00EC1C40" w:rsidRDefault="00000000">
            <w:pPr>
              <w:pStyle w:val="Jin0"/>
              <w:framePr w:w="7666" w:h="12274" w:wrap="none" w:vAnchor="page" w:hAnchor="page" w:x="1801" w:y="1402"/>
              <w:spacing w:after="0"/>
              <w:rPr>
                <w:sz w:val="15"/>
                <w:szCs w:val="15"/>
              </w:rPr>
            </w:pPr>
            <w:r>
              <w:rPr>
                <w:b/>
                <w:bCs/>
                <w:sz w:val="15"/>
                <w:szCs w:val="15"/>
              </w:rPr>
              <w:t>3NP</w:t>
            </w:r>
          </w:p>
        </w:tc>
        <w:tc>
          <w:tcPr>
            <w:tcW w:w="835" w:type="dxa"/>
            <w:tcBorders>
              <w:top w:val="single" w:sz="4" w:space="0" w:color="auto"/>
              <w:left w:val="single" w:sz="4" w:space="0" w:color="auto"/>
            </w:tcBorders>
            <w:shd w:val="clear" w:color="auto" w:fill="auto"/>
          </w:tcPr>
          <w:p w14:paraId="423CC191" w14:textId="77777777" w:rsidR="00EC1C40" w:rsidRDefault="00000000">
            <w:pPr>
              <w:pStyle w:val="Jin0"/>
              <w:framePr w:w="7666" w:h="12274" w:wrap="none" w:vAnchor="page" w:hAnchor="page" w:x="1801" w:y="1402"/>
              <w:spacing w:after="0"/>
              <w:ind w:firstLine="540"/>
              <w:jc w:val="both"/>
              <w:rPr>
                <w:sz w:val="15"/>
                <w:szCs w:val="15"/>
              </w:rPr>
            </w:pPr>
            <w:r>
              <w:rPr>
                <w:b/>
                <w:bCs/>
                <w:sz w:val="15"/>
                <w:szCs w:val="15"/>
              </w:rPr>
              <w:t>664</w:t>
            </w:r>
          </w:p>
        </w:tc>
        <w:tc>
          <w:tcPr>
            <w:tcW w:w="835" w:type="dxa"/>
            <w:tcBorders>
              <w:top w:val="single" w:sz="4" w:space="0" w:color="auto"/>
              <w:left w:val="single" w:sz="4" w:space="0" w:color="auto"/>
            </w:tcBorders>
            <w:shd w:val="clear" w:color="auto" w:fill="auto"/>
          </w:tcPr>
          <w:p w14:paraId="2FDAC080" w14:textId="77777777" w:rsidR="00EC1C40" w:rsidRDefault="00EC1C40">
            <w:pPr>
              <w:framePr w:w="7666" w:h="12274" w:wrap="none" w:vAnchor="page" w:hAnchor="page" w:x="1801" w:y="1402"/>
              <w:rPr>
                <w:sz w:val="10"/>
                <w:szCs w:val="10"/>
              </w:rPr>
            </w:pPr>
          </w:p>
        </w:tc>
        <w:tc>
          <w:tcPr>
            <w:tcW w:w="1037" w:type="dxa"/>
            <w:tcBorders>
              <w:top w:val="single" w:sz="4" w:space="0" w:color="auto"/>
              <w:left w:val="single" w:sz="4" w:space="0" w:color="auto"/>
            </w:tcBorders>
            <w:shd w:val="clear" w:color="auto" w:fill="auto"/>
          </w:tcPr>
          <w:p w14:paraId="7617CCC2" w14:textId="77777777" w:rsidR="00EC1C40" w:rsidRDefault="00EC1C40">
            <w:pPr>
              <w:framePr w:w="7666" w:h="12274" w:wrap="none" w:vAnchor="page" w:hAnchor="page" w:x="1801" w:y="1402"/>
              <w:rPr>
                <w:sz w:val="10"/>
                <w:szCs w:val="10"/>
              </w:rPr>
            </w:pPr>
          </w:p>
        </w:tc>
        <w:tc>
          <w:tcPr>
            <w:tcW w:w="1214" w:type="dxa"/>
            <w:tcBorders>
              <w:top w:val="single" w:sz="4" w:space="0" w:color="auto"/>
              <w:left w:val="single" w:sz="4" w:space="0" w:color="auto"/>
            </w:tcBorders>
            <w:shd w:val="clear" w:color="auto" w:fill="auto"/>
          </w:tcPr>
          <w:p w14:paraId="0A171BA7" w14:textId="77777777" w:rsidR="00EC1C40" w:rsidRDefault="00EC1C40">
            <w:pPr>
              <w:framePr w:w="7666" w:h="12274" w:wrap="none" w:vAnchor="page" w:hAnchor="page" w:x="1801" w:y="1402"/>
              <w:rPr>
                <w:sz w:val="10"/>
                <w:szCs w:val="10"/>
              </w:rPr>
            </w:pPr>
          </w:p>
        </w:tc>
        <w:tc>
          <w:tcPr>
            <w:tcW w:w="1104" w:type="dxa"/>
            <w:tcBorders>
              <w:top w:val="single" w:sz="4" w:space="0" w:color="auto"/>
              <w:left w:val="single" w:sz="4" w:space="0" w:color="auto"/>
              <w:right w:val="single" w:sz="4" w:space="0" w:color="auto"/>
            </w:tcBorders>
            <w:shd w:val="clear" w:color="auto" w:fill="auto"/>
          </w:tcPr>
          <w:p w14:paraId="338C7BCF" w14:textId="77777777" w:rsidR="00EC1C40" w:rsidRDefault="00EC1C40">
            <w:pPr>
              <w:framePr w:w="7666" w:h="12274" w:wrap="none" w:vAnchor="page" w:hAnchor="page" w:x="1801" w:y="1402"/>
              <w:rPr>
                <w:sz w:val="10"/>
                <w:szCs w:val="10"/>
              </w:rPr>
            </w:pPr>
          </w:p>
        </w:tc>
      </w:tr>
      <w:tr w:rsidR="00EC1C40" w14:paraId="32AB236B" w14:textId="77777777">
        <w:tblPrEx>
          <w:tblCellMar>
            <w:top w:w="0" w:type="dxa"/>
            <w:bottom w:w="0" w:type="dxa"/>
          </w:tblCellMar>
        </w:tblPrEx>
        <w:trPr>
          <w:trHeight w:hRule="exact" w:val="197"/>
        </w:trPr>
        <w:tc>
          <w:tcPr>
            <w:tcW w:w="2640" w:type="dxa"/>
            <w:tcBorders>
              <w:top w:val="single" w:sz="4" w:space="0" w:color="auto"/>
              <w:left w:val="single" w:sz="4" w:space="0" w:color="auto"/>
            </w:tcBorders>
            <w:shd w:val="clear" w:color="auto" w:fill="auto"/>
          </w:tcPr>
          <w:p w14:paraId="6F11EB62" w14:textId="77777777" w:rsidR="00EC1C40" w:rsidRDefault="00000000">
            <w:pPr>
              <w:pStyle w:val="Jin0"/>
              <w:framePr w:w="7666" w:h="12274" w:wrap="none" w:vAnchor="page" w:hAnchor="page" w:x="1801" w:y="1402"/>
              <w:spacing w:after="0"/>
              <w:rPr>
                <w:sz w:val="15"/>
                <w:szCs w:val="15"/>
              </w:rPr>
            </w:pPr>
            <w:r>
              <w:rPr>
                <w:sz w:val="15"/>
                <w:szCs w:val="15"/>
              </w:rPr>
              <w:t>TRÉNINKOVÁ HALA VEŘEJNOST</w:t>
            </w:r>
          </w:p>
        </w:tc>
        <w:tc>
          <w:tcPr>
            <w:tcW w:w="835" w:type="dxa"/>
            <w:tcBorders>
              <w:top w:val="single" w:sz="4" w:space="0" w:color="auto"/>
              <w:left w:val="single" w:sz="4" w:space="0" w:color="auto"/>
            </w:tcBorders>
            <w:shd w:val="clear" w:color="auto" w:fill="auto"/>
          </w:tcPr>
          <w:p w14:paraId="1D800D3C" w14:textId="77777777" w:rsidR="00EC1C40" w:rsidRDefault="00000000">
            <w:pPr>
              <w:pStyle w:val="Jin0"/>
              <w:framePr w:w="7666" w:h="12274" w:wrap="none" w:vAnchor="page" w:hAnchor="page" w:x="1801" w:y="1402"/>
              <w:spacing w:after="0"/>
              <w:ind w:firstLine="540"/>
              <w:jc w:val="both"/>
              <w:rPr>
                <w:sz w:val="15"/>
                <w:szCs w:val="15"/>
              </w:rPr>
            </w:pPr>
            <w:r>
              <w:rPr>
                <w:sz w:val="15"/>
                <w:szCs w:val="15"/>
              </w:rPr>
              <w:t>183</w:t>
            </w:r>
          </w:p>
        </w:tc>
        <w:tc>
          <w:tcPr>
            <w:tcW w:w="835" w:type="dxa"/>
            <w:tcBorders>
              <w:top w:val="single" w:sz="4" w:space="0" w:color="auto"/>
              <w:left w:val="single" w:sz="4" w:space="0" w:color="auto"/>
            </w:tcBorders>
            <w:shd w:val="clear" w:color="auto" w:fill="auto"/>
          </w:tcPr>
          <w:p w14:paraId="5488695F" w14:textId="77777777" w:rsidR="00EC1C40" w:rsidRDefault="00000000">
            <w:pPr>
              <w:pStyle w:val="Jin0"/>
              <w:framePr w:w="7666" w:h="12274" w:wrap="none" w:vAnchor="page" w:hAnchor="page" w:x="1801" w:y="1402"/>
              <w:spacing w:after="0"/>
              <w:ind w:firstLine="540"/>
              <w:rPr>
                <w:sz w:val="15"/>
                <w:szCs w:val="15"/>
              </w:rPr>
            </w:pPr>
            <w:r>
              <w:rPr>
                <w:sz w:val="15"/>
                <w:szCs w:val="15"/>
              </w:rPr>
              <w:t>183</w:t>
            </w:r>
          </w:p>
        </w:tc>
        <w:tc>
          <w:tcPr>
            <w:tcW w:w="1037" w:type="dxa"/>
            <w:tcBorders>
              <w:top w:val="single" w:sz="4" w:space="0" w:color="auto"/>
              <w:left w:val="single" w:sz="4" w:space="0" w:color="auto"/>
            </w:tcBorders>
            <w:shd w:val="clear" w:color="auto" w:fill="auto"/>
          </w:tcPr>
          <w:p w14:paraId="103F52A8" w14:textId="77777777" w:rsidR="00EC1C40" w:rsidRDefault="00EC1C40">
            <w:pPr>
              <w:framePr w:w="7666" w:h="12274" w:wrap="none" w:vAnchor="page" w:hAnchor="page" w:x="1801" w:y="1402"/>
              <w:rPr>
                <w:sz w:val="10"/>
                <w:szCs w:val="10"/>
              </w:rPr>
            </w:pPr>
          </w:p>
        </w:tc>
        <w:tc>
          <w:tcPr>
            <w:tcW w:w="1214" w:type="dxa"/>
            <w:tcBorders>
              <w:top w:val="single" w:sz="4" w:space="0" w:color="auto"/>
              <w:left w:val="single" w:sz="4" w:space="0" w:color="auto"/>
            </w:tcBorders>
            <w:shd w:val="clear" w:color="auto" w:fill="auto"/>
          </w:tcPr>
          <w:p w14:paraId="6852B525" w14:textId="77777777" w:rsidR="00EC1C40" w:rsidRDefault="00EC1C40">
            <w:pPr>
              <w:framePr w:w="7666" w:h="12274" w:wrap="none" w:vAnchor="page" w:hAnchor="page" w:x="1801" w:y="1402"/>
              <w:rPr>
                <w:sz w:val="10"/>
                <w:szCs w:val="10"/>
              </w:rPr>
            </w:pPr>
          </w:p>
        </w:tc>
        <w:tc>
          <w:tcPr>
            <w:tcW w:w="1104" w:type="dxa"/>
            <w:tcBorders>
              <w:top w:val="single" w:sz="4" w:space="0" w:color="auto"/>
              <w:left w:val="single" w:sz="4" w:space="0" w:color="auto"/>
              <w:right w:val="single" w:sz="4" w:space="0" w:color="auto"/>
            </w:tcBorders>
            <w:shd w:val="clear" w:color="auto" w:fill="auto"/>
          </w:tcPr>
          <w:p w14:paraId="47FC3C89" w14:textId="77777777" w:rsidR="00EC1C40" w:rsidRDefault="00EC1C40">
            <w:pPr>
              <w:framePr w:w="7666" w:h="12274" w:wrap="none" w:vAnchor="page" w:hAnchor="page" w:x="1801" w:y="1402"/>
              <w:rPr>
                <w:sz w:val="10"/>
                <w:szCs w:val="10"/>
              </w:rPr>
            </w:pPr>
          </w:p>
        </w:tc>
      </w:tr>
      <w:tr w:rsidR="00EC1C40" w14:paraId="3EBFF167" w14:textId="77777777">
        <w:tblPrEx>
          <w:tblCellMar>
            <w:top w:w="0" w:type="dxa"/>
            <w:bottom w:w="0" w:type="dxa"/>
          </w:tblCellMar>
        </w:tblPrEx>
        <w:trPr>
          <w:trHeight w:hRule="exact" w:val="192"/>
        </w:trPr>
        <w:tc>
          <w:tcPr>
            <w:tcW w:w="2640" w:type="dxa"/>
            <w:tcBorders>
              <w:top w:val="single" w:sz="4" w:space="0" w:color="auto"/>
              <w:left w:val="single" w:sz="4" w:space="0" w:color="auto"/>
            </w:tcBorders>
            <w:shd w:val="clear" w:color="auto" w:fill="auto"/>
          </w:tcPr>
          <w:p w14:paraId="6A7A9CEE" w14:textId="77777777" w:rsidR="00EC1C40" w:rsidRDefault="00000000">
            <w:pPr>
              <w:pStyle w:val="Jin0"/>
              <w:framePr w:w="7666" w:h="12274" w:wrap="none" w:vAnchor="page" w:hAnchor="page" w:x="1801" w:y="1402"/>
              <w:spacing w:after="0"/>
              <w:rPr>
                <w:sz w:val="15"/>
                <w:szCs w:val="15"/>
              </w:rPr>
            </w:pPr>
            <w:r>
              <w:rPr>
                <w:sz w:val="15"/>
                <w:szCs w:val="15"/>
              </w:rPr>
              <w:t>TRÉNINKOVÁ HALA ZÁZEMÍ</w:t>
            </w:r>
          </w:p>
        </w:tc>
        <w:tc>
          <w:tcPr>
            <w:tcW w:w="835" w:type="dxa"/>
            <w:tcBorders>
              <w:top w:val="single" w:sz="4" w:space="0" w:color="auto"/>
              <w:left w:val="single" w:sz="4" w:space="0" w:color="auto"/>
            </w:tcBorders>
            <w:shd w:val="clear" w:color="auto" w:fill="auto"/>
          </w:tcPr>
          <w:p w14:paraId="7CE3473A" w14:textId="77777777" w:rsidR="00EC1C40" w:rsidRDefault="00000000">
            <w:pPr>
              <w:pStyle w:val="Jin0"/>
              <w:framePr w:w="7666" w:h="12274" w:wrap="none" w:vAnchor="page" w:hAnchor="page" w:x="1801" w:y="1402"/>
              <w:spacing w:after="0"/>
              <w:ind w:firstLine="540"/>
              <w:jc w:val="both"/>
              <w:rPr>
                <w:sz w:val="15"/>
                <w:szCs w:val="15"/>
              </w:rPr>
            </w:pPr>
            <w:r>
              <w:rPr>
                <w:sz w:val="15"/>
                <w:szCs w:val="15"/>
              </w:rPr>
              <w:t>481</w:t>
            </w:r>
          </w:p>
        </w:tc>
        <w:tc>
          <w:tcPr>
            <w:tcW w:w="835" w:type="dxa"/>
            <w:tcBorders>
              <w:top w:val="single" w:sz="4" w:space="0" w:color="auto"/>
              <w:left w:val="single" w:sz="4" w:space="0" w:color="auto"/>
            </w:tcBorders>
            <w:shd w:val="clear" w:color="auto" w:fill="auto"/>
          </w:tcPr>
          <w:p w14:paraId="36306412" w14:textId="77777777" w:rsidR="00EC1C40" w:rsidRDefault="00000000">
            <w:pPr>
              <w:pStyle w:val="Jin0"/>
              <w:framePr w:w="7666" w:h="12274" w:wrap="none" w:vAnchor="page" w:hAnchor="page" w:x="1801" w:y="1402"/>
              <w:spacing w:after="0"/>
              <w:ind w:firstLine="540"/>
              <w:rPr>
                <w:sz w:val="15"/>
                <w:szCs w:val="15"/>
              </w:rPr>
            </w:pPr>
            <w:r>
              <w:rPr>
                <w:sz w:val="15"/>
                <w:szCs w:val="15"/>
              </w:rPr>
              <w:t>481</w:t>
            </w:r>
          </w:p>
        </w:tc>
        <w:tc>
          <w:tcPr>
            <w:tcW w:w="1037" w:type="dxa"/>
            <w:tcBorders>
              <w:top w:val="single" w:sz="4" w:space="0" w:color="auto"/>
              <w:left w:val="single" w:sz="4" w:space="0" w:color="auto"/>
            </w:tcBorders>
            <w:shd w:val="clear" w:color="auto" w:fill="auto"/>
          </w:tcPr>
          <w:p w14:paraId="797BE4DF" w14:textId="77777777" w:rsidR="00EC1C40" w:rsidRDefault="00EC1C40">
            <w:pPr>
              <w:framePr w:w="7666" w:h="12274" w:wrap="none" w:vAnchor="page" w:hAnchor="page" w:x="1801" w:y="1402"/>
              <w:rPr>
                <w:sz w:val="10"/>
                <w:szCs w:val="10"/>
              </w:rPr>
            </w:pPr>
          </w:p>
        </w:tc>
        <w:tc>
          <w:tcPr>
            <w:tcW w:w="1214" w:type="dxa"/>
            <w:tcBorders>
              <w:top w:val="single" w:sz="4" w:space="0" w:color="auto"/>
              <w:left w:val="single" w:sz="4" w:space="0" w:color="auto"/>
            </w:tcBorders>
            <w:shd w:val="clear" w:color="auto" w:fill="auto"/>
          </w:tcPr>
          <w:p w14:paraId="21083327" w14:textId="77777777" w:rsidR="00EC1C40" w:rsidRDefault="00EC1C40">
            <w:pPr>
              <w:framePr w:w="7666" w:h="12274" w:wrap="none" w:vAnchor="page" w:hAnchor="page" w:x="1801" w:y="1402"/>
              <w:rPr>
                <w:sz w:val="10"/>
                <w:szCs w:val="10"/>
              </w:rPr>
            </w:pPr>
          </w:p>
        </w:tc>
        <w:tc>
          <w:tcPr>
            <w:tcW w:w="1104" w:type="dxa"/>
            <w:tcBorders>
              <w:top w:val="single" w:sz="4" w:space="0" w:color="auto"/>
              <w:left w:val="single" w:sz="4" w:space="0" w:color="auto"/>
              <w:right w:val="single" w:sz="4" w:space="0" w:color="auto"/>
            </w:tcBorders>
            <w:shd w:val="clear" w:color="auto" w:fill="auto"/>
          </w:tcPr>
          <w:p w14:paraId="529F279F" w14:textId="77777777" w:rsidR="00EC1C40" w:rsidRDefault="00EC1C40">
            <w:pPr>
              <w:framePr w:w="7666" w:h="12274" w:wrap="none" w:vAnchor="page" w:hAnchor="page" w:x="1801" w:y="1402"/>
              <w:rPr>
                <w:sz w:val="10"/>
                <w:szCs w:val="10"/>
              </w:rPr>
            </w:pPr>
          </w:p>
        </w:tc>
      </w:tr>
      <w:tr w:rsidR="00EC1C40" w14:paraId="295EA78D" w14:textId="77777777">
        <w:tblPrEx>
          <w:tblCellMar>
            <w:top w:w="0" w:type="dxa"/>
            <w:bottom w:w="0" w:type="dxa"/>
          </w:tblCellMar>
        </w:tblPrEx>
        <w:trPr>
          <w:trHeight w:hRule="exact" w:val="197"/>
        </w:trPr>
        <w:tc>
          <w:tcPr>
            <w:tcW w:w="2640" w:type="dxa"/>
            <w:tcBorders>
              <w:top w:val="single" w:sz="4" w:space="0" w:color="auto"/>
              <w:left w:val="single" w:sz="4" w:space="0" w:color="auto"/>
            </w:tcBorders>
            <w:shd w:val="clear" w:color="auto" w:fill="auto"/>
          </w:tcPr>
          <w:p w14:paraId="649CD2CF" w14:textId="77777777" w:rsidR="00EC1C40" w:rsidRDefault="00EC1C40">
            <w:pPr>
              <w:framePr w:w="7666" w:h="12274" w:wrap="none" w:vAnchor="page" w:hAnchor="page" w:x="1801" w:y="1402"/>
              <w:rPr>
                <w:sz w:val="10"/>
                <w:szCs w:val="10"/>
              </w:rPr>
            </w:pPr>
          </w:p>
        </w:tc>
        <w:tc>
          <w:tcPr>
            <w:tcW w:w="835" w:type="dxa"/>
            <w:tcBorders>
              <w:top w:val="single" w:sz="4" w:space="0" w:color="auto"/>
              <w:left w:val="single" w:sz="4" w:space="0" w:color="auto"/>
            </w:tcBorders>
            <w:shd w:val="clear" w:color="auto" w:fill="auto"/>
          </w:tcPr>
          <w:p w14:paraId="6F503998" w14:textId="77777777" w:rsidR="00EC1C40" w:rsidRDefault="00EC1C40">
            <w:pPr>
              <w:framePr w:w="7666" w:h="12274" w:wrap="none" w:vAnchor="page" w:hAnchor="page" w:x="1801" w:y="1402"/>
              <w:rPr>
                <w:sz w:val="10"/>
                <w:szCs w:val="10"/>
              </w:rPr>
            </w:pPr>
          </w:p>
        </w:tc>
        <w:tc>
          <w:tcPr>
            <w:tcW w:w="835" w:type="dxa"/>
            <w:tcBorders>
              <w:top w:val="single" w:sz="4" w:space="0" w:color="auto"/>
              <w:left w:val="single" w:sz="4" w:space="0" w:color="auto"/>
            </w:tcBorders>
            <w:shd w:val="clear" w:color="auto" w:fill="auto"/>
          </w:tcPr>
          <w:p w14:paraId="73BE79B9" w14:textId="77777777" w:rsidR="00EC1C40" w:rsidRDefault="00EC1C40">
            <w:pPr>
              <w:framePr w:w="7666" w:h="12274" w:wrap="none" w:vAnchor="page" w:hAnchor="page" w:x="1801" w:y="1402"/>
              <w:rPr>
                <w:sz w:val="10"/>
                <w:szCs w:val="10"/>
              </w:rPr>
            </w:pPr>
          </w:p>
        </w:tc>
        <w:tc>
          <w:tcPr>
            <w:tcW w:w="1037" w:type="dxa"/>
            <w:tcBorders>
              <w:top w:val="single" w:sz="4" w:space="0" w:color="auto"/>
              <w:left w:val="single" w:sz="4" w:space="0" w:color="auto"/>
            </w:tcBorders>
            <w:shd w:val="clear" w:color="auto" w:fill="auto"/>
          </w:tcPr>
          <w:p w14:paraId="6D5091A2" w14:textId="77777777" w:rsidR="00EC1C40" w:rsidRDefault="00EC1C40">
            <w:pPr>
              <w:framePr w:w="7666" w:h="12274" w:wrap="none" w:vAnchor="page" w:hAnchor="page" w:x="1801" w:y="1402"/>
              <w:rPr>
                <w:sz w:val="10"/>
                <w:szCs w:val="10"/>
              </w:rPr>
            </w:pPr>
          </w:p>
        </w:tc>
        <w:tc>
          <w:tcPr>
            <w:tcW w:w="1214" w:type="dxa"/>
            <w:tcBorders>
              <w:top w:val="single" w:sz="4" w:space="0" w:color="auto"/>
              <w:left w:val="single" w:sz="4" w:space="0" w:color="auto"/>
            </w:tcBorders>
            <w:shd w:val="clear" w:color="auto" w:fill="auto"/>
          </w:tcPr>
          <w:p w14:paraId="46EFF58D" w14:textId="77777777" w:rsidR="00EC1C40" w:rsidRDefault="00EC1C40">
            <w:pPr>
              <w:framePr w:w="7666" w:h="12274" w:wrap="none" w:vAnchor="page" w:hAnchor="page" w:x="1801" w:y="1402"/>
              <w:rPr>
                <w:sz w:val="10"/>
                <w:szCs w:val="10"/>
              </w:rPr>
            </w:pPr>
          </w:p>
        </w:tc>
        <w:tc>
          <w:tcPr>
            <w:tcW w:w="1104" w:type="dxa"/>
            <w:tcBorders>
              <w:top w:val="single" w:sz="4" w:space="0" w:color="auto"/>
              <w:left w:val="single" w:sz="4" w:space="0" w:color="auto"/>
              <w:right w:val="single" w:sz="4" w:space="0" w:color="auto"/>
            </w:tcBorders>
            <w:shd w:val="clear" w:color="auto" w:fill="auto"/>
          </w:tcPr>
          <w:p w14:paraId="7EAC0C3E" w14:textId="77777777" w:rsidR="00EC1C40" w:rsidRDefault="00EC1C40">
            <w:pPr>
              <w:framePr w:w="7666" w:h="12274" w:wrap="none" w:vAnchor="page" w:hAnchor="page" w:x="1801" w:y="1402"/>
              <w:rPr>
                <w:sz w:val="10"/>
                <w:szCs w:val="10"/>
              </w:rPr>
            </w:pPr>
          </w:p>
        </w:tc>
      </w:tr>
      <w:tr w:rsidR="00EC1C40" w14:paraId="4E497F54" w14:textId="77777777">
        <w:tblPrEx>
          <w:tblCellMar>
            <w:top w:w="0" w:type="dxa"/>
            <w:bottom w:w="0" w:type="dxa"/>
          </w:tblCellMar>
        </w:tblPrEx>
        <w:trPr>
          <w:trHeight w:hRule="exact" w:val="192"/>
        </w:trPr>
        <w:tc>
          <w:tcPr>
            <w:tcW w:w="2640" w:type="dxa"/>
            <w:tcBorders>
              <w:top w:val="single" w:sz="4" w:space="0" w:color="auto"/>
              <w:left w:val="single" w:sz="4" w:space="0" w:color="auto"/>
            </w:tcBorders>
            <w:shd w:val="clear" w:color="auto" w:fill="DAEAF7"/>
          </w:tcPr>
          <w:p w14:paraId="2F4E9DF9" w14:textId="77777777" w:rsidR="00EC1C40" w:rsidRDefault="00000000">
            <w:pPr>
              <w:pStyle w:val="Jin0"/>
              <w:framePr w:w="7666" w:h="12274" w:wrap="none" w:vAnchor="page" w:hAnchor="page" w:x="1801" w:y="1402"/>
              <w:spacing w:after="0"/>
              <w:rPr>
                <w:sz w:val="15"/>
                <w:szCs w:val="15"/>
              </w:rPr>
            </w:pPr>
            <w:r>
              <w:rPr>
                <w:b/>
                <w:bCs/>
                <w:sz w:val="15"/>
                <w:szCs w:val="15"/>
              </w:rPr>
              <w:t>PARKOVACÍ DŮM</w:t>
            </w:r>
          </w:p>
        </w:tc>
        <w:tc>
          <w:tcPr>
            <w:tcW w:w="835" w:type="dxa"/>
            <w:tcBorders>
              <w:top w:val="single" w:sz="4" w:space="0" w:color="auto"/>
              <w:left w:val="single" w:sz="4" w:space="0" w:color="auto"/>
            </w:tcBorders>
            <w:shd w:val="clear" w:color="auto" w:fill="DAEAF7"/>
          </w:tcPr>
          <w:p w14:paraId="760F1373" w14:textId="77777777" w:rsidR="00EC1C40" w:rsidRDefault="00000000">
            <w:pPr>
              <w:pStyle w:val="Jin0"/>
              <w:framePr w:w="7666" w:h="12274" w:wrap="none" w:vAnchor="page" w:hAnchor="page" w:x="1801" w:y="1402"/>
              <w:spacing w:after="0"/>
              <w:ind w:firstLine="360"/>
              <w:jc w:val="both"/>
              <w:rPr>
                <w:sz w:val="15"/>
                <w:szCs w:val="15"/>
              </w:rPr>
            </w:pPr>
            <w:r>
              <w:rPr>
                <w:b/>
                <w:bCs/>
                <w:sz w:val="15"/>
                <w:szCs w:val="15"/>
              </w:rPr>
              <w:t>67 462</w:t>
            </w:r>
          </w:p>
        </w:tc>
        <w:tc>
          <w:tcPr>
            <w:tcW w:w="835" w:type="dxa"/>
            <w:tcBorders>
              <w:top w:val="single" w:sz="4" w:space="0" w:color="auto"/>
              <w:left w:val="single" w:sz="4" w:space="0" w:color="auto"/>
            </w:tcBorders>
            <w:shd w:val="clear" w:color="auto" w:fill="auto"/>
          </w:tcPr>
          <w:p w14:paraId="3B6A133F" w14:textId="77777777" w:rsidR="00EC1C40" w:rsidRDefault="00EC1C40">
            <w:pPr>
              <w:framePr w:w="7666" w:h="12274" w:wrap="none" w:vAnchor="page" w:hAnchor="page" w:x="1801" w:y="1402"/>
              <w:rPr>
                <w:sz w:val="10"/>
                <w:szCs w:val="10"/>
              </w:rPr>
            </w:pPr>
          </w:p>
        </w:tc>
        <w:tc>
          <w:tcPr>
            <w:tcW w:w="1037" w:type="dxa"/>
            <w:tcBorders>
              <w:top w:val="single" w:sz="4" w:space="0" w:color="auto"/>
              <w:left w:val="single" w:sz="4" w:space="0" w:color="auto"/>
            </w:tcBorders>
            <w:shd w:val="clear" w:color="auto" w:fill="auto"/>
          </w:tcPr>
          <w:p w14:paraId="6F712416" w14:textId="77777777" w:rsidR="00EC1C40" w:rsidRDefault="00EC1C40">
            <w:pPr>
              <w:framePr w:w="7666" w:h="12274" w:wrap="none" w:vAnchor="page" w:hAnchor="page" w:x="1801" w:y="1402"/>
              <w:rPr>
                <w:sz w:val="10"/>
                <w:szCs w:val="10"/>
              </w:rPr>
            </w:pPr>
          </w:p>
        </w:tc>
        <w:tc>
          <w:tcPr>
            <w:tcW w:w="1214" w:type="dxa"/>
            <w:tcBorders>
              <w:top w:val="single" w:sz="4" w:space="0" w:color="auto"/>
              <w:left w:val="single" w:sz="4" w:space="0" w:color="auto"/>
            </w:tcBorders>
            <w:shd w:val="clear" w:color="auto" w:fill="auto"/>
          </w:tcPr>
          <w:p w14:paraId="628255C7" w14:textId="77777777" w:rsidR="00EC1C40" w:rsidRDefault="00EC1C40">
            <w:pPr>
              <w:framePr w:w="7666" w:h="12274" w:wrap="none" w:vAnchor="page" w:hAnchor="page" w:x="1801" w:y="1402"/>
              <w:rPr>
                <w:sz w:val="10"/>
                <w:szCs w:val="10"/>
              </w:rPr>
            </w:pPr>
          </w:p>
        </w:tc>
        <w:tc>
          <w:tcPr>
            <w:tcW w:w="1104" w:type="dxa"/>
            <w:tcBorders>
              <w:top w:val="single" w:sz="4" w:space="0" w:color="auto"/>
              <w:left w:val="single" w:sz="4" w:space="0" w:color="auto"/>
              <w:right w:val="single" w:sz="4" w:space="0" w:color="auto"/>
            </w:tcBorders>
            <w:shd w:val="clear" w:color="auto" w:fill="auto"/>
          </w:tcPr>
          <w:p w14:paraId="3D21A1D0" w14:textId="77777777" w:rsidR="00EC1C40" w:rsidRDefault="00EC1C40">
            <w:pPr>
              <w:framePr w:w="7666" w:h="12274" w:wrap="none" w:vAnchor="page" w:hAnchor="page" w:x="1801" w:y="1402"/>
              <w:rPr>
                <w:sz w:val="10"/>
                <w:szCs w:val="10"/>
              </w:rPr>
            </w:pPr>
          </w:p>
        </w:tc>
      </w:tr>
      <w:tr w:rsidR="00EC1C40" w14:paraId="2232F703" w14:textId="77777777">
        <w:tblPrEx>
          <w:tblCellMar>
            <w:top w:w="0" w:type="dxa"/>
            <w:bottom w:w="0" w:type="dxa"/>
          </w:tblCellMar>
        </w:tblPrEx>
        <w:trPr>
          <w:trHeight w:hRule="exact" w:val="197"/>
        </w:trPr>
        <w:tc>
          <w:tcPr>
            <w:tcW w:w="2640" w:type="dxa"/>
            <w:tcBorders>
              <w:top w:val="single" w:sz="4" w:space="0" w:color="auto"/>
              <w:left w:val="single" w:sz="4" w:space="0" w:color="auto"/>
            </w:tcBorders>
            <w:shd w:val="clear" w:color="auto" w:fill="auto"/>
            <w:vAlign w:val="bottom"/>
          </w:tcPr>
          <w:p w14:paraId="74A6A064" w14:textId="77777777" w:rsidR="00EC1C40" w:rsidRDefault="00000000">
            <w:pPr>
              <w:pStyle w:val="Jin0"/>
              <w:framePr w:w="7666" w:h="12274" w:wrap="none" w:vAnchor="page" w:hAnchor="page" w:x="1801" w:y="1402"/>
              <w:spacing w:after="0"/>
              <w:rPr>
                <w:sz w:val="15"/>
                <w:szCs w:val="15"/>
              </w:rPr>
            </w:pPr>
            <w:r>
              <w:rPr>
                <w:sz w:val="15"/>
                <w:szCs w:val="15"/>
              </w:rPr>
              <w:t>2PP</w:t>
            </w:r>
          </w:p>
        </w:tc>
        <w:tc>
          <w:tcPr>
            <w:tcW w:w="835" w:type="dxa"/>
            <w:tcBorders>
              <w:top w:val="single" w:sz="4" w:space="0" w:color="auto"/>
              <w:left w:val="single" w:sz="4" w:space="0" w:color="auto"/>
            </w:tcBorders>
            <w:shd w:val="clear" w:color="auto" w:fill="auto"/>
            <w:vAlign w:val="bottom"/>
          </w:tcPr>
          <w:p w14:paraId="3764053B" w14:textId="77777777" w:rsidR="00EC1C40" w:rsidRDefault="00000000">
            <w:pPr>
              <w:pStyle w:val="Jin0"/>
              <w:framePr w:w="7666" w:h="12274" w:wrap="none" w:vAnchor="page" w:hAnchor="page" w:x="1801" w:y="1402"/>
              <w:spacing w:after="0"/>
              <w:ind w:firstLine="420"/>
              <w:jc w:val="both"/>
              <w:rPr>
                <w:sz w:val="15"/>
                <w:szCs w:val="15"/>
              </w:rPr>
            </w:pPr>
            <w:r>
              <w:rPr>
                <w:sz w:val="15"/>
                <w:szCs w:val="15"/>
              </w:rPr>
              <w:t>6 260</w:t>
            </w:r>
          </w:p>
        </w:tc>
        <w:tc>
          <w:tcPr>
            <w:tcW w:w="835" w:type="dxa"/>
            <w:tcBorders>
              <w:top w:val="single" w:sz="4" w:space="0" w:color="auto"/>
              <w:left w:val="single" w:sz="4" w:space="0" w:color="auto"/>
            </w:tcBorders>
            <w:shd w:val="clear" w:color="auto" w:fill="auto"/>
            <w:vAlign w:val="bottom"/>
          </w:tcPr>
          <w:p w14:paraId="1329674D" w14:textId="77777777" w:rsidR="00EC1C40" w:rsidRDefault="00000000">
            <w:pPr>
              <w:pStyle w:val="Jin0"/>
              <w:framePr w:w="7666" w:h="12274" w:wrap="none" w:vAnchor="page" w:hAnchor="page" w:x="1801" w:y="1402"/>
              <w:spacing w:after="0"/>
              <w:ind w:firstLine="420"/>
              <w:rPr>
                <w:sz w:val="15"/>
                <w:szCs w:val="15"/>
              </w:rPr>
            </w:pPr>
            <w:r>
              <w:rPr>
                <w:sz w:val="15"/>
                <w:szCs w:val="15"/>
              </w:rPr>
              <w:t>6 260</w:t>
            </w:r>
          </w:p>
        </w:tc>
        <w:tc>
          <w:tcPr>
            <w:tcW w:w="1037" w:type="dxa"/>
            <w:tcBorders>
              <w:top w:val="single" w:sz="4" w:space="0" w:color="auto"/>
              <w:left w:val="single" w:sz="4" w:space="0" w:color="auto"/>
            </w:tcBorders>
            <w:shd w:val="clear" w:color="auto" w:fill="auto"/>
          </w:tcPr>
          <w:p w14:paraId="366CB7A9" w14:textId="77777777" w:rsidR="00EC1C40" w:rsidRDefault="00EC1C40">
            <w:pPr>
              <w:framePr w:w="7666" w:h="12274" w:wrap="none" w:vAnchor="page" w:hAnchor="page" w:x="1801" w:y="1402"/>
              <w:rPr>
                <w:sz w:val="10"/>
                <w:szCs w:val="10"/>
              </w:rPr>
            </w:pPr>
          </w:p>
        </w:tc>
        <w:tc>
          <w:tcPr>
            <w:tcW w:w="1214" w:type="dxa"/>
            <w:tcBorders>
              <w:top w:val="single" w:sz="4" w:space="0" w:color="auto"/>
              <w:left w:val="single" w:sz="4" w:space="0" w:color="auto"/>
            </w:tcBorders>
            <w:shd w:val="clear" w:color="auto" w:fill="auto"/>
          </w:tcPr>
          <w:p w14:paraId="03CE9B33" w14:textId="77777777" w:rsidR="00EC1C40" w:rsidRDefault="00EC1C40">
            <w:pPr>
              <w:framePr w:w="7666" w:h="12274" w:wrap="none" w:vAnchor="page" w:hAnchor="page" w:x="1801" w:y="1402"/>
              <w:rPr>
                <w:sz w:val="10"/>
                <w:szCs w:val="10"/>
              </w:rPr>
            </w:pPr>
          </w:p>
        </w:tc>
        <w:tc>
          <w:tcPr>
            <w:tcW w:w="1104" w:type="dxa"/>
            <w:tcBorders>
              <w:top w:val="single" w:sz="4" w:space="0" w:color="auto"/>
              <w:left w:val="single" w:sz="4" w:space="0" w:color="auto"/>
              <w:right w:val="single" w:sz="4" w:space="0" w:color="auto"/>
            </w:tcBorders>
            <w:shd w:val="clear" w:color="auto" w:fill="auto"/>
          </w:tcPr>
          <w:p w14:paraId="2824ADF9" w14:textId="77777777" w:rsidR="00EC1C40" w:rsidRDefault="00EC1C40">
            <w:pPr>
              <w:framePr w:w="7666" w:h="12274" w:wrap="none" w:vAnchor="page" w:hAnchor="page" w:x="1801" w:y="1402"/>
              <w:rPr>
                <w:sz w:val="10"/>
                <w:szCs w:val="10"/>
              </w:rPr>
            </w:pPr>
          </w:p>
        </w:tc>
      </w:tr>
      <w:tr w:rsidR="00EC1C40" w14:paraId="22193642" w14:textId="77777777">
        <w:tblPrEx>
          <w:tblCellMar>
            <w:top w:w="0" w:type="dxa"/>
            <w:bottom w:w="0" w:type="dxa"/>
          </w:tblCellMar>
        </w:tblPrEx>
        <w:trPr>
          <w:trHeight w:hRule="exact" w:val="197"/>
        </w:trPr>
        <w:tc>
          <w:tcPr>
            <w:tcW w:w="2640" w:type="dxa"/>
            <w:tcBorders>
              <w:top w:val="single" w:sz="4" w:space="0" w:color="auto"/>
              <w:left w:val="single" w:sz="4" w:space="0" w:color="auto"/>
            </w:tcBorders>
            <w:shd w:val="clear" w:color="auto" w:fill="auto"/>
            <w:vAlign w:val="bottom"/>
          </w:tcPr>
          <w:p w14:paraId="183AE17E" w14:textId="77777777" w:rsidR="00EC1C40" w:rsidRDefault="00000000">
            <w:pPr>
              <w:pStyle w:val="Jin0"/>
              <w:framePr w:w="7666" w:h="12274" w:wrap="none" w:vAnchor="page" w:hAnchor="page" w:x="1801" w:y="1402"/>
              <w:spacing w:after="0"/>
              <w:rPr>
                <w:sz w:val="15"/>
                <w:szCs w:val="15"/>
              </w:rPr>
            </w:pPr>
            <w:r>
              <w:rPr>
                <w:sz w:val="15"/>
                <w:szCs w:val="15"/>
              </w:rPr>
              <w:t>1PP</w:t>
            </w:r>
          </w:p>
        </w:tc>
        <w:tc>
          <w:tcPr>
            <w:tcW w:w="835" w:type="dxa"/>
            <w:tcBorders>
              <w:top w:val="single" w:sz="4" w:space="0" w:color="auto"/>
              <w:left w:val="single" w:sz="4" w:space="0" w:color="auto"/>
            </w:tcBorders>
            <w:shd w:val="clear" w:color="auto" w:fill="auto"/>
            <w:vAlign w:val="bottom"/>
          </w:tcPr>
          <w:p w14:paraId="25E9697B" w14:textId="77777777" w:rsidR="00EC1C40" w:rsidRDefault="00000000">
            <w:pPr>
              <w:pStyle w:val="Jin0"/>
              <w:framePr w:w="7666" w:h="12274" w:wrap="none" w:vAnchor="page" w:hAnchor="page" w:x="1801" w:y="1402"/>
              <w:spacing w:after="0"/>
              <w:ind w:firstLine="420"/>
              <w:jc w:val="both"/>
              <w:rPr>
                <w:sz w:val="15"/>
                <w:szCs w:val="15"/>
              </w:rPr>
            </w:pPr>
            <w:r>
              <w:rPr>
                <w:sz w:val="15"/>
                <w:szCs w:val="15"/>
              </w:rPr>
              <w:t>6 185</w:t>
            </w:r>
          </w:p>
        </w:tc>
        <w:tc>
          <w:tcPr>
            <w:tcW w:w="835" w:type="dxa"/>
            <w:tcBorders>
              <w:top w:val="single" w:sz="4" w:space="0" w:color="auto"/>
              <w:left w:val="single" w:sz="4" w:space="0" w:color="auto"/>
            </w:tcBorders>
            <w:shd w:val="clear" w:color="auto" w:fill="auto"/>
            <w:vAlign w:val="bottom"/>
          </w:tcPr>
          <w:p w14:paraId="06804AD6" w14:textId="77777777" w:rsidR="00EC1C40" w:rsidRDefault="00000000">
            <w:pPr>
              <w:pStyle w:val="Jin0"/>
              <w:framePr w:w="7666" w:h="12274" w:wrap="none" w:vAnchor="page" w:hAnchor="page" w:x="1801" w:y="1402"/>
              <w:spacing w:after="0"/>
              <w:ind w:firstLine="420"/>
              <w:rPr>
                <w:sz w:val="15"/>
                <w:szCs w:val="15"/>
              </w:rPr>
            </w:pPr>
            <w:r>
              <w:rPr>
                <w:sz w:val="15"/>
                <w:szCs w:val="15"/>
              </w:rPr>
              <w:t>6 185</w:t>
            </w:r>
          </w:p>
        </w:tc>
        <w:tc>
          <w:tcPr>
            <w:tcW w:w="1037" w:type="dxa"/>
            <w:tcBorders>
              <w:top w:val="single" w:sz="4" w:space="0" w:color="auto"/>
              <w:left w:val="single" w:sz="4" w:space="0" w:color="auto"/>
            </w:tcBorders>
            <w:shd w:val="clear" w:color="auto" w:fill="auto"/>
          </w:tcPr>
          <w:p w14:paraId="02C39B3C" w14:textId="77777777" w:rsidR="00EC1C40" w:rsidRDefault="00EC1C40">
            <w:pPr>
              <w:framePr w:w="7666" w:h="12274" w:wrap="none" w:vAnchor="page" w:hAnchor="page" w:x="1801" w:y="1402"/>
              <w:rPr>
                <w:sz w:val="10"/>
                <w:szCs w:val="10"/>
              </w:rPr>
            </w:pPr>
          </w:p>
        </w:tc>
        <w:tc>
          <w:tcPr>
            <w:tcW w:w="1214" w:type="dxa"/>
            <w:tcBorders>
              <w:top w:val="single" w:sz="4" w:space="0" w:color="auto"/>
              <w:left w:val="single" w:sz="4" w:space="0" w:color="auto"/>
            </w:tcBorders>
            <w:shd w:val="clear" w:color="auto" w:fill="auto"/>
          </w:tcPr>
          <w:p w14:paraId="2526F5B6" w14:textId="77777777" w:rsidR="00EC1C40" w:rsidRDefault="00EC1C40">
            <w:pPr>
              <w:framePr w:w="7666" w:h="12274" w:wrap="none" w:vAnchor="page" w:hAnchor="page" w:x="1801" w:y="1402"/>
              <w:rPr>
                <w:sz w:val="10"/>
                <w:szCs w:val="10"/>
              </w:rPr>
            </w:pPr>
          </w:p>
        </w:tc>
        <w:tc>
          <w:tcPr>
            <w:tcW w:w="1104" w:type="dxa"/>
            <w:tcBorders>
              <w:top w:val="single" w:sz="4" w:space="0" w:color="auto"/>
              <w:left w:val="single" w:sz="4" w:space="0" w:color="auto"/>
              <w:right w:val="single" w:sz="4" w:space="0" w:color="auto"/>
            </w:tcBorders>
            <w:shd w:val="clear" w:color="auto" w:fill="auto"/>
          </w:tcPr>
          <w:p w14:paraId="62AD0156" w14:textId="77777777" w:rsidR="00EC1C40" w:rsidRDefault="00EC1C40">
            <w:pPr>
              <w:framePr w:w="7666" w:h="12274" w:wrap="none" w:vAnchor="page" w:hAnchor="page" w:x="1801" w:y="1402"/>
              <w:rPr>
                <w:sz w:val="10"/>
                <w:szCs w:val="10"/>
              </w:rPr>
            </w:pPr>
          </w:p>
        </w:tc>
      </w:tr>
      <w:tr w:rsidR="00EC1C40" w14:paraId="79D8311A" w14:textId="77777777">
        <w:tblPrEx>
          <w:tblCellMar>
            <w:top w:w="0" w:type="dxa"/>
            <w:bottom w:w="0" w:type="dxa"/>
          </w:tblCellMar>
        </w:tblPrEx>
        <w:trPr>
          <w:trHeight w:hRule="exact" w:val="192"/>
        </w:trPr>
        <w:tc>
          <w:tcPr>
            <w:tcW w:w="2640" w:type="dxa"/>
            <w:tcBorders>
              <w:top w:val="single" w:sz="4" w:space="0" w:color="auto"/>
              <w:left w:val="single" w:sz="4" w:space="0" w:color="auto"/>
            </w:tcBorders>
            <w:shd w:val="clear" w:color="auto" w:fill="auto"/>
          </w:tcPr>
          <w:p w14:paraId="3C4338AD" w14:textId="77777777" w:rsidR="00EC1C40" w:rsidRDefault="00000000">
            <w:pPr>
              <w:pStyle w:val="Jin0"/>
              <w:framePr w:w="7666" w:h="12274" w:wrap="none" w:vAnchor="page" w:hAnchor="page" w:x="1801" w:y="1402"/>
              <w:spacing w:after="0"/>
              <w:rPr>
                <w:sz w:val="15"/>
                <w:szCs w:val="15"/>
              </w:rPr>
            </w:pPr>
            <w:r>
              <w:rPr>
                <w:sz w:val="15"/>
                <w:szCs w:val="15"/>
              </w:rPr>
              <w:t>1NP</w:t>
            </w:r>
          </w:p>
        </w:tc>
        <w:tc>
          <w:tcPr>
            <w:tcW w:w="835" w:type="dxa"/>
            <w:tcBorders>
              <w:top w:val="single" w:sz="4" w:space="0" w:color="auto"/>
              <w:left w:val="single" w:sz="4" w:space="0" w:color="auto"/>
            </w:tcBorders>
            <w:shd w:val="clear" w:color="auto" w:fill="auto"/>
          </w:tcPr>
          <w:p w14:paraId="79E20F40" w14:textId="77777777" w:rsidR="00EC1C40" w:rsidRDefault="00000000">
            <w:pPr>
              <w:pStyle w:val="Jin0"/>
              <w:framePr w:w="7666" w:h="12274" w:wrap="none" w:vAnchor="page" w:hAnchor="page" w:x="1801" w:y="1402"/>
              <w:spacing w:after="0"/>
              <w:ind w:firstLine="420"/>
              <w:jc w:val="both"/>
              <w:rPr>
                <w:sz w:val="15"/>
                <w:szCs w:val="15"/>
              </w:rPr>
            </w:pPr>
            <w:r>
              <w:rPr>
                <w:sz w:val="15"/>
                <w:szCs w:val="15"/>
              </w:rPr>
              <w:t>5 742</w:t>
            </w:r>
          </w:p>
        </w:tc>
        <w:tc>
          <w:tcPr>
            <w:tcW w:w="835" w:type="dxa"/>
            <w:tcBorders>
              <w:top w:val="single" w:sz="4" w:space="0" w:color="auto"/>
              <w:left w:val="single" w:sz="4" w:space="0" w:color="auto"/>
            </w:tcBorders>
            <w:shd w:val="clear" w:color="auto" w:fill="auto"/>
          </w:tcPr>
          <w:p w14:paraId="706FF23F" w14:textId="77777777" w:rsidR="00EC1C40" w:rsidRDefault="00000000">
            <w:pPr>
              <w:pStyle w:val="Jin0"/>
              <w:framePr w:w="7666" w:h="12274" w:wrap="none" w:vAnchor="page" w:hAnchor="page" w:x="1801" w:y="1402"/>
              <w:spacing w:after="0"/>
              <w:ind w:firstLine="420"/>
              <w:rPr>
                <w:sz w:val="15"/>
                <w:szCs w:val="15"/>
              </w:rPr>
            </w:pPr>
            <w:r>
              <w:rPr>
                <w:sz w:val="15"/>
                <w:szCs w:val="15"/>
              </w:rPr>
              <w:t>5 742</w:t>
            </w:r>
          </w:p>
        </w:tc>
        <w:tc>
          <w:tcPr>
            <w:tcW w:w="1037" w:type="dxa"/>
            <w:tcBorders>
              <w:top w:val="single" w:sz="4" w:space="0" w:color="auto"/>
              <w:left w:val="single" w:sz="4" w:space="0" w:color="auto"/>
            </w:tcBorders>
            <w:shd w:val="clear" w:color="auto" w:fill="auto"/>
          </w:tcPr>
          <w:p w14:paraId="11AD5F96" w14:textId="77777777" w:rsidR="00EC1C40" w:rsidRDefault="00EC1C40">
            <w:pPr>
              <w:framePr w:w="7666" w:h="12274" w:wrap="none" w:vAnchor="page" w:hAnchor="page" w:x="1801" w:y="1402"/>
              <w:rPr>
                <w:sz w:val="10"/>
                <w:szCs w:val="10"/>
              </w:rPr>
            </w:pPr>
          </w:p>
        </w:tc>
        <w:tc>
          <w:tcPr>
            <w:tcW w:w="1214" w:type="dxa"/>
            <w:tcBorders>
              <w:top w:val="single" w:sz="4" w:space="0" w:color="auto"/>
              <w:left w:val="single" w:sz="4" w:space="0" w:color="auto"/>
            </w:tcBorders>
            <w:shd w:val="clear" w:color="auto" w:fill="auto"/>
          </w:tcPr>
          <w:p w14:paraId="4338CB58" w14:textId="77777777" w:rsidR="00EC1C40" w:rsidRDefault="00EC1C40">
            <w:pPr>
              <w:framePr w:w="7666" w:h="12274" w:wrap="none" w:vAnchor="page" w:hAnchor="page" w:x="1801" w:y="1402"/>
              <w:rPr>
                <w:sz w:val="10"/>
                <w:szCs w:val="10"/>
              </w:rPr>
            </w:pPr>
          </w:p>
        </w:tc>
        <w:tc>
          <w:tcPr>
            <w:tcW w:w="1104" w:type="dxa"/>
            <w:tcBorders>
              <w:top w:val="single" w:sz="4" w:space="0" w:color="auto"/>
              <w:left w:val="single" w:sz="4" w:space="0" w:color="auto"/>
              <w:right w:val="single" w:sz="4" w:space="0" w:color="auto"/>
            </w:tcBorders>
            <w:shd w:val="clear" w:color="auto" w:fill="auto"/>
          </w:tcPr>
          <w:p w14:paraId="74DDBE3D" w14:textId="77777777" w:rsidR="00EC1C40" w:rsidRDefault="00EC1C40">
            <w:pPr>
              <w:framePr w:w="7666" w:h="12274" w:wrap="none" w:vAnchor="page" w:hAnchor="page" w:x="1801" w:y="1402"/>
              <w:rPr>
                <w:sz w:val="10"/>
                <w:szCs w:val="10"/>
              </w:rPr>
            </w:pPr>
          </w:p>
        </w:tc>
      </w:tr>
      <w:tr w:rsidR="00EC1C40" w14:paraId="4EDCFF8B" w14:textId="77777777">
        <w:tblPrEx>
          <w:tblCellMar>
            <w:top w:w="0" w:type="dxa"/>
            <w:bottom w:w="0" w:type="dxa"/>
          </w:tblCellMar>
        </w:tblPrEx>
        <w:trPr>
          <w:trHeight w:hRule="exact" w:val="192"/>
        </w:trPr>
        <w:tc>
          <w:tcPr>
            <w:tcW w:w="2640" w:type="dxa"/>
            <w:tcBorders>
              <w:top w:val="single" w:sz="4" w:space="0" w:color="auto"/>
              <w:left w:val="single" w:sz="4" w:space="0" w:color="auto"/>
            </w:tcBorders>
            <w:shd w:val="clear" w:color="auto" w:fill="auto"/>
            <w:vAlign w:val="bottom"/>
          </w:tcPr>
          <w:p w14:paraId="75E0B7E4" w14:textId="77777777" w:rsidR="00EC1C40" w:rsidRDefault="00000000">
            <w:pPr>
              <w:pStyle w:val="Jin0"/>
              <w:framePr w:w="7666" w:h="12274" w:wrap="none" w:vAnchor="page" w:hAnchor="page" w:x="1801" w:y="1402"/>
              <w:spacing w:after="0"/>
              <w:rPr>
                <w:sz w:val="15"/>
                <w:szCs w:val="15"/>
              </w:rPr>
            </w:pPr>
            <w:r>
              <w:rPr>
                <w:sz w:val="15"/>
                <w:szCs w:val="15"/>
              </w:rPr>
              <w:t>2NP</w:t>
            </w:r>
          </w:p>
        </w:tc>
        <w:tc>
          <w:tcPr>
            <w:tcW w:w="835" w:type="dxa"/>
            <w:tcBorders>
              <w:top w:val="single" w:sz="4" w:space="0" w:color="auto"/>
              <w:left w:val="single" w:sz="4" w:space="0" w:color="auto"/>
            </w:tcBorders>
            <w:shd w:val="clear" w:color="auto" w:fill="auto"/>
            <w:vAlign w:val="bottom"/>
          </w:tcPr>
          <w:p w14:paraId="48FB9300" w14:textId="77777777" w:rsidR="00EC1C40" w:rsidRDefault="00000000">
            <w:pPr>
              <w:pStyle w:val="Jin0"/>
              <w:framePr w:w="7666" w:h="12274" w:wrap="none" w:vAnchor="page" w:hAnchor="page" w:x="1801" w:y="1402"/>
              <w:spacing w:after="0"/>
              <w:ind w:firstLine="420"/>
              <w:jc w:val="both"/>
              <w:rPr>
                <w:sz w:val="15"/>
                <w:szCs w:val="15"/>
              </w:rPr>
            </w:pPr>
            <w:r>
              <w:rPr>
                <w:sz w:val="15"/>
                <w:szCs w:val="15"/>
              </w:rPr>
              <w:t>6 181</w:t>
            </w:r>
          </w:p>
        </w:tc>
        <w:tc>
          <w:tcPr>
            <w:tcW w:w="835" w:type="dxa"/>
            <w:tcBorders>
              <w:top w:val="single" w:sz="4" w:space="0" w:color="auto"/>
              <w:left w:val="single" w:sz="4" w:space="0" w:color="auto"/>
            </w:tcBorders>
            <w:shd w:val="clear" w:color="auto" w:fill="auto"/>
            <w:vAlign w:val="bottom"/>
          </w:tcPr>
          <w:p w14:paraId="76433380" w14:textId="77777777" w:rsidR="00EC1C40" w:rsidRDefault="00000000">
            <w:pPr>
              <w:pStyle w:val="Jin0"/>
              <w:framePr w:w="7666" w:h="12274" w:wrap="none" w:vAnchor="page" w:hAnchor="page" w:x="1801" w:y="1402"/>
              <w:spacing w:after="0"/>
              <w:ind w:firstLine="420"/>
              <w:rPr>
                <w:sz w:val="15"/>
                <w:szCs w:val="15"/>
              </w:rPr>
            </w:pPr>
            <w:r>
              <w:rPr>
                <w:sz w:val="15"/>
                <w:szCs w:val="15"/>
              </w:rPr>
              <w:t>6 181</w:t>
            </w:r>
          </w:p>
        </w:tc>
        <w:tc>
          <w:tcPr>
            <w:tcW w:w="1037" w:type="dxa"/>
            <w:tcBorders>
              <w:top w:val="single" w:sz="4" w:space="0" w:color="auto"/>
              <w:left w:val="single" w:sz="4" w:space="0" w:color="auto"/>
            </w:tcBorders>
            <w:shd w:val="clear" w:color="auto" w:fill="auto"/>
          </w:tcPr>
          <w:p w14:paraId="0B1BA0CD" w14:textId="77777777" w:rsidR="00EC1C40" w:rsidRDefault="00EC1C40">
            <w:pPr>
              <w:framePr w:w="7666" w:h="12274" w:wrap="none" w:vAnchor="page" w:hAnchor="page" w:x="1801" w:y="1402"/>
              <w:rPr>
                <w:sz w:val="10"/>
                <w:szCs w:val="10"/>
              </w:rPr>
            </w:pPr>
          </w:p>
        </w:tc>
        <w:tc>
          <w:tcPr>
            <w:tcW w:w="1214" w:type="dxa"/>
            <w:tcBorders>
              <w:top w:val="single" w:sz="4" w:space="0" w:color="auto"/>
              <w:left w:val="single" w:sz="4" w:space="0" w:color="auto"/>
            </w:tcBorders>
            <w:shd w:val="clear" w:color="auto" w:fill="auto"/>
          </w:tcPr>
          <w:p w14:paraId="3DF49025" w14:textId="77777777" w:rsidR="00EC1C40" w:rsidRDefault="00EC1C40">
            <w:pPr>
              <w:framePr w:w="7666" w:h="12274" w:wrap="none" w:vAnchor="page" w:hAnchor="page" w:x="1801" w:y="1402"/>
              <w:rPr>
                <w:sz w:val="10"/>
                <w:szCs w:val="10"/>
              </w:rPr>
            </w:pPr>
          </w:p>
        </w:tc>
        <w:tc>
          <w:tcPr>
            <w:tcW w:w="1104" w:type="dxa"/>
            <w:tcBorders>
              <w:top w:val="single" w:sz="4" w:space="0" w:color="auto"/>
              <w:left w:val="single" w:sz="4" w:space="0" w:color="auto"/>
              <w:right w:val="single" w:sz="4" w:space="0" w:color="auto"/>
            </w:tcBorders>
            <w:shd w:val="clear" w:color="auto" w:fill="auto"/>
          </w:tcPr>
          <w:p w14:paraId="6A4AB3B4" w14:textId="77777777" w:rsidR="00EC1C40" w:rsidRDefault="00EC1C40">
            <w:pPr>
              <w:framePr w:w="7666" w:h="12274" w:wrap="none" w:vAnchor="page" w:hAnchor="page" w:x="1801" w:y="1402"/>
              <w:rPr>
                <w:sz w:val="10"/>
                <w:szCs w:val="10"/>
              </w:rPr>
            </w:pPr>
          </w:p>
        </w:tc>
      </w:tr>
      <w:tr w:rsidR="00EC1C40" w14:paraId="7CAB16D7" w14:textId="77777777">
        <w:tblPrEx>
          <w:tblCellMar>
            <w:top w:w="0" w:type="dxa"/>
            <w:bottom w:w="0" w:type="dxa"/>
          </w:tblCellMar>
        </w:tblPrEx>
        <w:trPr>
          <w:trHeight w:hRule="exact" w:val="197"/>
        </w:trPr>
        <w:tc>
          <w:tcPr>
            <w:tcW w:w="2640" w:type="dxa"/>
            <w:tcBorders>
              <w:top w:val="single" w:sz="4" w:space="0" w:color="auto"/>
              <w:left w:val="single" w:sz="4" w:space="0" w:color="auto"/>
            </w:tcBorders>
            <w:shd w:val="clear" w:color="auto" w:fill="auto"/>
            <w:vAlign w:val="bottom"/>
          </w:tcPr>
          <w:p w14:paraId="0F445AB4" w14:textId="77777777" w:rsidR="00EC1C40" w:rsidRDefault="00000000">
            <w:pPr>
              <w:pStyle w:val="Jin0"/>
              <w:framePr w:w="7666" w:h="12274" w:wrap="none" w:vAnchor="page" w:hAnchor="page" w:x="1801" w:y="1402"/>
              <w:spacing w:after="0"/>
              <w:rPr>
                <w:sz w:val="15"/>
                <w:szCs w:val="15"/>
              </w:rPr>
            </w:pPr>
            <w:r>
              <w:rPr>
                <w:sz w:val="15"/>
                <w:szCs w:val="15"/>
              </w:rPr>
              <w:t>3NP</w:t>
            </w:r>
          </w:p>
        </w:tc>
        <w:tc>
          <w:tcPr>
            <w:tcW w:w="835" w:type="dxa"/>
            <w:tcBorders>
              <w:top w:val="single" w:sz="4" w:space="0" w:color="auto"/>
              <w:left w:val="single" w:sz="4" w:space="0" w:color="auto"/>
            </w:tcBorders>
            <w:shd w:val="clear" w:color="auto" w:fill="auto"/>
            <w:vAlign w:val="bottom"/>
          </w:tcPr>
          <w:p w14:paraId="4C5871BF" w14:textId="77777777" w:rsidR="00EC1C40" w:rsidRDefault="00000000">
            <w:pPr>
              <w:pStyle w:val="Jin0"/>
              <w:framePr w:w="7666" w:h="12274" w:wrap="none" w:vAnchor="page" w:hAnchor="page" w:x="1801" w:y="1402"/>
              <w:spacing w:after="0"/>
              <w:ind w:firstLine="420"/>
              <w:jc w:val="both"/>
              <w:rPr>
                <w:sz w:val="15"/>
                <w:szCs w:val="15"/>
              </w:rPr>
            </w:pPr>
            <w:r>
              <w:rPr>
                <w:sz w:val="15"/>
                <w:szCs w:val="15"/>
              </w:rPr>
              <w:t>6 160</w:t>
            </w:r>
          </w:p>
        </w:tc>
        <w:tc>
          <w:tcPr>
            <w:tcW w:w="835" w:type="dxa"/>
            <w:tcBorders>
              <w:top w:val="single" w:sz="4" w:space="0" w:color="auto"/>
              <w:left w:val="single" w:sz="4" w:space="0" w:color="auto"/>
            </w:tcBorders>
            <w:shd w:val="clear" w:color="auto" w:fill="auto"/>
            <w:vAlign w:val="bottom"/>
          </w:tcPr>
          <w:p w14:paraId="78109BBA" w14:textId="77777777" w:rsidR="00EC1C40" w:rsidRDefault="00000000">
            <w:pPr>
              <w:pStyle w:val="Jin0"/>
              <w:framePr w:w="7666" w:h="12274" w:wrap="none" w:vAnchor="page" w:hAnchor="page" w:x="1801" w:y="1402"/>
              <w:spacing w:after="0"/>
              <w:ind w:firstLine="420"/>
              <w:rPr>
                <w:sz w:val="15"/>
                <w:szCs w:val="15"/>
              </w:rPr>
            </w:pPr>
            <w:r>
              <w:rPr>
                <w:sz w:val="15"/>
                <w:szCs w:val="15"/>
              </w:rPr>
              <w:t>6 160</w:t>
            </w:r>
          </w:p>
        </w:tc>
        <w:tc>
          <w:tcPr>
            <w:tcW w:w="1037" w:type="dxa"/>
            <w:tcBorders>
              <w:top w:val="single" w:sz="4" w:space="0" w:color="auto"/>
              <w:left w:val="single" w:sz="4" w:space="0" w:color="auto"/>
            </w:tcBorders>
            <w:shd w:val="clear" w:color="auto" w:fill="auto"/>
          </w:tcPr>
          <w:p w14:paraId="30332BA0" w14:textId="77777777" w:rsidR="00EC1C40" w:rsidRDefault="00EC1C40">
            <w:pPr>
              <w:framePr w:w="7666" w:h="12274" w:wrap="none" w:vAnchor="page" w:hAnchor="page" w:x="1801" w:y="1402"/>
              <w:rPr>
                <w:sz w:val="10"/>
                <w:szCs w:val="10"/>
              </w:rPr>
            </w:pPr>
          </w:p>
        </w:tc>
        <w:tc>
          <w:tcPr>
            <w:tcW w:w="1214" w:type="dxa"/>
            <w:tcBorders>
              <w:top w:val="single" w:sz="4" w:space="0" w:color="auto"/>
              <w:left w:val="single" w:sz="4" w:space="0" w:color="auto"/>
            </w:tcBorders>
            <w:shd w:val="clear" w:color="auto" w:fill="auto"/>
          </w:tcPr>
          <w:p w14:paraId="361D791C" w14:textId="77777777" w:rsidR="00EC1C40" w:rsidRDefault="00EC1C40">
            <w:pPr>
              <w:framePr w:w="7666" w:h="12274" w:wrap="none" w:vAnchor="page" w:hAnchor="page" w:x="1801" w:y="1402"/>
              <w:rPr>
                <w:sz w:val="10"/>
                <w:szCs w:val="10"/>
              </w:rPr>
            </w:pPr>
          </w:p>
        </w:tc>
        <w:tc>
          <w:tcPr>
            <w:tcW w:w="1104" w:type="dxa"/>
            <w:tcBorders>
              <w:top w:val="single" w:sz="4" w:space="0" w:color="auto"/>
              <w:left w:val="single" w:sz="4" w:space="0" w:color="auto"/>
              <w:right w:val="single" w:sz="4" w:space="0" w:color="auto"/>
            </w:tcBorders>
            <w:shd w:val="clear" w:color="auto" w:fill="auto"/>
          </w:tcPr>
          <w:p w14:paraId="23BBF4CD" w14:textId="77777777" w:rsidR="00EC1C40" w:rsidRDefault="00EC1C40">
            <w:pPr>
              <w:framePr w:w="7666" w:h="12274" w:wrap="none" w:vAnchor="page" w:hAnchor="page" w:x="1801" w:y="1402"/>
              <w:rPr>
                <w:sz w:val="10"/>
                <w:szCs w:val="10"/>
              </w:rPr>
            </w:pPr>
          </w:p>
        </w:tc>
      </w:tr>
      <w:tr w:rsidR="00EC1C40" w14:paraId="4CD32427" w14:textId="77777777">
        <w:tblPrEx>
          <w:tblCellMar>
            <w:top w:w="0" w:type="dxa"/>
            <w:bottom w:w="0" w:type="dxa"/>
          </w:tblCellMar>
        </w:tblPrEx>
        <w:trPr>
          <w:trHeight w:hRule="exact" w:val="192"/>
        </w:trPr>
        <w:tc>
          <w:tcPr>
            <w:tcW w:w="2640" w:type="dxa"/>
            <w:tcBorders>
              <w:top w:val="single" w:sz="4" w:space="0" w:color="auto"/>
              <w:left w:val="single" w:sz="4" w:space="0" w:color="auto"/>
            </w:tcBorders>
            <w:shd w:val="clear" w:color="auto" w:fill="auto"/>
          </w:tcPr>
          <w:p w14:paraId="4A98230D" w14:textId="77777777" w:rsidR="00EC1C40" w:rsidRDefault="00000000">
            <w:pPr>
              <w:pStyle w:val="Jin0"/>
              <w:framePr w:w="7666" w:h="12274" w:wrap="none" w:vAnchor="page" w:hAnchor="page" w:x="1801" w:y="1402"/>
              <w:spacing w:after="0"/>
              <w:rPr>
                <w:sz w:val="15"/>
                <w:szCs w:val="15"/>
              </w:rPr>
            </w:pPr>
            <w:r>
              <w:rPr>
                <w:sz w:val="15"/>
                <w:szCs w:val="15"/>
              </w:rPr>
              <w:t>4NP</w:t>
            </w:r>
          </w:p>
        </w:tc>
        <w:tc>
          <w:tcPr>
            <w:tcW w:w="835" w:type="dxa"/>
            <w:tcBorders>
              <w:top w:val="single" w:sz="4" w:space="0" w:color="auto"/>
              <w:left w:val="single" w:sz="4" w:space="0" w:color="auto"/>
            </w:tcBorders>
            <w:shd w:val="clear" w:color="auto" w:fill="auto"/>
          </w:tcPr>
          <w:p w14:paraId="498587C2" w14:textId="77777777" w:rsidR="00EC1C40" w:rsidRDefault="00000000">
            <w:pPr>
              <w:pStyle w:val="Jin0"/>
              <w:framePr w:w="7666" w:h="12274" w:wrap="none" w:vAnchor="page" w:hAnchor="page" w:x="1801" w:y="1402"/>
              <w:spacing w:after="0"/>
              <w:ind w:firstLine="420"/>
              <w:jc w:val="both"/>
              <w:rPr>
                <w:sz w:val="15"/>
                <w:szCs w:val="15"/>
              </w:rPr>
            </w:pPr>
            <w:r>
              <w:rPr>
                <w:sz w:val="15"/>
                <w:szCs w:val="15"/>
              </w:rPr>
              <w:t>6 160</w:t>
            </w:r>
          </w:p>
        </w:tc>
        <w:tc>
          <w:tcPr>
            <w:tcW w:w="835" w:type="dxa"/>
            <w:tcBorders>
              <w:top w:val="single" w:sz="4" w:space="0" w:color="auto"/>
              <w:left w:val="single" w:sz="4" w:space="0" w:color="auto"/>
            </w:tcBorders>
            <w:shd w:val="clear" w:color="auto" w:fill="auto"/>
          </w:tcPr>
          <w:p w14:paraId="22B5F5BF" w14:textId="77777777" w:rsidR="00EC1C40" w:rsidRDefault="00000000">
            <w:pPr>
              <w:pStyle w:val="Jin0"/>
              <w:framePr w:w="7666" w:h="12274" w:wrap="none" w:vAnchor="page" w:hAnchor="page" w:x="1801" w:y="1402"/>
              <w:spacing w:after="0"/>
              <w:ind w:firstLine="420"/>
              <w:rPr>
                <w:sz w:val="15"/>
                <w:szCs w:val="15"/>
              </w:rPr>
            </w:pPr>
            <w:r>
              <w:rPr>
                <w:sz w:val="15"/>
                <w:szCs w:val="15"/>
              </w:rPr>
              <w:t>6 160</w:t>
            </w:r>
          </w:p>
        </w:tc>
        <w:tc>
          <w:tcPr>
            <w:tcW w:w="1037" w:type="dxa"/>
            <w:tcBorders>
              <w:top w:val="single" w:sz="4" w:space="0" w:color="auto"/>
              <w:left w:val="single" w:sz="4" w:space="0" w:color="auto"/>
            </w:tcBorders>
            <w:shd w:val="clear" w:color="auto" w:fill="auto"/>
          </w:tcPr>
          <w:p w14:paraId="39A152D0" w14:textId="77777777" w:rsidR="00EC1C40" w:rsidRDefault="00EC1C40">
            <w:pPr>
              <w:framePr w:w="7666" w:h="12274" w:wrap="none" w:vAnchor="page" w:hAnchor="page" w:x="1801" w:y="1402"/>
              <w:rPr>
                <w:sz w:val="10"/>
                <w:szCs w:val="10"/>
              </w:rPr>
            </w:pPr>
          </w:p>
        </w:tc>
        <w:tc>
          <w:tcPr>
            <w:tcW w:w="1214" w:type="dxa"/>
            <w:tcBorders>
              <w:top w:val="single" w:sz="4" w:space="0" w:color="auto"/>
              <w:left w:val="single" w:sz="4" w:space="0" w:color="auto"/>
            </w:tcBorders>
            <w:shd w:val="clear" w:color="auto" w:fill="auto"/>
          </w:tcPr>
          <w:p w14:paraId="7CF2D8C4" w14:textId="77777777" w:rsidR="00EC1C40" w:rsidRDefault="00EC1C40">
            <w:pPr>
              <w:framePr w:w="7666" w:h="12274" w:wrap="none" w:vAnchor="page" w:hAnchor="page" w:x="1801" w:y="1402"/>
              <w:rPr>
                <w:sz w:val="10"/>
                <w:szCs w:val="10"/>
              </w:rPr>
            </w:pPr>
          </w:p>
        </w:tc>
        <w:tc>
          <w:tcPr>
            <w:tcW w:w="1104" w:type="dxa"/>
            <w:tcBorders>
              <w:top w:val="single" w:sz="4" w:space="0" w:color="auto"/>
              <w:left w:val="single" w:sz="4" w:space="0" w:color="auto"/>
              <w:right w:val="single" w:sz="4" w:space="0" w:color="auto"/>
            </w:tcBorders>
            <w:shd w:val="clear" w:color="auto" w:fill="auto"/>
          </w:tcPr>
          <w:p w14:paraId="0B72C3ED" w14:textId="77777777" w:rsidR="00EC1C40" w:rsidRDefault="00EC1C40">
            <w:pPr>
              <w:framePr w:w="7666" w:h="12274" w:wrap="none" w:vAnchor="page" w:hAnchor="page" w:x="1801" w:y="1402"/>
              <w:rPr>
                <w:sz w:val="10"/>
                <w:szCs w:val="10"/>
              </w:rPr>
            </w:pPr>
          </w:p>
        </w:tc>
      </w:tr>
      <w:tr w:rsidR="00EC1C40" w14:paraId="0EE24652" w14:textId="77777777">
        <w:tblPrEx>
          <w:tblCellMar>
            <w:top w:w="0" w:type="dxa"/>
            <w:bottom w:w="0" w:type="dxa"/>
          </w:tblCellMar>
        </w:tblPrEx>
        <w:trPr>
          <w:trHeight w:hRule="exact" w:val="197"/>
        </w:trPr>
        <w:tc>
          <w:tcPr>
            <w:tcW w:w="2640" w:type="dxa"/>
            <w:tcBorders>
              <w:top w:val="single" w:sz="4" w:space="0" w:color="auto"/>
              <w:left w:val="single" w:sz="4" w:space="0" w:color="auto"/>
            </w:tcBorders>
            <w:shd w:val="clear" w:color="auto" w:fill="auto"/>
            <w:vAlign w:val="bottom"/>
          </w:tcPr>
          <w:p w14:paraId="5B1EC9D4" w14:textId="77777777" w:rsidR="00EC1C40" w:rsidRDefault="00000000">
            <w:pPr>
              <w:pStyle w:val="Jin0"/>
              <w:framePr w:w="7666" w:h="12274" w:wrap="none" w:vAnchor="page" w:hAnchor="page" w:x="1801" w:y="1402"/>
              <w:spacing w:after="0"/>
              <w:rPr>
                <w:sz w:val="15"/>
                <w:szCs w:val="15"/>
              </w:rPr>
            </w:pPr>
            <w:r>
              <w:rPr>
                <w:sz w:val="15"/>
                <w:szCs w:val="15"/>
              </w:rPr>
              <w:t>5NP</w:t>
            </w:r>
          </w:p>
        </w:tc>
        <w:tc>
          <w:tcPr>
            <w:tcW w:w="835" w:type="dxa"/>
            <w:tcBorders>
              <w:top w:val="single" w:sz="4" w:space="0" w:color="auto"/>
              <w:left w:val="single" w:sz="4" w:space="0" w:color="auto"/>
            </w:tcBorders>
            <w:shd w:val="clear" w:color="auto" w:fill="auto"/>
            <w:vAlign w:val="bottom"/>
          </w:tcPr>
          <w:p w14:paraId="4731A5CD" w14:textId="77777777" w:rsidR="00EC1C40" w:rsidRDefault="00000000">
            <w:pPr>
              <w:pStyle w:val="Jin0"/>
              <w:framePr w:w="7666" w:h="12274" w:wrap="none" w:vAnchor="page" w:hAnchor="page" w:x="1801" w:y="1402"/>
              <w:spacing w:after="0"/>
              <w:ind w:firstLine="420"/>
              <w:jc w:val="both"/>
              <w:rPr>
                <w:sz w:val="15"/>
                <w:szCs w:val="15"/>
              </w:rPr>
            </w:pPr>
            <w:r>
              <w:rPr>
                <w:sz w:val="15"/>
                <w:szCs w:val="15"/>
              </w:rPr>
              <w:t>6 160</w:t>
            </w:r>
          </w:p>
        </w:tc>
        <w:tc>
          <w:tcPr>
            <w:tcW w:w="835" w:type="dxa"/>
            <w:tcBorders>
              <w:top w:val="single" w:sz="4" w:space="0" w:color="auto"/>
              <w:left w:val="single" w:sz="4" w:space="0" w:color="auto"/>
            </w:tcBorders>
            <w:shd w:val="clear" w:color="auto" w:fill="auto"/>
            <w:vAlign w:val="bottom"/>
          </w:tcPr>
          <w:p w14:paraId="56B296DE" w14:textId="77777777" w:rsidR="00EC1C40" w:rsidRDefault="00000000">
            <w:pPr>
              <w:pStyle w:val="Jin0"/>
              <w:framePr w:w="7666" w:h="12274" w:wrap="none" w:vAnchor="page" w:hAnchor="page" w:x="1801" w:y="1402"/>
              <w:spacing w:after="0"/>
              <w:ind w:firstLine="420"/>
              <w:rPr>
                <w:sz w:val="15"/>
                <w:szCs w:val="15"/>
              </w:rPr>
            </w:pPr>
            <w:r>
              <w:rPr>
                <w:sz w:val="15"/>
                <w:szCs w:val="15"/>
              </w:rPr>
              <w:t>6 160</w:t>
            </w:r>
          </w:p>
        </w:tc>
        <w:tc>
          <w:tcPr>
            <w:tcW w:w="1037" w:type="dxa"/>
            <w:tcBorders>
              <w:top w:val="single" w:sz="4" w:space="0" w:color="auto"/>
              <w:left w:val="single" w:sz="4" w:space="0" w:color="auto"/>
            </w:tcBorders>
            <w:shd w:val="clear" w:color="auto" w:fill="auto"/>
          </w:tcPr>
          <w:p w14:paraId="1C52A3FC" w14:textId="77777777" w:rsidR="00EC1C40" w:rsidRDefault="00EC1C40">
            <w:pPr>
              <w:framePr w:w="7666" w:h="12274" w:wrap="none" w:vAnchor="page" w:hAnchor="page" w:x="1801" w:y="1402"/>
              <w:rPr>
                <w:sz w:val="10"/>
                <w:szCs w:val="10"/>
              </w:rPr>
            </w:pPr>
          </w:p>
        </w:tc>
        <w:tc>
          <w:tcPr>
            <w:tcW w:w="1214" w:type="dxa"/>
            <w:tcBorders>
              <w:top w:val="single" w:sz="4" w:space="0" w:color="auto"/>
              <w:left w:val="single" w:sz="4" w:space="0" w:color="auto"/>
            </w:tcBorders>
            <w:shd w:val="clear" w:color="auto" w:fill="auto"/>
          </w:tcPr>
          <w:p w14:paraId="2969AC27" w14:textId="77777777" w:rsidR="00EC1C40" w:rsidRDefault="00EC1C40">
            <w:pPr>
              <w:framePr w:w="7666" w:h="12274" w:wrap="none" w:vAnchor="page" w:hAnchor="page" w:x="1801" w:y="1402"/>
              <w:rPr>
                <w:sz w:val="10"/>
                <w:szCs w:val="10"/>
              </w:rPr>
            </w:pPr>
          </w:p>
        </w:tc>
        <w:tc>
          <w:tcPr>
            <w:tcW w:w="1104" w:type="dxa"/>
            <w:tcBorders>
              <w:top w:val="single" w:sz="4" w:space="0" w:color="auto"/>
              <w:left w:val="single" w:sz="4" w:space="0" w:color="auto"/>
              <w:right w:val="single" w:sz="4" w:space="0" w:color="auto"/>
            </w:tcBorders>
            <w:shd w:val="clear" w:color="auto" w:fill="auto"/>
          </w:tcPr>
          <w:p w14:paraId="55FE1115" w14:textId="77777777" w:rsidR="00EC1C40" w:rsidRDefault="00EC1C40">
            <w:pPr>
              <w:framePr w:w="7666" w:h="12274" w:wrap="none" w:vAnchor="page" w:hAnchor="page" w:x="1801" w:y="1402"/>
              <w:rPr>
                <w:sz w:val="10"/>
                <w:szCs w:val="10"/>
              </w:rPr>
            </w:pPr>
          </w:p>
        </w:tc>
      </w:tr>
      <w:tr w:rsidR="00EC1C40" w14:paraId="7A56E5B8" w14:textId="77777777">
        <w:tblPrEx>
          <w:tblCellMar>
            <w:top w:w="0" w:type="dxa"/>
            <w:bottom w:w="0" w:type="dxa"/>
          </w:tblCellMar>
        </w:tblPrEx>
        <w:trPr>
          <w:trHeight w:hRule="exact" w:val="192"/>
        </w:trPr>
        <w:tc>
          <w:tcPr>
            <w:tcW w:w="2640" w:type="dxa"/>
            <w:tcBorders>
              <w:top w:val="single" w:sz="4" w:space="0" w:color="auto"/>
              <w:left w:val="single" w:sz="4" w:space="0" w:color="auto"/>
            </w:tcBorders>
            <w:shd w:val="clear" w:color="auto" w:fill="auto"/>
          </w:tcPr>
          <w:p w14:paraId="19B07CA7" w14:textId="77777777" w:rsidR="00EC1C40" w:rsidRDefault="00000000">
            <w:pPr>
              <w:pStyle w:val="Jin0"/>
              <w:framePr w:w="7666" w:h="12274" w:wrap="none" w:vAnchor="page" w:hAnchor="page" w:x="1801" w:y="1402"/>
              <w:spacing w:after="0"/>
              <w:rPr>
                <w:sz w:val="15"/>
                <w:szCs w:val="15"/>
              </w:rPr>
            </w:pPr>
            <w:r>
              <w:rPr>
                <w:sz w:val="15"/>
                <w:szCs w:val="15"/>
              </w:rPr>
              <w:t>6NP</w:t>
            </w:r>
          </w:p>
        </w:tc>
        <w:tc>
          <w:tcPr>
            <w:tcW w:w="835" w:type="dxa"/>
            <w:tcBorders>
              <w:top w:val="single" w:sz="4" w:space="0" w:color="auto"/>
              <w:left w:val="single" w:sz="4" w:space="0" w:color="auto"/>
            </w:tcBorders>
            <w:shd w:val="clear" w:color="auto" w:fill="auto"/>
          </w:tcPr>
          <w:p w14:paraId="22AAC360" w14:textId="77777777" w:rsidR="00EC1C40" w:rsidRDefault="00000000">
            <w:pPr>
              <w:pStyle w:val="Jin0"/>
              <w:framePr w:w="7666" w:h="12274" w:wrap="none" w:vAnchor="page" w:hAnchor="page" w:x="1801" w:y="1402"/>
              <w:spacing w:after="0"/>
              <w:ind w:firstLine="420"/>
              <w:jc w:val="both"/>
              <w:rPr>
                <w:sz w:val="15"/>
                <w:szCs w:val="15"/>
              </w:rPr>
            </w:pPr>
            <w:r>
              <w:rPr>
                <w:sz w:val="15"/>
                <w:szCs w:val="15"/>
              </w:rPr>
              <w:t>6 157</w:t>
            </w:r>
          </w:p>
        </w:tc>
        <w:tc>
          <w:tcPr>
            <w:tcW w:w="835" w:type="dxa"/>
            <w:tcBorders>
              <w:top w:val="single" w:sz="4" w:space="0" w:color="auto"/>
              <w:left w:val="single" w:sz="4" w:space="0" w:color="auto"/>
            </w:tcBorders>
            <w:shd w:val="clear" w:color="auto" w:fill="auto"/>
          </w:tcPr>
          <w:p w14:paraId="0C15EFE7" w14:textId="77777777" w:rsidR="00EC1C40" w:rsidRDefault="00000000">
            <w:pPr>
              <w:pStyle w:val="Jin0"/>
              <w:framePr w:w="7666" w:h="12274" w:wrap="none" w:vAnchor="page" w:hAnchor="page" w:x="1801" w:y="1402"/>
              <w:spacing w:after="0"/>
              <w:ind w:firstLine="420"/>
              <w:rPr>
                <w:sz w:val="15"/>
                <w:szCs w:val="15"/>
              </w:rPr>
            </w:pPr>
            <w:r>
              <w:rPr>
                <w:sz w:val="15"/>
                <w:szCs w:val="15"/>
              </w:rPr>
              <w:t>6 157</w:t>
            </w:r>
          </w:p>
        </w:tc>
        <w:tc>
          <w:tcPr>
            <w:tcW w:w="1037" w:type="dxa"/>
            <w:tcBorders>
              <w:top w:val="single" w:sz="4" w:space="0" w:color="auto"/>
              <w:left w:val="single" w:sz="4" w:space="0" w:color="auto"/>
            </w:tcBorders>
            <w:shd w:val="clear" w:color="auto" w:fill="auto"/>
          </w:tcPr>
          <w:p w14:paraId="40A122F8" w14:textId="77777777" w:rsidR="00EC1C40" w:rsidRDefault="00EC1C40">
            <w:pPr>
              <w:framePr w:w="7666" w:h="12274" w:wrap="none" w:vAnchor="page" w:hAnchor="page" w:x="1801" w:y="1402"/>
              <w:rPr>
                <w:sz w:val="10"/>
                <w:szCs w:val="10"/>
              </w:rPr>
            </w:pPr>
          </w:p>
        </w:tc>
        <w:tc>
          <w:tcPr>
            <w:tcW w:w="1214" w:type="dxa"/>
            <w:tcBorders>
              <w:top w:val="single" w:sz="4" w:space="0" w:color="auto"/>
              <w:left w:val="single" w:sz="4" w:space="0" w:color="auto"/>
            </w:tcBorders>
            <w:shd w:val="clear" w:color="auto" w:fill="auto"/>
          </w:tcPr>
          <w:p w14:paraId="00C76AD3" w14:textId="77777777" w:rsidR="00EC1C40" w:rsidRDefault="00EC1C40">
            <w:pPr>
              <w:framePr w:w="7666" w:h="12274" w:wrap="none" w:vAnchor="page" w:hAnchor="page" w:x="1801" w:y="1402"/>
              <w:rPr>
                <w:sz w:val="10"/>
                <w:szCs w:val="10"/>
              </w:rPr>
            </w:pPr>
          </w:p>
        </w:tc>
        <w:tc>
          <w:tcPr>
            <w:tcW w:w="1104" w:type="dxa"/>
            <w:tcBorders>
              <w:top w:val="single" w:sz="4" w:space="0" w:color="auto"/>
              <w:left w:val="single" w:sz="4" w:space="0" w:color="auto"/>
              <w:right w:val="single" w:sz="4" w:space="0" w:color="auto"/>
            </w:tcBorders>
            <w:shd w:val="clear" w:color="auto" w:fill="auto"/>
          </w:tcPr>
          <w:p w14:paraId="7D59D540" w14:textId="77777777" w:rsidR="00EC1C40" w:rsidRDefault="00EC1C40">
            <w:pPr>
              <w:framePr w:w="7666" w:h="12274" w:wrap="none" w:vAnchor="page" w:hAnchor="page" w:x="1801" w:y="1402"/>
              <w:rPr>
                <w:sz w:val="10"/>
                <w:szCs w:val="10"/>
              </w:rPr>
            </w:pPr>
          </w:p>
        </w:tc>
      </w:tr>
      <w:tr w:rsidR="00EC1C40" w14:paraId="6B93C224" w14:textId="77777777">
        <w:tblPrEx>
          <w:tblCellMar>
            <w:top w:w="0" w:type="dxa"/>
            <w:bottom w:w="0" w:type="dxa"/>
          </w:tblCellMar>
        </w:tblPrEx>
        <w:trPr>
          <w:trHeight w:hRule="exact" w:val="197"/>
        </w:trPr>
        <w:tc>
          <w:tcPr>
            <w:tcW w:w="2640" w:type="dxa"/>
            <w:tcBorders>
              <w:top w:val="single" w:sz="4" w:space="0" w:color="auto"/>
              <w:left w:val="single" w:sz="4" w:space="0" w:color="auto"/>
            </w:tcBorders>
            <w:shd w:val="clear" w:color="auto" w:fill="auto"/>
            <w:vAlign w:val="bottom"/>
          </w:tcPr>
          <w:p w14:paraId="72B7B7C1" w14:textId="77777777" w:rsidR="00EC1C40" w:rsidRDefault="00000000">
            <w:pPr>
              <w:pStyle w:val="Jin0"/>
              <w:framePr w:w="7666" w:h="12274" w:wrap="none" w:vAnchor="page" w:hAnchor="page" w:x="1801" w:y="1402"/>
              <w:spacing w:after="0"/>
              <w:rPr>
                <w:sz w:val="15"/>
                <w:szCs w:val="15"/>
              </w:rPr>
            </w:pPr>
            <w:r>
              <w:rPr>
                <w:sz w:val="15"/>
                <w:szCs w:val="15"/>
              </w:rPr>
              <w:t>7NP</w:t>
            </w:r>
          </w:p>
        </w:tc>
        <w:tc>
          <w:tcPr>
            <w:tcW w:w="835" w:type="dxa"/>
            <w:tcBorders>
              <w:top w:val="single" w:sz="4" w:space="0" w:color="auto"/>
              <w:left w:val="single" w:sz="4" w:space="0" w:color="auto"/>
            </w:tcBorders>
            <w:shd w:val="clear" w:color="auto" w:fill="auto"/>
            <w:vAlign w:val="bottom"/>
          </w:tcPr>
          <w:p w14:paraId="0D116752" w14:textId="77777777" w:rsidR="00EC1C40" w:rsidRDefault="00000000">
            <w:pPr>
              <w:pStyle w:val="Jin0"/>
              <w:framePr w:w="7666" w:h="12274" w:wrap="none" w:vAnchor="page" w:hAnchor="page" w:x="1801" w:y="1402"/>
              <w:spacing w:after="0"/>
              <w:ind w:firstLine="420"/>
              <w:jc w:val="both"/>
              <w:rPr>
                <w:sz w:val="15"/>
                <w:szCs w:val="15"/>
              </w:rPr>
            </w:pPr>
            <w:r>
              <w:rPr>
                <w:sz w:val="15"/>
                <w:szCs w:val="15"/>
              </w:rPr>
              <w:t>6 157</w:t>
            </w:r>
          </w:p>
        </w:tc>
        <w:tc>
          <w:tcPr>
            <w:tcW w:w="835" w:type="dxa"/>
            <w:tcBorders>
              <w:top w:val="single" w:sz="4" w:space="0" w:color="auto"/>
              <w:left w:val="single" w:sz="4" w:space="0" w:color="auto"/>
            </w:tcBorders>
            <w:shd w:val="clear" w:color="auto" w:fill="auto"/>
            <w:vAlign w:val="bottom"/>
          </w:tcPr>
          <w:p w14:paraId="6FB5602C" w14:textId="77777777" w:rsidR="00EC1C40" w:rsidRDefault="00000000">
            <w:pPr>
              <w:pStyle w:val="Jin0"/>
              <w:framePr w:w="7666" w:h="12274" w:wrap="none" w:vAnchor="page" w:hAnchor="page" w:x="1801" w:y="1402"/>
              <w:spacing w:after="0"/>
              <w:ind w:firstLine="420"/>
              <w:rPr>
                <w:sz w:val="15"/>
                <w:szCs w:val="15"/>
              </w:rPr>
            </w:pPr>
            <w:r>
              <w:rPr>
                <w:sz w:val="15"/>
                <w:szCs w:val="15"/>
              </w:rPr>
              <w:t>6 157</w:t>
            </w:r>
          </w:p>
        </w:tc>
        <w:tc>
          <w:tcPr>
            <w:tcW w:w="1037" w:type="dxa"/>
            <w:tcBorders>
              <w:top w:val="single" w:sz="4" w:space="0" w:color="auto"/>
              <w:left w:val="single" w:sz="4" w:space="0" w:color="auto"/>
            </w:tcBorders>
            <w:shd w:val="clear" w:color="auto" w:fill="auto"/>
          </w:tcPr>
          <w:p w14:paraId="1C375858" w14:textId="77777777" w:rsidR="00EC1C40" w:rsidRDefault="00EC1C40">
            <w:pPr>
              <w:framePr w:w="7666" w:h="12274" w:wrap="none" w:vAnchor="page" w:hAnchor="page" w:x="1801" w:y="1402"/>
              <w:rPr>
                <w:sz w:val="10"/>
                <w:szCs w:val="10"/>
              </w:rPr>
            </w:pPr>
          </w:p>
        </w:tc>
        <w:tc>
          <w:tcPr>
            <w:tcW w:w="1214" w:type="dxa"/>
            <w:tcBorders>
              <w:top w:val="single" w:sz="4" w:space="0" w:color="auto"/>
              <w:left w:val="single" w:sz="4" w:space="0" w:color="auto"/>
            </w:tcBorders>
            <w:shd w:val="clear" w:color="auto" w:fill="auto"/>
          </w:tcPr>
          <w:p w14:paraId="1244F23A" w14:textId="77777777" w:rsidR="00EC1C40" w:rsidRDefault="00EC1C40">
            <w:pPr>
              <w:framePr w:w="7666" w:h="12274" w:wrap="none" w:vAnchor="page" w:hAnchor="page" w:x="1801" w:y="1402"/>
              <w:rPr>
                <w:sz w:val="10"/>
                <w:szCs w:val="10"/>
              </w:rPr>
            </w:pPr>
          </w:p>
        </w:tc>
        <w:tc>
          <w:tcPr>
            <w:tcW w:w="1104" w:type="dxa"/>
            <w:tcBorders>
              <w:top w:val="single" w:sz="4" w:space="0" w:color="auto"/>
              <w:left w:val="single" w:sz="4" w:space="0" w:color="auto"/>
              <w:right w:val="single" w:sz="4" w:space="0" w:color="auto"/>
            </w:tcBorders>
            <w:shd w:val="clear" w:color="auto" w:fill="auto"/>
          </w:tcPr>
          <w:p w14:paraId="7A0D4EC5" w14:textId="77777777" w:rsidR="00EC1C40" w:rsidRDefault="00EC1C40">
            <w:pPr>
              <w:framePr w:w="7666" w:h="12274" w:wrap="none" w:vAnchor="page" w:hAnchor="page" w:x="1801" w:y="1402"/>
              <w:rPr>
                <w:sz w:val="10"/>
                <w:szCs w:val="10"/>
              </w:rPr>
            </w:pPr>
          </w:p>
        </w:tc>
      </w:tr>
      <w:tr w:rsidR="00EC1C40" w14:paraId="39ECFEED" w14:textId="77777777">
        <w:tblPrEx>
          <w:tblCellMar>
            <w:top w:w="0" w:type="dxa"/>
            <w:bottom w:w="0" w:type="dxa"/>
          </w:tblCellMar>
        </w:tblPrEx>
        <w:trPr>
          <w:trHeight w:hRule="exact" w:val="192"/>
        </w:trPr>
        <w:tc>
          <w:tcPr>
            <w:tcW w:w="2640" w:type="dxa"/>
            <w:tcBorders>
              <w:top w:val="single" w:sz="4" w:space="0" w:color="auto"/>
              <w:left w:val="single" w:sz="4" w:space="0" w:color="auto"/>
            </w:tcBorders>
            <w:shd w:val="clear" w:color="auto" w:fill="auto"/>
          </w:tcPr>
          <w:p w14:paraId="1E8BD28C" w14:textId="77777777" w:rsidR="00EC1C40" w:rsidRDefault="00000000">
            <w:pPr>
              <w:pStyle w:val="Jin0"/>
              <w:framePr w:w="7666" w:h="12274" w:wrap="none" w:vAnchor="page" w:hAnchor="page" w:x="1801" w:y="1402"/>
              <w:spacing w:after="0"/>
              <w:rPr>
                <w:sz w:val="15"/>
                <w:szCs w:val="15"/>
              </w:rPr>
            </w:pPr>
            <w:r>
              <w:rPr>
                <w:sz w:val="15"/>
                <w:szCs w:val="15"/>
              </w:rPr>
              <w:t>8NP</w:t>
            </w:r>
          </w:p>
        </w:tc>
        <w:tc>
          <w:tcPr>
            <w:tcW w:w="835" w:type="dxa"/>
            <w:tcBorders>
              <w:top w:val="single" w:sz="4" w:space="0" w:color="auto"/>
              <w:left w:val="single" w:sz="4" w:space="0" w:color="auto"/>
            </w:tcBorders>
            <w:shd w:val="clear" w:color="auto" w:fill="auto"/>
          </w:tcPr>
          <w:p w14:paraId="7518F4E3" w14:textId="77777777" w:rsidR="00EC1C40" w:rsidRDefault="00000000">
            <w:pPr>
              <w:pStyle w:val="Jin0"/>
              <w:framePr w:w="7666" w:h="12274" w:wrap="none" w:vAnchor="page" w:hAnchor="page" w:x="1801" w:y="1402"/>
              <w:spacing w:after="0"/>
              <w:ind w:firstLine="420"/>
              <w:jc w:val="both"/>
              <w:rPr>
                <w:sz w:val="15"/>
                <w:szCs w:val="15"/>
              </w:rPr>
            </w:pPr>
            <w:r>
              <w:rPr>
                <w:sz w:val="15"/>
                <w:szCs w:val="15"/>
              </w:rPr>
              <w:t>6 160</w:t>
            </w:r>
          </w:p>
        </w:tc>
        <w:tc>
          <w:tcPr>
            <w:tcW w:w="835" w:type="dxa"/>
            <w:tcBorders>
              <w:top w:val="single" w:sz="4" w:space="0" w:color="auto"/>
              <w:left w:val="single" w:sz="4" w:space="0" w:color="auto"/>
            </w:tcBorders>
            <w:shd w:val="clear" w:color="auto" w:fill="auto"/>
          </w:tcPr>
          <w:p w14:paraId="597792DD" w14:textId="77777777" w:rsidR="00EC1C40" w:rsidRDefault="00000000">
            <w:pPr>
              <w:pStyle w:val="Jin0"/>
              <w:framePr w:w="7666" w:h="12274" w:wrap="none" w:vAnchor="page" w:hAnchor="page" w:x="1801" w:y="1402"/>
              <w:spacing w:after="0"/>
              <w:ind w:firstLine="420"/>
              <w:rPr>
                <w:sz w:val="15"/>
                <w:szCs w:val="15"/>
              </w:rPr>
            </w:pPr>
            <w:r>
              <w:rPr>
                <w:sz w:val="15"/>
                <w:szCs w:val="15"/>
              </w:rPr>
              <w:t>6 160</w:t>
            </w:r>
          </w:p>
        </w:tc>
        <w:tc>
          <w:tcPr>
            <w:tcW w:w="1037" w:type="dxa"/>
            <w:tcBorders>
              <w:top w:val="single" w:sz="4" w:space="0" w:color="auto"/>
              <w:left w:val="single" w:sz="4" w:space="0" w:color="auto"/>
            </w:tcBorders>
            <w:shd w:val="clear" w:color="auto" w:fill="auto"/>
          </w:tcPr>
          <w:p w14:paraId="5B49FF6D" w14:textId="77777777" w:rsidR="00EC1C40" w:rsidRDefault="00EC1C40">
            <w:pPr>
              <w:framePr w:w="7666" w:h="12274" w:wrap="none" w:vAnchor="page" w:hAnchor="page" w:x="1801" w:y="1402"/>
              <w:rPr>
                <w:sz w:val="10"/>
                <w:szCs w:val="10"/>
              </w:rPr>
            </w:pPr>
          </w:p>
        </w:tc>
        <w:tc>
          <w:tcPr>
            <w:tcW w:w="1214" w:type="dxa"/>
            <w:tcBorders>
              <w:top w:val="single" w:sz="4" w:space="0" w:color="auto"/>
              <w:left w:val="single" w:sz="4" w:space="0" w:color="auto"/>
            </w:tcBorders>
            <w:shd w:val="clear" w:color="auto" w:fill="auto"/>
          </w:tcPr>
          <w:p w14:paraId="40D8DBF4" w14:textId="77777777" w:rsidR="00EC1C40" w:rsidRDefault="00EC1C40">
            <w:pPr>
              <w:framePr w:w="7666" w:h="12274" w:wrap="none" w:vAnchor="page" w:hAnchor="page" w:x="1801" w:y="1402"/>
              <w:rPr>
                <w:sz w:val="10"/>
                <w:szCs w:val="10"/>
              </w:rPr>
            </w:pPr>
          </w:p>
        </w:tc>
        <w:tc>
          <w:tcPr>
            <w:tcW w:w="1104" w:type="dxa"/>
            <w:tcBorders>
              <w:top w:val="single" w:sz="4" w:space="0" w:color="auto"/>
              <w:left w:val="single" w:sz="4" w:space="0" w:color="auto"/>
              <w:right w:val="single" w:sz="4" w:space="0" w:color="auto"/>
            </w:tcBorders>
            <w:shd w:val="clear" w:color="auto" w:fill="auto"/>
          </w:tcPr>
          <w:p w14:paraId="5A7AF3EF" w14:textId="77777777" w:rsidR="00EC1C40" w:rsidRDefault="00EC1C40">
            <w:pPr>
              <w:framePr w:w="7666" w:h="12274" w:wrap="none" w:vAnchor="page" w:hAnchor="page" w:x="1801" w:y="1402"/>
              <w:rPr>
                <w:sz w:val="10"/>
                <w:szCs w:val="10"/>
              </w:rPr>
            </w:pPr>
          </w:p>
        </w:tc>
      </w:tr>
      <w:tr w:rsidR="00EC1C40" w14:paraId="2DCA05E4" w14:textId="77777777">
        <w:tblPrEx>
          <w:tblCellMar>
            <w:top w:w="0" w:type="dxa"/>
            <w:bottom w:w="0" w:type="dxa"/>
          </w:tblCellMar>
        </w:tblPrEx>
        <w:trPr>
          <w:trHeight w:hRule="exact" w:val="197"/>
        </w:trPr>
        <w:tc>
          <w:tcPr>
            <w:tcW w:w="2640" w:type="dxa"/>
            <w:tcBorders>
              <w:top w:val="single" w:sz="4" w:space="0" w:color="auto"/>
              <w:left w:val="single" w:sz="4" w:space="0" w:color="auto"/>
            </w:tcBorders>
            <w:shd w:val="clear" w:color="auto" w:fill="auto"/>
            <w:vAlign w:val="bottom"/>
          </w:tcPr>
          <w:p w14:paraId="53FCA18A" w14:textId="77777777" w:rsidR="00EC1C40" w:rsidRDefault="00000000">
            <w:pPr>
              <w:pStyle w:val="Jin0"/>
              <w:framePr w:w="7666" w:h="12274" w:wrap="none" w:vAnchor="page" w:hAnchor="page" w:x="1801" w:y="1402"/>
              <w:spacing w:after="0"/>
              <w:rPr>
                <w:sz w:val="15"/>
                <w:szCs w:val="15"/>
              </w:rPr>
            </w:pPr>
            <w:r>
              <w:rPr>
                <w:sz w:val="15"/>
                <w:szCs w:val="15"/>
              </w:rPr>
              <w:t>9NP</w:t>
            </w:r>
          </w:p>
        </w:tc>
        <w:tc>
          <w:tcPr>
            <w:tcW w:w="835" w:type="dxa"/>
            <w:tcBorders>
              <w:top w:val="single" w:sz="4" w:space="0" w:color="auto"/>
              <w:left w:val="single" w:sz="4" w:space="0" w:color="auto"/>
            </w:tcBorders>
            <w:shd w:val="clear" w:color="auto" w:fill="auto"/>
            <w:vAlign w:val="bottom"/>
          </w:tcPr>
          <w:p w14:paraId="1DCE0400" w14:textId="77777777" w:rsidR="00EC1C40" w:rsidRDefault="00000000">
            <w:pPr>
              <w:pStyle w:val="Jin0"/>
              <w:framePr w:w="7666" w:h="12274" w:wrap="none" w:vAnchor="page" w:hAnchor="page" w:x="1801" w:y="1402"/>
              <w:spacing w:after="0"/>
              <w:ind w:firstLine="420"/>
              <w:jc w:val="both"/>
              <w:rPr>
                <w:sz w:val="15"/>
                <w:szCs w:val="15"/>
              </w:rPr>
            </w:pPr>
            <w:r>
              <w:rPr>
                <w:sz w:val="15"/>
                <w:szCs w:val="15"/>
              </w:rPr>
              <w:t>6 141</w:t>
            </w:r>
          </w:p>
        </w:tc>
        <w:tc>
          <w:tcPr>
            <w:tcW w:w="835" w:type="dxa"/>
            <w:tcBorders>
              <w:top w:val="single" w:sz="4" w:space="0" w:color="auto"/>
              <w:left w:val="single" w:sz="4" w:space="0" w:color="auto"/>
            </w:tcBorders>
            <w:shd w:val="clear" w:color="auto" w:fill="auto"/>
            <w:vAlign w:val="bottom"/>
          </w:tcPr>
          <w:p w14:paraId="037C37D0" w14:textId="77777777" w:rsidR="00EC1C40" w:rsidRDefault="00000000">
            <w:pPr>
              <w:pStyle w:val="Jin0"/>
              <w:framePr w:w="7666" w:h="12274" w:wrap="none" w:vAnchor="page" w:hAnchor="page" w:x="1801" w:y="1402"/>
              <w:spacing w:after="0"/>
              <w:ind w:firstLine="420"/>
              <w:rPr>
                <w:sz w:val="15"/>
                <w:szCs w:val="15"/>
              </w:rPr>
            </w:pPr>
            <w:r>
              <w:rPr>
                <w:sz w:val="15"/>
                <w:szCs w:val="15"/>
              </w:rPr>
              <w:t>6 141</w:t>
            </w:r>
          </w:p>
        </w:tc>
        <w:tc>
          <w:tcPr>
            <w:tcW w:w="1037" w:type="dxa"/>
            <w:tcBorders>
              <w:top w:val="single" w:sz="4" w:space="0" w:color="auto"/>
              <w:left w:val="single" w:sz="4" w:space="0" w:color="auto"/>
            </w:tcBorders>
            <w:shd w:val="clear" w:color="auto" w:fill="auto"/>
          </w:tcPr>
          <w:p w14:paraId="4F75E8CC" w14:textId="77777777" w:rsidR="00EC1C40" w:rsidRDefault="00EC1C40">
            <w:pPr>
              <w:framePr w:w="7666" w:h="12274" w:wrap="none" w:vAnchor="page" w:hAnchor="page" w:x="1801" w:y="1402"/>
              <w:rPr>
                <w:sz w:val="10"/>
                <w:szCs w:val="10"/>
              </w:rPr>
            </w:pPr>
          </w:p>
        </w:tc>
        <w:tc>
          <w:tcPr>
            <w:tcW w:w="1214" w:type="dxa"/>
            <w:tcBorders>
              <w:top w:val="single" w:sz="4" w:space="0" w:color="auto"/>
              <w:left w:val="single" w:sz="4" w:space="0" w:color="auto"/>
            </w:tcBorders>
            <w:shd w:val="clear" w:color="auto" w:fill="auto"/>
          </w:tcPr>
          <w:p w14:paraId="7970C9D3" w14:textId="77777777" w:rsidR="00EC1C40" w:rsidRDefault="00EC1C40">
            <w:pPr>
              <w:framePr w:w="7666" w:h="12274" w:wrap="none" w:vAnchor="page" w:hAnchor="page" w:x="1801" w:y="1402"/>
              <w:rPr>
                <w:sz w:val="10"/>
                <w:szCs w:val="10"/>
              </w:rPr>
            </w:pPr>
          </w:p>
        </w:tc>
        <w:tc>
          <w:tcPr>
            <w:tcW w:w="1104" w:type="dxa"/>
            <w:tcBorders>
              <w:top w:val="single" w:sz="4" w:space="0" w:color="auto"/>
              <w:left w:val="single" w:sz="4" w:space="0" w:color="auto"/>
              <w:right w:val="single" w:sz="4" w:space="0" w:color="auto"/>
            </w:tcBorders>
            <w:shd w:val="clear" w:color="auto" w:fill="auto"/>
          </w:tcPr>
          <w:p w14:paraId="76FB9D2F" w14:textId="77777777" w:rsidR="00EC1C40" w:rsidRDefault="00EC1C40">
            <w:pPr>
              <w:framePr w:w="7666" w:h="12274" w:wrap="none" w:vAnchor="page" w:hAnchor="page" w:x="1801" w:y="1402"/>
              <w:rPr>
                <w:sz w:val="10"/>
                <w:szCs w:val="10"/>
              </w:rPr>
            </w:pPr>
          </w:p>
        </w:tc>
      </w:tr>
      <w:tr w:rsidR="00EC1C40" w14:paraId="2998CF26" w14:textId="77777777">
        <w:tblPrEx>
          <w:tblCellMar>
            <w:top w:w="0" w:type="dxa"/>
            <w:bottom w:w="0" w:type="dxa"/>
          </w:tblCellMar>
        </w:tblPrEx>
        <w:trPr>
          <w:trHeight w:hRule="exact" w:val="197"/>
        </w:trPr>
        <w:tc>
          <w:tcPr>
            <w:tcW w:w="2640" w:type="dxa"/>
            <w:tcBorders>
              <w:top w:val="single" w:sz="4" w:space="0" w:color="auto"/>
              <w:left w:val="single" w:sz="4" w:space="0" w:color="auto"/>
            </w:tcBorders>
            <w:shd w:val="clear" w:color="auto" w:fill="auto"/>
          </w:tcPr>
          <w:p w14:paraId="3A50D25F" w14:textId="77777777" w:rsidR="00EC1C40" w:rsidRDefault="00EC1C40">
            <w:pPr>
              <w:framePr w:w="7666" w:h="12274" w:wrap="none" w:vAnchor="page" w:hAnchor="page" w:x="1801" w:y="1402"/>
              <w:rPr>
                <w:sz w:val="10"/>
                <w:szCs w:val="10"/>
              </w:rPr>
            </w:pPr>
          </w:p>
        </w:tc>
        <w:tc>
          <w:tcPr>
            <w:tcW w:w="835" w:type="dxa"/>
            <w:tcBorders>
              <w:top w:val="single" w:sz="4" w:space="0" w:color="auto"/>
              <w:left w:val="single" w:sz="4" w:space="0" w:color="auto"/>
            </w:tcBorders>
            <w:shd w:val="clear" w:color="auto" w:fill="auto"/>
          </w:tcPr>
          <w:p w14:paraId="49A3587C" w14:textId="77777777" w:rsidR="00EC1C40" w:rsidRDefault="00EC1C40">
            <w:pPr>
              <w:framePr w:w="7666" w:h="12274" w:wrap="none" w:vAnchor="page" w:hAnchor="page" w:x="1801" w:y="1402"/>
              <w:rPr>
                <w:sz w:val="10"/>
                <w:szCs w:val="10"/>
              </w:rPr>
            </w:pPr>
          </w:p>
        </w:tc>
        <w:tc>
          <w:tcPr>
            <w:tcW w:w="835" w:type="dxa"/>
            <w:tcBorders>
              <w:top w:val="single" w:sz="4" w:space="0" w:color="auto"/>
              <w:left w:val="single" w:sz="4" w:space="0" w:color="auto"/>
            </w:tcBorders>
            <w:shd w:val="clear" w:color="auto" w:fill="auto"/>
          </w:tcPr>
          <w:p w14:paraId="1A865BF3" w14:textId="77777777" w:rsidR="00EC1C40" w:rsidRDefault="00EC1C40">
            <w:pPr>
              <w:framePr w:w="7666" w:h="12274" w:wrap="none" w:vAnchor="page" w:hAnchor="page" w:x="1801" w:y="1402"/>
              <w:rPr>
                <w:sz w:val="10"/>
                <w:szCs w:val="10"/>
              </w:rPr>
            </w:pPr>
          </w:p>
        </w:tc>
        <w:tc>
          <w:tcPr>
            <w:tcW w:w="1037" w:type="dxa"/>
            <w:tcBorders>
              <w:top w:val="single" w:sz="4" w:space="0" w:color="auto"/>
              <w:left w:val="single" w:sz="4" w:space="0" w:color="auto"/>
            </w:tcBorders>
            <w:shd w:val="clear" w:color="auto" w:fill="auto"/>
          </w:tcPr>
          <w:p w14:paraId="2F823705" w14:textId="77777777" w:rsidR="00EC1C40" w:rsidRDefault="00EC1C40">
            <w:pPr>
              <w:framePr w:w="7666" w:h="12274" w:wrap="none" w:vAnchor="page" w:hAnchor="page" w:x="1801" w:y="1402"/>
              <w:rPr>
                <w:sz w:val="10"/>
                <w:szCs w:val="10"/>
              </w:rPr>
            </w:pPr>
          </w:p>
        </w:tc>
        <w:tc>
          <w:tcPr>
            <w:tcW w:w="1214" w:type="dxa"/>
            <w:tcBorders>
              <w:top w:val="single" w:sz="4" w:space="0" w:color="auto"/>
              <w:left w:val="single" w:sz="4" w:space="0" w:color="auto"/>
            </w:tcBorders>
            <w:shd w:val="clear" w:color="auto" w:fill="auto"/>
          </w:tcPr>
          <w:p w14:paraId="31858812" w14:textId="77777777" w:rsidR="00EC1C40" w:rsidRDefault="00EC1C40">
            <w:pPr>
              <w:framePr w:w="7666" w:h="12274" w:wrap="none" w:vAnchor="page" w:hAnchor="page" w:x="1801" w:y="1402"/>
              <w:rPr>
                <w:sz w:val="10"/>
                <w:szCs w:val="10"/>
              </w:rPr>
            </w:pPr>
          </w:p>
        </w:tc>
        <w:tc>
          <w:tcPr>
            <w:tcW w:w="1104" w:type="dxa"/>
            <w:tcBorders>
              <w:top w:val="single" w:sz="4" w:space="0" w:color="auto"/>
              <w:left w:val="single" w:sz="4" w:space="0" w:color="auto"/>
              <w:right w:val="single" w:sz="4" w:space="0" w:color="auto"/>
            </w:tcBorders>
            <w:shd w:val="clear" w:color="auto" w:fill="auto"/>
          </w:tcPr>
          <w:p w14:paraId="6AC1D86D" w14:textId="77777777" w:rsidR="00EC1C40" w:rsidRDefault="00EC1C40">
            <w:pPr>
              <w:framePr w:w="7666" w:h="12274" w:wrap="none" w:vAnchor="page" w:hAnchor="page" w:x="1801" w:y="1402"/>
              <w:rPr>
                <w:sz w:val="10"/>
                <w:szCs w:val="10"/>
              </w:rPr>
            </w:pPr>
          </w:p>
        </w:tc>
      </w:tr>
      <w:tr w:rsidR="00EC1C40" w14:paraId="5BDBE4BA" w14:textId="77777777">
        <w:tblPrEx>
          <w:tblCellMar>
            <w:top w:w="0" w:type="dxa"/>
            <w:bottom w:w="0" w:type="dxa"/>
          </w:tblCellMar>
        </w:tblPrEx>
        <w:trPr>
          <w:trHeight w:hRule="exact" w:val="192"/>
        </w:trPr>
        <w:tc>
          <w:tcPr>
            <w:tcW w:w="2640" w:type="dxa"/>
            <w:tcBorders>
              <w:top w:val="single" w:sz="4" w:space="0" w:color="auto"/>
              <w:left w:val="single" w:sz="4" w:space="0" w:color="auto"/>
            </w:tcBorders>
            <w:shd w:val="clear" w:color="auto" w:fill="CECCCD"/>
          </w:tcPr>
          <w:p w14:paraId="664FC0D1" w14:textId="77777777" w:rsidR="00EC1C40" w:rsidRDefault="00000000">
            <w:pPr>
              <w:pStyle w:val="Jin0"/>
              <w:framePr w:w="7666" w:h="12274" w:wrap="none" w:vAnchor="page" w:hAnchor="page" w:x="1801" w:y="1402"/>
              <w:spacing w:after="0"/>
              <w:rPr>
                <w:sz w:val="15"/>
                <w:szCs w:val="15"/>
              </w:rPr>
            </w:pPr>
            <w:r>
              <w:rPr>
                <w:b/>
                <w:bCs/>
                <w:sz w:val="15"/>
                <w:szCs w:val="15"/>
                <w:lang w:val="en-US" w:eastAsia="en-US" w:bidi="en-US"/>
              </w:rPr>
              <w:t>SHOWROOM</w:t>
            </w:r>
          </w:p>
        </w:tc>
        <w:tc>
          <w:tcPr>
            <w:tcW w:w="835" w:type="dxa"/>
            <w:tcBorders>
              <w:top w:val="single" w:sz="4" w:space="0" w:color="auto"/>
              <w:left w:val="single" w:sz="4" w:space="0" w:color="auto"/>
            </w:tcBorders>
            <w:shd w:val="clear" w:color="auto" w:fill="CECCCD"/>
          </w:tcPr>
          <w:p w14:paraId="1CA4EDDE" w14:textId="77777777" w:rsidR="00EC1C40" w:rsidRDefault="00000000">
            <w:pPr>
              <w:pStyle w:val="Jin0"/>
              <w:framePr w:w="7666" w:h="12274" w:wrap="none" w:vAnchor="page" w:hAnchor="page" w:x="1801" w:y="1402"/>
              <w:spacing w:after="0"/>
              <w:ind w:firstLine="420"/>
              <w:jc w:val="both"/>
              <w:rPr>
                <w:sz w:val="15"/>
                <w:szCs w:val="15"/>
              </w:rPr>
            </w:pPr>
            <w:r>
              <w:rPr>
                <w:b/>
                <w:bCs/>
                <w:sz w:val="15"/>
                <w:szCs w:val="15"/>
              </w:rPr>
              <w:t>3 282</w:t>
            </w:r>
          </w:p>
        </w:tc>
        <w:tc>
          <w:tcPr>
            <w:tcW w:w="835" w:type="dxa"/>
            <w:tcBorders>
              <w:top w:val="single" w:sz="4" w:space="0" w:color="auto"/>
              <w:left w:val="single" w:sz="4" w:space="0" w:color="auto"/>
            </w:tcBorders>
            <w:shd w:val="clear" w:color="auto" w:fill="auto"/>
          </w:tcPr>
          <w:p w14:paraId="7E460C40" w14:textId="77777777" w:rsidR="00EC1C40" w:rsidRDefault="00EC1C40">
            <w:pPr>
              <w:framePr w:w="7666" w:h="12274" w:wrap="none" w:vAnchor="page" w:hAnchor="page" w:x="1801" w:y="1402"/>
              <w:rPr>
                <w:sz w:val="10"/>
                <w:szCs w:val="10"/>
              </w:rPr>
            </w:pPr>
          </w:p>
        </w:tc>
        <w:tc>
          <w:tcPr>
            <w:tcW w:w="1037" w:type="dxa"/>
            <w:tcBorders>
              <w:top w:val="single" w:sz="4" w:space="0" w:color="auto"/>
              <w:left w:val="single" w:sz="4" w:space="0" w:color="auto"/>
            </w:tcBorders>
            <w:shd w:val="clear" w:color="auto" w:fill="auto"/>
          </w:tcPr>
          <w:p w14:paraId="6050F2B4" w14:textId="77777777" w:rsidR="00EC1C40" w:rsidRDefault="00EC1C40">
            <w:pPr>
              <w:framePr w:w="7666" w:h="12274" w:wrap="none" w:vAnchor="page" w:hAnchor="page" w:x="1801" w:y="1402"/>
              <w:rPr>
                <w:sz w:val="10"/>
                <w:szCs w:val="10"/>
              </w:rPr>
            </w:pPr>
          </w:p>
        </w:tc>
        <w:tc>
          <w:tcPr>
            <w:tcW w:w="1214" w:type="dxa"/>
            <w:tcBorders>
              <w:top w:val="single" w:sz="4" w:space="0" w:color="auto"/>
              <w:left w:val="single" w:sz="4" w:space="0" w:color="auto"/>
            </w:tcBorders>
            <w:shd w:val="clear" w:color="auto" w:fill="auto"/>
          </w:tcPr>
          <w:p w14:paraId="1C7BBC2F" w14:textId="77777777" w:rsidR="00EC1C40" w:rsidRDefault="00EC1C40">
            <w:pPr>
              <w:framePr w:w="7666" w:h="12274" w:wrap="none" w:vAnchor="page" w:hAnchor="page" w:x="1801" w:y="1402"/>
              <w:rPr>
                <w:sz w:val="10"/>
                <w:szCs w:val="10"/>
              </w:rPr>
            </w:pPr>
          </w:p>
        </w:tc>
        <w:tc>
          <w:tcPr>
            <w:tcW w:w="1104" w:type="dxa"/>
            <w:tcBorders>
              <w:top w:val="single" w:sz="4" w:space="0" w:color="auto"/>
              <w:left w:val="single" w:sz="4" w:space="0" w:color="auto"/>
              <w:right w:val="single" w:sz="4" w:space="0" w:color="auto"/>
            </w:tcBorders>
            <w:shd w:val="clear" w:color="auto" w:fill="auto"/>
          </w:tcPr>
          <w:p w14:paraId="51EF13EA" w14:textId="77777777" w:rsidR="00EC1C40" w:rsidRDefault="00EC1C40">
            <w:pPr>
              <w:framePr w:w="7666" w:h="12274" w:wrap="none" w:vAnchor="page" w:hAnchor="page" w:x="1801" w:y="1402"/>
              <w:rPr>
                <w:sz w:val="10"/>
                <w:szCs w:val="10"/>
              </w:rPr>
            </w:pPr>
          </w:p>
        </w:tc>
      </w:tr>
      <w:tr w:rsidR="00EC1C40" w14:paraId="49A893D4" w14:textId="77777777">
        <w:tblPrEx>
          <w:tblCellMar>
            <w:top w:w="0" w:type="dxa"/>
            <w:bottom w:w="0" w:type="dxa"/>
          </w:tblCellMar>
        </w:tblPrEx>
        <w:trPr>
          <w:trHeight w:hRule="exact" w:val="197"/>
        </w:trPr>
        <w:tc>
          <w:tcPr>
            <w:tcW w:w="2640" w:type="dxa"/>
            <w:tcBorders>
              <w:top w:val="single" w:sz="4" w:space="0" w:color="auto"/>
              <w:left w:val="single" w:sz="4" w:space="0" w:color="auto"/>
            </w:tcBorders>
            <w:shd w:val="clear" w:color="auto" w:fill="auto"/>
          </w:tcPr>
          <w:p w14:paraId="1DE2A2EB" w14:textId="77777777" w:rsidR="00EC1C40" w:rsidRDefault="00000000">
            <w:pPr>
              <w:pStyle w:val="Jin0"/>
              <w:framePr w:w="7666" w:h="12274" w:wrap="none" w:vAnchor="page" w:hAnchor="page" w:x="1801" w:y="1402"/>
              <w:spacing w:after="0"/>
              <w:rPr>
                <w:sz w:val="15"/>
                <w:szCs w:val="15"/>
              </w:rPr>
            </w:pPr>
            <w:r>
              <w:rPr>
                <w:b/>
                <w:bCs/>
                <w:sz w:val="15"/>
                <w:szCs w:val="15"/>
              </w:rPr>
              <w:t>1PP</w:t>
            </w:r>
          </w:p>
        </w:tc>
        <w:tc>
          <w:tcPr>
            <w:tcW w:w="835" w:type="dxa"/>
            <w:tcBorders>
              <w:top w:val="single" w:sz="4" w:space="0" w:color="auto"/>
              <w:left w:val="single" w:sz="4" w:space="0" w:color="auto"/>
            </w:tcBorders>
            <w:shd w:val="clear" w:color="auto" w:fill="auto"/>
          </w:tcPr>
          <w:p w14:paraId="1A90C1B4" w14:textId="77777777" w:rsidR="00EC1C40" w:rsidRDefault="00000000">
            <w:pPr>
              <w:pStyle w:val="Jin0"/>
              <w:framePr w:w="7666" w:h="12274" w:wrap="none" w:vAnchor="page" w:hAnchor="page" w:x="1801" w:y="1402"/>
              <w:spacing w:after="0"/>
              <w:ind w:firstLine="540"/>
              <w:jc w:val="both"/>
              <w:rPr>
                <w:sz w:val="15"/>
                <w:szCs w:val="15"/>
              </w:rPr>
            </w:pPr>
            <w:r>
              <w:rPr>
                <w:b/>
                <w:bCs/>
                <w:sz w:val="15"/>
                <w:szCs w:val="15"/>
              </w:rPr>
              <w:t>853</w:t>
            </w:r>
          </w:p>
        </w:tc>
        <w:tc>
          <w:tcPr>
            <w:tcW w:w="835" w:type="dxa"/>
            <w:tcBorders>
              <w:top w:val="single" w:sz="4" w:space="0" w:color="auto"/>
              <w:left w:val="single" w:sz="4" w:space="0" w:color="auto"/>
            </w:tcBorders>
            <w:shd w:val="clear" w:color="auto" w:fill="auto"/>
          </w:tcPr>
          <w:p w14:paraId="3E63CFF0" w14:textId="77777777" w:rsidR="00EC1C40" w:rsidRDefault="00EC1C40">
            <w:pPr>
              <w:framePr w:w="7666" w:h="12274" w:wrap="none" w:vAnchor="page" w:hAnchor="page" w:x="1801" w:y="1402"/>
              <w:rPr>
                <w:sz w:val="10"/>
                <w:szCs w:val="10"/>
              </w:rPr>
            </w:pPr>
          </w:p>
        </w:tc>
        <w:tc>
          <w:tcPr>
            <w:tcW w:w="1037" w:type="dxa"/>
            <w:tcBorders>
              <w:top w:val="single" w:sz="4" w:space="0" w:color="auto"/>
              <w:left w:val="single" w:sz="4" w:space="0" w:color="auto"/>
            </w:tcBorders>
            <w:shd w:val="clear" w:color="auto" w:fill="auto"/>
          </w:tcPr>
          <w:p w14:paraId="162CF0D9" w14:textId="77777777" w:rsidR="00EC1C40" w:rsidRDefault="00EC1C40">
            <w:pPr>
              <w:framePr w:w="7666" w:h="12274" w:wrap="none" w:vAnchor="page" w:hAnchor="page" w:x="1801" w:y="1402"/>
              <w:rPr>
                <w:sz w:val="10"/>
                <w:szCs w:val="10"/>
              </w:rPr>
            </w:pPr>
          </w:p>
        </w:tc>
        <w:tc>
          <w:tcPr>
            <w:tcW w:w="1214" w:type="dxa"/>
            <w:tcBorders>
              <w:top w:val="single" w:sz="4" w:space="0" w:color="auto"/>
              <w:left w:val="single" w:sz="4" w:space="0" w:color="auto"/>
            </w:tcBorders>
            <w:shd w:val="clear" w:color="auto" w:fill="auto"/>
          </w:tcPr>
          <w:p w14:paraId="55207352" w14:textId="77777777" w:rsidR="00EC1C40" w:rsidRDefault="00EC1C40">
            <w:pPr>
              <w:framePr w:w="7666" w:h="12274" w:wrap="none" w:vAnchor="page" w:hAnchor="page" w:x="1801" w:y="1402"/>
              <w:rPr>
                <w:sz w:val="10"/>
                <w:szCs w:val="10"/>
              </w:rPr>
            </w:pPr>
          </w:p>
        </w:tc>
        <w:tc>
          <w:tcPr>
            <w:tcW w:w="1104" w:type="dxa"/>
            <w:tcBorders>
              <w:top w:val="single" w:sz="4" w:space="0" w:color="auto"/>
              <w:left w:val="single" w:sz="4" w:space="0" w:color="auto"/>
              <w:right w:val="single" w:sz="4" w:space="0" w:color="auto"/>
            </w:tcBorders>
            <w:shd w:val="clear" w:color="auto" w:fill="auto"/>
          </w:tcPr>
          <w:p w14:paraId="58F4FD5C" w14:textId="77777777" w:rsidR="00EC1C40" w:rsidRDefault="00EC1C40">
            <w:pPr>
              <w:framePr w:w="7666" w:h="12274" w:wrap="none" w:vAnchor="page" w:hAnchor="page" w:x="1801" w:y="1402"/>
              <w:rPr>
                <w:sz w:val="10"/>
                <w:szCs w:val="10"/>
              </w:rPr>
            </w:pPr>
          </w:p>
        </w:tc>
      </w:tr>
      <w:tr w:rsidR="00EC1C40" w14:paraId="63E37C4E" w14:textId="77777777">
        <w:tblPrEx>
          <w:tblCellMar>
            <w:top w:w="0" w:type="dxa"/>
            <w:bottom w:w="0" w:type="dxa"/>
          </w:tblCellMar>
        </w:tblPrEx>
        <w:trPr>
          <w:trHeight w:hRule="exact" w:val="192"/>
        </w:trPr>
        <w:tc>
          <w:tcPr>
            <w:tcW w:w="2640" w:type="dxa"/>
            <w:tcBorders>
              <w:top w:val="single" w:sz="4" w:space="0" w:color="auto"/>
              <w:left w:val="single" w:sz="4" w:space="0" w:color="auto"/>
            </w:tcBorders>
            <w:shd w:val="clear" w:color="auto" w:fill="auto"/>
          </w:tcPr>
          <w:p w14:paraId="633C0AF3" w14:textId="77777777" w:rsidR="00EC1C40" w:rsidRDefault="00000000">
            <w:pPr>
              <w:pStyle w:val="Jin0"/>
              <w:framePr w:w="7666" w:h="12274" w:wrap="none" w:vAnchor="page" w:hAnchor="page" w:x="1801" w:y="1402"/>
              <w:spacing w:after="0"/>
              <w:rPr>
                <w:sz w:val="15"/>
                <w:szCs w:val="15"/>
              </w:rPr>
            </w:pPr>
            <w:r>
              <w:rPr>
                <w:sz w:val="15"/>
                <w:szCs w:val="15"/>
                <w:lang w:val="en-US" w:eastAsia="en-US" w:bidi="en-US"/>
              </w:rPr>
              <w:t xml:space="preserve">SHOWROOM </w:t>
            </w:r>
            <w:r>
              <w:rPr>
                <w:sz w:val="15"/>
                <w:szCs w:val="15"/>
              </w:rPr>
              <w:t>KOMERČNÍ JEDNOTKA</w:t>
            </w:r>
          </w:p>
        </w:tc>
        <w:tc>
          <w:tcPr>
            <w:tcW w:w="835" w:type="dxa"/>
            <w:tcBorders>
              <w:top w:val="single" w:sz="4" w:space="0" w:color="auto"/>
              <w:left w:val="single" w:sz="4" w:space="0" w:color="auto"/>
            </w:tcBorders>
            <w:shd w:val="clear" w:color="auto" w:fill="auto"/>
          </w:tcPr>
          <w:p w14:paraId="117CEB70" w14:textId="77777777" w:rsidR="00EC1C40" w:rsidRDefault="00000000">
            <w:pPr>
              <w:pStyle w:val="Jin0"/>
              <w:framePr w:w="7666" w:h="12274" w:wrap="none" w:vAnchor="page" w:hAnchor="page" w:x="1801" w:y="1402"/>
              <w:spacing w:after="0"/>
              <w:ind w:firstLine="540"/>
              <w:jc w:val="both"/>
              <w:rPr>
                <w:sz w:val="15"/>
                <w:szCs w:val="15"/>
              </w:rPr>
            </w:pPr>
            <w:r>
              <w:rPr>
                <w:sz w:val="15"/>
                <w:szCs w:val="15"/>
              </w:rPr>
              <w:t>552</w:t>
            </w:r>
          </w:p>
        </w:tc>
        <w:tc>
          <w:tcPr>
            <w:tcW w:w="835" w:type="dxa"/>
            <w:tcBorders>
              <w:top w:val="single" w:sz="4" w:space="0" w:color="auto"/>
              <w:left w:val="single" w:sz="4" w:space="0" w:color="auto"/>
            </w:tcBorders>
            <w:shd w:val="clear" w:color="auto" w:fill="auto"/>
          </w:tcPr>
          <w:p w14:paraId="0060F564" w14:textId="77777777" w:rsidR="00EC1C40" w:rsidRDefault="00EC1C40">
            <w:pPr>
              <w:framePr w:w="7666" w:h="12274" w:wrap="none" w:vAnchor="page" w:hAnchor="page" w:x="1801" w:y="1402"/>
              <w:rPr>
                <w:sz w:val="10"/>
                <w:szCs w:val="10"/>
              </w:rPr>
            </w:pPr>
          </w:p>
        </w:tc>
        <w:tc>
          <w:tcPr>
            <w:tcW w:w="1037" w:type="dxa"/>
            <w:tcBorders>
              <w:top w:val="single" w:sz="4" w:space="0" w:color="auto"/>
              <w:left w:val="single" w:sz="4" w:space="0" w:color="auto"/>
            </w:tcBorders>
            <w:shd w:val="clear" w:color="auto" w:fill="auto"/>
          </w:tcPr>
          <w:p w14:paraId="22B2BEAB" w14:textId="77777777" w:rsidR="00EC1C40" w:rsidRDefault="00000000">
            <w:pPr>
              <w:pStyle w:val="Jin0"/>
              <w:framePr w:w="7666" w:h="12274" w:wrap="none" w:vAnchor="page" w:hAnchor="page" w:x="1801" w:y="1402"/>
              <w:spacing w:after="0"/>
              <w:jc w:val="right"/>
              <w:rPr>
                <w:sz w:val="15"/>
                <w:szCs w:val="15"/>
              </w:rPr>
            </w:pPr>
            <w:r>
              <w:rPr>
                <w:sz w:val="15"/>
                <w:szCs w:val="15"/>
              </w:rPr>
              <w:t>552</w:t>
            </w:r>
          </w:p>
        </w:tc>
        <w:tc>
          <w:tcPr>
            <w:tcW w:w="1214" w:type="dxa"/>
            <w:tcBorders>
              <w:top w:val="single" w:sz="4" w:space="0" w:color="auto"/>
              <w:left w:val="single" w:sz="4" w:space="0" w:color="auto"/>
            </w:tcBorders>
            <w:shd w:val="clear" w:color="auto" w:fill="auto"/>
          </w:tcPr>
          <w:p w14:paraId="3E496896" w14:textId="77777777" w:rsidR="00EC1C40" w:rsidRDefault="00000000">
            <w:pPr>
              <w:pStyle w:val="Jin0"/>
              <w:framePr w:w="7666" w:h="12274" w:wrap="none" w:vAnchor="page" w:hAnchor="page" w:x="1801" w:y="1402"/>
              <w:spacing w:after="0"/>
              <w:ind w:firstLine="840"/>
              <w:jc w:val="both"/>
              <w:rPr>
                <w:sz w:val="15"/>
                <w:szCs w:val="15"/>
              </w:rPr>
            </w:pPr>
            <w:r>
              <w:rPr>
                <w:sz w:val="15"/>
                <w:szCs w:val="15"/>
              </w:rPr>
              <w:t>100%</w:t>
            </w:r>
          </w:p>
        </w:tc>
        <w:tc>
          <w:tcPr>
            <w:tcW w:w="1104" w:type="dxa"/>
            <w:tcBorders>
              <w:top w:val="single" w:sz="4" w:space="0" w:color="auto"/>
              <w:left w:val="single" w:sz="4" w:space="0" w:color="auto"/>
              <w:right w:val="single" w:sz="4" w:space="0" w:color="auto"/>
            </w:tcBorders>
            <w:shd w:val="clear" w:color="auto" w:fill="auto"/>
          </w:tcPr>
          <w:p w14:paraId="213E08C7" w14:textId="77777777" w:rsidR="00EC1C40" w:rsidRDefault="00000000">
            <w:pPr>
              <w:pStyle w:val="Jin0"/>
              <w:framePr w:w="7666" w:h="12274" w:wrap="none" w:vAnchor="page" w:hAnchor="page" w:x="1801" w:y="1402"/>
              <w:spacing w:after="0"/>
              <w:jc w:val="right"/>
              <w:rPr>
                <w:sz w:val="15"/>
                <w:szCs w:val="15"/>
              </w:rPr>
            </w:pPr>
            <w:r>
              <w:rPr>
                <w:sz w:val="15"/>
                <w:szCs w:val="15"/>
              </w:rPr>
              <w:t>552</w:t>
            </w:r>
          </w:p>
        </w:tc>
      </w:tr>
      <w:tr w:rsidR="00EC1C40" w14:paraId="1271A50F" w14:textId="77777777">
        <w:tblPrEx>
          <w:tblCellMar>
            <w:top w:w="0" w:type="dxa"/>
            <w:bottom w:w="0" w:type="dxa"/>
          </w:tblCellMar>
        </w:tblPrEx>
        <w:trPr>
          <w:trHeight w:hRule="exact" w:val="197"/>
        </w:trPr>
        <w:tc>
          <w:tcPr>
            <w:tcW w:w="2640" w:type="dxa"/>
            <w:tcBorders>
              <w:top w:val="single" w:sz="4" w:space="0" w:color="auto"/>
              <w:left w:val="single" w:sz="4" w:space="0" w:color="auto"/>
            </w:tcBorders>
            <w:shd w:val="clear" w:color="auto" w:fill="auto"/>
          </w:tcPr>
          <w:p w14:paraId="29249727" w14:textId="77777777" w:rsidR="00EC1C40" w:rsidRDefault="00000000">
            <w:pPr>
              <w:pStyle w:val="Jin0"/>
              <w:framePr w:w="7666" w:h="12274" w:wrap="none" w:vAnchor="page" w:hAnchor="page" w:x="1801" w:y="1402"/>
              <w:spacing w:after="0"/>
              <w:rPr>
                <w:sz w:val="15"/>
                <w:szCs w:val="15"/>
              </w:rPr>
            </w:pPr>
            <w:r>
              <w:rPr>
                <w:sz w:val="15"/>
                <w:szCs w:val="15"/>
                <w:lang w:val="en-US" w:eastAsia="en-US" w:bidi="en-US"/>
              </w:rPr>
              <w:t xml:space="preserve">SHOWROOM </w:t>
            </w:r>
            <w:r>
              <w:rPr>
                <w:sz w:val="15"/>
                <w:szCs w:val="15"/>
              </w:rPr>
              <w:t>SPOLEČNÉ PROSTORY</w:t>
            </w:r>
          </w:p>
        </w:tc>
        <w:tc>
          <w:tcPr>
            <w:tcW w:w="835" w:type="dxa"/>
            <w:tcBorders>
              <w:top w:val="single" w:sz="4" w:space="0" w:color="auto"/>
              <w:left w:val="single" w:sz="4" w:space="0" w:color="auto"/>
            </w:tcBorders>
            <w:shd w:val="clear" w:color="auto" w:fill="auto"/>
          </w:tcPr>
          <w:p w14:paraId="7BC76C56" w14:textId="77777777" w:rsidR="00EC1C40" w:rsidRDefault="00000000">
            <w:pPr>
              <w:pStyle w:val="Jin0"/>
              <w:framePr w:w="7666" w:h="12274" w:wrap="none" w:vAnchor="page" w:hAnchor="page" w:x="1801" w:y="1402"/>
              <w:spacing w:after="0"/>
              <w:ind w:firstLine="600"/>
              <w:jc w:val="both"/>
              <w:rPr>
                <w:sz w:val="15"/>
                <w:szCs w:val="15"/>
              </w:rPr>
            </w:pPr>
            <w:r>
              <w:rPr>
                <w:sz w:val="15"/>
                <w:szCs w:val="15"/>
              </w:rPr>
              <w:t>95</w:t>
            </w:r>
          </w:p>
        </w:tc>
        <w:tc>
          <w:tcPr>
            <w:tcW w:w="835" w:type="dxa"/>
            <w:tcBorders>
              <w:top w:val="single" w:sz="4" w:space="0" w:color="auto"/>
              <w:left w:val="single" w:sz="4" w:space="0" w:color="auto"/>
            </w:tcBorders>
            <w:shd w:val="clear" w:color="auto" w:fill="auto"/>
          </w:tcPr>
          <w:p w14:paraId="2C940FC9" w14:textId="77777777" w:rsidR="00EC1C40" w:rsidRDefault="00EC1C40">
            <w:pPr>
              <w:framePr w:w="7666" w:h="12274" w:wrap="none" w:vAnchor="page" w:hAnchor="page" w:x="1801" w:y="1402"/>
              <w:rPr>
                <w:sz w:val="10"/>
                <w:szCs w:val="10"/>
              </w:rPr>
            </w:pPr>
          </w:p>
        </w:tc>
        <w:tc>
          <w:tcPr>
            <w:tcW w:w="1037" w:type="dxa"/>
            <w:tcBorders>
              <w:top w:val="single" w:sz="4" w:space="0" w:color="auto"/>
              <w:left w:val="single" w:sz="4" w:space="0" w:color="auto"/>
            </w:tcBorders>
            <w:shd w:val="clear" w:color="auto" w:fill="auto"/>
          </w:tcPr>
          <w:p w14:paraId="472E6544" w14:textId="77777777" w:rsidR="00EC1C40" w:rsidRDefault="00000000">
            <w:pPr>
              <w:pStyle w:val="Jin0"/>
              <w:framePr w:w="7666" w:h="12274" w:wrap="none" w:vAnchor="page" w:hAnchor="page" w:x="1801" w:y="1402"/>
              <w:spacing w:after="0"/>
              <w:jc w:val="right"/>
              <w:rPr>
                <w:sz w:val="15"/>
                <w:szCs w:val="15"/>
              </w:rPr>
            </w:pPr>
            <w:r>
              <w:rPr>
                <w:sz w:val="15"/>
                <w:szCs w:val="15"/>
              </w:rPr>
              <w:t>95</w:t>
            </w:r>
          </w:p>
        </w:tc>
        <w:tc>
          <w:tcPr>
            <w:tcW w:w="1214" w:type="dxa"/>
            <w:tcBorders>
              <w:top w:val="single" w:sz="4" w:space="0" w:color="auto"/>
              <w:left w:val="single" w:sz="4" w:space="0" w:color="auto"/>
            </w:tcBorders>
            <w:shd w:val="clear" w:color="auto" w:fill="auto"/>
          </w:tcPr>
          <w:p w14:paraId="59EFB3F9" w14:textId="77777777" w:rsidR="00EC1C40" w:rsidRDefault="00000000">
            <w:pPr>
              <w:pStyle w:val="Jin0"/>
              <w:framePr w:w="7666" w:h="12274" w:wrap="none" w:vAnchor="page" w:hAnchor="page" w:x="1801" w:y="1402"/>
              <w:spacing w:after="0"/>
              <w:ind w:firstLine="840"/>
              <w:jc w:val="both"/>
              <w:rPr>
                <w:sz w:val="15"/>
                <w:szCs w:val="15"/>
              </w:rPr>
            </w:pPr>
            <w:r>
              <w:rPr>
                <w:sz w:val="15"/>
                <w:szCs w:val="15"/>
              </w:rPr>
              <w:t>100%</w:t>
            </w:r>
          </w:p>
        </w:tc>
        <w:tc>
          <w:tcPr>
            <w:tcW w:w="1104" w:type="dxa"/>
            <w:tcBorders>
              <w:top w:val="single" w:sz="4" w:space="0" w:color="auto"/>
              <w:left w:val="single" w:sz="4" w:space="0" w:color="auto"/>
              <w:right w:val="single" w:sz="4" w:space="0" w:color="auto"/>
            </w:tcBorders>
            <w:shd w:val="clear" w:color="auto" w:fill="auto"/>
          </w:tcPr>
          <w:p w14:paraId="5BD8423A" w14:textId="77777777" w:rsidR="00EC1C40" w:rsidRDefault="00000000">
            <w:pPr>
              <w:pStyle w:val="Jin0"/>
              <w:framePr w:w="7666" w:h="12274" w:wrap="none" w:vAnchor="page" w:hAnchor="page" w:x="1801" w:y="1402"/>
              <w:spacing w:after="0"/>
              <w:jc w:val="right"/>
              <w:rPr>
                <w:sz w:val="15"/>
                <w:szCs w:val="15"/>
              </w:rPr>
            </w:pPr>
            <w:r>
              <w:rPr>
                <w:sz w:val="15"/>
                <w:szCs w:val="15"/>
              </w:rPr>
              <w:t>95</w:t>
            </w:r>
          </w:p>
        </w:tc>
      </w:tr>
      <w:tr w:rsidR="00EC1C40" w14:paraId="7408C387" w14:textId="77777777">
        <w:tblPrEx>
          <w:tblCellMar>
            <w:top w:w="0" w:type="dxa"/>
            <w:bottom w:w="0" w:type="dxa"/>
          </w:tblCellMar>
        </w:tblPrEx>
        <w:trPr>
          <w:trHeight w:hRule="exact" w:val="192"/>
        </w:trPr>
        <w:tc>
          <w:tcPr>
            <w:tcW w:w="2640" w:type="dxa"/>
            <w:tcBorders>
              <w:top w:val="single" w:sz="4" w:space="0" w:color="auto"/>
              <w:left w:val="single" w:sz="4" w:space="0" w:color="auto"/>
            </w:tcBorders>
            <w:shd w:val="clear" w:color="auto" w:fill="auto"/>
          </w:tcPr>
          <w:p w14:paraId="2CD5D8D6" w14:textId="77777777" w:rsidR="00EC1C40" w:rsidRDefault="00000000">
            <w:pPr>
              <w:pStyle w:val="Jin0"/>
              <w:framePr w:w="7666" w:h="12274" w:wrap="none" w:vAnchor="page" w:hAnchor="page" w:x="1801" w:y="1402"/>
              <w:spacing w:after="0"/>
              <w:rPr>
                <w:sz w:val="15"/>
                <w:szCs w:val="15"/>
              </w:rPr>
            </w:pPr>
            <w:r>
              <w:rPr>
                <w:sz w:val="15"/>
                <w:szCs w:val="15"/>
                <w:lang w:val="en-US" w:eastAsia="en-US" w:bidi="en-US"/>
              </w:rPr>
              <w:t xml:space="preserve">SHOWROOM </w:t>
            </w:r>
            <w:r>
              <w:rPr>
                <w:sz w:val="15"/>
                <w:szCs w:val="15"/>
              </w:rPr>
              <w:t>ZÁZEMÍ</w:t>
            </w:r>
          </w:p>
        </w:tc>
        <w:tc>
          <w:tcPr>
            <w:tcW w:w="835" w:type="dxa"/>
            <w:tcBorders>
              <w:top w:val="single" w:sz="4" w:space="0" w:color="auto"/>
              <w:left w:val="single" w:sz="4" w:space="0" w:color="auto"/>
            </w:tcBorders>
            <w:shd w:val="clear" w:color="auto" w:fill="auto"/>
          </w:tcPr>
          <w:p w14:paraId="22EC5FE9" w14:textId="77777777" w:rsidR="00EC1C40" w:rsidRDefault="00000000">
            <w:pPr>
              <w:pStyle w:val="Jin0"/>
              <w:framePr w:w="7666" w:h="12274" w:wrap="none" w:vAnchor="page" w:hAnchor="page" w:x="1801" w:y="1402"/>
              <w:spacing w:after="0"/>
              <w:ind w:firstLine="540"/>
              <w:jc w:val="both"/>
              <w:rPr>
                <w:sz w:val="15"/>
                <w:szCs w:val="15"/>
              </w:rPr>
            </w:pPr>
            <w:r>
              <w:rPr>
                <w:sz w:val="15"/>
                <w:szCs w:val="15"/>
              </w:rPr>
              <w:t>206</w:t>
            </w:r>
          </w:p>
        </w:tc>
        <w:tc>
          <w:tcPr>
            <w:tcW w:w="835" w:type="dxa"/>
            <w:tcBorders>
              <w:top w:val="single" w:sz="4" w:space="0" w:color="auto"/>
              <w:left w:val="single" w:sz="4" w:space="0" w:color="auto"/>
            </w:tcBorders>
            <w:shd w:val="clear" w:color="auto" w:fill="auto"/>
          </w:tcPr>
          <w:p w14:paraId="61284323" w14:textId="77777777" w:rsidR="00EC1C40" w:rsidRDefault="00EC1C40">
            <w:pPr>
              <w:framePr w:w="7666" w:h="12274" w:wrap="none" w:vAnchor="page" w:hAnchor="page" w:x="1801" w:y="1402"/>
              <w:rPr>
                <w:sz w:val="10"/>
                <w:szCs w:val="10"/>
              </w:rPr>
            </w:pPr>
          </w:p>
        </w:tc>
        <w:tc>
          <w:tcPr>
            <w:tcW w:w="1037" w:type="dxa"/>
            <w:tcBorders>
              <w:top w:val="single" w:sz="4" w:space="0" w:color="auto"/>
              <w:left w:val="single" w:sz="4" w:space="0" w:color="auto"/>
            </w:tcBorders>
            <w:shd w:val="clear" w:color="auto" w:fill="auto"/>
          </w:tcPr>
          <w:p w14:paraId="60A47938" w14:textId="77777777" w:rsidR="00EC1C40" w:rsidRDefault="00000000">
            <w:pPr>
              <w:pStyle w:val="Jin0"/>
              <w:framePr w:w="7666" w:h="12274" w:wrap="none" w:vAnchor="page" w:hAnchor="page" w:x="1801" w:y="1402"/>
              <w:spacing w:after="0"/>
              <w:jc w:val="right"/>
              <w:rPr>
                <w:sz w:val="15"/>
                <w:szCs w:val="15"/>
              </w:rPr>
            </w:pPr>
            <w:r>
              <w:rPr>
                <w:sz w:val="15"/>
                <w:szCs w:val="15"/>
              </w:rPr>
              <w:t>206</w:t>
            </w:r>
          </w:p>
        </w:tc>
        <w:tc>
          <w:tcPr>
            <w:tcW w:w="1214" w:type="dxa"/>
            <w:tcBorders>
              <w:top w:val="single" w:sz="4" w:space="0" w:color="auto"/>
              <w:left w:val="single" w:sz="4" w:space="0" w:color="auto"/>
            </w:tcBorders>
            <w:shd w:val="clear" w:color="auto" w:fill="auto"/>
          </w:tcPr>
          <w:p w14:paraId="20CB3B94" w14:textId="77777777" w:rsidR="00EC1C40" w:rsidRDefault="00000000">
            <w:pPr>
              <w:pStyle w:val="Jin0"/>
              <w:framePr w:w="7666" w:h="12274" w:wrap="none" w:vAnchor="page" w:hAnchor="page" w:x="1801" w:y="1402"/>
              <w:spacing w:after="0"/>
              <w:ind w:firstLine="840"/>
              <w:jc w:val="both"/>
              <w:rPr>
                <w:sz w:val="15"/>
                <w:szCs w:val="15"/>
              </w:rPr>
            </w:pPr>
            <w:r>
              <w:rPr>
                <w:sz w:val="15"/>
                <w:szCs w:val="15"/>
              </w:rPr>
              <w:t>100%</w:t>
            </w:r>
          </w:p>
        </w:tc>
        <w:tc>
          <w:tcPr>
            <w:tcW w:w="1104" w:type="dxa"/>
            <w:tcBorders>
              <w:top w:val="single" w:sz="4" w:space="0" w:color="auto"/>
              <w:left w:val="single" w:sz="4" w:space="0" w:color="auto"/>
              <w:right w:val="single" w:sz="4" w:space="0" w:color="auto"/>
            </w:tcBorders>
            <w:shd w:val="clear" w:color="auto" w:fill="auto"/>
          </w:tcPr>
          <w:p w14:paraId="2FB95543" w14:textId="77777777" w:rsidR="00EC1C40" w:rsidRDefault="00000000">
            <w:pPr>
              <w:pStyle w:val="Jin0"/>
              <w:framePr w:w="7666" w:h="12274" w:wrap="none" w:vAnchor="page" w:hAnchor="page" w:x="1801" w:y="1402"/>
              <w:spacing w:after="0"/>
              <w:jc w:val="right"/>
              <w:rPr>
                <w:sz w:val="15"/>
                <w:szCs w:val="15"/>
              </w:rPr>
            </w:pPr>
            <w:r>
              <w:rPr>
                <w:sz w:val="15"/>
                <w:szCs w:val="15"/>
              </w:rPr>
              <w:t>206</w:t>
            </w:r>
          </w:p>
        </w:tc>
      </w:tr>
      <w:tr w:rsidR="00EC1C40" w14:paraId="1BC15047" w14:textId="77777777">
        <w:tblPrEx>
          <w:tblCellMar>
            <w:top w:w="0" w:type="dxa"/>
            <w:bottom w:w="0" w:type="dxa"/>
          </w:tblCellMar>
        </w:tblPrEx>
        <w:trPr>
          <w:trHeight w:hRule="exact" w:val="192"/>
        </w:trPr>
        <w:tc>
          <w:tcPr>
            <w:tcW w:w="2640" w:type="dxa"/>
            <w:tcBorders>
              <w:top w:val="single" w:sz="4" w:space="0" w:color="auto"/>
              <w:left w:val="single" w:sz="4" w:space="0" w:color="auto"/>
            </w:tcBorders>
            <w:shd w:val="clear" w:color="auto" w:fill="auto"/>
            <w:vAlign w:val="bottom"/>
          </w:tcPr>
          <w:p w14:paraId="0F420A3B" w14:textId="77777777" w:rsidR="00EC1C40" w:rsidRDefault="00000000">
            <w:pPr>
              <w:pStyle w:val="Jin0"/>
              <w:framePr w:w="7666" w:h="12274" w:wrap="none" w:vAnchor="page" w:hAnchor="page" w:x="1801" w:y="1402"/>
              <w:spacing w:after="0"/>
              <w:rPr>
                <w:sz w:val="15"/>
                <w:szCs w:val="15"/>
              </w:rPr>
            </w:pPr>
            <w:r>
              <w:rPr>
                <w:b/>
                <w:bCs/>
                <w:sz w:val="15"/>
                <w:szCs w:val="15"/>
              </w:rPr>
              <w:t>1NP</w:t>
            </w:r>
          </w:p>
        </w:tc>
        <w:tc>
          <w:tcPr>
            <w:tcW w:w="835" w:type="dxa"/>
            <w:tcBorders>
              <w:top w:val="single" w:sz="4" w:space="0" w:color="auto"/>
              <w:left w:val="single" w:sz="4" w:space="0" w:color="auto"/>
            </w:tcBorders>
            <w:shd w:val="clear" w:color="auto" w:fill="auto"/>
            <w:vAlign w:val="bottom"/>
          </w:tcPr>
          <w:p w14:paraId="738F3A65" w14:textId="77777777" w:rsidR="00EC1C40" w:rsidRDefault="00000000">
            <w:pPr>
              <w:pStyle w:val="Jin0"/>
              <w:framePr w:w="7666" w:h="12274" w:wrap="none" w:vAnchor="page" w:hAnchor="page" w:x="1801" w:y="1402"/>
              <w:spacing w:after="0"/>
              <w:ind w:firstLine="540"/>
              <w:jc w:val="both"/>
              <w:rPr>
                <w:sz w:val="15"/>
                <w:szCs w:val="15"/>
              </w:rPr>
            </w:pPr>
            <w:r>
              <w:rPr>
                <w:b/>
                <w:bCs/>
                <w:sz w:val="15"/>
                <w:szCs w:val="15"/>
              </w:rPr>
              <w:t>860</w:t>
            </w:r>
          </w:p>
        </w:tc>
        <w:tc>
          <w:tcPr>
            <w:tcW w:w="835" w:type="dxa"/>
            <w:tcBorders>
              <w:top w:val="single" w:sz="4" w:space="0" w:color="auto"/>
              <w:left w:val="single" w:sz="4" w:space="0" w:color="auto"/>
            </w:tcBorders>
            <w:shd w:val="clear" w:color="auto" w:fill="auto"/>
          </w:tcPr>
          <w:p w14:paraId="58C02109" w14:textId="77777777" w:rsidR="00EC1C40" w:rsidRDefault="00EC1C40">
            <w:pPr>
              <w:framePr w:w="7666" w:h="12274" w:wrap="none" w:vAnchor="page" w:hAnchor="page" w:x="1801" w:y="1402"/>
              <w:rPr>
                <w:sz w:val="10"/>
                <w:szCs w:val="10"/>
              </w:rPr>
            </w:pPr>
          </w:p>
        </w:tc>
        <w:tc>
          <w:tcPr>
            <w:tcW w:w="1037" w:type="dxa"/>
            <w:tcBorders>
              <w:top w:val="single" w:sz="4" w:space="0" w:color="auto"/>
              <w:left w:val="single" w:sz="4" w:space="0" w:color="auto"/>
            </w:tcBorders>
            <w:shd w:val="clear" w:color="auto" w:fill="auto"/>
          </w:tcPr>
          <w:p w14:paraId="5DC04948" w14:textId="77777777" w:rsidR="00EC1C40" w:rsidRDefault="00EC1C40">
            <w:pPr>
              <w:framePr w:w="7666" w:h="12274" w:wrap="none" w:vAnchor="page" w:hAnchor="page" w:x="1801" w:y="1402"/>
              <w:rPr>
                <w:sz w:val="10"/>
                <w:szCs w:val="10"/>
              </w:rPr>
            </w:pPr>
          </w:p>
        </w:tc>
        <w:tc>
          <w:tcPr>
            <w:tcW w:w="1214" w:type="dxa"/>
            <w:tcBorders>
              <w:top w:val="single" w:sz="4" w:space="0" w:color="auto"/>
              <w:left w:val="single" w:sz="4" w:space="0" w:color="auto"/>
            </w:tcBorders>
            <w:shd w:val="clear" w:color="auto" w:fill="auto"/>
          </w:tcPr>
          <w:p w14:paraId="34C84864" w14:textId="77777777" w:rsidR="00EC1C40" w:rsidRDefault="00EC1C40">
            <w:pPr>
              <w:framePr w:w="7666" w:h="12274" w:wrap="none" w:vAnchor="page" w:hAnchor="page" w:x="1801" w:y="1402"/>
              <w:rPr>
                <w:sz w:val="10"/>
                <w:szCs w:val="10"/>
              </w:rPr>
            </w:pPr>
          </w:p>
        </w:tc>
        <w:tc>
          <w:tcPr>
            <w:tcW w:w="1104" w:type="dxa"/>
            <w:tcBorders>
              <w:top w:val="single" w:sz="4" w:space="0" w:color="auto"/>
              <w:left w:val="single" w:sz="4" w:space="0" w:color="auto"/>
              <w:right w:val="single" w:sz="4" w:space="0" w:color="auto"/>
            </w:tcBorders>
            <w:shd w:val="clear" w:color="auto" w:fill="auto"/>
          </w:tcPr>
          <w:p w14:paraId="028DFA20" w14:textId="77777777" w:rsidR="00EC1C40" w:rsidRDefault="00EC1C40">
            <w:pPr>
              <w:framePr w:w="7666" w:h="12274" w:wrap="none" w:vAnchor="page" w:hAnchor="page" w:x="1801" w:y="1402"/>
              <w:rPr>
                <w:sz w:val="10"/>
                <w:szCs w:val="10"/>
              </w:rPr>
            </w:pPr>
          </w:p>
        </w:tc>
      </w:tr>
      <w:tr w:rsidR="00EC1C40" w14:paraId="18C8A8AA" w14:textId="77777777">
        <w:tblPrEx>
          <w:tblCellMar>
            <w:top w:w="0" w:type="dxa"/>
            <w:bottom w:w="0" w:type="dxa"/>
          </w:tblCellMar>
        </w:tblPrEx>
        <w:trPr>
          <w:trHeight w:hRule="exact" w:val="197"/>
        </w:trPr>
        <w:tc>
          <w:tcPr>
            <w:tcW w:w="2640" w:type="dxa"/>
            <w:tcBorders>
              <w:top w:val="single" w:sz="4" w:space="0" w:color="auto"/>
              <w:left w:val="single" w:sz="4" w:space="0" w:color="auto"/>
            </w:tcBorders>
            <w:shd w:val="clear" w:color="auto" w:fill="auto"/>
          </w:tcPr>
          <w:p w14:paraId="6231858A" w14:textId="77777777" w:rsidR="00EC1C40" w:rsidRDefault="00000000">
            <w:pPr>
              <w:pStyle w:val="Jin0"/>
              <w:framePr w:w="7666" w:h="12274" w:wrap="none" w:vAnchor="page" w:hAnchor="page" w:x="1801" w:y="1402"/>
              <w:spacing w:after="0"/>
              <w:rPr>
                <w:sz w:val="15"/>
                <w:szCs w:val="15"/>
              </w:rPr>
            </w:pPr>
            <w:r>
              <w:rPr>
                <w:sz w:val="15"/>
                <w:szCs w:val="15"/>
                <w:lang w:val="en-US" w:eastAsia="en-US" w:bidi="en-US"/>
              </w:rPr>
              <w:t xml:space="preserve">SHOWROOM </w:t>
            </w:r>
            <w:r>
              <w:rPr>
                <w:sz w:val="15"/>
                <w:szCs w:val="15"/>
              </w:rPr>
              <w:t>KOMERČNÍ JEDNOTKA</w:t>
            </w:r>
          </w:p>
        </w:tc>
        <w:tc>
          <w:tcPr>
            <w:tcW w:w="835" w:type="dxa"/>
            <w:tcBorders>
              <w:top w:val="single" w:sz="4" w:space="0" w:color="auto"/>
              <w:left w:val="single" w:sz="4" w:space="0" w:color="auto"/>
            </w:tcBorders>
            <w:shd w:val="clear" w:color="auto" w:fill="auto"/>
          </w:tcPr>
          <w:p w14:paraId="20DCF67F" w14:textId="77777777" w:rsidR="00EC1C40" w:rsidRDefault="00000000">
            <w:pPr>
              <w:pStyle w:val="Jin0"/>
              <w:framePr w:w="7666" w:h="12274" w:wrap="none" w:vAnchor="page" w:hAnchor="page" w:x="1801" w:y="1402"/>
              <w:spacing w:after="0"/>
              <w:ind w:firstLine="540"/>
              <w:jc w:val="both"/>
              <w:rPr>
                <w:sz w:val="15"/>
                <w:szCs w:val="15"/>
              </w:rPr>
            </w:pPr>
            <w:r>
              <w:rPr>
                <w:sz w:val="15"/>
                <w:szCs w:val="15"/>
              </w:rPr>
              <w:t>695</w:t>
            </w:r>
          </w:p>
        </w:tc>
        <w:tc>
          <w:tcPr>
            <w:tcW w:w="835" w:type="dxa"/>
            <w:tcBorders>
              <w:top w:val="single" w:sz="4" w:space="0" w:color="auto"/>
              <w:left w:val="single" w:sz="4" w:space="0" w:color="auto"/>
            </w:tcBorders>
            <w:shd w:val="clear" w:color="auto" w:fill="auto"/>
          </w:tcPr>
          <w:p w14:paraId="57E9272C" w14:textId="77777777" w:rsidR="00EC1C40" w:rsidRDefault="00EC1C40">
            <w:pPr>
              <w:framePr w:w="7666" w:h="12274" w:wrap="none" w:vAnchor="page" w:hAnchor="page" w:x="1801" w:y="1402"/>
              <w:rPr>
                <w:sz w:val="10"/>
                <w:szCs w:val="10"/>
              </w:rPr>
            </w:pPr>
          </w:p>
        </w:tc>
        <w:tc>
          <w:tcPr>
            <w:tcW w:w="1037" w:type="dxa"/>
            <w:tcBorders>
              <w:top w:val="single" w:sz="4" w:space="0" w:color="auto"/>
              <w:left w:val="single" w:sz="4" w:space="0" w:color="auto"/>
            </w:tcBorders>
            <w:shd w:val="clear" w:color="auto" w:fill="auto"/>
          </w:tcPr>
          <w:p w14:paraId="2690B64D" w14:textId="77777777" w:rsidR="00EC1C40" w:rsidRDefault="00000000">
            <w:pPr>
              <w:pStyle w:val="Jin0"/>
              <w:framePr w:w="7666" w:h="12274" w:wrap="none" w:vAnchor="page" w:hAnchor="page" w:x="1801" w:y="1402"/>
              <w:spacing w:after="0"/>
              <w:jc w:val="right"/>
              <w:rPr>
                <w:sz w:val="15"/>
                <w:szCs w:val="15"/>
              </w:rPr>
            </w:pPr>
            <w:r>
              <w:rPr>
                <w:sz w:val="15"/>
                <w:szCs w:val="15"/>
              </w:rPr>
              <w:t>695</w:t>
            </w:r>
          </w:p>
        </w:tc>
        <w:tc>
          <w:tcPr>
            <w:tcW w:w="1214" w:type="dxa"/>
            <w:tcBorders>
              <w:top w:val="single" w:sz="4" w:space="0" w:color="auto"/>
              <w:left w:val="single" w:sz="4" w:space="0" w:color="auto"/>
            </w:tcBorders>
            <w:shd w:val="clear" w:color="auto" w:fill="auto"/>
          </w:tcPr>
          <w:p w14:paraId="18AE705B" w14:textId="77777777" w:rsidR="00EC1C40" w:rsidRDefault="00000000">
            <w:pPr>
              <w:pStyle w:val="Jin0"/>
              <w:framePr w:w="7666" w:h="12274" w:wrap="none" w:vAnchor="page" w:hAnchor="page" w:x="1801" w:y="1402"/>
              <w:spacing w:after="0"/>
              <w:ind w:firstLine="840"/>
              <w:jc w:val="both"/>
              <w:rPr>
                <w:sz w:val="15"/>
                <w:szCs w:val="15"/>
              </w:rPr>
            </w:pPr>
            <w:r>
              <w:rPr>
                <w:sz w:val="15"/>
                <w:szCs w:val="15"/>
              </w:rPr>
              <w:t>100%</w:t>
            </w:r>
          </w:p>
        </w:tc>
        <w:tc>
          <w:tcPr>
            <w:tcW w:w="1104" w:type="dxa"/>
            <w:tcBorders>
              <w:top w:val="single" w:sz="4" w:space="0" w:color="auto"/>
              <w:left w:val="single" w:sz="4" w:space="0" w:color="auto"/>
              <w:right w:val="single" w:sz="4" w:space="0" w:color="auto"/>
            </w:tcBorders>
            <w:shd w:val="clear" w:color="auto" w:fill="auto"/>
          </w:tcPr>
          <w:p w14:paraId="7719185D" w14:textId="77777777" w:rsidR="00EC1C40" w:rsidRDefault="00000000">
            <w:pPr>
              <w:pStyle w:val="Jin0"/>
              <w:framePr w:w="7666" w:h="12274" w:wrap="none" w:vAnchor="page" w:hAnchor="page" w:x="1801" w:y="1402"/>
              <w:spacing w:after="0"/>
              <w:jc w:val="right"/>
              <w:rPr>
                <w:sz w:val="15"/>
                <w:szCs w:val="15"/>
              </w:rPr>
            </w:pPr>
            <w:r>
              <w:rPr>
                <w:sz w:val="15"/>
                <w:szCs w:val="15"/>
              </w:rPr>
              <w:t>695</w:t>
            </w:r>
          </w:p>
        </w:tc>
      </w:tr>
      <w:tr w:rsidR="00EC1C40" w14:paraId="754A1C77" w14:textId="77777777">
        <w:tblPrEx>
          <w:tblCellMar>
            <w:top w:w="0" w:type="dxa"/>
            <w:bottom w:w="0" w:type="dxa"/>
          </w:tblCellMar>
        </w:tblPrEx>
        <w:trPr>
          <w:trHeight w:hRule="exact" w:val="192"/>
        </w:trPr>
        <w:tc>
          <w:tcPr>
            <w:tcW w:w="2640" w:type="dxa"/>
            <w:tcBorders>
              <w:top w:val="single" w:sz="4" w:space="0" w:color="auto"/>
              <w:left w:val="single" w:sz="4" w:space="0" w:color="auto"/>
            </w:tcBorders>
            <w:shd w:val="clear" w:color="auto" w:fill="auto"/>
          </w:tcPr>
          <w:p w14:paraId="64FB456B" w14:textId="77777777" w:rsidR="00EC1C40" w:rsidRDefault="00000000">
            <w:pPr>
              <w:pStyle w:val="Jin0"/>
              <w:framePr w:w="7666" w:h="12274" w:wrap="none" w:vAnchor="page" w:hAnchor="page" w:x="1801" w:y="1402"/>
              <w:spacing w:after="0"/>
              <w:rPr>
                <w:sz w:val="15"/>
                <w:szCs w:val="15"/>
              </w:rPr>
            </w:pPr>
            <w:r>
              <w:rPr>
                <w:sz w:val="15"/>
                <w:szCs w:val="15"/>
                <w:lang w:val="en-US" w:eastAsia="en-US" w:bidi="en-US"/>
              </w:rPr>
              <w:t xml:space="preserve">SHOWROOM </w:t>
            </w:r>
            <w:r>
              <w:rPr>
                <w:sz w:val="15"/>
                <w:szCs w:val="15"/>
              </w:rPr>
              <w:t>SPOLEČNÉ PROSTORY</w:t>
            </w:r>
          </w:p>
        </w:tc>
        <w:tc>
          <w:tcPr>
            <w:tcW w:w="835" w:type="dxa"/>
            <w:tcBorders>
              <w:top w:val="single" w:sz="4" w:space="0" w:color="auto"/>
              <w:left w:val="single" w:sz="4" w:space="0" w:color="auto"/>
            </w:tcBorders>
            <w:shd w:val="clear" w:color="auto" w:fill="auto"/>
          </w:tcPr>
          <w:p w14:paraId="16A2F48A" w14:textId="77777777" w:rsidR="00EC1C40" w:rsidRDefault="00000000">
            <w:pPr>
              <w:pStyle w:val="Jin0"/>
              <w:framePr w:w="7666" w:h="12274" w:wrap="none" w:vAnchor="page" w:hAnchor="page" w:x="1801" w:y="1402"/>
              <w:spacing w:after="0"/>
              <w:ind w:firstLine="540"/>
              <w:jc w:val="both"/>
              <w:rPr>
                <w:sz w:val="15"/>
                <w:szCs w:val="15"/>
              </w:rPr>
            </w:pPr>
            <w:r>
              <w:rPr>
                <w:sz w:val="15"/>
                <w:szCs w:val="15"/>
              </w:rPr>
              <w:t>125</w:t>
            </w:r>
          </w:p>
        </w:tc>
        <w:tc>
          <w:tcPr>
            <w:tcW w:w="835" w:type="dxa"/>
            <w:tcBorders>
              <w:top w:val="single" w:sz="4" w:space="0" w:color="auto"/>
              <w:left w:val="single" w:sz="4" w:space="0" w:color="auto"/>
            </w:tcBorders>
            <w:shd w:val="clear" w:color="auto" w:fill="auto"/>
          </w:tcPr>
          <w:p w14:paraId="048BFD5F" w14:textId="77777777" w:rsidR="00EC1C40" w:rsidRDefault="00EC1C40">
            <w:pPr>
              <w:framePr w:w="7666" w:h="12274" w:wrap="none" w:vAnchor="page" w:hAnchor="page" w:x="1801" w:y="1402"/>
              <w:rPr>
                <w:sz w:val="10"/>
                <w:szCs w:val="10"/>
              </w:rPr>
            </w:pPr>
          </w:p>
        </w:tc>
        <w:tc>
          <w:tcPr>
            <w:tcW w:w="1037" w:type="dxa"/>
            <w:tcBorders>
              <w:top w:val="single" w:sz="4" w:space="0" w:color="auto"/>
              <w:left w:val="single" w:sz="4" w:space="0" w:color="auto"/>
            </w:tcBorders>
            <w:shd w:val="clear" w:color="auto" w:fill="auto"/>
          </w:tcPr>
          <w:p w14:paraId="0983D193" w14:textId="77777777" w:rsidR="00EC1C40" w:rsidRDefault="00000000">
            <w:pPr>
              <w:pStyle w:val="Jin0"/>
              <w:framePr w:w="7666" w:h="12274" w:wrap="none" w:vAnchor="page" w:hAnchor="page" w:x="1801" w:y="1402"/>
              <w:spacing w:after="0"/>
              <w:jc w:val="right"/>
              <w:rPr>
                <w:sz w:val="15"/>
                <w:szCs w:val="15"/>
              </w:rPr>
            </w:pPr>
            <w:r>
              <w:rPr>
                <w:sz w:val="15"/>
                <w:szCs w:val="15"/>
              </w:rPr>
              <w:t>125</w:t>
            </w:r>
          </w:p>
        </w:tc>
        <w:tc>
          <w:tcPr>
            <w:tcW w:w="1214" w:type="dxa"/>
            <w:tcBorders>
              <w:top w:val="single" w:sz="4" w:space="0" w:color="auto"/>
              <w:left w:val="single" w:sz="4" w:space="0" w:color="auto"/>
            </w:tcBorders>
            <w:shd w:val="clear" w:color="auto" w:fill="auto"/>
          </w:tcPr>
          <w:p w14:paraId="210BA063" w14:textId="77777777" w:rsidR="00EC1C40" w:rsidRDefault="00000000">
            <w:pPr>
              <w:pStyle w:val="Jin0"/>
              <w:framePr w:w="7666" w:h="12274" w:wrap="none" w:vAnchor="page" w:hAnchor="page" w:x="1801" w:y="1402"/>
              <w:spacing w:after="0"/>
              <w:ind w:firstLine="840"/>
              <w:jc w:val="both"/>
              <w:rPr>
                <w:sz w:val="15"/>
                <w:szCs w:val="15"/>
              </w:rPr>
            </w:pPr>
            <w:r>
              <w:rPr>
                <w:sz w:val="15"/>
                <w:szCs w:val="15"/>
              </w:rPr>
              <w:t>100%</w:t>
            </w:r>
          </w:p>
        </w:tc>
        <w:tc>
          <w:tcPr>
            <w:tcW w:w="1104" w:type="dxa"/>
            <w:tcBorders>
              <w:top w:val="single" w:sz="4" w:space="0" w:color="auto"/>
              <w:left w:val="single" w:sz="4" w:space="0" w:color="auto"/>
              <w:right w:val="single" w:sz="4" w:space="0" w:color="auto"/>
            </w:tcBorders>
            <w:shd w:val="clear" w:color="auto" w:fill="auto"/>
          </w:tcPr>
          <w:p w14:paraId="5614C157" w14:textId="77777777" w:rsidR="00EC1C40" w:rsidRDefault="00000000">
            <w:pPr>
              <w:pStyle w:val="Jin0"/>
              <w:framePr w:w="7666" w:h="12274" w:wrap="none" w:vAnchor="page" w:hAnchor="page" w:x="1801" w:y="1402"/>
              <w:spacing w:after="0"/>
              <w:jc w:val="right"/>
              <w:rPr>
                <w:sz w:val="15"/>
                <w:szCs w:val="15"/>
              </w:rPr>
            </w:pPr>
            <w:r>
              <w:rPr>
                <w:sz w:val="15"/>
                <w:szCs w:val="15"/>
              </w:rPr>
              <w:t>125</w:t>
            </w:r>
          </w:p>
        </w:tc>
      </w:tr>
      <w:tr w:rsidR="00EC1C40" w14:paraId="61526FE3" w14:textId="77777777">
        <w:tblPrEx>
          <w:tblCellMar>
            <w:top w:w="0" w:type="dxa"/>
            <w:bottom w:w="0" w:type="dxa"/>
          </w:tblCellMar>
        </w:tblPrEx>
        <w:trPr>
          <w:trHeight w:hRule="exact" w:val="197"/>
        </w:trPr>
        <w:tc>
          <w:tcPr>
            <w:tcW w:w="2640" w:type="dxa"/>
            <w:tcBorders>
              <w:top w:val="single" w:sz="4" w:space="0" w:color="auto"/>
              <w:left w:val="single" w:sz="4" w:space="0" w:color="auto"/>
            </w:tcBorders>
            <w:shd w:val="clear" w:color="auto" w:fill="auto"/>
          </w:tcPr>
          <w:p w14:paraId="3732F6B8" w14:textId="77777777" w:rsidR="00EC1C40" w:rsidRDefault="00000000">
            <w:pPr>
              <w:pStyle w:val="Jin0"/>
              <w:framePr w:w="7666" w:h="12274" w:wrap="none" w:vAnchor="page" w:hAnchor="page" w:x="1801" w:y="1402"/>
              <w:spacing w:after="0"/>
              <w:rPr>
                <w:sz w:val="15"/>
                <w:szCs w:val="15"/>
              </w:rPr>
            </w:pPr>
            <w:r>
              <w:rPr>
                <w:sz w:val="15"/>
                <w:szCs w:val="15"/>
                <w:lang w:val="en-US" w:eastAsia="en-US" w:bidi="en-US"/>
              </w:rPr>
              <w:t xml:space="preserve">SHOWROOM </w:t>
            </w:r>
            <w:r>
              <w:rPr>
                <w:sz w:val="15"/>
                <w:szCs w:val="15"/>
              </w:rPr>
              <w:t>ZÁZEMÍ</w:t>
            </w:r>
          </w:p>
        </w:tc>
        <w:tc>
          <w:tcPr>
            <w:tcW w:w="835" w:type="dxa"/>
            <w:tcBorders>
              <w:top w:val="single" w:sz="4" w:space="0" w:color="auto"/>
              <w:left w:val="single" w:sz="4" w:space="0" w:color="auto"/>
            </w:tcBorders>
            <w:shd w:val="clear" w:color="auto" w:fill="auto"/>
          </w:tcPr>
          <w:p w14:paraId="392FC37E" w14:textId="77777777" w:rsidR="00EC1C40" w:rsidRDefault="00000000">
            <w:pPr>
              <w:pStyle w:val="Jin0"/>
              <w:framePr w:w="7666" w:h="12274" w:wrap="none" w:vAnchor="page" w:hAnchor="page" w:x="1801" w:y="1402"/>
              <w:spacing w:after="0"/>
              <w:ind w:firstLine="600"/>
              <w:jc w:val="both"/>
              <w:rPr>
                <w:sz w:val="15"/>
                <w:szCs w:val="15"/>
              </w:rPr>
            </w:pPr>
            <w:r>
              <w:rPr>
                <w:sz w:val="15"/>
                <w:szCs w:val="15"/>
              </w:rPr>
              <w:t>40</w:t>
            </w:r>
          </w:p>
        </w:tc>
        <w:tc>
          <w:tcPr>
            <w:tcW w:w="835" w:type="dxa"/>
            <w:tcBorders>
              <w:top w:val="single" w:sz="4" w:space="0" w:color="auto"/>
              <w:left w:val="single" w:sz="4" w:space="0" w:color="auto"/>
            </w:tcBorders>
            <w:shd w:val="clear" w:color="auto" w:fill="auto"/>
          </w:tcPr>
          <w:p w14:paraId="786B79A9" w14:textId="77777777" w:rsidR="00EC1C40" w:rsidRDefault="00EC1C40">
            <w:pPr>
              <w:framePr w:w="7666" w:h="12274" w:wrap="none" w:vAnchor="page" w:hAnchor="page" w:x="1801" w:y="1402"/>
              <w:rPr>
                <w:sz w:val="10"/>
                <w:szCs w:val="10"/>
              </w:rPr>
            </w:pPr>
          </w:p>
        </w:tc>
        <w:tc>
          <w:tcPr>
            <w:tcW w:w="1037" w:type="dxa"/>
            <w:tcBorders>
              <w:top w:val="single" w:sz="4" w:space="0" w:color="auto"/>
              <w:left w:val="single" w:sz="4" w:space="0" w:color="auto"/>
            </w:tcBorders>
            <w:shd w:val="clear" w:color="auto" w:fill="auto"/>
          </w:tcPr>
          <w:p w14:paraId="4E272DC6" w14:textId="77777777" w:rsidR="00EC1C40" w:rsidRDefault="00000000">
            <w:pPr>
              <w:pStyle w:val="Jin0"/>
              <w:framePr w:w="7666" w:h="12274" w:wrap="none" w:vAnchor="page" w:hAnchor="page" w:x="1801" w:y="1402"/>
              <w:spacing w:after="0"/>
              <w:jc w:val="right"/>
              <w:rPr>
                <w:sz w:val="15"/>
                <w:szCs w:val="15"/>
              </w:rPr>
            </w:pPr>
            <w:r>
              <w:rPr>
                <w:sz w:val="15"/>
                <w:szCs w:val="15"/>
              </w:rPr>
              <w:t>40</w:t>
            </w:r>
          </w:p>
        </w:tc>
        <w:tc>
          <w:tcPr>
            <w:tcW w:w="1214" w:type="dxa"/>
            <w:tcBorders>
              <w:top w:val="single" w:sz="4" w:space="0" w:color="auto"/>
              <w:left w:val="single" w:sz="4" w:space="0" w:color="auto"/>
            </w:tcBorders>
            <w:shd w:val="clear" w:color="auto" w:fill="auto"/>
          </w:tcPr>
          <w:p w14:paraId="5013D5A0" w14:textId="77777777" w:rsidR="00EC1C40" w:rsidRDefault="00000000">
            <w:pPr>
              <w:pStyle w:val="Jin0"/>
              <w:framePr w:w="7666" w:h="12274" w:wrap="none" w:vAnchor="page" w:hAnchor="page" w:x="1801" w:y="1402"/>
              <w:spacing w:after="0"/>
              <w:ind w:firstLine="840"/>
              <w:jc w:val="both"/>
              <w:rPr>
                <w:sz w:val="15"/>
                <w:szCs w:val="15"/>
              </w:rPr>
            </w:pPr>
            <w:r>
              <w:rPr>
                <w:sz w:val="15"/>
                <w:szCs w:val="15"/>
              </w:rPr>
              <w:t>100%</w:t>
            </w:r>
          </w:p>
        </w:tc>
        <w:tc>
          <w:tcPr>
            <w:tcW w:w="1104" w:type="dxa"/>
            <w:tcBorders>
              <w:top w:val="single" w:sz="4" w:space="0" w:color="auto"/>
              <w:left w:val="single" w:sz="4" w:space="0" w:color="auto"/>
              <w:right w:val="single" w:sz="4" w:space="0" w:color="auto"/>
            </w:tcBorders>
            <w:shd w:val="clear" w:color="auto" w:fill="auto"/>
          </w:tcPr>
          <w:p w14:paraId="23F74D05" w14:textId="77777777" w:rsidR="00EC1C40" w:rsidRDefault="00000000">
            <w:pPr>
              <w:pStyle w:val="Jin0"/>
              <w:framePr w:w="7666" w:h="12274" w:wrap="none" w:vAnchor="page" w:hAnchor="page" w:x="1801" w:y="1402"/>
              <w:spacing w:after="0"/>
              <w:jc w:val="right"/>
              <w:rPr>
                <w:sz w:val="15"/>
                <w:szCs w:val="15"/>
              </w:rPr>
            </w:pPr>
            <w:r>
              <w:rPr>
                <w:sz w:val="15"/>
                <w:szCs w:val="15"/>
              </w:rPr>
              <w:t>40</w:t>
            </w:r>
          </w:p>
        </w:tc>
      </w:tr>
      <w:tr w:rsidR="00EC1C40" w14:paraId="008EA0DF" w14:textId="77777777">
        <w:tblPrEx>
          <w:tblCellMar>
            <w:top w:w="0" w:type="dxa"/>
            <w:bottom w:w="0" w:type="dxa"/>
          </w:tblCellMar>
        </w:tblPrEx>
        <w:trPr>
          <w:trHeight w:hRule="exact" w:val="192"/>
        </w:trPr>
        <w:tc>
          <w:tcPr>
            <w:tcW w:w="2640" w:type="dxa"/>
            <w:tcBorders>
              <w:top w:val="single" w:sz="4" w:space="0" w:color="auto"/>
              <w:left w:val="single" w:sz="4" w:space="0" w:color="auto"/>
            </w:tcBorders>
            <w:shd w:val="clear" w:color="auto" w:fill="auto"/>
          </w:tcPr>
          <w:p w14:paraId="329B44B6" w14:textId="77777777" w:rsidR="00EC1C40" w:rsidRDefault="00000000">
            <w:pPr>
              <w:pStyle w:val="Jin0"/>
              <w:framePr w:w="7666" w:h="12274" w:wrap="none" w:vAnchor="page" w:hAnchor="page" w:x="1801" w:y="1402"/>
              <w:spacing w:after="0"/>
              <w:rPr>
                <w:sz w:val="15"/>
                <w:szCs w:val="15"/>
              </w:rPr>
            </w:pPr>
            <w:r>
              <w:rPr>
                <w:b/>
                <w:bCs/>
                <w:sz w:val="15"/>
                <w:szCs w:val="15"/>
              </w:rPr>
              <w:t>2NP</w:t>
            </w:r>
          </w:p>
        </w:tc>
        <w:tc>
          <w:tcPr>
            <w:tcW w:w="835" w:type="dxa"/>
            <w:tcBorders>
              <w:top w:val="single" w:sz="4" w:space="0" w:color="auto"/>
              <w:left w:val="single" w:sz="4" w:space="0" w:color="auto"/>
            </w:tcBorders>
            <w:shd w:val="clear" w:color="auto" w:fill="auto"/>
          </w:tcPr>
          <w:p w14:paraId="09A7CD84" w14:textId="77777777" w:rsidR="00EC1C40" w:rsidRDefault="00000000">
            <w:pPr>
              <w:pStyle w:val="Jin0"/>
              <w:framePr w:w="7666" w:h="12274" w:wrap="none" w:vAnchor="page" w:hAnchor="page" w:x="1801" w:y="1402"/>
              <w:spacing w:after="0"/>
              <w:ind w:firstLine="540"/>
              <w:jc w:val="both"/>
              <w:rPr>
                <w:sz w:val="15"/>
                <w:szCs w:val="15"/>
              </w:rPr>
            </w:pPr>
            <w:r>
              <w:rPr>
                <w:b/>
                <w:bCs/>
                <w:sz w:val="15"/>
                <w:szCs w:val="15"/>
              </w:rPr>
              <w:t>879</w:t>
            </w:r>
          </w:p>
        </w:tc>
        <w:tc>
          <w:tcPr>
            <w:tcW w:w="835" w:type="dxa"/>
            <w:tcBorders>
              <w:top w:val="single" w:sz="4" w:space="0" w:color="auto"/>
              <w:left w:val="single" w:sz="4" w:space="0" w:color="auto"/>
            </w:tcBorders>
            <w:shd w:val="clear" w:color="auto" w:fill="auto"/>
          </w:tcPr>
          <w:p w14:paraId="0583FACD" w14:textId="77777777" w:rsidR="00EC1C40" w:rsidRDefault="00EC1C40">
            <w:pPr>
              <w:framePr w:w="7666" w:h="12274" w:wrap="none" w:vAnchor="page" w:hAnchor="page" w:x="1801" w:y="1402"/>
              <w:rPr>
                <w:sz w:val="10"/>
                <w:szCs w:val="10"/>
              </w:rPr>
            </w:pPr>
          </w:p>
        </w:tc>
        <w:tc>
          <w:tcPr>
            <w:tcW w:w="1037" w:type="dxa"/>
            <w:tcBorders>
              <w:top w:val="single" w:sz="4" w:space="0" w:color="auto"/>
              <w:left w:val="single" w:sz="4" w:space="0" w:color="auto"/>
            </w:tcBorders>
            <w:shd w:val="clear" w:color="auto" w:fill="auto"/>
          </w:tcPr>
          <w:p w14:paraId="333946A4" w14:textId="77777777" w:rsidR="00EC1C40" w:rsidRDefault="00EC1C40">
            <w:pPr>
              <w:framePr w:w="7666" w:h="12274" w:wrap="none" w:vAnchor="page" w:hAnchor="page" w:x="1801" w:y="1402"/>
              <w:rPr>
                <w:sz w:val="10"/>
                <w:szCs w:val="10"/>
              </w:rPr>
            </w:pPr>
          </w:p>
        </w:tc>
        <w:tc>
          <w:tcPr>
            <w:tcW w:w="1214" w:type="dxa"/>
            <w:tcBorders>
              <w:top w:val="single" w:sz="4" w:space="0" w:color="auto"/>
              <w:left w:val="single" w:sz="4" w:space="0" w:color="auto"/>
            </w:tcBorders>
            <w:shd w:val="clear" w:color="auto" w:fill="auto"/>
          </w:tcPr>
          <w:p w14:paraId="3757D5F3" w14:textId="77777777" w:rsidR="00EC1C40" w:rsidRDefault="00EC1C40">
            <w:pPr>
              <w:framePr w:w="7666" w:h="12274" w:wrap="none" w:vAnchor="page" w:hAnchor="page" w:x="1801" w:y="1402"/>
              <w:rPr>
                <w:sz w:val="10"/>
                <w:szCs w:val="10"/>
              </w:rPr>
            </w:pPr>
          </w:p>
        </w:tc>
        <w:tc>
          <w:tcPr>
            <w:tcW w:w="1104" w:type="dxa"/>
            <w:tcBorders>
              <w:top w:val="single" w:sz="4" w:space="0" w:color="auto"/>
              <w:left w:val="single" w:sz="4" w:space="0" w:color="auto"/>
              <w:right w:val="single" w:sz="4" w:space="0" w:color="auto"/>
            </w:tcBorders>
            <w:shd w:val="clear" w:color="auto" w:fill="auto"/>
          </w:tcPr>
          <w:p w14:paraId="3FB792FC" w14:textId="77777777" w:rsidR="00EC1C40" w:rsidRDefault="00EC1C40">
            <w:pPr>
              <w:framePr w:w="7666" w:h="12274" w:wrap="none" w:vAnchor="page" w:hAnchor="page" w:x="1801" w:y="1402"/>
              <w:rPr>
                <w:sz w:val="10"/>
                <w:szCs w:val="10"/>
              </w:rPr>
            </w:pPr>
          </w:p>
        </w:tc>
      </w:tr>
      <w:tr w:rsidR="00EC1C40" w14:paraId="7585903E" w14:textId="77777777">
        <w:tblPrEx>
          <w:tblCellMar>
            <w:top w:w="0" w:type="dxa"/>
            <w:bottom w:w="0" w:type="dxa"/>
          </w:tblCellMar>
        </w:tblPrEx>
        <w:trPr>
          <w:trHeight w:hRule="exact" w:val="197"/>
        </w:trPr>
        <w:tc>
          <w:tcPr>
            <w:tcW w:w="2640" w:type="dxa"/>
            <w:tcBorders>
              <w:top w:val="single" w:sz="4" w:space="0" w:color="auto"/>
              <w:left w:val="single" w:sz="4" w:space="0" w:color="auto"/>
            </w:tcBorders>
            <w:shd w:val="clear" w:color="auto" w:fill="auto"/>
            <w:vAlign w:val="bottom"/>
          </w:tcPr>
          <w:p w14:paraId="7ABE3DE3" w14:textId="77777777" w:rsidR="00EC1C40" w:rsidRDefault="00000000">
            <w:pPr>
              <w:pStyle w:val="Jin0"/>
              <w:framePr w:w="7666" w:h="12274" w:wrap="none" w:vAnchor="page" w:hAnchor="page" w:x="1801" w:y="1402"/>
              <w:spacing w:after="0"/>
              <w:rPr>
                <w:sz w:val="15"/>
                <w:szCs w:val="15"/>
              </w:rPr>
            </w:pPr>
            <w:r>
              <w:rPr>
                <w:sz w:val="15"/>
                <w:szCs w:val="15"/>
              </w:rPr>
              <w:t>BYTY</w:t>
            </w:r>
          </w:p>
        </w:tc>
        <w:tc>
          <w:tcPr>
            <w:tcW w:w="835" w:type="dxa"/>
            <w:tcBorders>
              <w:top w:val="single" w:sz="4" w:space="0" w:color="auto"/>
              <w:left w:val="single" w:sz="4" w:space="0" w:color="auto"/>
            </w:tcBorders>
            <w:shd w:val="clear" w:color="auto" w:fill="auto"/>
            <w:vAlign w:val="bottom"/>
          </w:tcPr>
          <w:p w14:paraId="6F59141D" w14:textId="77777777" w:rsidR="00EC1C40" w:rsidRDefault="00000000">
            <w:pPr>
              <w:pStyle w:val="Jin0"/>
              <w:framePr w:w="7666" w:h="12274" w:wrap="none" w:vAnchor="page" w:hAnchor="page" w:x="1801" w:y="1402"/>
              <w:spacing w:after="0"/>
              <w:ind w:firstLine="540"/>
              <w:jc w:val="both"/>
              <w:rPr>
                <w:sz w:val="15"/>
                <w:szCs w:val="15"/>
              </w:rPr>
            </w:pPr>
            <w:r>
              <w:rPr>
                <w:sz w:val="15"/>
                <w:szCs w:val="15"/>
              </w:rPr>
              <w:t>389</w:t>
            </w:r>
          </w:p>
        </w:tc>
        <w:tc>
          <w:tcPr>
            <w:tcW w:w="835" w:type="dxa"/>
            <w:tcBorders>
              <w:top w:val="single" w:sz="4" w:space="0" w:color="auto"/>
              <w:left w:val="single" w:sz="4" w:space="0" w:color="auto"/>
            </w:tcBorders>
            <w:shd w:val="clear" w:color="auto" w:fill="auto"/>
          </w:tcPr>
          <w:p w14:paraId="4765A26F" w14:textId="77777777" w:rsidR="00EC1C40" w:rsidRDefault="00EC1C40">
            <w:pPr>
              <w:framePr w:w="7666" w:h="12274" w:wrap="none" w:vAnchor="page" w:hAnchor="page" w:x="1801" w:y="1402"/>
              <w:rPr>
                <w:sz w:val="10"/>
                <w:szCs w:val="10"/>
              </w:rPr>
            </w:pPr>
          </w:p>
        </w:tc>
        <w:tc>
          <w:tcPr>
            <w:tcW w:w="1037" w:type="dxa"/>
            <w:tcBorders>
              <w:top w:val="single" w:sz="4" w:space="0" w:color="auto"/>
              <w:left w:val="single" w:sz="4" w:space="0" w:color="auto"/>
            </w:tcBorders>
            <w:shd w:val="clear" w:color="auto" w:fill="auto"/>
            <w:vAlign w:val="bottom"/>
          </w:tcPr>
          <w:p w14:paraId="21154695" w14:textId="77777777" w:rsidR="00EC1C40" w:rsidRDefault="00000000">
            <w:pPr>
              <w:pStyle w:val="Jin0"/>
              <w:framePr w:w="7666" w:h="12274" w:wrap="none" w:vAnchor="page" w:hAnchor="page" w:x="1801" w:y="1402"/>
              <w:spacing w:after="0"/>
              <w:jc w:val="right"/>
              <w:rPr>
                <w:sz w:val="15"/>
                <w:szCs w:val="15"/>
              </w:rPr>
            </w:pPr>
            <w:r>
              <w:rPr>
                <w:sz w:val="15"/>
                <w:szCs w:val="15"/>
              </w:rPr>
              <w:t>389</w:t>
            </w:r>
          </w:p>
        </w:tc>
        <w:tc>
          <w:tcPr>
            <w:tcW w:w="1214" w:type="dxa"/>
            <w:tcBorders>
              <w:top w:val="single" w:sz="4" w:space="0" w:color="auto"/>
              <w:left w:val="single" w:sz="4" w:space="0" w:color="auto"/>
            </w:tcBorders>
            <w:shd w:val="clear" w:color="auto" w:fill="auto"/>
            <w:vAlign w:val="bottom"/>
          </w:tcPr>
          <w:p w14:paraId="484175D4" w14:textId="77777777" w:rsidR="00EC1C40" w:rsidRDefault="00000000">
            <w:pPr>
              <w:pStyle w:val="Jin0"/>
              <w:framePr w:w="7666" w:h="12274" w:wrap="none" w:vAnchor="page" w:hAnchor="page" w:x="1801" w:y="1402"/>
              <w:spacing w:after="0"/>
              <w:ind w:firstLine="840"/>
              <w:jc w:val="both"/>
              <w:rPr>
                <w:sz w:val="15"/>
                <w:szCs w:val="15"/>
              </w:rPr>
            </w:pPr>
            <w:r>
              <w:rPr>
                <w:sz w:val="15"/>
                <w:szCs w:val="15"/>
              </w:rPr>
              <w:t>100%</w:t>
            </w:r>
          </w:p>
        </w:tc>
        <w:tc>
          <w:tcPr>
            <w:tcW w:w="1104" w:type="dxa"/>
            <w:tcBorders>
              <w:top w:val="single" w:sz="4" w:space="0" w:color="auto"/>
              <w:left w:val="single" w:sz="4" w:space="0" w:color="auto"/>
              <w:right w:val="single" w:sz="4" w:space="0" w:color="auto"/>
            </w:tcBorders>
            <w:shd w:val="clear" w:color="auto" w:fill="auto"/>
            <w:vAlign w:val="bottom"/>
          </w:tcPr>
          <w:p w14:paraId="12522C98" w14:textId="77777777" w:rsidR="00EC1C40" w:rsidRDefault="00000000">
            <w:pPr>
              <w:pStyle w:val="Jin0"/>
              <w:framePr w:w="7666" w:h="12274" w:wrap="none" w:vAnchor="page" w:hAnchor="page" w:x="1801" w:y="1402"/>
              <w:spacing w:after="0"/>
              <w:jc w:val="right"/>
              <w:rPr>
                <w:sz w:val="15"/>
                <w:szCs w:val="15"/>
              </w:rPr>
            </w:pPr>
            <w:r>
              <w:rPr>
                <w:sz w:val="15"/>
                <w:szCs w:val="15"/>
              </w:rPr>
              <w:t>389</w:t>
            </w:r>
          </w:p>
        </w:tc>
      </w:tr>
      <w:tr w:rsidR="00EC1C40" w14:paraId="3B11DB95" w14:textId="77777777">
        <w:tblPrEx>
          <w:tblCellMar>
            <w:top w:w="0" w:type="dxa"/>
            <w:bottom w:w="0" w:type="dxa"/>
          </w:tblCellMar>
        </w:tblPrEx>
        <w:trPr>
          <w:trHeight w:hRule="exact" w:val="197"/>
        </w:trPr>
        <w:tc>
          <w:tcPr>
            <w:tcW w:w="2640" w:type="dxa"/>
            <w:tcBorders>
              <w:top w:val="single" w:sz="4" w:space="0" w:color="auto"/>
              <w:left w:val="single" w:sz="4" w:space="0" w:color="auto"/>
            </w:tcBorders>
            <w:shd w:val="clear" w:color="auto" w:fill="auto"/>
          </w:tcPr>
          <w:p w14:paraId="1FFB903D" w14:textId="77777777" w:rsidR="00EC1C40" w:rsidRDefault="00000000">
            <w:pPr>
              <w:pStyle w:val="Jin0"/>
              <w:framePr w:w="7666" w:h="12274" w:wrap="none" w:vAnchor="page" w:hAnchor="page" w:x="1801" w:y="1402"/>
              <w:spacing w:after="0"/>
              <w:rPr>
                <w:sz w:val="15"/>
                <w:szCs w:val="15"/>
              </w:rPr>
            </w:pPr>
            <w:r>
              <w:rPr>
                <w:sz w:val="15"/>
                <w:szCs w:val="15"/>
                <w:lang w:val="en-US" w:eastAsia="en-US" w:bidi="en-US"/>
              </w:rPr>
              <w:t xml:space="preserve">SHOWROOM </w:t>
            </w:r>
            <w:r>
              <w:rPr>
                <w:sz w:val="15"/>
                <w:szCs w:val="15"/>
              </w:rPr>
              <w:t>KOMERČNÍ JEDNOTKA</w:t>
            </w:r>
          </w:p>
        </w:tc>
        <w:tc>
          <w:tcPr>
            <w:tcW w:w="835" w:type="dxa"/>
            <w:tcBorders>
              <w:top w:val="single" w:sz="4" w:space="0" w:color="auto"/>
              <w:left w:val="single" w:sz="4" w:space="0" w:color="auto"/>
            </w:tcBorders>
            <w:shd w:val="clear" w:color="auto" w:fill="auto"/>
          </w:tcPr>
          <w:p w14:paraId="10D9356D" w14:textId="77777777" w:rsidR="00EC1C40" w:rsidRDefault="00000000">
            <w:pPr>
              <w:pStyle w:val="Jin0"/>
              <w:framePr w:w="7666" w:h="12274" w:wrap="none" w:vAnchor="page" w:hAnchor="page" w:x="1801" w:y="1402"/>
              <w:spacing w:after="0"/>
              <w:ind w:firstLine="540"/>
              <w:jc w:val="both"/>
              <w:rPr>
                <w:sz w:val="15"/>
                <w:szCs w:val="15"/>
              </w:rPr>
            </w:pPr>
            <w:r>
              <w:rPr>
                <w:sz w:val="15"/>
                <w:szCs w:val="15"/>
              </w:rPr>
              <w:t>416</w:t>
            </w:r>
          </w:p>
        </w:tc>
        <w:tc>
          <w:tcPr>
            <w:tcW w:w="835" w:type="dxa"/>
            <w:tcBorders>
              <w:top w:val="single" w:sz="4" w:space="0" w:color="auto"/>
              <w:left w:val="single" w:sz="4" w:space="0" w:color="auto"/>
            </w:tcBorders>
            <w:shd w:val="clear" w:color="auto" w:fill="auto"/>
          </w:tcPr>
          <w:p w14:paraId="77E35216" w14:textId="77777777" w:rsidR="00EC1C40" w:rsidRDefault="00EC1C40">
            <w:pPr>
              <w:framePr w:w="7666" w:h="12274" w:wrap="none" w:vAnchor="page" w:hAnchor="page" w:x="1801" w:y="1402"/>
              <w:rPr>
                <w:sz w:val="10"/>
                <w:szCs w:val="10"/>
              </w:rPr>
            </w:pPr>
          </w:p>
        </w:tc>
        <w:tc>
          <w:tcPr>
            <w:tcW w:w="1037" w:type="dxa"/>
            <w:tcBorders>
              <w:top w:val="single" w:sz="4" w:space="0" w:color="auto"/>
              <w:left w:val="single" w:sz="4" w:space="0" w:color="auto"/>
            </w:tcBorders>
            <w:shd w:val="clear" w:color="auto" w:fill="auto"/>
          </w:tcPr>
          <w:p w14:paraId="66D11EBC" w14:textId="77777777" w:rsidR="00EC1C40" w:rsidRDefault="00000000">
            <w:pPr>
              <w:pStyle w:val="Jin0"/>
              <w:framePr w:w="7666" w:h="12274" w:wrap="none" w:vAnchor="page" w:hAnchor="page" w:x="1801" w:y="1402"/>
              <w:spacing w:after="0"/>
              <w:jc w:val="right"/>
              <w:rPr>
                <w:sz w:val="15"/>
                <w:szCs w:val="15"/>
              </w:rPr>
            </w:pPr>
            <w:r>
              <w:rPr>
                <w:sz w:val="15"/>
                <w:szCs w:val="15"/>
              </w:rPr>
              <w:t>416</w:t>
            </w:r>
          </w:p>
        </w:tc>
        <w:tc>
          <w:tcPr>
            <w:tcW w:w="1214" w:type="dxa"/>
            <w:tcBorders>
              <w:top w:val="single" w:sz="4" w:space="0" w:color="auto"/>
              <w:left w:val="single" w:sz="4" w:space="0" w:color="auto"/>
            </w:tcBorders>
            <w:shd w:val="clear" w:color="auto" w:fill="auto"/>
          </w:tcPr>
          <w:p w14:paraId="7F94FF2A" w14:textId="77777777" w:rsidR="00EC1C40" w:rsidRDefault="00000000">
            <w:pPr>
              <w:pStyle w:val="Jin0"/>
              <w:framePr w:w="7666" w:h="12274" w:wrap="none" w:vAnchor="page" w:hAnchor="page" w:x="1801" w:y="1402"/>
              <w:spacing w:after="0"/>
              <w:ind w:firstLine="840"/>
              <w:jc w:val="both"/>
              <w:rPr>
                <w:sz w:val="15"/>
                <w:szCs w:val="15"/>
              </w:rPr>
            </w:pPr>
            <w:r>
              <w:rPr>
                <w:sz w:val="15"/>
                <w:szCs w:val="15"/>
              </w:rPr>
              <w:t>100%</w:t>
            </w:r>
          </w:p>
        </w:tc>
        <w:tc>
          <w:tcPr>
            <w:tcW w:w="1104" w:type="dxa"/>
            <w:tcBorders>
              <w:top w:val="single" w:sz="4" w:space="0" w:color="auto"/>
              <w:left w:val="single" w:sz="4" w:space="0" w:color="auto"/>
              <w:right w:val="single" w:sz="4" w:space="0" w:color="auto"/>
            </w:tcBorders>
            <w:shd w:val="clear" w:color="auto" w:fill="auto"/>
          </w:tcPr>
          <w:p w14:paraId="120DEB8B" w14:textId="77777777" w:rsidR="00EC1C40" w:rsidRDefault="00000000">
            <w:pPr>
              <w:pStyle w:val="Jin0"/>
              <w:framePr w:w="7666" w:h="12274" w:wrap="none" w:vAnchor="page" w:hAnchor="page" w:x="1801" w:y="1402"/>
              <w:spacing w:after="0"/>
              <w:jc w:val="right"/>
              <w:rPr>
                <w:sz w:val="15"/>
                <w:szCs w:val="15"/>
              </w:rPr>
            </w:pPr>
            <w:r>
              <w:rPr>
                <w:sz w:val="15"/>
                <w:szCs w:val="15"/>
              </w:rPr>
              <w:t>416</w:t>
            </w:r>
          </w:p>
        </w:tc>
      </w:tr>
      <w:tr w:rsidR="00EC1C40" w14:paraId="04E04A99" w14:textId="77777777">
        <w:tblPrEx>
          <w:tblCellMar>
            <w:top w:w="0" w:type="dxa"/>
            <w:bottom w:w="0" w:type="dxa"/>
          </w:tblCellMar>
        </w:tblPrEx>
        <w:trPr>
          <w:trHeight w:hRule="exact" w:val="192"/>
        </w:trPr>
        <w:tc>
          <w:tcPr>
            <w:tcW w:w="2640" w:type="dxa"/>
            <w:tcBorders>
              <w:top w:val="single" w:sz="4" w:space="0" w:color="auto"/>
              <w:left w:val="single" w:sz="4" w:space="0" w:color="auto"/>
            </w:tcBorders>
            <w:shd w:val="clear" w:color="auto" w:fill="auto"/>
          </w:tcPr>
          <w:p w14:paraId="3721C3CA" w14:textId="77777777" w:rsidR="00EC1C40" w:rsidRDefault="00000000">
            <w:pPr>
              <w:pStyle w:val="Jin0"/>
              <w:framePr w:w="7666" w:h="12274" w:wrap="none" w:vAnchor="page" w:hAnchor="page" w:x="1801" w:y="1402"/>
              <w:spacing w:after="0"/>
              <w:rPr>
                <w:sz w:val="15"/>
                <w:szCs w:val="15"/>
              </w:rPr>
            </w:pPr>
            <w:r>
              <w:rPr>
                <w:sz w:val="15"/>
                <w:szCs w:val="15"/>
                <w:lang w:val="en-US" w:eastAsia="en-US" w:bidi="en-US"/>
              </w:rPr>
              <w:t xml:space="preserve">SHOWROOM </w:t>
            </w:r>
            <w:r>
              <w:rPr>
                <w:sz w:val="15"/>
                <w:szCs w:val="15"/>
              </w:rPr>
              <w:t>SPOLEČNÉ PROSTORY</w:t>
            </w:r>
          </w:p>
        </w:tc>
        <w:tc>
          <w:tcPr>
            <w:tcW w:w="835" w:type="dxa"/>
            <w:tcBorders>
              <w:top w:val="single" w:sz="4" w:space="0" w:color="auto"/>
              <w:left w:val="single" w:sz="4" w:space="0" w:color="auto"/>
            </w:tcBorders>
            <w:shd w:val="clear" w:color="auto" w:fill="auto"/>
          </w:tcPr>
          <w:p w14:paraId="2560DC00" w14:textId="77777777" w:rsidR="00EC1C40" w:rsidRDefault="00000000">
            <w:pPr>
              <w:pStyle w:val="Jin0"/>
              <w:framePr w:w="7666" w:h="12274" w:wrap="none" w:vAnchor="page" w:hAnchor="page" w:x="1801" w:y="1402"/>
              <w:spacing w:after="0"/>
              <w:ind w:firstLine="600"/>
              <w:jc w:val="both"/>
              <w:rPr>
                <w:sz w:val="15"/>
                <w:szCs w:val="15"/>
              </w:rPr>
            </w:pPr>
            <w:r>
              <w:rPr>
                <w:sz w:val="15"/>
                <w:szCs w:val="15"/>
              </w:rPr>
              <w:t>71</w:t>
            </w:r>
          </w:p>
        </w:tc>
        <w:tc>
          <w:tcPr>
            <w:tcW w:w="835" w:type="dxa"/>
            <w:tcBorders>
              <w:top w:val="single" w:sz="4" w:space="0" w:color="auto"/>
              <w:left w:val="single" w:sz="4" w:space="0" w:color="auto"/>
            </w:tcBorders>
            <w:shd w:val="clear" w:color="auto" w:fill="auto"/>
          </w:tcPr>
          <w:p w14:paraId="0FE4A7A5" w14:textId="77777777" w:rsidR="00EC1C40" w:rsidRDefault="00EC1C40">
            <w:pPr>
              <w:framePr w:w="7666" w:h="12274" w:wrap="none" w:vAnchor="page" w:hAnchor="page" w:x="1801" w:y="1402"/>
              <w:rPr>
                <w:sz w:val="10"/>
                <w:szCs w:val="10"/>
              </w:rPr>
            </w:pPr>
          </w:p>
        </w:tc>
        <w:tc>
          <w:tcPr>
            <w:tcW w:w="1037" w:type="dxa"/>
            <w:tcBorders>
              <w:top w:val="single" w:sz="4" w:space="0" w:color="auto"/>
              <w:left w:val="single" w:sz="4" w:space="0" w:color="auto"/>
            </w:tcBorders>
            <w:shd w:val="clear" w:color="auto" w:fill="auto"/>
          </w:tcPr>
          <w:p w14:paraId="52002EE5" w14:textId="77777777" w:rsidR="00EC1C40" w:rsidRDefault="00000000">
            <w:pPr>
              <w:pStyle w:val="Jin0"/>
              <w:framePr w:w="7666" w:h="12274" w:wrap="none" w:vAnchor="page" w:hAnchor="page" w:x="1801" w:y="1402"/>
              <w:spacing w:after="0"/>
              <w:jc w:val="right"/>
              <w:rPr>
                <w:sz w:val="15"/>
                <w:szCs w:val="15"/>
              </w:rPr>
            </w:pPr>
            <w:r>
              <w:rPr>
                <w:sz w:val="15"/>
                <w:szCs w:val="15"/>
              </w:rPr>
              <w:t>71</w:t>
            </w:r>
          </w:p>
        </w:tc>
        <w:tc>
          <w:tcPr>
            <w:tcW w:w="1214" w:type="dxa"/>
            <w:tcBorders>
              <w:top w:val="single" w:sz="4" w:space="0" w:color="auto"/>
              <w:left w:val="single" w:sz="4" w:space="0" w:color="auto"/>
            </w:tcBorders>
            <w:shd w:val="clear" w:color="auto" w:fill="auto"/>
          </w:tcPr>
          <w:p w14:paraId="6C13EBBE" w14:textId="77777777" w:rsidR="00EC1C40" w:rsidRDefault="00000000">
            <w:pPr>
              <w:pStyle w:val="Jin0"/>
              <w:framePr w:w="7666" w:h="12274" w:wrap="none" w:vAnchor="page" w:hAnchor="page" w:x="1801" w:y="1402"/>
              <w:spacing w:after="0"/>
              <w:ind w:firstLine="840"/>
              <w:jc w:val="both"/>
              <w:rPr>
                <w:sz w:val="15"/>
                <w:szCs w:val="15"/>
              </w:rPr>
            </w:pPr>
            <w:r>
              <w:rPr>
                <w:sz w:val="15"/>
                <w:szCs w:val="15"/>
              </w:rPr>
              <w:t>100%</w:t>
            </w:r>
          </w:p>
        </w:tc>
        <w:tc>
          <w:tcPr>
            <w:tcW w:w="1104" w:type="dxa"/>
            <w:tcBorders>
              <w:top w:val="single" w:sz="4" w:space="0" w:color="auto"/>
              <w:left w:val="single" w:sz="4" w:space="0" w:color="auto"/>
              <w:right w:val="single" w:sz="4" w:space="0" w:color="auto"/>
            </w:tcBorders>
            <w:shd w:val="clear" w:color="auto" w:fill="auto"/>
          </w:tcPr>
          <w:p w14:paraId="5347CF15" w14:textId="77777777" w:rsidR="00EC1C40" w:rsidRDefault="00000000">
            <w:pPr>
              <w:pStyle w:val="Jin0"/>
              <w:framePr w:w="7666" w:h="12274" w:wrap="none" w:vAnchor="page" w:hAnchor="page" w:x="1801" w:y="1402"/>
              <w:spacing w:after="0"/>
              <w:jc w:val="right"/>
              <w:rPr>
                <w:sz w:val="15"/>
                <w:szCs w:val="15"/>
              </w:rPr>
            </w:pPr>
            <w:r>
              <w:rPr>
                <w:sz w:val="15"/>
                <w:szCs w:val="15"/>
              </w:rPr>
              <w:t>71</w:t>
            </w:r>
          </w:p>
        </w:tc>
      </w:tr>
      <w:tr w:rsidR="00EC1C40" w14:paraId="3BE82440" w14:textId="77777777">
        <w:tblPrEx>
          <w:tblCellMar>
            <w:top w:w="0" w:type="dxa"/>
            <w:bottom w:w="0" w:type="dxa"/>
          </w:tblCellMar>
        </w:tblPrEx>
        <w:trPr>
          <w:trHeight w:hRule="exact" w:val="197"/>
        </w:trPr>
        <w:tc>
          <w:tcPr>
            <w:tcW w:w="2640" w:type="dxa"/>
            <w:tcBorders>
              <w:top w:val="single" w:sz="4" w:space="0" w:color="auto"/>
              <w:left w:val="single" w:sz="4" w:space="0" w:color="auto"/>
            </w:tcBorders>
            <w:shd w:val="clear" w:color="auto" w:fill="auto"/>
          </w:tcPr>
          <w:p w14:paraId="2B9A8DA0" w14:textId="77777777" w:rsidR="00EC1C40" w:rsidRDefault="00000000">
            <w:pPr>
              <w:pStyle w:val="Jin0"/>
              <w:framePr w:w="7666" w:h="12274" w:wrap="none" w:vAnchor="page" w:hAnchor="page" w:x="1801" w:y="1402"/>
              <w:spacing w:after="0"/>
              <w:rPr>
                <w:sz w:val="15"/>
                <w:szCs w:val="15"/>
              </w:rPr>
            </w:pPr>
            <w:r>
              <w:rPr>
                <w:sz w:val="15"/>
                <w:szCs w:val="15"/>
                <w:lang w:val="en-US" w:eastAsia="en-US" w:bidi="en-US"/>
              </w:rPr>
              <w:t xml:space="preserve">SHOWROOM </w:t>
            </w:r>
            <w:r>
              <w:rPr>
                <w:sz w:val="15"/>
                <w:szCs w:val="15"/>
              </w:rPr>
              <w:t>ZÁZEMÍ</w:t>
            </w:r>
          </w:p>
        </w:tc>
        <w:tc>
          <w:tcPr>
            <w:tcW w:w="835" w:type="dxa"/>
            <w:tcBorders>
              <w:top w:val="single" w:sz="4" w:space="0" w:color="auto"/>
              <w:left w:val="single" w:sz="4" w:space="0" w:color="auto"/>
            </w:tcBorders>
            <w:shd w:val="clear" w:color="auto" w:fill="auto"/>
          </w:tcPr>
          <w:p w14:paraId="6337F5E2" w14:textId="77777777" w:rsidR="00EC1C40" w:rsidRDefault="00000000">
            <w:pPr>
              <w:pStyle w:val="Jin0"/>
              <w:framePr w:w="7666" w:h="12274" w:wrap="none" w:vAnchor="page" w:hAnchor="page" w:x="1801" w:y="1402"/>
              <w:spacing w:after="0"/>
              <w:jc w:val="right"/>
              <w:rPr>
                <w:sz w:val="15"/>
                <w:szCs w:val="15"/>
              </w:rPr>
            </w:pPr>
            <w:r>
              <w:rPr>
                <w:sz w:val="15"/>
                <w:szCs w:val="15"/>
              </w:rPr>
              <w:t>4</w:t>
            </w:r>
          </w:p>
        </w:tc>
        <w:tc>
          <w:tcPr>
            <w:tcW w:w="835" w:type="dxa"/>
            <w:tcBorders>
              <w:top w:val="single" w:sz="4" w:space="0" w:color="auto"/>
              <w:left w:val="single" w:sz="4" w:space="0" w:color="auto"/>
            </w:tcBorders>
            <w:shd w:val="clear" w:color="auto" w:fill="auto"/>
          </w:tcPr>
          <w:p w14:paraId="74E0D93B" w14:textId="77777777" w:rsidR="00EC1C40" w:rsidRDefault="00EC1C40">
            <w:pPr>
              <w:framePr w:w="7666" w:h="12274" w:wrap="none" w:vAnchor="page" w:hAnchor="page" w:x="1801" w:y="1402"/>
              <w:rPr>
                <w:sz w:val="10"/>
                <w:szCs w:val="10"/>
              </w:rPr>
            </w:pPr>
          </w:p>
        </w:tc>
        <w:tc>
          <w:tcPr>
            <w:tcW w:w="1037" w:type="dxa"/>
            <w:tcBorders>
              <w:top w:val="single" w:sz="4" w:space="0" w:color="auto"/>
              <w:left w:val="single" w:sz="4" w:space="0" w:color="auto"/>
            </w:tcBorders>
            <w:shd w:val="clear" w:color="auto" w:fill="auto"/>
          </w:tcPr>
          <w:p w14:paraId="70FAAF7B" w14:textId="77777777" w:rsidR="00EC1C40" w:rsidRDefault="00000000">
            <w:pPr>
              <w:pStyle w:val="Jin0"/>
              <w:framePr w:w="7666" w:h="12274" w:wrap="none" w:vAnchor="page" w:hAnchor="page" w:x="1801" w:y="1402"/>
              <w:spacing w:after="0"/>
              <w:jc w:val="right"/>
              <w:rPr>
                <w:sz w:val="15"/>
                <w:szCs w:val="15"/>
              </w:rPr>
            </w:pPr>
            <w:r>
              <w:rPr>
                <w:sz w:val="15"/>
                <w:szCs w:val="15"/>
              </w:rPr>
              <w:t>4</w:t>
            </w:r>
          </w:p>
        </w:tc>
        <w:tc>
          <w:tcPr>
            <w:tcW w:w="1214" w:type="dxa"/>
            <w:tcBorders>
              <w:top w:val="single" w:sz="4" w:space="0" w:color="auto"/>
              <w:left w:val="single" w:sz="4" w:space="0" w:color="auto"/>
            </w:tcBorders>
            <w:shd w:val="clear" w:color="auto" w:fill="auto"/>
          </w:tcPr>
          <w:p w14:paraId="5C2AF60C" w14:textId="77777777" w:rsidR="00EC1C40" w:rsidRDefault="00000000">
            <w:pPr>
              <w:pStyle w:val="Jin0"/>
              <w:framePr w:w="7666" w:h="12274" w:wrap="none" w:vAnchor="page" w:hAnchor="page" w:x="1801" w:y="1402"/>
              <w:spacing w:after="0"/>
              <w:ind w:firstLine="840"/>
              <w:jc w:val="both"/>
              <w:rPr>
                <w:sz w:val="15"/>
                <w:szCs w:val="15"/>
              </w:rPr>
            </w:pPr>
            <w:r>
              <w:rPr>
                <w:sz w:val="15"/>
                <w:szCs w:val="15"/>
              </w:rPr>
              <w:t>100%</w:t>
            </w:r>
          </w:p>
        </w:tc>
        <w:tc>
          <w:tcPr>
            <w:tcW w:w="1104" w:type="dxa"/>
            <w:tcBorders>
              <w:top w:val="single" w:sz="4" w:space="0" w:color="auto"/>
              <w:left w:val="single" w:sz="4" w:space="0" w:color="auto"/>
              <w:right w:val="single" w:sz="4" w:space="0" w:color="auto"/>
            </w:tcBorders>
            <w:shd w:val="clear" w:color="auto" w:fill="auto"/>
          </w:tcPr>
          <w:p w14:paraId="772E07A4" w14:textId="77777777" w:rsidR="00EC1C40" w:rsidRDefault="00000000">
            <w:pPr>
              <w:pStyle w:val="Jin0"/>
              <w:framePr w:w="7666" w:h="12274" w:wrap="none" w:vAnchor="page" w:hAnchor="page" w:x="1801" w:y="1402"/>
              <w:spacing w:after="0"/>
              <w:jc w:val="right"/>
              <w:rPr>
                <w:sz w:val="15"/>
                <w:szCs w:val="15"/>
              </w:rPr>
            </w:pPr>
            <w:r>
              <w:rPr>
                <w:sz w:val="15"/>
                <w:szCs w:val="15"/>
              </w:rPr>
              <w:t>4</w:t>
            </w:r>
          </w:p>
        </w:tc>
      </w:tr>
      <w:tr w:rsidR="00EC1C40" w14:paraId="38F2BB33" w14:textId="77777777">
        <w:tblPrEx>
          <w:tblCellMar>
            <w:top w:w="0" w:type="dxa"/>
            <w:bottom w:w="0" w:type="dxa"/>
          </w:tblCellMar>
        </w:tblPrEx>
        <w:trPr>
          <w:trHeight w:hRule="exact" w:val="192"/>
        </w:trPr>
        <w:tc>
          <w:tcPr>
            <w:tcW w:w="2640" w:type="dxa"/>
            <w:tcBorders>
              <w:top w:val="single" w:sz="4" w:space="0" w:color="auto"/>
              <w:left w:val="single" w:sz="4" w:space="0" w:color="auto"/>
            </w:tcBorders>
            <w:shd w:val="clear" w:color="auto" w:fill="auto"/>
          </w:tcPr>
          <w:p w14:paraId="53C386E3" w14:textId="77777777" w:rsidR="00EC1C40" w:rsidRDefault="00000000">
            <w:pPr>
              <w:pStyle w:val="Jin0"/>
              <w:framePr w:w="7666" w:h="12274" w:wrap="none" w:vAnchor="page" w:hAnchor="page" w:x="1801" w:y="1402"/>
              <w:spacing w:after="0"/>
              <w:rPr>
                <w:sz w:val="15"/>
                <w:szCs w:val="15"/>
              </w:rPr>
            </w:pPr>
            <w:r>
              <w:rPr>
                <w:b/>
                <w:bCs/>
                <w:sz w:val="15"/>
                <w:szCs w:val="15"/>
              </w:rPr>
              <w:t>3NP</w:t>
            </w:r>
          </w:p>
        </w:tc>
        <w:tc>
          <w:tcPr>
            <w:tcW w:w="835" w:type="dxa"/>
            <w:tcBorders>
              <w:top w:val="single" w:sz="4" w:space="0" w:color="auto"/>
              <w:left w:val="single" w:sz="4" w:space="0" w:color="auto"/>
            </w:tcBorders>
            <w:shd w:val="clear" w:color="auto" w:fill="auto"/>
          </w:tcPr>
          <w:p w14:paraId="0F1A91ED" w14:textId="77777777" w:rsidR="00EC1C40" w:rsidRDefault="00000000">
            <w:pPr>
              <w:pStyle w:val="Jin0"/>
              <w:framePr w:w="7666" w:h="12274" w:wrap="none" w:vAnchor="page" w:hAnchor="page" w:x="1801" w:y="1402"/>
              <w:spacing w:after="0"/>
              <w:ind w:firstLine="540"/>
              <w:jc w:val="both"/>
              <w:rPr>
                <w:sz w:val="15"/>
                <w:szCs w:val="15"/>
              </w:rPr>
            </w:pPr>
            <w:r>
              <w:rPr>
                <w:b/>
                <w:bCs/>
                <w:sz w:val="15"/>
                <w:szCs w:val="15"/>
              </w:rPr>
              <w:t>690</w:t>
            </w:r>
          </w:p>
        </w:tc>
        <w:tc>
          <w:tcPr>
            <w:tcW w:w="835" w:type="dxa"/>
            <w:tcBorders>
              <w:top w:val="single" w:sz="4" w:space="0" w:color="auto"/>
              <w:left w:val="single" w:sz="4" w:space="0" w:color="auto"/>
            </w:tcBorders>
            <w:shd w:val="clear" w:color="auto" w:fill="auto"/>
          </w:tcPr>
          <w:p w14:paraId="095CF450" w14:textId="77777777" w:rsidR="00EC1C40" w:rsidRDefault="00EC1C40">
            <w:pPr>
              <w:framePr w:w="7666" w:h="12274" w:wrap="none" w:vAnchor="page" w:hAnchor="page" w:x="1801" w:y="1402"/>
              <w:rPr>
                <w:sz w:val="10"/>
                <w:szCs w:val="10"/>
              </w:rPr>
            </w:pPr>
          </w:p>
        </w:tc>
        <w:tc>
          <w:tcPr>
            <w:tcW w:w="1037" w:type="dxa"/>
            <w:tcBorders>
              <w:top w:val="single" w:sz="4" w:space="0" w:color="auto"/>
              <w:left w:val="single" w:sz="4" w:space="0" w:color="auto"/>
            </w:tcBorders>
            <w:shd w:val="clear" w:color="auto" w:fill="auto"/>
          </w:tcPr>
          <w:p w14:paraId="4E1551EA" w14:textId="77777777" w:rsidR="00EC1C40" w:rsidRDefault="00EC1C40">
            <w:pPr>
              <w:framePr w:w="7666" w:h="12274" w:wrap="none" w:vAnchor="page" w:hAnchor="page" w:x="1801" w:y="1402"/>
              <w:rPr>
                <w:sz w:val="10"/>
                <w:szCs w:val="10"/>
              </w:rPr>
            </w:pPr>
          </w:p>
        </w:tc>
        <w:tc>
          <w:tcPr>
            <w:tcW w:w="1214" w:type="dxa"/>
            <w:tcBorders>
              <w:top w:val="single" w:sz="4" w:space="0" w:color="auto"/>
              <w:left w:val="single" w:sz="4" w:space="0" w:color="auto"/>
            </w:tcBorders>
            <w:shd w:val="clear" w:color="auto" w:fill="auto"/>
          </w:tcPr>
          <w:p w14:paraId="22F46855" w14:textId="77777777" w:rsidR="00EC1C40" w:rsidRDefault="00EC1C40">
            <w:pPr>
              <w:framePr w:w="7666" w:h="12274" w:wrap="none" w:vAnchor="page" w:hAnchor="page" w:x="1801" w:y="1402"/>
              <w:rPr>
                <w:sz w:val="10"/>
                <w:szCs w:val="10"/>
              </w:rPr>
            </w:pPr>
          </w:p>
        </w:tc>
        <w:tc>
          <w:tcPr>
            <w:tcW w:w="1104" w:type="dxa"/>
            <w:tcBorders>
              <w:top w:val="single" w:sz="4" w:space="0" w:color="auto"/>
              <w:left w:val="single" w:sz="4" w:space="0" w:color="auto"/>
              <w:right w:val="single" w:sz="4" w:space="0" w:color="auto"/>
            </w:tcBorders>
            <w:shd w:val="clear" w:color="auto" w:fill="auto"/>
          </w:tcPr>
          <w:p w14:paraId="1553550E" w14:textId="77777777" w:rsidR="00EC1C40" w:rsidRDefault="00EC1C40">
            <w:pPr>
              <w:framePr w:w="7666" w:h="12274" w:wrap="none" w:vAnchor="page" w:hAnchor="page" w:x="1801" w:y="1402"/>
              <w:rPr>
                <w:sz w:val="10"/>
                <w:szCs w:val="10"/>
              </w:rPr>
            </w:pPr>
          </w:p>
        </w:tc>
      </w:tr>
      <w:tr w:rsidR="00EC1C40" w14:paraId="252B2A5F" w14:textId="77777777">
        <w:tblPrEx>
          <w:tblCellMar>
            <w:top w:w="0" w:type="dxa"/>
            <w:bottom w:w="0" w:type="dxa"/>
          </w:tblCellMar>
        </w:tblPrEx>
        <w:trPr>
          <w:trHeight w:hRule="exact" w:val="197"/>
        </w:trPr>
        <w:tc>
          <w:tcPr>
            <w:tcW w:w="2640" w:type="dxa"/>
            <w:tcBorders>
              <w:top w:val="single" w:sz="4" w:space="0" w:color="auto"/>
              <w:left w:val="single" w:sz="4" w:space="0" w:color="auto"/>
            </w:tcBorders>
            <w:shd w:val="clear" w:color="auto" w:fill="auto"/>
            <w:vAlign w:val="bottom"/>
          </w:tcPr>
          <w:p w14:paraId="53046772" w14:textId="77777777" w:rsidR="00EC1C40" w:rsidRDefault="00000000">
            <w:pPr>
              <w:pStyle w:val="Jin0"/>
              <w:framePr w:w="7666" w:h="12274" w:wrap="none" w:vAnchor="page" w:hAnchor="page" w:x="1801" w:y="1402"/>
              <w:spacing w:after="0"/>
              <w:rPr>
                <w:sz w:val="15"/>
                <w:szCs w:val="15"/>
              </w:rPr>
            </w:pPr>
            <w:r>
              <w:rPr>
                <w:sz w:val="15"/>
                <w:szCs w:val="15"/>
              </w:rPr>
              <w:t>BYTY</w:t>
            </w:r>
          </w:p>
        </w:tc>
        <w:tc>
          <w:tcPr>
            <w:tcW w:w="835" w:type="dxa"/>
            <w:tcBorders>
              <w:top w:val="single" w:sz="4" w:space="0" w:color="auto"/>
              <w:left w:val="single" w:sz="4" w:space="0" w:color="auto"/>
            </w:tcBorders>
            <w:shd w:val="clear" w:color="auto" w:fill="auto"/>
            <w:vAlign w:val="bottom"/>
          </w:tcPr>
          <w:p w14:paraId="6B016B09" w14:textId="77777777" w:rsidR="00EC1C40" w:rsidRDefault="00000000">
            <w:pPr>
              <w:pStyle w:val="Jin0"/>
              <w:framePr w:w="7666" w:h="12274" w:wrap="none" w:vAnchor="page" w:hAnchor="page" w:x="1801" w:y="1402"/>
              <w:spacing w:after="0"/>
              <w:ind w:firstLine="540"/>
              <w:jc w:val="both"/>
              <w:rPr>
                <w:sz w:val="15"/>
                <w:szCs w:val="15"/>
              </w:rPr>
            </w:pPr>
            <w:r>
              <w:rPr>
                <w:sz w:val="15"/>
                <w:szCs w:val="15"/>
              </w:rPr>
              <w:t>637</w:t>
            </w:r>
          </w:p>
        </w:tc>
        <w:tc>
          <w:tcPr>
            <w:tcW w:w="835" w:type="dxa"/>
            <w:tcBorders>
              <w:top w:val="single" w:sz="4" w:space="0" w:color="auto"/>
              <w:left w:val="single" w:sz="4" w:space="0" w:color="auto"/>
            </w:tcBorders>
            <w:shd w:val="clear" w:color="auto" w:fill="auto"/>
          </w:tcPr>
          <w:p w14:paraId="30742451" w14:textId="77777777" w:rsidR="00EC1C40" w:rsidRDefault="00EC1C40">
            <w:pPr>
              <w:framePr w:w="7666" w:h="12274" w:wrap="none" w:vAnchor="page" w:hAnchor="page" w:x="1801" w:y="1402"/>
              <w:rPr>
                <w:sz w:val="10"/>
                <w:szCs w:val="10"/>
              </w:rPr>
            </w:pPr>
          </w:p>
        </w:tc>
        <w:tc>
          <w:tcPr>
            <w:tcW w:w="1037" w:type="dxa"/>
            <w:tcBorders>
              <w:top w:val="single" w:sz="4" w:space="0" w:color="auto"/>
              <w:left w:val="single" w:sz="4" w:space="0" w:color="auto"/>
            </w:tcBorders>
            <w:shd w:val="clear" w:color="auto" w:fill="auto"/>
            <w:vAlign w:val="bottom"/>
          </w:tcPr>
          <w:p w14:paraId="72A20E91" w14:textId="77777777" w:rsidR="00EC1C40" w:rsidRDefault="00000000">
            <w:pPr>
              <w:pStyle w:val="Jin0"/>
              <w:framePr w:w="7666" w:h="12274" w:wrap="none" w:vAnchor="page" w:hAnchor="page" w:x="1801" w:y="1402"/>
              <w:spacing w:after="0"/>
              <w:jc w:val="right"/>
              <w:rPr>
                <w:sz w:val="15"/>
                <w:szCs w:val="15"/>
              </w:rPr>
            </w:pPr>
            <w:r>
              <w:rPr>
                <w:sz w:val="15"/>
                <w:szCs w:val="15"/>
              </w:rPr>
              <w:t>637</w:t>
            </w:r>
          </w:p>
        </w:tc>
        <w:tc>
          <w:tcPr>
            <w:tcW w:w="1214" w:type="dxa"/>
            <w:tcBorders>
              <w:top w:val="single" w:sz="4" w:space="0" w:color="auto"/>
              <w:left w:val="single" w:sz="4" w:space="0" w:color="auto"/>
            </w:tcBorders>
            <w:shd w:val="clear" w:color="auto" w:fill="auto"/>
            <w:vAlign w:val="bottom"/>
          </w:tcPr>
          <w:p w14:paraId="4E15B408" w14:textId="77777777" w:rsidR="00EC1C40" w:rsidRDefault="00000000">
            <w:pPr>
              <w:pStyle w:val="Jin0"/>
              <w:framePr w:w="7666" w:h="12274" w:wrap="none" w:vAnchor="page" w:hAnchor="page" w:x="1801" w:y="1402"/>
              <w:spacing w:after="0"/>
              <w:ind w:firstLine="840"/>
              <w:jc w:val="both"/>
              <w:rPr>
                <w:sz w:val="15"/>
                <w:szCs w:val="15"/>
              </w:rPr>
            </w:pPr>
            <w:r>
              <w:rPr>
                <w:sz w:val="15"/>
                <w:szCs w:val="15"/>
              </w:rPr>
              <w:t>100%</w:t>
            </w:r>
          </w:p>
        </w:tc>
        <w:tc>
          <w:tcPr>
            <w:tcW w:w="1104" w:type="dxa"/>
            <w:tcBorders>
              <w:top w:val="single" w:sz="4" w:space="0" w:color="auto"/>
              <w:left w:val="single" w:sz="4" w:space="0" w:color="auto"/>
              <w:right w:val="single" w:sz="4" w:space="0" w:color="auto"/>
            </w:tcBorders>
            <w:shd w:val="clear" w:color="auto" w:fill="auto"/>
            <w:vAlign w:val="bottom"/>
          </w:tcPr>
          <w:p w14:paraId="31A86B5A" w14:textId="77777777" w:rsidR="00EC1C40" w:rsidRDefault="00000000">
            <w:pPr>
              <w:pStyle w:val="Jin0"/>
              <w:framePr w:w="7666" w:h="12274" w:wrap="none" w:vAnchor="page" w:hAnchor="page" w:x="1801" w:y="1402"/>
              <w:spacing w:after="0"/>
              <w:jc w:val="right"/>
              <w:rPr>
                <w:sz w:val="15"/>
                <w:szCs w:val="15"/>
              </w:rPr>
            </w:pPr>
            <w:r>
              <w:rPr>
                <w:sz w:val="15"/>
                <w:szCs w:val="15"/>
              </w:rPr>
              <w:t>637</w:t>
            </w:r>
          </w:p>
        </w:tc>
      </w:tr>
      <w:tr w:rsidR="00EC1C40" w14:paraId="1DEE06E3" w14:textId="77777777">
        <w:tblPrEx>
          <w:tblCellMar>
            <w:top w:w="0" w:type="dxa"/>
            <w:bottom w:w="0" w:type="dxa"/>
          </w:tblCellMar>
        </w:tblPrEx>
        <w:trPr>
          <w:trHeight w:hRule="exact" w:val="192"/>
        </w:trPr>
        <w:tc>
          <w:tcPr>
            <w:tcW w:w="2640" w:type="dxa"/>
            <w:tcBorders>
              <w:top w:val="single" w:sz="4" w:space="0" w:color="auto"/>
              <w:left w:val="single" w:sz="4" w:space="0" w:color="auto"/>
            </w:tcBorders>
            <w:shd w:val="clear" w:color="auto" w:fill="auto"/>
          </w:tcPr>
          <w:p w14:paraId="04054DB7" w14:textId="77777777" w:rsidR="00EC1C40" w:rsidRDefault="00000000">
            <w:pPr>
              <w:pStyle w:val="Jin0"/>
              <w:framePr w:w="7666" w:h="12274" w:wrap="none" w:vAnchor="page" w:hAnchor="page" w:x="1801" w:y="1402"/>
              <w:spacing w:after="0"/>
              <w:rPr>
                <w:sz w:val="15"/>
                <w:szCs w:val="15"/>
              </w:rPr>
            </w:pPr>
            <w:r>
              <w:rPr>
                <w:sz w:val="15"/>
                <w:szCs w:val="15"/>
                <w:lang w:val="en-US" w:eastAsia="en-US" w:bidi="en-US"/>
              </w:rPr>
              <w:t xml:space="preserve">SHOWROOM </w:t>
            </w:r>
            <w:r>
              <w:rPr>
                <w:sz w:val="15"/>
                <w:szCs w:val="15"/>
              </w:rPr>
              <w:t>SPOLEČNÉ PROSTORY</w:t>
            </w:r>
          </w:p>
        </w:tc>
        <w:tc>
          <w:tcPr>
            <w:tcW w:w="835" w:type="dxa"/>
            <w:tcBorders>
              <w:top w:val="single" w:sz="4" w:space="0" w:color="auto"/>
              <w:left w:val="single" w:sz="4" w:space="0" w:color="auto"/>
            </w:tcBorders>
            <w:shd w:val="clear" w:color="auto" w:fill="auto"/>
          </w:tcPr>
          <w:p w14:paraId="5A8318BB" w14:textId="77777777" w:rsidR="00EC1C40" w:rsidRDefault="00000000">
            <w:pPr>
              <w:pStyle w:val="Jin0"/>
              <w:framePr w:w="7666" w:h="12274" w:wrap="none" w:vAnchor="page" w:hAnchor="page" w:x="1801" w:y="1402"/>
              <w:spacing w:after="0"/>
              <w:ind w:firstLine="600"/>
              <w:jc w:val="both"/>
              <w:rPr>
                <w:sz w:val="15"/>
                <w:szCs w:val="15"/>
              </w:rPr>
            </w:pPr>
            <w:r>
              <w:rPr>
                <w:sz w:val="15"/>
                <w:szCs w:val="15"/>
              </w:rPr>
              <w:t>50</w:t>
            </w:r>
          </w:p>
        </w:tc>
        <w:tc>
          <w:tcPr>
            <w:tcW w:w="835" w:type="dxa"/>
            <w:tcBorders>
              <w:top w:val="single" w:sz="4" w:space="0" w:color="auto"/>
              <w:left w:val="single" w:sz="4" w:space="0" w:color="auto"/>
            </w:tcBorders>
            <w:shd w:val="clear" w:color="auto" w:fill="auto"/>
          </w:tcPr>
          <w:p w14:paraId="7258A110" w14:textId="77777777" w:rsidR="00EC1C40" w:rsidRDefault="00EC1C40">
            <w:pPr>
              <w:framePr w:w="7666" w:h="12274" w:wrap="none" w:vAnchor="page" w:hAnchor="page" w:x="1801" w:y="1402"/>
              <w:rPr>
                <w:sz w:val="10"/>
                <w:szCs w:val="10"/>
              </w:rPr>
            </w:pPr>
          </w:p>
        </w:tc>
        <w:tc>
          <w:tcPr>
            <w:tcW w:w="1037" w:type="dxa"/>
            <w:tcBorders>
              <w:top w:val="single" w:sz="4" w:space="0" w:color="auto"/>
              <w:left w:val="single" w:sz="4" w:space="0" w:color="auto"/>
            </w:tcBorders>
            <w:shd w:val="clear" w:color="auto" w:fill="auto"/>
          </w:tcPr>
          <w:p w14:paraId="4D27C891" w14:textId="77777777" w:rsidR="00EC1C40" w:rsidRDefault="00000000">
            <w:pPr>
              <w:pStyle w:val="Jin0"/>
              <w:framePr w:w="7666" w:h="12274" w:wrap="none" w:vAnchor="page" w:hAnchor="page" w:x="1801" w:y="1402"/>
              <w:spacing w:after="0"/>
              <w:jc w:val="right"/>
              <w:rPr>
                <w:sz w:val="15"/>
                <w:szCs w:val="15"/>
              </w:rPr>
            </w:pPr>
            <w:r>
              <w:rPr>
                <w:sz w:val="15"/>
                <w:szCs w:val="15"/>
              </w:rPr>
              <w:t>50</w:t>
            </w:r>
          </w:p>
        </w:tc>
        <w:tc>
          <w:tcPr>
            <w:tcW w:w="1214" w:type="dxa"/>
            <w:tcBorders>
              <w:top w:val="single" w:sz="4" w:space="0" w:color="auto"/>
              <w:left w:val="single" w:sz="4" w:space="0" w:color="auto"/>
            </w:tcBorders>
            <w:shd w:val="clear" w:color="auto" w:fill="auto"/>
          </w:tcPr>
          <w:p w14:paraId="0A462FEE" w14:textId="77777777" w:rsidR="00EC1C40" w:rsidRDefault="00000000">
            <w:pPr>
              <w:pStyle w:val="Jin0"/>
              <w:framePr w:w="7666" w:h="12274" w:wrap="none" w:vAnchor="page" w:hAnchor="page" w:x="1801" w:y="1402"/>
              <w:spacing w:after="0"/>
              <w:ind w:firstLine="840"/>
              <w:jc w:val="both"/>
              <w:rPr>
                <w:sz w:val="15"/>
                <w:szCs w:val="15"/>
              </w:rPr>
            </w:pPr>
            <w:r>
              <w:rPr>
                <w:sz w:val="15"/>
                <w:szCs w:val="15"/>
              </w:rPr>
              <w:t>100%</w:t>
            </w:r>
          </w:p>
        </w:tc>
        <w:tc>
          <w:tcPr>
            <w:tcW w:w="1104" w:type="dxa"/>
            <w:tcBorders>
              <w:top w:val="single" w:sz="4" w:space="0" w:color="auto"/>
              <w:left w:val="single" w:sz="4" w:space="0" w:color="auto"/>
              <w:right w:val="single" w:sz="4" w:space="0" w:color="auto"/>
            </w:tcBorders>
            <w:shd w:val="clear" w:color="auto" w:fill="auto"/>
          </w:tcPr>
          <w:p w14:paraId="41A97B5A" w14:textId="77777777" w:rsidR="00EC1C40" w:rsidRDefault="00000000">
            <w:pPr>
              <w:pStyle w:val="Jin0"/>
              <w:framePr w:w="7666" w:h="12274" w:wrap="none" w:vAnchor="page" w:hAnchor="page" w:x="1801" w:y="1402"/>
              <w:spacing w:after="0"/>
              <w:jc w:val="right"/>
              <w:rPr>
                <w:sz w:val="15"/>
                <w:szCs w:val="15"/>
              </w:rPr>
            </w:pPr>
            <w:r>
              <w:rPr>
                <w:sz w:val="15"/>
                <w:szCs w:val="15"/>
              </w:rPr>
              <w:t>50</w:t>
            </w:r>
          </w:p>
        </w:tc>
      </w:tr>
      <w:tr w:rsidR="00EC1C40" w14:paraId="3EC61143" w14:textId="77777777">
        <w:tblPrEx>
          <w:tblCellMar>
            <w:top w:w="0" w:type="dxa"/>
            <w:bottom w:w="0" w:type="dxa"/>
          </w:tblCellMar>
        </w:tblPrEx>
        <w:trPr>
          <w:trHeight w:hRule="exact" w:val="192"/>
        </w:trPr>
        <w:tc>
          <w:tcPr>
            <w:tcW w:w="2640" w:type="dxa"/>
            <w:tcBorders>
              <w:top w:val="single" w:sz="4" w:space="0" w:color="auto"/>
              <w:left w:val="single" w:sz="4" w:space="0" w:color="auto"/>
            </w:tcBorders>
            <w:shd w:val="clear" w:color="auto" w:fill="auto"/>
          </w:tcPr>
          <w:p w14:paraId="4F8AE81D" w14:textId="77777777" w:rsidR="00EC1C40" w:rsidRDefault="00000000">
            <w:pPr>
              <w:pStyle w:val="Jin0"/>
              <w:framePr w:w="7666" w:h="12274" w:wrap="none" w:vAnchor="page" w:hAnchor="page" w:x="1801" w:y="1402"/>
              <w:spacing w:after="0"/>
              <w:rPr>
                <w:sz w:val="15"/>
                <w:szCs w:val="15"/>
              </w:rPr>
            </w:pPr>
            <w:r>
              <w:rPr>
                <w:sz w:val="15"/>
                <w:szCs w:val="15"/>
                <w:lang w:val="en-US" w:eastAsia="en-US" w:bidi="en-US"/>
              </w:rPr>
              <w:t xml:space="preserve">SHOWROOM </w:t>
            </w:r>
            <w:r>
              <w:rPr>
                <w:sz w:val="15"/>
                <w:szCs w:val="15"/>
              </w:rPr>
              <w:t>ZÁZEMÍ</w:t>
            </w:r>
          </w:p>
        </w:tc>
        <w:tc>
          <w:tcPr>
            <w:tcW w:w="835" w:type="dxa"/>
            <w:tcBorders>
              <w:top w:val="single" w:sz="4" w:space="0" w:color="auto"/>
              <w:left w:val="single" w:sz="4" w:space="0" w:color="auto"/>
            </w:tcBorders>
            <w:shd w:val="clear" w:color="auto" w:fill="auto"/>
          </w:tcPr>
          <w:p w14:paraId="1EF77C79" w14:textId="77777777" w:rsidR="00EC1C40" w:rsidRDefault="00000000">
            <w:pPr>
              <w:pStyle w:val="Jin0"/>
              <w:framePr w:w="7666" w:h="12274" w:wrap="none" w:vAnchor="page" w:hAnchor="page" w:x="1801" w:y="1402"/>
              <w:spacing w:after="0"/>
              <w:jc w:val="right"/>
              <w:rPr>
                <w:sz w:val="15"/>
                <w:szCs w:val="15"/>
              </w:rPr>
            </w:pPr>
            <w:r>
              <w:rPr>
                <w:sz w:val="15"/>
                <w:szCs w:val="15"/>
              </w:rPr>
              <w:t>3</w:t>
            </w:r>
          </w:p>
        </w:tc>
        <w:tc>
          <w:tcPr>
            <w:tcW w:w="835" w:type="dxa"/>
            <w:tcBorders>
              <w:top w:val="single" w:sz="4" w:space="0" w:color="auto"/>
              <w:left w:val="single" w:sz="4" w:space="0" w:color="auto"/>
            </w:tcBorders>
            <w:shd w:val="clear" w:color="auto" w:fill="auto"/>
          </w:tcPr>
          <w:p w14:paraId="176F02EE" w14:textId="77777777" w:rsidR="00EC1C40" w:rsidRDefault="00EC1C40">
            <w:pPr>
              <w:framePr w:w="7666" w:h="12274" w:wrap="none" w:vAnchor="page" w:hAnchor="page" w:x="1801" w:y="1402"/>
              <w:rPr>
                <w:sz w:val="10"/>
                <w:szCs w:val="10"/>
              </w:rPr>
            </w:pPr>
          </w:p>
        </w:tc>
        <w:tc>
          <w:tcPr>
            <w:tcW w:w="1037" w:type="dxa"/>
            <w:tcBorders>
              <w:top w:val="single" w:sz="4" w:space="0" w:color="auto"/>
              <w:left w:val="single" w:sz="4" w:space="0" w:color="auto"/>
            </w:tcBorders>
            <w:shd w:val="clear" w:color="auto" w:fill="auto"/>
          </w:tcPr>
          <w:p w14:paraId="18D01731" w14:textId="77777777" w:rsidR="00EC1C40" w:rsidRDefault="00000000">
            <w:pPr>
              <w:pStyle w:val="Jin0"/>
              <w:framePr w:w="7666" w:h="12274" w:wrap="none" w:vAnchor="page" w:hAnchor="page" w:x="1801" w:y="1402"/>
              <w:spacing w:after="0"/>
              <w:jc w:val="right"/>
              <w:rPr>
                <w:sz w:val="15"/>
                <w:szCs w:val="15"/>
              </w:rPr>
            </w:pPr>
            <w:r>
              <w:rPr>
                <w:sz w:val="15"/>
                <w:szCs w:val="15"/>
              </w:rPr>
              <w:t>3</w:t>
            </w:r>
          </w:p>
        </w:tc>
        <w:tc>
          <w:tcPr>
            <w:tcW w:w="1214" w:type="dxa"/>
            <w:tcBorders>
              <w:top w:val="single" w:sz="4" w:space="0" w:color="auto"/>
              <w:left w:val="single" w:sz="4" w:space="0" w:color="auto"/>
            </w:tcBorders>
            <w:shd w:val="clear" w:color="auto" w:fill="auto"/>
          </w:tcPr>
          <w:p w14:paraId="02166528" w14:textId="77777777" w:rsidR="00EC1C40" w:rsidRDefault="00000000">
            <w:pPr>
              <w:pStyle w:val="Jin0"/>
              <w:framePr w:w="7666" w:h="12274" w:wrap="none" w:vAnchor="page" w:hAnchor="page" w:x="1801" w:y="1402"/>
              <w:spacing w:after="0"/>
              <w:ind w:firstLine="840"/>
              <w:jc w:val="both"/>
              <w:rPr>
                <w:sz w:val="15"/>
                <w:szCs w:val="15"/>
              </w:rPr>
            </w:pPr>
            <w:r>
              <w:rPr>
                <w:sz w:val="15"/>
                <w:szCs w:val="15"/>
              </w:rPr>
              <w:t>100%</w:t>
            </w:r>
          </w:p>
        </w:tc>
        <w:tc>
          <w:tcPr>
            <w:tcW w:w="1104" w:type="dxa"/>
            <w:tcBorders>
              <w:top w:val="single" w:sz="4" w:space="0" w:color="auto"/>
              <w:left w:val="single" w:sz="4" w:space="0" w:color="auto"/>
              <w:right w:val="single" w:sz="4" w:space="0" w:color="auto"/>
            </w:tcBorders>
            <w:shd w:val="clear" w:color="auto" w:fill="auto"/>
          </w:tcPr>
          <w:p w14:paraId="30336568" w14:textId="77777777" w:rsidR="00EC1C40" w:rsidRDefault="00000000">
            <w:pPr>
              <w:pStyle w:val="Jin0"/>
              <w:framePr w:w="7666" w:h="12274" w:wrap="none" w:vAnchor="page" w:hAnchor="page" w:x="1801" w:y="1402"/>
              <w:spacing w:after="0"/>
              <w:jc w:val="right"/>
              <w:rPr>
                <w:sz w:val="15"/>
                <w:szCs w:val="15"/>
              </w:rPr>
            </w:pPr>
            <w:r>
              <w:rPr>
                <w:sz w:val="15"/>
                <w:szCs w:val="15"/>
              </w:rPr>
              <w:t>3</w:t>
            </w:r>
          </w:p>
        </w:tc>
      </w:tr>
      <w:tr w:rsidR="00EC1C40" w14:paraId="6916E1B4" w14:textId="77777777">
        <w:tblPrEx>
          <w:tblCellMar>
            <w:top w:w="0" w:type="dxa"/>
            <w:bottom w:w="0" w:type="dxa"/>
          </w:tblCellMar>
        </w:tblPrEx>
        <w:trPr>
          <w:trHeight w:hRule="exact" w:val="197"/>
        </w:trPr>
        <w:tc>
          <w:tcPr>
            <w:tcW w:w="2640" w:type="dxa"/>
            <w:tcBorders>
              <w:top w:val="single" w:sz="4" w:space="0" w:color="auto"/>
              <w:left w:val="single" w:sz="4" w:space="0" w:color="auto"/>
            </w:tcBorders>
            <w:shd w:val="clear" w:color="auto" w:fill="auto"/>
          </w:tcPr>
          <w:p w14:paraId="4F9116F3" w14:textId="77777777" w:rsidR="00EC1C40" w:rsidRDefault="00EC1C40">
            <w:pPr>
              <w:framePr w:w="7666" w:h="12274" w:wrap="none" w:vAnchor="page" w:hAnchor="page" w:x="1801" w:y="1402"/>
              <w:rPr>
                <w:sz w:val="10"/>
                <w:szCs w:val="10"/>
              </w:rPr>
            </w:pPr>
          </w:p>
        </w:tc>
        <w:tc>
          <w:tcPr>
            <w:tcW w:w="835" w:type="dxa"/>
            <w:tcBorders>
              <w:top w:val="single" w:sz="4" w:space="0" w:color="auto"/>
              <w:left w:val="single" w:sz="4" w:space="0" w:color="auto"/>
            </w:tcBorders>
            <w:shd w:val="clear" w:color="auto" w:fill="auto"/>
          </w:tcPr>
          <w:p w14:paraId="0C2A396E" w14:textId="77777777" w:rsidR="00EC1C40" w:rsidRDefault="00EC1C40">
            <w:pPr>
              <w:framePr w:w="7666" w:h="12274" w:wrap="none" w:vAnchor="page" w:hAnchor="page" w:x="1801" w:y="1402"/>
              <w:rPr>
                <w:sz w:val="10"/>
                <w:szCs w:val="10"/>
              </w:rPr>
            </w:pPr>
          </w:p>
        </w:tc>
        <w:tc>
          <w:tcPr>
            <w:tcW w:w="835" w:type="dxa"/>
            <w:tcBorders>
              <w:top w:val="single" w:sz="4" w:space="0" w:color="auto"/>
              <w:left w:val="single" w:sz="4" w:space="0" w:color="auto"/>
            </w:tcBorders>
            <w:shd w:val="clear" w:color="auto" w:fill="auto"/>
          </w:tcPr>
          <w:p w14:paraId="4AE9D992" w14:textId="77777777" w:rsidR="00EC1C40" w:rsidRDefault="00EC1C40">
            <w:pPr>
              <w:framePr w:w="7666" w:h="12274" w:wrap="none" w:vAnchor="page" w:hAnchor="page" w:x="1801" w:y="1402"/>
              <w:rPr>
                <w:sz w:val="10"/>
                <w:szCs w:val="10"/>
              </w:rPr>
            </w:pPr>
          </w:p>
        </w:tc>
        <w:tc>
          <w:tcPr>
            <w:tcW w:w="1037" w:type="dxa"/>
            <w:tcBorders>
              <w:top w:val="single" w:sz="4" w:space="0" w:color="auto"/>
              <w:left w:val="single" w:sz="4" w:space="0" w:color="auto"/>
            </w:tcBorders>
            <w:shd w:val="clear" w:color="auto" w:fill="auto"/>
          </w:tcPr>
          <w:p w14:paraId="084CA11E" w14:textId="77777777" w:rsidR="00EC1C40" w:rsidRDefault="00EC1C40">
            <w:pPr>
              <w:framePr w:w="7666" w:h="12274" w:wrap="none" w:vAnchor="page" w:hAnchor="page" w:x="1801" w:y="1402"/>
              <w:rPr>
                <w:sz w:val="10"/>
                <w:szCs w:val="10"/>
              </w:rPr>
            </w:pPr>
          </w:p>
        </w:tc>
        <w:tc>
          <w:tcPr>
            <w:tcW w:w="1214" w:type="dxa"/>
            <w:tcBorders>
              <w:top w:val="single" w:sz="4" w:space="0" w:color="auto"/>
              <w:left w:val="single" w:sz="4" w:space="0" w:color="auto"/>
            </w:tcBorders>
            <w:shd w:val="clear" w:color="auto" w:fill="auto"/>
          </w:tcPr>
          <w:p w14:paraId="7ECD9EA9" w14:textId="77777777" w:rsidR="00EC1C40" w:rsidRDefault="00EC1C40">
            <w:pPr>
              <w:framePr w:w="7666" w:h="12274" w:wrap="none" w:vAnchor="page" w:hAnchor="page" w:x="1801" w:y="1402"/>
              <w:rPr>
                <w:sz w:val="10"/>
                <w:szCs w:val="10"/>
              </w:rPr>
            </w:pPr>
          </w:p>
        </w:tc>
        <w:tc>
          <w:tcPr>
            <w:tcW w:w="1104" w:type="dxa"/>
            <w:tcBorders>
              <w:top w:val="single" w:sz="4" w:space="0" w:color="auto"/>
              <w:left w:val="single" w:sz="4" w:space="0" w:color="auto"/>
              <w:right w:val="single" w:sz="4" w:space="0" w:color="auto"/>
            </w:tcBorders>
            <w:shd w:val="clear" w:color="auto" w:fill="auto"/>
          </w:tcPr>
          <w:p w14:paraId="314CC463" w14:textId="77777777" w:rsidR="00EC1C40" w:rsidRDefault="00EC1C40">
            <w:pPr>
              <w:framePr w:w="7666" w:h="12274" w:wrap="none" w:vAnchor="page" w:hAnchor="page" w:x="1801" w:y="1402"/>
              <w:rPr>
                <w:sz w:val="10"/>
                <w:szCs w:val="10"/>
              </w:rPr>
            </w:pPr>
          </w:p>
        </w:tc>
      </w:tr>
      <w:tr w:rsidR="00EC1C40" w14:paraId="38668575" w14:textId="77777777">
        <w:tblPrEx>
          <w:tblCellMar>
            <w:top w:w="0" w:type="dxa"/>
            <w:bottom w:w="0" w:type="dxa"/>
          </w:tblCellMar>
        </w:tblPrEx>
        <w:trPr>
          <w:trHeight w:hRule="exact" w:val="216"/>
        </w:trPr>
        <w:tc>
          <w:tcPr>
            <w:tcW w:w="2640" w:type="dxa"/>
            <w:tcBorders>
              <w:top w:val="single" w:sz="4" w:space="0" w:color="auto"/>
              <w:left w:val="single" w:sz="4" w:space="0" w:color="auto"/>
              <w:bottom w:val="single" w:sz="4" w:space="0" w:color="auto"/>
            </w:tcBorders>
            <w:shd w:val="clear" w:color="auto" w:fill="auto"/>
          </w:tcPr>
          <w:p w14:paraId="2DDDAB21" w14:textId="77777777" w:rsidR="00EC1C40" w:rsidRDefault="00000000">
            <w:pPr>
              <w:pStyle w:val="Jin0"/>
              <w:framePr w:w="7666" w:h="12274" w:wrap="none" w:vAnchor="page" w:hAnchor="page" w:x="1801" w:y="1402"/>
              <w:spacing w:after="0"/>
              <w:rPr>
                <w:sz w:val="15"/>
                <w:szCs w:val="15"/>
              </w:rPr>
            </w:pPr>
            <w:r>
              <w:rPr>
                <w:b/>
                <w:bCs/>
                <w:sz w:val="15"/>
                <w:szCs w:val="15"/>
              </w:rPr>
              <w:t>CELKOVÉ HPP</w:t>
            </w:r>
          </w:p>
        </w:tc>
        <w:tc>
          <w:tcPr>
            <w:tcW w:w="835" w:type="dxa"/>
            <w:tcBorders>
              <w:top w:val="single" w:sz="4" w:space="0" w:color="auto"/>
              <w:left w:val="single" w:sz="4" w:space="0" w:color="auto"/>
              <w:bottom w:val="single" w:sz="4" w:space="0" w:color="auto"/>
            </w:tcBorders>
            <w:shd w:val="clear" w:color="auto" w:fill="auto"/>
          </w:tcPr>
          <w:p w14:paraId="2BFAEAAE" w14:textId="77777777" w:rsidR="00EC1C40" w:rsidRDefault="00000000">
            <w:pPr>
              <w:pStyle w:val="Jin0"/>
              <w:framePr w:w="7666" w:h="12274" w:wrap="none" w:vAnchor="page" w:hAnchor="page" w:x="1801" w:y="1402"/>
              <w:spacing w:after="0"/>
              <w:ind w:firstLine="280"/>
              <w:jc w:val="both"/>
              <w:rPr>
                <w:sz w:val="15"/>
                <w:szCs w:val="15"/>
              </w:rPr>
            </w:pPr>
            <w:r>
              <w:rPr>
                <w:b/>
                <w:bCs/>
                <w:sz w:val="15"/>
                <w:szCs w:val="15"/>
              </w:rPr>
              <w:t>236 682</w:t>
            </w:r>
          </w:p>
        </w:tc>
        <w:tc>
          <w:tcPr>
            <w:tcW w:w="835" w:type="dxa"/>
            <w:tcBorders>
              <w:top w:val="single" w:sz="4" w:space="0" w:color="auto"/>
              <w:left w:val="single" w:sz="4" w:space="0" w:color="auto"/>
              <w:bottom w:val="single" w:sz="4" w:space="0" w:color="auto"/>
            </w:tcBorders>
            <w:shd w:val="clear" w:color="auto" w:fill="auto"/>
          </w:tcPr>
          <w:p w14:paraId="5409D8F2" w14:textId="77777777" w:rsidR="00EC1C40" w:rsidRDefault="00000000">
            <w:pPr>
              <w:pStyle w:val="Jin0"/>
              <w:framePr w:w="7666" w:h="12274" w:wrap="none" w:vAnchor="page" w:hAnchor="page" w:x="1801" w:y="1402"/>
              <w:spacing w:after="0"/>
              <w:jc w:val="right"/>
              <w:rPr>
                <w:sz w:val="15"/>
                <w:szCs w:val="15"/>
              </w:rPr>
            </w:pPr>
            <w:r>
              <w:rPr>
                <w:b/>
                <w:bCs/>
                <w:sz w:val="15"/>
                <w:szCs w:val="15"/>
              </w:rPr>
              <w:t>180 638</w:t>
            </w:r>
          </w:p>
        </w:tc>
        <w:tc>
          <w:tcPr>
            <w:tcW w:w="1037" w:type="dxa"/>
            <w:tcBorders>
              <w:top w:val="single" w:sz="4" w:space="0" w:color="auto"/>
              <w:left w:val="single" w:sz="4" w:space="0" w:color="auto"/>
              <w:bottom w:val="single" w:sz="4" w:space="0" w:color="auto"/>
            </w:tcBorders>
            <w:shd w:val="clear" w:color="auto" w:fill="auto"/>
          </w:tcPr>
          <w:p w14:paraId="18D49D8C" w14:textId="77777777" w:rsidR="00EC1C40" w:rsidRDefault="00000000">
            <w:pPr>
              <w:pStyle w:val="Jin0"/>
              <w:framePr w:w="7666" w:h="12274" w:wrap="none" w:vAnchor="page" w:hAnchor="page" w:x="1801" w:y="1402"/>
              <w:spacing w:after="0"/>
              <w:jc w:val="right"/>
              <w:rPr>
                <w:sz w:val="15"/>
                <w:szCs w:val="15"/>
              </w:rPr>
            </w:pPr>
            <w:r>
              <w:rPr>
                <w:b/>
                <w:bCs/>
                <w:sz w:val="15"/>
                <w:szCs w:val="15"/>
              </w:rPr>
              <w:t>56 044</w:t>
            </w:r>
          </w:p>
        </w:tc>
        <w:tc>
          <w:tcPr>
            <w:tcW w:w="1214" w:type="dxa"/>
            <w:tcBorders>
              <w:top w:val="single" w:sz="4" w:space="0" w:color="auto"/>
              <w:left w:val="single" w:sz="4" w:space="0" w:color="auto"/>
              <w:bottom w:val="single" w:sz="4" w:space="0" w:color="auto"/>
            </w:tcBorders>
            <w:shd w:val="clear" w:color="auto" w:fill="auto"/>
          </w:tcPr>
          <w:p w14:paraId="2FACD156" w14:textId="77777777" w:rsidR="00EC1C40" w:rsidRDefault="00EC1C40">
            <w:pPr>
              <w:framePr w:w="7666" w:h="12274" w:wrap="none" w:vAnchor="page" w:hAnchor="page" w:x="1801" w:y="1402"/>
              <w:rPr>
                <w:sz w:val="10"/>
                <w:szCs w:val="10"/>
              </w:rPr>
            </w:pPr>
          </w:p>
        </w:tc>
        <w:tc>
          <w:tcPr>
            <w:tcW w:w="1104" w:type="dxa"/>
            <w:tcBorders>
              <w:top w:val="single" w:sz="4" w:space="0" w:color="auto"/>
              <w:left w:val="single" w:sz="4" w:space="0" w:color="auto"/>
              <w:bottom w:val="single" w:sz="4" w:space="0" w:color="auto"/>
              <w:right w:val="single" w:sz="4" w:space="0" w:color="auto"/>
            </w:tcBorders>
            <w:shd w:val="clear" w:color="auto" w:fill="auto"/>
          </w:tcPr>
          <w:p w14:paraId="13E7A30A" w14:textId="77777777" w:rsidR="00EC1C40" w:rsidRDefault="00000000">
            <w:pPr>
              <w:pStyle w:val="Jin0"/>
              <w:framePr w:w="7666" w:h="12274" w:wrap="none" w:vAnchor="page" w:hAnchor="page" w:x="1801" w:y="1402"/>
              <w:spacing w:after="0"/>
              <w:jc w:val="right"/>
              <w:rPr>
                <w:sz w:val="15"/>
                <w:szCs w:val="15"/>
              </w:rPr>
            </w:pPr>
            <w:r>
              <w:rPr>
                <w:b/>
                <w:bCs/>
                <w:sz w:val="15"/>
                <w:szCs w:val="15"/>
              </w:rPr>
              <w:t>29 858</w:t>
            </w:r>
          </w:p>
        </w:tc>
      </w:tr>
    </w:tbl>
    <w:p w14:paraId="501AB6A4" w14:textId="77777777" w:rsidR="00EC1C40" w:rsidRDefault="00000000">
      <w:pPr>
        <w:pStyle w:val="Titulektabulky0"/>
        <w:framePr w:wrap="none" w:vAnchor="page" w:hAnchor="page" w:x="3994" w:y="13858"/>
        <w:rPr>
          <w:sz w:val="15"/>
          <w:szCs w:val="15"/>
        </w:rPr>
      </w:pPr>
      <w:r>
        <w:rPr>
          <w:b w:val="0"/>
          <w:bCs w:val="0"/>
          <w:color w:val="231E20"/>
          <w:sz w:val="15"/>
          <w:szCs w:val="15"/>
          <w:lang w:val="en-US" w:eastAsia="en-US" w:bidi="en-US"/>
        </w:rPr>
        <w:t xml:space="preserve">CHECK </w:t>
      </w:r>
      <w:r>
        <w:rPr>
          <w:b w:val="0"/>
          <w:bCs w:val="0"/>
          <w:color w:val="1B592C"/>
          <w:sz w:val="15"/>
          <w:szCs w:val="15"/>
          <w:lang w:val="en-US" w:eastAsia="en-US" w:bidi="en-US"/>
        </w:rPr>
        <w:t>OK</w:t>
      </w:r>
    </w:p>
    <w:tbl>
      <w:tblPr>
        <w:tblOverlap w:val="never"/>
        <w:tblW w:w="0" w:type="auto"/>
        <w:tblLayout w:type="fixed"/>
        <w:tblCellMar>
          <w:left w:w="10" w:type="dxa"/>
          <w:right w:w="10" w:type="dxa"/>
        </w:tblCellMar>
        <w:tblLook w:val="0000" w:firstRow="0" w:lastRow="0" w:firstColumn="0" w:lastColumn="0" w:noHBand="0" w:noVBand="0"/>
      </w:tblPr>
      <w:tblGrid>
        <w:gridCol w:w="3019"/>
        <w:gridCol w:w="1186"/>
      </w:tblGrid>
      <w:tr w:rsidR="00EC1C40" w14:paraId="6BF58828" w14:textId="77777777">
        <w:tblPrEx>
          <w:tblCellMar>
            <w:top w:w="0" w:type="dxa"/>
            <w:bottom w:w="0" w:type="dxa"/>
          </w:tblCellMar>
        </w:tblPrEx>
        <w:trPr>
          <w:trHeight w:hRule="exact" w:val="216"/>
        </w:trPr>
        <w:tc>
          <w:tcPr>
            <w:tcW w:w="4205" w:type="dxa"/>
            <w:gridSpan w:val="2"/>
            <w:tcBorders>
              <w:top w:val="single" w:sz="4" w:space="0" w:color="auto"/>
              <w:left w:val="single" w:sz="4" w:space="0" w:color="auto"/>
              <w:right w:val="single" w:sz="4" w:space="0" w:color="auto"/>
            </w:tcBorders>
            <w:shd w:val="clear" w:color="auto" w:fill="DAEAF7"/>
            <w:vAlign w:val="bottom"/>
          </w:tcPr>
          <w:p w14:paraId="2BDD82F4" w14:textId="77777777" w:rsidR="00EC1C40" w:rsidRDefault="00000000">
            <w:pPr>
              <w:pStyle w:val="Jin0"/>
              <w:framePr w:w="4205" w:h="1248" w:wrap="none" w:vAnchor="page" w:hAnchor="page" w:x="5261" w:y="14237"/>
              <w:spacing w:after="0"/>
              <w:rPr>
                <w:sz w:val="15"/>
                <w:szCs w:val="15"/>
              </w:rPr>
            </w:pPr>
            <w:r>
              <w:rPr>
                <w:b/>
                <w:bCs/>
                <w:sz w:val="15"/>
                <w:szCs w:val="15"/>
              </w:rPr>
              <w:t xml:space="preserve">Investiční </w:t>
            </w:r>
            <w:proofErr w:type="spellStart"/>
            <w:r>
              <w:rPr>
                <w:b/>
                <w:bCs/>
                <w:sz w:val="15"/>
                <w:szCs w:val="15"/>
              </w:rPr>
              <w:t>příspěvěk</w:t>
            </w:r>
            <w:proofErr w:type="spellEnd"/>
          </w:p>
        </w:tc>
      </w:tr>
      <w:tr w:rsidR="00EC1C40" w14:paraId="512C1D5B" w14:textId="77777777">
        <w:tblPrEx>
          <w:tblCellMar>
            <w:top w:w="0" w:type="dxa"/>
            <w:bottom w:w="0" w:type="dxa"/>
          </w:tblCellMar>
        </w:tblPrEx>
        <w:trPr>
          <w:trHeight w:hRule="exact" w:val="221"/>
        </w:trPr>
        <w:tc>
          <w:tcPr>
            <w:tcW w:w="3019" w:type="dxa"/>
            <w:tcBorders>
              <w:top w:val="single" w:sz="4" w:space="0" w:color="auto"/>
              <w:left w:val="single" w:sz="4" w:space="0" w:color="auto"/>
            </w:tcBorders>
            <w:shd w:val="clear" w:color="auto" w:fill="auto"/>
            <w:vAlign w:val="bottom"/>
          </w:tcPr>
          <w:p w14:paraId="4575453E" w14:textId="77777777" w:rsidR="00EC1C40" w:rsidRDefault="00000000">
            <w:pPr>
              <w:pStyle w:val="Jin0"/>
              <w:framePr w:w="4205" w:h="1248" w:wrap="none" w:vAnchor="page" w:hAnchor="page" w:x="5261" w:y="14237"/>
              <w:spacing w:after="0"/>
              <w:rPr>
                <w:sz w:val="15"/>
                <w:szCs w:val="15"/>
              </w:rPr>
            </w:pPr>
            <w:r>
              <w:rPr>
                <w:sz w:val="15"/>
                <w:szCs w:val="15"/>
              </w:rPr>
              <w:t>Investiční příspěvek v Kč / 1 m</w:t>
            </w:r>
            <w:r>
              <w:rPr>
                <w:rFonts w:ascii="Arial" w:eastAsia="Arial" w:hAnsi="Arial" w:cs="Arial"/>
                <w:sz w:val="8"/>
                <w:szCs w:val="8"/>
                <w:vertAlign w:val="superscript"/>
              </w:rPr>
              <w:t>2</w:t>
            </w:r>
            <w:r>
              <w:rPr>
                <w:rFonts w:ascii="Arial" w:eastAsia="Arial" w:hAnsi="Arial" w:cs="Arial"/>
                <w:sz w:val="8"/>
                <w:szCs w:val="8"/>
              </w:rPr>
              <w:t xml:space="preserve"> </w:t>
            </w:r>
            <w:r>
              <w:rPr>
                <w:sz w:val="15"/>
                <w:szCs w:val="15"/>
              </w:rPr>
              <w:t>HPP</w:t>
            </w:r>
          </w:p>
        </w:tc>
        <w:tc>
          <w:tcPr>
            <w:tcW w:w="1186" w:type="dxa"/>
            <w:tcBorders>
              <w:top w:val="single" w:sz="4" w:space="0" w:color="auto"/>
              <w:right w:val="single" w:sz="4" w:space="0" w:color="auto"/>
            </w:tcBorders>
            <w:shd w:val="clear" w:color="auto" w:fill="auto"/>
            <w:vAlign w:val="bottom"/>
          </w:tcPr>
          <w:p w14:paraId="3EEE25C7" w14:textId="77777777" w:rsidR="00EC1C40" w:rsidRDefault="00000000">
            <w:pPr>
              <w:pStyle w:val="Jin0"/>
              <w:framePr w:w="4205" w:h="1248" w:wrap="none" w:vAnchor="page" w:hAnchor="page" w:x="5261" w:y="14237"/>
              <w:spacing w:after="0"/>
              <w:ind w:firstLine="700"/>
              <w:jc w:val="both"/>
              <w:rPr>
                <w:sz w:val="15"/>
                <w:szCs w:val="15"/>
              </w:rPr>
            </w:pPr>
            <w:r>
              <w:rPr>
                <w:sz w:val="15"/>
                <w:szCs w:val="15"/>
              </w:rPr>
              <w:t>800 Kč</w:t>
            </w:r>
          </w:p>
        </w:tc>
      </w:tr>
      <w:tr w:rsidR="00EC1C40" w14:paraId="07B74DE0" w14:textId="77777777">
        <w:tblPrEx>
          <w:tblCellMar>
            <w:top w:w="0" w:type="dxa"/>
            <w:bottom w:w="0" w:type="dxa"/>
          </w:tblCellMar>
        </w:tblPrEx>
        <w:trPr>
          <w:trHeight w:hRule="exact" w:val="192"/>
        </w:trPr>
        <w:tc>
          <w:tcPr>
            <w:tcW w:w="3019" w:type="dxa"/>
            <w:tcBorders>
              <w:top w:val="single" w:sz="4" w:space="0" w:color="auto"/>
              <w:left w:val="single" w:sz="4" w:space="0" w:color="auto"/>
            </w:tcBorders>
            <w:shd w:val="clear" w:color="auto" w:fill="auto"/>
            <w:vAlign w:val="bottom"/>
          </w:tcPr>
          <w:p w14:paraId="246F12A3" w14:textId="77777777" w:rsidR="00EC1C40" w:rsidRDefault="00000000">
            <w:pPr>
              <w:pStyle w:val="Jin0"/>
              <w:framePr w:w="4205" w:h="1248" w:wrap="none" w:vAnchor="page" w:hAnchor="page" w:x="5261" w:y="14237"/>
              <w:spacing w:after="0"/>
              <w:rPr>
                <w:sz w:val="15"/>
                <w:szCs w:val="15"/>
              </w:rPr>
            </w:pPr>
            <w:r>
              <w:rPr>
                <w:sz w:val="15"/>
                <w:szCs w:val="15"/>
              </w:rPr>
              <w:t>Adaptační opatření = sleva v Kč</w:t>
            </w:r>
          </w:p>
        </w:tc>
        <w:tc>
          <w:tcPr>
            <w:tcW w:w="1186" w:type="dxa"/>
            <w:tcBorders>
              <w:top w:val="single" w:sz="4" w:space="0" w:color="auto"/>
              <w:right w:val="single" w:sz="4" w:space="0" w:color="auto"/>
            </w:tcBorders>
            <w:shd w:val="clear" w:color="auto" w:fill="auto"/>
            <w:vAlign w:val="bottom"/>
          </w:tcPr>
          <w:p w14:paraId="542AC43D" w14:textId="77777777" w:rsidR="00EC1C40" w:rsidRDefault="00000000">
            <w:pPr>
              <w:pStyle w:val="Jin0"/>
              <w:framePr w:w="4205" w:h="1248" w:wrap="none" w:vAnchor="page" w:hAnchor="page" w:x="5261" w:y="14237"/>
              <w:spacing w:after="0"/>
              <w:ind w:firstLine="700"/>
              <w:jc w:val="both"/>
              <w:rPr>
                <w:sz w:val="15"/>
                <w:szCs w:val="15"/>
              </w:rPr>
            </w:pPr>
            <w:r>
              <w:rPr>
                <w:sz w:val="15"/>
                <w:szCs w:val="15"/>
              </w:rPr>
              <w:t>200 Kč</w:t>
            </w:r>
          </w:p>
        </w:tc>
      </w:tr>
      <w:tr w:rsidR="00EC1C40" w14:paraId="1CB5C108" w14:textId="77777777">
        <w:tblPrEx>
          <w:tblCellMar>
            <w:top w:w="0" w:type="dxa"/>
            <w:bottom w:w="0" w:type="dxa"/>
          </w:tblCellMar>
        </w:tblPrEx>
        <w:trPr>
          <w:trHeight w:hRule="exact" w:val="202"/>
        </w:trPr>
        <w:tc>
          <w:tcPr>
            <w:tcW w:w="3019" w:type="dxa"/>
            <w:tcBorders>
              <w:top w:val="single" w:sz="4" w:space="0" w:color="auto"/>
              <w:left w:val="single" w:sz="4" w:space="0" w:color="auto"/>
            </w:tcBorders>
            <w:shd w:val="clear" w:color="auto" w:fill="DAEAF7"/>
          </w:tcPr>
          <w:p w14:paraId="1E334B91" w14:textId="77777777" w:rsidR="00EC1C40" w:rsidRDefault="00000000">
            <w:pPr>
              <w:pStyle w:val="Jin0"/>
              <w:framePr w:w="4205" w:h="1248" w:wrap="none" w:vAnchor="page" w:hAnchor="page" w:x="5261" w:y="14237"/>
              <w:spacing w:after="0"/>
              <w:rPr>
                <w:sz w:val="15"/>
                <w:szCs w:val="15"/>
              </w:rPr>
            </w:pPr>
            <w:proofErr w:type="spellStart"/>
            <w:r>
              <w:rPr>
                <w:b/>
                <w:bCs/>
                <w:sz w:val="15"/>
                <w:szCs w:val="15"/>
              </w:rPr>
              <w:t>Invetiční</w:t>
            </w:r>
            <w:proofErr w:type="spellEnd"/>
            <w:r>
              <w:rPr>
                <w:b/>
                <w:bCs/>
                <w:sz w:val="15"/>
                <w:szCs w:val="15"/>
              </w:rPr>
              <w:t xml:space="preserve"> příspěvek v Kč / 1 m2 HPP po slevě</w:t>
            </w:r>
          </w:p>
        </w:tc>
        <w:tc>
          <w:tcPr>
            <w:tcW w:w="1186" w:type="dxa"/>
            <w:tcBorders>
              <w:top w:val="single" w:sz="4" w:space="0" w:color="auto"/>
              <w:right w:val="single" w:sz="4" w:space="0" w:color="auto"/>
            </w:tcBorders>
            <w:shd w:val="clear" w:color="auto" w:fill="DAEAF7"/>
          </w:tcPr>
          <w:p w14:paraId="30E6AE34" w14:textId="77777777" w:rsidR="00EC1C40" w:rsidRDefault="00000000">
            <w:pPr>
              <w:pStyle w:val="Jin0"/>
              <w:framePr w:w="4205" w:h="1248" w:wrap="none" w:vAnchor="page" w:hAnchor="page" w:x="5261" w:y="14237"/>
              <w:spacing w:after="0"/>
              <w:ind w:firstLine="700"/>
              <w:jc w:val="both"/>
              <w:rPr>
                <w:sz w:val="15"/>
                <w:szCs w:val="15"/>
              </w:rPr>
            </w:pPr>
            <w:r>
              <w:rPr>
                <w:b/>
                <w:bCs/>
                <w:sz w:val="15"/>
                <w:szCs w:val="15"/>
              </w:rPr>
              <w:t>600 Kč</w:t>
            </w:r>
          </w:p>
        </w:tc>
      </w:tr>
      <w:tr w:rsidR="00EC1C40" w14:paraId="3B467834" w14:textId="77777777">
        <w:tblPrEx>
          <w:tblCellMar>
            <w:top w:w="0" w:type="dxa"/>
            <w:bottom w:w="0" w:type="dxa"/>
          </w:tblCellMar>
        </w:tblPrEx>
        <w:trPr>
          <w:trHeight w:hRule="exact" w:val="202"/>
        </w:trPr>
        <w:tc>
          <w:tcPr>
            <w:tcW w:w="4205" w:type="dxa"/>
            <w:gridSpan w:val="2"/>
            <w:tcBorders>
              <w:top w:val="single" w:sz="4" w:space="0" w:color="auto"/>
            </w:tcBorders>
            <w:shd w:val="clear" w:color="auto" w:fill="auto"/>
          </w:tcPr>
          <w:p w14:paraId="03BB15F8" w14:textId="77777777" w:rsidR="00EC1C40" w:rsidRDefault="00EC1C40">
            <w:pPr>
              <w:framePr w:w="4205" w:h="1248" w:wrap="none" w:vAnchor="page" w:hAnchor="page" w:x="5261" w:y="14237"/>
              <w:rPr>
                <w:sz w:val="10"/>
                <w:szCs w:val="10"/>
              </w:rPr>
            </w:pPr>
          </w:p>
        </w:tc>
      </w:tr>
      <w:tr w:rsidR="00EC1C40" w14:paraId="236F2338" w14:textId="77777777">
        <w:tblPrEx>
          <w:tblCellMar>
            <w:top w:w="0" w:type="dxa"/>
            <w:bottom w:w="0" w:type="dxa"/>
          </w:tblCellMar>
        </w:tblPrEx>
        <w:trPr>
          <w:trHeight w:hRule="exact" w:val="216"/>
        </w:trPr>
        <w:tc>
          <w:tcPr>
            <w:tcW w:w="3019" w:type="dxa"/>
            <w:tcBorders>
              <w:top w:val="single" w:sz="4" w:space="0" w:color="auto"/>
              <w:bottom w:val="single" w:sz="4" w:space="0" w:color="auto"/>
            </w:tcBorders>
            <w:shd w:val="clear" w:color="auto" w:fill="F6EDD1"/>
          </w:tcPr>
          <w:p w14:paraId="197E23B5" w14:textId="77777777" w:rsidR="00EC1C40" w:rsidRDefault="00000000">
            <w:pPr>
              <w:pStyle w:val="Jin0"/>
              <w:framePr w:w="4205" w:h="1248" w:wrap="none" w:vAnchor="page" w:hAnchor="page" w:x="5261" w:y="14237"/>
              <w:spacing w:after="0"/>
              <w:rPr>
                <w:sz w:val="15"/>
                <w:szCs w:val="15"/>
              </w:rPr>
            </w:pPr>
            <w:r>
              <w:rPr>
                <w:b/>
                <w:bCs/>
                <w:sz w:val="15"/>
                <w:szCs w:val="15"/>
              </w:rPr>
              <w:t>Výše investičního příspěvku MHAP</w:t>
            </w:r>
          </w:p>
        </w:tc>
        <w:tc>
          <w:tcPr>
            <w:tcW w:w="1186" w:type="dxa"/>
            <w:tcBorders>
              <w:top w:val="single" w:sz="4" w:space="0" w:color="auto"/>
              <w:bottom w:val="single" w:sz="4" w:space="0" w:color="auto"/>
            </w:tcBorders>
            <w:shd w:val="clear" w:color="auto" w:fill="F6EDD1"/>
          </w:tcPr>
          <w:p w14:paraId="172C8ECE" w14:textId="77777777" w:rsidR="00EC1C40" w:rsidRDefault="00000000">
            <w:pPr>
              <w:pStyle w:val="Jin0"/>
              <w:framePr w:w="4205" w:h="1248" w:wrap="none" w:vAnchor="page" w:hAnchor="page" w:x="5261" w:y="14237"/>
              <w:spacing w:after="0"/>
              <w:jc w:val="right"/>
              <w:rPr>
                <w:sz w:val="15"/>
                <w:szCs w:val="15"/>
              </w:rPr>
            </w:pPr>
            <w:r>
              <w:rPr>
                <w:b/>
                <w:bCs/>
                <w:sz w:val="15"/>
                <w:szCs w:val="15"/>
              </w:rPr>
              <w:t>17 914 800 Kč</w:t>
            </w:r>
          </w:p>
        </w:tc>
      </w:tr>
    </w:tbl>
    <w:p w14:paraId="79A6DF86" w14:textId="77777777" w:rsidR="00EC1C40" w:rsidRDefault="00000000">
      <w:pPr>
        <w:pStyle w:val="Zkladntext30"/>
        <w:framePr w:w="7666" w:h="202" w:hRule="exact" w:wrap="none" w:vAnchor="page" w:hAnchor="page" w:x="1801" w:y="15668"/>
        <w:spacing w:after="0"/>
        <w:jc w:val="right"/>
        <w:rPr>
          <w:sz w:val="15"/>
          <w:szCs w:val="15"/>
        </w:rPr>
      </w:pPr>
      <w:r>
        <w:rPr>
          <w:color w:val="231E20"/>
          <w:sz w:val="15"/>
          <w:szCs w:val="15"/>
          <w:lang w:val="en-US" w:eastAsia="en-US" w:bidi="en-US"/>
        </w:rPr>
        <w:t xml:space="preserve">*) </w:t>
      </w:r>
      <w:proofErr w:type="spellStart"/>
      <w:r>
        <w:rPr>
          <w:color w:val="231E20"/>
          <w:sz w:val="15"/>
          <w:szCs w:val="15"/>
          <w:lang w:val="en-US" w:eastAsia="en-US" w:bidi="en-US"/>
        </w:rPr>
        <w:t>dle</w:t>
      </w:r>
      <w:proofErr w:type="spellEnd"/>
      <w:r>
        <w:rPr>
          <w:color w:val="231E20"/>
          <w:sz w:val="15"/>
          <w:szCs w:val="15"/>
          <w:lang w:val="en-US" w:eastAsia="en-US" w:bidi="en-US"/>
        </w:rPr>
        <w:t xml:space="preserve"> </w:t>
      </w:r>
      <w:proofErr w:type="spellStart"/>
      <w:r>
        <w:rPr>
          <w:color w:val="231E20"/>
          <w:sz w:val="15"/>
          <w:szCs w:val="15"/>
          <w:lang w:val="en-US" w:eastAsia="en-US" w:bidi="en-US"/>
        </w:rPr>
        <w:t>smyslu</w:t>
      </w:r>
      <w:proofErr w:type="spellEnd"/>
      <w:r>
        <w:rPr>
          <w:color w:val="231E20"/>
          <w:sz w:val="15"/>
          <w:szCs w:val="15"/>
          <w:lang w:val="en-US" w:eastAsia="en-US" w:bidi="en-US"/>
        </w:rPr>
        <w:t xml:space="preserve"> </w:t>
      </w:r>
      <w:r>
        <w:rPr>
          <w:color w:val="231E20"/>
          <w:sz w:val="15"/>
          <w:szCs w:val="15"/>
        </w:rPr>
        <w:t xml:space="preserve">zásad </w:t>
      </w:r>
      <w:proofErr w:type="spellStart"/>
      <w:r>
        <w:rPr>
          <w:color w:val="231E20"/>
          <w:sz w:val="15"/>
          <w:szCs w:val="15"/>
          <w:lang w:val="en-US" w:eastAsia="en-US" w:bidi="en-US"/>
        </w:rPr>
        <w:t>plochy</w:t>
      </w:r>
      <w:proofErr w:type="spellEnd"/>
      <w:r>
        <w:rPr>
          <w:color w:val="231E20"/>
          <w:sz w:val="15"/>
          <w:szCs w:val="15"/>
          <w:lang w:val="en-US" w:eastAsia="en-US" w:bidi="en-US"/>
        </w:rPr>
        <w:t xml:space="preserve"> s </w:t>
      </w:r>
      <w:r>
        <w:rPr>
          <w:color w:val="231E20"/>
          <w:sz w:val="15"/>
          <w:szCs w:val="15"/>
        </w:rPr>
        <w:t>veřejnou funkcí, které nepodléhají investičnímu příspěvku</w:t>
      </w:r>
    </w:p>
    <w:p w14:paraId="11DA2320"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78823772" w14:textId="77777777" w:rsidR="00EC1C40" w:rsidRDefault="00EC1C40">
      <w:pPr>
        <w:spacing w:line="1" w:lineRule="exact"/>
      </w:pPr>
    </w:p>
    <w:p w14:paraId="369612CA" w14:textId="77777777" w:rsidR="00EC1C40" w:rsidRDefault="00000000">
      <w:pPr>
        <w:pStyle w:val="Zkladntext80"/>
        <w:framePr w:w="11894" w:h="638" w:hRule="exact" w:wrap="none" w:vAnchor="page" w:hAnchor="page" w:x="130" w:y="5079"/>
        <w:rPr>
          <w:sz w:val="50"/>
          <w:szCs w:val="50"/>
        </w:rPr>
      </w:pPr>
      <w:r>
        <w:t>Příloh</w:t>
      </w:r>
      <w:r>
        <w:rPr>
          <w:rFonts w:ascii="Calibri" w:eastAsia="Calibri" w:hAnsi="Calibri" w:cs="Calibri"/>
          <w:b/>
          <w:bCs/>
          <w:smallCaps/>
          <w:sz w:val="50"/>
          <w:szCs w:val="50"/>
        </w:rPr>
        <w:t>a</w:t>
      </w:r>
      <w:r>
        <w:t xml:space="preserve"> č. </w:t>
      </w:r>
      <w:r>
        <w:rPr>
          <w:rFonts w:ascii="Calibri" w:eastAsia="Calibri" w:hAnsi="Calibri" w:cs="Calibri"/>
          <w:b/>
          <w:bCs/>
          <w:smallCaps/>
          <w:sz w:val="50"/>
          <w:szCs w:val="50"/>
        </w:rPr>
        <w:t>12</w:t>
      </w:r>
    </w:p>
    <w:p w14:paraId="365BAB52"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75C83DC1" w14:textId="77777777" w:rsidR="00EC1C40" w:rsidRDefault="00EC1C40">
      <w:pPr>
        <w:spacing w:line="1" w:lineRule="exact"/>
      </w:pPr>
    </w:p>
    <w:p w14:paraId="1DF61492" w14:textId="77777777" w:rsidR="00EC1C40" w:rsidRDefault="00000000">
      <w:pPr>
        <w:pStyle w:val="Titulekobrzku0"/>
        <w:framePr w:wrap="none" w:vAnchor="page" w:hAnchor="page" w:x="4786" w:y="7359"/>
      </w:pPr>
      <w:r>
        <w:rPr>
          <w:b w:val="0"/>
          <w:bCs w:val="0"/>
          <w:color w:val="231E20"/>
          <w:sz w:val="12"/>
          <w:szCs w:val="12"/>
        </w:rPr>
        <w:t>parkování = 12868 m</w:t>
      </w:r>
      <w:r>
        <w:rPr>
          <w:color w:val="231E20"/>
          <w:vertAlign w:val="superscript"/>
        </w:rPr>
        <w:t>2</w:t>
      </w:r>
    </w:p>
    <w:p w14:paraId="047FD778" w14:textId="77777777" w:rsidR="00EC1C40" w:rsidRDefault="00000000">
      <w:pPr>
        <w:pStyle w:val="Titulekobrzku0"/>
        <w:framePr w:wrap="none" w:vAnchor="page" w:hAnchor="page" w:x="380" w:y="12375"/>
        <w:rPr>
          <w:sz w:val="16"/>
          <w:szCs w:val="16"/>
        </w:rPr>
      </w:pPr>
      <w:r>
        <w:rPr>
          <w:sz w:val="16"/>
          <w:szCs w:val="16"/>
        </w:rPr>
        <w:t>2. PP - Zájmové plochy HPP</w:t>
      </w:r>
    </w:p>
    <w:p w14:paraId="3779D370" w14:textId="77777777" w:rsidR="00EC1C40" w:rsidRDefault="00000000">
      <w:pPr>
        <w:pStyle w:val="Titulekobrzku0"/>
        <w:framePr w:w="2117" w:h="456" w:hRule="exact" w:wrap="none" w:vAnchor="page" w:hAnchor="page" w:x="9677" w:y="12188"/>
        <w:jc w:val="center"/>
        <w:rPr>
          <w:sz w:val="38"/>
          <w:szCs w:val="38"/>
        </w:rPr>
      </w:pPr>
      <w:r>
        <w:rPr>
          <w:color w:val="918F90"/>
          <w:sz w:val="36"/>
          <w:szCs w:val="36"/>
        </w:rPr>
        <w:t xml:space="preserve">PPP </w:t>
      </w:r>
      <w:proofErr w:type="spellStart"/>
      <w:r>
        <w:rPr>
          <w:sz w:val="38"/>
          <w:szCs w:val="38"/>
        </w:rPr>
        <w:t>OVň</w:t>
      </w:r>
      <w:proofErr w:type="spellEnd"/>
    </w:p>
    <w:p w14:paraId="57B1360B" w14:textId="77777777" w:rsidR="00EC1C40" w:rsidRDefault="00000000">
      <w:pPr>
        <w:pStyle w:val="Titulekobrzku0"/>
        <w:framePr w:wrap="none" w:vAnchor="page" w:hAnchor="page" w:x="5516" w:y="11016"/>
      </w:pPr>
      <w:r>
        <w:rPr>
          <w:b w:val="0"/>
          <w:bCs w:val="0"/>
          <w:color w:val="231E20"/>
          <w:sz w:val="12"/>
          <w:szCs w:val="12"/>
        </w:rPr>
        <w:t>hotel = 2964 m</w:t>
      </w:r>
      <w:r>
        <w:rPr>
          <w:color w:val="231E20"/>
          <w:vertAlign w:val="superscript"/>
        </w:rPr>
        <w:t>2</w:t>
      </w:r>
    </w:p>
    <w:p w14:paraId="44733357" w14:textId="77777777" w:rsidR="00EC1C40" w:rsidRDefault="00000000">
      <w:pPr>
        <w:spacing w:line="1" w:lineRule="exact"/>
        <w:sectPr w:rsidR="00EC1C40">
          <w:pgSz w:w="12148" w:h="17375"/>
          <w:pgMar w:top="360" w:right="360" w:bottom="360" w:left="360" w:header="0" w:footer="3" w:gutter="0"/>
          <w:cols w:space="720"/>
          <w:noEndnote/>
          <w:docGrid w:linePitch="360"/>
        </w:sectPr>
      </w:pPr>
      <w:r>
        <w:rPr>
          <w:noProof/>
        </w:rPr>
        <w:drawing>
          <wp:anchor distT="0" distB="0" distL="0" distR="0" simplePos="0" relativeHeight="251717120" behindDoc="1" locked="0" layoutInCell="1" allowOverlap="1" wp14:anchorId="334A1305" wp14:editId="3BC86FA6">
            <wp:simplePos x="0" y="0"/>
            <wp:positionH relativeFrom="page">
              <wp:posOffset>81915</wp:posOffset>
            </wp:positionH>
            <wp:positionV relativeFrom="page">
              <wp:posOffset>2843530</wp:posOffset>
            </wp:positionV>
            <wp:extent cx="7552690" cy="5346065"/>
            <wp:effectExtent l="0" t="0" r="0" b="0"/>
            <wp:wrapNone/>
            <wp:docPr id="132" name="Shape 132"/>
            <wp:cNvGraphicFramePr/>
            <a:graphic xmlns:a="http://schemas.openxmlformats.org/drawingml/2006/main">
              <a:graphicData uri="http://schemas.openxmlformats.org/drawingml/2006/picture">
                <pic:pic xmlns:pic="http://schemas.openxmlformats.org/drawingml/2006/picture">
                  <pic:nvPicPr>
                    <pic:cNvPr id="133" name="Picture box 133"/>
                    <pic:cNvPicPr/>
                  </pic:nvPicPr>
                  <pic:blipFill>
                    <a:blip r:embed="rId17"/>
                    <a:stretch/>
                  </pic:blipFill>
                  <pic:spPr>
                    <a:xfrm>
                      <a:off x="0" y="0"/>
                      <a:ext cx="7552690" cy="5346065"/>
                    </a:xfrm>
                    <a:prstGeom prst="rect">
                      <a:avLst/>
                    </a:prstGeom>
                  </pic:spPr>
                </pic:pic>
              </a:graphicData>
            </a:graphic>
          </wp:anchor>
        </w:drawing>
      </w:r>
    </w:p>
    <w:p w14:paraId="1285674D" w14:textId="77777777" w:rsidR="00EC1C40" w:rsidRDefault="00EC1C40">
      <w:pPr>
        <w:spacing w:line="1" w:lineRule="exact"/>
      </w:pPr>
    </w:p>
    <w:p w14:paraId="22D8AE85" w14:textId="77777777" w:rsidR="00EC1C40" w:rsidRDefault="00000000">
      <w:pPr>
        <w:pStyle w:val="Titulekobrzku0"/>
        <w:framePr w:wrap="none" w:vAnchor="page" w:hAnchor="page" w:x="380" w:y="12380"/>
        <w:rPr>
          <w:sz w:val="16"/>
          <w:szCs w:val="16"/>
        </w:rPr>
      </w:pPr>
      <w:r>
        <w:rPr>
          <w:sz w:val="16"/>
          <w:szCs w:val="16"/>
        </w:rPr>
        <w:t>1. PP - Zájmové plochy HPP</w:t>
      </w:r>
    </w:p>
    <w:p w14:paraId="6DABEAF9" w14:textId="77777777" w:rsidR="00EC1C40" w:rsidRDefault="00000000">
      <w:pPr>
        <w:pStyle w:val="Titulekobrzku0"/>
        <w:framePr w:w="2117" w:h="456" w:hRule="exact" w:wrap="none" w:vAnchor="page" w:hAnchor="page" w:x="9677" w:y="12192"/>
        <w:jc w:val="center"/>
        <w:rPr>
          <w:sz w:val="38"/>
          <w:szCs w:val="38"/>
        </w:rPr>
      </w:pPr>
      <w:r>
        <w:rPr>
          <w:color w:val="918F90"/>
          <w:sz w:val="38"/>
          <w:szCs w:val="38"/>
        </w:rPr>
        <w:t xml:space="preserve">!?!?!? </w:t>
      </w:r>
      <w:proofErr w:type="spellStart"/>
      <w:r>
        <w:rPr>
          <w:sz w:val="38"/>
          <w:szCs w:val="38"/>
        </w:rPr>
        <w:t>OVň</w:t>
      </w:r>
      <w:proofErr w:type="spellEnd"/>
    </w:p>
    <w:p w14:paraId="7762374F" w14:textId="77777777" w:rsidR="00EC1C40" w:rsidRDefault="00000000">
      <w:pPr>
        <w:pStyle w:val="Titulekobrzku0"/>
        <w:framePr w:w="888" w:h="168" w:hRule="exact" w:wrap="none" w:vAnchor="page" w:hAnchor="page" w:x="5501" w:y="11012"/>
        <w:jc w:val="center"/>
      </w:pPr>
      <w:r>
        <w:rPr>
          <w:b w:val="0"/>
          <w:bCs w:val="0"/>
          <w:color w:val="231E20"/>
          <w:sz w:val="12"/>
          <w:szCs w:val="12"/>
        </w:rPr>
        <w:t>hotel = 2726 m</w:t>
      </w:r>
      <w:r>
        <w:rPr>
          <w:color w:val="231E20"/>
          <w:vertAlign w:val="superscript"/>
        </w:rPr>
        <w:t>2</w:t>
      </w:r>
    </w:p>
    <w:p w14:paraId="0DF0BE6C" w14:textId="77777777" w:rsidR="00EC1C40" w:rsidRDefault="00000000">
      <w:pPr>
        <w:pStyle w:val="Titulekobrzku0"/>
        <w:framePr w:wrap="none" w:vAnchor="page" w:hAnchor="page" w:x="4786" w:y="7359"/>
      </w:pPr>
      <w:r>
        <w:rPr>
          <w:b w:val="0"/>
          <w:bCs w:val="0"/>
          <w:color w:val="231E20"/>
          <w:sz w:val="12"/>
          <w:szCs w:val="12"/>
        </w:rPr>
        <w:t>parkování = 13916 m</w:t>
      </w:r>
      <w:r>
        <w:rPr>
          <w:color w:val="231E20"/>
          <w:vertAlign w:val="superscript"/>
        </w:rPr>
        <w:t>2</w:t>
      </w:r>
    </w:p>
    <w:p w14:paraId="67C5FE4A" w14:textId="77777777" w:rsidR="00EC1C40" w:rsidRDefault="00000000">
      <w:pPr>
        <w:spacing w:line="1" w:lineRule="exact"/>
        <w:sectPr w:rsidR="00EC1C40">
          <w:pgSz w:w="12148" w:h="17375"/>
          <w:pgMar w:top="360" w:right="360" w:bottom="360" w:left="360" w:header="0" w:footer="3" w:gutter="0"/>
          <w:cols w:space="720"/>
          <w:noEndnote/>
          <w:docGrid w:linePitch="360"/>
        </w:sectPr>
      </w:pPr>
      <w:r>
        <w:rPr>
          <w:noProof/>
        </w:rPr>
        <w:drawing>
          <wp:anchor distT="0" distB="0" distL="0" distR="0" simplePos="0" relativeHeight="251718144" behindDoc="1" locked="0" layoutInCell="1" allowOverlap="1" wp14:anchorId="13701311" wp14:editId="4D982BE5">
            <wp:simplePos x="0" y="0"/>
            <wp:positionH relativeFrom="page">
              <wp:posOffset>81915</wp:posOffset>
            </wp:positionH>
            <wp:positionV relativeFrom="page">
              <wp:posOffset>2837180</wp:posOffset>
            </wp:positionV>
            <wp:extent cx="7552690" cy="5352415"/>
            <wp:effectExtent l="0" t="0" r="0" b="0"/>
            <wp:wrapNone/>
            <wp:docPr id="134" name="Shape 134"/>
            <wp:cNvGraphicFramePr/>
            <a:graphic xmlns:a="http://schemas.openxmlformats.org/drawingml/2006/main">
              <a:graphicData uri="http://schemas.openxmlformats.org/drawingml/2006/picture">
                <pic:pic xmlns:pic="http://schemas.openxmlformats.org/drawingml/2006/picture">
                  <pic:nvPicPr>
                    <pic:cNvPr id="135" name="Picture box 135"/>
                    <pic:cNvPicPr/>
                  </pic:nvPicPr>
                  <pic:blipFill>
                    <a:blip r:embed="rId18"/>
                    <a:stretch/>
                  </pic:blipFill>
                  <pic:spPr>
                    <a:xfrm>
                      <a:off x="0" y="0"/>
                      <a:ext cx="7552690" cy="5352415"/>
                    </a:xfrm>
                    <a:prstGeom prst="rect">
                      <a:avLst/>
                    </a:prstGeom>
                  </pic:spPr>
                </pic:pic>
              </a:graphicData>
            </a:graphic>
          </wp:anchor>
        </w:drawing>
      </w:r>
    </w:p>
    <w:p w14:paraId="31B93A8B" w14:textId="77777777" w:rsidR="00EC1C40" w:rsidRDefault="00EC1C40">
      <w:pPr>
        <w:spacing w:line="1" w:lineRule="exact"/>
      </w:pPr>
    </w:p>
    <w:p w14:paraId="2A07C249" w14:textId="77777777" w:rsidR="00EC1C40" w:rsidRDefault="00000000">
      <w:pPr>
        <w:pStyle w:val="Titulekobrzku0"/>
        <w:framePr w:wrap="none" w:vAnchor="page" w:hAnchor="page" w:x="7277" w:y="6173"/>
      </w:pPr>
      <w:r>
        <w:rPr>
          <w:b w:val="0"/>
          <w:bCs w:val="0"/>
          <w:color w:val="231E20"/>
        </w:rPr>
        <w:t>komerce = 157 m2</w:t>
      </w:r>
    </w:p>
    <w:p w14:paraId="06B5318E" w14:textId="77777777" w:rsidR="00EC1C40" w:rsidRDefault="00000000">
      <w:pPr>
        <w:pStyle w:val="Titulekobrzku0"/>
        <w:framePr w:wrap="none" w:vAnchor="page" w:hAnchor="page" w:x="6135" w:y="8616"/>
      </w:pPr>
      <w:r>
        <w:rPr>
          <w:b w:val="0"/>
          <w:bCs w:val="0"/>
          <w:color w:val="231E20"/>
          <w:sz w:val="12"/>
          <w:szCs w:val="12"/>
        </w:rPr>
        <w:t>Dynamo = 2416 m</w:t>
      </w:r>
      <w:r>
        <w:rPr>
          <w:color w:val="231E20"/>
          <w:vertAlign w:val="superscript"/>
        </w:rPr>
        <w:t>2</w:t>
      </w:r>
    </w:p>
    <w:p w14:paraId="703ACF8D" w14:textId="77777777" w:rsidR="00EC1C40" w:rsidRDefault="00000000">
      <w:pPr>
        <w:pStyle w:val="Titulekobrzku0"/>
        <w:framePr w:wrap="none" w:vAnchor="page" w:hAnchor="page" w:x="4839" w:y="5261"/>
      </w:pPr>
      <w:r>
        <w:rPr>
          <w:b w:val="0"/>
          <w:bCs w:val="0"/>
          <w:color w:val="231E20"/>
        </w:rPr>
        <w:t>komerce = 311 m</w:t>
      </w:r>
      <w:r>
        <w:rPr>
          <w:color w:val="231E20"/>
          <w:vertAlign w:val="superscript"/>
        </w:rPr>
        <w:t>2</w:t>
      </w:r>
    </w:p>
    <w:p w14:paraId="1B39528E" w14:textId="77777777" w:rsidR="00EC1C40" w:rsidRDefault="00000000">
      <w:pPr>
        <w:pStyle w:val="Titulekobrzku0"/>
        <w:framePr w:w="888" w:h="168" w:hRule="exact" w:wrap="none" w:vAnchor="page" w:hAnchor="page" w:x="5501" w:y="11012"/>
        <w:jc w:val="center"/>
      </w:pPr>
      <w:r>
        <w:rPr>
          <w:b w:val="0"/>
          <w:bCs w:val="0"/>
          <w:color w:val="231E20"/>
          <w:sz w:val="12"/>
          <w:szCs w:val="12"/>
        </w:rPr>
        <w:t>hotel = 2978 m</w:t>
      </w:r>
      <w:r>
        <w:rPr>
          <w:color w:val="231E20"/>
          <w:vertAlign w:val="superscript"/>
        </w:rPr>
        <w:t>2</w:t>
      </w:r>
    </w:p>
    <w:p w14:paraId="0120CEA8" w14:textId="77777777" w:rsidR="00EC1C40" w:rsidRDefault="00000000">
      <w:pPr>
        <w:pStyle w:val="Titulekobrzku0"/>
        <w:framePr w:w="1550" w:h="173" w:hRule="exact" w:wrap="none" w:vAnchor="page" w:hAnchor="page" w:x="6548" w:y="9773"/>
        <w:jc w:val="right"/>
      </w:pPr>
      <w:r>
        <w:rPr>
          <w:b w:val="0"/>
          <w:bCs w:val="0"/>
          <w:color w:val="231E20"/>
          <w:sz w:val="12"/>
          <w:szCs w:val="12"/>
        </w:rPr>
        <w:t xml:space="preserve">bazén </w:t>
      </w:r>
      <w:r>
        <w:rPr>
          <w:b w:val="0"/>
          <w:bCs w:val="0"/>
          <w:color w:val="231E20"/>
          <w:sz w:val="12"/>
          <w:szCs w:val="12"/>
          <w:lang w:val="en-US" w:eastAsia="en-US" w:bidi="en-US"/>
        </w:rPr>
        <w:t xml:space="preserve">a wellness </w:t>
      </w:r>
      <w:r>
        <w:rPr>
          <w:b w:val="0"/>
          <w:bCs w:val="0"/>
          <w:color w:val="231E20"/>
          <w:sz w:val="12"/>
          <w:szCs w:val="12"/>
        </w:rPr>
        <w:t>= 1560 m</w:t>
      </w:r>
      <w:r>
        <w:rPr>
          <w:color w:val="231E20"/>
          <w:vertAlign w:val="superscript"/>
        </w:rPr>
        <w:t>2</w:t>
      </w:r>
    </w:p>
    <w:p w14:paraId="62A4B7EE" w14:textId="77777777" w:rsidR="00EC1C40" w:rsidRDefault="00000000">
      <w:pPr>
        <w:pStyle w:val="Titulekobrzku0"/>
        <w:framePr w:wrap="none" w:vAnchor="page" w:hAnchor="page" w:x="380" w:y="12375"/>
        <w:rPr>
          <w:sz w:val="16"/>
          <w:szCs w:val="16"/>
        </w:rPr>
      </w:pPr>
      <w:r>
        <w:rPr>
          <w:sz w:val="16"/>
          <w:szCs w:val="16"/>
        </w:rPr>
        <w:t>1. NP - Zájmové plochy HPP</w:t>
      </w:r>
    </w:p>
    <w:p w14:paraId="64310871" w14:textId="77777777" w:rsidR="00EC1C40" w:rsidRDefault="00000000">
      <w:pPr>
        <w:pStyle w:val="Titulekobrzku0"/>
        <w:framePr w:w="2117" w:h="456" w:hRule="exact" w:wrap="none" w:vAnchor="page" w:hAnchor="page" w:x="9677" w:y="12188"/>
        <w:jc w:val="center"/>
        <w:rPr>
          <w:sz w:val="38"/>
          <w:szCs w:val="38"/>
        </w:rPr>
      </w:pPr>
      <w:r>
        <w:rPr>
          <w:color w:val="918F90"/>
          <w:sz w:val="36"/>
          <w:szCs w:val="36"/>
        </w:rPr>
        <w:t xml:space="preserve">PPP </w:t>
      </w:r>
      <w:proofErr w:type="spellStart"/>
      <w:r>
        <w:rPr>
          <w:sz w:val="38"/>
          <w:szCs w:val="38"/>
        </w:rPr>
        <w:t>OVň</w:t>
      </w:r>
      <w:proofErr w:type="spellEnd"/>
    </w:p>
    <w:p w14:paraId="481DBA55" w14:textId="77777777" w:rsidR="00EC1C40" w:rsidRDefault="00000000">
      <w:pPr>
        <w:spacing w:line="1" w:lineRule="exact"/>
        <w:sectPr w:rsidR="00EC1C40">
          <w:pgSz w:w="12148" w:h="17375"/>
          <w:pgMar w:top="360" w:right="360" w:bottom="360" w:left="360" w:header="0" w:footer="3" w:gutter="0"/>
          <w:cols w:space="720"/>
          <w:noEndnote/>
          <w:docGrid w:linePitch="360"/>
        </w:sectPr>
      </w:pPr>
      <w:r>
        <w:rPr>
          <w:noProof/>
        </w:rPr>
        <w:drawing>
          <wp:anchor distT="0" distB="0" distL="0" distR="0" simplePos="0" relativeHeight="251719168" behindDoc="1" locked="0" layoutInCell="1" allowOverlap="1" wp14:anchorId="61D8DD49" wp14:editId="57AE2557">
            <wp:simplePos x="0" y="0"/>
            <wp:positionH relativeFrom="page">
              <wp:posOffset>81915</wp:posOffset>
            </wp:positionH>
            <wp:positionV relativeFrom="page">
              <wp:posOffset>2843530</wp:posOffset>
            </wp:positionV>
            <wp:extent cx="7552690" cy="5346065"/>
            <wp:effectExtent l="0" t="0" r="0" b="0"/>
            <wp:wrapNone/>
            <wp:docPr id="136" name="Shape 136"/>
            <wp:cNvGraphicFramePr/>
            <a:graphic xmlns:a="http://schemas.openxmlformats.org/drawingml/2006/main">
              <a:graphicData uri="http://schemas.openxmlformats.org/drawingml/2006/picture">
                <pic:pic xmlns:pic="http://schemas.openxmlformats.org/drawingml/2006/picture">
                  <pic:nvPicPr>
                    <pic:cNvPr id="137" name="Picture box 137"/>
                    <pic:cNvPicPr/>
                  </pic:nvPicPr>
                  <pic:blipFill>
                    <a:blip r:embed="rId19"/>
                    <a:stretch/>
                  </pic:blipFill>
                  <pic:spPr>
                    <a:xfrm>
                      <a:off x="0" y="0"/>
                      <a:ext cx="7552690" cy="5346065"/>
                    </a:xfrm>
                    <a:prstGeom prst="rect">
                      <a:avLst/>
                    </a:prstGeom>
                  </pic:spPr>
                </pic:pic>
              </a:graphicData>
            </a:graphic>
          </wp:anchor>
        </w:drawing>
      </w:r>
    </w:p>
    <w:p w14:paraId="37821C35" w14:textId="77777777" w:rsidR="00EC1C40" w:rsidRDefault="00EC1C40">
      <w:pPr>
        <w:spacing w:line="1" w:lineRule="exact"/>
      </w:pPr>
    </w:p>
    <w:p w14:paraId="1580E21E" w14:textId="77777777" w:rsidR="00EC1C40" w:rsidRDefault="00000000">
      <w:pPr>
        <w:pStyle w:val="Titulekobrzku0"/>
        <w:framePr w:wrap="none" w:vAnchor="page" w:hAnchor="page" w:x="4479" w:y="9144"/>
      </w:pPr>
      <w:proofErr w:type="spellStart"/>
      <w:r>
        <w:rPr>
          <w:b w:val="0"/>
          <w:bCs w:val="0"/>
          <w:color w:val="231E20"/>
          <w:lang w:val="en-US" w:eastAsia="en-US" w:bidi="en-US"/>
        </w:rPr>
        <w:t>sportbar</w:t>
      </w:r>
      <w:proofErr w:type="spellEnd"/>
      <w:r>
        <w:rPr>
          <w:b w:val="0"/>
          <w:bCs w:val="0"/>
          <w:color w:val="231E20"/>
          <w:lang w:val="en-US" w:eastAsia="en-US" w:bidi="en-US"/>
        </w:rPr>
        <w:t xml:space="preserve"> = 767 m</w:t>
      </w:r>
      <w:r>
        <w:rPr>
          <w:color w:val="231E20"/>
          <w:lang w:val="en-US" w:eastAsia="en-US" w:bidi="en-US"/>
        </w:rPr>
        <w:t>2</w:t>
      </w:r>
    </w:p>
    <w:p w14:paraId="0C6F499B" w14:textId="77777777" w:rsidR="00EC1C40" w:rsidRDefault="00000000">
      <w:pPr>
        <w:pStyle w:val="Titulekobrzku0"/>
        <w:framePr w:w="888" w:h="173" w:hRule="exact" w:wrap="none" w:vAnchor="page" w:hAnchor="page" w:x="5425" w:y="11602"/>
        <w:jc w:val="center"/>
      </w:pPr>
      <w:r>
        <w:rPr>
          <w:b w:val="0"/>
          <w:bCs w:val="0"/>
          <w:color w:val="231E20"/>
          <w:sz w:val="12"/>
          <w:szCs w:val="12"/>
          <w:lang w:val="en-US" w:eastAsia="en-US" w:bidi="en-US"/>
        </w:rPr>
        <w:t>hotel = 2311 m</w:t>
      </w:r>
      <w:r>
        <w:rPr>
          <w:b w:val="0"/>
          <w:bCs w:val="0"/>
          <w:color w:val="231E20"/>
          <w:lang w:val="en-US" w:eastAsia="en-US" w:bidi="en-US"/>
        </w:rPr>
        <w:t>2</w:t>
      </w:r>
    </w:p>
    <w:p w14:paraId="24677555" w14:textId="77777777" w:rsidR="00EC1C40" w:rsidRDefault="00000000">
      <w:pPr>
        <w:pStyle w:val="Titulekobrzku0"/>
        <w:framePr w:wrap="none" w:vAnchor="page" w:hAnchor="page" w:x="7455" w:y="7109"/>
      </w:pPr>
      <w:proofErr w:type="spellStart"/>
      <w:r>
        <w:rPr>
          <w:b w:val="0"/>
          <w:bCs w:val="0"/>
          <w:color w:val="231E20"/>
          <w:lang w:val="en-US" w:eastAsia="en-US" w:bidi="en-US"/>
        </w:rPr>
        <w:t>fanshop</w:t>
      </w:r>
      <w:proofErr w:type="spellEnd"/>
      <w:r>
        <w:rPr>
          <w:b w:val="0"/>
          <w:bCs w:val="0"/>
          <w:color w:val="231E20"/>
          <w:lang w:val="en-US" w:eastAsia="en-US" w:bidi="en-US"/>
        </w:rPr>
        <w:t xml:space="preserve"> = 512 m</w:t>
      </w:r>
      <w:r>
        <w:rPr>
          <w:color w:val="231E20"/>
          <w:vertAlign w:val="superscript"/>
          <w:lang w:val="en-US" w:eastAsia="en-US" w:bidi="en-US"/>
        </w:rPr>
        <w:t>2</w:t>
      </w:r>
    </w:p>
    <w:p w14:paraId="300D164C" w14:textId="77777777" w:rsidR="00EC1C40" w:rsidRDefault="00000000">
      <w:pPr>
        <w:pStyle w:val="Titulekobrzku0"/>
        <w:framePr w:w="758" w:h="278" w:hRule="exact" w:wrap="none" w:vAnchor="page" w:hAnchor="page" w:x="7047" w:y="6164"/>
        <w:spacing w:line="300" w:lineRule="auto"/>
        <w:jc w:val="center"/>
      </w:pPr>
      <w:r>
        <w:rPr>
          <w:b w:val="0"/>
          <w:bCs w:val="0"/>
          <w:color w:val="231E20"/>
        </w:rPr>
        <w:t>výstavní prostor</w:t>
      </w:r>
      <w:r>
        <w:rPr>
          <w:b w:val="0"/>
          <w:bCs w:val="0"/>
          <w:color w:val="231E20"/>
        </w:rPr>
        <w:br/>
      </w:r>
      <w:r>
        <w:rPr>
          <w:b w:val="0"/>
          <w:bCs w:val="0"/>
          <w:color w:val="231E20"/>
          <w:lang w:val="en-US" w:eastAsia="en-US" w:bidi="en-US"/>
        </w:rPr>
        <w:t>= 517 m</w:t>
      </w:r>
      <w:r>
        <w:rPr>
          <w:color w:val="231E20"/>
          <w:vertAlign w:val="superscript"/>
          <w:lang w:val="en-US" w:eastAsia="en-US" w:bidi="en-US"/>
        </w:rPr>
        <w:t>2</w:t>
      </w:r>
    </w:p>
    <w:p w14:paraId="011D21FA" w14:textId="77777777" w:rsidR="00EC1C40" w:rsidRDefault="00000000">
      <w:pPr>
        <w:pStyle w:val="Titulekobrzku0"/>
        <w:framePr w:wrap="none" w:vAnchor="page" w:hAnchor="page" w:x="380" w:y="12380"/>
        <w:rPr>
          <w:sz w:val="16"/>
          <w:szCs w:val="16"/>
        </w:rPr>
      </w:pPr>
      <w:r>
        <w:rPr>
          <w:sz w:val="16"/>
          <w:szCs w:val="16"/>
          <w:lang w:val="en-US" w:eastAsia="en-US" w:bidi="en-US"/>
        </w:rPr>
        <w:t xml:space="preserve">2. NP - </w:t>
      </w:r>
      <w:r>
        <w:rPr>
          <w:sz w:val="16"/>
          <w:szCs w:val="16"/>
        </w:rPr>
        <w:t xml:space="preserve">Zájmové plochy </w:t>
      </w:r>
      <w:r>
        <w:rPr>
          <w:sz w:val="16"/>
          <w:szCs w:val="16"/>
          <w:lang w:val="en-US" w:eastAsia="en-US" w:bidi="en-US"/>
        </w:rPr>
        <w:t>HPP</w:t>
      </w:r>
    </w:p>
    <w:p w14:paraId="55AD286B" w14:textId="77777777" w:rsidR="00EC1C40" w:rsidRDefault="00000000">
      <w:pPr>
        <w:pStyle w:val="Titulekobrzku0"/>
        <w:framePr w:w="2117" w:h="456" w:hRule="exact" w:wrap="none" w:vAnchor="page" w:hAnchor="page" w:x="9677" w:y="12197"/>
        <w:jc w:val="center"/>
        <w:rPr>
          <w:sz w:val="38"/>
          <w:szCs w:val="38"/>
        </w:rPr>
      </w:pPr>
      <w:r>
        <w:rPr>
          <w:color w:val="918F90"/>
          <w:sz w:val="36"/>
          <w:szCs w:val="36"/>
          <w:lang w:val="en-US" w:eastAsia="en-US" w:bidi="en-US"/>
        </w:rPr>
        <w:t xml:space="preserve">J!?!? </w:t>
      </w:r>
      <w:r>
        <w:rPr>
          <w:sz w:val="38"/>
          <w:szCs w:val="38"/>
          <w:lang w:val="en-US" w:eastAsia="en-US" w:bidi="en-US"/>
        </w:rPr>
        <w:t>OVA</w:t>
      </w:r>
    </w:p>
    <w:p w14:paraId="6EF47E57" w14:textId="77777777" w:rsidR="00EC1C40" w:rsidRDefault="00000000">
      <w:pPr>
        <w:spacing w:line="1" w:lineRule="exact"/>
        <w:sectPr w:rsidR="00EC1C40">
          <w:pgSz w:w="12148" w:h="17375"/>
          <w:pgMar w:top="360" w:right="360" w:bottom="360" w:left="360" w:header="0" w:footer="3" w:gutter="0"/>
          <w:cols w:space="720"/>
          <w:noEndnote/>
          <w:docGrid w:linePitch="360"/>
        </w:sectPr>
      </w:pPr>
      <w:r>
        <w:rPr>
          <w:noProof/>
        </w:rPr>
        <w:drawing>
          <wp:anchor distT="0" distB="0" distL="0" distR="0" simplePos="0" relativeHeight="251720192" behindDoc="1" locked="0" layoutInCell="1" allowOverlap="1" wp14:anchorId="4EDB630E" wp14:editId="5173F1DE">
            <wp:simplePos x="0" y="0"/>
            <wp:positionH relativeFrom="page">
              <wp:posOffset>81915</wp:posOffset>
            </wp:positionH>
            <wp:positionV relativeFrom="page">
              <wp:posOffset>2843530</wp:posOffset>
            </wp:positionV>
            <wp:extent cx="7552690" cy="5346065"/>
            <wp:effectExtent l="0" t="0" r="0" b="0"/>
            <wp:wrapNone/>
            <wp:docPr id="138" name="Shape 138"/>
            <wp:cNvGraphicFramePr/>
            <a:graphic xmlns:a="http://schemas.openxmlformats.org/drawingml/2006/main">
              <a:graphicData uri="http://schemas.openxmlformats.org/drawingml/2006/picture">
                <pic:pic xmlns:pic="http://schemas.openxmlformats.org/drawingml/2006/picture">
                  <pic:nvPicPr>
                    <pic:cNvPr id="139" name="Picture box 139"/>
                    <pic:cNvPicPr/>
                  </pic:nvPicPr>
                  <pic:blipFill>
                    <a:blip r:embed="rId20"/>
                    <a:stretch/>
                  </pic:blipFill>
                  <pic:spPr>
                    <a:xfrm>
                      <a:off x="0" y="0"/>
                      <a:ext cx="7552690" cy="5346065"/>
                    </a:xfrm>
                    <a:prstGeom prst="rect">
                      <a:avLst/>
                    </a:prstGeom>
                  </pic:spPr>
                </pic:pic>
              </a:graphicData>
            </a:graphic>
          </wp:anchor>
        </w:drawing>
      </w:r>
    </w:p>
    <w:p w14:paraId="349FC35F" w14:textId="77777777" w:rsidR="00EC1C40" w:rsidRDefault="00EC1C40">
      <w:pPr>
        <w:spacing w:line="1" w:lineRule="exact"/>
      </w:pPr>
    </w:p>
    <w:p w14:paraId="7016DF69" w14:textId="77777777" w:rsidR="00EC1C40" w:rsidRDefault="00000000">
      <w:pPr>
        <w:framePr w:wrap="none" w:vAnchor="page" w:hAnchor="page" w:x="130" w:y="4479"/>
        <w:rPr>
          <w:sz w:val="2"/>
          <w:szCs w:val="2"/>
        </w:rPr>
      </w:pPr>
      <w:r>
        <w:rPr>
          <w:noProof/>
        </w:rPr>
        <w:drawing>
          <wp:inline distT="0" distB="0" distL="0" distR="0" wp14:anchorId="6812AD0F" wp14:editId="2F86095E">
            <wp:extent cx="7552690" cy="5346065"/>
            <wp:effectExtent l="0" t="0" r="0" b="0"/>
            <wp:docPr id="140" name="Picutre 140"/>
            <wp:cNvGraphicFramePr/>
            <a:graphic xmlns:a="http://schemas.openxmlformats.org/drawingml/2006/main">
              <a:graphicData uri="http://schemas.openxmlformats.org/drawingml/2006/picture">
                <pic:pic xmlns:pic="http://schemas.openxmlformats.org/drawingml/2006/picture">
                  <pic:nvPicPr>
                    <pic:cNvPr id="140" name="Picture 140"/>
                    <pic:cNvPicPr/>
                  </pic:nvPicPr>
                  <pic:blipFill>
                    <a:blip r:embed="rId21"/>
                    <a:stretch/>
                  </pic:blipFill>
                  <pic:spPr>
                    <a:xfrm>
                      <a:off x="0" y="0"/>
                      <a:ext cx="7552690" cy="5346065"/>
                    </a:xfrm>
                    <a:prstGeom prst="rect">
                      <a:avLst/>
                    </a:prstGeom>
                  </pic:spPr>
                </pic:pic>
              </a:graphicData>
            </a:graphic>
          </wp:inline>
        </w:drawing>
      </w:r>
    </w:p>
    <w:p w14:paraId="3885BF6C"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7E0D6ADF" w14:textId="77777777" w:rsidR="00EC1C40" w:rsidRDefault="00EC1C40">
      <w:pPr>
        <w:spacing w:line="1" w:lineRule="exact"/>
      </w:pPr>
    </w:p>
    <w:p w14:paraId="63C9E8A4" w14:textId="77777777" w:rsidR="00EC1C40" w:rsidRDefault="00000000">
      <w:pPr>
        <w:pStyle w:val="Titulekobrzku0"/>
        <w:framePr w:w="888" w:h="173" w:hRule="exact" w:wrap="none" w:vAnchor="page" w:hAnchor="page" w:x="5458" w:y="11578"/>
        <w:jc w:val="center"/>
      </w:pPr>
      <w:r>
        <w:rPr>
          <w:b w:val="0"/>
          <w:bCs w:val="0"/>
          <w:color w:val="231E20"/>
          <w:sz w:val="12"/>
          <w:szCs w:val="12"/>
        </w:rPr>
        <w:t>hotel = 2030 m</w:t>
      </w:r>
      <w:r>
        <w:rPr>
          <w:color w:val="231E20"/>
          <w:vertAlign w:val="superscript"/>
        </w:rPr>
        <w:t>2</w:t>
      </w:r>
    </w:p>
    <w:p w14:paraId="53EED0B1" w14:textId="77777777" w:rsidR="00EC1C40" w:rsidRDefault="00000000">
      <w:pPr>
        <w:pStyle w:val="Titulekobrzku0"/>
        <w:framePr w:wrap="none" w:vAnchor="page" w:hAnchor="page" w:x="380" w:y="12375"/>
        <w:rPr>
          <w:sz w:val="16"/>
          <w:szCs w:val="16"/>
        </w:rPr>
      </w:pPr>
      <w:r>
        <w:rPr>
          <w:sz w:val="16"/>
          <w:szCs w:val="16"/>
        </w:rPr>
        <w:t>4. NP - Zájmové plochy HPP</w:t>
      </w:r>
    </w:p>
    <w:p w14:paraId="0BC8EC79" w14:textId="77777777" w:rsidR="00EC1C40" w:rsidRDefault="00000000">
      <w:pPr>
        <w:pStyle w:val="Titulekobrzku0"/>
        <w:framePr w:w="2117" w:h="456" w:hRule="exact" w:wrap="none" w:vAnchor="page" w:hAnchor="page" w:x="9677" w:y="12188"/>
        <w:jc w:val="center"/>
        <w:rPr>
          <w:sz w:val="38"/>
          <w:szCs w:val="38"/>
        </w:rPr>
      </w:pPr>
      <w:r>
        <w:rPr>
          <w:color w:val="918F90"/>
          <w:sz w:val="36"/>
          <w:szCs w:val="36"/>
        </w:rPr>
        <w:t xml:space="preserve">PPP </w:t>
      </w:r>
      <w:proofErr w:type="spellStart"/>
      <w:r>
        <w:rPr>
          <w:sz w:val="38"/>
          <w:szCs w:val="38"/>
        </w:rPr>
        <w:t>OVň</w:t>
      </w:r>
      <w:proofErr w:type="spellEnd"/>
    </w:p>
    <w:p w14:paraId="36248D16" w14:textId="77777777" w:rsidR="00EC1C40" w:rsidRDefault="00000000">
      <w:pPr>
        <w:spacing w:line="1" w:lineRule="exact"/>
        <w:sectPr w:rsidR="00EC1C40">
          <w:pgSz w:w="12148" w:h="17375"/>
          <w:pgMar w:top="360" w:right="360" w:bottom="360" w:left="360" w:header="0" w:footer="3" w:gutter="0"/>
          <w:cols w:space="720"/>
          <w:noEndnote/>
          <w:docGrid w:linePitch="360"/>
        </w:sectPr>
      </w:pPr>
      <w:r>
        <w:rPr>
          <w:noProof/>
        </w:rPr>
        <w:drawing>
          <wp:anchor distT="0" distB="0" distL="0" distR="0" simplePos="0" relativeHeight="251721216" behindDoc="1" locked="0" layoutInCell="1" allowOverlap="1" wp14:anchorId="44222AB9" wp14:editId="6DCDD14C">
            <wp:simplePos x="0" y="0"/>
            <wp:positionH relativeFrom="page">
              <wp:posOffset>81915</wp:posOffset>
            </wp:positionH>
            <wp:positionV relativeFrom="page">
              <wp:posOffset>2843530</wp:posOffset>
            </wp:positionV>
            <wp:extent cx="7552690" cy="5346065"/>
            <wp:effectExtent l="0" t="0" r="0" b="0"/>
            <wp:wrapNone/>
            <wp:docPr id="141" name="Shape 141"/>
            <wp:cNvGraphicFramePr/>
            <a:graphic xmlns:a="http://schemas.openxmlformats.org/drawingml/2006/main">
              <a:graphicData uri="http://schemas.openxmlformats.org/drawingml/2006/picture">
                <pic:pic xmlns:pic="http://schemas.openxmlformats.org/drawingml/2006/picture">
                  <pic:nvPicPr>
                    <pic:cNvPr id="142" name="Picture box 142"/>
                    <pic:cNvPicPr/>
                  </pic:nvPicPr>
                  <pic:blipFill>
                    <a:blip r:embed="rId22"/>
                    <a:stretch/>
                  </pic:blipFill>
                  <pic:spPr>
                    <a:xfrm>
                      <a:off x="0" y="0"/>
                      <a:ext cx="7552690" cy="5346065"/>
                    </a:xfrm>
                    <a:prstGeom prst="rect">
                      <a:avLst/>
                    </a:prstGeom>
                  </pic:spPr>
                </pic:pic>
              </a:graphicData>
            </a:graphic>
          </wp:anchor>
        </w:drawing>
      </w:r>
    </w:p>
    <w:p w14:paraId="33456880" w14:textId="77777777" w:rsidR="00EC1C40" w:rsidRDefault="00EC1C40">
      <w:pPr>
        <w:spacing w:line="1" w:lineRule="exact"/>
      </w:pPr>
    </w:p>
    <w:p w14:paraId="08C6B25F" w14:textId="77777777" w:rsidR="00EC1C40" w:rsidRDefault="00000000">
      <w:pPr>
        <w:pStyle w:val="Titulekobrzku0"/>
        <w:framePr w:w="888" w:h="168" w:hRule="exact" w:wrap="none" w:vAnchor="page" w:hAnchor="page" w:x="5468" w:y="11564"/>
        <w:jc w:val="center"/>
      </w:pPr>
      <w:r>
        <w:rPr>
          <w:b w:val="0"/>
          <w:bCs w:val="0"/>
          <w:color w:val="231E20"/>
          <w:sz w:val="12"/>
          <w:szCs w:val="12"/>
        </w:rPr>
        <w:t>hotel = 2073 m</w:t>
      </w:r>
      <w:r>
        <w:rPr>
          <w:color w:val="231E20"/>
          <w:vertAlign w:val="superscript"/>
        </w:rPr>
        <w:t>2</w:t>
      </w:r>
    </w:p>
    <w:p w14:paraId="49B59F02" w14:textId="77777777" w:rsidR="00EC1C40" w:rsidRDefault="00000000">
      <w:pPr>
        <w:pStyle w:val="Titulekobrzku0"/>
        <w:framePr w:wrap="none" w:vAnchor="page" w:hAnchor="page" w:x="380" w:y="12375"/>
        <w:rPr>
          <w:sz w:val="16"/>
          <w:szCs w:val="16"/>
        </w:rPr>
      </w:pPr>
      <w:r>
        <w:rPr>
          <w:sz w:val="16"/>
          <w:szCs w:val="16"/>
        </w:rPr>
        <w:t>5. NP - Zájmové plochy HPP</w:t>
      </w:r>
    </w:p>
    <w:p w14:paraId="57A1E7EB" w14:textId="77777777" w:rsidR="00EC1C40" w:rsidRDefault="00000000">
      <w:pPr>
        <w:pStyle w:val="Titulekobrzku0"/>
        <w:framePr w:w="2117" w:h="456" w:hRule="exact" w:wrap="none" w:vAnchor="page" w:hAnchor="page" w:x="9677" w:y="12188"/>
        <w:jc w:val="center"/>
        <w:rPr>
          <w:sz w:val="38"/>
          <w:szCs w:val="38"/>
        </w:rPr>
      </w:pPr>
      <w:r>
        <w:rPr>
          <w:color w:val="918F90"/>
          <w:sz w:val="36"/>
          <w:szCs w:val="36"/>
        </w:rPr>
        <w:t xml:space="preserve">PPP </w:t>
      </w:r>
      <w:proofErr w:type="spellStart"/>
      <w:r>
        <w:rPr>
          <w:sz w:val="38"/>
          <w:szCs w:val="38"/>
        </w:rPr>
        <w:t>OVň</w:t>
      </w:r>
      <w:proofErr w:type="spellEnd"/>
    </w:p>
    <w:p w14:paraId="794AF431" w14:textId="77777777" w:rsidR="00EC1C40" w:rsidRDefault="00000000">
      <w:pPr>
        <w:spacing w:line="1" w:lineRule="exact"/>
        <w:sectPr w:rsidR="00EC1C40">
          <w:pgSz w:w="12148" w:h="17375"/>
          <w:pgMar w:top="360" w:right="360" w:bottom="360" w:left="360" w:header="0" w:footer="3" w:gutter="0"/>
          <w:cols w:space="720"/>
          <w:noEndnote/>
          <w:docGrid w:linePitch="360"/>
        </w:sectPr>
      </w:pPr>
      <w:r>
        <w:rPr>
          <w:noProof/>
        </w:rPr>
        <w:drawing>
          <wp:anchor distT="0" distB="0" distL="0" distR="0" simplePos="0" relativeHeight="251722240" behindDoc="1" locked="0" layoutInCell="1" allowOverlap="1" wp14:anchorId="0BE34580" wp14:editId="28EE00C4">
            <wp:simplePos x="0" y="0"/>
            <wp:positionH relativeFrom="page">
              <wp:posOffset>81915</wp:posOffset>
            </wp:positionH>
            <wp:positionV relativeFrom="page">
              <wp:posOffset>2843530</wp:posOffset>
            </wp:positionV>
            <wp:extent cx="7552690" cy="5346065"/>
            <wp:effectExtent l="0" t="0" r="0" b="0"/>
            <wp:wrapNone/>
            <wp:docPr id="143" name="Shape 143"/>
            <wp:cNvGraphicFramePr/>
            <a:graphic xmlns:a="http://schemas.openxmlformats.org/drawingml/2006/main">
              <a:graphicData uri="http://schemas.openxmlformats.org/drawingml/2006/picture">
                <pic:pic xmlns:pic="http://schemas.openxmlformats.org/drawingml/2006/picture">
                  <pic:nvPicPr>
                    <pic:cNvPr id="144" name="Picture box 144"/>
                    <pic:cNvPicPr/>
                  </pic:nvPicPr>
                  <pic:blipFill>
                    <a:blip r:embed="rId23"/>
                    <a:stretch/>
                  </pic:blipFill>
                  <pic:spPr>
                    <a:xfrm>
                      <a:off x="0" y="0"/>
                      <a:ext cx="7552690" cy="5346065"/>
                    </a:xfrm>
                    <a:prstGeom prst="rect">
                      <a:avLst/>
                    </a:prstGeom>
                  </pic:spPr>
                </pic:pic>
              </a:graphicData>
            </a:graphic>
          </wp:anchor>
        </w:drawing>
      </w:r>
    </w:p>
    <w:p w14:paraId="4B86E320" w14:textId="77777777" w:rsidR="00EC1C40" w:rsidRDefault="00EC1C40">
      <w:pPr>
        <w:spacing w:line="1" w:lineRule="exact"/>
      </w:pPr>
    </w:p>
    <w:p w14:paraId="10C42F0D" w14:textId="77777777" w:rsidR="00EC1C40" w:rsidRDefault="00000000">
      <w:pPr>
        <w:pStyle w:val="Titulekobrzku0"/>
        <w:framePr w:wrap="none" w:vAnchor="page" w:hAnchor="page" w:x="5410" w:y="11597"/>
      </w:pPr>
      <w:r>
        <w:rPr>
          <w:b w:val="0"/>
          <w:bCs w:val="0"/>
          <w:color w:val="231E20"/>
          <w:sz w:val="12"/>
          <w:szCs w:val="12"/>
        </w:rPr>
        <w:t>hotel = 2112 m</w:t>
      </w:r>
      <w:r>
        <w:rPr>
          <w:color w:val="231E20"/>
          <w:vertAlign w:val="superscript"/>
        </w:rPr>
        <w:t>2</w:t>
      </w:r>
    </w:p>
    <w:p w14:paraId="514DB2D4" w14:textId="77777777" w:rsidR="00EC1C40" w:rsidRDefault="00000000">
      <w:pPr>
        <w:pStyle w:val="Titulekobrzku0"/>
        <w:framePr w:wrap="none" w:vAnchor="page" w:hAnchor="page" w:x="380" w:y="12375"/>
        <w:rPr>
          <w:sz w:val="16"/>
          <w:szCs w:val="16"/>
        </w:rPr>
      </w:pPr>
      <w:r>
        <w:rPr>
          <w:sz w:val="16"/>
          <w:szCs w:val="16"/>
        </w:rPr>
        <w:t>6. NP - Zájmové plochy HPP</w:t>
      </w:r>
    </w:p>
    <w:p w14:paraId="2CD25632" w14:textId="77777777" w:rsidR="00EC1C40" w:rsidRDefault="00000000">
      <w:pPr>
        <w:pStyle w:val="Titulekobrzku0"/>
        <w:framePr w:w="2117" w:h="456" w:hRule="exact" w:wrap="none" w:vAnchor="page" w:hAnchor="page" w:x="9677" w:y="12188"/>
        <w:jc w:val="center"/>
        <w:rPr>
          <w:sz w:val="38"/>
          <w:szCs w:val="38"/>
        </w:rPr>
      </w:pPr>
      <w:r>
        <w:rPr>
          <w:color w:val="918F90"/>
          <w:sz w:val="36"/>
          <w:szCs w:val="36"/>
        </w:rPr>
        <w:t xml:space="preserve">PPP </w:t>
      </w:r>
      <w:proofErr w:type="spellStart"/>
      <w:r>
        <w:rPr>
          <w:sz w:val="38"/>
          <w:szCs w:val="38"/>
        </w:rPr>
        <w:t>OVň</w:t>
      </w:r>
      <w:proofErr w:type="spellEnd"/>
    </w:p>
    <w:p w14:paraId="1C417437" w14:textId="77777777" w:rsidR="00EC1C40" w:rsidRDefault="00000000">
      <w:pPr>
        <w:spacing w:line="1" w:lineRule="exact"/>
        <w:sectPr w:rsidR="00EC1C40">
          <w:pgSz w:w="12148" w:h="17375"/>
          <w:pgMar w:top="360" w:right="360" w:bottom="360" w:left="360" w:header="0" w:footer="3" w:gutter="0"/>
          <w:cols w:space="720"/>
          <w:noEndnote/>
          <w:docGrid w:linePitch="360"/>
        </w:sectPr>
      </w:pPr>
      <w:r>
        <w:rPr>
          <w:noProof/>
        </w:rPr>
        <w:drawing>
          <wp:anchor distT="0" distB="0" distL="0" distR="0" simplePos="0" relativeHeight="251723264" behindDoc="1" locked="0" layoutInCell="1" allowOverlap="1" wp14:anchorId="4DA01AB2" wp14:editId="122D010C">
            <wp:simplePos x="0" y="0"/>
            <wp:positionH relativeFrom="page">
              <wp:posOffset>81915</wp:posOffset>
            </wp:positionH>
            <wp:positionV relativeFrom="page">
              <wp:posOffset>2843530</wp:posOffset>
            </wp:positionV>
            <wp:extent cx="7552690" cy="5346065"/>
            <wp:effectExtent l="0" t="0" r="0" b="0"/>
            <wp:wrapNone/>
            <wp:docPr id="145" name="Shape 145"/>
            <wp:cNvGraphicFramePr/>
            <a:graphic xmlns:a="http://schemas.openxmlformats.org/drawingml/2006/main">
              <a:graphicData uri="http://schemas.openxmlformats.org/drawingml/2006/picture">
                <pic:pic xmlns:pic="http://schemas.openxmlformats.org/drawingml/2006/picture">
                  <pic:nvPicPr>
                    <pic:cNvPr id="146" name="Picture box 146"/>
                    <pic:cNvPicPr/>
                  </pic:nvPicPr>
                  <pic:blipFill>
                    <a:blip r:embed="rId24"/>
                    <a:stretch/>
                  </pic:blipFill>
                  <pic:spPr>
                    <a:xfrm>
                      <a:off x="0" y="0"/>
                      <a:ext cx="7552690" cy="5346065"/>
                    </a:xfrm>
                    <a:prstGeom prst="rect">
                      <a:avLst/>
                    </a:prstGeom>
                  </pic:spPr>
                </pic:pic>
              </a:graphicData>
            </a:graphic>
          </wp:anchor>
        </w:drawing>
      </w:r>
    </w:p>
    <w:p w14:paraId="1614105D" w14:textId="77777777" w:rsidR="00EC1C40" w:rsidRDefault="00000000">
      <w:pPr>
        <w:spacing w:line="1" w:lineRule="exact"/>
      </w:pPr>
      <w:r>
        <w:rPr>
          <w:noProof/>
        </w:rPr>
        <w:lastRenderedPageBreak/>
        <mc:AlternateContent>
          <mc:Choice Requires="wps">
            <w:drawing>
              <wp:anchor distT="0" distB="0" distL="114300" distR="114300" simplePos="0" relativeHeight="251712000" behindDoc="1" locked="0" layoutInCell="1" allowOverlap="1" wp14:anchorId="638DEFCA" wp14:editId="57350EB2">
                <wp:simplePos x="0" y="0"/>
                <wp:positionH relativeFrom="page">
                  <wp:posOffset>177165</wp:posOffset>
                </wp:positionH>
                <wp:positionV relativeFrom="page">
                  <wp:posOffset>7565390</wp:posOffset>
                </wp:positionV>
                <wp:extent cx="7198995" cy="0"/>
                <wp:effectExtent l="0" t="0" r="0" b="0"/>
                <wp:wrapNone/>
                <wp:docPr id="147" name="Shape 147"/>
                <wp:cNvGraphicFramePr/>
                <a:graphic xmlns:a="http://schemas.openxmlformats.org/drawingml/2006/main">
                  <a:graphicData uri="http://schemas.microsoft.com/office/word/2010/wordprocessingShape">
                    <wps:wsp>
                      <wps:cNvCnPr/>
                      <wps:spPr>
                        <a:xfrm>
                          <a:off x="0" y="0"/>
                          <a:ext cx="7198995" cy="0"/>
                        </a:xfrm>
                        <a:prstGeom prst="straightConnector1">
                          <a:avLst/>
                        </a:prstGeom>
                        <a:ln w="3175">
                          <a:solidFill/>
                        </a:ln>
                      </wps:spPr>
                      <wps:bodyPr/>
                    </wps:wsp>
                  </a:graphicData>
                </a:graphic>
              </wp:anchor>
            </w:drawing>
          </mc:Choice>
          <mc:Fallback>
            <w:pict>
              <v:shape o:spt="32" o:oned="true" path="m,l21600,21600e" style="position:absolute;margin-left:13.950000000000001pt;margin-top:595.70000000000005pt;width:566.85000000000002pt;height:0;z-index:-251658240;mso-position-horizontal-relative:page;mso-position-vertical-relative:page">
                <v:stroke weight="0.25pt"/>
              </v:shape>
            </w:pict>
          </mc:Fallback>
        </mc:AlternateContent>
      </w:r>
    </w:p>
    <w:p w14:paraId="1AC483F9" w14:textId="77777777" w:rsidR="00EC1C40" w:rsidRDefault="00000000">
      <w:pPr>
        <w:framePr w:wrap="none" w:vAnchor="page" w:hAnchor="page" w:x="285" w:y="4696"/>
        <w:rPr>
          <w:sz w:val="2"/>
          <w:szCs w:val="2"/>
        </w:rPr>
      </w:pPr>
      <w:r>
        <w:rPr>
          <w:noProof/>
        </w:rPr>
        <w:drawing>
          <wp:inline distT="0" distB="0" distL="0" distR="0" wp14:anchorId="2981953D" wp14:editId="6B46FF14">
            <wp:extent cx="5370830" cy="4834255"/>
            <wp:effectExtent l="0" t="0" r="0" b="0"/>
            <wp:docPr id="148" name="Picutre 148"/>
            <wp:cNvGraphicFramePr/>
            <a:graphic xmlns:a="http://schemas.openxmlformats.org/drawingml/2006/main">
              <a:graphicData uri="http://schemas.openxmlformats.org/drawingml/2006/picture">
                <pic:pic xmlns:pic="http://schemas.openxmlformats.org/drawingml/2006/picture">
                  <pic:nvPicPr>
                    <pic:cNvPr id="148" name="Picture 148"/>
                    <pic:cNvPicPr/>
                  </pic:nvPicPr>
                  <pic:blipFill>
                    <a:blip r:embed="rId25"/>
                    <a:stretch/>
                  </pic:blipFill>
                  <pic:spPr>
                    <a:xfrm>
                      <a:off x="0" y="0"/>
                      <a:ext cx="5370830" cy="4834255"/>
                    </a:xfrm>
                    <a:prstGeom prst="rect">
                      <a:avLst/>
                    </a:prstGeom>
                  </pic:spPr>
                </pic:pic>
              </a:graphicData>
            </a:graphic>
          </wp:inline>
        </w:drawing>
      </w:r>
    </w:p>
    <w:p w14:paraId="0007A62D" w14:textId="77777777" w:rsidR="00EC1C40" w:rsidRDefault="00000000">
      <w:pPr>
        <w:pStyle w:val="Titulekobrzku0"/>
        <w:framePr w:wrap="none" w:vAnchor="page" w:hAnchor="page" w:x="9726" w:y="5311"/>
      </w:pPr>
      <w:r>
        <w:rPr>
          <w:b w:val="0"/>
          <w:bCs w:val="0"/>
        </w:rPr>
        <w:t>ARÉNA:</w:t>
      </w:r>
    </w:p>
    <w:p w14:paraId="407EC119" w14:textId="77777777" w:rsidR="00EC1C40" w:rsidRDefault="00000000">
      <w:pPr>
        <w:framePr w:wrap="none" w:vAnchor="page" w:hAnchor="page" w:x="9741" w:y="5507"/>
        <w:rPr>
          <w:sz w:val="2"/>
          <w:szCs w:val="2"/>
        </w:rPr>
      </w:pPr>
      <w:r>
        <w:rPr>
          <w:noProof/>
        </w:rPr>
        <w:drawing>
          <wp:inline distT="0" distB="0" distL="0" distR="0" wp14:anchorId="1DB48BC4" wp14:editId="3262AE74">
            <wp:extent cx="225425" cy="713105"/>
            <wp:effectExtent l="0" t="0" r="0" b="0"/>
            <wp:docPr id="149" name="Picutre 149"/>
            <wp:cNvGraphicFramePr/>
            <a:graphic xmlns:a="http://schemas.openxmlformats.org/drawingml/2006/main">
              <a:graphicData uri="http://schemas.openxmlformats.org/drawingml/2006/picture">
                <pic:pic xmlns:pic="http://schemas.openxmlformats.org/drawingml/2006/picture">
                  <pic:nvPicPr>
                    <pic:cNvPr id="149" name="Picture 149"/>
                    <pic:cNvPicPr/>
                  </pic:nvPicPr>
                  <pic:blipFill>
                    <a:blip r:embed="rId26"/>
                    <a:stretch/>
                  </pic:blipFill>
                  <pic:spPr>
                    <a:xfrm>
                      <a:off x="0" y="0"/>
                      <a:ext cx="225425" cy="713105"/>
                    </a:xfrm>
                    <a:prstGeom prst="rect">
                      <a:avLst/>
                    </a:prstGeom>
                  </pic:spPr>
                </pic:pic>
              </a:graphicData>
            </a:graphic>
          </wp:inline>
        </w:drawing>
      </w:r>
    </w:p>
    <w:p w14:paraId="59C2B120" w14:textId="77777777" w:rsidR="00EC1C40" w:rsidRDefault="00000000">
      <w:pPr>
        <w:pStyle w:val="Zkladntext90"/>
        <w:framePr w:wrap="none" w:vAnchor="page" w:hAnchor="page" w:x="9726" w:y="6899"/>
        <w:jc w:val="both"/>
      </w:pPr>
      <w:r>
        <w:rPr>
          <w:b w:val="0"/>
          <w:bCs w:val="0"/>
        </w:rPr>
        <w:t>HOTEL:</w:t>
      </w:r>
    </w:p>
    <w:p w14:paraId="1D120653" w14:textId="77777777" w:rsidR="00EC1C40" w:rsidRDefault="00000000">
      <w:pPr>
        <w:pStyle w:val="Zkladntext90"/>
        <w:framePr w:w="696" w:h="1166" w:hRule="exact" w:wrap="none" w:vAnchor="page" w:hAnchor="page" w:x="10134" w:y="5522"/>
        <w:spacing w:line="494" w:lineRule="auto"/>
      </w:pPr>
      <w:r>
        <w:rPr>
          <w:b w:val="0"/>
          <w:bCs w:val="0"/>
        </w:rPr>
        <w:t xml:space="preserve">Aréna veřejnost Aréna zázemí HC Dynamo bazén </w:t>
      </w:r>
      <w:r>
        <w:rPr>
          <w:b w:val="0"/>
          <w:bCs w:val="0"/>
          <w:lang w:val="en-US" w:eastAsia="en-US" w:bidi="en-US"/>
        </w:rPr>
        <w:t xml:space="preserve">a wellness </w:t>
      </w:r>
      <w:r>
        <w:rPr>
          <w:b w:val="0"/>
          <w:bCs w:val="0"/>
        </w:rPr>
        <w:t>komerční jednotka parkování</w:t>
      </w:r>
    </w:p>
    <w:p w14:paraId="57894EA1" w14:textId="77777777" w:rsidR="00EC1C40" w:rsidRDefault="00000000">
      <w:pPr>
        <w:pStyle w:val="Zkladntext90"/>
        <w:framePr w:wrap="none" w:vAnchor="page" w:hAnchor="page" w:x="10134" w:y="7096"/>
        <w:jc w:val="both"/>
      </w:pPr>
      <w:r>
        <w:rPr>
          <w:b w:val="0"/>
          <w:bCs w:val="0"/>
        </w:rPr>
        <w:t>hotel</w:t>
      </w:r>
    </w:p>
    <w:p w14:paraId="499A6455" w14:textId="77777777" w:rsidR="00EC1C40" w:rsidRDefault="00000000">
      <w:pPr>
        <w:pStyle w:val="Zkladntext90"/>
        <w:framePr w:wrap="none" w:vAnchor="page" w:hAnchor="page" w:x="9726" w:y="7499"/>
        <w:jc w:val="both"/>
      </w:pPr>
      <w:r>
        <w:rPr>
          <w:b w:val="0"/>
          <w:bCs w:val="0"/>
        </w:rPr>
        <w:t>TRÉNINKOVÁ HALA:</w:t>
      </w:r>
    </w:p>
    <w:p w14:paraId="4307F5A8" w14:textId="77777777" w:rsidR="00EC1C40" w:rsidRDefault="00000000">
      <w:pPr>
        <w:framePr w:wrap="none" w:vAnchor="page" w:hAnchor="page" w:x="9707" w:y="7663"/>
        <w:rPr>
          <w:sz w:val="2"/>
          <w:szCs w:val="2"/>
        </w:rPr>
      </w:pPr>
      <w:r>
        <w:rPr>
          <w:noProof/>
        </w:rPr>
        <w:drawing>
          <wp:inline distT="0" distB="0" distL="0" distR="0" wp14:anchorId="0ECB603A" wp14:editId="2B373A82">
            <wp:extent cx="262255" cy="274320"/>
            <wp:effectExtent l="0" t="0" r="0" b="0"/>
            <wp:docPr id="150" name="Picutre 150"/>
            <wp:cNvGraphicFramePr/>
            <a:graphic xmlns:a="http://schemas.openxmlformats.org/drawingml/2006/main">
              <a:graphicData uri="http://schemas.openxmlformats.org/drawingml/2006/picture">
                <pic:pic xmlns:pic="http://schemas.openxmlformats.org/drawingml/2006/picture">
                  <pic:nvPicPr>
                    <pic:cNvPr id="150" name="Picture 150"/>
                    <pic:cNvPicPr/>
                  </pic:nvPicPr>
                  <pic:blipFill>
                    <a:blip r:embed="rId27"/>
                    <a:stretch/>
                  </pic:blipFill>
                  <pic:spPr>
                    <a:xfrm>
                      <a:off x="0" y="0"/>
                      <a:ext cx="262255" cy="274320"/>
                    </a:xfrm>
                    <a:prstGeom prst="rect">
                      <a:avLst/>
                    </a:prstGeom>
                  </pic:spPr>
                </pic:pic>
              </a:graphicData>
            </a:graphic>
          </wp:inline>
        </w:drawing>
      </w:r>
    </w:p>
    <w:p w14:paraId="236813A3" w14:textId="77777777" w:rsidR="00EC1C40" w:rsidRDefault="00000000">
      <w:pPr>
        <w:pStyle w:val="Titulekobrzku0"/>
        <w:framePr w:wrap="none" w:vAnchor="page" w:hAnchor="page" w:x="10134" w:y="7715"/>
        <w:jc w:val="both"/>
      </w:pPr>
      <w:r>
        <w:rPr>
          <w:b w:val="0"/>
          <w:bCs w:val="0"/>
        </w:rPr>
        <w:t>tréninková hala - nadzemní podlaží</w:t>
      </w:r>
    </w:p>
    <w:p w14:paraId="6AC61361" w14:textId="77777777" w:rsidR="00EC1C40" w:rsidRDefault="00000000">
      <w:pPr>
        <w:pStyle w:val="Titulekobrzku0"/>
        <w:framePr w:wrap="none" w:vAnchor="page" w:hAnchor="page" w:x="10134" w:y="7903"/>
        <w:jc w:val="both"/>
      </w:pPr>
      <w:r>
        <w:rPr>
          <w:b w:val="0"/>
          <w:bCs w:val="0"/>
        </w:rPr>
        <w:t>parkování</w:t>
      </w:r>
    </w:p>
    <w:p w14:paraId="4BE24ECC" w14:textId="77777777" w:rsidR="00EC1C40" w:rsidRDefault="00000000">
      <w:pPr>
        <w:pStyle w:val="Zhlavnebozpat0"/>
        <w:framePr w:w="2117" w:h="456" w:hRule="exact" w:wrap="none" w:vAnchor="page" w:hAnchor="page" w:x="9553" w:y="11930"/>
        <w:jc w:val="center"/>
        <w:rPr>
          <w:sz w:val="38"/>
          <w:szCs w:val="38"/>
        </w:rPr>
      </w:pPr>
      <w:r>
        <w:rPr>
          <w:rFonts w:ascii="Arial" w:eastAsia="Arial" w:hAnsi="Arial" w:cs="Arial"/>
          <w:b/>
          <w:bCs/>
          <w:color w:val="000000"/>
          <w:sz w:val="38"/>
          <w:szCs w:val="38"/>
        </w:rPr>
        <w:t xml:space="preserve">!?!?!? </w:t>
      </w:r>
      <w:proofErr w:type="spellStart"/>
      <w:r>
        <w:rPr>
          <w:rFonts w:ascii="Arial" w:eastAsia="Arial" w:hAnsi="Arial" w:cs="Arial"/>
          <w:b/>
          <w:bCs/>
          <w:color w:val="000000"/>
          <w:sz w:val="38"/>
          <w:szCs w:val="38"/>
        </w:rPr>
        <w:t>OVrt</w:t>
      </w:r>
      <w:proofErr w:type="spellEnd"/>
    </w:p>
    <w:p w14:paraId="43F5CAF1" w14:textId="77777777" w:rsidR="00EC1C40" w:rsidRDefault="00EC1C40">
      <w:pPr>
        <w:spacing w:line="1" w:lineRule="exact"/>
        <w:sectPr w:rsidR="00EC1C40">
          <w:pgSz w:w="11900" w:h="16840"/>
          <w:pgMar w:top="360" w:right="360" w:bottom="360" w:left="360" w:header="0" w:footer="3" w:gutter="0"/>
          <w:cols w:space="720"/>
          <w:noEndnote/>
          <w:docGrid w:linePitch="360"/>
        </w:sectPr>
      </w:pPr>
    </w:p>
    <w:p w14:paraId="4777496E" w14:textId="77777777" w:rsidR="00EC1C40" w:rsidRDefault="00EC1C40">
      <w:pPr>
        <w:spacing w:line="1" w:lineRule="exact"/>
      </w:pPr>
    </w:p>
    <w:p w14:paraId="4648DE8C" w14:textId="77777777" w:rsidR="00EC1C40" w:rsidRDefault="00000000">
      <w:pPr>
        <w:pStyle w:val="Titulekobrzku0"/>
        <w:framePr w:wrap="none" w:vAnchor="page" w:hAnchor="page" w:x="380" w:y="12380"/>
        <w:rPr>
          <w:sz w:val="16"/>
          <w:szCs w:val="16"/>
        </w:rPr>
      </w:pPr>
      <w:r>
        <w:rPr>
          <w:sz w:val="16"/>
          <w:szCs w:val="16"/>
        </w:rPr>
        <w:t>8. NP - Zájmové plochy HPP</w:t>
      </w:r>
    </w:p>
    <w:p w14:paraId="748E75AD" w14:textId="77777777" w:rsidR="00EC1C40" w:rsidRDefault="00000000">
      <w:pPr>
        <w:pStyle w:val="Titulekobrzku0"/>
        <w:framePr w:w="2117" w:h="456" w:hRule="exact" w:wrap="none" w:vAnchor="page" w:hAnchor="page" w:x="9677" w:y="12192"/>
        <w:jc w:val="center"/>
        <w:rPr>
          <w:sz w:val="38"/>
          <w:szCs w:val="38"/>
        </w:rPr>
      </w:pPr>
      <w:r>
        <w:rPr>
          <w:color w:val="918F90"/>
          <w:sz w:val="38"/>
          <w:szCs w:val="38"/>
        </w:rPr>
        <w:t xml:space="preserve">!?!?!? </w:t>
      </w:r>
      <w:proofErr w:type="spellStart"/>
      <w:r>
        <w:rPr>
          <w:sz w:val="38"/>
          <w:szCs w:val="38"/>
        </w:rPr>
        <w:t>OVň</w:t>
      </w:r>
      <w:proofErr w:type="spellEnd"/>
    </w:p>
    <w:p w14:paraId="18455F5E" w14:textId="77777777" w:rsidR="00EC1C40" w:rsidRDefault="00000000">
      <w:pPr>
        <w:pStyle w:val="Titulekobrzku0"/>
        <w:framePr w:wrap="none" w:vAnchor="page" w:hAnchor="page" w:x="8012" w:y="7743"/>
        <w:jc w:val="both"/>
        <w:rPr>
          <w:sz w:val="12"/>
          <w:szCs w:val="12"/>
        </w:rPr>
      </w:pPr>
      <w:r>
        <w:rPr>
          <w:b w:val="0"/>
          <w:bCs w:val="0"/>
          <w:color w:val="231E20"/>
          <w:sz w:val="12"/>
          <w:szCs w:val="12"/>
        </w:rPr>
        <w:t>Dynamo</w:t>
      </w:r>
    </w:p>
    <w:p w14:paraId="386853D1" w14:textId="77777777" w:rsidR="00EC1C40" w:rsidRDefault="00000000">
      <w:pPr>
        <w:pStyle w:val="Titulekobrzku0"/>
        <w:framePr w:w="422" w:h="158" w:hRule="exact" w:wrap="none" w:vAnchor="page" w:hAnchor="page" w:x="8482" w:y="7748"/>
        <w:jc w:val="right"/>
        <w:rPr>
          <w:sz w:val="12"/>
          <w:szCs w:val="12"/>
        </w:rPr>
      </w:pPr>
      <w:r>
        <w:rPr>
          <w:b w:val="0"/>
          <w:bCs w:val="0"/>
          <w:color w:val="231E20"/>
          <w:sz w:val="12"/>
          <w:szCs w:val="12"/>
        </w:rPr>
        <w:t>= 1037</w:t>
      </w:r>
    </w:p>
    <w:p w14:paraId="15645B62" w14:textId="77777777" w:rsidR="00EC1C40" w:rsidRDefault="00000000">
      <w:pPr>
        <w:spacing w:line="1" w:lineRule="exact"/>
        <w:sectPr w:rsidR="00EC1C40">
          <w:pgSz w:w="12148" w:h="17375"/>
          <w:pgMar w:top="360" w:right="360" w:bottom="360" w:left="360" w:header="0" w:footer="3" w:gutter="0"/>
          <w:cols w:space="720"/>
          <w:noEndnote/>
          <w:docGrid w:linePitch="360"/>
        </w:sectPr>
      </w:pPr>
      <w:r>
        <w:rPr>
          <w:noProof/>
        </w:rPr>
        <w:drawing>
          <wp:anchor distT="0" distB="0" distL="0" distR="0" simplePos="0" relativeHeight="251724288" behindDoc="1" locked="0" layoutInCell="1" allowOverlap="1" wp14:anchorId="00CC51DD" wp14:editId="396D4D73">
            <wp:simplePos x="0" y="0"/>
            <wp:positionH relativeFrom="page">
              <wp:posOffset>81915</wp:posOffset>
            </wp:positionH>
            <wp:positionV relativeFrom="page">
              <wp:posOffset>2843530</wp:posOffset>
            </wp:positionV>
            <wp:extent cx="7552690" cy="5346065"/>
            <wp:effectExtent l="0" t="0" r="0" b="0"/>
            <wp:wrapNone/>
            <wp:docPr id="151" name="Shape 151"/>
            <wp:cNvGraphicFramePr/>
            <a:graphic xmlns:a="http://schemas.openxmlformats.org/drawingml/2006/main">
              <a:graphicData uri="http://schemas.openxmlformats.org/drawingml/2006/picture">
                <pic:pic xmlns:pic="http://schemas.openxmlformats.org/drawingml/2006/picture">
                  <pic:nvPicPr>
                    <pic:cNvPr id="152" name="Picture box 152"/>
                    <pic:cNvPicPr/>
                  </pic:nvPicPr>
                  <pic:blipFill>
                    <a:blip r:embed="rId28"/>
                    <a:stretch/>
                  </pic:blipFill>
                  <pic:spPr>
                    <a:xfrm>
                      <a:off x="0" y="0"/>
                      <a:ext cx="7552690" cy="5346065"/>
                    </a:xfrm>
                    <a:prstGeom prst="rect">
                      <a:avLst/>
                    </a:prstGeom>
                  </pic:spPr>
                </pic:pic>
              </a:graphicData>
            </a:graphic>
          </wp:anchor>
        </w:drawing>
      </w:r>
    </w:p>
    <w:p w14:paraId="46128C01" w14:textId="77777777" w:rsidR="00EC1C40" w:rsidRDefault="00000000">
      <w:pPr>
        <w:spacing w:line="1" w:lineRule="exact"/>
      </w:pPr>
      <w:r>
        <w:rPr>
          <w:noProof/>
        </w:rPr>
        <w:lastRenderedPageBreak/>
        <mc:AlternateContent>
          <mc:Choice Requires="wps">
            <w:drawing>
              <wp:anchor distT="0" distB="0" distL="114300" distR="114300" simplePos="0" relativeHeight="251713024" behindDoc="1" locked="0" layoutInCell="1" allowOverlap="1" wp14:anchorId="3140F72B" wp14:editId="2456E904">
                <wp:simplePos x="0" y="0"/>
                <wp:positionH relativeFrom="page">
                  <wp:posOffset>177165</wp:posOffset>
                </wp:positionH>
                <wp:positionV relativeFrom="page">
                  <wp:posOffset>7565390</wp:posOffset>
                </wp:positionV>
                <wp:extent cx="7198995" cy="0"/>
                <wp:effectExtent l="0" t="0" r="0" b="0"/>
                <wp:wrapNone/>
                <wp:docPr id="153" name="Shape 153"/>
                <wp:cNvGraphicFramePr/>
                <a:graphic xmlns:a="http://schemas.openxmlformats.org/drawingml/2006/main">
                  <a:graphicData uri="http://schemas.microsoft.com/office/word/2010/wordprocessingShape">
                    <wps:wsp>
                      <wps:cNvCnPr/>
                      <wps:spPr>
                        <a:xfrm>
                          <a:off x="0" y="0"/>
                          <a:ext cx="7198995" cy="0"/>
                        </a:xfrm>
                        <a:prstGeom prst="straightConnector1">
                          <a:avLst/>
                        </a:prstGeom>
                        <a:ln w="3175">
                          <a:solidFill/>
                        </a:ln>
                      </wps:spPr>
                      <wps:bodyPr/>
                    </wps:wsp>
                  </a:graphicData>
                </a:graphic>
              </wp:anchor>
            </w:drawing>
          </mc:Choice>
          <mc:Fallback>
            <w:pict>
              <v:shape o:spt="32" o:oned="true" path="m,l21600,21600e" style="position:absolute;margin-left:13.950000000000001pt;margin-top:595.70000000000005pt;width:566.85000000000002pt;height:0;z-index:-251658240;mso-position-horizontal-relative:page;mso-position-vertical-relative:page">
                <v:stroke weight="0.25pt"/>
              </v:shape>
            </w:pict>
          </mc:Fallback>
        </mc:AlternateContent>
      </w:r>
    </w:p>
    <w:p w14:paraId="5091CE31" w14:textId="77777777" w:rsidR="00EC1C40" w:rsidRDefault="00000000">
      <w:pPr>
        <w:framePr w:wrap="none" w:vAnchor="page" w:hAnchor="page" w:x="1000" w:y="4495"/>
        <w:rPr>
          <w:sz w:val="2"/>
          <w:szCs w:val="2"/>
        </w:rPr>
      </w:pPr>
      <w:r>
        <w:rPr>
          <w:noProof/>
        </w:rPr>
        <w:drawing>
          <wp:inline distT="0" distB="0" distL="0" distR="0" wp14:anchorId="3536015D" wp14:editId="73DF2E7D">
            <wp:extent cx="5078095" cy="4700270"/>
            <wp:effectExtent l="0" t="0" r="0" b="0"/>
            <wp:docPr id="154" name="Picutre 154"/>
            <wp:cNvGraphicFramePr/>
            <a:graphic xmlns:a="http://schemas.openxmlformats.org/drawingml/2006/main">
              <a:graphicData uri="http://schemas.openxmlformats.org/drawingml/2006/picture">
                <pic:pic xmlns:pic="http://schemas.openxmlformats.org/drawingml/2006/picture">
                  <pic:nvPicPr>
                    <pic:cNvPr id="154" name="Picture 154"/>
                    <pic:cNvPicPr/>
                  </pic:nvPicPr>
                  <pic:blipFill>
                    <a:blip r:embed="rId29"/>
                    <a:stretch/>
                  </pic:blipFill>
                  <pic:spPr>
                    <a:xfrm>
                      <a:off x="0" y="0"/>
                      <a:ext cx="5078095" cy="4700270"/>
                    </a:xfrm>
                    <a:prstGeom prst="rect">
                      <a:avLst/>
                    </a:prstGeom>
                  </pic:spPr>
                </pic:pic>
              </a:graphicData>
            </a:graphic>
          </wp:inline>
        </w:drawing>
      </w:r>
    </w:p>
    <w:p w14:paraId="04A000C0" w14:textId="77777777" w:rsidR="00EC1C40" w:rsidRDefault="00000000">
      <w:pPr>
        <w:pStyle w:val="Titulekobrzku0"/>
        <w:framePr w:wrap="none" w:vAnchor="page" w:hAnchor="page" w:x="9726" w:y="5311"/>
      </w:pPr>
      <w:r>
        <w:rPr>
          <w:b w:val="0"/>
          <w:bCs w:val="0"/>
        </w:rPr>
        <w:t>ARÉNA:</w:t>
      </w:r>
    </w:p>
    <w:p w14:paraId="09497C27" w14:textId="77777777" w:rsidR="00EC1C40" w:rsidRDefault="00000000">
      <w:pPr>
        <w:framePr w:wrap="none" w:vAnchor="page" w:hAnchor="page" w:x="9741" w:y="5507"/>
        <w:rPr>
          <w:sz w:val="2"/>
          <w:szCs w:val="2"/>
        </w:rPr>
      </w:pPr>
      <w:r>
        <w:rPr>
          <w:noProof/>
        </w:rPr>
        <w:drawing>
          <wp:inline distT="0" distB="0" distL="0" distR="0" wp14:anchorId="54076C37" wp14:editId="3BCF6F18">
            <wp:extent cx="225425" cy="713105"/>
            <wp:effectExtent l="0" t="0" r="0" b="0"/>
            <wp:docPr id="155" name="Picutre 155"/>
            <wp:cNvGraphicFramePr/>
            <a:graphic xmlns:a="http://schemas.openxmlformats.org/drawingml/2006/main">
              <a:graphicData uri="http://schemas.openxmlformats.org/drawingml/2006/picture">
                <pic:pic xmlns:pic="http://schemas.openxmlformats.org/drawingml/2006/picture">
                  <pic:nvPicPr>
                    <pic:cNvPr id="155" name="Picture 155"/>
                    <pic:cNvPicPr/>
                  </pic:nvPicPr>
                  <pic:blipFill>
                    <a:blip r:embed="rId26"/>
                    <a:stretch/>
                  </pic:blipFill>
                  <pic:spPr>
                    <a:xfrm>
                      <a:off x="0" y="0"/>
                      <a:ext cx="225425" cy="713105"/>
                    </a:xfrm>
                    <a:prstGeom prst="rect">
                      <a:avLst/>
                    </a:prstGeom>
                  </pic:spPr>
                </pic:pic>
              </a:graphicData>
            </a:graphic>
          </wp:inline>
        </w:drawing>
      </w:r>
    </w:p>
    <w:p w14:paraId="632C92B2" w14:textId="77777777" w:rsidR="00EC1C40" w:rsidRDefault="00000000">
      <w:pPr>
        <w:pStyle w:val="Zkladntext90"/>
        <w:framePr w:w="696" w:h="1166" w:hRule="exact" w:wrap="none" w:vAnchor="page" w:hAnchor="page" w:x="10134" w:y="5522"/>
        <w:spacing w:line="494" w:lineRule="auto"/>
      </w:pPr>
      <w:r>
        <w:rPr>
          <w:b w:val="0"/>
          <w:bCs w:val="0"/>
        </w:rPr>
        <w:t xml:space="preserve">Aréna veřejnost Aréna zázemí HC Dynamo bazén </w:t>
      </w:r>
      <w:r>
        <w:rPr>
          <w:b w:val="0"/>
          <w:bCs w:val="0"/>
          <w:lang w:val="en-US" w:eastAsia="en-US" w:bidi="en-US"/>
        </w:rPr>
        <w:t xml:space="preserve">a wellness </w:t>
      </w:r>
      <w:r>
        <w:rPr>
          <w:b w:val="0"/>
          <w:bCs w:val="0"/>
        </w:rPr>
        <w:t>komerční jednotka parkování</w:t>
      </w:r>
    </w:p>
    <w:p w14:paraId="4004AF26" w14:textId="77777777" w:rsidR="00EC1C40" w:rsidRDefault="00000000">
      <w:pPr>
        <w:pStyle w:val="Titulekobrzku0"/>
        <w:framePr w:wrap="none" w:vAnchor="page" w:hAnchor="page" w:x="9726" w:y="6899"/>
        <w:jc w:val="both"/>
      </w:pPr>
      <w:r>
        <w:rPr>
          <w:b w:val="0"/>
          <w:bCs w:val="0"/>
        </w:rPr>
        <w:t>HOTEL:</w:t>
      </w:r>
    </w:p>
    <w:p w14:paraId="0EC021A5" w14:textId="77777777" w:rsidR="00EC1C40" w:rsidRDefault="00000000">
      <w:pPr>
        <w:framePr w:wrap="none" w:vAnchor="page" w:hAnchor="page" w:x="9712" w:y="7039"/>
        <w:rPr>
          <w:sz w:val="2"/>
          <w:szCs w:val="2"/>
        </w:rPr>
      </w:pPr>
      <w:r>
        <w:rPr>
          <w:noProof/>
        </w:rPr>
        <w:drawing>
          <wp:inline distT="0" distB="0" distL="0" distR="0" wp14:anchorId="1FE5C1E3" wp14:editId="4C4BF6F5">
            <wp:extent cx="420370" cy="152400"/>
            <wp:effectExtent l="0" t="0" r="0" b="0"/>
            <wp:docPr id="156" name="Picutre 156"/>
            <wp:cNvGraphicFramePr/>
            <a:graphic xmlns:a="http://schemas.openxmlformats.org/drawingml/2006/main">
              <a:graphicData uri="http://schemas.openxmlformats.org/drawingml/2006/picture">
                <pic:pic xmlns:pic="http://schemas.openxmlformats.org/drawingml/2006/picture">
                  <pic:nvPicPr>
                    <pic:cNvPr id="156" name="Picture 156"/>
                    <pic:cNvPicPr/>
                  </pic:nvPicPr>
                  <pic:blipFill>
                    <a:blip r:embed="rId30"/>
                    <a:stretch/>
                  </pic:blipFill>
                  <pic:spPr>
                    <a:xfrm>
                      <a:off x="0" y="0"/>
                      <a:ext cx="420370" cy="152400"/>
                    </a:xfrm>
                    <a:prstGeom prst="rect">
                      <a:avLst/>
                    </a:prstGeom>
                  </pic:spPr>
                </pic:pic>
              </a:graphicData>
            </a:graphic>
          </wp:inline>
        </w:drawing>
      </w:r>
    </w:p>
    <w:p w14:paraId="7BD76C70" w14:textId="77777777" w:rsidR="00EC1C40" w:rsidRDefault="00000000">
      <w:pPr>
        <w:pStyle w:val="Zkladntext90"/>
        <w:framePr w:wrap="none" w:vAnchor="page" w:hAnchor="page" w:x="9726" w:y="7499"/>
        <w:jc w:val="both"/>
      </w:pPr>
      <w:r>
        <w:rPr>
          <w:b w:val="0"/>
          <w:bCs w:val="0"/>
        </w:rPr>
        <w:t>TRÉNINKOVÁ HALA:</w:t>
      </w:r>
    </w:p>
    <w:p w14:paraId="1267F90E" w14:textId="77777777" w:rsidR="00EC1C40" w:rsidRDefault="00000000">
      <w:pPr>
        <w:framePr w:wrap="none" w:vAnchor="page" w:hAnchor="page" w:x="9707" w:y="7663"/>
        <w:rPr>
          <w:sz w:val="2"/>
          <w:szCs w:val="2"/>
        </w:rPr>
      </w:pPr>
      <w:r>
        <w:rPr>
          <w:noProof/>
        </w:rPr>
        <w:drawing>
          <wp:inline distT="0" distB="0" distL="0" distR="0" wp14:anchorId="194DF883" wp14:editId="5F437575">
            <wp:extent cx="262255" cy="274320"/>
            <wp:effectExtent l="0" t="0" r="0" b="0"/>
            <wp:docPr id="157" name="Picutre 157"/>
            <wp:cNvGraphicFramePr/>
            <a:graphic xmlns:a="http://schemas.openxmlformats.org/drawingml/2006/main">
              <a:graphicData uri="http://schemas.openxmlformats.org/drawingml/2006/picture">
                <pic:pic xmlns:pic="http://schemas.openxmlformats.org/drawingml/2006/picture">
                  <pic:nvPicPr>
                    <pic:cNvPr id="157" name="Picture 157"/>
                    <pic:cNvPicPr/>
                  </pic:nvPicPr>
                  <pic:blipFill>
                    <a:blip r:embed="rId27"/>
                    <a:stretch/>
                  </pic:blipFill>
                  <pic:spPr>
                    <a:xfrm>
                      <a:off x="0" y="0"/>
                      <a:ext cx="262255" cy="274320"/>
                    </a:xfrm>
                    <a:prstGeom prst="rect">
                      <a:avLst/>
                    </a:prstGeom>
                  </pic:spPr>
                </pic:pic>
              </a:graphicData>
            </a:graphic>
          </wp:inline>
        </w:drawing>
      </w:r>
    </w:p>
    <w:p w14:paraId="39CA4502" w14:textId="77777777" w:rsidR="00EC1C40" w:rsidRDefault="00000000">
      <w:pPr>
        <w:pStyle w:val="Titulekobrzku0"/>
        <w:framePr w:wrap="none" w:vAnchor="page" w:hAnchor="page" w:x="10134" w:y="7715"/>
        <w:jc w:val="both"/>
      </w:pPr>
      <w:r>
        <w:rPr>
          <w:b w:val="0"/>
          <w:bCs w:val="0"/>
        </w:rPr>
        <w:t>tréninková hala - nadzemní podlaží</w:t>
      </w:r>
    </w:p>
    <w:p w14:paraId="1FC63D0A" w14:textId="77777777" w:rsidR="00EC1C40" w:rsidRDefault="00000000">
      <w:pPr>
        <w:pStyle w:val="Titulekobrzku0"/>
        <w:framePr w:wrap="none" w:vAnchor="page" w:hAnchor="page" w:x="10134" w:y="7903"/>
        <w:jc w:val="both"/>
      </w:pPr>
      <w:r>
        <w:rPr>
          <w:b w:val="0"/>
          <w:bCs w:val="0"/>
        </w:rPr>
        <w:t>parkování</w:t>
      </w:r>
    </w:p>
    <w:p w14:paraId="13205DE9" w14:textId="77777777" w:rsidR="00EC1C40" w:rsidRDefault="00000000">
      <w:pPr>
        <w:pStyle w:val="Jin0"/>
        <w:framePr w:wrap="none" w:vAnchor="page" w:hAnchor="page" w:x="256" w:y="12112"/>
        <w:spacing w:after="0"/>
        <w:rPr>
          <w:sz w:val="16"/>
          <w:szCs w:val="16"/>
        </w:rPr>
      </w:pPr>
      <w:r>
        <w:rPr>
          <w:rFonts w:ascii="Arial" w:eastAsia="Arial" w:hAnsi="Arial" w:cs="Arial"/>
          <w:b/>
          <w:bCs/>
          <w:color w:val="000000"/>
          <w:sz w:val="16"/>
          <w:szCs w:val="16"/>
        </w:rPr>
        <w:t>9. NP - Zájmové plochy HPP</w:t>
      </w:r>
    </w:p>
    <w:p w14:paraId="5BBF6CBD" w14:textId="77777777" w:rsidR="00EC1C40" w:rsidRDefault="00000000">
      <w:pPr>
        <w:framePr w:wrap="none" w:vAnchor="page" w:hAnchor="page" w:x="3837" w:y="12079"/>
        <w:rPr>
          <w:sz w:val="2"/>
          <w:szCs w:val="2"/>
        </w:rPr>
      </w:pPr>
      <w:r>
        <w:rPr>
          <w:noProof/>
        </w:rPr>
        <w:drawing>
          <wp:inline distT="0" distB="0" distL="0" distR="0" wp14:anchorId="39FDE85D" wp14:editId="5CC80FF9">
            <wp:extent cx="115570" cy="109855"/>
            <wp:effectExtent l="0" t="0" r="0" b="0"/>
            <wp:docPr id="158" name="Picutre 158"/>
            <wp:cNvGraphicFramePr/>
            <a:graphic xmlns:a="http://schemas.openxmlformats.org/drawingml/2006/main">
              <a:graphicData uri="http://schemas.openxmlformats.org/drawingml/2006/picture">
                <pic:pic xmlns:pic="http://schemas.openxmlformats.org/drawingml/2006/picture">
                  <pic:nvPicPr>
                    <pic:cNvPr id="158" name="Picture 158"/>
                    <pic:cNvPicPr/>
                  </pic:nvPicPr>
                  <pic:blipFill>
                    <a:blip r:embed="rId31"/>
                    <a:stretch/>
                  </pic:blipFill>
                  <pic:spPr>
                    <a:xfrm>
                      <a:off x="0" y="0"/>
                      <a:ext cx="115570" cy="109855"/>
                    </a:xfrm>
                    <a:prstGeom prst="rect">
                      <a:avLst/>
                    </a:prstGeom>
                  </pic:spPr>
                </pic:pic>
              </a:graphicData>
            </a:graphic>
          </wp:inline>
        </w:drawing>
      </w:r>
    </w:p>
    <w:p w14:paraId="59BB783C" w14:textId="77777777" w:rsidR="00EC1C40" w:rsidRDefault="00000000">
      <w:pPr>
        <w:pStyle w:val="Zkladntext90"/>
        <w:framePr w:w="456" w:h="226" w:hRule="exact" w:wrap="none" w:vAnchor="page" w:hAnchor="page" w:x="5190" w:y="12021"/>
      </w:pPr>
      <w:r>
        <w:rPr>
          <w:b w:val="0"/>
          <w:bCs w:val="0"/>
        </w:rPr>
        <w:t>DATUM</w:t>
      </w:r>
    </w:p>
    <w:p w14:paraId="08006D04" w14:textId="77777777" w:rsidR="00EC1C40" w:rsidRDefault="00000000">
      <w:pPr>
        <w:pStyle w:val="Zkladntext90"/>
        <w:framePr w:w="456" w:h="226" w:hRule="exact" w:wrap="none" w:vAnchor="page" w:hAnchor="page" w:x="5190" w:y="12021"/>
      </w:pPr>
      <w:r>
        <w:rPr>
          <w:b w:val="0"/>
          <w:bCs w:val="0"/>
        </w:rPr>
        <w:t>03.03.2025</w:t>
      </w:r>
    </w:p>
    <w:p w14:paraId="1362F66B" w14:textId="77777777" w:rsidR="00EC1C40" w:rsidRDefault="00000000">
      <w:pPr>
        <w:pStyle w:val="Zkladntext90"/>
        <w:framePr w:w="1037" w:h="317" w:hRule="exact" w:wrap="none" w:vAnchor="page" w:hAnchor="page" w:x="6616" w:y="12031"/>
        <w:jc w:val="both"/>
      </w:pPr>
      <w:r>
        <w:t>PROJEKT</w:t>
      </w:r>
    </w:p>
    <w:p w14:paraId="569410AE" w14:textId="77777777" w:rsidR="00EC1C40" w:rsidRDefault="00000000">
      <w:pPr>
        <w:pStyle w:val="Zkladntext90"/>
        <w:framePr w:w="1037" w:h="317" w:hRule="exact" w:wrap="none" w:vAnchor="page" w:hAnchor="page" w:x="6616" w:y="12031"/>
      </w:pPr>
      <w:r>
        <w:rPr>
          <w:b w:val="0"/>
          <w:bCs w:val="0"/>
        </w:rPr>
        <w:t>Multifunkční hokejová aréna v Pardubicích</w:t>
      </w:r>
    </w:p>
    <w:p w14:paraId="0950CAB1" w14:textId="77777777" w:rsidR="00EC1C40" w:rsidRDefault="00000000">
      <w:pPr>
        <w:pStyle w:val="Zhlavnebozpat0"/>
        <w:framePr w:w="2117" w:h="456" w:hRule="exact" w:wrap="none" w:vAnchor="page" w:hAnchor="page" w:x="9553" w:y="11930"/>
        <w:jc w:val="center"/>
        <w:rPr>
          <w:sz w:val="38"/>
          <w:szCs w:val="38"/>
        </w:rPr>
      </w:pPr>
      <w:r>
        <w:rPr>
          <w:rFonts w:ascii="Arial" w:eastAsia="Arial" w:hAnsi="Arial" w:cs="Arial"/>
          <w:b/>
          <w:bCs/>
          <w:color w:val="000000"/>
          <w:sz w:val="38"/>
          <w:szCs w:val="38"/>
        </w:rPr>
        <w:t xml:space="preserve">!?!?!? </w:t>
      </w:r>
      <w:proofErr w:type="spellStart"/>
      <w:r>
        <w:rPr>
          <w:rFonts w:ascii="Arial" w:eastAsia="Arial" w:hAnsi="Arial" w:cs="Arial"/>
          <w:b/>
          <w:bCs/>
          <w:color w:val="000000"/>
          <w:sz w:val="38"/>
          <w:szCs w:val="38"/>
        </w:rPr>
        <w:t>OVrt</w:t>
      </w:r>
      <w:proofErr w:type="spellEnd"/>
    </w:p>
    <w:p w14:paraId="7B7C95DB" w14:textId="77777777" w:rsidR="00EC1C40" w:rsidRDefault="00EC1C40">
      <w:pPr>
        <w:spacing w:line="1" w:lineRule="exact"/>
        <w:sectPr w:rsidR="00EC1C40">
          <w:pgSz w:w="11900" w:h="16840"/>
          <w:pgMar w:top="360" w:right="360" w:bottom="360" w:left="360" w:header="0" w:footer="3" w:gutter="0"/>
          <w:cols w:space="720"/>
          <w:noEndnote/>
          <w:docGrid w:linePitch="360"/>
        </w:sectPr>
      </w:pPr>
    </w:p>
    <w:p w14:paraId="758DDD2E" w14:textId="77777777" w:rsidR="00EC1C40" w:rsidRDefault="00000000">
      <w:pPr>
        <w:spacing w:line="1" w:lineRule="exact"/>
      </w:pPr>
      <w:r>
        <w:rPr>
          <w:noProof/>
        </w:rPr>
        <w:lastRenderedPageBreak/>
        <mc:AlternateContent>
          <mc:Choice Requires="wps">
            <w:drawing>
              <wp:anchor distT="0" distB="0" distL="114300" distR="114300" simplePos="0" relativeHeight="251714048" behindDoc="1" locked="0" layoutInCell="1" allowOverlap="1" wp14:anchorId="0219BBA5" wp14:editId="304069E8">
                <wp:simplePos x="0" y="0"/>
                <wp:positionH relativeFrom="page">
                  <wp:posOffset>177165</wp:posOffset>
                </wp:positionH>
                <wp:positionV relativeFrom="page">
                  <wp:posOffset>7565390</wp:posOffset>
                </wp:positionV>
                <wp:extent cx="7198995" cy="0"/>
                <wp:effectExtent l="0" t="0" r="0" b="0"/>
                <wp:wrapNone/>
                <wp:docPr id="159" name="Shape 159"/>
                <wp:cNvGraphicFramePr/>
                <a:graphic xmlns:a="http://schemas.openxmlformats.org/drawingml/2006/main">
                  <a:graphicData uri="http://schemas.microsoft.com/office/word/2010/wordprocessingShape">
                    <wps:wsp>
                      <wps:cNvCnPr/>
                      <wps:spPr>
                        <a:xfrm>
                          <a:off x="0" y="0"/>
                          <a:ext cx="7198995" cy="0"/>
                        </a:xfrm>
                        <a:prstGeom prst="straightConnector1">
                          <a:avLst/>
                        </a:prstGeom>
                        <a:ln w="3175">
                          <a:solidFill/>
                        </a:ln>
                      </wps:spPr>
                      <wps:bodyPr/>
                    </wps:wsp>
                  </a:graphicData>
                </a:graphic>
              </wp:anchor>
            </w:drawing>
          </mc:Choice>
          <mc:Fallback>
            <w:pict>
              <v:shape o:spt="32" o:oned="true" path="m,l21600,21600e" style="position:absolute;margin-left:13.950000000000001pt;margin-top:595.70000000000005pt;width:566.85000000000002pt;height:0;z-index:-251658240;mso-position-horizontal-relative:page;mso-position-vertical-relative:page">
                <v:stroke weight="0.25pt"/>
              </v:shape>
            </w:pict>
          </mc:Fallback>
        </mc:AlternateContent>
      </w:r>
    </w:p>
    <w:p w14:paraId="5E6B19D5" w14:textId="77777777" w:rsidR="00EC1C40" w:rsidRDefault="00000000">
      <w:pPr>
        <w:framePr w:wrap="none" w:vAnchor="page" w:hAnchor="page" w:x="1005" w:y="4682"/>
        <w:rPr>
          <w:sz w:val="2"/>
          <w:szCs w:val="2"/>
        </w:rPr>
      </w:pPr>
      <w:r>
        <w:rPr>
          <w:noProof/>
        </w:rPr>
        <w:drawing>
          <wp:inline distT="0" distB="0" distL="0" distR="0" wp14:anchorId="322BAF45" wp14:editId="50EFA735">
            <wp:extent cx="4876800" cy="4584065"/>
            <wp:effectExtent l="0" t="0" r="0" b="0"/>
            <wp:docPr id="160" name="Picutre 160"/>
            <wp:cNvGraphicFramePr/>
            <a:graphic xmlns:a="http://schemas.openxmlformats.org/drawingml/2006/main">
              <a:graphicData uri="http://schemas.openxmlformats.org/drawingml/2006/picture">
                <pic:pic xmlns:pic="http://schemas.openxmlformats.org/drawingml/2006/picture">
                  <pic:nvPicPr>
                    <pic:cNvPr id="160" name="Picture 160"/>
                    <pic:cNvPicPr/>
                  </pic:nvPicPr>
                  <pic:blipFill>
                    <a:blip r:embed="rId32"/>
                    <a:stretch/>
                  </pic:blipFill>
                  <pic:spPr>
                    <a:xfrm>
                      <a:off x="0" y="0"/>
                      <a:ext cx="4876800" cy="4584065"/>
                    </a:xfrm>
                    <a:prstGeom prst="rect">
                      <a:avLst/>
                    </a:prstGeom>
                  </pic:spPr>
                </pic:pic>
              </a:graphicData>
            </a:graphic>
          </wp:inline>
        </w:drawing>
      </w:r>
    </w:p>
    <w:p w14:paraId="4DCADE6A" w14:textId="77777777" w:rsidR="00EC1C40" w:rsidRDefault="00000000">
      <w:pPr>
        <w:pStyle w:val="Titulekobrzku0"/>
        <w:framePr w:wrap="none" w:vAnchor="page" w:hAnchor="page" w:x="9726" w:y="5311"/>
      </w:pPr>
      <w:r>
        <w:rPr>
          <w:b w:val="0"/>
          <w:bCs w:val="0"/>
        </w:rPr>
        <w:t>ARÉNA:</w:t>
      </w:r>
    </w:p>
    <w:p w14:paraId="7AC360C5" w14:textId="77777777" w:rsidR="00EC1C40" w:rsidRDefault="00000000">
      <w:pPr>
        <w:framePr w:wrap="none" w:vAnchor="page" w:hAnchor="page" w:x="9736" w:y="5507"/>
        <w:rPr>
          <w:sz w:val="2"/>
          <w:szCs w:val="2"/>
        </w:rPr>
      </w:pPr>
      <w:r>
        <w:rPr>
          <w:noProof/>
        </w:rPr>
        <w:drawing>
          <wp:inline distT="0" distB="0" distL="0" distR="0" wp14:anchorId="14EE7E7D" wp14:editId="1C7739E9">
            <wp:extent cx="225425" cy="713105"/>
            <wp:effectExtent l="0" t="0" r="0" b="0"/>
            <wp:docPr id="161" name="Picutre 161"/>
            <wp:cNvGraphicFramePr/>
            <a:graphic xmlns:a="http://schemas.openxmlformats.org/drawingml/2006/main">
              <a:graphicData uri="http://schemas.openxmlformats.org/drawingml/2006/picture">
                <pic:pic xmlns:pic="http://schemas.openxmlformats.org/drawingml/2006/picture">
                  <pic:nvPicPr>
                    <pic:cNvPr id="161" name="Picture 161"/>
                    <pic:cNvPicPr/>
                  </pic:nvPicPr>
                  <pic:blipFill>
                    <a:blip r:embed="rId33"/>
                    <a:stretch/>
                  </pic:blipFill>
                  <pic:spPr>
                    <a:xfrm>
                      <a:off x="0" y="0"/>
                      <a:ext cx="225425" cy="713105"/>
                    </a:xfrm>
                    <a:prstGeom prst="rect">
                      <a:avLst/>
                    </a:prstGeom>
                  </pic:spPr>
                </pic:pic>
              </a:graphicData>
            </a:graphic>
          </wp:inline>
        </w:drawing>
      </w:r>
    </w:p>
    <w:p w14:paraId="346464B9" w14:textId="77777777" w:rsidR="00EC1C40" w:rsidRDefault="00000000">
      <w:pPr>
        <w:pStyle w:val="Zkladntext90"/>
        <w:framePr w:w="1291" w:h="1166" w:hRule="exact" w:wrap="none" w:vAnchor="page" w:hAnchor="page" w:x="10134" w:y="5522"/>
        <w:spacing w:line="494" w:lineRule="auto"/>
      </w:pPr>
      <w:r>
        <w:rPr>
          <w:b w:val="0"/>
          <w:bCs w:val="0"/>
        </w:rPr>
        <w:t xml:space="preserve">Aréna veřejnost Aréna zázemí HC Dynamo bazén </w:t>
      </w:r>
      <w:r>
        <w:rPr>
          <w:b w:val="0"/>
          <w:bCs w:val="0"/>
          <w:lang w:val="en-US" w:eastAsia="en-US" w:bidi="en-US"/>
        </w:rPr>
        <w:t xml:space="preserve">a wellness </w:t>
      </w:r>
      <w:r>
        <w:rPr>
          <w:b w:val="0"/>
          <w:bCs w:val="0"/>
        </w:rPr>
        <w:t>komerční jednotka parkování</w:t>
      </w:r>
    </w:p>
    <w:p w14:paraId="0A78CA21" w14:textId="77777777" w:rsidR="00EC1C40" w:rsidRDefault="00000000">
      <w:pPr>
        <w:pStyle w:val="Zkladntext90"/>
        <w:framePr w:w="629" w:h="322" w:hRule="exact" w:wrap="none" w:vAnchor="page" w:hAnchor="page" w:x="9726" w:y="6899"/>
        <w:spacing w:after="100"/>
        <w:jc w:val="both"/>
      </w:pPr>
      <w:r>
        <w:rPr>
          <w:b w:val="0"/>
          <w:bCs w:val="0"/>
        </w:rPr>
        <w:t>HOTEL:</w:t>
      </w:r>
    </w:p>
    <w:p w14:paraId="56EEFAF3" w14:textId="77777777" w:rsidR="00EC1C40" w:rsidRDefault="00000000">
      <w:pPr>
        <w:pStyle w:val="Zkladntext90"/>
        <w:framePr w:w="629" w:h="322" w:hRule="exact" w:wrap="none" w:vAnchor="page" w:hAnchor="page" w:x="9726" w:y="6899"/>
        <w:jc w:val="right"/>
      </w:pPr>
      <w:r>
        <w:rPr>
          <w:b w:val="0"/>
          <w:bCs w:val="0"/>
        </w:rPr>
        <w:t>hotel</w:t>
      </w:r>
    </w:p>
    <w:p w14:paraId="291E2780" w14:textId="77777777" w:rsidR="00EC1C40" w:rsidRDefault="00000000">
      <w:pPr>
        <w:pStyle w:val="Zkladntext90"/>
        <w:framePr w:wrap="none" w:vAnchor="page" w:hAnchor="page" w:x="9726" w:y="7499"/>
        <w:jc w:val="both"/>
      </w:pPr>
      <w:r>
        <w:rPr>
          <w:b w:val="0"/>
          <w:bCs w:val="0"/>
        </w:rPr>
        <w:t>TRÉNINKOVÁ HALA:</w:t>
      </w:r>
    </w:p>
    <w:p w14:paraId="04DE3092" w14:textId="77777777" w:rsidR="00EC1C40" w:rsidRDefault="00000000">
      <w:pPr>
        <w:pStyle w:val="Zkladntext90"/>
        <w:framePr w:w="1291" w:h="317" w:hRule="exact" w:wrap="none" w:vAnchor="page" w:hAnchor="page" w:x="10134" w:y="7715"/>
        <w:spacing w:after="80"/>
      </w:pPr>
      <w:r>
        <w:rPr>
          <w:b w:val="0"/>
          <w:bCs w:val="0"/>
        </w:rPr>
        <w:t>tréninková hala - nadzemní podlaží</w:t>
      </w:r>
    </w:p>
    <w:p w14:paraId="5AFA0710" w14:textId="77777777" w:rsidR="00EC1C40" w:rsidRDefault="00000000">
      <w:pPr>
        <w:pStyle w:val="Zkladntext90"/>
        <w:framePr w:w="1291" w:h="317" w:hRule="exact" w:wrap="none" w:vAnchor="page" w:hAnchor="page" w:x="10134" w:y="7715"/>
      </w:pPr>
      <w:r>
        <w:rPr>
          <w:b w:val="0"/>
          <w:bCs w:val="0"/>
        </w:rPr>
        <w:t>parkování</w:t>
      </w:r>
    </w:p>
    <w:p w14:paraId="44EDC93A" w14:textId="77777777" w:rsidR="00EC1C40" w:rsidRDefault="00000000">
      <w:pPr>
        <w:pStyle w:val="Jin0"/>
        <w:framePr w:wrap="none" w:vAnchor="page" w:hAnchor="page" w:x="256" w:y="12112"/>
        <w:spacing w:after="0"/>
        <w:rPr>
          <w:sz w:val="16"/>
          <w:szCs w:val="16"/>
        </w:rPr>
      </w:pPr>
      <w:r>
        <w:rPr>
          <w:rFonts w:ascii="Arial" w:eastAsia="Arial" w:hAnsi="Arial" w:cs="Arial"/>
          <w:b/>
          <w:bCs/>
          <w:color w:val="000000"/>
          <w:sz w:val="16"/>
          <w:szCs w:val="16"/>
        </w:rPr>
        <w:t>10. NP-Zájmové plochy HPP</w:t>
      </w:r>
    </w:p>
    <w:p w14:paraId="714D9CCB" w14:textId="77777777" w:rsidR="00EC1C40" w:rsidRDefault="00000000">
      <w:pPr>
        <w:pStyle w:val="Zkladntext90"/>
        <w:framePr w:wrap="none" w:vAnchor="page" w:hAnchor="page" w:x="4077" w:y="12146"/>
      </w:pPr>
      <w:r>
        <w:rPr>
          <w:b w:val="0"/>
          <w:bCs w:val="0"/>
        </w:rPr>
        <w:t>měřítko 1 :750</w:t>
      </w:r>
    </w:p>
    <w:p w14:paraId="49851912" w14:textId="77777777" w:rsidR="00EC1C40" w:rsidRDefault="00000000">
      <w:pPr>
        <w:pStyle w:val="Zkladntext90"/>
        <w:framePr w:w="456" w:h="240" w:hRule="exact" w:wrap="none" w:vAnchor="page" w:hAnchor="page" w:x="5190" w:y="12007"/>
      </w:pPr>
      <w:r>
        <w:rPr>
          <w:b w:val="0"/>
          <w:bCs w:val="0"/>
        </w:rPr>
        <w:t>DATUM</w:t>
      </w:r>
    </w:p>
    <w:p w14:paraId="121FB52A" w14:textId="77777777" w:rsidR="00EC1C40" w:rsidRDefault="00000000">
      <w:pPr>
        <w:pStyle w:val="Zkladntext90"/>
        <w:framePr w:w="456" w:h="240" w:hRule="exact" w:wrap="none" w:vAnchor="page" w:hAnchor="page" w:x="5190" w:y="12007"/>
      </w:pPr>
      <w:r>
        <w:rPr>
          <w:b w:val="0"/>
          <w:bCs w:val="0"/>
        </w:rPr>
        <w:t>03.03.2025</w:t>
      </w:r>
    </w:p>
    <w:p w14:paraId="6575B5C4" w14:textId="77777777" w:rsidR="00EC1C40" w:rsidRDefault="00000000">
      <w:pPr>
        <w:pStyle w:val="Zkladntext90"/>
        <w:framePr w:w="1037" w:h="317" w:hRule="exact" w:wrap="none" w:vAnchor="page" w:hAnchor="page" w:x="6616" w:y="12031"/>
        <w:jc w:val="both"/>
      </w:pPr>
      <w:r>
        <w:t>PROJEKT</w:t>
      </w:r>
    </w:p>
    <w:p w14:paraId="6FCB122B" w14:textId="77777777" w:rsidR="00EC1C40" w:rsidRDefault="00000000">
      <w:pPr>
        <w:pStyle w:val="Zkladntext90"/>
        <w:framePr w:w="1037" w:h="317" w:hRule="exact" w:wrap="none" w:vAnchor="page" w:hAnchor="page" w:x="6616" w:y="12031"/>
      </w:pPr>
      <w:r>
        <w:rPr>
          <w:b w:val="0"/>
          <w:bCs w:val="0"/>
        </w:rPr>
        <w:t>Multifunkční hokejová aréna v Pardubicích</w:t>
      </w:r>
    </w:p>
    <w:p w14:paraId="5C84E006" w14:textId="77777777" w:rsidR="00EC1C40" w:rsidRDefault="00000000">
      <w:pPr>
        <w:pStyle w:val="Zhlavnebozpat0"/>
        <w:framePr w:w="2117" w:h="456" w:hRule="exact" w:wrap="none" w:vAnchor="page" w:hAnchor="page" w:x="9553" w:y="11930"/>
        <w:jc w:val="center"/>
        <w:rPr>
          <w:sz w:val="38"/>
          <w:szCs w:val="38"/>
        </w:rPr>
      </w:pPr>
      <w:r>
        <w:rPr>
          <w:rFonts w:ascii="Arial" w:eastAsia="Arial" w:hAnsi="Arial" w:cs="Arial"/>
          <w:b/>
          <w:bCs/>
          <w:color w:val="000000"/>
          <w:sz w:val="38"/>
          <w:szCs w:val="38"/>
        </w:rPr>
        <w:t xml:space="preserve">!?!?!? </w:t>
      </w:r>
      <w:proofErr w:type="spellStart"/>
      <w:r>
        <w:rPr>
          <w:rFonts w:ascii="Arial" w:eastAsia="Arial" w:hAnsi="Arial" w:cs="Arial"/>
          <w:b/>
          <w:bCs/>
          <w:color w:val="000000"/>
          <w:sz w:val="38"/>
          <w:szCs w:val="38"/>
        </w:rPr>
        <w:t>OVrt</w:t>
      </w:r>
      <w:proofErr w:type="spellEnd"/>
    </w:p>
    <w:p w14:paraId="70932F4D" w14:textId="77777777" w:rsidR="00EC1C40" w:rsidRDefault="00EC1C40">
      <w:pPr>
        <w:spacing w:line="1" w:lineRule="exact"/>
        <w:sectPr w:rsidR="00EC1C40">
          <w:pgSz w:w="11900" w:h="16840"/>
          <w:pgMar w:top="360" w:right="360" w:bottom="360" w:left="360" w:header="0" w:footer="3" w:gutter="0"/>
          <w:cols w:space="720"/>
          <w:noEndnote/>
          <w:docGrid w:linePitch="360"/>
        </w:sectPr>
      </w:pPr>
    </w:p>
    <w:p w14:paraId="598A971B" w14:textId="77777777" w:rsidR="00EC1C40" w:rsidRDefault="00000000">
      <w:pPr>
        <w:spacing w:line="1" w:lineRule="exact"/>
      </w:pPr>
      <w:r>
        <w:rPr>
          <w:noProof/>
        </w:rPr>
        <w:lastRenderedPageBreak/>
        <mc:AlternateContent>
          <mc:Choice Requires="wps">
            <w:drawing>
              <wp:anchor distT="0" distB="0" distL="114300" distR="114300" simplePos="0" relativeHeight="251715072" behindDoc="1" locked="0" layoutInCell="1" allowOverlap="1" wp14:anchorId="24F55179" wp14:editId="724360C7">
                <wp:simplePos x="0" y="0"/>
                <wp:positionH relativeFrom="page">
                  <wp:posOffset>177165</wp:posOffset>
                </wp:positionH>
                <wp:positionV relativeFrom="page">
                  <wp:posOffset>7565390</wp:posOffset>
                </wp:positionV>
                <wp:extent cx="7198995" cy="0"/>
                <wp:effectExtent l="0" t="0" r="0" b="0"/>
                <wp:wrapNone/>
                <wp:docPr id="162" name="Shape 162"/>
                <wp:cNvGraphicFramePr/>
                <a:graphic xmlns:a="http://schemas.openxmlformats.org/drawingml/2006/main">
                  <a:graphicData uri="http://schemas.microsoft.com/office/word/2010/wordprocessingShape">
                    <wps:wsp>
                      <wps:cNvCnPr/>
                      <wps:spPr>
                        <a:xfrm>
                          <a:off x="0" y="0"/>
                          <a:ext cx="7198995" cy="0"/>
                        </a:xfrm>
                        <a:prstGeom prst="straightConnector1">
                          <a:avLst/>
                        </a:prstGeom>
                        <a:ln w="3175">
                          <a:solidFill/>
                        </a:ln>
                      </wps:spPr>
                      <wps:bodyPr/>
                    </wps:wsp>
                  </a:graphicData>
                </a:graphic>
              </wp:anchor>
            </w:drawing>
          </mc:Choice>
          <mc:Fallback>
            <w:pict>
              <v:shape o:spt="32" o:oned="true" path="m,l21600,21600e" style="position:absolute;margin-left:13.950000000000001pt;margin-top:595.70000000000005pt;width:566.85000000000002pt;height:0;z-index:-251658240;mso-position-horizontal-relative:page;mso-position-vertical-relative:page">
                <v:stroke weight="0.25pt"/>
              </v:shape>
            </w:pict>
          </mc:Fallback>
        </mc:AlternateContent>
      </w:r>
    </w:p>
    <w:p w14:paraId="34D3C3A5" w14:textId="77777777" w:rsidR="00EC1C40" w:rsidRDefault="00000000">
      <w:pPr>
        <w:framePr w:wrap="none" w:vAnchor="page" w:hAnchor="page" w:x="285" w:y="4696"/>
        <w:rPr>
          <w:sz w:val="2"/>
          <w:szCs w:val="2"/>
        </w:rPr>
      </w:pPr>
      <w:r>
        <w:rPr>
          <w:noProof/>
        </w:rPr>
        <w:drawing>
          <wp:inline distT="0" distB="0" distL="0" distR="0" wp14:anchorId="1DE4999F" wp14:editId="65E62ED1">
            <wp:extent cx="5321935" cy="4834255"/>
            <wp:effectExtent l="0" t="0" r="0" b="0"/>
            <wp:docPr id="163" name="Picutre 163"/>
            <wp:cNvGraphicFramePr/>
            <a:graphic xmlns:a="http://schemas.openxmlformats.org/drawingml/2006/main">
              <a:graphicData uri="http://schemas.openxmlformats.org/drawingml/2006/picture">
                <pic:pic xmlns:pic="http://schemas.openxmlformats.org/drawingml/2006/picture">
                  <pic:nvPicPr>
                    <pic:cNvPr id="163" name="Picture 163"/>
                    <pic:cNvPicPr/>
                  </pic:nvPicPr>
                  <pic:blipFill>
                    <a:blip r:embed="rId34"/>
                    <a:stretch/>
                  </pic:blipFill>
                  <pic:spPr>
                    <a:xfrm>
                      <a:off x="0" y="0"/>
                      <a:ext cx="5321935" cy="4834255"/>
                    </a:xfrm>
                    <a:prstGeom prst="rect">
                      <a:avLst/>
                    </a:prstGeom>
                  </pic:spPr>
                </pic:pic>
              </a:graphicData>
            </a:graphic>
          </wp:inline>
        </w:drawing>
      </w:r>
    </w:p>
    <w:p w14:paraId="3B056CCE" w14:textId="77777777" w:rsidR="00EC1C40" w:rsidRDefault="00000000">
      <w:pPr>
        <w:pStyle w:val="Titulekobrzku0"/>
        <w:framePr w:wrap="none" w:vAnchor="page" w:hAnchor="page" w:x="9726" w:y="5311"/>
      </w:pPr>
      <w:r>
        <w:rPr>
          <w:b w:val="0"/>
          <w:bCs w:val="0"/>
        </w:rPr>
        <w:t>ARÉNA:</w:t>
      </w:r>
    </w:p>
    <w:p w14:paraId="5A2BE8D6" w14:textId="77777777" w:rsidR="00EC1C40" w:rsidRDefault="00000000">
      <w:pPr>
        <w:framePr w:wrap="none" w:vAnchor="page" w:hAnchor="page" w:x="9736" w:y="5507"/>
        <w:rPr>
          <w:sz w:val="2"/>
          <w:szCs w:val="2"/>
        </w:rPr>
      </w:pPr>
      <w:r>
        <w:rPr>
          <w:noProof/>
        </w:rPr>
        <w:drawing>
          <wp:inline distT="0" distB="0" distL="0" distR="0" wp14:anchorId="4A9F01C2" wp14:editId="511356A7">
            <wp:extent cx="225425" cy="713105"/>
            <wp:effectExtent l="0" t="0" r="0" b="0"/>
            <wp:docPr id="164" name="Picutre 164"/>
            <wp:cNvGraphicFramePr/>
            <a:graphic xmlns:a="http://schemas.openxmlformats.org/drawingml/2006/main">
              <a:graphicData uri="http://schemas.openxmlformats.org/drawingml/2006/picture">
                <pic:pic xmlns:pic="http://schemas.openxmlformats.org/drawingml/2006/picture">
                  <pic:nvPicPr>
                    <pic:cNvPr id="164" name="Picture 164"/>
                    <pic:cNvPicPr/>
                  </pic:nvPicPr>
                  <pic:blipFill>
                    <a:blip r:embed="rId33"/>
                    <a:stretch/>
                  </pic:blipFill>
                  <pic:spPr>
                    <a:xfrm>
                      <a:off x="0" y="0"/>
                      <a:ext cx="225425" cy="713105"/>
                    </a:xfrm>
                    <a:prstGeom prst="rect">
                      <a:avLst/>
                    </a:prstGeom>
                  </pic:spPr>
                </pic:pic>
              </a:graphicData>
            </a:graphic>
          </wp:inline>
        </w:drawing>
      </w:r>
    </w:p>
    <w:p w14:paraId="619036F4" w14:textId="77777777" w:rsidR="00EC1C40" w:rsidRDefault="00000000">
      <w:pPr>
        <w:pStyle w:val="Zkladntext90"/>
        <w:framePr w:wrap="none" w:vAnchor="page" w:hAnchor="page" w:x="9726" w:y="6899"/>
        <w:jc w:val="both"/>
      </w:pPr>
      <w:r>
        <w:rPr>
          <w:b w:val="0"/>
          <w:bCs w:val="0"/>
        </w:rPr>
        <w:t>HOTEL:</w:t>
      </w:r>
    </w:p>
    <w:p w14:paraId="749906FA" w14:textId="77777777" w:rsidR="00EC1C40" w:rsidRDefault="00000000">
      <w:pPr>
        <w:pStyle w:val="Zkladntext90"/>
        <w:framePr w:w="696" w:h="1166" w:hRule="exact" w:wrap="none" w:vAnchor="page" w:hAnchor="page" w:x="10134" w:y="5522"/>
        <w:spacing w:line="494" w:lineRule="auto"/>
      </w:pPr>
      <w:r>
        <w:rPr>
          <w:b w:val="0"/>
          <w:bCs w:val="0"/>
        </w:rPr>
        <w:t xml:space="preserve">Aréna veřejnost Aréna zázemí HC Dynamo bazén </w:t>
      </w:r>
      <w:r>
        <w:rPr>
          <w:b w:val="0"/>
          <w:bCs w:val="0"/>
          <w:lang w:val="en-US" w:eastAsia="en-US" w:bidi="en-US"/>
        </w:rPr>
        <w:t xml:space="preserve">a wellness </w:t>
      </w:r>
      <w:r>
        <w:rPr>
          <w:b w:val="0"/>
          <w:bCs w:val="0"/>
        </w:rPr>
        <w:t>komerční jednotka parkování</w:t>
      </w:r>
    </w:p>
    <w:p w14:paraId="2DADAAF2" w14:textId="77777777" w:rsidR="00EC1C40" w:rsidRDefault="00000000">
      <w:pPr>
        <w:pStyle w:val="Zkladntext90"/>
        <w:framePr w:wrap="none" w:vAnchor="page" w:hAnchor="page" w:x="10134" w:y="7096"/>
        <w:jc w:val="both"/>
      </w:pPr>
      <w:r>
        <w:rPr>
          <w:b w:val="0"/>
          <w:bCs w:val="0"/>
        </w:rPr>
        <w:t>hotel</w:t>
      </w:r>
    </w:p>
    <w:p w14:paraId="7A83BEC8" w14:textId="77777777" w:rsidR="00EC1C40" w:rsidRDefault="00000000">
      <w:pPr>
        <w:pStyle w:val="Zkladntext90"/>
        <w:framePr w:wrap="none" w:vAnchor="page" w:hAnchor="page" w:x="9726" w:y="7499"/>
        <w:jc w:val="both"/>
      </w:pPr>
      <w:r>
        <w:rPr>
          <w:b w:val="0"/>
          <w:bCs w:val="0"/>
        </w:rPr>
        <w:t>TRÉNINKOVÁ HALA:</w:t>
      </w:r>
    </w:p>
    <w:p w14:paraId="2B3AF9B1" w14:textId="77777777" w:rsidR="00EC1C40" w:rsidRDefault="00000000">
      <w:pPr>
        <w:framePr w:wrap="none" w:vAnchor="page" w:hAnchor="page" w:x="9707" w:y="7663"/>
        <w:rPr>
          <w:sz w:val="2"/>
          <w:szCs w:val="2"/>
        </w:rPr>
      </w:pPr>
      <w:r>
        <w:rPr>
          <w:noProof/>
        </w:rPr>
        <w:drawing>
          <wp:inline distT="0" distB="0" distL="0" distR="0" wp14:anchorId="6DF02313" wp14:editId="307E8B03">
            <wp:extent cx="262255" cy="274320"/>
            <wp:effectExtent l="0" t="0" r="0" b="0"/>
            <wp:docPr id="165" name="Picutre 165"/>
            <wp:cNvGraphicFramePr/>
            <a:graphic xmlns:a="http://schemas.openxmlformats.org/drawingml/2006/main">
              <a:graphicData uri="http://schemas.openxmlformats.org/drawingml/2006/picture">
                <pic:pic xmlns:pic="http://schemas.openxmlformats.org/drawingml/2006/picture">
                  <pic:nvPicPr>
                    <pic:cNvPr id="165" name="Picture 165"/>
                    <pic:cNvPicPr/>
                  </pic:nvPicPr>
                  <pic:blipFill>
                    <a:blip r:embed="rId35"/>
                    <a:stretch/>
                  </pic:blipFill>
                  <pic:spPr>
                    <a:xfrm>
                      <a:off x="0" y="0"/>
                      <a:ext cx="262255" cy="274320"/>
                    </a:xfrm>
                    <a:prstGeom prst="rect">
                      <a:avLst/>
                    </a:prstGeom>
                  </pic:spPr>
                </pic:pic>
              </a:graphicData>
            </a:graphic>
          </wp:inline>
        </w:drawing>
      </w:r>
    </w:p>
    <w:p w14:paraId="1089B8AC" w14:textId="77777777" w:rsidR="00EC1C40" w:rsidRDefault="00000000">
      <w:pPr>
        <w:pStyle w:val="Titulekobrzku0"/>
        <w:framePr w:wrap="none" w:vAnchor="page" w:hAnchor="page" w:x="10134" w:y="7715"/>
        <w:jc w:val="both"/>
      </w:pPr>
      <w:r>
        <w:rPr>
          <w:b w:val="0"/>
          <w:bCs w:val="0"/>
        </w:rPr>
        <w:t>tréninková hala - nadzemní podlaží</w:t>
      </w:r>
    </w:p>
    <w:p w14:paraId="0E7E48E6" w14:textId="77777777" w:rsidR="00EC1C40" w:rsidRDefault="00000000">
      <w:pPr>
        <w:pStyle w:val="Titulekobrzku0"/>
        <w:framePr w:wrap="none" w:vAnchor="page" w:hAnchor="page" w:x="10134" w:y="7903"/>
        <w:jc w:val="both"/>
      </w:pPr>
      <w:r>
        <w:rPr>
          <w:b w:val="0"/>
          <w:bCs w:val="0"/>
        </w:rPr>
        <w:t>parkování</w:t>
      </w:r>
    </w:p>
    <w:p w14:paraId="1DBF4BB1" w14:textId="77777777" w:rsidR="00EC1C40" w:rsidRDefault="00000000">
      <w:pPr>
        <w:pStyle w:val="Zhlavnebozpat0"/>
        <w:framePr w:w="2117" w:h="456" w:hRule="exact" w:wrap="none" w:vAnchor="page" w:hAnchor="page" w:x="9553" w:y="11930"/>
        <w:jc w:val="center"/>
        <w:rPr>
          <w:sz w:val="38"/>
          <w:szCs w:val="38"/>
        </w:rPr>
      </w:pPr>
      <w:r>
        <w:rPr>
          <w:rFonts w:ascii="Arial" w:eastAsia="Arial" w:hAnsi="Arial" w:cs="Arial"/>
          <w:b/>
          <w:bCs/>
          <w:color w:val="000000"/>
          <w:sz w:val="38"/>
          <w:szCs w:val="38"/>
        </w:rPr>
        <w:t xml:space="preserve">!?!?!? </w:t>
      </w:r>
      <w:proofErr w:type="spellStart"/>
      <w:r>
        <w:rPr>
          <w:rFonts w:ascii="Arial" w:eastAsia="Arial" w:hAnsi="Arial" w:cs="Arial"/>
          <w:b/>
          <w:bCs/>
          <w:color w:val="000000"/>
          <w:sz w:val="38"/>
          <w:szCs w:val="38"/>
        </w:rPr>
        <w:t>OVrt</w:t>
      </w:r>
      <w:proofErr w:type="spellEnd"/>
    </w:p>
    <w:p w14:paraId="4EC77840" w14:textId="77777777" w:rsidR="00EC1C40" w:rsidRDefault="00EC1C40">
      <w:pPr>
        <w:spacing w:line="1" w:lineRule="exact"/>
        <w:sectPr w:rsidR="00EC1C40">
          <w:pgSz w:w="11900" w:h="16840"/>
          <w:pgMar w:top="360" w:right="360" w:bottom="360" w:left="360" w:header="0" w:footer="3" w:gutter="0"/>
          <w:cols w:space="720"/>
          <w:noEndnote/>
          <w:docGrid w:linePitch="360"/>
        </w:sectPr>
      </w:pPr>
    </w:p>
    <w:p w14:paraId="555D1CDE" w14:textId="77777777" w:rsidR="00EC1C40" w:rsidRDefault="00EC1C40">
      <w:pPr>
        <w:spacing w:line="1" w:lineRule="exact"/>
      </w:pPr>
    </w:p>
    <w:p w14:paraId="702966E2" w14:textId="77777777" w:rsidR="00EC1C40" w:rsidRDefault="00000000">
      <w:pPr>
        <w:pStyle w:val="Zkladntext80"/>
        <w:framePr w:w="11899" w:h="638" w:hRule="exact" w:wrap="none" w:vAnchor="page" w:hAnchor="page" w:x="125" w:y="4979"/>
        <w:rPr>
          <w:sz w:val="50"/>
          <w:szCs w:val="50"/>
        </w:rPr>
      </w:pPr>
      <w:r>
        <w:t>Příloh</w:t>
      </w:r>
      <w:r>
        <w:rPr>
          <w:rFonts w:ascii="Calibri" w:eastAsia="Calibri" w:hAnsi="Calibri" w:cs="Calibri"/>
          <w:b/>
          <w:bCs/>
          <w:smallCaps/>
          <w:sz w:val="50"/>
          <w:szCs w:val="50"/>
        </w:rPr>
        <w:t>a</w:t>
      </w:r>
      <w:r>
        <w:t xml:space="preserve"> č. </w:t>
      </w:r>
      <w:r>
        <w:rPr>
          <w:rFonts w:ascii="Calibri" w:eastAsia="Calibri" w:hAnsi="Calibri" w:cs="Calibri"/>
          <w:b/>
          <w:bCs/>
          <w:smallCaps/>
          <w:sz w:val="50"/>
          <w:szCs w:val="50"/>
        </w:rPr>
        <w:t>13</w:t>
      </w:r>
    </w:p>
    <w:p w14:paraId="7F5CDE10"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28C016A8" w14:textId="77777777" w:rsidR="00EC1C40" w:rsidRDefault="00EC1C40">
      <w:pPr>
        <w:spacing w:line="1" w:lineRule="exact"/>
      </w:pPr>
    </w:p>
    <w:p w14:paraId="6C31F4D5" w14:textId="77777777" w:rsidR="00EC1C40" w:rsidRDefault="00000000">
      <w:pPr>
        <w:framePr w:wrap="none" w:vAnchor="page" w:hAnchor="page" w:x="125" w:y="169"/>
        <w:rPr>
          <w:sz w:val="2"/>
          <w:szCs w:val="2"/>
        </w:rPr>
      </w:pPr>
      <w:r>
        <w:rPr>
          <w:noProof/>
        </w:rPr>
        <w:drawing>
          <wp:inline distT="0" distB="0" distL="0" distR="0" wp14:anchorId="01A7B65B" wp14:editId="1A0B6062">
            <wp:extent cx="7559040" cy="7699375"/>
            <wp:effectExtent l="0" t="0" r="0" b="0"/>
            <wp:docPr id="166" name="Picutre 166"/>
            <wp:cNvGraphicFramePr/>
            <a:graphic xmlns:a="http://schemas.openxmlformats.org/drawingml/2006/main">
              <a:graphicData uri="http://schemas.openxmlformats.org/drawingml/2006/picture">
                <pic:pic xmlns:pic="http://schemas.openxmlformats.org/drawingml/2006/picture">
                  <pic:nvPicPr>
                    <pic:cNvPr id="166" name="Picture 166"/>
                    <pic:cNvPicPr/>
                  </pic:nvPicPr>
                  <pic:blipFill>
                    <a:blip r:embed="rId36"/>
                    <a:stretch/>
                  </pic:blipFill>
                  <pic:spPr>
                    <a:xfrm>
                      <a:off x="0" y="0"/>
                      <a:ext cx="7559040" cy="7699375"/>
                    </a:xfrm>
                    <a:prstGeom prst="rect">
                      <a:avLst/>
                    </a:prstGeom>
                  </pic:spPr>
                </pic:pic>
              </a:graphicData>
            </a:graphic>
          </wp:inline>
        </w:drawing>
      </w:r>
    </w:p>
    <w:p w14:paraId="538A8C5C" w14:textId="77777777" w:rsidR="00EC1C40" w:rsidRDefault="00000000">
      <w:pPr>
        <w:framePr w:wrap="none" w:vAnchor="page" w:hAnchor="page" w:x="125" w:y="12284"/>
        <w:rPr>
          <w:sz w:val="2"/>
          <w:szCs w:val="2"/>
        </w:rPr>
      </w:pPr>
      <w:r>
        <w:rPr>
          <w:noProof/>
        </w:rPr>
        <w:drawing>
          <wp:inline distT="0" distB="0" distL="0" distR="0" wp14:anchorId="417D403B" wp14:editId="7D15F85A">
            <wp:extent cx="7559040" cy="2999105"/>
            <wp:effectExtent l="0" t="0" r="0" b="0"/>
            <wp:docPr id="167" name="Picutre 167"/>
            <wp:cNvGraphicFramePr/>
            <a:graphic xmlns:a="http://schemas.openxmlformats.org/drawingml/2006/main">
              <a:graphicData uri="http://schemas.openxmlformats.org/drawingml/2006/picture">
                <pic:pic xmlns:pic="http://schemas.openxmlformats.org/drawingml/2006/picture">
                  <pic:nvPicPr>
                    <pic:cNvPr id="167" name="Picture 167"/>
                    <pic:cNvPicPr/>
                  </pic:nvPicPr>
                  <pic:blipFill>
                    <a:blip r:embed="rId11"/>
                    <a:stretch/>
                  </pic:blipFill>
                  <pic:spPr>
                    <a:xfrm>
                      <a:off x="0" y="0"/>
                      <a:ext cx="7559040" cy="2999105"/>
                    </a:xfrm>
                    <a:prstGeom prst="rect">
                      <a:avLst/>
                    </a:prstGeom>
                  </pic:spPr>
                </pic:pic>
              </a:graphicData>
            </a:graphic>
          </wp:inline>
        </w:drawing>
      </w:r>
    </w:p>
    <w:p w14:paraId="05377E5E"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3CF78090" w14:textId="77777777" w:rsidR="00EC1C40" w:rsidRDefault="00EC1C40">
      <w:pPr>
        <w:spacing w:line="1" w:lineRule="exact"/>
      </w:pPr>
    </w:p>
    <w:p w14:paraId="7E0BF8CA" w14:textId="77777777" w:rsidR="00EC1C40" w:rsidRDefault="00000000">
      <w:pPr>
        <w:pStyle w:val="Zkladntext80"/>
        <w:framePr w:w="8002" w:h="638" w:hRule="exact" w:wrap="none" w:vAnchor="page" w:hAnchor="page" w:x="2074" w:y="5079"/>
        <w:rPr>
          <w:sz w:val="50"/>
          <w:szCs w:val="50"/>
        </w:rPr>
      </w:pPr>
      <w:r>
        <w:t>Příloh</w:t>
      </w:r>
      <w:r>
        <w:rPr>
          <w:rFonts w:ascii="Calibri" w:eastAsia="Calibri" w:hAnsi="Calibri" w:cs="Calibri"/>
          <w:b/>
          <w:bCs/>
          <w:smallCaps/>
          <w:sz w:val="50"/>
          <w:szCs w:val="50"/>
        </w:rPr>
        <w:t>a</w:t>
      </w:r>
      <w:r>
        <w:t xml:space="preserve"> č. </w:t>
      </w:r>
      <w:r>
        <w:rPr>
          <w:rFonts w:ascii="Calibri" w:eastAsia="Calibri" w:hAnsi="Calibri" w:cs="Calibri"/>
          <w:b/>
          <w:bCs/>
          <w:smallCaps/>
          <w:sz w:val="50"/>
          <w:szCs w:val="50"/>
        </w:rPr>
        <w:t>14</w:t>
      </w:r>
    </w:p>
    <w:p w14:paraId="2C544D7A"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392D10F8" w14:textId="77777777" w:rsidR="00EC1C40" w:rsidRDefault="00EC1C40">
      <w:pPr>
        <w:spacing w:line="1" w:lineRule="exact"/>
      </w:pPr>
    </w:p>
    <w:p w14:paraId="10F0D728" w14:textId="77777777" w:rsidR="00EC1C40" w:rsidRDefault="00000000">
      <w:pPr>
        <w:pStyle w:val="Jin0"/>
        <w:framePr w:w="8650" w:h="1008" w:hRule="exact" w:wrap="none" w:vAnchor="page" w:hAnchor="page" w:x="1733" w:y="4215"/>
        <w:spacing w:after="0" w:line="338" w:lineRule="auto"/>
        <w:jc w:val="center"/>
        <w:rPr>
          <w:sz w:val="30"/>
          <w:szCs w:val="30"/>
        </w:rPr>
      </w:pPr>
      <w:r>
        <w:rPr>
          <w:rFonts w:ascii="Arial" w:eastAsia="Arial" w:hAnsi="Arial" w:cs="Arial"/>
          <w:sz w:val="30"/>
          <w:szCs w:val="30"/>
        </w:rPr>
        <w:t>Soulad záměru MHAP s Územním plánem města Pardubice</w:t>
      </w:r>
      <w:r>
        <w:rPr>
          <w:rFonts w:ascii="Arial" w:eastAsia="Arial" w:hAnsi="Arial" w:cs="Arial"/>
          <w:sz w:val="30"/>
          <w:szCs w:val="30"/>
        </w:rPr>
        <w:br/>
        <w:t>a Územní studií „Nová Cihelna 2024“</w:t>
      </w:r>
    </w:p>
    <w:p w14:paraId="027AE3F0" w14:textId="77777777" w:rsidR="00EC1C40" w:rsidRDefault="00000000">
      <w:pPr>
        <w:framePr w:wrap="none" w:vAnchor="page" w:hAnchor="page" w:x="2065" w:y="5741"/>
        <w:rPr>
          <w:sz w:val="2"/>
          <w:szCs w:val="2"/>
        </w:rPr>
      </w:pPr>
      <w:r>
        <w:rPr>
          <w:noProof/>
        </w:rPr>
        <w:drawing>
          <wp:inline distT="0" distB="0" distL="0" distR="0" wp14:anchorId="4EE57FD8" wp14:editId="556651B7">
            <wp:extent cx="5090160" cy="3590290"/>
            <wp:effectExtent l="0" t="0" r="0" b="0"/>
            <wp:docPr id="168" name="Picutre 168"/>
            <wp:cNvGraphicFramePr/>
            <a:graphic xmlns:a="http://schemas.openxmlformats.org/drawingml/2006/main">
              <a:graphicData uri="http://schemas.openxmlformats.org/drawingml/2006/picture">
                <pic:pic xmlns:pic="http://schemas.openxmlformats.org/drawingml/2006/picture">
                  <pic:nvPicPr>
                    <pic:cNvPr id="168" name="Picture 168"/>
                    <pic:cNvPicPr/>
                  </pic:nvPicPr>
                  <pic:blipFill>
                    <a:blip r:embed="rId37"/>
                    <a:stretch/>
                  </pic:blipFill>
                  <pic:spPr>
                    <a:xfrm>
                      <a:off x="0" y="0"/>
                      <a:ext cx="5090160" cy="3590290"/>
                    </a:xfrm>
                    <a:prstGeom prst="rect">
                      <a:avLst/>
                    </a:prstGeom>
                  </pic:spPr>
                </pic:pic>
              </a:graphicData>
            </a:graphic>
          </wp:inline>
        </w:drawing>
      </w:r>
    </w:p>
    <w:p w14:paraId="3F872FD3" w14:textId="77777777" w:rsidR="00EC1C40" w:rsidRDefault="00000000">
      <w:pPr>
        <w:pStyle w:val="Titulekobrzku0"/>
        <w:framePr w:w="1526" w:h="1766" w:hRule="exact" w:wrap="none" w:vAnchor="page" w:hAnchor="page" w:x="2103" w:y="12216"/>
        <w:spacing w:line="338" w:lineRule="auto"/>
        <w:rPr>
          <w:sz w:val="18"/>
          <w:szCs w:val="18"/>
        </w:rPr>
      </w:pPr>
      <w:r>
        <w:rPr>
          <w:b w:val="0"/>
          <w:bCs w:val="0"/>
          <w:color w:val="231E20"/>
          <w:sz w:val="18"/>
          <w:szCs w:val="18"/>
        </w:rPr>
        <w:t>ov architekti s.r.o.</w:t>
      </w:r>
      <w:r>
        <w:rPr>
          <w:b w:val="0"/>
          <w:bCs w:val="0"/>
          <w:color w:val="231E20"/>
          <w:sz w:val="18"/>
          <w:szCs w:val="18"/>
        </w:rPr>
        <w:br/>
        <w:t>Lotyšská 646/10</w:t>
      </w:r>
      <w:r>
        <w:rPr>
          <w:b w:val="0"/>
          <w:bCs w:val="0"/>
          <w:color w:val="231E20"/>
          <w:sz w:val="18"/>
          <w:szCs w:val="18"/>
        </w:rPr>
        <w:br/>
        <w:t>160 00, Praha 6</w:t>
      </w:r>
      <w:r>
        <w:rPr>
          <w:b w:val="0"/>
          <w:bCs w:val="0"/>
          <w:color w:val="231E20"/>
          <w:sz w:val="18"/>
          <w:szCs w:val="18"/>
        </w:rPr>
        <w:br/>
        <w:t>Česká republika</w:t>
      </w:r>
      <w:r>
        <w:rPr>
          <w:b w:val="0"/>
          <w:bCs w:val="0"/>
          <w:color w:val="231E20"/>
          <w:sz w:val="18"/>
          <w:szCs w:val="18"/>
        </w:rPr>
        <w:br/>
      </w:r>
      <w:hyperlink r:id="rId38" w:history="1">
        <w:r>
          <w:rPr>
            <w:b w:val="0"/>
            <w:bCs w:val="0"/>
            <w:color w:val="231E20"/>
            <w:sz w:val="18"/>
            <w:szCs w:val="18"/>
          </w:rPr>
          <w:t>ova@ova.cz</w:t>
        </w:r>
      </w:hyperlink>
      <w:r>
        <w:rPr>
          <w:b w:val="0"/>
          <w:bCs w:val="0"/>
          <w:color w:val="231E20"/>
          <w:sz w:val="18"/>
          <w:szCs w:val="18"/>
        </w:rPr>
        <w:br/>
        <w:t>ova.cz</w:t>
      </w:r>
    </w:p>
    <w:p w14:paraId="40428FFD" w14:textId="77777777" w:rsidR="00EC1C40" w:rsidRDefault="00000000">
      <w:pPr>
        <w:pStyle w:val="Nadpis10"/>
        <w:framePr w:w="8650" w:h="826" w:hRule="exact" w:wrap="none" w:vAnchor="page" w:hAnchor="page" w:x="1733" w:y="13052"/>
        <w:ind w:right="500"/>
      </w:pPr>
      <w:bookmarkStart w:id="134" w:name="bookmark270"/>
      <w:proofErr w:type="spellStart"/>
      <w:r>
        <w:t>OVi’i</w:t>
      </w:r>
      <w:bookmarkEnd w:id="134"/>
      <w:proofErr w:type="spellEnd"/>
    </w:p>
    <w:p w14:paraId="549AC1B0"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5005628A" w14:textId="77777777" w:rsidR="00EC1C40" w:rsidRDefault="00EC1C40">
      <w:pPr>
        <w:spacing w:line="1" w:lineRule="exact"/>
      </w:pPr>
    </w:p>
    <w:p w14:paraId="79A22DA8" w14:textId="77777777" w:rsidR="00EC1C40" w:rsidRDefault="00000000">
      <w:pPr>
        <w:pStyle w:val="Zhlavnebozpat0"/>
        <w:framePr w:wrap="none" w:vAnchor="page" w:hAnchor="page" w:x="5151" w:y="989"/>
        <w:rPr>
          <w:sz w:val="22"/>
          <w:szCs w:val="22"/>
        </w:rPr>
      </w:pPr>
      <w:r>
        <w:rPr>
          <w:rFonts w:ascii="Arial" w:eastAsia="Arial" w:hAnsi="Arial" w:cs="Arial"/>
          <w:sz w:val="22"/>
          <w:szCs w:val="22"/>
        </w:rPr>
        <w:t>Soulad záměru MHAP s Územní studií „Nová Cihelna 2024</w:t>
      </w:r>
    </w:p>
    <w:p w14:paraId="5DBE8AF4" w14:textId="77777777" w:rsidR="00EC1C40" w:rsidRDefault="00000000">
      <w:pPr>
        <w:framePr w:wrap="none" w:vAnchor="page" w:hAnchor="page" w:x="1733" w:y="5660"/>
        <w:rPr>
          <w:sz w:val="2"/>
          <w:szCs w:val="2"/>
        </w:rPr>
      </w:pPr>
      <w:r>
        <w:rPr>
          <w:noProof/>
        </w:rPr>
        <w:drawing>
          <wp:inline distT="0" distB="0" distL="0" distR="0" wp14:anchorId="5159C7ED" wp14:editId="7C579EE5">
            <wp:extent cx="5492750" cy="3633470"/>
            <wp:effectExtent l="0" t="0" r="0" b="0"/>
            <wp:docPr id="169" name="Picutre 169"/>
            <wp:cNvGraphicFramePr/>
            <a:graphic xmlns:a="http://schemas.openxmlformats.org/drawingml/2006/main">
              <a:graphicData uri="http://schemas.openxmlformats.org/drawingml/2006/picture">
                <pic:pic xmlns:pic="http://schemas.openxmlformats.org/drawingml/2006/picture">
                  <pic:nvPicPr>
                    <pic:cNvPr id="169" name="Picture 169"/>
                    <pic:cNvPicPr/>
                  </pic:nvPicPr>
                  <pic:blipFill>
                    <a:blip r:embed="rId39"/>
                    <a:stretch/>
                  </pic:blipFill>
                  <pic:spPr>
                    <a:xfrm>
                      <a:off x="0" y="0"/>
                      <a:ext cx="5492750" cy="3633470"/>
                    </a:xfrm>
                    <a:prstGeom prst="rect">
                      <a:avLst/>
                    </a:prstGeom>
                  </pic:spPr>
                </pic:pic>
              </a:graphicData>
            </a:graphic>
          </wp:inline>
        </w:drawing>
      </w:r>
    </w:p>
    <w:p w14:paraId="71E59578" w14:textId="77777777" w:rsidR="00EC1C40" w:rsidRDefault="00000000">
      <w:pPr>
        <w:pStyle w:val="Titulekobrzku0"/>
        <w:framePr w:w="2486" w:h="274" w:hRule="exact" w:wrap="none" w:vAnchor="page" w:hAnchor="page" w:x="4834" w:y="11588"/>
        <w:jc w:val="center"/>
        <w:rPr>
          <w:sz w:val="22"/>
          <w:szCs w:val="22"/>
        </w:rPr>
      </w:pPr>
      <w:r>
        <w:rPr>
          <w:b w:val="0"/>
          <w:bCs w:val="0"/>
          <w:color w:val="231E20"/>
          <w:sz w:val="22"/>
          <w:szCs w:val="22"/>
        </w:rPr>
        <w:t>Architektonická situace</w:t>
      </w:r>
    </w:p>
    <w:p w14:paraId="0FA40CD7" w14:textId="77777777" w:rsidR="00EC1C40" w:rsidRDefault="00000000">
      <w:pPr>
        <w:pStyle w:val="Zhlavnebozpat0"/>
        <w:framePr w:wrap="none" w:vAnchor="page" w:hAnchor="page" w:x="11170" w:y="15879"/>
        <w:rPr>
          <w:sz w:val="20"/>
          <w:szCs w:val="20"/>
        </w:rPr>
      </w:pPr>
      <w:r>
        <w:rPr>
          <w:rFonts w:ascii="Arial" w:eastAsia="Arial" w:hAnsi="Arial" w:cs="Arial"/>
          <w:color w:val="231E20"/>
          <w:sz w:val="20"/>
          <w:szCs w:val="20"/>
        </w:rPr>
        <w:t>2</w:t>
      </w:r>
    </w:p>
    <w:p w14:paraId="238D4B7B"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7E956A13" w14:textId="77777777" w:rsidR="00EC1C40" w:rsidRDefault="00EC1C40">
      <w:pPr>
        <w:spacing w:line="1" w:lineRule="exact"/>
      </w:pPr>
    </w:p>
    <w:p w14:paraId="4513442D" w14:textId="77777777" w:rsidR="00EC1C40" w:rsidRDefault="00000000">
      <w:pPr>
        <w:pStyle w:val="Zhlavnebozpat0"/>
        <w:framePr w:wrap="none" w:vAnchor="page" w:hAnchor="page" w:x="5262" w:y="993"/>
        <w:rPr>
          <w:sz w:val="22"/>
          <w:szCs w:val="22"/>
        </w:rPr>
      </w:pPr>
      <w:r>
        <w:rPr>
          <w:rFonts w:ascii="Arial" w:eastAsia="Arial" w:hAnsi="Arial" w:cs="Arial"/>
          <w:sz w:val="22"/>
          <w:szCs w:val="22"/>
        </w:rPr>
        <w:t>Soulad záměru MHAP s Územní studií „Nová Cihelna 2024</w:t>
      </w:r>
    </w:p>
    <w:p w14:paraId="0F2B5422" w14:textId="77777777" w:rsidR="00EC1C40" w:rsidRDefault="00000000">
      <w:pPr>
        <w:pStyle w:val="Nadpis40"/>
        <w:framePr w:wrap="none" w:vAnchor="page" w:hAnchor="page" w:x="923" w:y="1665"/>
        <w:spacing w:after="0"/>
      </w:pPr>
      <w:bookmarkStart w:id="135" w:name="bookmark272"/>
      <w:r>
        <w:rPr>
          <w:rFonts w:ascii="Arial" w:eastAsia="Arial" w:hAnsi="Arial" w:cs="Arial"/>
          <w:color w:val="231E20"/>
        </w:rPr>
        <w:t>Soulad záměru MHAP s Územním plánem města Pardubice</w:t>
      </w:r>
      <w:bookmarkEnd w:id="135"/>
    </w:p>
    <w:p w14:paraId="0C475167" w14:textId="77777777" w:rsidR="00EC1C40" w:rsidRDefault="00000000">
      <w:pPr>
        <w:pStyle w:val="Zkladntext110"/>
        <w:framePr w:w="10219" w:h="1526" w:hRule="exact" w:wrap="none" w:vAnchor="page" w:hAnchor="page" w:x="923" w:y="2303"/>
        <w:spacing w:after="240" w:line="240" w:lineRule="auto"/>
      </w:pPr>
      <w:r>
        <w:rPr>
          <w:b/>
          <w:bCs/>
          <w:u w:val="single"/>
        </w:rPr>
        <w:t xml:space="preserve">Popis </w:t>
      </w:r>
      <w:r>
        <w:rPr>
          <w:u w:val="single"/>
        </w:rPr>
        <w:t>v</w:t>
      </w:r>
      <w:r>
        <w:rPr>
          <w:b/>
          <w:bCs/>
          <w:u w:val="single"/>
        </w:rPr>
        <w:t xml:space="preserve">ymezení </w:t>
      </w:r>
      <w:r>
        <w:rPr>
          <w:u w:val="single"/>
        </w:rPr>
        <w:t>ř</w:t>
      </w:r>
      <w:r>
        <w:rPr>
          <w:b/>
          <w:bCs/>
          <w:u w:val="single"/>
        </w:rPr>
        <w:t xml:space="preserve">ešeného </w:t>
      </w:r>
      <w:r>
        <w:rPr>
          <w:u w:val="single"/>
        </w:rPr>
        <w:t>ú</w:t>
      </w:r>
      <w:r>
        <w:rPr>
          <w:b/>
          <w:bCs/>
          <w:u w:val="single"/>
        </w:rPr>
        <w:t>zemí</w:t>
      </w:r>
    </w:p>
    <w:p w14:paraId="270AA6F9" w14:textId="77777777" w:rsidR="00EC1C40" w:rsidRDefault="00000000">
      <w:pPr>
        <w:pStyle w:val="Zkladntext110"/>
        <w:framePr w:w="10219" w:h="1526" w:hRule="exact" w:wrap="none" w:vAnchor="page" w:hAnchor="page" w:x="923" w:y="2303"/>
        <w:spacing w:after="80" w:line="240" w:lineRule="auto"/>
        <w:ind w:firstLine="720"/>
      </w:pPr>
      <w:r>
        <w:rPr>
          <w:i w:val="0"/>
          <w:iCs w:val="0"/>
          <w:color w:val="231E20"/>
        </w:rPr>
        <w:t>Území se nachází v plochách XXII/22/2z, XXII/22/1z, XXII/22/1zu, VI/22/2z, VI/22/2zu, XXII/CD2,</w:t>
      </w:r>
    </w:p>
    <w:p w14:paraId="5EB46E08" w14:textId="77777777" w:rsidR="00EC1C40" w:rsidRDefault="00000000">
      <w:pPr>
        <w:pStyle w:val="Zkladntext110"/>
        <w:framePr w:w="10219" w:h="1526" w:hRule="exact" w:wrap="none" w:vAnchor="page" w:hAnchor="page" w:x="923" w:y="2303"/>
        <w:spacing w:after="240" w:line="240" w:lineRule="auto"/>
        <w:ind w:firstLine="720"/>
      </w:pPr>
      <w:r>
        <w:rPr>
          <w:i w:val="0"/>
          <w:iCs w:val="0"/>
          <w:color w:val="231E20"/>
        </w:rPr>
        <w:t>XXII/22/5u, VI22/1k, VI/22/4u, VI/22/3u, 78/z</w:t>
      </w:r>
    </w:p>
    <w:p w14:paraId="4AEDFF00" w14:textId="77777777" w:rsidR="00EC1C40" w:rsidRDefault="00000000">
      <w:pPr>
        <w:pStyle w:val="Zkladntext110"/>
        <w:framePr w:w="10219" w:h="1526" w:hRule="exact" w:wrap="none" w:vAnchor="page" w:hAnchor="page" w:x="923" w:y="2303"/>
        <w:spacing w:after="0" w:line="240" w:lineRule="auto"/>
        <w:ind w:firstLine="720"/>
        <w:jc w:val="both"/>
      </w:pPr>
      <w:r>
        <w:rPr>
          <w:i w:val="0"/>
          <w:iCs w:val="0"/>
          <w:color w:val="231E20"/>
        </w:rPr>
        <w:t>Soutisk záměru s ÚP</w:t>
      </w:r>
    </w:p>
    <w:p w14:paraId="275C7187" w14:textId="77777777" w:rsidR="00EC1C40" w:rsidRDefault="00000000">
      <w:pPr>
        <w:framePr w:wrap="none" w:vAnchor="page" w:hAnchor="page" w:x="1657" w:y="4017"/>
        <w:rPr>
          <w:sz w:val="2"/>
          <w:szCs w:val="2"/>
        </w:rPr>
      </w:pPr>
      <w:r>
        <w:rPr>
          <w:noProof/>
        </w:rPr>
        <w:drawing>
          <wp:inline distT="0" distB="0" distL="0" distR="0" wp14:anchorId="4877A230" wp14:editId="3095F3F7">
            <wp:extent cx="4431665" cy="3718560"/>
            <wp:effectExtent l="0" t="0" r="0" b="0"/>
            <wp:docPr id="170" name="Picutre 170"/>
            <wp:cNvGraphicFramePr/>
            <a:graphic xmlns:a="http://schemas.openxmlformats.org/drawingml/2006/main">
              <a:graphicData uri="http://schemas.openxmlformats.org/drawingml/2006/picture">
                <pic:pic xmlns:pic="http://schemas.openxmlformats.org/drawingml/2006/picture">
                  <pic:nvPicPr>
                    <pic:cNvPr id="170" name="Picture 170"/>
                    <pic:cNvPicPr/>
                  </pic:nvPicPr>
                  <pic:blipFill>
                    <a:blip r:embed="rId40"/>
                    <a:stretch/>
                  </pic:blipFill>
                  <pic:spPr>
                    <a:xfrm>
                      <a:off x="0" y="0"/>
                      <a:ext cx="4431665" cy="3718560"/>
                    </a:xfrm>
                    <a:prstGeom prst="rect">
                      <a:avLst/>
                    </a:prstGeom>
                  </pic:spPr>
                </pic:pic>
              </a:graphicData>
            </a:graphic>
          </wp:inline>
        </w:drawing>
      </w:r>
    </w:p>
    <w:p w14:paraId="207C094F" w14:textId="77777777" w:rsidR="00EC1C40" w:rsidRDefault="00000000">
      <w:pPr>
        <w:framePr w:wrap="none" w:vAnchor="page" w:hAnchor="page" w:x="1657" w:y="10045"/>
        <w:rPr>
          <w:sz w:val="2"/>
          <w:szCs w:val="2"/>
        </w:rPr>
      </w:pPr>
      <w:r>
        <w:rPr>
          <w:noProof/>
        </w:rPr>
        <w:drawing>
          <wp:inline distT="0" distB="0" distL="0" distR="0" wp14:anchorId="03BD0D1F" wp14:editId="06AD0F32">
            <wp:extent cx="4438015" cy="2926080"/>
            <wp:effectExtent l="0" t="0" r="0" b="0"/>
            <wp:docPr id="171" name="Picutre 171"/>
            <wp:cNvGraphicFramePr/>
            <a:graphic xmlns:a="http://schemas.openxmlformats.org/drawingml/2006/main">
              <a:graphicData uri="http://schemas.openxmlformats.org/drawingml/2006/picture">
                <pic:pic xmlns:pic="http://schemas.openxmlformats.org/drawingml/2006/picture">
                  <pic:nvPicPr>
                    <pic:cNvPr id="171" name="Picture 171"/>
                    <pic:cNvPicPr/>
                  </pic:nvPicPr>
                  <pic:blipFill>
                    <a:blip r:embed="rId41"/>
                    <a:stretch/>
                  </pic:blipFill>
                  <pic:spPr>
                    <a:xfrm>
                      <a:off x="0" y="0"/>
                      <a:ext cx="4438015" cy="2926080"/>
                    </a:xfrm>
                    <a:prstGeom prst="rect">
                      <a:avLst/>
                    </a:prstGeom>
                  </pic:spPr>
                </pic:pic>
              </a:graphicData>
            </a:graphic>
          </wp:inline>
        </w:drawing>
      </w:r>
    </w:p>
    <w:p w14:paraId="517DD731" w14:textId="77777777" w:rsidR="00EC1C40" w:rsidRDefault="00000000">
      <w:pPr>
        <w:pStyle w:val="Zkladntext110"/>
        <w:framePr w:wrap="none" w:vAnchor="page" w:hAnchor="page" w:x="923" w:y="14869"/>
        <w:spacing w:after="0" w:line="240" w:lineRule="auto"/>
      </w:pPr>
      <w:r>
        <w:rPr>
          <w:b/>
          <w:bCs/>
          <w:u w:val="single"/>
        </w:rPr>
        <w:t xml:space="preserve">Prostorová </w:t>
      </w:r>
      <w:r>
        <w:rPr>
          <w:u w:val="single"/>
        </w:rPr>
        <w:t>r</w:t>
      </w:r>
      <w:r>
        <w:rPr>
          <w:b/>
          <w:bCs/>
          <w:u w:val="single"/>
        </w:rPr>
        <w:t>egulace</w:t>
      </w:r>
    </w:p>
    <w:p w14:paraId="63B5552E" w14:textId="77777777" w:rsidR="00EC1C40" w:rsidRDefault="00000000">
      <w:pPr>
        <w:pStyle w:val="Zkladntext110"/>
        <w:framePr w:wrap="none" w:vAnchor="page" w:hAnchor="page" w:x="923" w:y="15354"/>
        <w:spacing w:after="0" w:line="240" w:lineRule="auto"/>
        <w:ind w:firstLine="720"/>
      </w:pPr>
      <w:r>
        <w:rPr>
          <w:i w:val="0"/>
          <w:iCs w:val="0"/>
          <w:color w:val="231E20"/>
        </w:rPr>
        <w:t>V územním plánu není stanovená prostorová regulace lokality, je přenesena na úroveň územní studie.</w:t>
      </w:r>
    </w:p>
    <w:p w14:paraId="3E91B282" w14:textId="77777777" w:rsidR="00EC1C40" w:rsidRDefault="00000000">
      <w:pPr>
        <w:pStyle w:val="Zhlavnebozpat0"/>
        <w:framePr w:wrap="none" w:vAnchor="page" w:hAnchor="page" w:x="11281" w:y="15882"/>
        <w:rPr>
          <w:sz w:val="20"/>
          <w:szCs w:val="20"/>
        </w:rPr>
      </w:pPr>
      <w:r>
        <w:rPr>
          <w:rFonts w:ascii="Arial" w:eastAsia="Arial" w:hAnsi="Arial" w:cs="Arial"/>
          <w:color w:val="231E20"/>
          <w:sz w:val="20"/>
          <w:szCs w:val="20"/>
        </w:rPr>
        <w:t>3</w:t>
      </w:r>
    </w:p>
    <w:p w14:paraId="7679F52C"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3FBF91EB" w14:textId="77777777" w:rsidR="00EC1C40" w:rsidRDefault="00EC1C40">
      <w:pPr>
        <w:spacing w:line="1" w:lineRule="exact"/>
      </w:pPr>
    </w:p>
    <w:p w14:paraId="334DC4CE" w14:textId="77777777" w:rsidR="00EC1C40" w:rsidRDefault="00000000">
      <w:pPr>
        <w:pStyle w:val="Zhlavnebozpat0"/>
        <w:framePr w:wrap="none" w:vAnchor="page" w:hAnchor="page" w:x="5128" w:y="984"/>
        <w:rPr>
          <w:sz w:val="22"/>
          <w:szCs w:val="22"/>
        </w:rPr>
      </w:pPr>
      <w:r>
        <w:rPr>
          <w:rFonts w:ascii="Arial" w:eastAsia="Arial" w:hAnsi="Arial" w:cs="Arial"/>
          <w:sz w:val="22"/>
          <w:szCs w:val="22"/>
        </w:rPr>
        <w:t>Soulad záměru MHAP s Územní studií „Nová Cihelna 2024</w:t>
      </w:r>
    </w:p>
    <w:p w14:paraId="4983E3E8" w14:textId="77777777" w:rsidR="00EC1C40" w:rsidRDefault="00000000">
      <w:pPr>
        <w:pStyle w:val="Zkladntext110"/>
        <w:framePr w:w="10488" w:h="14165" w:hRule="exact" w:wrap="none" w:vAnchor="page" w:hAnchor="page" w:x="788" w:y="1661"/>
        <w:spacing w:after="160" w:line="331" w:lineRule="auto"/>
      </w:pPr>
      <w:r>
        <w:rPr>
          <w:b/>
          <w:bCs/>
          <w:u w:val="single"/>
        </w:rPr>
        <w:t xml:space="preserve">Funkční </w:t>
      </w:r>
      <w:r>
        <w:rPr>
          <w:u w:val="single"/>
        </w:rPr>
        <w:t>r</w:t>
      </w:r>
      <w:r>
        <w:rPr>
          <w:b/>
          <w:bCs/>
          <w:u w:val="single"/>
        </w:rPr>
        <w:t>egulace</w:t>
      </w:r>
    </w:p>
    <w:p w14:paraId="63CB29A6" w14:textId="77777777" w:rsidR="00EC1C40" w:rsidRDefault="00000000">
      <w:pPr>
        <w:pStyle w:val="Zkladntext110"/>
        <w:framePr w:w="10488" w:h="14165" w:hRule="exact" w:wrap="none" w:vAnchor="page" w:hAnchor="page" w:x="788" w:y="1661"/>
        <w:spacing w:after="160" w:line="331" w:lineRule="auto"/>
      </w:pPr>
      <w:r>
        <w:rPr>
          <w:b/>
          <w:bCs/>
        </w:rPr>
        <w:t xml:space="preserve">Plocha </w:t>
      </w:r>
      <w:r>
        <w:t xml:space="preserve">s </w:t>
      </w:r>
      <w:r>
        <w:rPr>
          <w:b/>
          <w:bCs/>
        </w:rPr>
        <w:t xml:space="preserve">rozdílným </w:t>
      </w:r>
      <w:r>
        <w:t>z</w:t>
      </w:r>
      <w:r>
        <w:rPr>
          <w:b/>
          <w:bCs/>
        </w:rPr>
        <w:t xml:space="preserve">působem </w:t>
      </w:r>
      <w:r>
        <w:t>v</w:t>
      </w:r>
      <w:r>
        <w:rPr>
          <w:b/>
          <w:bCs/>
        </w:rPr>
        <w:t xml:space="preserve">yužití </w:t>
      </w:r>
      <w:r>
        <w:t>R</w:t>
      </w:r>
      <w:r>
        <w:rPr>
          <w:b/>
          <w:bCs/>
        </w:rPr>
        <w:t xml:space="preserve">S </w:t>
      </w:r>
      <w:r>
        <w:t>- s</w:t>
      </w:r>
      <w:r>
        <w:rPr>
          <w:b/>
          <w:bCs/>
        </w:rPr>
        <w:t xml:space="preserve">portovní </w:t>
      </w:r>
      <w:r>
        <w:t>a</w:t>
      </w:r>
      <w:r>
        <w:rPr>
          <w:b/>
          <w:bCs/>
        </w:rPr>
        <w:t>reály</w:t>
      </w:r>
    </w:p>
    <w:p w14:paraId="0409B481" w14:textId="77777777" w:rsidR="00EC1C40" w:rsidRDefault="00000000">
      <w:pPr>
        <w:pStyle w:val="Zkladntext110"/>
        <w:framePr w:w="10488" w:h="14165" w:hRule="exact" w:wrap="none" w:vAnchor="page" w:hAnchor="page" w:x="788" w:y="1661"/>
        <w:spacing w:after="0" w:line="331" w:lineRule="auto"/>
        <w:ind w:left="720"/>
      </w:pPr>
      <w:r>
        <w:rPr>
          <w:i w:val="0"/>
          <w:iCs w:val="0"/>
          <w:color w:val="231E20"/>
        </w:rPr>
        <w:t>Záměrem je v ploše umístěná sportovní hala, tréninková sportovní hala, obchodní plochy, hotel a kongres (přípustné v 78/z), parkovací dům, byty sportovců, poliklinika, administrativa.</w:t>
      </w:r>
    </w:p>
    <w:p w14:paraId="035E5B42" w14:textId="77777777" w:rsidR="00EC1C40" w:rsidRDefault="00000000">
      <w:pPr>
        <w:pStyle w:val="Zkladntext110"/>
        <w:framePr w:w="10488" w:h="14165" w:hRule="exact" w:wrap="none" w:vAnchor="page" w:hAnchor="page" w:x="788" w:y="1661"/>
        <w:spacing w:after="160" w:line="331" w:lineRule="auto"/>
        <w:ind w:left="720"/>
      </w:pPr>
      <w:r>
        <w:rPr>
          <w:i w:val="0"/>
          <w:iCs w:val="0"/>
          <w:color w:val="231E20"/>
        </w:rPr>
        <w:t>Všechny umístěné funkce jsou v souladu s hlavním a přípustným využitím doplňkovým plochy s rozdílným způsobem využití RS.</w:t>
      </w:r>
    </w:p>
    <w:p w14:paraId="55DFB4C3" w14:textId="77777777" w:rsidR="00EC1C40" w:rsidRDefault="00000000">
      <w:pPr>
        <w:pStyle w:val="Zkladntext110"/>
        <w:framePr w:w="10488" w:h="14165" w:hRule="exact" w:wrap="none" w:vAnchor="page" w:hAnchor="page" w:x="788" w:y="1661"/>
        <w:spacing w:after="0" w:line="331" w:lineRule="auto"/>
      </w:pPr>
      <w:r>
        <w:t>Přípustné využití ploch hlavní:</w:t>
      </w:r>
    </w:p>
    <w:p w14:paraId="0226891E" w14:textId="1AEAA095" w:rsidR="00EC1C40" w:rsidRDefault="00000000">
      <w:pPr>
        <w:pStyle w:val="Zkladntext70"/>
        <w:framePr w:w="10488" w:h="14165" w:hRule="exact" w:wrap="none" w:vAnchor="page" w:hAnchor="page" w:x="788" w:y="1661"/>
        <w:numPr>
          <w:ilvl w:val="0"/>
          <w:numId w:val="98"/>
        </w:numPr>
        <w:tabs>
          <w:tab w:val="left" w:pos="720"/>
          <w:tab w:val="left" w:pos="735"/>
        </w:tabs>
        <w:spacing w:after="60" w:line="240" w:lineRule="auto"/>
        <w:ind w:left="0" w:firstLine="380"/>
      </w:pPr>
      <w:r>
        <w:rPr>
          <w:i/>
          <w:iCs/>
          <w:color w:val="3C6AB3"/>
        </w:rPr>
        <w:t xml:space="preserve">stavby a </w:t>
      </w:r>
      <w:r w:rsidR="000E05C6">
        <w:rPr>
          <w:i/>
          <w:iCs/>
          <w:color w:val="3C6AB3"/>
        </w:rPr>
        <w:t>zařízení pro</w:t>
      </w:r>
      <w:r>
        <w:rPr>
          <w:i/>
          <w:iCs/>
          <w:color w:val="3C6AB3"/>
        </w:rPr>
        <w:t xml:space="preserve"> sport se speciálním vybavením:</w:t>
      </w:r>
    </w:p>
    <w:p w14:paraId="1B66E312" w14:textId="77777777" w:rsidR="00EC1C40" w:rsidRDefault="00000000">
      <w:pPr>
        <w:pStyle w:val="Zkladntext70"/>
        <w:framePr w:w="10488" w:h="14165" w:hRule="exact" w:wrap="none" w:vAnchor="page" w:hAnchor="page" w:x="788" w:y="1661"/>
        <w:tabs>
          <w:tab w:val="left" w:pos="1417"/>
        </w:tabs>
        <w:spacing w:after="60" w:line="240" w:lineRule="auto"/>
        <w:ind w:left="1100"/>
      </w:pPr>
      <w:r>
        <w:rPr>
          <w:rFonts w:ascii="Courier New" w:eastAsia="Courier New" w:hAnsi="Courier New" w:cs="Courier New"/>
          <w:smallCaps/>
          <w:color w:val="3C6AB3"/>
          <w:sz w:val="22"/>
          <w:szCs w:val="22"/>
        </w:rPr>
        <w:t>o</w:t>
      </w:r>
      <w:r>
        <w:rPr>
          <w:rFonts w:ascii="Courier New" w:eastAsia="Courier New" w:hAnsi="Courier New" w:cs="Courier New"/>
          <w:smallCaps/>
          <w:color w:val="3C6AB3"/>
          <w:sz w:val="22"/>
          <w:szCs w:val="22"/>
        </w:rPr>
        <w:tab/>
      </w:r>
      <w:r>
        <w:rPr>
          <w:i/>
          <w:iCs/>
          <w:color w:val="3C6AB3"/>
        </w:rPr>
        <w:t>nekrytá - např. hřiště, kurty, koupaliště, kluziště, motoristické a dostihové areály, areály vodních sportů</w:t>
      </w:r>
    </w:p>
    <w:p w14:paraId="5521F298" w14:textId="77777777" w:rsidR="00EC1C40" w:rsidRDefault="00000000">
      <w:pPr>
        <w:pStyle w:val="Zkladntext70"/>
        <w:framePr w:w="10488" w:h="14165" w:hRule="exact" w:wrap="none" w:vAnchor="page" w:hAnchor="page" w:x="788" w:y="1661"/>
        <w:spacing w:after="220" w:line="240" w:lineRule="auto"/>
        <w:ind w:left="1100"/>
      </w:pPr>
      <w:r>
        <w:rPr>
          <w:rFonts w:ascii="Courier New" w:eastAsia="Courier New" w:hAnsi="Courier New" w:cs="Courier New"/>
          <w:smallCaps/>
          <w:color w:val="3C6AB3"/>
          <w:sz w:val="22"/>
          <w:szCs w:val="22"/>
        </w:rPr>
        <w:t xml:space="preserve">o </w:t>
      </w:r>
      <w:r>
        <w:rPr>
          <w:i/>
          <w:iCs/>
          <w:color w:val="3C6AB3"/>
        </w:rPr>
        <w:t>krytá - např. víceúčelové haly, bazény, zimní stadiony, tělocvičny, fitcentra, loděnice</w:t>
      </w:r>
    </w:p>
    <w:p w14:paraId="1264A5E3" w14:textId="77777777" w:rsidR="00EC1C40" w:rsidRDefault="00000000">
      <w:pPr>
        <w:pStyle w:val="Zkladntext110"/>
        <w:framePr w:w="10488" w:h="14165" w:hRule="exact" w:wrap="none" w:vAnchor="page" w:hAnchor="page" w:x="788" w:y="1661"/>
        <w:spacing w:after="0" w:line="331" w:lineRule="auto"/>
      </w:pPr>
      <w:r>
        <w:t>Přípustné využití doplňkové:</w:t>
      </w:r>
    </w:p>
    <w:p w14:paraId="3A3CA1D3" w14:textId="77777777" w:rsidR="00EC1C40" w:rsidRDefault="00000000">
      <w:pPr>
        <w:pStyle w:val="Zkladntext70"/>
        <w:framePr w:w="10488" w:h="14165" w:hRule="exact" w:wrap="none" w:vAnchor="page" w:hAnchor="page" w:x="788" w:y="1661"/>
        <w:numPr>
          <w:ilvl w:val="0"/>
          <w:numId w:val="98"/>
        </w:numPr>
        <w:tabs>
          <w:tab w:val="left" w:pos="720"/>
        </w:tabs>
        <w:spacing w:after="60" w:line="240" w:lineRule="auto"/>
        <w:ind w:left="0" w:firstLine="380"/>
      </w:pPr>
      <w:r>
        <w:rPr>
          <w:i/>
          <w:iCs/>
          <w:color w:val="3C6AB3"/>
        </w:rPr>
        <w:t>tribuny, hlediště, zařízení sloužící divákům a návštěvníkům</w:t>
      </w:r>
    </w:p>
    <w:p w14:paraId="4318E382" w14:textId="18CB24BD" w:rsidR="00EC1C40" w:rsidRDefault="00000000">
      <w:pPr>
        <w:pStyle w:val="Zkladntext70"/>
        <w:framePr w:w="10488" w:h="14165" w:hRule="exact" w:wrap="none" w:vAnchor="page" w:hAnchor="page" w:x="788" w:y="1661"/>
        <w:numPr>
          <w:ilvl w:val="0"/>
          <w:numId w:val="98"/>
        </w:numPr>
        <w:tabs>
          <w:tab w:val="left" w:pos="720"/>
          <w:tab w:val="left" w:pos="735"/>
        </w:tabs>
        <w:spacing w:after="60" w:line="240" w:lineRule="auto"/>
        <w:ind w:left="0" w:firstLine="380"/>
      </w:pPr>
      <w:r>
        <w:rPr>
          <w:i/>
          <w:iCs/>
          <w:color w:val="3C6AB3"/>
        </w:rPr>
        <w:t xml:space="preserve">stavby a </w:t>
      </w:r>
      <w:r w:rsidR="000E05C6">
        <w:rPr>
          <w:i/>
          <w:iCs/>
          <w:color w:val="3C6AB3"/>
        </w:rPr>
        <w:t>zařízení pro</w:t>
      </w:r>
      <w:r>
        <w:rPr>
          <w:i/>
          <w:iCs/>
          <w:color w:val="3C6AB3"/>
        </w:rPr>
        <w:t xml:space="preserve"> relaxaci a rehabilitaci</w:t>
      </w:r>
    </w:p>
    <w:p w14:paraId="2CDCD37C" w14:textId="77777777" w:rsidR="00EC1C40" w:rsidRDefault="00000000">
      <w:pPr>
        <w:pStyle w:val="Zkladntext70"/>
        <w:framePr w:w="10488" w:h="14165" w:hRule="exact" w:wrap="none" w:vAnchor="page" w:hAnchor="page" w:x="788" w:y="1661"/>
        <w:numPr>
          <w:ilvl w:val="0"/>
          <w:numId w:val="98"/>
        </w:numPr>
        <w:tabs>
          <w:tab w:val="left" w:pos="720"/>
          <w:tab w:val="left" w:pos="735"/>
        </w:tabs>
        <w:spacing w:after="60" w:line="240" w:lineRule="auto"/>
        <w:ind w:left="0" w:firstLine="380"/>
      </w:pPr>
      <w:r>
        <w:rPr>
          <w:i/>
          <w:iCs/>
          <w:color w:val="3C6AB3"/>
        </w:rPr>
        <w:t>stavby a zařízení veřejného stravování</w:t>
      </w:r>
    </w:p>
    <w:p w14:paraId="2EAA0D0C" w14:textId="29016980" w:rsidR="00EC1C40" w:rsidRDefault="00000000">
      <w:pPr>
        <w:pStyle w:val="Zkladntext70"/>
        <w:framePr w:w="10488" w:h="14165" w:hRule="exact" w:wrap="none" w:vAnchor="page" w:hAnchor="page" w:x="788" w:y="1661"/>
        <w:numPr>
          <w:ilvl w:val="0"/>
          <w:numId w:val="98"/>
        </w:numPr>
        <w:tabs>
          <w:tab w:val="left" w:pos="720"/>
          <w:tab w:val="left" w:pos="735"/>
        </w:tabs>
        <w:spacing w:after="60" w:line="240" w:lineRule="auto"/>
        <w:ind w:left="0" w:firstLine="380"/>
      </w:pPr>
      <w:r>
        <w:rPr>
          <w:i/>
          <w:iCs/>
          <w:color w:val="3C6AB3"/>
        </w:rPr>
        <w:t xml:space="preserve">stavby a </w:t>
      </w:r>
      <w:r w:rsidR="000E05C6">
        <w:rPr>
          <w:i/>
          <w:iCs/>
          <w:color w:val="3C6AB3"/>
        </w:rPr>
        <w:t>zařízení pro</w:t>
      </w:r>
      <w:r>
        <w:rPr>
          <w:i/>
          <w:iCs/>
          <w:color w:val="3C6AB3"/>
        </w:rPr>
        <w:t xml:space="preserve"> obchod do 400 m2, v zastavitelné ploše 78/z stavby a zařízení pro obchod bez stanoveného</w:t>
      </w:r>
    </w:p>
    <w:p w14:paraId="4CC34666" w14:textId="310EF620" w:rsidR="00EC1C40" w:rsidRDefault="000E05C6">
      <w:pPr>
        <w:pStyle w:val="Zkladntext70"/>
        <w:framePr w:w="10488" w:h="14165" w:hRule="exact" w:wrap="none" w:vAnchor="page" w:hAnchor="page" w:x="788" w:y="1661"/>
        <w:spacing w:after="60" w:line="240" w:lineRule="auto"/>
        <w:ind w:left="0" w:firstLine="720"/>
      </w:pPr>
      <w:r>
        <w:rPr>
          <w:i/>
          <w:iCs/>
          <w:color w:val="3C6AB3"/>
        </w:rPr>
        <w:t>omezení plochy</w:t>
      </w:r>
    </w:p>
    <w:p w14:paraId="7A708401" w14:textId="170E7B17" w:rsidR="00EC1C40" w:rsidRDefault="00000000">
      <w:pPr>
        <w:pStyle w:val="Zkladntext70"/>
        <w:framePr w:w="10488" w:h="14165" w:hRule="exact" w:wrap="none" w:vAnchor="page" w:hAnchor="page" w:x="788" w:y="1661"/>
        <w:numPr>
          <w:ilvl w:val="0"/>
          <w:numId w:val="98"/>
        </w:numPr>
        <w:tabs>
          <w:tab w:val="left" w:pos="720"/>
          <w:tab w:val="left" w:pos="735"/>
        </w:tabs>
        <w:spacing w:after="60" w:line="240" w:lineRule="auto"/>
        <w:ind w:left="0" w:firstLine="380"/>
      </w:pPr>
      <w:r>
        <w:rPr>
          <w:i/>
          <w:iCs/>
          <w:color w:val="3C6AB3"/>
        </w:rPr>
        <w:t xml:space="preserve">prodejní a </w:t>
      </w:r>
      <w:r w:rsidR="000E05C6">
        <w:rPr>
          <w:i/>
          <w:iCs/>
          <w:color w:val="3C6AB3"/>
        </w:rPr>
        <w:t>výstavní plochy</w:t>
      </w:r>
    </w:p>
    <w:p w14:paraId="4985091B" w14:textId="47A959F9" w:rsidR="00EC1C40" w:rsidRDefault="00000000">
      <w:pPr>
        <w:pStyle w:val="Zkladntext70"/>
        <w:framePr w:w="10488" w:h="14165" w:hRule="exact" w:wrap="none" w:vAnchor="page" w:hAnchor="page" w:x="788" w:y="1661"/>
        <w:numPr>
          <w:ilvl w:val="0"/>
          <w:numId w:val="98"/>
        </w:numPr>
        <w:tabs>
          <w:tab w:val="left" w:pos="720"/>
          <w:tab w:val="left" w:pos="735"/>
        </w:tabs>
        <w:spacing w:after="60" w:line="240" w:lineRule="auto"/>
        <w:ind w:left="0" w:firstLine="380"/>
      </w:pPr>
      <w:r>
        <w:rPr>
          <w:i/>
          <w:iCs/>
          <w:color w:val="3C6AB3"/>
        </w:rPr>
        <w:t xml:space="preserve">stavby a </w:t>
      </w:r>
      <w:r w:rsidR="000E05C6">
        <w:rPr>
          <w:i/>
          <w:iCs/>
          <w:color w:val="3C6AB3"/>
        </w:rPr>
        <w:t>zařízení pro</w:t>
      </w:r>
      <w:r>
        <w:rPr>
          <w:i/>
          <w:iCs/>
          <w:color w:val="3C6AB3"/>
        </w:rPr>
        <w:t xml:space="preserve"> zdravotnictví</w:t>
      </w:r>
    </w:p>
    <w:p w14:paraId="0FBB3CA2" w14:textId="48FDB2CC" w:rsidR="00EC1C40" w:rsidRDefault="00000000">
      <w:pPr>
        <w:pStyle w:val="Zkladntext70"/>
        <w:framePr w:w="10488" w:h="14165" w:hRule="exact" w:wrap="none" w:vAnchor="page" w:hAnchor="page" w:x="788" w:y="1661"/>
        <w:numPr>
          <w:ilvl w:val="0"/>
          <w:numId w:val="98"/>
        </w:numPr>
        <w:tabs>
          <w:tab w:val="left" w:pos="720"/>
          <w:tab w:val="left" w:pos="735"/>
        </w:tabs>
        <w:spacing w:after="60" w:line="240" w:lineRule="auto"/>
        <w:ind w:left="0" w:firstLine="380"/>
      </w:pPr>
      <w:r>
        <w:rPr>
          <w:i/>
          <w:iCs/>
          <w:color w:val="3C6AB3"/>
        </w:rPr>
        <w:t xml:space="preserve">stavby a </w:t>
      </w:r>
      <w:r w:rsidR="000E05C6">
        <w:rPr>
          <w:i/>
          <w:iCs/>
          <w:color w:val="3C6AB3"/>
        </w:rPr>
        <w:t>zařízení pro</w:t>
      </w:r>
      <w:r>
        <w:rPr>
          <w:i/>
          <w:iCs/>
          <w:color w:val="3C6AB3"/>
        </w:rPr>
        <w:t xml:space="preserve"> administrativu</w:t>
      </w:r>
    </w:p>
    <w:p w14:paraId="1D11D4F1" w14:textId="77777777" w:rsidR="00EC1C40" w:rsidRDefault="00000000">
      <w:pPr>
        <w:pStyle w:val="Zkladntext70"/>
        <w:framePr w:w="10488" w:h="14165" w:hRule="exact" w:wrap="none" w:vAnchor="page" w:hAnchor="page" w:x="788" w:y="1661"/>
        <w:numPr>
          <w:ilvl w:val="0"/>
          <w:numId w:val="98"/>
        </w:numPr>
        <w:tabs>
          <w:tab w:val="left" w:pos="720"/>
          <w:tab w:val="left" w:pos="735"/>
        </w:tabs>
        <w:spacing w:after="60" w:line="240" w:lineRule="auto"/>
        <w:ind w:left="0" w:firstLine="380"/>
      </w:pPr>
      <w:r>
        <w:rPr>
          <w:i/>
          <w:iCs/>
          <w:color w:val="3C6AB3"/>
        </w:rPr>
        <w:t>stavby pro přechodné ubytování do 50 lůžek, v zastavitelné ploše 78/z stavby pro přechodné ubytování bez</w:t>
      </w:r>
    </w:p>
    <w:p w14:paraId="5022DCF8" w14:textId="625386E1" w:rsidR="00EC1C40" w:rsidRDefault="00000000">
      <w:pPr>
        <w:pStyle w:val="Zkladntext70"/>
        <w:framePr w:w="10488" w:h="14165" w:hRule="exact" w:wrap="none" w:vAnchor="page" w:hAnchor="page" w:x="788" w:y="1661"/>
        <w:spacing w:after="60" w:line="240" w:lineRule="auto"/>
        <w:ind w:left="0" w:firstLine="720"/>
      </w:pPr>
      <w:r>
        <w:rPr>
          <w:i/>
          <w:iCs/>
          <w:color w:val="3C6AB3"/>
        </w:rPr>
        <w:t xml:space="preserve">stanoveného </w:t>
      </w:r>
      <w:r w:rsidR="000E05C6">
        <w:rPr>
          <w:i/>
          <w:iCs/>
          <w:color w:val="3C6AB3"/>
        </w:rPr>
        <w:t>omezení počtu</w:t>
      </w:r>
      <w:r>
        <w:rPr>
          <w:i/>
          <w:iCs/>
          <w:color w:val="3C6AB3"/>
        </w:rPr>
        <w:t xml:space="preserve"> lůžek včetně možné realizace hotelu a kongresových sálů</w:t>
      </w:r>
    </w:p>
    <w:p w14:paraId="6483F181" w14:textId="7F43C30B" w:rsidR="00EC1C40" w:rsidRDefault="00000000">
      <w:pPr>
        <w:pStyle w:val="Zkladntext70"/>
        <w:framePr w:w="10488" w:h="14165" w:hRule="exact" w:wrap="none" w:vAnchor="page" w:hAnchor="page" w:x="788" w:y="1661"/>
        <w:numPr>
          <w:ilvl w:val="0"/>
          <w:numId w:val="98"/>
        </w:numPr>
        <w:tabs>
          <w:tab w:val="left" w:pos="720"/>
        </w:tabs>
        <w:spacing w:after="60" w:line="240" w:lineRule="auto"/>
        <w:ind w:left="0" w:firstLine="380"/>
      </w:pPr>
      <w:r>
        <w:rPr>
          <w:i/>
          <w:iCs/>
          <w:color w:val="3C6AB3"/>
        </w:rPr>
        <w:t xml:space="preserve">služební byty, v ploše 78/z i byty zaměstnanců a sportovců do 20 </w:t>
      </w:r>
      <w:r w:rsidR="000E05C6">
        <w:rPr>
          <w:i/>
          <w:iCs/>
          <w:color w:val="3C6AB3"/>
        </w:rPr>
        <w:t>bytových jednotek</w:t>
      </w:r>
    </w:p>
    <w:p w14:paraId="34D4D2C8" w14:textId="58674675" w:rsidR="00EC1C40" w:rsidRDefault="00000000">
      <w:pPr>
        <w:pStyle w:val="Zkladntext70"/>
        <w:framePr w:w="10488" w:h="14165" w:hRule="exact" w:wrap="none" w:vAnchor="page" w:hAnchor="page" w:x="788" w:y="1661"/>
        <w:numPr>
          <w:ilvl w:val="0"/>
          <w:numId w:val="98"/>
        </w:numPr>
        <w:tabs>
          <w:tab w:val="left" w:pos="720"/>
          <w:tab w:val="left" w:pos="735"/>
        </w:tabs>
        <w:spacing w:after="60" w:line="240" w:lineRule="auto"/>
        <w:ind w:left="0" w:firstLine="380"/>
      </w:pPr>
      <w:r>
        <w:rPr>
          <w:i/>
          <w:iCs/>
          <w:color w:val="3C6AB3"/>
        </w:rPr>
        <w:t xml:space="preserve">stavby a </w:t>
      </w:r>
      <w:r w:rsidR="000E05C6">
        <w:rPr>
          <w:i/>
          <w:iCs/>
          <w:color w:val="3C6AB3"/>
        </w:rPr>
        <w:t>zařízení pro</w:t>
      </w:r>
      <w:r>
        <w:rPr>
          <w:i/>
          <w:iCs/>
          <w:color w:val="3C6AB3"/>
        </w:rPr>
        <w:t xml:space="preserve"> technickou vybavenost</w:t>
      </w:r>
    </w:p>
    <w:p w14:paraId="63A7123A" w14:textId="50D45921" w:rsidR="00EC1C40" w:rsidRDefault="00000000">
      <w:pPr>
        <w:pStyle w:val="Zkladntext70"/>
        <w:framePr w:w="10488" w:h="14165" w:hRule="exact" w:wrap="none" w:vAnchor="page" w:hAnchor="page" w:x="788" w:y="1661"/>
        <w:numPr>
          <w:ilvl w:val="0"/>
          <w:numId w:val="98"/>
        </w:numPr>
        <w:tabs>
          <w:tab w:val="left" w:pos="720"/>
          <w:tab w:val="left" w:pos="735"/>
        </w:tabs>
        <w:spacing w:after="60" w:line="240" w:lineRule="auto"/>
        <w:ind w:left="0" w:firstLine="380"/>
      </w:pPr>
      <w:r>
        <w:rPr>
          <w:i/>
          <w:iCs/>
          <w:color w:val="3C6AB3"/>
        </w:rPr>
        <w:t xml:space="preserve">stavby a </w:t>
      </w:r>
      <w:r w:rsidR="000E05C6">
        <w:rPr>
          <w:i/>
          <w:iCs/>
          <w:color w:val="3C6AB3"/>
        </w:rPr>
        <w:t>zařízení provozního</w:t>
      </w:r>
      <w:r>
        <w:rPr>
          <w:i/>
          <w:iCs/>
          <w:color w:val="3C6AB3"/>
        </w:rPr>
        <w:t xml:space="preserve"> vybavení - v areálu Velké Pardubické stáje, zařízení</w:t>
      </w:r>
      <w:r w:rsidR="000E05C6">
        <w:rPr>
          <w:i/>
          <w:iCs/>
          <w:color w:val="3C6AB3"/>
        </w:rPr>
        <w:t xml:space="preserve"> </w:t>
      </w:r>
      <w:r>
        <w:rPr>
          <w:i/>
          <w:iCs/>
          <w:color w:val="3C6AB3"/>
        </w:rPr>
        <w:t>veterinární</w:t>
      </w:r>
      <w:r w:rsidR="000E05C6">
        <w:rPr>
          <w:i/>
          <w:iCs/>
          <w:color w:val="3C6AB3"/>
        </w:rPr>
        <w:t xml:space="preserve"> </w:t>
      </w:r>
      <w:r>
        <w:rPr>
          <w:i/>
          <w:iCs/>
          <w:color w:val="3C6AB3"/>
        </w:rPr>
        <w:t>péče, v areálu Zlaté</w:t>
      </w:r>
    </w:p>
    <w:p w14:paraId="1B733787" w14:textId="77777777" w:rsidR="00EC1C40" w:rsidRDefault="00000000">
      <w:pPr>
        <w:pStyle w:val="Zkladntext70"/>
        <w:framePr w:w="10488" w:h="14165" w:hRule="exact" w:wrap="none" w:vAnchor="page" w:hAnchor="page" w:x="788" w:y="1661"/>
        <w:spacing w:after="60" w:line="240" w:lineRule="auto"/>
        <w:ind w:left="0" w:firstLine="720"/>
      </w:pPr>
      <w:r>
        <w:rPr>
          <w:i/>
          <w:iCs/>
          <w:color w:val="3C6AB3"/>
        </w:rPr>
        <w:t>Přilby depa motorových vozidel, v areálu Zimního stadionu chladící technologie, v plaveckém stadionu čištění vody</w:t>
      </w:r>
    </w:p>
    <w:p w14:paraId="2E260492" w14:textId="0A86BA3F" w:rsidR="00EC1C40" w:rsidRDefault="00000000">
      <w:pPr>
        <w:pStyle w:val="Zkladntext70"/>
        <w:framePr w:w="10488" w:h="14165" w:hRule="exact" w:wrap="none" w:vAnchor="page" w:hAnchor="page" w:x="788" w:y="1661"/>
        <w:numPr>
          <w:ilvl w:val="0"/>
          <w:numId w:val="98"/>
        </w:numPr>
        <w:tabs>
          <w:tab w:val="left" w:pos="720"/>
          <w:tab w:val="left" w:pos="735"/>
        </w:tabs>
        <w:spacing w:after="60" w:line="240" w:lineRule="auto"/>
        <w:ind w:left="0" w:firstLine="380"/>
      </w:pPr>
      <w:r>
        <w:rPr>
          <w:i/>
          <w:iCs/>
          <w:color w:val="3C6AB3"/>
        </w:rPr>
        <w:t xml:space="preserve">stavby a </w:t>
      </w:r>
      <w:r w:rsidR="000E05C6">
        <w:rPr>
          <w:i/>
          <w:iCs/>
          <w:color w:val="3C6AB3"/>
        </w:rPr>
        <w:t>zařízení pro</w:t>
      </w:r>
      <w:r>
        <w:rPr>
          <w:i/>
          <w:iCs/>
          <w:color w:val="3C6AB3"/>
        </w:rPr>
        <w:t xml:space="preserve"> krátkodobé shromažďování odpadů, v zastavitelné ploše 78/z chladící a vzduchotechnické</w:t>
      </w:r>
    </w:p>
    <w:p w14:paraId="038A164E" w14:textId="23CED5E3" w:rsidR="00EC1C40" w:rsidRDefault="00000000">
      <w:pPr>
        <w:pStyle w:val="Zkladntext70"/>
        <w:framePr w:w="10488" w:h="14165" w:hRule="exact" w:wrap="none" w:vAnchor="page" w:hAnchor="page" w:x="788" w:y="1661"/>
        <w:spacing w:after="60" w:line="240" w:lineRule="auto"/>
        <w:ind w:left="0" w:firstLine="720"/>
        <w:jc w:val="both"/>
      </w:pPr>
      <w:r>
        <w:rPr>
          <w:i/>
          <w:iCs/>
          <w:color w:val="3C6AB3"/>
        </w:rPr>
        <w:t xml:space="preserve">technologie a </w:t>
      </w:r>
      <w:r w:rsidR="000E05C6">
        <w:rPr>
          <w:i/>
          <w:iCs/>
          <w:color w:val="3C6AB3"/>
        </w:rPr>
        <w:t>zařízení pro</w:t>
      </w:r>
      <w:r>
        <w:rPr>
          <w:i/>
          <w:iCs/>
          <w:color w:val="3C6AB3"/>
        </w:rPr>
        <w:t xml:space="preserve"> čištění a nakládání s vodami</w:t>
      </w:r>
    </w:p>
    <w:p w14:paraId="638669D4" w14:textId="77777777" w:rsidR="00EC1C40" w:rsidRDefault="00000000">
      <w:pPr>
        <w:pStyle w:val="Zkladntext70"/>
        <w:framePr w:w="10488" w:h="14165" w:hRule="exact" w:wrap="none" w:vAnchor="page" w:hAnchor="page" w:x="788" w:y="1661"/>
        <w:numPr>
          <w:ilvl w:val="0"/>
          <w:numId w:val="98"/>
        </w:numPr>
        <w:tabs>
          <w:tab w:val="left" w:pos="720"/>
          <w:tab w:val="left" w:pos="735"/>
        </w:tabs>
        <w:spacing w:after="60" w:line="240" w:lineRule="auto"/>
        <w:ind w:left="0" w:firstLine="380"/>
      </w:pPr>
      <w:r>
        <w:rPr>
          <w:i/>
          <w:iCs/>
          <w:color w:val="3C6AB3"/>
        </w:rPr>
        <w:t>odstavné plochy a garáže pro služební vozidla, účelové mechanizmy a zásobování</w:t>
      </w:r>
    </w:p>
    <w:p w14:paraId="3696CC66" w14:textId="77777777" w:rsidR="00EC1C40" w:rsidRDefault="00000000">
      <w:pPr>
        <w:pStyle w:val="Zkladntext70"/>
        <w:framePr w:w="10488" w:h="14165" w:hRule="exact" w:wrap="none" w:vAnchor="page" w:hAnchor="page" w:x="788" w:y="1661"/>
        <w:numPr>
          <w:ilvl w:val="0"/>
          <w:numId w:val="98"/>
        </w:numPr>
        <w:tabs>
          <w:tab w:val="left" w:pos="720"/>
          <w:tab w:val="left" w:pos="735"/>
        </w:tabs>
        <w:spacing w:after="60" w:line="240" w:lineRule="auto"/>
        <w:ind w:left="0" w:firstLine="380"/>
      </w:pPr>
      <w:r>
        <w:rPr>
          <w:i/>
          <w:iCs/>
          <w:color w:val="3C6AB3"/>
        </w:rPr>
        <w:t>parkingy osobních automobilů a autobusů včetně možné realizace parkovacích domů</w:t>
      </w:r>
    </w:p>
    <w:p w14:paraId="522C2B7D" w14:textId="77777777" w:rsidR="00EC1C40" w:rsidRDefault="00000000">
      <w:pPr>
        <w:pStyle w:val="Zkladntext70"/>
        <w:framePr w:w="10488" w:h="14165" w:hRule="exact" w:wrap="none" w:vAnchor="page" w:hAnchor="page" w:x="788" w:y="1661"/>
        <w:numPr>
          <w:ilvl w:val="0"/>
          <w:numId w:val="98"/>
        </w:numPr>
        <w:tabs>
          <w:tab w:val="left" w:pos="720"/>
          <w:tab w:val="left" w:pos="735"/>
        </w:tabs>
        <w:spacing w:after="60" w:line="240" w:lineRule="auto"/>
        <w:ind w:left="0" w:firstLine="380"/>
      </w:pPr>
      <w:r>
        <w:rPr>
          <w:i/>
          <w:iCs/>
          <w:color w:val="3C6AB3"/>
        </w:rPr>
        <w:t>stavby a zařízení hromadné dopravy</w:t>
      </w:r>
    </w:p>
    <w:p w14:paraId="038D2A5D" w14:textId="77777777" w:rsidR="00EC1C40" w:rsidRDefault="00000000">
      <w:pPr>
        <w:pStyle w:val="Zkladntext70"/>
        <w:framePr w:w="10488" w:h="14165" w:hRule="exact" w:wrap="none" w:vAnchor="page" w:hAnchor="page" w:x="788" w:y="1661"/>
        <w:numPr>
          <w:ilvl w:val="0"/>
          <w:numId w:val="98"/>
        </w:numPr>
        <w:tabs>
          <w:tab w:val="left" w:pos="720"/>
          <w:tab w:val="left" w:pos="735"/>
        </w:tabs>
        <w:spacing w:after="60" w:line="240" w:lineRule="auto"/>
        <w:ind w:left="0" w:firstLine="380"/>
      </w:pPr>
      <w:r>
        <w:rPr>
          <w:i/>
          <w:iCs/>
          <w:color w:val="3C6AB3"/>
        </w:rPr>
        <w:t>pobytové louky, veřejná zeleň</w:t>
      </w:r>
    </w:p>
    <w:p w14:paraId="599EDDFE" w14:textId="77777777" w:rsidR="00EC1C40" w:rsidRDefault="00000000">
      <w:pPr>
        <w:pStyle w:val="Zkladntext70"/>
        <w:framePr w:w="10488" w:h="14165" w:hRule="exact" w:wrap="none" w:vAnchor="page" w:hAnchor="page" w:x="788" w:y="1661"/>
        <w:numPr>
          <w:ilvl w:val="0"/>
          <w:numId w:val="98"/>
        </w:numPr>
        <w:tabs>
          <w:tab w:val="left" w:pos="720"/>
          <w:tab w:val="left" w:pos="735"/>
        </w:tabs>
        <w:spacing w:after="60" w:line="240" w:lineRule="auto"/>
        <w:ind w:left="0" w:firstLine="380"/>
      </w:pPr>
      <w:r>
        <w:rPr>
          <w:i/>
          <w:iCs/>
          <w:color w:val="3C6AB3"/>
        </w:rPr>
        <w:t>liniové a plošné dřevinné porosty</w:t>
      </w:r>
    </w:p>
    <w:p w14:paraId="3EB7398F" w14:textId="77777777" w:rsidR="00EC1C40" w:rsidRDefault="00000000">
      <w:pPr>
        <w:pStyle w:val="Zkladntext70"/>
        <w:framePr w:w="10488" w:h="14165" w:hRule="exact" w:wrap="none" w:vAnchor="page" w:hAnchor="page" w:x="788" w:y="1661"/>
        <w:numPr>
          <w:ilvl w:val="0"/>
          <w:numId w:val="98"/>
        </w:numPr>
        <w:tabs>
          <w:tab w:val="left" w:pos="720"/>
        </w:tabs>
        <w:spacing w:after="60" w:line="240" w:lineRule="auto"/>
        <w:ind w:left="0" w:firstLine="380"/>
      </w:pPr>
      <w:r>
        <w:rPr>
          <w:i/>
          <w:iCs/>
          <w:color w:val="3C6AB3"/>
        </w:rPr>
        <w:t>dětská hřiště</w:t>
      </w:r>
    </w:p>
    <w:p w14:paraId="1627E616" w14:textId="3E3F2E7E" w:rsidR="00EC1C40" w:rsidRDefault="00000000">
      <w:pPr>
        <w:pStyle w:val="Zkladntext70"/>
        <w:framePr w:w="10488" w:h="14165" w:hRule="exact" w:wrap="none" w:vAnchor="page" w:hAnchor="page" w:x="788" w:y="1661"/>
        <w:numPr>
          <w:ilvl w:val="0"/>
          <w:numId w:val="98"/>
        </w:numPr>
        <w:tabs>
          <w:tab w:val="left" w:pos="720"/>
          <w:tab w:val="left" w:pos="735"/>
        </w:tabs>
        <w:spacing w:after="60" w:line="240" w:lineRule="auto"/>
        <w:ind w:left="0" w:firstLine="380"/>
      </w:pPr>
      <w:r>
        <w:rPr>
          <w:i/>
          <w:iCs/>
          <w:color w:val="3C6AB3"/>
        </w:rPr>
        <w:t xml:space="preserve">komunikace pro motorová vozidla, pěší a cyklisty, v ploše 78/z heliport v rámci stavby a </w:t>
      </w:r>
      <w:r w:rsidR="000E05C6">
        <w:rPr>
          <w:i/>
          <w:iCs/>
          <w:color w:val="3C6AB3"/>
        </w:rPr>
        <w:t>zařízení pro</w:t>
      </w:r>
      <w:r>
        <w:rPr>
          <w:i/>
          <w:iCs/>
          <w:color w:val="3C6AB3"/>
        </w:rPr>
        <w:t xml:space="preserve"> zdravotnictví</w:t>
      </w:r>
    </w:p>
    <w:p w14:paraId="13B2AA3E" w14:textId="77777777" w:rsidR="00EC1C40" w:rsidRDefault="00000000">
      <w:pPr>
        <w:pStyle w:val="Zkladntext70"/>
        <w:framePr w:w="10488" w:h="14165" w:hRule="exact" w:wrap="none" w:vAnchor="page" w:hAnchor="page" w:x="788" w:y="1661"/>
        <w:spacing w:after="60" w:line="240" w:lineRule="auto"/>
        <w:ind w:left="0" w:firstLine="720"/>
        <w:jc w:val="both"/>
      </w:pPr>
      <w:r>
        <w:rPr>
          <w:i/>
          <w:iCs/>
          <w:color w:val="3C6AB3"/>
        </w:rPr>
        <w:t>nebo multifunkční sportovní haly</w:t>
      </w:r>
    </w:p>
    <w:p w14:paraId="4839D49B" w14:textId="77777777" w:rsidR="00EC1C40" w:rsidRDefault="00000000">
      <w:pPr>
        <w:pStyle w:val="Zkladntext70"/>
        <w:framePr w:w="10488" w:h="14165" w:hRule="exact" w:wrap="none" w:vAnchor="page" w:hAnchor="page" w:x="788" w:y="1661"/>
        <w:numPr>
          <w:ilvl w:val="0"/>
          <w:numId w:val="98"/>
        </w:numPr>
        <w:tabs>
          <w:tab w:val="left" w:pos="720"/>
        </w:tabs>
        <w:spacing w:after="220" w:line="240" w:lineRule="auto"/>
        <w:ind w:left="0" w:firstLine="380"/>
      </w:pPr>
      <w:r>
        <w:rPr>
          <w:i/>
          <w:iCs/>
          <w:color w:val="3C6AB3"/>
        </w:rPr>
        <w:t>veřejná WC</w:t>
      </w:r>
    </w:p>
    <w:p w14:paraId="6D9E0E1B" w14:textId="77777777" w:rsidR="00EC1C40" w:rsidRDefault="00000000">
      <w:pPr>
        <w:pStyle w:val="Zkladntext110"/>
        <w:framePr w:w="10488" w:h="14165" w:hRule="exact" w:wrap="none" w:vAnchor="page" w:hAnchor="page" w:x="788" w:y="1661"/>
        <w:spacing w:after="0" w:line="331" w:lineRule="auto"/>
      </w:pPr>
      <w:r>
        <w:t>Nepřípustné využití:</w:t>
      </w:r>
    </w:p>
    <w:p w14:paraId="63900CCE" w14:textId="77777777" w:rsidR="00EC1C40" w:rsidRDefault="00000000">
      <w:pPr>
        <w:pStyle w:val="Zkladntext70"/>
        <w:framePr w:w="10488" w:h="14165" w:hRule="exact" w:wrap="none" w:vAnchor="page" w:hAnchor="page" w:x="788" w:y="1661"/>
        <w:numPr>
          <w:ilvl w:val="0"/>
          <w:numId w:val="98"/>
        </w:numPr>
        <w:tabs>
          <w:tab w:val="left" w:pos="720"/>
          <w:tab w:val="left" w:pos="735"/>
        </w:tabs>
        <w:spacing w:after="60" w:line="240" w:lineRule="auto"/>
        <w:ind w:left="0" w:firstLine="380"/>
      </w:pPr>
      <w:r>
        <w:rPr>
          <w:i/>
          <w:iCs/>
          <w:color w:val="3C6AB3"/>
        </w:rPr>
        <w:t>stavby pro bydlení s výjimkou bytů služebních</w:t>
      </w:r>
    </w:p>
    <w:p w14:paraId="2848235D" w14:textId="3181620B" w:rsidR="00EC1C40" w:rsidRDefault="00000000">
      <w:pPr>
        <w:pStyle w:val="Zkladntext70"/>
        <w:framePr w:w="10488" w:h="14165" w:hRule="exact" w:wrap="none" w:vAnchor="page" w:hAnchor="page" w:x="788" w:y="1661"/>
        <w:numPr>
          <w:ilvl w:val="0"/>
          <w:numId w:val="98"/>
        </w:numPr>
        <w:tabs>
          <w:tab w:val="left" w:pos="720"/>
          <w:tab w:val="left" w:pos="735"/>
        </w:tabs>
        <w:spacing w:after="60" w:line="240" w:lineRule="auto"/>
        <w:ind w:left="0" w:firstLine="380"/>
      </w:pPr>
      <w:r>
        <w:rPr>
          <w:i/>
          <w:iCs/>
          <w:color w:val="3C6AB3"/>
        </w:rPr>
        <w:t xml:space="preserve">stavby a </w:t>
      </w:r>
      <w:r w:rsidR="000E05C6">
        <w:rPr>
          <w:i/>
          <w:iCs/>
          <w:color w:val="3C6AB3"/>
        </w:rPr>
        <w:t>zařízení pro</w:t>
      </w:r>
      <w:r>
        <w:rPr>
          <w:i/>
          <w:iCs/>
          <w:color w:val="3C6AB3"/>
        </w:rPr>
        <w:t xml:space="preserve"> průmyslovou a lehkou výrobu</w:t>
      </w:r>
    </w:p>
    <w:p w14:paraId="7281692B" w14:textId="6E584845" w:rsidR="00EC1C40" w:rsidRDefault="00000000">
      <w:pPr>
        <w:pStyle w:val="Zkladntext70"/>
        <w:framePr w:w="10488" w:h="14165" w:hRule="exact" w:wrap="none" w:vAnchor="page" w:hAnchor="page" w:x="788" w:y="1661"/>
        <w:numPr>
          <w:ilvl w:val="0"/>
          <w:numId w:val="98"/>
        </w:numPr>
        <w:tabs>
          <w:tab w:val="left" w:pos="720"/>
          <w:tab w:val="left" w:pos="735"/>
        </w:tabs>
        <w:spacing w:after="60" w:line="240" w:lineRule="auto"/>
        <w:ind w:left="0" w:firstLine="380"/>
      </w:pPr>
      <w:r>
        <w:rPr>
          <w:i/>
          <w:iCs/>
          <w:color w:val="3C6AB3"/>
        </w:rPr>
        <w:t xml:space="preserve">stavby a </w:t>
      </w:r>
      <w:r w:rsidR="000E05C6">
        <w:rPr>
          <w:i/>
          <w:iCs/>
          <w:color w:val="3C6AB3"/>
        </w:rPr>
        <w:t>zařízení pro</w:t>
      </w:r>
      <w:r>
        <w:rPr>
          <w:i/>
          <w:iCs/>
          <w:color w:val="3C6AB3"/>
        </w:rPr>
        <w:t xml:space="preserve"> výrobní služby nesouvisící s funkcí hlavní, výrobní služby s negativními dopady na životní</w:t>
      </w:r>
    </w:p>
    <w:p w14:paraId="69AC9446" w14:textId="77777777" w:rsidR="00EC1C40" w:rsidRDefault="00000000">
      <w:pPr>
        <w:pStyle w:val="Zkladntext70"/>
        <w:framePr w:w="10488" w:h="14165" w:hRule="exact" w:wrap="none" w:vAnchor="page" w:hAnchor="page" w:x="788" w:y="1661"/>
        <w:spacing w:after="60" w:line="240" w:lineRule="auto"/>
        <w:ind w:left="0" w:firstLine="720"/>
        <w:jc w:val="both"/>
      </w:pPr>
      <w:r>
        <w:rPr>
          <w:i/>
          <w:iCs/>
          <w:color w:val="3C6AB3"/>
        </w:rPr>
        <w:t>prostředí</w:t>
      </w:r>
    </w:p>
    <w:p w14:paraId="1CC132CC" w14:textId="77777777" w:rsidR="00EC1C40" w:rsidRDefault="00000000">
      <w:pPr>
        <w:pStyle w:val="Zkladntext70"/>
        <w:framePr w:w="10488" w:h="14165" w:hRule="exact" w:wrap="none" w:vAnchor="page" w:hAnchor="page" w:x="788" w:y="1661"/>
        <w:numPr>
          <w:ilvl w:val="0"/>
          <w:numId w:val="98"/>
        </w:numPr>
        <w:tabs>
          <w:tab w:val="left" w:pos="720"/>
          <w:tab w:val="left" w:pos="735"/>
        </w:tabs>
        <w:spacing w:after="60" w:line="240" w:lineRule="auto"/>
        <w:ind w:left="0" w:firstLine="380"/>
      </w:pPr>
      <w:r>
        <w:rPr>
          <w:i/>
          <w:iCs/>
          <w:color w:val="3C6AB3"/>
        </w:rPr>
        <w:t>občanská vybavenost koncentrovaná vyjma staveb občanské vybavenosti v ploše 78/z</w:t>
      </w:r>
    </w:p>
    <w:p w14:paraId="3AC68F21" w14:textId="1700110D" w:rsidR="00EC1C40" w:rsidRDefault="00000000">
      <w:pPr>
        <w:pStyle w:val="Zkladntext70"/>
        <w:framePr w:w="10488" w:h="14165" w:hRule="exact" w:wrap="none" w:vAnchor="page" w:hAnchor="page" w:x="788" w:y="1661"/>
        <w:numPr>
          <w:ilvl w:val="0"/>
          <w:numId w:val="98"/>
        </w:numPr>
        <w:tabs>
          <w:tab w:val="left" w:pos="720"/>
          <w:tab w:val="left" w:pos="735"/>
        </w:tabs>
        <w:spacing w:after="60" w:line="240" w:lineRule="auto"/>
        <w:ind w:left="0" w:firstLine="380"/>
      </w:pPr>
      <w:r>
        <w:rPr>
          <w:i/>
          <w:iCs/>
          <w:color w:val="3C6AB3"/>
        </w:rPr>
        <w:t xml:space="preserve">stavby a </w:t>
      </w:r>
      <w:r w:rsidR="000E05C6">
        <w:rPr>
          <w:i/>
          <w:iCs/>
          <w:color w:val="3C6AB3"/>
        </w:rPr>
        <w:t>zařízení pro</w:t>
      </w:r>
      <w:r>
        <w:rPr>
          <w:i/>
          <w:iCs/>
          <w:color w:val="3C6AB3"/>
        </w:rPr>
        <w:t xml:space="preserve"> obchod nad 1000 m2 </w:t>
      </w:r>
      <w:r w:rsidR="000E05C6">
        <w:rPr>
          <w:i/>
          <w:iCs/>
          <w:color w:val="3C6AB3"/>
        </w:rPr>
        <w:t>prodejní plochy</w:t>
      </w:r>
      <w:r>
        <w:rPr>
          <w:i/>
          <w:iCs/>
          <w:color w:val="3C6AB3"/>
        </w:rPr>
        <w:t xml:space="preserve"> vyjma staveb a </w:t>
      </w:r>
      <w:r w:rsidR="000E05C6">
        <w:rPr>
          <w:i/>
          <w:iCs/>
          <w:color w:val="3C6AB3"/>
        </w:rPr>
        <w:t>zařízení pro</w:t>
      </w:r>
      <w:r>
        <w:rPr>
          <w:i/>
          <w:iCs/>
          <w:color w:val="3C6AB3"/>
        </w:rPr>
        <w:t xml:space="preserve"> obchod v ploše 78/z</w:t>
      </w:r>
    </w:p>
    <w:p w14:paraId="6E6DC8B7" w14:textId="4BD17FE1" w:rsidR="00EC1C40" w:rsidRDefault="00000000">
      <w:pPr>
        <w:pStyle w:val="Zkladntext70"/>
        <w:framePr w:w="10488" w:h="14165" w:hRule="exact" w:wrap="none" w:vAnchor="page" w:hAnchor="page" w:x="788" w:y="1661"/>
        <w:numPr>
          <w:ilvl w:val="0"/>
          <w:numId w:val="98"/>
        </w:numPr>
        <w:tabs>
          <w:tab w:val="left" w:pos="720"/>
          <w:tab w:val="left" w:pos="735"/>
        </w:tabs>
        <w:spacing w:after="60" w:line="240" w:lineRule="auto"/>
        <w:ind w:left="0" w:firstLine="380"/>
      </w:pPr>
      <w:r>
        <w:rPr>
          <w:i/>
          <w:iCs/>
          <w:color w:val="3C6AB3"/>
        </w:rPr>
        <w:t xml:space="preserve">stavby a </w:t>
      </w:r>
      <w:r w:rsidR="000E05C6">
        <w:rPr>
          <w:i/>
          <w:iCs/>
          <w:color w:val="3C6AB3"/>
        </w:rPr>
        <w:t>zařízení pro</w:t>
      </w:r>
      <w:r>
        <w:rPr>
          <w:i/>
          <w:iCs/>
          <w:color w:val="3C6AB3"/>
        </w:rPr>
        <w:t xml:space="preserve"> dlouhodobé skladování a likvidaci odpadu</w:t>
      </w:r>
    </w:p>
    <w:p w14:paraId="04BA0B9F" w14:textId="072CE268" w:rsidR="00EC1C40" w:rsidRDefault="00000000">
      <w:pPr>
        <w:pStyle w:val="Zkladntext70"/>
        <w:framePr w:w="10488" w:h="14165" w:hRule="exact" w:wrap="none" w:vAnchor="page" w:hAnchor="page" w:x="788" w:y="1661"/>
        <w:numPr>
          <w:ilvl w:val="0"/>
          <w:numId w:val="98"/>
        </w:numPr>
        <w:tabs>
          <w:tab w:val="left" w:pos="720"/>
          <w:tab w:val="left" w:pos="735"/>
        </w:tabs>
        <w:spacing w:after="60" w:line="240" w:lineRule="auto"/>
        <w:ind w:left="0" w:firstLine="380"/>
      </w:pPr>
      <w:r>
        <w:rPr>
          <w:i/>
          <w:iCs/>
          <w:color w:val="3C6AB3"/>
        </w:rPr>
        <w:t xml:space="preserve">stavby a </w:t>
      </w:r>
      <w:r w:rsidR="000E05C6">
        <w:rPr>
          <w:i/>
          <w:iCs/>
          <w:color w:val="3C6AB3"/>
        </w:rPr>
        <w:t>zařízení pro</w:t>
      </w:r>
      <w:r>
        <w:rPr>
          <w:i/>
          <w:iCs/>
          <w:color w:val="3C6AB3"/>
        </w:rPr>
        <w:t xml:space="preserve"> chov hospodářských zvířat (s výjimkou koní v areálu Velké Pardubické)</w:t>
      </w:r>
    </w:p>
    <w:p w14:paraId="705C7F0B" w14:textId="77777777" w:rsidR="00EC1C40" w:rsidRDefault="00000000">
      <w:pPr>
        <w:pStyle w:val="Zkladntext70"/>
        <w:framePr w:w="10488" w:h="14165" w:hRule="exact" w:wrap="none" w:vAnchor="page" w:hAnchor="page" w:x="788" w:y="1661"/>
        <w:numPr>
          <w:ilvl w:val="0"/>
          <w:numId w:val="98"/>
        </w:numPr>
        <w:tabs>
          <w:tab w:val="left" w:pos="720"/>
          <w:tab w:val="left" w:pos="735"/>
        </w:tabs>
        <w:spacing w:line="240" w:lineRule="auto"/>
        <w:ind w:left="0" w:firstLine="380"/>
      </w:pPr>
      <w:r>
        <w:rPr>
          <w:i/>
          <w:iCs/>
          <w:color w:val="3C6AB3"/>
        </w:rPr>
        <w:t>zemědělská rostlinná výroba</w:t>
      </w:r>
    </w:p>
    <w:p w14:paraId="2782B040" w14:textId="77777777" w:rsidR="00EC1C40" w:rsidRDefault="00000000">
      <w:pPr>
        <w:pStyle w:val="Zhlavnebozpat0"/>
        <w:framePr w:wrap="none" w:vAnchor="page" w:hAnchor="page" w:x="11142" w:y="15873"/>
        <w:rPr>
          <w:sz w:val="20"/>
          <w:szCs w:val="20"/>
        </w:rPr>
      </w:pPr>
      <w:r>
        <w:rPr>
          <w:rFonts w:ascii="Arial" w:eastAsia="Arial" w:hAnsi="Arial" w:cs="Arial"/>
          <w:color w:val="231E20"/>
          <w:sz w:val="20"/>
          <w:szCs w:val="20"/>
        </w:rPr>
        <w:t>4</w:t>
      </w:r>
    </w:p>
    <w:p w14:paraId="5BB0466A"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148A2F12" w14:textId="77777777" w:rsidR="00EC1C40" w:rsidRDefault="00EC1C40">
      <w:pPr>
        <w:spacing w:line="1" w:lineRule="exact"/>
      </w:pPr>
    </w:p>
    <w:p w14:paraId="143C81DC" w14:textId="77777777" w:rsidR="00EC1C40" w:rsidRDefault="00000000">
      <w:pPr>
        <w:pStyle w:val="Zhlavnebozpat0"/>
        <w:framePr w:wrap="none" w:vAnchor="page" w:hAnchor="page" w:x="5084" w:y="988"/>
        <w:rPr>
          <w:sz w:val="22"/>
          <w:szCs w:val="22"/>
        </w:rPr>
      </w:pPr>
      <w:r>
        <w:rPr>
          <w:rFonts w:ascii="Arial" w:eastAsia="Arial" w:hAnsi="Arial" w:cs="Arial"/>
          <w:sz w:val="22"/>
          <w:szCs w:val="22"/>
        </w:rPr>
        <w:t>Soulad záměru MHAP s Územní studií „Nová Cihelna 2024</w:t>
      </w:r>
    </w:p>
    <w:p w14:paraId="704E90DD" w14:textId="77777777" w:rsidR="00EC1C40" w:rsidRDefault="00000000">
      <w:pPr>
        <w:pStyle w:val="Zkladntext110"/>
        <w:framePr w:w="10536" w:h="13507" w:hRule="exact" w:wrap="none" w:vAnchor="page" w:hAnchor="page" w:x="764" w:y="1933"/>
        <w:spacing w:after="160" w:line="300" w:lineRule="auto"/>
      </w:pPr>
      <w:r>
        <w:rPr>
          <w:b/>
          <w:bCs/>
        </w:rPr>
        <w:t xml:space="preserve">Plocha </w:t>
      </w:r>
      <w:r>
        <w:t xml:space="preserve">s </w:t>
      </w:r>
      <w:r>
        <w:rPr>
          <w:b/>
          <w:bCs/>
        </w:rPr>
        <w:t xml:space="preserve">rozdílným </w:t>
      </w:r>
      <w:r>
        <w:t>z</w:t>
      </w:r>
      <w:r>
        <w:rPr>
          <w:b/>
          <w:bCs/>
        </w:rPr>
        <w:t xml:space="preserve">působem </w:t>
      </w:r>
      <w:r>
        <w:t>v</w:t>
      </w:r>
      <w:r>
        <w:rPr>
          <w:b/>
          <w:bCs/>
        </w:rPr>
        <w:t xml:space="preserve">yužití </w:t>
      </w:r>
      <w:r>
        <w:t>K</w:t>
      </w:r>
      <w:r>
        <w:rPr>
          <w:b/>
          <w:bCs/>
        </w:rPr>
        <w:t xml:space="preserve">R </w:t>
      </w:r>
      <w:r>
        <w:t>- Z</w:t>
      </w:r>
      <w:r>
        <w:rPr>
          <w:b/>
          <w:bCs/>
        </w:rPr>
        <w:t xml:space="preserve">eleň </w:t>
      </w:r>
      <w:r>
        <w:t>k</w:t>
      </w:r>
      <w:r>
        <w:rPr>
          <w:b/>
          <w:bCs/>
        </w:rPr>
        <w:t xml:space="preserve">rajinná </w:t>
      </w:r>
      <w:r>
        <w:t>r</w:t>
      </w:r>
      <w:r>
        <w:rPr>
          <w:b/>
          <w:bCs/>
        </w:rPr>
        <w:t>ekreační</w:t>
      </w:r>
    </w:p>
    <w:p w14:paraId="1118541E" w14:textId="77777777" w:rsidR="00EC1C40" w:rsidRDefault="00000000">
      <w:pPr>
        <w:pStyle w:val="Zkladntext110"/>
        <w:framePr w:w="10536" w:h="13507" w:hRule="exact" w:wrap="none" w:vAnchor="page" w:hAnchor="page" w:x="764" w:y="1933"/>
        <w:spacing w:after="160" w:line="300" w:lineRule="auto"/>
        <w:ind w:left="720"/>
        <w:jc w:val="both"/>
      </w:pPr>
      <w:r>
        <w:rPr>
          <w:i w:val="0"/>
          <w:iCs w:val="0"/>
          <w:color w:val="231E20"/>
        </w:rPr>
        <w:t>Ke sportovnímu areálu přináleží i veřejný park umístěný v plochách KR, v něm je umístěn objekt správy parku 40 m</w:t>
      </w:r>
      <w:r>
        <w:rPr>
          <w:i w:val="0"/>
          <w:iCs w:val="0"/>
          <w:color w:val="231E20"/>
          <w:vertAlign w:val="superscript"/>
        </w:rPr>
        <w:t>2</w:t>
      </w:r>
      <w:r>
        <w:rPr>
          <w:i w:val="0"/>
          <w:iCs w:val="0"/>
          <w:color w:val="231E20"/>
        </w:rPr>
        <w:t xml:space="preserve"> zastavěné plochy (podmíněně přípustná).</w:t>
      </w:r>
    </w:p>
    <w:p w14:paraId="6D5FB0AD" w14:textId="77777777" w:rsidR="00EC1C40" w:rsidRDefault="00000000">
      <w:pPr>
        <w:pStyle w:val="Zkladntext110"/>
        <w:framePr w:w="10536" w:h="13507" w:hRule="exact" w:wrap="none" w:vAnchor="page" w:hAnchor="page" w:x="764" w:y="1933"/>
        <w:spacing w:after="0" w:line="300" w:lineRule="auto"/>
      </w:pPr>
      <w:r>
        <w:t>Přípustné využití hlavní:</w:t>
      </w:r>
    </w:p>
    <w:p w14:paraId="0B09DC61" w14:textId="77777777" w:rsidR="00EC1C40" w:rsidRDefault="00000000">
      <w:pPr>
        <w:pStyle w:val="Zkladntext70"/>
        <w:framePr w:w="10536" w:h="13507" w:hRule="exact" w:wrap="none" w:vAnchor="page" w:hAnchor="page" w:x="764" w:y="1933"/>
        <w:numPr>
          <w:ilvl w:val="0"/>
          <w:numId w:val="99"/>
        </w:numPr>
        <w:tabs>
          <w:tab w:val="left" w:pos="690"/>
        </w:tabs>
        <w:spacing w:line="334" w:lineRule="auto"/>
        <w:ind w:left="0" w:firstLine="360"/>
        <w:jc w:val="both"/>
      </w:pPr>
      <w:r>
        <w:rPr>
          <w:i/>
          <w:iCs/>
          <w:color w:val="3C6AB3"/>
        </w:rPr>
        <w:t>přirozené, přírodě blízké dřevinné porosty, skupiny dřevin, solitéry s podrostem bylin, keřů i travních porostů</w:t>
      </w:r>
    </w:p>
    <w:p w14:paraId="14582EB6" w14:textId="43ACA0A2" w:rsidR="00EC1C40" w:rsidRDefault="00000000">
      <w:pPr>
        <w:pStyle w:val="Zkladntext70"/>
        <w:framePr w:w="10536" w:h="13507" w:hRule="exact" w:wrap="none" w:vAnchor="page" w:hAnchor="page" w:x="764" w:y="1933"/>
        <w:numPr>
          <w:ilvl w:val="0"/>
          <w:numId w:val="99"/>
        </w:numPr>
        <w:tabs>
          <w:tab w:val="left" w:pos="690"/>
          <w:tab w:val="left" w:pos="710"/>
        </w:tabs>
        <w:spacing w:line="334" w:lineRule="auto"/>
        <w:ind w:left="0" w:firstLine="360"/>
        <w:jc w:val="both"/>
      </w:pPr>
      <w:r>
        <w:rPr>
          <w:i/>
          <w:iCs/>
          <w:color w:val="3C6AB3"/>
        </w:rPr>
        <w:t xml:space="preserve">trvalé </w:t>
      </w:r>
      <w:r w:rsidR="000E05C6">
        <w:rPr>
          <w:i/>
          <w:iCs/>
          <w:color w:val="3C6AB3"/>
        </w:rPr>
        <w:t>travní porosty</w:t>
      </w:r>
    </w:p>
    <w:p w14:paraId="1604BBCF" w14:textId="77777777" w:rsidR="00EC1C40" w:rsidRDefault="00000000">
      <w:pPr>
        <w:pStyle w:val="Zkladntext70"/>
        <w:framePr w:w="10536" w:h="13507" w:hRule="exact" w:wrap="none" w:vAnchor="page" w:hAnchor="page" w:x="764" w:y="1933"/>
        <w:numPr>
          <w:ilvl w:val="0"/>
          <w:numId w:val="99"/>
        </w:numPr>
        <w:tabs>
          <w:tab w:val="left" w:pos="690"/>
          <w:tab w:val="left" w:pos="710"/>
        </w:tabs>
        <w:spacing w:after="160" w:line="334" w:lineRule="auto"/>
        <w:ind w:left="0" w:firstLine="360"/>
        <w:jc w:val="both"/>
      </w:pPr>
      <w:r>
        <w:rPr>
          <w:i/>
          <w:iCs/>
          <w:color w:val="3C6AB3"/>
        </w:rPr>
        <w:t>nekryté plochy pro sport</w:t>
      </w:r>
    </w:p>
    <w:p w14:paraId="4EA5B6CF" w14:textId="77777777" w:rsidR="00EC1C40" w:rsidRDefault="00000000">
      <w:pPr>
        <w:pStyle w:val="Zkladntext110"/>
        <w:framePr w:w="10536" w:h="13507" w:hRule="exact" w:wrap="none" w:vAnchor="page" w:hAnchor="page" w:x="764" w:y="1933"/>
        <w:spacing w:after="0" w:line="300" w:lineRule="auto"/>
      </w:pPr>
      <w:r>
        <w:t>Přípustné využití doplňkové:</w:t>
      </w:r>
    </w:p>
    <w:p w14:paraId="46630F65" w14:textId="77777777" w:rsidR="00EC1C40" w:rsidRDefault="00000000">
      <w:pPr>
        <w:pStyle w:val="Zkladntext70"/>
        <w:framePr w:w="10536" w:h="13507" w:hRule="exact" w:wrap="none" w:vAnchor="page" w:hAnchor="page" w:x="764" w:y="1933"/>
        <w:numPr>
          <w:ilvl w:val="0"/>
          <w:numId w:val="99"/>
        </w:numPr>
        <w:tabs>
          <w:tab w:val="left" w:pos="690"/>
          <w:tab w:val="left" w:pos="710"/>
        </w:tabs>
        <w:spacing w:line="334" w:lineRule="auto"/>
        <w:ind w:left="0" w:firstLine="360"/>
        <w:jc w:val="both"/>
      </w:pPr>
      <w:r>
        <w:rPr>
          <w:i/>
          <w:iCs/>
          <w:color w:val="3C6AB3"/>
        </w:rPr>
        <w:t>pěší a cyklistické stezky, jezdecké trasy</w:t>
      </w:r>
    </w:p>
    <w:p w14:paraId="61527A9E" w14:textId="77777777" w:rsidR="00EC1C40" w:rsidRDefault="00000000">
      <w:pPr>
        <w:pStyle w:val="Zkladntext70"/>
        <w:framePr w:w="10536" w:h="13507" w:hRule="exact" w:wrap="none" w:vAnchor="page" w:hAnchor="page" w:x="764" w:y="1933"/>
        <w:numPr>
          <w:ilvl w:val="0"/>
          <w:numId w:val="99"/>
        </w:numPr>
        <w:tabs>
          <w:tab w:val="left" w:pos="690"/>
          <w:tab w:val="left" w:pos="710"/>
        </w:tabs>
        <w:spacing w:line="334" w:lineRule="auto"/>
        <w:ind w:left="0" w:firstLine="360"/>
        <w:jc w:val="both"/>
      </w:pPr>
      <w:r>
        <w:rPr>
          <w:i/>
          <w:iCs/>
          <w:color w:val="3C6AB3"/>
        </w:rPr>
        <w:t>technické stavby, sloužící obsluze a ochraně území - protipovodňové stavby, opěrné zídky, lávky</w:t>
      </w:r>
    </w:p>
    <w:p w14:paraId="3436F2F0" w14:textId="77777777" w:rsidR="00EC1C40" w:rsidRDefault="00000000">
      <w:pPr>
        <w:pStyle w:val="Zkladntext70"/>
        <w:framePr w:w="10536" w:h="13507" w:hRule="exact" w:wrap="none" w:vAnchor="page" w:hAnchor="page" w:x="764" w:y="1933"/>
        <w:numPr>
          <w:ilvl w:val="0"/>
          <w:numId w:val="99"/>
        </w:numPr>
        <w:tabs>
          <w:tab w:val="left" w:pos="690"/>
          <w:tab w:val="left" w:pos="710"/>
        </w:tabs>
        <w:spacing w:line="334" w:lineRule="auto"/>
        <w:ind w:left="0" w:firstLine="360"/>
        <w:jc w:val="both"/>
      </w:pPr>
      <w:r>
        <w:rPr>
          <w:i/>
          <w:iCs/>
          <w:color w:val="3C6AB3"/>
        </w:rPr>
        <w:t>sportovní hřiště nekrytá, pláže</w:t>
      </w:r>
    </w:p>
    <w:p w14:paraId="3B12BE79" w14:textId="77777777" w:rsidR="00EC1C40" w:rsidRDefault="00000000">
      <w:pPr>
        <w:pStyle w:val="Zkladntext70"/>
        <w:framePr w:w="10536" w:h="13507" w:hRule="exact" w:wrap="none" w:vAnchor="page" w:hAnchor="page" w:x="764" w:y="1933"/>
        <w:numPr>
          <w:ilvl w:val="0"/>
          <w:numId w:val="99"/>
        </w:numPr>
        <w:tabs>
          <w:tab w:val="left" w:pos="690"/>
        </w:tabs>
        <w:spacing w:line="334" w:lineRule="auto"/>
        <w:ind w:left="0" w:firstLine="360"/>
        <w:jc w:val="both"/>
      </w:pPr>
      <w:r>
        <w:rPr>
          <w:i/>
          <w:iCs/>
          <w:color w:val="3C6AB3"/>
        </w:rPr>
        <w:t>loděnice, přístaviště, kotviště</w:t>
      </w:r>
    </w:p>
    <w:p w14:paraId="59220744" w14:textId="77777777" w:rsidR="00EC1C40" w:rsidRDefault="00000000">
      <w:pPr>
        <w:pStyle w:val="Zkladntext70"/>
        <w:framePr w:w="10536" w:h="13507" w:hRule="exact" w:wrap="none" w:vAnchor="page" w:hAnchor="page" w:x="764" w:y="1933"/>
        <w:numPr>
          <w:ilvl w:val="0"/>
          <w:numId w:val="99"/>
        </w:numPr>
        <w:tabs>
          <w:tab w:val="left" w:pos="690"/>
        </w:tabs>
        <w:spacing w:line="334" w:lineRule="auto"/>
        <w:ind w:left="0" w:firstLine="360"/>
        <w:jc w:val="both"/>
      </w:pPr>
      <w:r>
        <w:rPr>
          <w:i/>
          <w:iCs/>
          <w:color w:val="3C6AB3"/>
        </w:rPr>
        <w:t>drobná architektura</w:t>
      </w:r>
    </w:p>
    <w:p w14:paraId="097D9758" w14:textId="77777777" w:rsidR="00EC1C40" w:rsidRDefault="00000000">
      <w:pPr>
        <w:pStyle w:val="Zkladntext70"/>
        <w:framePr w:w="10536" w:h="13507" w:hRule="exact" w:wrap="none" w:vAnchor="page" w:hAnchor="page" w:x="764" w:y="1933"/>
        <w:numPr>
          <w:ilvl w:val="0"/>
          <w:numId w:val="99"/>
        </w:numPr>
        <w:tabs>
          <w:tab w:val="left" w:pos="690"/>
          <w:tab w:val="left" w:pos="710"/>
        </w:tabs>
        <w:spacing w:line="334" w:lineRule="auto"/>
        <w:ind w:left="0" w:firstLine="360"/>
        <w:jc w:val="both"/>
      </w:pPr>
      <w:r>
        <w:rPr>
          <w:i/>
          <w:iCs/>
          <w:color w:val="3C6AB3"/>
        </w:rPr>
        <w:t>dětská hřiště, dobrodružná hřiště</w:t>
      </w:r>
    </w:p>
    <w:p w14:paraId="3223C411" w14:textId="77777777" w:rsidR="00EC1C40" w:rsidRDefault="00000000">
      <w:pPr>
        <w:pStyle w:val="Zkladntext70"/>
        <w:framePr w:w="10536" w:h="13507" w:hRule="exact" w:wrap="none" w:vAnchor="page" w:hAnchor="page" w:x="764" w:y="1933"/>
        <w:numPr>
          <w:ilvl w:val="0"/>
          <w:numId w:val="99"/>
        </w:numPr>
        <w:tabs>
          <w:tab w:val="left" w:pos="690"/>
          <w:tab w:val="left" w:pos="710"/>
        </w:tabs>
        <w:spacing w:line="334" w:lineRule="auto"/>
        <w:ind w:left="0" w:firstLine="360"/>
        <w:jc w:val="both"/>
      </w:pPr>
      <w:r>
        <w:rPr>
          <w:i/>
          <w:iCs/>
          <w:color w:val="3C6AB3"/>
        </w:rPr>
        <w:t xml:space="preserve">severozápadně od </w:t>
      </w:r>
      <w:proofErr w:type="spellStart"/>
      <w:r>
        <w:rPr>
          <w:i/>
          <w:iCs/>
          <w:color w:val="3C6AB3"/>
        </w:rPr>
        <w:t>Opočínku</w:t>
      </w:r>
      <w:proofErr w:type="spellEnd"/>
      <w:r>
        <w:rPr>
          <w:i/>
          <w:iCs/>
          <w:color w:val="3C6AB3"/>
        </w:rPr>
        <w:t xml:space="preserve"> v ploše graficky odlišené areál golfového hřiště</w:t>
      </w:r>
    </w:p>
    <w:p w14:paraId="21258363" w14:textId="77777777" w:rsidR="00EC1C40" w:rsidRDefault="00000000">
      <w:pPr>
        <w:pStyle w:val="Zkladntext70"/>
        <w:framePr w:w="10536" w:h="13507" w:hRule="exact" w:wrap="none" w:vAnchor="page" w:hAnchor="page" w:x="764" w:y="1933"/>
        <w:numPr>
          <w:ilvl w:val="0"/>
          <w:numId w:val="99"/>
        </w:numPr>
        <w:tabs>
          <w:tab w:val="left" w:pos="690"/>
          <w:tab w:val="left" w:pos="710"/>
        </w:tabs>
        <w:spacing w:line="334" w:lineRule="auto"/>
        <w:ind w:left="0" w:firstLine="360"/>
        <w:jc w:val="both"/>
      </w:pPr>
      <w:r>
        <w:rPr>
          <w:i/>
          <w:iCs/>
          <w:color w:val="3C6AB3"/>
        </w:rPr>
        <w:t xml:space="preserve">ve slepém rameni na severovýchodním okraji Pardubic v ploše graficky odlišené areál </w:t>
      </w:r>
      <w:proofErr w:type="spellStart"/>
      <w:r>
        <w:rPr>
          <w:i/>
          <w:iCs/>
          <w:color w:val="3C6AB3"/>
        </w:rPr>
        <w:t>ekoparku</w:t>
      </w:r>
      <w:proofErr w:type="spellEnd"/>
    </w:p>
    <w:p w14:paraId="372E442F" w14:textId="77777777" w:rsidR="00EC1C40" w:rsidRDefault="00000000">
      <w:pPr>
        <w:pStyle w:val="Zkladntext70"/>
        <w:framePr w:w="10536" w:h="13507" w:hRule="exact" w:wrap="none" w:vAnchor="page" w:hAnchor="page" w:x="764" w:y="1933"/>
        <w:numPr>
          <w:ilvl w:val="0"/>
          <w:numId w:val="99"/>
        </w:numPr>
        <w:tabs>
          <w:tab w:val="left" w:pos="690"/>
          <w:tab w:val="left" w:pos="710"/>
        </w:tabs>
        <w:spacing w:after="160" w:line="334" w:lineRule="auto"/>
        <w:ind w:left="0" w:firstLine="360"/>
        <w:jc w:val="both"/>
      </w:pPr>
      <w:r>
        <w:rPr>
          <w:i/>
          <w:iCs/>
          <w:color w:val="3C6AB3"/>
        </w:rPr>
        <w:t>účelové a místní komunikace</w:t>
      </w:r>
    </w:p>
    <w:p w14:paraId="04FA830A" w14:textId="77777777" w:rsidR="00EC1C40" w:rsidRDefault="00000000">
      <w:pPr>
        <w:pStyle w:val="Zkladntext110"/>
        <w:framePr w:w="10536" w:h="13507" w:hRule="exact" w:wrap="none" w:vAnchor="page" w:hAnchor="page" w:x="764" w:y="1933"/>
        <w:spacing w:after="0" w:line="300" w:lineRule="auto"/>
      </w:pPr>
      <w:r>
        <w:t>Podmíněně přípustné využití:</w:t>
      </w:r>
    </w:p>
    <w:p w14:paraId="1981C072" w14:textId="12C80F47" w:rsidR="00EC1C40" w:rsidRDefault="00000000">
      <w:pPr>
        <w:pStyle w:val="Zkladntext70"/>
        <w:framePr w:w="10536" w:h="13507" w:hRule="exact" w:wrap="none" w:vAnchor="page" w:hAnchor="page" w:x="764" w:y="1933"/>
        <w:numPr>
          <w:ilvl w:val="0"/>
          <w:numId w:val="99"/>
        </w:numPr>
        <w:tabs>
          <w:tab w:val="left" w:pos="690"/>
          <w:tab w:val="left" w:pos="710"/>
        </w:tabs>
        <w:spacing w:line="334" w:lineRule="auto"/>
        <w:ind w:left="0" w:firstLine="360"/>
      </w:pPr>
      <w:r>
        <w:rPr>
          <w:i/>
          <w:iCs/>
          <w:color w:val="3C6AB3"/>
        </w:rPr>
        <w:t xml:space="preserve">doplňkové stavby ploch pro </w:t>
      </w:r>
      <w:r w:rsidR="000E05C6">
        <w:rPr>
          <w:i/>
          <w:iCs/>
          <w:color w:val="3C6AB3"/>
        </w:rPr>
        <w:t>sport jsou</w:t>
      </w:r>
      <w:r>
        <w:rPr>
          <w:i/>
          <w:iCs/>
          <w:color w:val="3C6AB3"/>
        </w:rPr>
        <w:t xml:space="preserve"> přípustné za podmínky, že bude prokázáno, že záměr je odůvodnitelný ve</w:t>
      </w:r>
    </w:p>
    <w:p w14:paraId="21C09687" w14:textId="09679D20" w:rsidR="00EC1C40" w:rsidRDefault="00000000">
      <w:pPr>
        <w:pStyle w:val="Zkladntext70"/>
        <w:framePr w:w="10536" w:h="13507" w:hRule="exact" w:wrap="none" w:vAnchor="page" w:hAnchor="page" w:x="764" w:y="1933"/>
        <w:spacing w:after="160" w:line="334" w:lineRule="auto"/>
        <w:ind w:left="720"/>
        <w:jc w:val="both"/>
      </w:pPr>
      <w:r>
        <w:rPr>
          <w:i/>
          <w:iCs/>
          <w:color w:val="3C6AB3"/>
        </w:rPr>
        <w:t xml:space="preserve">vztahu k funkčnosti a potřebné úrovni zajištění </w:t>
      </w:r>
      <w:r w:rsidR="000E05C6">
        <w:rPr>
          <w:i/>
          <w:iCs/>
          <w:color w:val="3C6AB3"/>
        </w:rPr>
        <w:t>zázemí ploch</w:t>
      </w:r>
      <w:r>
        <w:rPr>
          <w:i/>
          <w:iCs/>
          <w:color w:val="3C6AB3"/>
        </w:rPr>
        <w:t xml:space="preserve"> pro sport, že záměr je v souladu s charakterem území, že nenarušuje krajinný ráz, že není narušena nebo významně omezena funkčnost případně dotčených skladebných částí systému ekologické stability a že je zachována průchodnost krajiny.</w:t>
      </w:r>
    </w:p>
    <w:p w14:paraId="745B8CF6" w14:textId="77777777" w:rsidR="00EC1C40" w:rsidRDefault="00000000">
      <w:pPr>
        <w:pStyle w:val="Zkladntext110"/>
        <w:framePr w:w="10536" w:h="13507" w:hRule="exact" w:wrap="none" w:vAnchor="page" w:hAnchor="page" w:x="764" w:y="1933"/>
        <w:spacing w:after="0" w:line="300" w:lineRule="auto"/>
      </w:pPr>
      <w:r>
        <w:t>Nepřípustné využití:</w:t>
      </w:r>
    </w:p>
    <w:p w14:paraId="773BA3FD" w14:textId="77777777" w:rsidR="00EC1C40" w:rsidRDefault="00000000">
      <w:pPr>
        <w:pStyle w:val="Zkladntext70"/>
        <w:framePr w:w="10536" w:h="13507" w:hRule="exact" w:wrap="none" w:vAnchor="page" w:hAnchor="page" w:x="764" w:y="1933"/>
        <w:numPr>
          <w:ilvl w:val="0"/>
          <w:numId w:val="99"/>
        </w:numPr>
        <w:tabs>
          <w:tab w:val="left" w:pos="690"/>
          <w:tab w:val="left" w:pos="710"/>
        </w:tabs>
        <w:spacing w:line="334" w:lineRule="auto"/>
        <w:ind w:left="0" w:firstLine="360"/>
        <w:jc w:val="both"/>
      </w:pPr>
      <w:r>
        <w:rPr>
          <w:i/>
          <w:iCs/>
          <w:color w:val="3C6AB3"/>
        </w:rPr>
        <w:t>veškeré stavby a plochy nesouvisící s hlavní funkcí</w:t>
      </w:r>
    </w:p>
    <w:p w14:paraId="460F0D08" w14:textId="77777777" w:rsidR="00EC1C40" w:rsidRDefault="00000000">
      <w:pPr>
        <w:pStyle w:val="Zkladntext70"/>
        <w:framePr w:w="10536" w:h="13507" w:hRule="exact" w:wrap="none" w:vAnchor="page" w:hAnchor="page" w:x="764" w:y="1933"/>
        <w:numPr>
          <w:ilvl w:val="0"/>
          <w:numId w:val="99"/>
        </w:numPr>
        <w:tabs>
          <w:tab w:val="left" w:pos="690"/>
          <w:tab w:val="left" w:pos="710"/>
        </w:tabs>
        <w:spacing w:after="300" w:line="334" w:lineRule="auto"/>
        <w:ind w:left="0" w:firstLine="360"/>
        <w:jc w:val="both"/>
      </w:pPr>
      <w:r>
        <w:rPr>
          <w:i/>
          <w:iCs/>
          <w:color w:val="3C6AB3"/>
        </w:rPr>
        <w:t>stavby a činnosti s negativním vlivem na přírodní a hygienické kvality území</w:t>
      </w:r>
    </w:p>
    <w:p w14:paraId="4A73C9F1" w14:textId="6703852D" w:rsidR="00EC1C40" w:rsidRDefault="00000000">
      <w:pPr>
        <w:pStyle w:val="Zkladntext110"/>
        <w:framePr w:w="10536" w:h="13507" w:hRule="exact" w:wrap="none" w:vAnchor="page" w:hAnchor="page" w:x="764" w:y="1933"/>
        <w:spacing w:after="160" w:line="300" w:lineRule="auto"/>
      </w:pPr>
      <w:r>
        <w:rPr>
          <w:b/>
          <w:bCs/>
        </w:rPr>
        <w:t xml:space="preserve">Plocha </w:t>
      </w:r>
      <w:r>
        <w:t xml:space="preserve">s </w:t>
      </w:r>
      <w:r>
        <w:rPr>
          <w:b/>
          <w:bCs/>
        </w:rPr>
        <w:t xml:space="preserve">rozdílným </w:t>
      </w:r>
      <w:r>
        <w:t>z</w:t>
      </w:r>
      <w:r>
        <w:rPr>
          <w:b/>
          <w:bCs/>
        </w:rPr>
        <w:t xml:space="preserve">působem </w:t>
      </w:r>
      <w:r>
        <w:t>v</w:t>
      </w:r>
      <w:r>
        <w:rPr>
          <w:b/>
          <w:bCs/>
        </w:rPr>
        <w:t>yužití</w:t>
      </w:r>
      <w:r w:rsidR="000E05C6">
        <w:rPr>
          <w:b/>
          <w:bCs/>
        </w:rPr>
        <w:t xml:space="preserve"> </w:t>
      </w:r>
      <w:r>
        <w:t>Z</w:t>
      </w:r>
      <w:r>
        <w:rPr>
          <w:b/>
          <w:bCs/>
        </w:rPr>
        <w:t xml:space="preserve">V </w:t>
      </w:r>
      <w:r>
        <w:t>- Z</w:t>
      </w:r>
      <w:r>
        <w:rPr>
          <w:b/>
          <w:bCs/>
        </w:rPr>
        <w:t xml:space="preserve">eleň </w:t>
      </w:r>
      <w:r>
        <w:t>m</w:t>
      </w:r>
      <w:r>
        <w:rPr>
          <w:b/>
          <w:bCs/>
        </w:rPr>
        <w:t xml:space="preserve">ěstská </w:t>
      </w:r>
      <w:r>
        <w:t>v</w:t>
      </w:r>
      <w:r>
        <w:rPr>
          <w:b/>
          <w:bCs/>
        </w:rPr>
        <w:t xml:space="preserve">šeobecná </w:t>
      </w:r>
      <w:r>
        <w:t>(</w:t>
      </w:r>
      <w:r>
        <w:rPr>
          <w:b/>
          <w:bCs/>
        </w:rPr>
        <w:t xml:space="preserve">Parkově </w:t>
      </w:r>
      <w:r>
        <w:t>u</w:t>
      </w:r>
      <w:r>
        <w:rPr>
          <w:b/>
          <w:bCs/>
        </w:rPr>
        <w:t xml:space="preserve">pravené </w:t>
      </w:r>
      <w:r>
        <w:t>p</w:t>
      </w:r>
      <w:r>
        <w:rPr>
          <w:b/>
          <w:bCs/>
        </w:rPr>
        <w:t xml:space="preserve">lochy </w:t>
      </w:r>
      <w:r>
        <w:t>Z</w:t>
      </w:r>
      <w:r>
        <w:rPr>
          <w:b/>
          <w:bCs/>
        </w:rPr>
        <w:t>vu)</w:t>
      </w:r>
    </w:p>
    <w:p w14:paraId="5716FAD1" w14:textId="77777777" w:rsidR="00EC1C40" w:rsidRDefault="00000000">
      <w:pPr>
        <w:pStyle w:val="Zkladntext110"/>
        <w:framePr w:w="10536" w:h="13507" w:hRule="exact" w:wrap="none" w:vAnchor="page" w:hAnchor="page" w:x="764" w:y="1933"/>
        <w:spacing w:after="160" w:line="300" w:lineRule="auto"/>
        <w:ind w:left="720"/>
        <w:jc w:val="both"/>
      </w:pPr>
      <w:r>
        <w:rPr>
          <w:i w:val="0"/>
          <w:iCs w:val="0"/>
          <w:color w:val="231E20"/>
        </w:rPr>
        <w:t xml:space="preserve">Záměr je v územním plánu lemován plochou </w:t>
      </w:r>
      <w:proofErr w:type="spellStart"/>
      <w:r>
        <w:rPr>
          <w:i w:val="0"/>
          <w:iCs w:val="0"/>
          <w:color w:val="231E20"/>
        </w:rPr>
        <w:t>ZVu</w:t>
      </w:r>
      <w:proofErr w:type="spellEnd"/>
      <w:r>
        <w:rPr>
          <w:i w:val="0"/>
          <w:iCs w:val="0"/>
          <w:color w:val="231E20"/>
        </w:rPr>
        <w:t xml:space="preserve"> - Zeleň městská všeobecná (parkově upravené plochy), kterou návrh respektuje v pojetí dle územní studie „Nová Cihelna 2024”.</w:t>
      </w:r>
    </w:p>
    <w:p w14:paraId="27A0FCB8" w14:textId="77777777" w:rsidR="00EC1C40" w:rsidRDefault="00000000">
      <w:pPr>
        <w:pStyle w:val="Zkladntext110"/>
        <w:framePr w:w="10536" w:h="13507" w:hRule="exact" w:wrap="none" w:vAnchor="page" w:hAnchor="page" w:x="764" w:y="1933"/>
        <w:spacing w:after="0" w:line="300" w:lineRule="auto"/>
      </w:pPr>
      <w:r>
        <w:t>Přípustné využití hlavní:</w:t>
      </w:r>
    </w:p>
    <w:p w14:paraId="660BDBAF" w14:textId="77777777" w:rsidR="00EC1C40" w:rsidRDefault="00000000">
      <w:pPr>
        <w:pStyle w:val="Zkladntext70"/>
        <w:framePr w:w="10536" w:h="13507" w:hRule="exact" w:wrap="none" w:vAnchor="page" w:hAnchor="page" w:x="764" w:y="1933"/>
        <w:numPr>
          <w:ilvl w:val="0"/>
          <w:numId w:val="99"/>
        </w:numPr>
        <w:tabs>
          <w:tab w:val="left" w:pos="690"/>
          <w:tab w:val="left" w:pos="710"/>
        </w:tabs>
        <w:spacing w:after="160" w:line="334" w:lineRule="auto"/>
        <w:ind w:left="0" w:firstLine="360"/>
        <w:jc w:val="both"/>
      </w:pPr>
      <w:r>
        <w:rPr>
          <w:i/>
          <w:iCs/>
          <w:color w:val="3C6AB3"/>
        </w:rPr>
        <w:t>parkové porosty okrasné a přírodní</w:t>
      </w:r>
    </w:p>
    <w:p w14:paraId="6FF7B54B" w14:textId="77777777" w:rsidR="00EC1C40" w:rsidRDefault="00000000">
      <w:pPr>
        <w:pStyle w:val="Zkladntext110"/>
        <w:framePr w:w="10536" w:h="13507" w:hRule="exact" w:wrap="none" w:vAnchor="page" w:hAnchor="page" w:x="764" w:y="1933"/>
        <w:spacing w:after="0" w:line="300" w:lineRule="auto"/>
      </w:pPr>
      <w:r>
        <w:t>Přípustné využití doplňkové:</w:t>
      </w:r>
    </w:p>
    <w:p w14:paraId="0CF2ED98" w14:textId="77777777" w:rsidR="00EC1C40" w:rsidRDefault="00000000">
      <w:pPr>
        <w:pStyle w:val="Zkladntext70"/>
        <w:framePr w:w="10536" w:h="13507" w:hRule="exact" w:wrap="none" w:vAnchor="page" w:hAnchor="page" w:x="764" w:y="1933"/>
        <w:numPr>
          <w:ilvl w:val="0"/>
          <w:numId w:val="99"/>
        </w:numPr>
        <w:tabs>
          <w:tab w:val="left" w:pos="690"/>
          <w:tab w:val="left" w:pos="710"/>
        </w:tabs>
        <w:spacing w:line="334" w:lineRule="auto"/>
        <w:ind w:left="0" w:firstLine="360"/>
        <w:jc w:val="both"/>
      </w:pPr>
      <w:r>
        <w:rPr>
          <w:i/>
          <w:iCs/>
          <w:color w:val="3C6AB3"/>
        </w:rPr>
        <w:t>dětská hřiště</w:t>
      </w:r>
    </w:p>
    <w:p w14:paraId="5E9190B2" w14:textId="77777777" w:rsidR="00EC1C40" w:rsidRDefault="00000000">
      <w:pPr>
        <w:pStyle w:val="Zkladntext70"/>
        <w:framePr w:w="10536" w:h="13507" w:hRule="exact" w:wrap="none" w:vAnchor="page" w:hAnchor="page" w:x="764" w:y="1933"/>
        <w:numPr>
          <w:ilvl w:val="0"/>
          <w:numId w:val="99"/>
        </w:numPr>
        <w:tabs>
          <w:tab w:val="left" w:pos="690"/>
          <w:tab w:val="left" w:pos="710"/>
        </w:tabs>
        <w:spacing w:line="334" w:lineRule="auto"/>
        <w:ind w:left="0" w:firstLine="360"/>
        <w:jc w:val="both"/>
      </w:pPr>
      <w:r>
        <w:rPr>
          <w:i/>
          <w:iCs/>
          <w:color w:val="3C6AB3"/>
        </w:rPr>
        <w:t>sportovní hřiště s přírodními povrchy</w:t>
      </w:r>
    </w:p>
    <w:p w14:paraId="1168EA83" w14:textId="77777777" w:rsidR="00EC1C40" w:rsidRDefault="00000000">
      <w:pPr>
        <w:pStyle w:val="Zkladntext70"/>
        <w:framePr w:w="10536" w:h="13507" w:hRule="exact" w:wrap="none" w:vAnchor="page" w:hAnchor="page" w:x="764" w:y="1933"/>
        <w:numPr>
          <w:ilvl w:val="0"/>
          <w:numId w:val="99"/>
        </w:numPr>
        <w:tabs>
          <w:tab w:val="left" w:pos="690"/>
        </w:tabs>
        <w:spacing w:line="334" w:lineRule="auto"/>
        <w:ind w:left="0" w:firstLine="360"/>
        <w:jc w:val="both"/>
      </w:pPr>
      <w:r>
        <w:rPr>
          <w:i/>
          <w:iCs/>
          <w:color w:val="3C6AB3"/>
        </w:rPr>
        <w:t>loděnice, přístaviště, kotviště</w:t>
      </w:r>
    </w:p>
    <w:p w14:paraId="00F96202" w14:textId="77777777" w:rsidR="00EC1C40" w:rsidRDefault="00000000">
      <w:pPr>
        <w:pStyle w:val="Zkladntext70"/>
        <w:framePr w:w="10536" w:h="13507" w:hRule="exact" w:wrap="none" w:vAnchor="page" w:hAnchor="page" w:x="764" w:y="1933"/>
        <w:numPr>
          <w:ilvl w:val="0"/>
          <w:numId w:val="99"/>
        </w:numPr>
        <w:tabs>
          <w:tab w:val="left" w:pos="690"/>
        </w:tabs>
        <w:spacing w:line="334" w:lineRule="auto"/>
        <w:ind w:left="0" w:firstLine="360"/>
        <w:jc w:val="both"/>
      </w:pPr>
      <w:r>
        <w:rPr>
          <w:i/>
          <w:iCs/>
          <w:color w:val="3C6AB3"/>
        </w:rPr>
        <w:t>odpočívadla, altány, drobná architektura</w:t>
      </w:r>
    </w:p>
    <w:p w14:paraId="7A31A5F6" w14:textId="0060FC34" w:rsidR="00EC1C40" w:rsidRDefault="000E05C6">
      <w:pPr>
        <w:pStyle w:val="Zkladntext70"/>
        <w:framePr w:w="10536" w:h="13507" w:hRule="exact" w:wrap="none" w:vAnchor="page" w:hAnchor="page" w:x="764" w:y="1933"/>
        <w:numPr>
          <w:ilvl w:val="0"/>
          <w:numId w:val="99"/>
        </w:numPr>
        <w:tabs>
          <w:tab w:val="left" w:pos="690"/>
        </w:tabs>
        <w:spacing w:line="334" w:lineRule="auto"/>
        <w:ind w:left="0" w:firstLine="360"/>
        <w:jc w:val="both"/>
      </w:pPr>
      <w:r>
        <w:rPr>
          <w:i/>
          <w:iCs/>
          <w:color w:val="3C6AB3"/>
        </w:rPr>
        <w:t>vodní prvky</w:t>
      </w:r>
    </w:p>
    <w:p w14:paraId="5DB8DA42" w14:textId="77777777" w:rsidR="00EC1C40" w:rsidRDefault="00000000">
      <w:pPr>
        <w:pStyle w:val="Zkladntext70"/>
        <w:framePr w:w="10536" w:h="13507" w:hRule="exact" w:wrap="none" w:vAnchor="page" w:hAnchor="page" w:x="764" w:y="1933"/>
        <w:numPr>
          <w:ilvl w:val="0"/>
          <w:numId w:val="99"/>
        </w:numPr>
        <w:tabs>
          <w:tab w:val="left" w:pos="690"/>
        </w:tabs>
        <w:spacing w:after="160" w:line="334" w:lineRule="auto"/>
        <w:ind w:left="0" w:firstLine="360"/>
        <w:jc w:val="both"/>
      </w:pPr>
      <w:r>
        <w:rPr>
          <w:i/>
          <w:iCs/>
          <w:color w:val="3C6AB3"/>
        </w:rPr>
        <w:t xml:space="preserve">pěší a cyklistické komunikace, </w:t>
      </w:r>
      <w:proofErr w:type="spellStart"/>
      <w:r>
        <w:rPr>
          <w:i/>
          <w:iCs/>
          <w:color w:val="3C6AB3"/>
        </w:rPr>
        <w:t>hipostezky</w:t>
      </w:r>
      <w:proofErr w:type="spellEnd"/>
      <w:r>
        <w:rPr>
          <w:i/>
          <w:iCs/>
          <w:color w:val="3C6AB3"/>
        </w:rPr>
        <w:t>, lávky, účelové a místní komunikace</w:t>
      </w:r>
    </w:p>
    <w:p w14:paraId="179A0027" w14:textId="77777777" w:rsidR="00EC1C40" w:rsidRDefault="00000000">
      <w:pPr>
        <w:pStyle w:val="Zkladntext110"/>
        <w:framePr w:w="10536" w:h="13507" w:hRule="exact" w:wrap="none" w:vAnchor="page" w:hAnchor="page" w:x="764" w:y="1933"/>
        <w:spacing w:after="0" w:line="300" w:lineRule="auto"/>
      </w:pPr>
      <w:r>
        <w:t>Podmíněně přípustné využití</w:t>
      </w:r>
    </w:p>
    <w:p w14:paraId="0A049A68" w14:textId="77777777" w:rsidR="00EC1C40" w:rsidRDefault="00000000">
      <w:pPr>
        <w:pStyle w:val="Zkladntext70"/>
        <w:framePr w:w="10536" w:h="13507" w:hRule="exact" w:wrap="none" w:vAnchor="page" w:hAnchor="page" w:x="764" w:y="1933"/>
        <w:numPr>
          <w:ilvl w:val="0"/>
          <w:numId w:val="99"/>
        </w:numPr>
        <w:tabs>
          <w:tab w:val="left" w:pos="690"/>
          <w:tab w:val="left" w:pos="710"/>
        </w:tabs>
        <w:spacing w:line="334" w:lineRule="auto"/>
        <w:ind w:left="0" w:firstLine="360"/>
        <w:jc w:val="both"/>
      </w:pPr>
      <w:r>
        <w:rPr>
          <w:i/>
          <w:iCs/>
          <w:color w:val="3C6AB3"/>
        </w:rPr>
        <w:t>drobné stavby pro občanskou vybavenost v plochách - lze povolit pouze na základě pořizovatelem územního plánu</w:t>
      </w:r>
    </w:p>
    <w:p w14:paraId="6DA45122" w14:textId="47193B26" w:rsidR="00EC1C40" w:rsidRDefault="00000000">
      <w:pPr>
        <w:pStyle w:val="Zkladntext70"/>
        <w:framePr w:w="10536" w:h="13507" w:hRule="exact" w:wrap="none" w:vAnchor="page" w:hAnchor="page" w:x="764" w:y="1933"/>
        <w:spacing w:line="334" w:lineRule="auto"/>
        <w:ind w:left="0" w:firstLine="720"/>
        <w:jc w:val="both"/>
      </w:pPr>
      <w:r>
        <w:rPr>
          <w:i/>
          <w:iCs/>
          <w:color w:val="3C6AB3"/>
        </w:rPr>
        <w:t xml:space="preserve">schválené územní studie, která byla vložena do evidence územně plánovací </w:t>
      </w:r>
      <w:r w:rsidR="000E05C6">
        <w:rPr>
          <w:i/>
          <w:iCs/>
          <w:color w:val="3C6AB3"/>
        </w:rPr>
        <w:t>činnosti jako</w:t>
      </w:r>
      <w:r>
        <w:rPr>
          <w:i/>
          <w:iCs/>
          <w:color w:val="3C6AB3"/>
        </w:rPr>
        <w:t xml:space="preserve"> podklad pro rozhodování</w:t>
      </w:r>
    </w:p>
    <w:p w14:paraId="53C97EE2" w14:textId="77777777" w:rsidR="00EC1C40" w:rsidRDefault="00000000">
      <w:pPr>
        <w:pStyle w:val="Zhlavnebozpat0"/>
        <w:framePr w:wrap="none" w:vAnchor="page" w:hAnchor="page" w:x="11104" w:y="15877"/>
        <w:rPr>
          <w:sz w:val="20"/>
          <w:szCs w:val="20"/>
        </w:rPr>
      </w:pPr>
      <w:r>
        <w:rPr>
          <w:rFonts w:ascii="Arial" w:eastAsia="Arial" w:hAnsi="Arial" w:cs="Arial"/>
          <w:color w:val="231E20"/>
          <w:sz w:val="20"/>
          <w:szCs w:val="20"/>
        </w:rPr>
        <w:t>5</w:t>
      </w:r>
    </w:p>
    <w:p w14:paraId="741595EA"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7B252ED6" w14:textId="77777777" w:rsidR="00EC1C40" w:rsidRDefault="00EC1C40">
      <w:pPr>
        <w:spacing w:line="1" w:lineRule="exact"/>
      </w:pPr>
    </w:p>
    <w:p w14:paraId="5C82B942" w14:textId="77777777" w:rsidR="00EC1C40" w:rsidRDefault="00000000">
      <w:pPr>
        <w:pStyle w:val="Zhlavnebozpat0"/>
        <w:framePr w:wrap="none" w:vAnchor="page" w:hAnchor="page" w:x="5130" w:y="993"/>
        <w:rPr>
          <w:sz w:val="22"/>
          <w:szCs w:val="22"/>
        </w:rPr>
      </w:pPr>
      <w:r>
        <w:rPr>
          <w:rFonts w:ascii="Arial" w:eastAsia="Arial" w:hAnsi="Arial" w:cs="Arial"/>
          <w:sz w:val="22"/>
          <w:szCs w:val="22"/>
        </w:rPr>
        <w:t>Soulad záměru MHAP s Územní studií „Nová Cihelna 2024</w:t>
      </w:r>
    </w:p>
    <w:p w14:paraId="1E09FA03" w14:textId="4D0539C3" w:rsidR="00EC1C40" w:rsidRDefault="00000000">
      <w:pPr>
        <w:pStyle w:val="Zkladntext70"/>
        <w:framePr w:w="10445" w:h="9216" w:hRule="exact" w:wrap="none" w:vAnchor="page" w:hAnchor="page" w:x="810" w:y="1660"/>
        <w:spacing w:line="334" w:lineRule="auto"/>
        <w:ind w:left="0"/>
      </w:pPr>
      <w:r>
        <w:rPr>
          <w:i/>
          <w:iCs/>
          <w:color w:val="3C6AB3"/>
        </w:rPr>
        <w:t xml:space="preserve">o změnách v území, případně bude jinou podrobnější </w:t>
      </w:r>
      <w:r w:rsidR="000E05C6">
        <w:rPr>
          <w:i/>
          <w:iCs/>
          <w:color w:val="3C6AB3"/>
        </w:rPr>
        <w:t>dokumentací prokázáno</w:t>
      </w:r>
      <w:r>
        <w:rPr>
          <w:i/>
          <w:iCs/>
          <w:color w:val="3C6AB3"/>
        </w:rPr>
        <w:t xml:space="preserve"> splnění stanovených podmínek prostorového uspořádání</w:t>
      </w:r>
    </w:p>
    <w:p w14:paraId="7FC9012E" w14:textId="77777777" w:rsidR="00EC1C40" w:rsidRDefault="00000000">
      <w:pPr>
        <w:pStyle w:val="Zkladntext70"/>
        <w:framePr w:w="10445" w:h="9216" w:hRule="exact" w:wrap="none" w:vAnchor="page" w:hAnchor="page" w:x="810" w:y="1660"/>
        <w:numPr>
          <w:ilvl w:val="0"/>
          <w:numId w:val="99"/>
        </w:numPr>
        <w:tabs>
          <w:tab w:val="left" w:pos="687"/>
          <w:tab w:val="left" w:pos="710"/>
        </w:tabs>
        <w:spacing w:line="300" w:lineRule="auto"/>
        <w:ind w:left="0" w:firstLine="360"/>
      </w:pPr>
      <w:r>
        <w:rPr>
          <w:i/>
          <w:iCs/>
          <w:color w:val="3C6AB3"/>
        </w:rPr>
        <w:t>v ploše změny XVIII/8P lze realizovat technicky řešené křížení nebo víceúrovňové řešení systémů sídelní zeleně a</w:t>
      </w:r>
    </w:p>
    <w:p w14:paraId="5D3F3579" w14:textId="59548F29" w:rsidR="00EC1C40" w:rsidRDefault="00000000">
      <w:pPr>
        <w:pStyle w:val="Zkladntext70"/>
        <w:framePr w:w="10445" w:h="9216" w:hRule="exact" w:wrap="none" w:vAnchor="page" w:hAnchor="page" w:x="810" w:y="1660"/>
        <w:spacing w:after="160" w:line="334" w:lineRule="auto"/>
        <w:ind w:left="720"/>
      </w:pPr>
      <w:r>
        <w:rPr>
          <w:i/>
          <w:iCs/>
          <w:color w:val="3C6AB3"/>
        </w:rPr>
        <w:t xml:space="preserve">dopravních systémů za podmínky zachování průběhu systému zeleně s možností bezbariérového </w:t>
      </w:r>
      <w:r w:rsidR="000E05C6">
        <w:rPr>
          <w:i/>
          <w:iCs/>
          <w:color w:val="3C6AB3"/>
        </w:rPr>
        <w:t>vedení pěších</w:t>
      </w:r>
      <w:r>
        <w:rPr>
          <w:i/>
          <w:iCs/>
          <w:color w:val="3C6AB3"/>
        </w:rPr>
        <w:t xml:space="preserve"> a cyklistických komunikací</w:t>
      </w:r>
    </w:p>
    <w:p w14:paraId="5CF35539" w14:textId="77777777" w:rsidR="00EC1C40" w:rsidRDefault="00000000">
      <w:pPr>
        <w:pStyle w:val="Zkladntext110"/>
        <w:framePr w:w="10445" w:h="9216" w:hRule="exact" w:wrap="none" w:vAnchor="page" w:hAnchor="page" w:x="810" w:y="1660"/>
        <w:spacing w:after="0" w:line="302" w:lineRule="auto"/>
      </w:pPr>
      <w:r>
        <w:t>Nepřípustné využití:</w:t>
      </w:r>
    </w:p>
    <w:p w14:paraId="7E19459E" w14:textId="77777777" w:rsidR="00EC1C40" w:rsidRDefault="00000000">
      <w:pPr>
        <w:pStyle w:val="Zkladntext70"/>
        <w:framePr w:w="10445" w:h="9216" w:hRule="exact" w:wrap="none" w:vAnchor="page" w:hAnchor="page" w:x="810" w:y="1660"/>
        <w:numPr>
          <w:ilvl w:val="0"/>
          <w:numId w:val="99"/>
        </w:numPr>
        <w:tabs>
          <w:tab w:val="left" w:pos="687"/>
          <w:tab w:val="left" w:pos="710"/>
        </w:tabs>
        <w:spacing w:line="331" w:lineRule="auto"/>
        <w:ind w:left="0" w:firstLine="360"/>
      </w:pPr>
      <w:r>
        <w:rPr>
          <w:i/>
          <w:iCs/>
          <w:color w:val="3C6AB3"/>
        </w:rPr>
        <w:t>veškeré stavby, které nesouvisí s funkcí hlavní</w:t>
      </w:r>
    </w:p>
    <w:p w14:paraId="2A90BD67" w14:textId="69BFA7CC" w:rsidR="00EC1C40" w:rsidRDefault="00000000">
      <w:pPr>
        <w:pStyle w:val="Zkladntext70"/>
        <w:framePr w:w="10445" w:h="9216" w:hRule="exact" w:wrap="none" w:vAnchor="page" w:hAnchor="page" w:x="810" w:y="1660"/>
        <w:numPr>
          <w:ilvl w:val="0"/>
          <w:numId w:val="99"/>
        </w:numPr>
        <w:tabs>
          <w:tab w:val="left" w:pos="687"/>
          <w:tab w:val="left" w:pos="710"/>
        </w:tabs>
        <w:spacing w:after="160" w:line="331" w:lineRule="auto"/>
        <w:ind w:left="0" w:firstLine="360"/>
      </w:pPr>
      <w:r>
        <w:rPr>
          <w:i/>
          <w:iCs/>
          <w:color w:val="3C6AB3"/>
        </w:rPr>
        <w:t xml:space="preserve">stavby a činnosti s negativním vlivem na </w:t>
      </w:r>
      <w:r w:rsidR="000E05C6">
        <w:rPr>
          <w:i/>
          <w:iCs/>
          <w:color w:val="3C6AB3"/>
        </w:rPr>
        <w:t>životní prostředí</w:t>
      </w:r>
      <w:r>
        <w:rPr>
          <w:i/>
          <w:iCs/>
          <w:color w:val="3C6AB3"/>
        </w:rPr>
        <w:t>(dopravní zátěže, hluk apod.)</w:t>
      </w:r>
    </w:p>
    <w:p w14:paraId="0DBEEDC4" w14:textId="77777777" w:rsidR="00EC1C40" w:rsidRDefault="00000000">
      <w:pPr>
        <w:pStyle w:val="Zkladntext110"/>
        <w:framePr w:w="10445" w:h="9216" w:hRule="exact" w:wrap="none" w:vAnchor="page" w:hAnchor="page" w:x="810" w:y="1660"/>
        <w:spacing w:after="0" w:line="298" w:lineRule="auto"/>
      </w:pPr>
      <w:r>
        <w:t>Podmínky prostorového uspořádání:</w:t>
      </w:r>
    </w:p>
    <w:p w14:paraId="70B42768" w14:textId="2E036743" w:rsidR="00EC1C40" w:rsidRDefault="00000000">
      <w:pPr>
        <w:pStyle w:val="Zkladntext70"/>
        <w:framePr w:w="10445" w:h="9216" w:hRule="exact" w:wrap="none" w:vAnchor="page" w:hAnchor="page" w:x="810" w:y="1660"/>
        <w:numPr>
          <w:ilvl w:val="0"/>
          <w:numId w:val="99"/>
        </w:numPr>
        <w:tabs>
          <w:tab w:val="left" w:pos="687"/>
        </w:tabs>
        <w:spacing w:line="331" w:lineRule="auto"/>
        <w:ind w:left="720" w:hanging="360"/>
      </w:pPr>
      <w:r>
        <w:rPr>
          <w:i/>
          <w:iCs/>
          <w:color w:val="3C6AB3"/>
        </w:rPr>
        <w:t xml:space="preserve">Zastavěná plocha stavby, která plní výhradně funkci doplňkovou v ploše zeleně (např. občerstvení, veřejné WC apod.) a bezprostředně s touto stavbou související zpevněné plochy (např. rozšířený chodník, </w:t>
      </w:r>
      <w:r w:rsidR="000E05C6">
        <w:rPr>
          <w:i/>
          <w:iCs/>
          <w:color w:val="3C6AB3"/>
        </w:rPr>
        <w:t>nástupní prostor</w:t>
      </w:r>
      <w:r>
        <w:rPr>
          <w:i/>
          <w:iCs/>
          <w:color w:val="3C6AB3"/>
        </w:rPr>
        <w:t xml:space="preserve"> k objektu, terasa apod.), nepřekročí v součtu 50 m2.</w:t>
      </w:r>
    </w:p>
    <w:p w14:paraId="4A58AB41" w14:textId="77777777" w:rsidR="00EC1C40" w:rsidRDefault="00000000">
      <w:pPr>
        <w:pStyle w:val="Zkladntext70"/>
        <w:framePr w:w="10445" w:h="9216" w:hRule="exact" w:wrap="none" w:vAnchor="page" w:hAnchor="page" w:x="810" w:y="1660"/>
        <w:numPr>
          <w:ilvl w:val="0"/>
          <w:numId w:val="99"/>
        </w:numPr>
        <w:tabs>
          <w:tab w:val="left" w:pos="687"/>
          <w:tab w:val="left" w:pos="710"/>
        </w:tabs>
        <w:spacing w:line="331" w:lineRule="auto"/>
        <w:ind w:left="0" w:firstLine="360"/>
      </w:pPr>
      <w:r>
        <w:rPr>
          <w:i/>
          <w:iCs/>
          <w:color w:val="3C6AB3"/>
        </w:rPr>
        <w:t>Zástavba plošného rozsahu nad stanovenou mez je podmíněně přípustná, pokud bude v další fázi přípravy záměru</w:t>
      </w:r>
    </w:p>
    <w:p w14:paraId="46AEBACC" w14:textId="7DA46958" w:rsidR="00EC1C40" w:rsidRDefault="00000000">
      <w:pPr>
        <w:pStyle w:val="Zkladntext70"/>
        <w:framePr w:w="10445" w:h="9216" w:hRule="exact" w:wrap="none" w:vAnchor="page" w:hAnchor="page" w:x="810" w:y="1660"/>
        <w:spacing w:after="160" w:line="331" w:lineRule="auto"/>
        <w:ind w:left="720"/>
      </w:pPr>
      <w:r>
        <w:rPr>
          <w:i/>
          <w:iCs/>
          <w:color w:val="3C6AB3"/>
        </w:rPr>
        <w:t xml:space="preserve">(při územním či stavebním řízení) např. územní nebo jinou podrobnější </w:t>
      </w:r>
      <w:r w:rsidR="000E05C6">
        <w:rPr>
          <w:i/>
          <w:iCs/>
          <w:color w:val="3C6AB3"/>
        </w:rPr>
        <w:t>studií prokázáno</w:t>
      </w:r>
      <w:r>
        <w:rPr>
          <w:i/>
          <w:iCs/>
          <w:color w:val="3C6AB3"/>
        </w:rPr>
        <w:t>, že záměr nenaruší koncepci zeleně, že nevytváří nežádoucí stavební(hmotové a výškové) dominanty, že nenarušuje krajinný ráz a charakter lokality, že respektuje přírodní, kulturní a urbanistické hodnoty lokality i širšího území.</w:t>
      </w:r>
    </w:p>
    <w:p w14:paraId="38410A50" w14:textId="77777777" w:rsidR="00EC1C40" w:rsidRDefault="00000000">
      <w:pPr>
        <w:pStyle w:val="Zkladntext110"/>
        <w:framePr w:w="10445" w:h="9216" w:hRule="exact" w:wrap="none" w:vAnchor="page" w:hAnchor="page" w:x="810" w:y="1660"/>
        <w:spacing w:after="0" w:line="302" w:lineRule="auto"/>
      </w:pPr>
      <w:r>
        <w:rPr>
          <w:b/>
          <w:bCs/>
        </w:rPr>
        <w:t xml:space="preserve">Plocha </w:t>
      </w:r>
      <w:r>
        <w:t xml:space="preserve">s </w:t>
      </w:r>
      <w:r>
        <w:rPr>
          <w:b/>
          <w:bCs/>
        </w:rPr>
        <w:t xml:space="preserve">rozdílným </w:t>
      </w:r>
      <w:r>
        <w:t>z</w:t>
      </w:r>
      <w:r>
        <w:rPr>
          <w:b/>
          <w:bCs/>
        </w:rPr>
        <w:t xml:space="preserve">působem </w:t>
      </w:r>
      <w:r>
        <w:t>v</w:t>
      </w:r>
      <w:r>
        <w:rPr>
          <w:b/>
          <w:bCs/>
        </w:rPr>
        <w:t xml:space="preserve">yužití </w:t>
      </w:r>
      <w:r>
        <w:t>K</w:t>
      </w:r>
      <w:r>
        <w:rPr>
          <w:b/>
          <w:bCs/>
        </w:rPr>
        <w:t xml:space="preserve">Z </w:t>
      </w:r>
      <w:r>
        <w:t>- Z</w:t>
      </w:r>
      <w:r>
        <w:rPr>
          <w:b/>
          <w:bCs/>
        </w:rPr>
        <w:t xml:space="preserve">eleň </w:t>
      </w:r>
      <w:r>
        <w:t>k</w:t>
      </w:r>
      <w:r>
        <w:rPr>
          <w:b/>
          <w:bCs/>
        </w:rPr>
        <w:t>rajinná</w:t>
      </w:r>
    </w:p>
    <w:p w14:paraId="32356F9D" w14:textId="77777777" w:rsidR="00EC1C40" w:rsidRDefault="00000000">
      <w:pPr>
        <w:pStyle w:val="Zkladntext110"/>
        <w:framePr w:w="10445" w:h="9216" w:hRule="exact" w:wrap="none" w:vAnchor="page" w:hAnchor="page" w:x="810" w:y="1660"/>
        <w:spacing w:after="160" w:line="302" w:lineRule="auto"/>
      </w:pPr>
      <w:r>
        <w:rPr>
          <w:b/>
          <w:bCs/>
        </w:rPr>
        <w:t xml:space="preserve">Plocha </w:t>
      </w:r>
      <w:r>
        <w:t xml:space="preserve">s </w:t>
      </w:r>
      <w:r>
        <w:rPr>
          <w:b/>
          <w:bCs/>
        </w:rPr>
        <w:t xml:space="preserve">rozdílným </w:t>
      </w:r>
      <w:r>
        <w:t>z</w:t>
      </w:r>
      <w:r>
        <w:rPr>
          <w:b/>
          <w:bCs/>
        </w:rPr>
        <w:t xml:space="preserve">působem </w:t>
      </w:r>
      <w:r>
        <w:t>v</w:t>
      </w:r>
      <w:r>
        <w:rPr>
          <w:b/>
          <w:bCs/>
        </w:rPr>
        <w:t xml:space="preserve">yužití PV </w:t>
      </w:r>
      <w:r>
        <w:t>- V</w:t>
      </w:r>
      <w:r>
        <w:rPr>
          <w:b/>
          <w:bCs/>
        </w:rPr>
        <w:t xml:space="preserve">odní </w:t>
      </w:r>
      <w:r>
        <w:t>p</w:t>
      </w:r>
      <w:r>
        <w:rPr>
          <w:b/>
          <w:bCs/>
        </w:rPr>
        <w:t xml:space="preserve">lochy </w:t>
      </w:r>
      <w:r>
        <w:t>a t</w:t>
      </w:r>
      <w:r>
        <w:rPr>
          <w:b/>
          <w:bCs/>
        </w:rPr>
        <w:t>oky</w:t>
      </w:r>
    </w:p>
    <w:p w14:paraId="470797A0" w14:textId="77777777" w:rsidR="00EC1C40" w:rsidRDefault="00000000">
      <w:pPr>
        <w:pStyle w:val="Zkladntext110"/>
        <w:framePr w:w="10445" w:h="9216" w:hRule="exact" w:wrap="none" w:vAnchor="page" w:hAnchor="page" w:x="810" w:y="1660"/>
        <w:spacing w:after="160" w:line="302" w:lineRule="auto"/>
        <w:ind w:firstLine="720"/>
      </w:pPr>
      <w:r>
        <w:rPr>
          <w:i w:val="0"/>
          <w:iCs w:val="0"/>
          <w:color w:val="231E20"/>
        </w:rPr>
        <w:t>V těchto plochách leží lokální biokoridor LBK63.</w:t>
      </w:r>
    </w:p>
    <w:p w14:paraId="0950BACE" w14:textId="77777777" w:rsidR="00EC1C40" w:rsidRDefault="00000000">
      <w:pPr>
        <w:pStyle w:val="Jin0"/>
        <w:framePr w:w="10445" w:h="9216" w:hRule="exact" w:wrap="none" w:vAnchor="page" w:hAnchor="page" w:x="810" w:y="1660"/>
        <w:spacing w:after="220"/>
        <w:rPr>
          <w:sz w:val="24"/>
          <w:szCs w:val="24"/>
        </w:rPr>
      </w:pPr>
      <w:r>
        <w:rPr>
          <w:rFonts w:ascii="Arial" w:eastAsia="Arial" w:hAnsi="Arial" w:cs="Arial"/>
          <w:b/>
          <w:bCs/>
          <w:sz w:val="24"/>
          <w:szCs w:val="24"/>
        </w:rPr>
        <w:t>ÚSES</w:t>
      </w:r>
    </w:p>
    <w:p w14:paraId="791B36F7" w14:textId="77777777" w:rsidR="00EC1C40" w:rsidRDefault="00000000">
      <w:pPr>
        <w:pStyle w:val="Zkladntext110"/>
        <w:framePr w:w="10445" w:h="9216" w:hRule="exact" w:wrap="none" w:vAnchor="page" w:hAnchor="page" w:x="810" w:y="1660"/>
        <w:spacing w:after="160" w:line="302" w:lineRule="auto"/>
        <w:ind w:left="720"/>
      </w:pPr>
      <w:r>
        <w:rPr>
          <w:i w:val="0"/>
          <w:iCs w:val="0"/>
          <w:color w:val="231E20"/>
        </w:rPr>
        <w:t>Navrhovaným parkem prochází koridor ÚSES, který kříží komunikace v koridoru XXII/CD2. Dodržení propojení celého ÚSES je navrženo vhodnými opatřeními. Dále je ÚSES lokálně překřížen dvěma pěšími mostky, které propojují park s obytnou a sportovní zástavbou v rámci Nové Cihelny. Opět jsou zde navržena opatření, která zajistí propojení celého koridoru ÚSES.</w:t>
      </w:r>
    </w:p>
    <w:p w14:paraId="2418A289" w14:textId="77777777" w:rsidR="00EC1C40" w:rsidRDefault="00000000">
      <w:pPr>
        <w:pStyle w:val="Nadpis60"/>
        <w:framePr w:w="10445" w:h="9216" w:hRule="exact" w:wrap="none" w:vAnchor="page" w:hAnchor="page" w:x="810" w:y="1660"/>
        <w:spacing w:after="160" w:line="302" w:lineRule="auto"/>
        <w:rPr>
          <w:sz w:val="20"/>
          <w:szCs w:val="20"/>
        </w:rPr>
      </w:pPr>
      <w:bookmarkStart w:id="136" w:name="bookmark274"/>
      <w:r>
        <w:rPr>
          <w:rFonts w:ascii="Arial" w:eastAsia="Arial" w:hAnsi="Arial" w:cs="Arial"/>
          <w:sz w:val="20"/>
          <w:szCs w:val="20"/>
        </w:rPr>
        <w:t>Doprava</w:t>
      </w:r>
      <w:bookmarkEnd w:id="136"/>
    </w:p>
    <w:p w14:paraId="60201E89" w14:textId="77777777" w:rsidR="00EC1C40" w:rsidRDefault="00000000">
      <w:pPr>
        <w:pStyle w:val="Zkladntext110"/>
        <w:framePr w:w="10445" w:h="9216" w:hRule="exact" w:wrap="none" w:vAnchor="page" w:hAnchor="page" w:x="810" w:y="1660"/>
        <w:spacing w:after="0" w:line="307" w:lineRule="auto"/>
        <w:ind w:left="720"/>
      </w:pPr>
      <w:r>
        <w:rPr>
          <w:i w:val="0"/>
          <w:iCs w:val="0"/>
          <w:color w:val="231E20"/>
        </w:rPr>
        <w:t xml:space="preserve">Napojení na obchvat v jihovýchodní části je řešeno komunikací v ploše koridoru dopravní infrastruktury </w:t>
      </w:r>
      <w:proofErr w:type="spellStart"/>
      <w:r>
        <w:rPr>
          <w:i w:val="0"/>
          <w:iCs w:val="0"/>
          <w:color w:val="231E20"/>
        </w:rPr>
        <w:t>ozn</w:t>
      </w:r>
      <w:proofErr w:type="spellEnd"/>
      <w:r>
        <w:rPr>
          <w:i w:val="0"/>
          <w:iCs w:val="0"/>
          <w:color w:val="231E20"/>
        </w:rPr>
        <w:t xml:space="preserve">. </w:t>
      </w:r>
      <w:r>
        <w:rPr>
          <w:b/>
          <w:bCs/>
          <w:i w:val="0"/>
          <w:iCs w:val="0"/>
          <w:color w:val="231E20"/>
        </w:rPr>
        <w:t>XXII/CD2</w:t>
      </w:r>
      <w:r>
        <w:rPr>
          <w:i w:val="0"/>
          <w:iCs w:val="0"/>
          <w:color w:val="231E20"/>
        </w:rPr>
        <w:t xml:space="preserve">. Koridoru VPS nese </w:t>
      </w:r>
      <w:proofErr w:type="spellStart"/>
      <w:r>
        <w:rPr>
          <w:i w:val="0"/>
          <w:iCs w:val="0"/>
          <w:color w:val="231E20"/>
        </w:rPr>
        <w:t>ozn</w:t>
      </w:r>
      <w:proofErr w:type="spellEnd"/>
      <w:r>
        <w:rPr>
          <w:i w:val="0"/>
          <w:iCs w:val="0"/>
          <w:color w:val="231E20"/>
        </w:rPr>
        <w:t xml:space="preserve">. </w:t>
      </w:r>
      <w:r>
        <w:rPr>
          <w:b/>
          <w:bCs/>
          <w:i w:val="0"/>
          <w:iCs w:val="0"/>
          <w:color w:val="231E20"/>
        </w:rPr>
        <w:t>VPS XXII/VD/84.</w:t>
      </w:r>
    </w:p>
    <w:p w14:paraId="4B405386" w14:textId="77777777" w:rsidR="00EC1C40" w:rsidRDefault="00000000">
      <w:pPr>
        <w:pStyle w:val="Zkladntext110"/>
        <w:framePr w:w="4925" w:h="653" w:hRule="exact" w:wrap="none" w:vAnchor="page" w:hAnchor="page" w:x="810" w:y="11025"/>
        <w:spacing w:after="0" w:line="331" w:lineRule="auto"/>
      </w:pPr>
      <w:r>
        <w:t xml:space="preserve">Výřez z koordinačního výkresu dopravního systému (ÚZ po XXII </w:t>
      </w:r>
      <w:proofErr w:type="spellStart"/>
      <w:r>
        <w:t>zm</w:t>
      </w:r>
      <w:proofErr w:type="spellEnd"/>
      <w:r>
        <w:t>)</w:t>
      </w:r>
    </w:p>
    <w:p w14:paraId="7DD108C7" w14:textId="77777777" w:rsidR="00EC1C40" w:rsidRDefault="00000000">
      <w:pPr>
        <w:pStyle w:val="Zkladntext110"/>
        <w:framePr w:w="4306" w:h="653" w:hRule="exact" w:wrap="none" w:vAnchor="page" w:hAnchor="page" w:x="6181" w:y="11025"/>
        <w:spacing w:after="0" w:line="331" w:lineRule="auto"/>
      </w:pPr>
      <w:r>
        <w:t xml:space="preserve">Výřez z výkresu veřejně prospěšných staveb, opaření a asanací (ÚZ po XXII </w:t>
      </w:r>
      <w:proofErr w:type="spellStart"/>
      <w:r>
        <w:t>zm</w:t>
      </w:r>
      <w:proofErr w:type="spellEnd"/>
      <w:r>
        <w:t>)</w:t>
      </w:r>
    </w:p>
    <w:p w14:paraId="574AB6F9" w14:textId="77777777" w:rsidR="00EC1C40" w:rsidRDefault="00000000">
      <w:pPr>
        <w:framePr w:wrap="none" w:vAnchor="page" w:hAnchor="page" w:x="820" w:y="11778"/>
        <w:rPr>
          <w:sz w:val="2"/>
          <w:szCs w:val="2"/>
        </w:rPr>
      </w:pPr>
      <w:r>
        <w:rPr>
          <w:noProof/>
        </w:rPr>
        <w:drawing>
          <wp:inline distT="0" distB="0" distL="0" distR="0" wp14:anchorId="382C95BB" wp14:editId="2178F2FD">
            <wp:extent cx="2822575" cy="2286000"/>
            <wp:effectExtent l="0" t="0" r="0" b="0"/>
            <wp:docPr id="172" name="Picutre 172"/>
            <wp:cNvGraphicFramePr/>
            <a:graphic xmlns:a="http://schemas.openxmlformats.org/drawingml/2006/main">
              <a:graphicData uri="http://schemas.openxmlformats.org/drawingml/2006/picture">
                <pic:pic xmlns:pic="http://schemas.openxmlformats.org/drawingml/2006/picture">
                  <pic:nvPicPr>
                    <pic:cNvPr id="172" name="Picture 172"/>
                    <pic:cNvPicPr/>
                  </pic:nvPicPr>
                  <pic:blipFill>
                    <a:blip r:embed="rId42"/>
                    <a:stretch/>
                  </pic:blipFill>
                  <pic:spPr>
                    <a:xfrm>
                      <a:off x="0" y="0"/>
                      <a:ext cx="2822575" cy="2286000"/>
                    </a:xfrm>
                    <a:prstGeom prst="rect">
                      <a:avLst/>
                    </a:prstGeom>
                  </pic:spPr>
                </pic:pic>
              </a:graphicData>
            </a:graphic>
          </wp:inline>
        </w:drawing>
      </w:r>
    </w:p>
    <w:p w14:paraId="685A51E2" w14:textId="77777777" w:rsidR="00EC1C40" w:rsidRDefault="00000000">
      <w:pPr>
        <w:framePr w:wrap="none" w:vAnchor="page" w:hAnchor="page" w:x="6191" w:y="11745"/>
        <w:rPr>
          <w:sz w:val="2"/>
          <w:szCs w:val="2"/>
        </w:rPr>
      </w:pPr>
      <w:r>
        <w:rPr>
          <w:noProof/>
        </w:rPr>
        <w:drawing>
          <wp:inline distT="0" distB="0" distL="0" distR="0" wp14:anchorId="380E9566" wp14:editId="22863A74">
            <wp:extent cx="2999105" cy="2310130"/>
            <wp:effectExtent l="0" t="0" r="0" b="0"/>
            <wp:docPr id="173" name="Picutre 173"/>
            <wp:cNvGraphicFramePr/>
            <a:graphic xmlns:a="http://schemas.openxmlformats.org/drawingml/2006/main">
              <a:graphicData uri="http://schemas.openxmlformats.org/drawingml/2006/picture">
                <pic:pic xmlns:pic="http://schemas.openxmlformats.org/drawingml/2006/picture">
                  <pic:nvPicPr>
                    <pic:cNvPr id="173" name="Picture 173"/>
                    <pic:cNvPicPr/>
                  </pic:nvPicPr>
                  <pic:blipFill>
                    <a:blip r:embed="rId43"/>
                    <a:stretch/>
                  </pic:blipFill>
                  <pic:spPr>
                    <a:xfrm>
                      <a:off x="0" y="0"/>
                      <a:ext cx="2999105" cy="2310130"/>
                    </a:xfrm>
                    <a:prstGeom prst="rect">
                      <a:avLst/>
                    </a:prstGeom>
                  </pic:spPr>
                </pic:pic>
              </a:graphicData>
            </a:graphic>
          </wp:inline>
        </w:drawing>
      </w:r>
    </w:p>
    <w:p w14:paraId="6C044CBA" w14:textId="77777777" w:rsidR="00EC1C40" w:rsidRDefault="00000000">
      <w:pPr>
        <w:pStyle w:val="Zhlavnebozpat0"/>
        <w:framePr w:wrap="none" w:vAnchor="page" w:hAnchor="page" w:x="11149" w:y="15882"/>
        <w:rPr>
          <w:sz w:val="20"/>
          <w:szCs w:val="20"/>
        </w:rPr>
      </w:pPr>
      <w:r>
        <w:rPr>
          <w:rFonts w:ascii="Arial" w:eastAsia="Arial" w:hAnsi="Arial" w:cs="Arial"/>
          <w:color w:val="231E20"/>
          <w:sz w:val="20"/>
          <w:szCs w:val="20"/>
        </w:rPr>
        <w:t>6</w:t>
      </w:r>
    </w:p>
    <w:p w14:paraId="7C005E8C"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35381F1D" w14:textId="77777777" w:rsidR="00EC1C40" w:rsidRDefault="00EC1C40">
      <w:pPr>
        <w:spacing w:line="1" w:lineRule="exact"/>
      </w:pPr>
    </w:p>
    <w:p w14:paraId="450E77EC" w14:textId="77777777" w:rsidR="00EC1C40" w:rsidRDefault="00000000">
      <w:pPr>
        <w:pStyle w:val="Zhlavnebozpat0"/>
        <w:framePr w:wrap="none" w:vAnchor="page" w:hAnchor="page" w:x="5151" w:y="989"/>
        <w:rPr>
          <w:sz w:val="22"/>
          <w:szCs w:val="22"/>
        </w:rPr>
      </w:pPr>
      <w:r>
        <w:rPr>
          <w:rFonts w:ascii="Arial" w:eastAsia="Arial" w:hAnsi="Arial" w:cs="Arial"/>
          <w:sz w:val="22"/>
          <w:szCs w:val="22"/>
        </w:rPr>
        <w:t>Soulad záměru MHAP s Územní studií „Nová Cihelna 2024</w:t>
      </w:r>
    </w:p>
    <w:p w14:paraId="571B7126" w14:textId="77777777" w:rsidR="00EC1C40" w:rsidRDefault="00000000">
      <w:pPr>
        <w:pStyle w:val="Titulekobrzku0"/>
        <w:framePr w:w="9797" w:h="605" w:hRule="exact" w:wrap="none" w:vAnchor="page" w:hAnchor="page" w:x="831" w:y="1935"/>
        <w:spacing w:line="307" w:lineRule="auto"/>
        <w:rPr>
          <w:sz w:val="20"/>
          <w:szCs w:val="20"/>
        </w:rPr>
      </w:pPr>
      <w:r>
        <w:rPr>
          <w:color w:val="231E20"/>
          <w:sz w:val="20"/>
          <w:szCs w:val="20"/>
        </w:rPr>
        <w:t>Požadavky na ochranu kulturně historických, architektonických, archeologických a urbanistických hodnot v území:</w:t>
      </w:r>
    </w:p>
    <w:p w14:paraId="52D0A588" w14:textId="6FD81C0B" w:rsidR="00EC1C40" w:rsidRDefault="00000000">
      <w:pPr>
        <w:pStyle w:val="Titulekobrzku0"/>
        <w:framePr w:wrap="none" w:vAnchor="page" w:hAnchor="page" w:x="831" w:y="2693"/>
        <w:rPr>
          <w:sz w:val="20"/>
          <w:szCs w:val="20"/>
        </w:rPr>
      </w:pPr>
      <w:r>
        <w:rPr>
          <w:b w:val="0"/>
          <w:bCs w:val="0"/>
          <w:i/>
          <w:iCs/>
          <w:color w:val="4870B6"/>
          <w:sz w:val="20"/>
          <w:szCs w:val="20"/>
        </w:rPr>
        <w:t xml:space="preserve">Výřez </w:t>
      </w:r>
      <w:r w:rsidR="000E05C6">
        <w:rPr>
          <w:b w:val="0"/>
          <w:bCs w:val="0"/>
          <w:i/>
          <w:iCs/>
          <w:color w:val="4870B6"/>
          <w:sz w:val="20"/>
          <w:szCs w:val="20"/>
        </w:rPr>
        <w:t>z památkového</w:t>
      </w:r>
      <w:r>
        <w:rPr>
          <w:b w:val="0"/>
          <w:bCs w:val="0"/>
          <w:i/>
          <w:iCs/>
          <w:color w:val="4870B6"/>
          <w:sz w:val="20"/>
          <w:szCs w:val="20"/>
        </w:rPr>
        <w:t xml:space="preserve"> katalogu (ochranné pásmo památkové rezervace Pardubice)</w:t>
      </w:r>
    </w:p>
    <w:p w14:paraId="296B2D5F" w14:textId="77777777" w:rsidR="00EC1C40" w:rsidRDefault="00000000">
      <w:pPr>
        <w:framePr w:wrap="none" w:vAnchor="page" w:hAnchor="page" w:x="841" w:y="2972"/>
        <w:rPr>
          <w:sz w:val="2"/>
          <w:szCs w:val="2"/>
        </w:rPr>
      </w:pPr>
      <w:r>
        <w:rPr>
          <w:noProof/>
        </w:rPr>
        <w:drawing>
          <wp:inline distT="0" distB="0" distL="0" distR="0" wp14:anchorId="127D4A29" wp14:editId="6B92CE73">
            <wp:extent cx="4450080" cy="4084320"/>
            <wp:effectExtent l="0" t="0" r="0" b="0"/>
            <wp:docPr id="174" name="Picutre 174"/>
            <wp:cNvGraphicFramePr/>
            <a:graphic xmlns:a="http://schemas.openxmlformats.org/drawingml/2006/main">
              <a:graphicData uri="http://schemas.openxmlformats.org/drawingml/2006/picture">
                <pic:pic xmlns:pic="http://schemas.openxmlformats.org/drawingml/2006/picture">
                  <pic:nvPicPr>
                    <pic:cNvPr id="174" name="Picture 174"/>
                    <pic:cNvPicPr/>
                  </pic:nvPicPr>
                  <pic:blipFill>
                    <a:blip r:embed="rId44"/>
                    <a:stretch/>
                  </pic:blipFill>
                  <pic:spPr>
                    <a:xfrm>
                      <a:off x="0" y="0"/>
                      <a:ext cx="4450080" cy="4084320"/>
                    </a:xfrm>
                    <a:prstGeom prst="rect">
                      <a:avLst/>
                    </a:prstGeom>
                  </pic:spPr>
                </pic:pic>
              </a:graphicData>
            </a:graphic>
          </wp:inline>
        </w:drawing>
      </w:r>
    </w:p>
    <w:p w14:paraId="0FB85C9F" w14:textId="77777777" w:rsidR="00EC1C40" w:rsidRDefault="00000000">
      <w:pPr>
        <w:pStyle w:val="Zkladntext110"/>
        <w:framePr w:w="9250" w:h="595" w:hRule="exact" w:wrap="none" w:vAnchor="page" w:hAnchor="page" w:x="1527" w:y="9696"/>
        <w:spacing w:after="0" w:line="300" w:lineRule="auto"/>
      </w:pPr>
      <w:r>
        <w:rPr>
          <w:i w:val="0"/>
          <w:iCs w:val="0"/>
          <w:color w:val="231E20"/>
        </w:rPr>
        <w:t>Pozemky, na kterých je záměr umístěn se nenachází v památkové rezervaci Pardubice ani v jejím ochranném pásmu.</w:t>
      </w:r>
    </w:p>
    <w:p w14:paraId="2EC601B3" w14:textId="77777777" w:rsidR="00EC1C40" w:rsidRDefault="00000000">
      <w:pPr>
        <w:pStyle w:val="Titulekobrzku0"/>
        <w:framePr w:wrap="none" w:vAnchor="page" w:hAnchor="page" w:x="831" w:y="10848"/>
        <w:rPr>
          <w:sz w:val="20"/>
          <w:szCs w:val="20"/>
        </w:rPr>
      </w:pPr>
      <w:r>
        <w:rPr>
          <w:b w:val="0"/>
          <w:bCs w:val="0"/>
          <w:color w:val="231E20"/>
          <w:sz w:val="20"/>
          <w:szCs w:val="20"/>
        </w:rPr>
        <w:t>Pohledová osa od Zelené brány na Kunětickou horu</w:t>
      </w:r>
    </w:p>
    <w:p w14:paraId="7D3C03DE" w14:textId="77777777" w:rsidR="00EC1C40" w:rsidRDefault="00000000">
      <w:pPr>
        <w:framePr w:wrap="none" w:vAnchor="page" w:hAnchor="page" w:x="841" w:y="11127"/>
        <w:rPr>
          <w:sz w:val="2"/>
          <w:szCs w:val="2"/>
        </w:rPr>
      </w:pPr>
      <w:r>
        <w:rPr>
          <w:noProof/>
        </w:rPr>
        <w:drawing>
          <wp:inline distT="0" distB="0" distL="0" distR="0" wp14:anchorId="7A06FD85" wp14:editId="7938DF4F">
            <wp:extent cx="3359150" cy="2273935"/>
            <wp:effectExtent l="0" t="0" r="0" b="0"/>
            <wp:docPr id="175" name="Picutre 175"/>
            <wp:cNvGraphicFramePr/>
            <a:graphic xmlns:a="http://schemas.openxmlformats.org/drawingml/2006/main">
              <a:graphicData uri="http://schemas.openxmlformats.org/drawingml/2006/picture">
                <pic:pic xmlns:pic="http://schemas.openxmlformats.org/drawingml/2006/picture">
                  <pic:nvPicPr>
                    <pic:cNvPr id="175" name="Picture 175"/>
                    <pic:cNvPicPr/>
                  </pic:nvPicPr>
                  <pic:blipFill>
                    <a:blip r:embed="rId45"/>
                    <a:stretch/>
                  </pic:blipFill>
                  <pic:spPr>
                    <a:xfrm>
                      <a:off x="0" y="0"/>
                      <a:ext cx="3359150" cy="2273935"/>
                    </a:xfrm>
                    <a:prstGeom prst="rect">
                      <a:avLst/>
                    </a:prstGeom>
                  </pic:spPr>
                </pic:pic>
              </a:graphicData>
            </a:graphic>
          </wp:inline>
        </w:drawing>
      </w:r>
    </w:p>
    <w:p w14:paraId="026D65AC" w14:textId="77777777" w:rsidR="00EC1C40" w:rsidRDefault="00000000">
      <w:pPr>
        <w:framePr w:wrap="none" w:vAnchor="page" w:hAnchor="page" w:x="6207" w:y="11122"/>
        <w:rPr>
          <w:sz w:val="2"/>
          <w:szCs w:val="2"/>
        </w:rPr>
      </w:pPr>
      <w:r>
        <w:rPr>
          <w:noProof/>
        </w:rPr>
        <w:drawing>
          <wp:inline distT="0" distB="0" distL="0" distR="0" wp14:anchorId="15DBCD9E" wp14:editId="2C6BD9E0">
            <wp:extent cx="2932430" cy="2279650"/>
            <wp:effectExtent l="0" t="0" r="0" b="0"/>
            <wp:docPr id="176" name="Picutre 176"/>
            <wp:cNvGraphicFramePr/>
            <a:graphic xmlns:a="http://schemas.openxmlformats.org/drawingml/2006/main">
              <a:graphicData uri="http://schemas.openxmlformats.org/drawingml/2006/picture">
                <pic:pic xmlns:pic="http://schemas.openxmlformats.org/drawingml/2006/picture">
                  <pic:nvPicPr>
                    <pic:cNvPr id="176" name="Picture 176"/>
                    <pic:cNvPicPr/>
                  </pic:nvPicPr>
                  <pic:blipFill>
                    <a:blip r:embed="rId46"/>
                    <a:stretch/>
                  </pic:blipFill>
                  <pic:spPr>
                    <a:xfrm>
                      <a:off x="0" y="0"/>
                      <a:ext cx="2932430" cy="2279650"/>
                    </a:xfrm>
                    <a:prstGeom prst="rect">
                      <a:avLst/>
                    </a:prstGeom>
                  </pic:spPr>
                </pic:pic>
              </a:graphicData>
            </a:graphic>
          </wp:inline>
        </w:drawing>
      </w:r>
    </w:p>
    <w:p w14:paraId="39E21B13" w14:textId="77777777" w:rsidR="00EC1C40" w:rsidRDefault="00000000">
      <w:pPr>
        <w:pStyle w:val="Zkladntext110"/>
        <w:framePr w:w="9250" w:h="605" w:hRule="exact" w:wrap="none" w:vAnchor="page" w:hAnchor="page" w:x="1527" w:y="14986"/>
        <w:spacing w:after="0" w:line="307" w:lineRule="auto"/>
      </w:pPr>
      <w:r>
        <w:rPr>
          <w:i w:val="0"/>
          <w:iCs w:val="0"/>
          <w:color w:val="231E20"/>
        </w:rPr>
        <w:t>Záměr se nachází mimo pohledovou osu a neruší tedy pohled na hrad Kunětická hora z vyhlídky na Zelené bráně.</w:t>
      </w:r>
    </w:p>
    <w:p w14:paraId="32358C76" w14:textId="77777777" w:rsidR="00EC1C40" w:rsidRDefault="00000000">
      <w:pPr>
        <w:pStyle w:val="Zhlavnebozpat0"/>
        <w:framePr w:wrap="none" w:vAnchor="page" w:hAnchor="page" w:x="11170" w:y="15879"/>
        <w:rPr>
          <w:sz w:val="20"/>
          <w:szCs w:val="20"/>
        </w:rPr>
      </w:pPr>
      <w:r>
        <w:rPr>
          <w:rFonts w:ascii="Arial" w:eastAsia="Arial" w:hAnsi="Arial" w:cs="Arial"/>
          <w:color w:val="231E20"/>
          <w:sz w:val="20"/>
          <w:szCs w:val="20"/>
        </w:rPr>
        <w:t>7</w:t>
      </w:r>
    </w:p>
    <w:p w14:paraId="4B5A4C34"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622A4FB7" w14:textId="77777777" w:rsidR="00EC1C40" w:rsidRDefault="00EC1C40">
      <w:pPr>
        <w:spacing w:line="1" w:lineRule="exact"/>
      </w:pPr>
    </w:p>
    <w:p w14:paraId="0C40FDBE" w14:textId="77777777" w:rsidR="00EC1C40" w:rsidRDefault="00000000">
      <w:pPr>
        <w:pStyle w:val="Zhlavnebozpat0"/>
        <w:framePr w:wrap="none" w:vAnchor="page" w:hAnchor="page" w:x="5151" w:y="989"/>
        <w:rPr>
          <w:sz w:val="22"/>
          <w:szCs w:val="22"/>
        </w:rPr>
      </w:pPr>
      <w:r>
        <w:rPr>
          <w:rFonts w:ascii="Arial" w:eastAsia="Arial" w:hAnsi="Arial" w:cs="Arial"/>
          <w:sz w:val="22"/>
          <w:szCs w:val="22"/>
        </w:rPr>
        <w:t>Soulad záměru MHAP s Územní studií „Nová Cihelna 2024</w:t>
      </w:r>
    </w:p>
    <w:p w14:paraId="345328D5" w14:textId="77777777" w:rsidR="00EC1C40" w:rsidRDefault="00000000">
      <w:pPr>
        <w:pStyle w:val="Titulekobrzku0"/>
        <w:framePr w:w="3826" w:h="254" w:hRule="exact" w:wrap="none" w:vAnchor="page" w:hAnchor="page" w:x="1541" w:y="1647"/>
        <w:jc w:val="center"/>
        <w:rPr>
          <w:sz w:val="20"/>
          <w:szCs w:val="20"/>
        </w:rPr>
      </w:pPr>
      <w:r>
        <w:rPr>
          <w:b w:val="0"/>
          <w:bCs w:val="0"/>
          <w:color w:val="231E20"/>
          <w:sz w:val="20"/>
          <w:szCs w:val="20"/>
        </w:rPr>
        <w:t>Pohled z Kunětické hory na záměr MHAP</w:t>
      </w:r>
    </w:p>
    <w:p w14:paraId="75523FCE" w14:textId="77777777" w:rsidR="00EC1C40" w:rsidRDefault="00000000">
      <w:pPr>
        <w:framePr w:wrap="none" w:vAnchor="page" w:hAnchor="page" w:x="1546" w:y="1911"/>
        <w:rPr>
          <w:sz w:val="2"/>
          <w:szCs w:val="2"/>
        </w:rPr>
      </w:pPr>
      <w:r>
        <w:rPr>
          <w:noProof/>
        </w:rPr>
        <w:drawing>
          <wp:inline distT="0" distB="0" distL="0" distR="0" wp14:anchorId="4092380C" wp14:editId="447CFDC0">
            <wp:extent cx="4443730" cy="2889250"/>
            <wp:effectExtent l="0" t="0" r="0" b="0"/>
            <wp:docPr id="177" name="Picutre 177"/>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47"/>
                    <a:stretch/>
                  </pic:blipFill>
                  <pic:spPr>
                    <a:xfrm>
                      <a:off x="0" y="0"/>
                      <a:ext cx="4443730" cy="2889250"/>
                    </a:xfrm>
                    <a:prstGeom prst="rect">
                      <a:avLst/>
                    </a:prstGeom>
                  </pic:spPr>
                </pic:pic>
              </a:graphicData>
            </a:graphic>
          </wp:inline>
        </w:drawing>
      </w:r>
    </w:p>
    <w:p w14:paraId="6F66A62A" w14:textId="77777777" w:rsidR="00EC1C40" w:rsidRDefault="00000000">
      <w:pPr>
        <w:pStyle w:val="Titulekobrzku0"/>
        <w:framePr w:wrap="none" w:vAnchor="page" w:hAnchor="page" w:x="1541" w:y="6730"/>
        <w:rPr>
          <w:sz w:val="20"/>
          <w:szCs w:val="20"/>
        </w:rPr>
      </w:pPr>
      <w:r>
        <w:rPr>
          <w:b w:val="0"/>
          <w:bCs w:val="0"/>
          <w:color w:val="231E20"/>
          <w:sz w:val="20"/>
          <w:szCs w:val="20"/>
        </w:rPr>
        <w:t>Pohled ze zámku na záměr MHAP</w:t>
      </w:r>
    </w:p>
    <w:p w14:paraId="50017B7D" w14:textId="77777777" w:rsidR="00EC1C40" w:rsidRDefault="00000000">
      <w:pPr>
        <w:framePr w:wrap="none" w:vAnchor="page" w:hAnchor="page" w:x="1546" w:y="6994"/>
        <w:rPr>
          <w:sz w:val="2"/>
          <w:szCs w:val="2"/>
        </w:rPr>
      </w:pPr>
      <w:r>
        <w:rPr>
          <w:noProof/>
        </w:rPr>
        <w:drawing>
          <wp:inline distT="0" distB="0" distL="0" distR="0" wp14:anchorId="0A1F7CFB" wp14:editId="750A4E92">
            <wp:extent cx="4443730" cy="2889250"/>
            <wp:effectExtent l="0" t="0" r="0" b="0"/>
            <wp:docPr id="178" name="Picutre 178"/>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48"/>
                    <a:stretch/>
                  </pic:blipFill>
                  <pic:spPr>
                    <a:xfrm>
                      <a:off x="0" y="0"/>
                      <a:ext cx="4443730" cy="2889250"/>
                    </a:xfrm>
                    <a:prstGeom prst="rect">
                      <a:avLst/>
                    </a:prstGeom>
                  </pic:spPr>
                </pic:pic>
              </a:graphicData>
            </a:graphic>
          </wp:inline>
        </w:drawing>
      </w:r>
    </w:p>
    <w:p w14:paraId="63EB4958" w14:textId="77777777" w:rsidR="00EC1C40" w:rsidRDefault="00000000">
      <w:pPr>
        <w:pStyle w:val="Zhlavnebozpat0"/>
        <w:framePr w:wrap="none" w:vAnchor="page" w:hAnchor="page" w:x="11170" w:y="15879"/>
        <w:rPr>
          <w:sz w:val="20"/>
          <w:szCs w:val="20"/>
        </w:rPr>
      </w:pPr>
      <w:r>
        <w:rPr>
          <w:rFonts w:ascii="Arial" w:eastAsia="Arial" w:hAnsi="Arial" w:cs="Arial"/>
          <w:color w:val="231E20"/>
          <w:sz w:val="20"/>
          <w:szCs w:val="20"/>
        </w:rPr>
        <w:t>8</w:t>
      </w:r>
    </w:p>
    <w:p w14:paraId="54699420"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716483B0" w14:textId="77777777" w:rsidR="00EC1C40" w:rsidRDefault="00EC1C40">
      <w:pPr>
        <w:spacing w:line="1" w:lineRule="exact"/>
      </w:pPr>
    </w:p>
    <w:p w14:paraId="381CDEA4" w14:textId="77777777" w:rsidR="00EC1C40" w:rsidRDefault="00000000">
      <w:pPr>
        <w:pStyle w:val="Zhlavnebozpat0"/>
        <w:framePr w:wrap="none" w:vAnchor="page" w:hAnchor="page" w:x="5134" w:y="1001"/>
        <w:rPr>
          <w:sz w:val="22"/>
          <w:szCs w:val="22"/>
        </w:rPr>
      </w:pPr>
      <w:r>
        <w:rPr>
          <w:rFonts w:ascii="Arial" w:eastAsia="Arial" w:hAnsi="Arial" w:cs="Arial"/>
          <w:sz w:val="22"/>
          <w:szCs w:val="22"/>
        </w:rPr>
        <w:t>Soulad záměru MHAP s Územní studií „Nová Cihelna 2024</w:t>
      </w:r>
    </w:p>
    <w:p w14:paraId="4695FC0A" w14:textId="77777777" w:rsidR="00EC1C40" w:rsidRDefault="00000000">
      <w:pPr>
        <w:pStyle w:val="Titulekobrzku0"/>
        <w:framePr w:wrap="none" w:vAnchor="page" w:hAnchor="page" w:x="1524" w:y="1659"/>
        <w:rPr>
          <w:sz w:val="20"/>
          <w:szCs w:val="20"/>
        </w:rPr>
      </w:pPr>
      <w:r>
        <w:rPr>
          <w:b w:val="0"/>
          <w:bCs w:val="0"/>
          <w:color w:val="231E20"/>
          <w:sz w:val="20"/>
          <w:szCs w:val="20"/>
        </w:rPr>
        <w:t>Nadhled z dronu z jihu</w:t>
      </w:r>
    </w:p>
    <w:p w14:paraId="02F2E9E6" w14:textId="77777777" w:rsidR="00EC1C40" w:rsidRDefault="00000000">
      <w:pPr>
        <w:framePr w:wrap="none" w:vAnchor="page" w:hAnchor="page" w:x="1519" w:y="1923"/>
        <w:rPr>
          <w:sz w:val="2"/>
          <w:szCs w:val="2"/>
        </w:rPr>
      </w:pPr>
      <w:r>
        <w:rPr>
          <w:noProof/>
        </w:rPr>
        <w:drawing>
          <wp:inline distT="0" distB="0" distL="0" distR="0" wp14:anchorId="27752962" wp14:editId="54C14F45">
            <wp:extent cx="4450080" cy="2889250"/>
            <wp:effectExtent l="0" t="0" r="0" b="0"/>
            <wp:docPr id="179" name="Picutre 179"/>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49"/>
                    <a:stretch/>
                  </pic:blipFill>
                  <pic:spPr>
                    <a:xfrm>
                      <a:off x="0" y="0"/>
                      <a:ext cx="4450080" cy="2889250"/>
                    </a:xfrm>
                    <a:prstGeom prst="rect">
                      <a:avLst/>
                    </a:prstGeom>
                  </pic:spPr>
                </pic:pic>
              </a:graphicData>
            </a:graphic>
          </wp:inline>
        </w:drawing>
      </w:r>
    </w:p>
    <w:p w14:paraId="3C03BD00" w14:textId="77777777" w:rsidR="00EC1C40" w:rsidRDefault="00000000">
      <w:pPr>
        <w:pStyle w:val="Titulekobrzku0"/>
        <w:framePr w:wrap="none" w:vAnchor="page" w:hAnchor="page" w:x="1524" w:y="6742"/>
        <w:rPr>
          <w:sz w:val="20"/>
          <w:szCs w:val="20"/>
        </w:rPr>
      </w:pPr>
      <w:r>
        <w:rPr>
          <w:b w:val="0"/>
          <w:bCs w:val="0"/>
          <w:color w:val="231E20"/>
          <w:sz w:val="20"/>
          <w:szCs w:val="20"/>
        </w:rPr>
        <w:t>Nadhled z dronu ze severu</w:t>
      </w:r>
    </w:p>
    <w:p w14:paraId="7676756D" w14:textId="77777777" w:rsidR="00EC1C40" w:rsidRDefault="00000000">
      <w:pPr>
        <w:framePr w:wrap="none" w:vAnchor="page" w:hAnchor="page" w:x="1529" w:y="7006"/>
        <w:rPr>
          <w:sz w:val="2"/>
          <w:szCs w:val="2"/>
        </w:rPr>
      </w:pPr>
      <w:r>
        <w:rPr>
          <w:noProof/>
        </w:rPr>
        <w:drawing>
          <wp:inline distT="0" distB="0" distL="0" distR="0" wp14:anchorId="170AEC86" wp14:editId="19209E15">
            <wp:extent cx="4443730" cy="2889250"/>
            <wp:effectExtent l="0" t="0" r="0" b="0"/>
            <wp:docPr id="180" name="Picutre 180"/>
            <wp:cNvGraphicFramePr/>
            <a:graphic xmlns:a="http://schemas.openxmlformats.org/drawingml/2006/main">
              <a:graphicData uri="http://schemas.openxmlformats.org/drawingml/2006/picture">
                <pic:pic xmlns:pic="http://schemas.openxmlformats.org/drawingml/2006/picture">
                  <pic:nvPicPr>
                    <pic:cNvPr id="180" name="Picture 180"/>
                    <pic:cNvPicPr/>
                  </pic:nvPicPr>
                  <pic:blipFill>
                    <a:blip r:embed="rId50"/>
                    <a:stretch/>
                  </pic:blipFill>
                  <pic:spPr>
                    <a:xfrm>
                      <a:off x="0" y="0"/>
                      <a:ext cx="4443730" cy="2889250"/>
                    </a:xfrm>
                    <a:prstGeom prst="rect">
                      <a:avLst/>
                    </a:prstGeom>
                  </pic:spPr>
                </pic:pic>
              </a:graphicData>
            </a:graphic>
          </wp:inline>
        </w:drawing>
      </w:r>
    </w:p>
    <w:p w14:paraId="3983D1EE" w14:textId="77777777" w:rsidR="00EC1C40" w:rsidRDefault="00000000">
      <w:pPr>
        <w:pStyle w:val="Titulekobrzku0"/>
        <w:framePr w:w="9758" w:h="888" w:hRule="exact" w:wrap="none" w:vAnchor="page" w:hAnchor="page" w:x="1515" w:y="11825"/>
        <w:spacing w:line="302" w:lineRule="auto"/>
        <w:rPr>
          <w:sz w:val="20"/>
          <w:szCs w:val="20"/>
        </w:rPr>
      </w:pPr>
      <w:r>
        <w:rPr>
          <w:b w:val="0"/>
          <w:bCs w:val="0"/>
          <w:color w:val="231E20"/>
          <w:sz w:val="20"/>
          <w:szCs w:val="20"/>
        </w:rPr>
        <w:t>Poznámka: Odborné posouzení č. KR-03-2024 o vlivu záměru Multifunkční hokejové arény v Pardubicích na krajinný ráz dle § 12 zák. č.114/1992 Sb. je přílohou dokumentace pro povolení záměru a dále součásti EIA.</w:t>
      </w:r>
    </w:p>
    <w:p w14:paraId="111970B4" w14:textId="77777777" w:rsidR="00EC1C40" w:rsidRDefault="00000000">
      <w:pPr>
        <w:pStyle w:val="Zkladntext110"/>
        <w:framePr w:w="10546" w:h="2866" w:hRule="exact" w:wrap="none" w:vAnchor="page" w:hAnchor="page" w:x="785" w:y="12934"/>
        <w:spacing w:after="240" w:line="302" w:lineRule="auto"/>
        <w:ind w:firstLine="720"/>
        <w:jc w:val="both"/>
      </w:pPr>
      <w:r>
        <w:rPr>
          <w:i w:val="0"/>
          <w:iCs w:val="0"/>
          <w:color w:val="231E20"/>
        </w:rPr>
        <w:t>Závěr z odborného posouzení na krajinný ráz:</w:t>
      </w:r>
    </w:p>
    <w:p w14:paraId="180569AF" w14:textId="77777777" w:rsidR="00EC1C40" w:rsidRDefault="00000000">
      <w:pPr>
        <w:pStyle w:val="Zkladntext110"/>
        <w:framePr w:w="10546" w:h="2866" w:hRule="exact" w:wrap="none" w:vAnchor="page" w:hAnchor="page" w:x="785" w:y="12934"/>
        <w:spacing w:after="0" w:line="302" w:lineRule="auto"/>
        <w:ind w:left="720" w:firstLine="20"/>
      </w:pPr>
      <w:r>
        <w:rPr>
          <w:color w:val="231E20"/>
        </w:rPr>
        <w:t>Realizací navrhovaného záměru „Multifunkční hokejová aréna v Pardubicích“ bude do okrajového území Pardubic vložena nová výrazná kulturní (architektonická) dominanta, čímž dojde k jeho dostavbě a zpevnění. Ovlivněny však budou pouze běžné znaky krajinného rázu, jeho zásadní a jedinečné hodnoty nicméně nebudou dotčeny či sníženy vůbec anebo pouze slabě.</w:t>
      </w:r>
    </w:p>
    <w:p w14:paraId="22B40C35" w14:textId="77777777" w:rsidR="00EC1C40" w:rsidRDefault="00000000">
      <w:pPr>
        <w:pStyle w:val="Zkladntext110"/>
        <w:framePr w:w="10546" w:h="2866" w:hRule="exact" w:wrap="none" w:vAnchor="page" w:hAnchor="page" w:x="785" w:y="12934"/>
        <w:spacing w:after="0" w:line="302" w:lineRule="auto"/>
        <w:ind w:left="720" w:firstLine="20"/>
      </w:pPr>
      <w:r>
        <w:rPr>
          <w:b/>
          <w:bCs/>
          <w:color w:val="231E20"/>
        </w:rPr>
        <w:t xml:space="preserve">Tímto odborným posouzením bylo prokázáno, že navrhovaný záměr „Multifunkční hokejová aréna v Pardubicích “ </w:t>
      </w:r>
      <w:r>
        <w:rPr>
          <w:b/>
          <w:bCs/>
          <w:color w:val="231E20"/>
          <w:u w:val="single"/>
        </w:rPr>
        <w:t>představuje únosné ovlivnění znaků a hodnot jednotlivých charakteristik krajinného rázu dotčené krajiny a je navržen s ohledem na zákonná kritéria ochrany KR</w:t>
      </w:r>
      <w:r>
        <w:rPr>
          <w:b/>
          <w:bCs/>
          <w:color w:val="231E20"/>
        </w:rPr>
        <w:t xml:space="preserve"> dle § 12 zákona 114/1992 Sb., o ochraně přírody a krajiny, v platném znění.</w:t>
      </w:r>
    </w:p>
    <w:p w14:paraId="7045187B" w14:textId="77777777" w:rsidR="00EC1C40" w:rsidRDefault="00000000">
      <w:pPr>
        <w:pStyle w:val="Zhlavnebozpat0"/>
        <w:framePr w:wrap="none" w:vAnchor="page" w:hAnchor="page" w:x="11153" w:y="15891"/>
        <w:rPr>
          <w:sz w:val="20"/>
          <w:szCs w:val="20"/>
        </w:rPr>
      </w:pPr>
      <w:r>
        <w:rPr>
          <w:rFonts w:ascii="Arial" w:eastAsia="Arial" w:hAnsi="Arial" w:cs="Arial"/>
          <w:color w:val="231E20"/>
          <w:sz w:val="20"/>
          <w:szCs w:val="20"/>
        </w:rPr>
        <w:t>9</w:t>
      </w:r>
    </w:p>
    <w:p w14:paraId="25C90E9C"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2D424E1D" w14:textId="77777777" w:rsidR="00EC1C40" w:rsidRDefault="00EC1C40">
      <w:pPr>
        <w:spacing w:line="1" w:lineRule="exact"/>
      </w:pPr>
    </w:p>
    <w:p w14:paraId="63BB8766" w14:textId="77777777" w:rsidR="00EC1C40" w:rsidRDefault="00000000">
      <w:pPr>
        <w:pStyle w:val="Zhlavnebozpat0"/>
        <w:framePr w:wrap="none" w:vAnchor="page" w:hAnchor="page" w:x="5134" w:y="1001"/>
        <w:rPr>
          <w:sz w:val="22"/>
          <w:szCs w:val="22"/>
        </w:rPr>
      </w:pPr>
      <w:r>
        <w:rPr>
          <w:rFonts w:ascii="Arial" w:eastAsia="Arial" w:hAnsi="Arial" w:cs="Arial"/>
          <w:sz w:val="22"/>
          <w:szCs w:val="22"/>
        </w:rPr>
        <w:t>Soulad záměru MHAP s Územní studií „Nová Cihelna 2024</w:t>
      </w:r>
    </w:p>
    <w:p w14:paraId="2C463E3B" w14:textId="76C137BD" w:rsidR="00EC1C40" w:rsidRDefault="00000000">
      <w:pPr>
        <w:pStyle w:val="Nadpis40"/>
        <w:framePr w:w="10546" w:h="950" w:hRule="exact" w:wrap="none" w:vAnchor="page" w:hAnchor="page" w:x="785" w:y="1673"/>
        <w:spacing w:after="0" w:line="329" w:lineRule="auto"/>
        <w:rPr>
          <w:sz w:val="28"/>
          <w:szCs w:val="28"/>
        </w:rPr>
      </w:pPr>
      <w:bookmarkStart w:id="137" w:name="bookmark276"/>
      <w:r>
        <w:rPr>
          <w:rFonts w:ascii="Arial" w:eastAsia="Arial" w:hAnsi="Arial" w:cs="Arial"/>
          <w:color w:val="231E20"/>
        </w:rPr>
        <w:t xml:space="preserve">Soulad záměru MHAP s Územní studií „Nová Cihelna 2024“ </w:t>
      </w:r>
      <w:r>
        <w:rPr>
          <w:rFonts w:ascii="Arial" w:eastAsia="Arial" w:hAnsi="Arial" w:cs="Arial"/>
          <w:i/>
          <w:iCs/>
          <w:color w:val="3C6AB3"/>
          <w:sz w:val="28"/>
          <w:szCs w:val="28"/>
        </w:rPr>
        <w:t>Závazná</w:t>
      </w:r>
      <w:r w:rsidR="009F44A2">
        <w:rPr>
          <w:rFonts w:ascii="Arial" w:eastAsia="Arial" w:hAnsi="Arial" w:cs="Arial"/>
          <w:i/>
          <w:iCs/>
          <w:color w:val="3C6AB3"/>
          <w:sz w:val="28"/>
          <w:szCs w:val="28"/>
        </w:rPr>
        <w:t xml:space="preserve"> </w:t>
      </w:r>
      <w:r>
        <w:rPr>
          <w:rFonts w:ascii="Arial" w:eastAsia="Arial" w:hAnsi="Arial" w:cs="Arial"/>
          <w:i/>
          <w:iCs/>
          <w:color w:val="3C6AB3"/>
          <w:sz w:val="28"/>
          <w:szCs w:val="28"/>
        </w:rPr>
        <w:t>část</w:t>
      </w:r>
      <w:r w:rsidR="009F44A2">
        <w:rPr>
          <w:rFonts w:ascii="Arial" w:eastAsia="Arial" w:hAnsi="Arial" w:cs="Arial"/>
          <w:i/>
          <w:iCs/>
          <w:color w:val="3C6AB3"/>
          <w:sz w:val="28"/>
          <w:szCs w:val="28"/>
        </w:rPr>
        <w:t xml:space="preserve"> </w:t>
      </w:r>
      <w:r>
        <w:rPr>
          <w:rFonts w:ascii="Arial" w:eastAsia="Arial" w:hAnsi="Arial" w:cs="Arial"/>
          <w:i/>
          <w:iCs/>
          <w:color w:val="3C6AB3"/>
          <w:sz w:val="28"/>
          <w:szCs w:val="28"/>
        </w:rPr>
        <w:t>pro rozhodování</w:t>
      </w:r>
      <w:bookmarkEnd w:id="137"/>
    </w:p>
    <w:p w14:paraId="1DCE1FAC" w14:textId="364BD974" w:rsidR="00EC1C40" w:rsidRDefault="00000000">
      <w:pPr>
        <w:pStyle w:val="Zkladntext110"/>
        <w:framePr w:w="10546" w:h="1790" w:hRule="exact" w:wrap="none" w:vAnchor="page" w:hAnchor="page" w:x="785" w:y="2758"/>
        <w:spacing w:after="140"/>
      </w:pPr>
      <w:r>
        <w:t xml:space="preserve">Tato územní studie </w:t>
      </w:r>
      <w:r w:rsidR="009F44A2">
        <w:t>stanoví jako</w:t>
      </w:r>
      <w:r>
        <w:t xml:space="preserve"> závazné pro rozhodování následující části: r</w:t>
      </w:r>
      <w:r>
        <w:rPr>
          <w:b/>
          <w:bCs/>
        </w:rPr>
        <w:t xml:space="preserve">egulační </w:t>
      </w:r>
      <w:r>
        <w:t>v</w:t>
      </w:r>
      <w:r>
        <w:rPr>
          <w:b/>
          <w:bCs/>
        </w:rPr>
        <w:t xml:space="preserve">ýkres </w:t>
      </w:r>
      <w:r>
        <w:t>a z</w:t>
      </w:r>
      <w:r>
        <w:rPr>
          <w:b/>
          <w:bCs/>
        </w:rPr>
        <w:t>ávazné regulativy</w:t>
      </w:r>
      <w:r>
        <w:t>, jak následují níže v textu.</w:t>
      </w:r>
    </w:p>
    <w:p w14:paraId="07A1D2D8" w14:textId="77777777" w:rsidR="00EC1C40" w:rsidRDefault="00000000">
      <w:pPr>
        <w:pStyle w:val="Zkladntext110"/>
        <w:framePr w:w="10546" w:h="1790" w:hRule="exact" w:wrap="none" w:vAnchor="page" w:hAnchor="page" w:x="785" w:y="2758"/>
        <w:spacing w:after="0"/>
        <w:ind w:left="740"/>
      </w:pPr>
      <w:r>
        <w:rPr>
          <w:i w:val="0"/>
          <w:iCs w:val="0"/>
          <w:color w:val="231E20"/>
        </w:rPr>
        <w:t xml:space="preserve">Poznámka: Modře psané kurzívní části textu jsou doslovnou citací z textové části Územní studie „Nová Cihelna </w:t>
      </w:r>
      <w:r>
        <w:rPr>
          <w:color w:val="231E20"/>
        </w:rPr>
        <w:t>2024“.</w:t>
      </w:r>
      <w:r>
        <w:rPr>
          <w:i w:val="0"/>
          <w:iCs w:val="0"/>
          <w:color w:val="231E20"/>
        </w:rPr>
        <w:t xml:space="preserve"> Závazné části výkresů ř</w:t>
      </w:r>
      <w:r>
        <w:rPr>
          <w:b/>
          <w:bCs/>
          <w:i w:val="0"/>
          <w:iCs w:val="0"/>
          <w:color w:val="231E20"/>
        </w:rPr>
        <w:t xml:space="preserve">ešení </w:t>
      </w:r>
      <w:r>
        <w:rPr>
          <w:i w:val="0"/>
          <w:iCs w:val="0"/>
          <w:color w:val="231E20"/>
        </w:rPr>
        <w:t>v</w:t>
      </w:r>
      <w:r>
        <w:rPr>
          <w:b/>
          <w:bCs/>
          <w:i w:val="0"/>
          <w:iCs w:val="0"/>
          <w:color w:val="231E20"/>
        </w:rPr>
        <w:t xml:space="preserve">eřejných </w:t>
      </w:r>
      <w:r>
        <w:rPr>
          <w:i w:val="0"/>
          <w:iCs w:val="0"/>
          <w:color w:val="231E20"/>
        </w:rPr>
        <w:t>p</w:t>
      </w:r>
      <w:r>
        <w:rPr>
          <w:b/>
          <w:bCs/>
          <w:i w:val="0"/>
          <w:iCs w:val="0"/>
          <w:color w:val="231E20"/>
        </w:rPr>
        <w:t xml:space="preserve">rostranství </w:t>
      </w:r>
      <w:r>
        <w:rPr>
          <w:i w:val="0"/>
          <w:iCs w:val="0"/>
          <w:color w:val="231E20"/>
        </w:rPr>
        <w:t>a ř</w:t>
      </w:r>
      <w:r>
        <w:rPr>
          <w:b/>
          <w:bCs/>
          <w:i w:val="0"/>
          <w:iCs w:val="0"/>
          <w:color w:val="231E20"/>
        </w:rPr>
        <w:t xml:space="preserve">ešení </w:t>
      </w:r>
      <w:r>
        <w:rPr>
          <w:i w:val="0"/>
          <w:iCs w:val="0"/>
          <w:color w:val="231E20"/>
        </w:rPr>
        <w:t>d</w:t>
      </w:r>
      <w:r>
        <w:rPr>
          <w:b/>
          <w:bCs/>
          <w:i w:val="0"/>
          <w:iCs w:val="0"/>
          <w:color w:val="231E20"/>
        </w:rPr>
        <w:t xml:space="preserve">opravní </w:t>
      </w:r>
      <w:r>
        <w:rPr>
          <w:i w:val="0"/>
          <w:iCs w:val="0"/>
          <w:color w:val="231E20"/>
        </w:rPr>
        <w:t>i</w:t>
      </w:r>
      <w:r>
        <w:rPr>
          <w:b/>
          <w:bCs/>
          <w:i w:val="0"/>
          <w:iCs w:val="0"/>
          <w:color w:val="231E20"/>
        </w:rPr>
        <w:t xml:space="preserve">nfrastruktury </w:t>
      </w:r>
      <w:r>
        <w:rPr>
          <w:i w:val="0"/>
          <w:iCs w:val="0"/>
          <w:color w:val="231E20"/>
        </w:rPr>
        <w:t>jsou popsány v textu níže.</w:t>
      </w:r>
    </w:p>
    <w:p w14:paraId="66225546" w14:textId="77777777" w:rsidR="00EC1C40" w:rsidRDefault="00000000">
      <w:pPr>
        <w:pStyle w:val="Titulekobrzku0"/>
        <w:framePr w:wrap="none" w:vAnchor="page" w:hAnchor="page" w:x="814" w:y="4692"/>
        <w:rPr>
          <w:sz w:val="20"/>
          <w:szCs w:val="20"/>
        </w:rPr>
      </w:pPr>
      <w:r>
        <w:rPr>
          <w:b w:val="0"/>
          <w:bCs w:val="0"/>
          <w:i/>
          <w:iCs/>
          <w:color w:val="3C6AB3"/>
          <w:sz w:val="20"/>
          <w:szCs w:val="20"/>
        </w:rPr>
        <w:t>Regulační výkres</w:t>
      </w:r>
    </w:p>
    <w:p w14:paraId="4E2E5018" w14:textId="77777777" w:rsidR="00EC1C40" w:rsidRDefault="00000000">
      <w:pPr>
        <w:framePr w:wrap="none" w:vAnchor="page" w:hAnchor="page" w:x="828" w:y="4971"/>
        <w:rPr>
          <w:sz w:val="2"/>
          <w:szCs w:val="2"/>
        </w:rPr>
      </w:pPr>
      <w:r>
        <w:rPr>
          <w:noProof/>
        </w:rPr>
        <w:drawing>
          <wp:inline distT="0" distB="0" distL="0" distR="0" wp14:anchorId="135D5776" wp14:editId="7EF0F672">
            <wp:extent cx="5309870" cy="4456430"/>
            <wp:effectExtent l="0" t="0" r="0" b="0"/>
            <wp:docPr id="181" name="Picutre 181"/>
            <wp:cNvGraphicFramePr/>
            <a:graphic xmlns:a="http://schemas.openxmlformats.org/drawingml/2006/main">
              <a:graphicData uri="http://schemas.openxmlformats.org/drawingml/2006/picture">
                <pic:pic xmlns:pic="http://schemas.openxmlformats.org/drawingml/2006/picture">
                  <pic:nvPicPr>
                    <pic:cNvPr id="181" name="Picture 181"/>
                    <pic:cNvPicPr/>
                  </pic:nvPicPr>
                  <pic:blipFill>
                    <a:blip r:embed="rId51"/>
                    <a:stretch/>
                  </pic:blipFill>
                  <pic:spPr>
                    <a:xfrm>
                      <a:off x="0" y="0"/>
                      <a:ext cx="5309870" cy="4456430"/>
                    </a:xfrm>
                    <a:prstGeom prst="rect">
                      <a:avLst/>
                    </a:prstGeom>
                  </pic:spPr>
                </pic:pic>
              </a:graphicData>
            </a:graphic>
          </wp:inline>
        </w:drawing>
      </w:r>
    </w:p>
    <w:p w14:paraId="61C3979C" w14:textId="77777777" w:rsidR="00EC1C40" w:rsidRDefault="00000000">
      <w:pPr>
        <w:pStyle w:val="Jin0"/>
        <w:framePr w:w="10546" w:h="2712" w:hRule="exact" w:wrap="none" w:vAnchor="page" w:hAnchor="page" w:x="785" w:y="12699"/>
        <w:spacing w:after="260"/>
        <w:rPr>
          <w:sz w:val="28"/>
          <w:szCs w:val="28"/>
        </w:rPr>
      </w:pPr>
      <w:r>
        <w:rPr>
          <w:rFonts w:ascii="Arial" w:eastAsia="Arial" w:hAnsi="Arial" w:cs="Arial"/>
          <w:i/>
          <w:iCs/>
          <w:color w:val="3C6AB3"/>
          <w:sz w:val="28"/>
          <w:szCs w:val="28"/>
        </w:rPr>
        <w:t>Závazné regulativy</w:t>
      </w:r>
    </w:p>
    <w:p w14:paraId="279C3548" w14:textId="77777777" w:rsidR="00EC1C40" w:rsidRDefault="00000000">
      <w:pPr>
        <w:pStyle w:val="Zkladntext110"/>
        <w:framePr w:w="10546" w:h="2712" w:hRule="exact" w:wrap="none" w:vAnchor="page" w:hAnchor="page" w:x="785" w:y="12699"/>
        <w:spacing w:after="140" w:line="338" w:lineRule="auto"/>
      </w:pPr>
      <w:r>
        <w:t>Územní studie upřesňuje vymezení ploch s rozdílným způsobem využití v souladu s platným územním plánem Pardubic (dále též ÚP). Platí regulativy stanovené platným územním plánem Pardubic, přičemž se upřesňují, jak je popsáno níže. Závazné regulativy dle této územní studie, které budou v rozporu s později vydanou územně plánovací dokumentací, se pro rozhodování v území nepoužijí. V takových případech se bude rozhodovat dle později vydané územně plánovací dokumentace.</w:t>
      </w:r>
    </w:p>
    <w:p w14:paraId="2EB4DD6E" w14:textId="77777777" w:rsidR="00EC1C40" w:rsidRDefault="00000000">
      <w:pPr>
        <w:pStyle w:val="Zkladntext110"/>
        <w:framePr w:w="10546" w:h="2712" w:hRule="exact" w:wrap="none" w:vAnchor="page" w:hAnchor="page" w:x="785" w:y="12699"/>
        <w:spacing w:after="0" w:line="338" w:lineRule="auto"/>
      </w:pPr>
      <w:r>
        <w:rPr>
          <w:b/>
          <w:bCs/>
          <w:u w:val="single"/>
        </w:rPr>
        <w:t xml:space="preserve">Plochy </w:t>
      </w:r>
      <w:r>
        <w:rPr>
          <w:u w:val="single"/>
        </w:rPr>
        <w:t xml:space="preserve">s </w:t>
      </w:r>
      <w:r>
        <w:rPr>
          <w:b/>
          <w:bCs/>
          <w:u w:val="single"/>
        </w:rPr>
        <w:t xml:space="preserve">rozdílným </w:t>
      </w:r>
      <w:r>
        <w:rPr>
          <w:u w:val="single"/>
        </w:rPr>
        <w:t>z</w:t>
      </w:r>
      <w:r>
        <w:rPr>
          <w:b/>
          <w:bCs/>
          <w:u w:val="single"/>
        </w:rPr>
        <w:t xml:space="preserve">působem </w:t>
      </w:r>
      <w:r>
        <w:rPr>
          <w:u w:val="single"/>
        </w:rPr>
        <w:t>v</w:t>
      </w:r>
      <w:r>
        <w:rPr>
          <w:b/>
          <w:bCs/>
          <w:u w:val="single"/>
        </w:rPr>
        <w:t>yužití</w:t>
      </w:r>
    </w:p>
    <w:p w14:paraId="6B9F895E" w14:textId="77777777" w:rsidR="00EC1C40" w:rsidRDefault="00000000">
      <w:pPr>
        <w:pStyle w:val="Zhlavnebozpat0"/>
        <w:framePr w:wrap="none" w:vAnchor="page" w:hAnchor="page" w:x="11047" w:y="15891"/>
        <w:rPr>
          <w:sz w:val="20"/>
          <w:szCs w:val="20"/>
        </w:rPr>
      </w:pPr>
      <w:r>
        <w:rPr>
          <w:rFonts w:ascii="Arial" w:eastAsia="Arial" w:hAnsi="Arial" w:cs="Arial"/>
          <w:color w:val="231E20"/>
          <w:sz w:val="20"/>
          <w:szCs w:val="20"/>
        </w:rPr>
        <w:t>10</w:t>
      </w:r>
    </w:p>
    <w:p w14:paraId="6265D521"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77AE4819" w14:textId="77777777" w:rsidR="00EC1C40" w:rsidRDefault="00EC1C40">
      <w:pPr>
        <w:spacing w:line="1" w:lineRule="exact"/>
      </w:pPr>
    </w:p>
    <w:p w14:paraId="7410E39C" w14:textId="77777777" w:rsidR="00EC1C40" w:rsidRDefault="00000000">
      <w:pPr>
        <w:pStyle w:val="Zhlavnebozpat0"/>
        <w:framePr w:wrap="none" w:vAnchor="page" w:hAnchor="page" w:x="5143" w:y="996"/>
        <w:rPr>
          <w:sz w:val="22"/>
          <w:szCs w:val="22"/>
        </w:rPr>
      </w:pPr>
      <w:r>
        <w:rPr>
          <w:rFonts w:ascii="Arial" w:eastAsia="Arial" w:hAnsi="Arial" w:cs="Arial"/>
          <w:sz w:val="22"/>
          <w:szCs w:val="22"/>
        </w:rPr>
        <w:t>Soulad záměru MHAP s Územní studií „Nová Cihelna 2024</w:t>
      </w:r>
    </w:p>
    <w:p w14:paraId="46F8D3AE" w14:textId="387AB4E9" w:rsidR="00EC1C40" w:rsidRDefault="00000000">
      <w:pPr>
        <w:pStyle w:val="Zkladntext110"/>
        <w:framePr w:w="10526" w:h="3893" w:hRule="exact" w:wrap="none" w:vAnchor="page" w:hAnchor="page" w:x="795" w:y="1668"/>
        <w:spacing w:after="140" w:line="338" w:lineRule="auto"/>
      </w:pPr>
      <w:r>
        <w:rPr>
          <w:b/>
          <w:bCs/>
        </w:rPr>
        <w:t xml:space="preserve">Plochy </w:t>
      </w:r>
      <w:r>
        <w:t>b</w:t>
      </w:r>
      <w:r>
        <w:rPr>
          <w:b/>
          <w:bCs/>
        </w:rPr>
        <w:t xml:space="preserve">ydlení </w:t>
      </w:r>
      <w:r>
        <w:t>- h</w:t>
      </w:r>
      <w:r>
        <w:rPr>
          <w:b/>
          <w:bCs/>
        </w:rPr>
        <w:t xml:space="preserve">romadné: </w:t>
      </w:r>
      <w:r>
        <w:t xml:space="preserve">V rámci vymezených zastavitelných ploch se stanovují pravidla pro vymezení pozemků bytových domů, pozemků veřejných prostranství a pozemků pro stavby občanského vybavení, </w:t>
      </w:r>
      <w:r w:rsidR="009F44A2">
        <w:t>jak je</w:t>
      </w:r>
      <w:r>
        <w:t xml:space="preserve"> připouští územní plán.</w:t>
      </w:r>
    </w:p>
    <w:p w14:paraId="52DD855D" w14:textId="77777777" w:rsidR="00EC1C40" w:rsidRDefault="00000000">
      <w:pPr>
        <w:pStyle w:val="Zkladntext110"/>
        <w:framePr w:w="10526" w:h="3893" w:hRule="exact" w:wrap="none" w:vAnchor="page" w:hAnchor="page" w:x="795" w:y="1668"/>
        <w:numPr>
          <w:ilvl w:val="0"/>
          <w:numId w:val="100"/>
        </w:numPr>
        <w:tabs>
          <w:tab w:val="left" w:pos="1033"/>
        </w:tabs>
        <w:spacing w:after="140"/>
        <w:ind w:firstLine="740"/>
      </w:pPr>
      <w:r>
        <w:rPr>
          <w:i w:val="0"/>
          <w:iCs w:val="0"/>
          <w:color w:val="231E20"/>
        </w:rPr>
        <w:t>rámci řešeného území nejsou žádné p</w:t>
      </w:r>
      <w:r>
        <w:rPr>
          <w:b/>
          <w:bCs/>
          <w:i w:val="0"/>
          <w:iCs w:val="0"/>
          <w:color w:val="231E20"/>
        </w:rPr>
        <w:t xml:space="preserve">lochy </w:t>
      </w:r>
      <w:r>
        <w:rPr>
          <w:i w:val="0"/>
          <w:iCs w:val="0"/>
          <w:color w:val="231E20"/>
        </w:rPr>
        <w:t>b</w:t>
      </w:r>
      <w:r>
        <w:rPr>
          <w:b/>
          <w:bCs/>
          <w:i w:val="0"/>
          <w:iCs w:val="0"/>
          <w:color w:val="231E20"/>
        </w:rPr>
        <w:t xml:space="preserve">ydlení </w:t>
      </w:r>
      <w:r>
        <w:rPr>
          <w:i w:val="0"/>
          <w:iCs w:val="0"/>
          <w:color w:val="231E20"/>
        </w:rPr>
        <w:t xml:space="preserve">- </w:t>
      </w:r>
      <w:r>
        <w:rPr>
          <w:b/>
          <w:bCs/>
          <w:i w:val="0"/>
          <w:iCs w:val="0"/>
          <w:color w:val="231E20"/>
        </w:rPr>
        <w:t>hromadné</w:t>
      </w:r>
      <w:r>
        <w:rPr>
          <w:i w:val="0"/>
          <w:iCs w:val="0"/>
          <w:color w:val="231E20"/>
        </w:rPr>
        <w:t>.</w:t>
      </w:r>
    </w:p>
    <w:p w14:paraId="175221BF" w14:textId="08F4C7D4" w:rsidR="00EC1C40" w:rsidRDefault="00000000">
      <w:pPr>
        <w:pStyle w:val="Zkladntext110"/>
        <w:framePr w:w="10526" w:h="3893" w:hRule="exact" w:wrap="none" w:vAnchor="page" w:hAnchor="page" w:x="795" w:y="1668"/>
        <w:spacing w:after="140"/>
      </w:pPr>
      <w:r>
        <w:rPr>
          <w:b/>
          <w:bCs/>
        </w:rPr>
        <w:t xml:space="preserve">Plochy </w:t>
      </w:r>
      <w:r>
        <w:t>b</w:t>
      </w:r>
      <w:r>
        <w:rPr>
          <w:b/>
          <w:bCs/>
        </w:rPr>
        <w:t xml:space="preserve">ydlení </w:t>
      </w:r>
      <w:r>
        <w:t>- i</w:t>
      </w:r>
      <w:r>
        <w:rPr>
          <w:b/>
          <w:bCs/>
        </w:rPr>
        <w:t xml:space="preserve">ndividuální: </w:t>
      </w:r>
      <w:r>
        <w:t xml:space="preserve">V rámci vymezených zastavitelných ploch se stanovují pravidla pro vymezení pozemků rodinných domů, pozemků veřejných prostranství a pozemků pro stavby občanského vybavení, </w:t>
      </w:r>
      <w:r w:rsidR="009F44A2">
        <w:t>jak je</w:t>
      </w:r>
      <w:r>
        <w:t xml:space="preserve"> připouští územní plán.</w:t>
      </w:r>
    </w:p>
    <w:p w14:paraId="44E55183" w14:textId="77777777" w:rsidR="00EC1C40" w:rsidRDefault="00000000">
      <w:pPr>
        <w:pStyle w:val="Zkladntext110"/>
        <w:framePr w:w="10526" w:h="3893" w:hRule="exact" w:wrap="none" w:vAnchor="page" w:hAnchor="page" w:x="795" w:y="1668"/>
        <w:numPr>
          <w:ilvl w:val="0"/>
          <w:numId w:val="100"/>
        </w:numPr>
        <w:tabs>
          <w:tab w:val="left" w:pos="1033"/>
        </w:tabs>
        <w:spacing w:after="140"/>
        <w:ind w:firstLine="740"/>
      </w:pPr>
      <w:r>
        <w:rPr>
          <w:i w:val="0"/>
          <w:iCs w:val="0"/>
          <w:color w:val="231E20"/>
        </w:rPr>
        <w:t>rámci řešeného území nejsou žádné p</w:t>
      </w:r>
      <w:r>
        <w:rPr>
          <w:b/>
          <w:bCs/>
          <w:i w:val="0"/>
          <w:iCs w:val="0"/>
          <w:color w:val="231E20"/>
        </w:rPr>
        <w:t xml:space="preserve">lochy </w:t>
      </w:r>
      <w:r>
        <w:rPr>
          <w:i w:val="0"/>
          <w:iCs w:val="0"/>
          <w:color w:val="231E20"/>
        </w:rPr>
        <w:t>b</w:t>
      </w:r>
      <w:r>
        <w:rPr>
          <w:b/>
          <w:bCs/>
          <w:i w:val="0"/>
          <w:iCs w:val="0"/>
          <w:color w:val="231E20"/>
        </w:rPr>
        <w:t xml:space="preserve">ydlení </w:t>
      </w:r>
      <w:r>
        <w:rPr>
          <w:i w:val="0"/>
          <w:iCs w:val="0"/>
          <w:color w:val="231E20"/>
        </w:rPr>
        <w:t>- i</w:t>
      </w:r>
      <w:r>
        <w:rPr>
          <w:b/>
          <w:bCs/>
          <w:i w:val="0"/>
          <w:iCs w:val="0"/>
          <w:color w:val="231E20"/>
        </w:rPr>
        <w:t>ndividuální</w:t>
      </w:r>
      <w:r>
        <w:rPr>
          <w:i w:val="0"/>
          <w:iCs w:val="0"/>
          <w:color w:val="231E20"/>
        </w:rPr>
        <w:t>.</w:t>
      </w:r>
    </w:p>
    <w:p w14:paraId="2C74E01D" w14:textId="77777777" w:rsidR="00EC1C40" w:rsidRDefault="00000000">
      <w:pPr>
        <w:pStyle w:val="Zkladntext110"/>
        <w:framePr w:w="10526" w:h="3893" w:hRule="exact" w:wrap="none" w:vAnchor="page" w:hAnchor="page" w:x="795" w:y="1668"/>
        <w:spacing w:after="0"/>
      </w:pPr>
      <w:r>
        <w:rPr>
          <w:b/>
          <w:bCs/>
        </w:rPr>
        <w:t xml:space="preserve">Plochy </w:t>
      </w:r>
      <w:r>
        <w:t>s</w:t>
      </w:r>
      <w:r>
        <w:rPr>
          <w:b/>
          <w:bCs/>
        </w:rPr>
        <w:t xml:space="preserve">míšené </w:t>
      </w:r>
      <w:r>
        <w:t>m</w:t>
      </w:r>
      <w:r>
        <w:rPr>
          <w:b/>
          <w:bCs/>
        </w:rPr>
        <w:t xml:space="preserve">ěstské: </w:t>
      </w:r>
      <w:r>
        <w:t>V rámci vymezených zastavitelných ploch se stanovují pravidla pro vymezení pozemků bytových domů, pozemků veřejných prostranství a pozemků pro stavby občanského vybavení.</w:t>
      </w:r>
    </w:p>
    <w:p w14:paraId="1AC683FE" w14:textId="77777777" w:rsidR="00EC1C40" w:rsidRDefault="00000000">
      <w:pPr>
        <w:pStyle w:val="Zkladntext110"/>
        <w:framePr w:w="10526" w:h="662" w:hRule="exact" w:wrap="none" w:vAnchor="page" w:hAnchor="page" w:x="795" w:y="5705"/>
        <w:spacing w:after="0"/>
        <w:ind w:left="740" w:firstLine="20"/>
      </w:pPr>
      <w:r>
        <w:rPr>
          <w:i w:val="0"/>
          <w:iCs w:val="0"/>
          <w:color w:val="231E20"/>
        </w:rPr>
        <w:t>Návrh do těchto ploch neumisťuje žádné stavby. Urbanistické, dopravní a krajinné řešení umožňuje budoucí výstavbu dle regulativ územní studie.</w:t>
      </w:r>
    </w:p>
    <w:p w14:paraId="4CC25760" w14:textId="0D8181D3" w:rsidR="00EC1C40" w:rsidRDefault="00000000">
      <w:pPr>
        <w:pStyle w:val="Zkladntext110"/>
        <w:framePr w:w="10526" w:h="1310" w:hRule="exact" w:wrap="none" w:vAnchor="page" w:hAnchor="page" w:x="795" w:y="6512"/>
        <w:spacing w:after="0" w:line="338" w:lineRule="auto"/>
      </w:pPr>
      <w:r>
        <w:rPr>
          <w:b/>
          <w:bCs/>
        </w:rPr>
        <w:t xml:space="preserve">Plochy </w:t>
      </w:r>
      <w:r>
        <w:t>p</w:t>
      </w:r>
      <w:r>
        <w:rPr>
          <w:b/>
          <w:bCs/>
        </w:rPr>
        <w:t xml:space="preserve">ro </w:t>
      </w:r>
      <w:r>
        <w:t>o</w:t>
      </w:r>
      <w:r>
        <w:rPr>
          <w:b/>
          <w:bCs/>
        </w:rPr>
        <w:t xml:space="preserve">bčanské </w:t>
      </w:r>
      <w:r>
        <w:t>v</w:t>
      </w:r>
      <w:r>
        <w:rPr>
          <w:b/>
          <w:bCs/>
        </w:rPr>
        <w:t xml:space="preserve">ybavení </w:t>
      </w:r>
      <w:r>
        <w:t>- k</w:t>
      </w:r>
      <w:r>
        <w:rPr>
          <w:b/>
          <w:bCs/>
        </w:rPr>
        <w:t xml:space="preserve">omerční: </w:t>
      </w:r>
      <w:r>
        <w:t xml:space="preserve">V rámci vymezených zastavitelných ploch se stanovují pravidla pro vymezení pozemků pro občanské vybavení, které bude sloužit pro obsluhu řešené lokality - prodejní plocha jedné provozovny bude nejvýše 1500 m2. Funkce bydlení se v těchto plochách připouští do té míry, </w:t>
      </w:r>
      <w:r w:rsidR="009F44A2">
        <w:t>jak je</w:t>
      </w:r>
      <w:r>
        <w:t xml:space="preserve"> uvedeno v územním plánu pro dané umístění.</w:t>
      </w:r>
    </w:p>
    <w:p w14:paraId="569EEF3E" w14:textId="77777777" w:rsidR="00EC1C40" w:rsidRDefault="00000000">
      <w:pPr>
        <w:pStyle w:val="Zkladntext110"/>
        <w:framePr w:w="10526" w:h="1310" w:hRule="exact" w:wrap="none" w:vAnchor="page" w:hAnchor="page" w:x="795" w:y="7961"/>
        <w:spacing w:after="0" w:line="338" w:lineRule="auto"/>
        <w:ind w:left="740" w:firstLine="20"/>
      </w:pPr>
      <w:r>
        <w:rPr>
          <w:i w:val="0"/>
          <w:iCs w:val="0"/>
          <w:color w:val="231E20"/>
        </w:rPr>
        <w:t>V této ploše je umístěn objekt showroomu, který leží v ploše územního plánu S</w:t>
      </w:r>
      <w:r>
        <w:rPr>
          <w:b/>
          <w:bCs/>
          <w:i w:val="0"/>
          <w:iCs w:val="0"/>
          <w:color w:val="231E20"/>
        </w:rPr>
        <w:t xml:space="preserve">portovní </w:t>
      </w:r>
      <w:r>
        <w:rPr>
          <w:i w:val="0"/>
          <w:iCs w:val="0"/>
          <w:color w:val="231E20"/>
        </w:rPr>
        <w:t>a</w:t>
      </w:r>
      <w:r>
        <w:rPr>
          <w:b/>
          <w:bCs/>
          <w:i w:val="0"/>
          <w:iCs w:val="0"/>
          <w:color w:val="231E20"/>
        </w:rPr>
        <w:t>reály - RS</w:t>
      </w:r>
      <w:r>
        <w:rPr>
          <w:i w:val="0"/>
          <w:iCs w:val="0"/>
          <w:color w:val="231E20"/>
        </w:rPr>
        <w:t>. Jedná se o polyfunkční objekt, ve kterém se nachází 2 komerční jednotky bez účelu využití, které svou plochou nepřesahují 1500 m2 a ve vyšších patrech 17 bytů pro zaměstnance a sportovce. Funkční využití je dle ÚP přípustné.</w:t>
      </w:r>
    </w:p>
    <w:p w14:paraId="2A4CF08C" w14:textId="77777777" w:rsidR="00EC1C40" w:rsidRDefault="00000000">
      <w:pPr>
        <w:framePr w:wrap="none" w:vAnchor="page" w:hAnchor="page" w:x="1539" w:y="9372"/>
        <w:rPr>
          <w:sz w:val="2"/>
          <w:szCs w:val="2"/>
        </w:rPr>
      </w:pPr>
      <w:r>
        <w:rPr>
          <w:noProof/>
        </w:rPr>
        <w:drawing>
          <wp:inline distT="0" distB="0" distL="0" distR="0" wp14:anchorId="7D2B7689" wp14:editId="076F612E">
            <wp:extent cx="5559425" cy="2480945"/>
            <wp:effectExtent l="0" t="0" r="0" b="0"/>
            <wp:docPr id="182" name="Picutre 182"/>
            <wp:cNvGraphicFramePr/>
            <a:graphic xmlns:a="http://schemas.openxmlformats.org/drawingml/2006/main">
              <a:graphicData uri="http://schemas.openxmlformats.org/drawingml/2006/picture">
                <pic:pic xmlns:pic="http://schemas.openxmlformats.org/drawingml/2006/picture">
                  <pic:nvPicPr>
                    <pic:cNvPr id="182" name="Picture 182"/>
                    <pic:cNvPicPr/>
                  </pic:nvPicPr>
                  <pic:blipFill>
                    <a:blip r:embed="rId52"/>
                    <a:stretch/>
                  </pic:blipFill>
                  <pic:spPr>
                    <a:xfrm>
                      <a:off x="0" y="0"/>
                      <a:ext cx="5559425" cy="2480945"/>
                    </a:xfrm>
                    <a:prstGeom prst="rect">
                      <a:avLst/>
                    </a:prstGeom>
                  </pic:spPr>
                </pic:pic>
              </a:graphicData>
            </a:graphic>
          </wp:inline>
        </w:drawing>
      </w:r>
    </w:p>
    <w:p w14:paraId="64B4E839" w14:textId="77777777" w:rsidR="00EC1C40" w:rsidRDefault="00000000">
      <w:pPr>
        <w:pStyle w:val="Zkladntext110"/>
        <w:framePr w:w="10526" w:h="984" w:hRule="exact" w:wrap="none" w:vAnchor="page" w:hAnchor="page" w:x="795" w:y="13505"/>
        <w:spacing w:after="0"/>
      </w:pPr>
      <w:r>
        <w:rPr>
          <w:b/>
          <w:bCs/>
        </w:rPr>
        <w:t xml:space="preserve">Plochy </w:t>
      </w:r>
      <w:r>
        <w:t>p</w:t>
      </w:r>
      <w:r>
        <w:rPr>
          <w:b/>
          <w:bCs/>
        </w:rPr>
        <w:t xml:space="preserve">ro </w:t>
      </w:r>
      <w:r>
        <w:t>o</w:t>
      </w:r>
      <w:r>
        <w:rPr>
          <w:b/>
          <w:bCs/>
        </w:rPr>
        <w:t xml:space="preserve">bčanské </w:t>
      </w:r>
      <w:r>
        <w:t>v</w:t>
      </w:r>
      <w:r>
        <w:rPr>
          <w:b/>
          <w:bCs/>
        </w:rPr>
        <w:t xml:space="preserve">ybavení </w:t>
      </w:r>
      <w:r>
        <w:t>- v</w:t>
      </w:r>
      <w:r>
        <w:rPr>
          <w:b/>
          <w:bCs/>
        </w:rPr>
        <w:t xml:space="preserve">eřejné: </w:t>
      </w:r>
      <w:r>
        <w:t>Pro umístěné mateřské školy je ve studii přednostně uvažován blok č.</w:t>
      </w:r>
    </w:p>
    <w:p w14:paraId="0B3DC9D9" w14:textId="6D8449E4" w:rsidR="00EC1C40" w:rsidRDefault="00000000">
      <w:pPr>
        <w:pStyle w:val="Zkladntext110"/>
        <w:framePr w:w="10526" w:h="984" w:hRule="exact" w:wrap="none" w:vAnchor="page" w:hAnchor="page" w:x="795" w:y="13505"/>
        <w:spacing w:after="0"/>
      </w:pPr>
      <w:r>
        <w:t>24. Pakliže bude mateřská škola realizována (tzn. kolaudována) v jiném umístění v rámci řešeného území, bude možno uvedený blok využít pro bydlení. Předpokládaná kapacita MŠ</w:t>
      </w:r>
      <w:r w:rsidR="009F44A2">
        <w:t xml:space="preserve"> </w:t>
      </w:r>
      <w:r>
        <w:t>jsou čtyři třídy pro cca 20 dětí.</w:t>
      </w:r>
    </w:p>
    <w:p w14:paraId="5C7535F7" w14:textId="77777777" w:rsidR="00EC1C40" w:rsidRDefault="00000000">
      <w:pPr>
        <w:pStyle w:val="Zkladntext110"/>
        <w:framePr w:w="10526" w:h="1037" w:hRule="exact" w:wrap="none" w:vAnchor="page" w:hAnchor="page" w:x="795" w:y="14633"/>
        <w:spacing w:after="140"/>
        <w:ind w:firstLine="740"/>
      </w:pPr>
      <w:r>
        <w:rPr>
          <w:i w:val="0"/>
          <w:iCs w:val="0"/>
          <w:color w:val="231E20"/>
        </w:rPr>
        <w:t>V rámci řešeného území nejsou žádné p</w:t>
      </w:r>
      <w:r>
        <w:rPr>
          <w:b/>
          <w:bCs/>
          <w:i w:val="0"/>
          <w:iCs w:val="0"/>
          <w:color w:val="231E20"/>
        </w:rPr>
        <w:t xml:space="preserve">lochy </w:t>
      </w:r>
      <w:r>
        <w:rPr>
          <w:i w:val="0"/>
          <w:iCs w:val="0"/>
          <w:color w:val="231E20"/>
        </w:rPr>
        <w:t>p</w:t>
      </w:r>
      <w:r>
        <w:rPr>
          <w:b/>
          <w:bCs/>
          <w:i w:val="0"/>
          <w:iCs w:val="0"/>
          <w:color w:val="231E20"/>
        </w:rPr>
        <w:t xml:space="preserve">ro </w:t>
      </w:r>
      <w:r>
        <w:rPr>
          <w:i w:val="0"/>
          <w:iCs w:val="0"/>
          <w:color w:val="231E20"/>
        </w:rPr>
        <w:t>o</w:t>
      </w:r>
      <w:r>
        <w:rPr>
          <w:b/>
          <w:bCs/>
          <w:i w:val="0"/>
          <w:iCs w:val="0"/>
          <w:color w:val="231E20"/>
        </w:rPr>
        <w:t xml:space="preserve">bčanské </w:t>
      </w:r>
      <w:r>
        <w:rPr>
          <w:i w:val="0"/>
          <w:iCs w:val="0"/>
          <w:color w:val="231E20"/>
        </w:rPr>
        <w:t>v</w:t>
      </w:r>
      <w:r>
        <w:rPr>
          <w:b/>
          <w:bCs/>
          <w:i w:val="0"/>
          <w:iCs w:val="0"/>
          <w:color w:val="231E20"/>
        </w:rPr>
        <w:t xml:space="preserve">ybavení </w:t>
      </w:r>
      <w:r>
        <w:rPr>
          <w:i w:val="0"/>
          <w:iCs w:val="0"/>
          <w:color w:val="231E20"/>
        </w:rPr>
        <w:t>- v</w:t>
      </w:r>
      <w:r>
        <w:rPr>
          <w:b/>
          <w:bCs/>
          <w:i w:val="0"/>
          <w:iCs w:val="0"/>
          <w:color w:val="231E20"/>
        </w:rPr>
        <w:t>eřejné.</w:t>
      </w:r>
    </w:p>
    <w:p w14:paraId="17A41E0C" w14:textId="77777777" w:rsidR="00EC1C40" w:rsidRDefault="00000000">
      <w:pPr>
        <w:pStyle w:val="Zkladntext110"/>
        <w:framePr w:w="10526" w:h="1037" w:hRule="exact" w:wrap="none" w:vAnchor="page" w:hAnchor="page" w:x="795" w:y="14633"/>
        <w:spacing w:after="0"/>
      </w:pPr>
      <w:r>
        <w:rPr>
          <w:b/>
          <w:bCs/>
        </w:rPr>
        <w:t xml:space="preserve">Plochy </w:t>
      </w:r>
      <w:r>
        <w:t>p</w:t>
      </w:r>
      <w:r>
        <w:rPr>
          <w:b/>
          <w:bCs/>
        </w:rPr>
        <w:t xml:space="preserve">ro </w:t>
      </w:r>
      <w:r>
        <w:t>o</w:t>
      </w:r>
      <w:r>
        <w:rPr>
          <w:b/>
          <w:bCs/>
        </w:rPr>
        <w:t xml:space="preserve">bčanské </w:t>
      </w:r>
      <w:r>
        <w:t>v</w:t>
      </w:r>
      <w:r>
        <w:rPr>
          <w:b/>
          <w:bCs/>
        </w:rPr>
        <w:t xml:space="preserve">ybavení </w:t>
      </w:r>
      <w:r>
        <w:t>- s</w:t>
      </w:r>
      <w:r>
        <w:rPr>
          <w:b/>
          <w:bCs/>
        </w:rPr>
        <w:t xml:space="preserve">port: </w:t>
      </w:r>
      <w:r>
        <w:t>Jako hlavní využití se uvažuje s umístěním multifunkční sportovní haly včetně doprovodných staveb, které s jejím provozem souvisejí. V rámci plochy je možné umístit i ostatní</w:t>
      </w:r>
    </w:p>
    <w:p w14:paraId="0E21799F" w14:textId="77777777" w:rsidR="00EC1C40" w:rsidRDefault="00000000">
      <w:pPr>
        <w:pStyle w:val="Zhlavnebozpat0"/>
        <w:framePr w:w="10498" w:h="293" w:hRule="exact" w:wrap="none" w:vAnchor="page" w:hAnchor="page" w:x="823" w:y="15934"/>
        <w:spacing w:line="336" w:lineRule="auto"/>
        <w:jc w:val="right"/>
        <w:rPr>
          <w:sz w:val="20"/>
          <w:szCs w:val="20"/>
        </w:rPr>
      </w:pPr>
      <w:r>
        <w:rPr>
          <w:rFonts w:ascii="Arial" w:eastAsia="Arial" w:hAnsi="Arial" w:cs="Arial"/>
          <w:color w:val="231E20"/>
          <w:sz w:val="20"/>
          <w:szCs w:val="20"/>
        </w:rPr>
        <w:t>11</w:t>
      </w:r>
    </w:p>
    <w:p w14:paraId="35437246"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7783B307" w14:textId="77777777" w:rsidR="00EC1C40" w:rsidRDefault="00EC1C40">
      <w:pPr>
        <w:spacing w:line="1" w:lineRule="exact"/>
      </w:pPr>
    </w:p>
    <w:p w14:paraId="12781E50" w14:textId="77777777" w:rsidR="00EC1C40" w:rsidRDefault="00000000">
      <w:pPr>
        <w:pStyle w:val="Zhlavnebozpat0"/>
        <w:framePr w:wrap="none" w:vAnchor="page" w:hAnchor="page" w:x="5167" w:y="935"/>
        <w:rPr>
          <w:sz w:val="22"/>
          <w:szCs w:val="22"/>
        </w:rPr>
      </w:pPr>
      <w:r>
        <w:rPr>
          <w:rFonts w:ascii="Arial" w:eastAsia="Arial" w:hAnsi="Arial" w:cs="Arial"/>
          <w:sz w:val="22"/>
          <w:szCs w:val="22"/>
        </w:rPr>
        <w:t>Soulad záměru MHAP s Územní studií „Nová Cihelna 2024</w:t>
      </w:r>
    </w:p>
    <w:p w14:paraId="252FA5D3" w14:textId="77777777" w:rsidR="00EC1C40" w:rsidRDefault="00000000">
      <w:pPr>
        <w:pStyle w:val="Zkladntext110"/>
        <w:framePr w:w="10421" w:h="672" w:hRule="exact" w:wrap="none" w:vAnchor="page" w:hAnchor="page" w:x="847" w:y="1607"/>
        <w:spacing w:after="0" w:line="341" w:lineRule="auto"/>
        <w:jc w:val="both"/>
      </w:pPr>
      <w:r>
        <w:t>občanské vybavení, které bude sloužit pro obsluhu řešené lokality - prodejní plocha jedné provozovny bude nejvýše 1500 m2.</w:t>
      </w:r>
    </w:p>
    <w:p w14:paraId="2FF9636C" w14:textId="77777777" w:rsidR="00EC1C40" w:rsidRDefault="00000000">
      <w:pPr>
        <w:pStyle w:val="Zkladntext110"/>
        <w:framePr w:w="10421" w:h="984" w:hRule="exact" w:wrap="none" w:vAnchor="page" w:hAnchor="page" w:x="847" w:y="2418"/>
        <w:spacing w:after="0"/>
        <w:ind w:left="700" w:firstLine="20"/>
        <w:jc w:val="both"/>
      </w:pPr>
      <w:r>
        <w:rPr>
          <w:i w:val="0"/>
          <w:iCs w:val="0"/>
          <w:color w:val="231E20"/>
        </w:rPr>
        <w:t>Návrh je v souladu s plochou určenou pro O</w:t>
      </w:r>
      <w:r>
        <w:rPr>
          <w:b/>
          <w:bCs/>
          <w:i w:val="0"/>
          <w:iCs w:val="0"/>
          <w:color w:val="231E20"/>
        </w:rPr>
        <w:t xml:space="preserve">bčanské </w:t>
      </w:r>
      <w:r>
        <w:rPr>
          <w:i w:val="0"/>
          <w:iCs w:val="0"/>
          <w:color w:val="231E20"/>
        </w:rPr>
        <w:t>v</w:t>
      </w:r>
      <w:r>
        <w:rPr>
          <w:b/>
          <w:bCs/>
          <w:i w:val="0"/>
          <w:iCs w:val="0"/>
          <w:color w:val="231E20"/>
        </w:rPr>
        <w:t xml:space="preserve">ybavení </w:t>
      </w:r>
      <w:r>
        <w:rPr>
          <w:i w:val="0"/>
          <w:iCs w:val="0"/>
          <w:color w:val="231E20"/>
        </w:rPr>
        <w:t>- s</w:t>
      </w:r>
      <w:r>
        <w:rPr>
          <w:b/>
          <w:bCs/>
          <w:i w:val="0"/>
          <w:iCs w:val="0"/>
          <w:color w:val="231E20"/>
        </w:rPr>
        <w:t>port</w:t>
      </w:r>
      <w:r>
        <w:rPr>
          <w:i w:val="0"/>
          <w:iCs w:val="0"/>
          <w:color w:val="231E20"/>
        </w:rPr>
        <w:t>, neboť zde umisťuje multifunkční sportovní arénu spolu s doprovodnými stavbami souvisejícími s jejím provozem. Objekty mají společnou platformu. Žádná provozovna svou prodejní plochou nepřesahuje 1500 m2.</w:t>
      </w:r>
    </w:p>
    <w:p w14:paraId="0D6802ED" w14:textId="77777777" w:rsidR="00EC1C40" w:rsidRDefault="00000000">
      <w:pPr>
        <w:framePr w:wrap="none" w:vAnchor="page" w:hAnchor="page" w:x="1563" w:y="3503"/>
        <w:rPr>
          <w:sz w:val="2"/>
          <w:szCs w:val="2"/>
        </w:rPr>
      </w:pPr>
      <w:r>
        <w:rPr>
          <w:noProof/>
        </w:rPr>
        <w:drawing>
          <wp:inline distT="0" distB="0" distL="0" distR="0" wp14:anchorId="56EFDB7B" wp14:editId="4AC3D93F">
            <wp:extent cx="3017520" cy="2736850"/>
            <wp:effectExtent l="0" t="0" r="0" b="0"/>
            <wp:docPr id="183" name="Picutre 183"/>
            <wp:cNvGraphicFramePr/>
            <a:graphic xmlns:a="http://schemas.openxmlformats.org/drawingml/2006/main">
              <a:graphicData uri="http://schemas.openxmlformats.org/drawingml/2006/picture">
                <pic:pic xmlns:pic="http://schemas.openxmlformats.org/drawingml/2006/picture">
                  <pic:nvPicPr>
                    <pic:cNvPr id="183" name="Picture 183"/>
                    <pic:cNvPicPr/>
                  </pic:nvPicPr>
                  <pic:blipFill>
                    <a:blip r:embed="rId53"/>
                    <a:stretch/>
                  </pic:blipFill>
                  <pic:spPr>
                    <a:xfrm>
                      <a:off x="0" y="0"/>
                      <a:ext cx="3017520" cy="2736850"/>
                    </a:xfrm>
                    <a:prstGeom prst="rect">
                      <a:avLst/>
                    </a:prstGeom>
                  </pic:spPr>
                </pic:pic>
              </a:graphicData>
            </a:graphic>
          </wp:inline>
        </w:drawing>
      </w:r>
    </w:p>
    <w:p w14:paraId="6A44E5A8" w14:textId="77777777" w:rsidR="00EC1C40" w:rsidRDefault="00000000">
      <w:pPr>
        <w:pStyle w:val="Zkladntext110"/>
        <w:framePr w:w="10421" w:h="1310" w:hRule="exact" w:wrap="none" w:vAnchor="page" w:hAnchor="page" w:x="847" w:y="8034"/>
        <w:spacing w:after="0" w:line="338" w:lineRule="auto"/>
      </w:pPr>
      <w:r>
        <w:rPr>
          <w:b/>
          <w:bCs/>
        </w:rPr>
        <w:t xml:space="preserve">Plochy </w:t>
      </w:r>
      <w:r>
        <w:t>d</w:t>
      </w:r>
      <w:r>
        <w:rPr>
          <w:b/>
          <w:bCs/>
        </w:rPr>
        <w:t xml:space="preserve">opravy </w:t>
      </w:r>
      <w:r>
        <w:t xml:space="preserve">v </w:t>
      </w:r>
      <w:r>
        <w:rPr>
          <w:b/>
          <w:bCs/>
        </w:rPr>
        <w:t xml:space="preserve">klidu </w:t>
      </w:r>
      <w:r>
        <w:t xml:space="preserve">zahrnují plochy pro řešení dopravy v klidu související především s provozem multifunkční hokejové haly. V rámci plochy je možno umístit veřejnou zeleň a veřejná prostranství obecně. V rámci bloku </w:t>
      </w:r>
      <w:proofErr w:type="spellStart"/>
      <w:r>
        <w:t>Eje</w:t>
      </w:r>
      <w:proofErr w:type="spellEnd"/>
      <w:r>
        <w:t xml:space="preserve"> možné umístit heliport na střechu budovy a v přízemí občanské vybavení - prodejní plochy apod.</w:t>
      </w:r>
    </w:p>
    <w:p w14:paraId="702B5AA2" w14:textId="77777777" w:rsidR="00EC1C40" w:rsidRDefault="00000000">
      <w:pPr>
        <w:pStyle w:val="Zkladntext110"/>
        <w:framePr w:w="10421" w:h="672" w:hRule="exact" w:wrap="none" w:vAnchor="page" w:hAnchor="page" w:x="847" w:y="9479"/>
        <w:spacing w:after="0"/>
        <w:ind w:left="700" w:firstLine="20"/>
        <w:jc w:val="both"/>
      </w:pPr>
      <w:r>
        <w:rPr>
          <w:i w:val="0"/>
          <w:iCs w:val="0"/>
          <w:color w:val="231E20"/>
        </w:rPr>
        <w:t>Do p</w:t>
      </w:r>
      <w:r>
        <w:rPr>
          <w:b/>
          <w:bCs/>
          <w:i w:val="0"/>
          <w:iCs w:val="0"/>
          <w:color w:val="231E20"/>
        </w:rPr>
        <w:t xml:space="preserve">loch </w:t>
      </w:r>
      <w:r>
        <w:rPr>
          <w:i w:val="0"/>
          <w:iCs w:val="0"/>
          <w:color w:val="231E20"/>
        </w:rPr>
        <w:t>d</w:t>
      </w:r>
      <w:r>
        <w:rPr>
          <w:b/>
          <w:bCs/>
          <w:i w:val="0"/>
          <w:iCs w:val="0"/>
          <w:color w:val="231E20"/>
        </w:rPr>
        <w:t xml:space="preserve">opravy </w:t>
      </w:r>
      <w:r>
        <w:rPr>
          <w:i w:val="0"/>
          <w:iCs w:val="0"/>
          <w:color w:val="231E20"/>
        </w:rPr>
        <w:t xml:space="preserve">v </w:t>
      </w:r>
      <w:r>
        <w:rPr>
          <w:b/>
          <w:bCs/>
          <w:i w:val="0"/>
          <w:iCs w:val="0"/>
          <w:color w:val="231E20"/>
        </w:rPr>
        <w:t xml:space="preserve">klidu </w:t>
      </w:r>
      <w:r>
        <w:rPr>
          <w:i w:val="0"/>
          <w:iCs w:val="0"/>
          <w:color w:val="231E20"/>
        </w:rPr>
        <w:t>je umístěné parkoviště (blok F) a parkovací dům (blok E) pro potřeby MHAP. Parkovací dům využívá možnosti umístění heliportu na střechu objektu a prodejní pasáže v parteru.</w:t>
      </w:r>
    </w:p>
    <w:p w14:paraId="4A40FBAD" w14:textId="77777777" w:rsidR="00EC1C40" w:rsidRDefault="00000000">
      <w:pPr>
        <w:framePr w:wrap="none" w:vAnchor="page" w:hAnchor="page" w:x="1563" w:y="10252"/>
        <w:rPr>
          <w:sz w:val="2"/>
          <w:szCs w:val="2"/>
        </w:rPr>
      </w:pPr>
      <w:r>
        <w:rPr>
          <w:noProof/>
        </w:rPr>
        <w:drawing>
          <wp:inline distT="0" distB="0" distL="0" distR="0" wp14:anchorId="56721E60" wp14:editId="73043691">
            <wp:extent cx="2999105" cy="2091055"/>
            <wp:effectExtent l="0" t="0" r="0" b="0"/>
            <wp:docPr id="184" name="Picutre 184"/>
            <wp:cNvGraphicFramePr/>
            <a:graphic xmlns:a="http://schemas.openxmlformats.org/drawingml/2006/main">
              <a:graphicData uri="http://schemas.openxmlformats.org/drawingml/2006/picture">
                <pic:pic xmlns:pic="http://schemas.openxmlformats.org/drawingml/2006/picture">
                  <pic:nvPicPr>
                    <pic:cNvPr id="184" name="Picture 184"/>
                    <pic:cNvPicPr/>
                  </pic:nvPicPr>
                  <pic:blipFill>
                    <a:blip r:embed="rId54"/>
                    <a:stretch/>
                  </pic:blipFill>
                  <pic:spPr>
                    <a:xfrm>
                      <a:off x="0" y="0"/>
                      <a:ext cx="2999105" cy="2091055"/>
                    </a:xfrm>
                    <a:prstGeom prst="rect">
                      <a:avLst/>
                    </a:prstGeom>
                  </pic:spPr>
                </pic:pic>
              </a:graphicData>
            </a:graphic>
          </wp:inline>
        </w:drawing>
      </w:r>
    </w:p>
    <w:p w14:paraId="3A03FB62" w14:textId="77777777" w:rsidR="00EC1C40" w:rsidRDefault="00000000">
      <w:pPr>
        <w:pStyle w:val="Zkladntext110"/>
        <w:framePr w:wrap="none" w:vAnchor="page" w:hAnchor="page" w:x="847" w:y="13765"/>
        <w:spacing w:after="0" w:line="240" w:lineRule="auto"/>
        <w:jc w:val="both"/>
      </w:pPr>
      <w:r>
        <w:rPr>
          <w:b/>
          <w:bCs/>
        </w:rPr>
        <w:t xml:space="preserve">Plochy </w:t>
      </w:r>
      <w:r>
        <w:t>t</w:t>
      </w:r>
      <w:r>
        <w:rPr>
          <w:b/>
          <w:bCs/>
        </w:rPr>
        <w:t xml:space="preserve">echnické </w:t>
      </w:r>
      <w:r>
        <w:t>i</w:t>
      </w:r>
      <w:r>
        <w:rPr>
          <w:b/>
          <w:bCs/>
        </w:rPr>
        <w:t xml:space="preserve">nfrastruktury: </w:t>
      </w:r>
      <w:r>
        <w:t>jedná se o plochu zahrnující stávající rozvodnu.</w:t>
      </w:r>
    </w:p>
    <w:p w14:paraId="45CFA8C8" w14:textId="77777777" w:rsidR="00EC1C40" w:rsidRDefault="00000000">
      <w:pPr>
        <w:pStyle w:val="Zkladntext110"/>
        <w:framePr w:wrap="none" w:vAnchor="page" w:hAnchor="page" w:x="847" w:y="14245"/>
        <w:spacing w:after="0" w:line="240" w:lineRule="auto"/>
        <w:ind w:firstLine="700"/>
        <w:jc w:val="both"/>
      </w:pPr>
      <w:r>
        <w:rPr>
          <w:i w:val="0"/>
          <w:iCs w:val="0"/>
          <w:color w:val="231E20"/>
        </w:rPr>
        <w:t>Návrh respektuje p</w:t>
      </w:r>
      <w:r>
        <w:rPr>
          <w:b/>
          <w:bCs/>
          <w:i w:val="0"/>
          <w:iCs w:val="0"/>
          <w:color w:val="231E20"/>
        </w:rPr>
        <w:t xml:space="preserve">lochu </w:t>
      </w:r>
      <w:r>
        <w:rPr>
          <w:i w:val="0"/>
          <w:iCs w:val="0"/>
          <w:color w:val="231E20"/>
        </w:rPr>
        <w:t>t</w:t>
      </w:r>
      <w:r>
        <w:rPr>
          <w:b/>
          <w:bCs/>
          <w:i w:val="0"/>
          <w:iCs w:val="0"/>
          <w:color w:val="231E20"/>
        </w:rPr>
        <w:t xml:space="preserve">echnické </w:t>
      </w:r>
      <w:r>
        <w:rPr>
          <w:i w:val="0"/>
          <w:iCs w:val="0"/>
          <w:color w:val="231E20"/>
        </w:rPr>
        <w:t>i</w:t>
      </w:r>
      <w:r>
        <w:rPr>
          <w:b/>
          <w:bCs/>
          <w:i w:val="0"/>
          <w:iCs w:val="0"/>
          <w:color w:val="231E20"/>
        </w:rPr>
        <w:t>nfrastruktury</w:t>
      </w:r>
      <w:r>
        <w:rPr>
          <w:i w:val="0"/>
          <w:iCs w:val="0"/>
          <w:color w:val="231E20"/>
        </w:rPr>
        <w:t>, plocha se nachází mimo řešené území.</w:t>
      </w:r>
    </w:p>
    <w:p w14:paraId="4A8AD3C0" w14:textId="368FABA0" w:rsidR="00EC1C40" w:rsidRDefault="00000000">
      <w:pPr>
        <w:pStyle w:val="Zkladntext110"/>
        <w:framePr w:w="10421" w:h="1104" w:hRule="exact" w:wrap="none" w:vAnchor="page" w:hAnchor="page" w:x="847" w:y="14730"/>
        <w:spacing w:after="140"/>
      </w:pPr>
      <w:r>
        <w:rPr>
          <w:b/>
          <w:bCs/>
        </w:rPr>
        <w:t xml:space="preserve">Veřejná </w:t>
      </w:r>
      <w:r>
        <w:t>p</w:t>
      </w:r>
      <w:r>
        <w:rPr>
          <w:b/>
          <w:bCs/>
        </w:rPr>
        <w:t>rostranství</w:t>
      </w:r>
      <w:r w:rsidR="009F44A2">
        <w:rPr>
          <w:b/>
          <w:bCs/>
        </w:rPr>
        <w:t xml:space="preserve"> </w:t>
      </w:r>
      <w:r>
        <w:t>jsou definovány jako venkovní prostory v rámci sídla přístupné každému bez omezení</w:t>
      </w:r>
    </w:p>
    <w:p w14:paraId="4AEA5773" w14:textId="77777777" w:rsidR="00EC1C40" w:rsidRDefault="00000000">
      <w:pPr>
        <w:pStyle w:val="Zkladntext110"/>
        <w:framePr w:w="10421" w:h="1104" w:hRule="exact" w:wrap="none" w:vAnchor="page" w:hAnchor="page" w:x="847" w:y="14730"/>
        <w:spacing w:after="0"/>
        <w:ind w:left="700" w:firstLine="20"/>
        <w:jc w:val="both"/>
      </w:pPr>
      <w:r>
        <w:rPr>
          <w:i w:val="0"/>
          <w:iCs w:val="0"/>
          <w:color w:val="231E20"/>
        </w:rPr>
        <w:t>Návrh respektuje princip v</w:t>
      </w:r>
      <w:r>
        <w:rPr>
          <w:b/>
          <w:bCs/>
          <w:i w:val="0"/>
          <w:iCs w:val="0"/>
          <w:color w:val="231E20"/>
        </w:rPr>
        <w:t xml:space="preserve">eřejných </w:t>
      </w:r>
      <w:r>
        <w:rPr>
          <w:i w:val="0"/>
          <w:iCs w:val="0"/>
          <w:color w:val="231E20"/>
        </w:rPr>
        <w:t>p</w:t>
      </w:r>
      <w:r>
        <w:rPr>
          <w:b/>
          <w:bCs/>
          <w:i w:val="0"/>
          <w:iCs w:val="0"/>
          <w:color w:val="231E20"/>
        </w:rPr>
        <w:t xml:space="preserve">rostranství. </w:t>
      </w:r>
      <w:r>
        <w:rPr>
          <w:i w:val="0"/>
          <w:iCs w:val="0"/>
          <w:color w:val="231E20"/>
        </w:rPr>
        <w:t>Tyto plochy nejsou oploceny ani jinak nepřístupné, a zůstávají tak volně přístupné všem bez omezení.</w:t>
      </w:r>
    </w:p>
    <w:p w14:paraId="1B29A36E" w14:textId="77777777" w:rsidR="00EC1C40" w:rsidRDefault="00000000">
      <w:pPr>
        <w:pStyle w:val="Zhlavnebozpat0"/>
        <w:framePr w:wrap="none" w:vAnchor="page" w:hAnchor="page" w:x="11081" w:y="15839"/>
        <w:rPr>
          <w:sz w:val="20"/>
          <w:szCs w:val="20"/>
        </w:rPr>
      </w:pPr>
      <w:r>
        <w:rPr>
          <w:rFonts w:ascii="Arial" w:eastAsia="Arial" w:hAnsi="Arial" w:cs="Arial"/>
          <w:color w:val="231E20"/>
          <w:sz w:val="20"/>
          <w:szCs w:val="20"/>
        </w:rPr>
        <w:t>12</w:t>
      </w:r>
    </w:p>
    <w:p w14:paraId="276F85D5"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7C6E122B" w14:textId="77777777" w:rsidR="00EC1C40" w:rsidRDefault="00EC1C40">
      <w:pPr>
        <w:spacing w:line="1" w:lineRule="exact"/>
      </w:pPr>
    </w:p>
    <w:p w14:paraId="25BBFB00" w14:textId="77777777" w:rsidR="00EC1C40" w:rsidRDefault="00000000">
      <w:pPr>
        <w:pStyle w:val="Zhlavnebozpat0"/>
        <w:framePr w:wrap="none" w:vAnchor="page" w:hAnchor="page" w:x="5182" w:y="1001"/>
        <w:rPr>
          <w:sz w:val="22"/>
          <w:szCs w:val="22"/>
        </w:rPr>
      </w:pPr>
      <w:r>
        <w:rPr>
          <w:rFonts w:ascii="Arial" w:eastAsia="Arial" w:hAnsi="Arial" w:cs="Arial"/>
          <w:sz w:val="22"/>
          <w:szCs w:val="22"/>
        </w:rPr>
        <w:t>Soulad záměru MHAP s Územní studií „Nová Cihelna 2024</w:t>
      </w:r>
    </w:p>
    <w:p w14:paraId="379900BF" w14:textId="567B12E7" w:rsidR="00EC1C40" w:rsidRDefault="00000000">
      <w:pPr>
        <w:pStyle w:val="Zkladntext110"/>
        <w:framePr w:w="10411" w:h="3509" w:hRule="exact" w:wrap="none" w:vAnchor="page" w:hAnchor="page" w:x="852" w:y="1673"/>
        <w:spacing w:after="0" w:line="331" w:lineRule="auto"/>
      </w:pPr>
      <w:r>
        <w:rPr>
          <w:b/>
          <w:bCs/>
        </w:rPr>
        <w:t xml:space="preserve">Plochy </w:t>
      </w:r>
      <w:r>
        <w:t>z</w:t>
      </w:r>
      <w:r>
        <w:rPr>
          <w:b/>
          <w:bCs/>
        </w:rPr>
        <w:t xml:space="preserve">eleně </w:t>
      </w:r>
      <w:r>
        <w:t>v</w:t>
      </w:r>
      <w:r>
        <w:rPr>
          <w:b/>
          <w:bCs/>
        </w:rPr>
        <w:t xml:space="preserve">eřejné </w:t>
      </w:r>
      <w:r>
        <w:t xml:space="preserve">jsou specifickou formou veřejného prostranství tím, že se jedná o plochy s vysokým podílem vzrostlé zeleně (např. parky apod.). Dalším jejich specifikem je to, že se jedná o klidovou plochu s možností každodenní rekreace obyvatel města. Tato funkce ani forma nesmí být negována záměry umísťovanými v rámci plochy. Plochy nesmí být oploceny ani zastavěny s výjimkou drobných staveb, jak jsou uvedeny v územním plánu města Pardubice jako hlavní nebo přípustné využití. Celková výměra ploch veřejné zeleně v řešeném území činí cca 14,95 ha a nesmí být dále redukována. Pro úplnost se uvádí, že umístění staveb v souladu s ÚP do plochy </w:t>
      </w:r>
      <w:proofErr w:type="spellStart"/>
      <w:r>
        <w:t>ZVu</w:t>
      </w:r>
      <w:proofErr w:type="spellEnd"/>
      <w:r>
        <w:t xml:space="preserve"> neovlivňuje celkovou velikost plochy Zvu. (Odůvodnění: Podle Světové zdravotnické organizace je ideální velikost plochy zeleně na obyvatele 50 m</w:t>
      </w:r>
      <w:r>
        <w:rPr>
          <w:b/>
          <w:bCs/>
          <w:vertAlign w:val="superscript"/>
        </w:rPr>
        <w:t>2</w:t>
      </w:r>
      <w:r>
        <w:t>. Dle schválené Územní studie sídelní zeleně</w:t>
      </w:r>
      <w:r w:rsidR="009F44A2">
        <w:t xml:space="preserve"> </w:t>
      </w:r>
      <w:r>
        <w:t>je akceptovatelná plocha zeleně na obyvatele 25 m</w:t>
      </w:r>
      <w:r>
        <w:rPr>
          <w:b/>
          <w:bCs/>
          <w:vertAlign w:val="superscript"/>
        </w:rPr>
        <w:t>2</w:t>
      </w:r>
      <w:r>
        <w:t>. Vůči předpokládanému počtu nových obyvatel 6500 osob činí výměra zeleně v rámci řešeného území 23 m</w:t>
      </w:r>
      <w:r>
        <w:rPr>
          <w:b/>
          <w:bCs/>
          <w:vertAlign w:val="superscript"/>
        </w:rPr>
        <w:t>2</w:t>
      </w:r>
      <w:r>
        <w:rPr>
          <w:b/>
          <w:bCs/>
        </w:rPr>
        <w:t xml:space="preserve"> </w:t>
      </w:r>
      <w:r>
        <w:t>na obyvatele. Nadto je třeba zohlednit, že zeleň v rámci lokality budou využívat i obyvatelé přilehlých částí města).</w:t>
      </w:r>
    </w:p>
    <w:p w14:paraId="03BE7FC0" w14:textId="77777777" w:rsidR="00EC1C40" w:rsidRDefault="00000000">
      <w:pPr>
        <w:pStyle w:val="Zkladntext110"/>
        <w:framePr w:w="10411" w:h="3509" w:hRule="exact" w:wrap="none" w:vAnchor="page" w:hAnchor="page" w:x="852" w:y="5321"/>
        <w:spacing w:after="0" w:line="331" w:lineRule="auto"/>
        <w:ind w:firstLine="580"/>
      </w:pPr>
      <w:r>
        <w:rPr>
          <w:i w:val="0"/>
          <w:iCs w:val="0"/>
          <w:color w:val="231E20"/>
        </w:rPr>
        <w:t>V rámci návrhu do těchto ploch navrhujeme:</w:t>
      </w:r>
    </w:p>
    <w:p w14:paraId="3E378C7E" w14:textId="77777777" w:rsidR="00EC1C40" w:rsidRDefault="00000000">
      <w:pPr>
        <w:pStyle w:val="Zkladntext110"/>
        <w:framePr w:w="10411" w:h="3509" w:hRule="exact" w:wrap="none" w:vAnchor="page" w:hAnchor="page" w:x="852" w:y="5321"/>
        <w:numPr>
          <w:ilvl w:val="0"/>
          <w:numId w:val="101"/>
        </w:numPr>
        <w:tabs>
          <w:tab w:val="left" w:pos="930"/>
        </w:tabs>
        <w:spacing w:after="0" w:line="331" w:lineRule="auto"/>
        <w:ind w:firstLine="580"/>
      </w:pPr>
      <w:r>
        <w:rPr>
          <w:i w:val="0"/>
          <w:iCs w:val="0"/>
          <w:color w:val="231E20"/>
        </w:rPr>
        <w:t>veřejný park (veřejně přístupný, vysoký podíl zeleně, plocha pro flexibilní využití, objekt zázemí)</w:t>
      </w:r>
    </w:p>
    <w:p w14:paraId="741589E6" w14:textId="77777777" w:rsidR="00EC1C40" w:rsidRDefault="00000000">
      <w:pPr>
        <w:pStyle w:val="Zkladntext110"/>
        <w:framePr w:w="10411" w:h="3509" w:hRule="exact" w:wrap="none" w:vAnchor="page" w:hAnchor="page" w:x="852" w:y="5321"/>
        <w:numPr>
          <w:ilvl w:val="0"/>
          <w:numId w:val="101"/>
        </w:numPr>
        <w:tabs>
          <w:tab w:val="left" w:pos="930"/>
        </w:tabs>
        <w:spacing w:after="0" w:line="331" w:lineRule="auto"/>
        <w:ind w:left="940" w:hanging="360"/>
      </w:pPr>
      <w:r>
        <w:rPr>
          <w:i w:val="0"/>
          <w:iCs w:val="0"/>
          <w:color w:val="231E20"/>
        </w:rPr>
        <w:t>zelený pás oddělující sportovní areál od nejbližší zástavby (veřejně přístupná parkově upravená zeleň se vzrostlými stromy, umístění drobných staveb v rámci hlavního/přístupného využití: pěší a cyklistické komunikace, parkovací stání, účelové a místní komunikace)</w:t>
      </w:r>
    </w:p>
    <w:p w14:paraId="79582B5F" w14:textId="77777777" w:rsidR="00EC1C40" w:rsidRDefault="00000000">
      <w:pPr>
        <w:pStyle w:val="Zkladntext110"/>
        <w:framePr w:w="10411" w:h="3509" w:hRule="exact" w:wrap="none" w:vAnchor="page" w:hAnchor="page" w:x="852" w:y="5321"/>
        <w:numPr>
          <w:ilvl w:val="0"/>
          <w:numId w:val="101"/>
        </w:numPr>
        <w:tabs>
          <w:tab w:val="left" w:pos="930"/>
        </w:tabs>
        <w:spacing w:after="0" w:line="331" w:lineRule="auto"/>
        <w:ind w:left="940" w:hanging="360"/>
      </w:pPr>
      <w:r>
        <w:rPr>
          <w:i w:val="0"/>
          <w:iCs w:val="0"/>
          <w:color w:val="231E20"/>
        </w:rPr>
        <w:t>zelený pás kolem showroomu (veřejně přístupná parkově upravená zeleň se vzrostlými stromy, parkovací stání, účelové a místní komunikace)</w:t>
      </w:r>
    </w:p>
    <w:p w14:paraId="4684CE3A" w14:textId="77777777" w:rsidR="00EC1C40" w:rsidRDefault="00000000">
      <w:pPr>
        <w:pStyle w:val="Zkladntext110"/>
        <w:framePr w:w="10411" w:h="3509" w:hRule="exact" w:wrap="none" w:vAnchor="page" w:hAnchor="page" w:x="852" w:y="5321"/>
        <w:spacing w:after="0" w:line="331" w:lineRule="auto"/>
        <w:ind w:left="580"/>
      </w:pPr>
      <w:r>
        <w:rPr>
          <w:i w:val="0"/>
          <w:iCs w:val="0"/>
          <w:color w:val="231E20"/>
        </w:rPr>
        <w:t xml:space="preserve">Plochy zeleně veřejné dle ÚS byly poměrově přepočítány na řešené území - výměra těchto ploch je </w:t>
      </w:r>
      <w:r>
        <w:rPr>
          <w:b/>
          <w:bCs/>
          <w:i w:val="0"/>
          <w:iCs w:val="0"/>
          <w:color w:val="231E20"/>
        </w:rPr>
        <w:t xml:space="preserve">4,237 </w:t>
      </w:r>
      <w:r>
        <w:rPr>
          <w:i w:val="0"/>
          <w:iCs w:val="0"/>
          <w:color w:val="231E20"/>
        </w:rPr>
        <w:t>h</w:t>
      </w:r>
      <w:r>
        <w:rPr>
          <w:b/>
          <w:bCs/>
          <w:i w:val="0"/>
          <w:iCs w:val="0"/>
          <w:color w:val="231E20"/>
        </w:rPr>
        <w:t>a</w:t>
      </w:r>
      <w:r>
        <w:rPr>
          <w:i w:val="0"/>
          <w:iCs w:val="0"/>
          <w:color w:val="231E20"/>
        </w:rPr>
        <w:t>. Výměra záměrem navrhovaných ploch zeleně je 4</w:t>
      </w:r>
      <w:r>
        <w:rPr>
          <w:b/>
          <w:bCs/>
          <w:i w:val="0"/>
          <w:iCs w:val="0"/>
          <w:color w:val="231E20"/>
        </w:rPr>
        <w:t xml:space="preserve">,975 </w:t>
      </w:r>
      <w:r>
        <w:rPr>
          <w:i w:val="0"/>
          <w:iCs w:val="0"/>
          <w:color w:val="231E20"/>
        </w:rPr>
        <w:t>h</w:t>
      </w:r>
      <w:r>
        <w:rPr>
          <w:b/>
          <w:bCs/>
          <w:i w:val="0"/>
          <w:iCs w:val="0"/>
          <w:color w:val="231E20"/>
        </w:rPr>
        <w:t>a</w:t>
      </w:r>
      <w:r>
        <w:rPr>
          <w:i w:val="0"/>
          <w:iCs w:val="0"/>
          <w:color w:val="231E20"/>
        </w:rPr>
        <w:t>. Celková výměra ploch zeleně tedy není redukována. Současně je posouzeno umístění navrhovaných ploch zeleně, kdy 9</w:t>
      </w:r>
      <w:r>
        <w:rPr>
          <w:b/>
          <w:bCs/>
          <w:i w:val="0"/>
          <w:iCs w:val="0"/>
          <w:color w:val="231E20"/>
        </w:rPr>
        <w:t xml:space="preserve">3,4 % </w:t>
      </w:r>
      <w:r>
        <w:rPr>
          <w:i w:val="0"/>
          <w:iCs w:val="0"/>
          <w:color w:val="231E20"/>
        </w:rPr>
        <w:t>navrhovaných ploch zeleně je v průniku s plochami zeleně veřejné dle ÚS.</w:t>
      </w:r>
    </w:p>
    <w:p w14:paraId="6FE86481" w14:textId="77777777" w:rsidR="00EC1C40" w:rsidRDefault="00000000">
      <w:pPr>
        <w:framePr w:wrap="none" w:vAnchor="page" w:hAnchor="page" w:x="1548" w:y="9118"/>
        <w:rPr>
          <w:sz w:val="2"/>
          <w:szCs w:val="2"/>
        </w:rPr>
      </w:pPr>
      <w:r>
        <w:rPr>
          <w:noProof/>
        </w:rPr>
        <w:drawing>
          <wp:inline distT="0" distB="0" distL="0" distR="0" wp14:anchorId="03AE55E3" wp14:editId="522186A8">
            <wp:extent cx="5937250" cy="3907790"/>
            <wp:effectExtent l="0" t="0" r="0" b="0"/>
            <wp:docPr id="185" name="Picutre 185"/>
            <wp:cNvGraphicFramePr/>
            <a:graphic xmlns:a="http://schemas.openxmlformats.org/drawingml/2006/main">
              <a:graphicData uri="http://schemas.openxmlformats.org/drawingml/2006/picture">
                <pic:pic xmlns:pic="http://schemas.openxmlformats.org/drawingml/2006/picture">
                  <pic:nvPicPr>
                    <pic:cNvPr id="185" name="Picture 185"/>
                    <pic:cNvPicPr/>
                  </pic:nvPicPr>
                  <pic:blipFill>
                    <a:blip r:embed="rId55"/>
                    <a:stretch/>
                  </pic:blipFill>
                  <pic:spPr>
                    <a:xfrm>
                      <a:off x="0" y="0"/>
                      <a:ext cx="5937250" cy="3907790"/>
                    </a:xfrm>
                    <a:prstGeom prst="rect">
                      <a:avLst/>
                    </a:prstGeom>
                  </pic:spPr>
                </pic:pic>
              </a:graphicData>
            </a:graphic>
          </wp:inline>
        </w:drawing>
      </w:r>
    </w:p>
    <w:p w14:paraId="4164961C" w14:textId="77777777" w:rsidR="00EC1C40" w:rsidRDefault="00000000">
      <w:pPr>
        <w:pStyle w:val="Zhlavnebozpat0"/>
        <w:framePr w:wrap="none" w:vAnchor="page" w:hAnchor="page" w:x="11095" w:y="15891"/>
        <w:rPr>
          <w:sz w:val="20"/>
          <w:szCs w:val="20"/>
        </w:rPr>
      </w:pPr>
      <w:r>
        <w:rPr>
          <w:rFonts w:ascii="Arial" w:eastAsia="Arial" w:hAnsi="Arial" w:cs="Arial"/>
          <w:color w:val="231E20"/>
          <w:sz w:val="20"/>
          <w:szCs w:val="20"/>
        </w:rPr>
        <w:t>13</w:t>
      </w:r>
    </w:p>
    <w:p w14:paraId="4ADF83B7"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7BCCF19F" w14:textId="77777777" w:rsidR="00EC1C40" w:rsidRDefault="00EC1C40">
      <w:pPr>
        <w:spacing w:line="1" w:lineRule="exact"/>
      </w:pPr>
    </w:p>
    <w:p w14:paraId="005E616B" w14:textId="77777777" w:rsidR="00EC1C40" w:rsidRDefault="00000000">
      <w:pPr>
        <w:pStyle w:val="Zhlavnebozpat0"/>
        <w:framePr w:wrap="none" w:vAnchor="page" w:hAnchor="page" w:x="5146" w:y="1001"/>
        <w:rPr>
          <w:sz w:val="22"/>
          <w:szCs w:val="22"/>
        </w:rPr>
      </w:pPr>
      <w:r>
        <w:rPr>
          <w:rFonts w:ascii="Arial" w:eastAsia="Arial" w:hAnsi="Arial" w:cs="Arial"/>
          <w:sz w:val="22"/>
          <w:szCs w:val="22"/>
        </w:rPr>
        <w:t>Soulad záměru MHAP s Územní studií „Nová Cihelna 2024</w:t>
      </w:r>
    </w:p>
    <w:p w14:paraId="3FCBF4B4" w14:textId="77777777" w:rsidR="00EC1C40" w:rsidRDefault="00000000">
      <w:pPr>
        <w:pStyle w:val="Zkladntext110"/>
        <w:framePr w:w="10502" w:h="13824" w:hRule="exact" w:wrap="none" w:vAnchor="page" w:hAnchor="page" w:x="807" w:y="1678"/>
        <w:spacing w:line="338" w:lineRule="auto"/>
      </w:pPr>
      <w:r>
        <w:rPr>
          <w:b/>
          <w:bCs/>
          <w:u w:val="single"/>
        </w:rPr>
        <w:t xml:space="preserve">Prostorové </w:t>
      </w:r>
      <w:r>
        <w:rPr>
          <w:u w:val="single"/>
        </w:rPr>
        <w:t>r</w:t>
      </w:r>
      <w:r>
        <w:rPr>
          <w:b/>
          <w:bCs/>
          <w:u w:val="single"/>
        </w:rPr>
        <w:t>egulativy</w:t>
      </w:r>
    </w:p>
    <w:p w14:paraId="0E776507" w14:textId="77777777" w:rsidR="00EC1C40" w:rsidRDefault="00000000">
      <w:pPr>
        <w:pStyle w:val="Zkladntext110"/>
        <w:framePr w:w="10502" w:h="13824" w:hRule="exact" w:wrap="none" w:vAnchor="page" w:hAnchor="page" w:x="807" w:y="1678"/>
      </w:pPr>
      <w:r>
        <w:t>Určují se závazné podmínky prostorového uspořádání staveb na pozemcích a tím mj. i míra využití území - dále též prostorové regulativy.</w:t>
      </w:r>
    </w:p>
    <w:p w14:paraId="156B71EC" w14:textId="77777777" w:rsidR="00EC1C40" w:rsidRDefault="00000000">
      <w:pPr>
        <w:pStyle w:val="Zkladntext110"/>
        <w:framePr w:w="10502" w:h="13824" w:hRule="exact" w:wrap="none" w:vAnchor="page" w:hAnchor="page" w:x="807" w:y="1678"/>
        <w:spacing w:line="338" w:lineRule="auto"/>
      </w:pPr>
      <w:r>
        <w:t>Územní studie navrhuje následující prostorové regulativy:</w:t>
      </w:r>
    </w:p>
    <w:p w14:paraId="55FE1CEF" w14:textId="0FD28FE0" w:rsidR="00EC1C40" w:rsidRDefault="00000000">
      <w:pPr>
        <w:pStyle w:val="Zkladntext110"/>
        <w:framePr w:w="10502" w:h="13824" w:hRule="exact" w:wrap="none" w:vAnchor="page" w:hAnchor="page" w:x="807" w:y="1678"/>
        <w:spacing w:line="338" w:lineRule="auto"/>
      </w:pPr>
      <w:r>
        <w:rPr>
          <w:b/>
          <w:bCs/>
        </w:rPr>
        <w:t xml:space="preserve">Uliční </w:t>
      </w:r>
      <w:r>
        <w:t>č</w:t>
      </w:r>
      <w:r>
        <w:rPr>
          <w:b/>
          <w:bCs/>
        </w:rPr>
        <w:t xml:space="preserve">ára </w:t>
      </w:r>
      <w:r>
        <w:t xml:space="preserve">stanovuje hranici mezi pozemky veřejných prostranství a ostatními pozemky (bytových nebo rodinných domů, pozemky pro stavby občanského vybavení apod.) Uliční čára tak vymezuje bloky zástavby (dále též stavební bloky) na </w:t>
      </w:r>
      <w:r w:rsidR="009F44A2">
        <w:t>straně jedné</w:t>
      </w:r>
      <w:r>
        <w:t xml:space="preserve"> a veřejná prostranství na straně druhé. Uliční čára může v některých případech ležet ve stejné poloze, jako stavební čára.</w:t>
      </w:r>
    </w:p>
    <w:p w14:paraId="10A8F17E" w14:textId="77777777" w:rsidR="00EC1C40" w:rsidRDefault="00000000">
      <w:pPr>
        <w:pStyle w:val="Zkladntext110"/>
        <w:framePr w:w="10502" w:h="13824" w:hRule="exact" w:wrap="none" w:vAnchor="page" w:hAnchor="page" w:x="807" w:y="1678"/>
        <w:spacing w:line="338" w:lineRule="auto"/>
      </w:pPr>
      <w:r>
        <w:rPr>
          <w:b/>
          <w:bCs/>
        </w:rPr>
        <w:t xml:space="preserve">Stavební </w:t>
      </w:r>
      <w:r>
        <w:t>č</w:t>
      </w:r>
      <w:r>
        <w:rPr>
          <w:b/>
          <w:bCs/>
        </w:rPr>
        <w:t xml:space="preserve">ára </w:t>
      </w:r>
      <w:r>
        <w:t>p</w:t>
      </w:r>
      <w:r>
        <w:rPr>
          <w:b/>
          <w:bCs/>
        </w:rPr>
        <w:t xml:space="preserve">evná </w:t>
      </w:r>
      <w:r>
        <w:t>určuje polohu průčelí domů vůči přilehlým veřejným prostranstvím. Je dána jako pevná, což znamená, že půdorysný průmět průčelí orientovaného do ulice musí ležet na vymezení stavební čáře. Směrem do ulice (veřejného prostranství) může být stavební čára půdorysem domu překročena max. o 2,00 m, a to pouze případnými přístřešky nebo pergolami, pokud jsou spojeny s bytovým domem (např. přístřešky nad vstupy apod.). V části průčelí, kde jsou situovány balkóny či lodžie, může stavba ustupovat směrem do vnitrobloku o hloubku těchto konstrukcí. Svým půdorysným průmětem však nesmí zasahovat do veřejného prostranství vymezeného uliční čarou. Zároveň se určuje, že domy podél stavební čáry nemusí být situovány spojitě, není-li v regulačním výkresu určeno jinak. Naopak se předpokládá, že mezi jednotlivými domy budou mezery s průhledy do vnitrobloků.</w:t>
      </w:r>
    </w:p>
    <w:p w14:paraId="3C451B22" w14:textId="77777777" w:rsidR="00EC1C40" w:rsidRDefault="00000000">
      <w:pPr>
        <w:pStyle w:val="Zkladntext110"/>
        <w:framePr w:w="10502" w:h="13824" w:hRule="exact" w:wrap="none" w:vAnchor="page" w:hAnchor="page" w:x="807" w:y="1678"/>
        <w:spacing w:line="338" w:lineRule="auto"/>
      </w:pPr>
      <w:r>
        <w:rPr>
          <w:b/>
          <w:bCs/>
        </w:rPr>
        <w:t xml:space="preserve">Stavební </w:t>
      </w:r>
      <w:r>
        <w:t>č</w:t>
      </w:r>
      <w:r>
        <w:rPr>
          <w:b/>
          <w:bCs/>
        </w:rPr>
        <w:t xml:space="preserve">ára </w:t>
      </w:r>
      <w:r>
        <w:t>n</w:t>
      </w:r>
      <w:r>
        <w:rPr>
          <w:b/>
          <w:bCs/>
        </w:rPr>
        <w:t xml:space="preserve">epřekročitelná </w:t>
      </w:r>
      <w:r>
        <w:t>vymezuje nejmenší vzdálenost průčelí domu od uliční čáry vůči přilehlým veřejným prostranstvím. Směrem do ulice (veřejného prostranství) může být stavební čára půdorysem domu překročena max. o 2,00 m, a to pouze případnými přístřešky nebo pergolami, pokud jsou spojeny s bytovým domem (např. přístřešky nad vstupy apod.). Svým půdorysným průmětem však nesmí zasahovat do veřejného prostranství vymezeného uliční čarou.</w:t>
      </w:r>
    </w:p>
    <w:p w14:paraId="422EAF35" w14:textId="77777777" w:rsidR="00EC1C40" w:rsidRDefault="00000000">
      <w:pPr>
        <w:pStyle w:val="Zkladntext110"/>
        <w:framePr w:w="10502" w:h="13824" w:hRule="exact" w:wrap="none" w:vAnchor="page" w:hAnchor="page" w:x="807" w:y="1678"/>
        <w:spacing w:line="341" w:lineRule="auto"/>
        <w:ind w:firstLine="740"/>
      </w:pPr>
      <w:r>
        <w:rPr>
          <w:i w:val="0"/>
          <w:iCs w:val="0"/>
          <w:color w:val="231E20"/>
        </w:rPr>
        <w:t>Návrh MHAP respektuje všechny u</w:t>
      </w:r>
      <w:r>
        <w:rPr>
          <w:b/>
          <w:bCs/>
          <w:i w:val="0"/>
          <w:iCs w:val="0"/>
          <w:color w:val="231E20"/>
        </w:rPr>
        <w:t xml:space="preserve">liční </w:t>
      </w:r>
      <w:r>
        <w:rPr>
          <w:i w:val="0"/>
          <w:iCs w:val="0"/>
          <w:color w:val="231E20"/>
        </w:rPr>
        <w:t>č</w:t>
      </w:r>
      <w:r>
        <w:rPr>
          <w:b/>
          <w:bCs/>
          <w:i w:val="0"/>
          <w:iCs w:val="0"/>
          <w:color w:val="231E20"/>
        </w:rPr>
        <w:t xml:space="preserve">áry </w:t>
      </w:r>
      <w:r>
        <w:rPr>
          <w:i w:val="0"/>
          <w:iCs w:val="0"/>
          <w:color w:val="231E20"/>
        </w:rPr>
        <w:t>i s</w:t>
      </w:r>
      <w:r>
        <w:rPr>
          <w:b/>
          <w:bCs/>
          <w:i w:val="0"/>
          <w:iCs w:val="0"/>
          <w:color w:val="231E20"/>
        </w:rPr>
        <w:t xml:space="preserve">tavební </w:t>
      </w:r>
      <w:r>
        <w:rPr>
          <w:i w:val="0"/>
          <w:iCs w:val="0"/>
          <w:color w:val="231E20"/>
        </w:rPr>
        <w:t>č</w:t>
      </w:r>
      <w:r>
        <w:rPr>
          <w:b/>
          <w:bCs/>
          <w:i w:val="0"/>
          <w:iCs w:val="0"/>
          <w:color w:val="231E20"/>
        </w:rPr>
        <w:t xml:space="preserve">ásti </w:t>
      </w:r>
      <w:r>
        <w:rPr>
          <w:i w:val="0"/>
          <w:iCs w:val="0"/>
          <w:color w:val="231E20"/>
        </w:rPr>
        <w:t>(pevnou, nepřekročitelnou) definované územní studií.</w:t>
      </w:r>
    </w:p>
    <w:p w14:paraId="14046584" w14:textId="559F1A32" w:rsidR="00EC1C40" w:rsidRDefault="00000000">
      <w:pPr>
        <w:pStyle w:val="Zkladntext110"/>
        <w:framePr w:w="10502" w:h="13824" w:hRule="exact" w:wrap="none" w:vAnchor="page" w:hAnchor="page" w:x="807" w:y="1678"/>
      </w:pPr>
      <w:r>
        <w:rPr>
          <w:b/>
          <w:bCs/>
        </w:rPr>
        <w:t xml:space="preserve">Hranice </w:t>
      </w:r>
      <w:r>
        <w:t>o</w:t>
      </w:r>
      <w:r>
        <w:rPr>
          <w:b/>
          <w:bCs/>
        </w:rPr>
        <w:t xml:space="preserve">bjektu </w:t>
      </w:r>
      <w:r>
        <w:t xml:space="preserve">s </w:t>
      </w:r>
      <w:r>
        <w:rPr>
          <w:b/>
          <w:bCs/>
        </w:rPr>
        <w:t xml:space="preserve">fixním </w:t>
      </w:r>
      <w:r>
        <w:t>u</w:t>
      </w:r>
      <w:r>
        <w:rPr>
          <w:b/>
          <w:bCs/>
        </w:rPr>
        <w:t xml:space="preserve">místěním </w:t>
      </w:r>
      <w:r>
        <w:t xml:space="preserve">určuje polohu obvodové stěny objektu umístěného na určeném místě s tolerancí +- 5 m za podmínky umístění stavby v dané ploše a pokud nebude zasahovat do plochy veřejného prostranství, zeleně nebo ÚSES dle územního plánu. Jedná se především o specifický případ umístění multifunkční hokejové arény a k </w:t>
      </w:r>
      <w:r w:rsidR="009F44A2">
        <w:t>ní přidružených</w:t>
      </w:r>
      <w:r>
        <w:t xml:space="preserve"> objektů. Pokud by ji nebylo možno umístit v poloze dle hranice objektu s fixním umístěním, stane se příslušná plocha nezastavitelnou. Jde o dominantu celého širšího území s kompozičním a funkčním dopadem i mimo řešené území, a proto je její poloha striktně regulována.</w:t>
      </w:r>
    </w:p>
    <w:p w14:paraId="07B72397" w14:textId="77777777" w:rsidR="00EC1C40" w:rsidRDefault="00000000">
      <w:pPr>
        <w:pStyle w:val="Zkladntext110"/>
        <w:framePr w:w="10502" w:h="13824" w:hRule="exact" w:wrap="none" w:vAnchor="page" w:hAnchor="page" w:x="807" w:y="1678"/>
        <w:spacing w:after="0" w:line="338" w:lineRule="auto"/>
        <w:ind w:left="720" w:firstLine="20"/>
      </w:pPr>
      <w:r>
        <w:rPr>
          <w:i w:val="0"/>
          <w:iCs w:val="0"/>
          <w:color w:val="231E20"/>
        </w:rPr>
        <w:t>Objekt parkovacího domu přesahuje o 3 m západně hranici objektu s fixním umístěním od 2.NP a výše (v 1.NP je hmota ustoupená a sleduje hranici). Využívá toleranci pro umístěno obvodové stěny +- 5 m od hranice fixního umístění, aniž by stavba zasahovala do plochy veřejného prostranství, zeleně nebo ÚSES d</w:t>
      </w:r>
      <w:r>
        <w:rPr>
          <w:b/>
          <w:bCs/>
          <w:i w:val="0"/>
          <w:iCs w:val="0"/>
          <w:color w:val="231E20"/>
        </w:rPr>
        <w:t xml:space="preserve">le </w:t>
      </w:r>
      <w:r>
        <w:rPr>
          <w:i w:val="0"/>
          <w:iCs w:val="0"/>
          <w:color w:val="231E20"/>
        </w:rPr>
        <w:t>ú</w:t>
      </w:r>
      <w:r>
        <w:rPr>
          <w:b/>
          <w:bCs/>
          <w:i w:val="0"/>
          <w:iCs w:val="0"/>
          <w:color w:val="231E20"/>
        </w:rPr>
        <w:t xml:space="preserve">zemního </w:t>
      </w:r>
      <w:r>
        <w:rPr>
          <w:i w:val="0"/>
          <w:iCs w:val="0"/>
          <w:color w:val="231E20"/>
        </w:rPr>
        <w:t>p</w:t>
      </w:r>
      <w:r>
        <w:rPr>
          <w:b/>
          <w:bCs/>
          <w:i w:val="0"/>
          <w:iCs w:val="0"/>
          <w:color w:val="231E20"/>
        </w:rPr>
        <w:t>lánu</w:t>
      </w:r>
      <w:r>
        <w:rPr>
          <w:i w:val="0"/>
          <w:iCs w:val="0"/>
          <w:color w:val="231E20"/>
        </w:rPr>
        <w:t>.</w:t>
      </w:r>
    </w:p>
    <w:p w14:paraId="17DD18E5" w14:textId="77777777" w:rsidR="00EC1C40" w:rsidRDefault="00000000">
      <w:pPr>
        <w:pStyle w:val="Zkladntext110"/>
        <w:framePr w:w="10502" w:h="13824" w:hRule="exact" w:wrap="none" w:vAnchor="page" w:hAnchor="page" w:x="807" w:y="1678"/>
        <w:spacing w:line="338" w:lineRule="auto"/>
        <w:ind w:firstLine="720"/>
      </w:pPr>
      <w:r>
        <w:rPr>
          <w:i w:val="0"/>
          <w:iCs w:val="0"/>
          <w:color w:val="231E20"/>
        </w:rPr>
        <w:t>(viz výkres 4571_SITUACE_SOUTISK_REGULACE-US)</w:t>
      </w:r>
    </w:p>
    <w:p w14:paraId="1810D625" w14:textId="77777777" w:rsidR="00EC1C40" w:rsidRDefault="00000000">
      <w:pPr>
        <w:pStyle w:val="Zkladntext110"/>
        <w:framePr w:w="10502" w:h="13824" w:hRule="exact" w:wrap="none" w:vAnchor="page" w:hAnchor="page" w:x="807" w:y="1678"/>
      </w:pPr>
      <w:r>
        <w:rPr>
          <w:b/>
          <w:bCs/>
        </w:rPr>
        <w:t xml:space="preserve">Povinnost </w:t>
      </w:r>
      <w:r>
        <w:t>o</w:t>
      </w:r>
      <w:r>
        <w:rPr>
          <w:b/>
          <w:bCs/>
        </w:rPr>
        <w:t xml:space="preserve">bčanského </w:t>
      </w:r>
      <w:r>
        <w:t>v</w:t>
      </w:r>
      <w:r>
        <w:rPr>
          <w:b/>
          <w:bCs/>
        </w:rPr>
        <w:t xml:space="preserve">ybavení </w:t>
      </w:r>
      <w:r>
        <w:t xml:space="preserve">v </w:t>
      </w:r>
      <w:r>
        <w:rPr>
          <w:b/>
          <w:bCs/>
        </w:rPr>
        <w:t xml:space="preserve">přízemí </w:t>
      </w:r>
      <w:r>
        <w:t>d</w:t>
      </w:r>
      <w:r>
        <w:rPr>
          <w:b/>
          <w:bCs/>
        </w:rPr>
        <w:t xml:space="preserve">omů: </w:t>
      </w:r>
      <w:r>
        <w:t>V přízemí domů v rozsahu dle vyznačených úseků stavebních čar je dána povinnost umístit prostory pro umístění občanského vybavení (např. obchody, stravování apod.) alespoň v 1/2 délky vyznačeného průčelí.</w:t>
      </w:r>
    </w:p>
    <w:p w14:paraId="58F411D2" w14:textId="77777777" w:rsidR="00EC1C40" w:rsidRDefault="00000000">
      <w:pPr>
        <w:pStyle w:val="Zkladntext110"/>
        <w:framePr w:w="10502" w:h="13824" w:hRule="exact" w:wrap="none" w:vAnchor="page" w:hAnchor="page" w:x="807" w:y="1678"/>
        <w:spacing w:after="0" w:line="338" w:lineRule="auto"/>
        <w:ind w:firstLine="720"/>
      </w:pPr>
      <w:r>
        <w:rPr>
          <w:i w:val="0"/>
          <w:iCs w:val="0"/>
          <w:color w:val="231E20"/>
        </w:rPr>
        <w:t>Regulativ se netýká řešeného území.</w:t>
      </w:r>
    </w:p>
    <w:p w14:paraId="265C90F7" w14:textId="77777777" w:rsidR="00EC1C40" w:rsidRDefault="00000000">
      <w:pPr>
        <w:pStyle w:val="Zhlavnebozpat0"/>
        <w:framePr w:wrap="none" w:vAnchor="page" w:hAnchor="page" w:x="11059" w:y="15891"/>
        <w:rPr>
          <w:sz w:val="20"/>
          <w:szCs w:val="20"/>
        </w:rPr>
      </w:pPr>
      <w:r>
        <w:rPr>
          <w:rFonts w:ascii="Arial" w:eastAsia="Arial" w:hAnsi="Arial" w:cs="Arial"/>
          <w:color w:val="231E20"/>
          <w:sz w:val="20"/>
          <w:szCs w:val="20"/>
        </w:rPr>
        <w:t>14</w:t>
      </w:r>
    </w:p>
    <w:p w14:paraId="483207E1"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42652CC3" w14:textId="77777777" w:rsidR="00EC1C40" w:rsidRDefault="00EC1C40">
      <w:pPr>
        <w:spacing w:line="1" w:lineRule="exact"/>
      </w:pPr>
    </w:p>
    <w:p w14:paraId="3E730F81" w14:textId="77777777" w:rsidR="00EC1C40" w:rsidRDefault="00000000">
      <w:pPr>
        <w:pStyle w:val="Zhlavnebozpat0"/>
        <w:framePr w:wrap="none" w:vAnchor="page" w:hAnchor="page" w:x="5151" w:y="989"/>
        <w:rPr>
          <w:sz w:val="22"/>
          <w:szCs w:val="22"/>
        </w:rPr>
      </w:pPr>
      <w:r>
        <w:rPr>
          <w:rFonts w:ascii="Arial" w:eastAsia="Arial" w:hAnsi="Arial" w:cs="Arial"/>
          <w:sz w:val="22"/>
          <w:szCs w:val="22"/>
        </w:rPr>
        <w:t>Soulad záměru MHAP s Územní studií „Nová Cihelna 2024</w:t>
      </w:r>
    </w:p>
    <w:p w14:paraId="5F269975" w14:textId="2F0D208D" w:rsidR="00EC1C40" w:rsidRDefault="00000000">
      <w:pPr>
        <w:pStyle w:val="Zkladntext110"/>
        <w:framePr w:w="10555" w:h="14568" w:hRule="exact" w:wrap="none" w:vAnchor="page" w:hAnchor="page" w:x="802" w:y="1652"/>
        <w:spacing w:line="341" w:lineRule="auto"/>
      </w:pPr>
      <w:r>
        <w:rPr>
          <w:b/>
          <w:bCs/>
          <w:color w:val="4870B6"/>
        </w:rPr>
        <w:t>Nezastavitelná</w:t>
      </w:r>
      <w:r w:rsidR="009F44A2">
        <w:rPr>
          <w:b/>
          <w:bCs/>
          <w:color w:val="4870B6"/>
        </w:rPr>
        <w:t xml:space="preserve"> </w:t>
      </w:r>
      <w:r>
        <w:rPr>
          <w:b/>
          <w:bCs/>
          <w:color w:val="4870B6"/>
        </w:rPr>
        <w:t>část</w:t>
      </w:r>
      <w:r w:rsidR="009F44A2">
        <w:rPr>
          <w:b/>
          <w:bCs/>
          <w:color w:val="4870B6"/>
        </w:rPr>
        <w:t xml:space="preserve"> </w:t>
      </w:r>
      <w:r>
        <w:rPr>
          <w:b/>
          <w:bCs/>
          <w:color w:val="4870B6"/>
        </w:rPr>
        <w:t>stavebních</w:t>
      </w:r>
      <w:r w:rsidR="009F44A2">
        <w:rPr>
          <w:b/>
          <w:bCs/>
          <w:color w:val="4870B6"/>
        </w:rPr>
        <w:t xml:space="preserve"> </w:t>
      </w:r>
      <w:r>
        <w:rPr>
          <w:b/>
          <w:bCs/>
          <w:color w:val="4870B6"/>
        </w:rPr>
        <w:t>bloků</w:t>
      </w:r>
      <w:r w:rsidR="009F44A2">
        <w:rPr>
          <w:b/>
          <w:bCs/>
          <w:color w:val="4870B6"/>
        </w:rPr>
        <w:t xml:space="preserve"> </w:t>
      </w:r>
      <w:r>
        <w:rPr>
          <w:color w:val="4870B6"/>
        </w:rPr>
        <w:t>představuje určitou část vymezeného stavebního bloku, na které nemohou být umisťovány pozemní stavby.</w:t>
      </w:r>
    </w:p>
    <w:p w14:paraId="66DA1649" w14:textId="77777777" w:rsidR="00EC1C40" w:rsidRDefault="00000000">
      <w:pPr>
        <w:pStyle w:val="Zkladntext110"/>
        <w:framePr w:w="10555" w:h="14568" w:hRule="exact" w:wrap="none" w:vAnchor="page" w:hAnchor="page" w:x="802" w:y="1652"/>
        <w:spacing w:line="341" w:lineRule="auto"/>
        <w:ind w:left="740" w:firstLine="20"/>
      </w:pPr>
      <w:r>
        <w:rPr>
          <w:i w:val="0"/>
          <w:iCs w:val="0"/>
          <w:color w:val="231E20"/>
        </w:rPr>
        <w:t>Návrh respektuje nezastavitelné části stavebních bloků a zároveň umožňuje budoucí zástavbě splnit tento regulativ.</w:t>
      </w:r>
    </w:p>
    <w:p w14:paraId="5795E73A" w14:textId="1655C0FD" w:rsidR="00EC1C40" w:rsidRDefault="009F44A2">
      <w:pPr>
        <w:pStyle w:val="Zkladntext110"/>
        <w:framePr w:w="10555" w:h="14568" w:hRule="exact" w:wrap="none" w:vAnchor="page" w:hAnchor="page" w:x="802" w:y="1652"/>
        <w:spacing w:line="338" w:lineRule="auto"/>
      </w:pPr>
      <w:r>
        <w:rPr>
          <w:b/>
          <w:bCs/>
          <w:color w:val="4870B6"/>
        </w:rPr>
        <w:t>Podlažnost</w:t>
      </w:r>
      <w:r>
        <w:rPr>
          <w:color w:val="4870B6"/>
        </w:rPr>
        <w:t xml:space="preserve"> je</w:t>
      </w:r>
      <w:r w:rsidR="00000000">
        <w:rPr>
          <w:color w:val="4870B6"/>
        </w:rPr>
        <w:t xml:space="preserve"> patrná </w:t>
      </w:r>
      <w:r>
        <w:rPr>
          <w:color w:val="4870B6"/>
        </w:rPr>
        <w:t>z regulačního</w:t>
      </w:r>
      <w:r w:rsidR="00000000">
        <w:rPr>
          <w:color w:val="4870B6"/>
        </w:rPr>
        <w:t xml:space="preserve"> výkresu. </w:t>
      </w:r>
      <w:r>
        <w:rPr>
          <w:color w:val="4870B6"/>
        </w:rPr>
        <w:t>V rámci</w:t>
      </w:r>
      <w:r w:rsidR="00000000">
        <w:rPr>
          <w:color w:val="4870B6"/>
        </w:rPr>
        <w:t xml:space="preserve"> lokality se uvažuje s</w:t>
      </w:r>
      <w:r>
        <w:rPr>
          <w:color w:val="4870B6"/>
        </w:rPr>
        <w:t> </w:t>
      </w:r>
      <w:r w:rsidR="00000000">
        <w:rPr>
          <w:color w:val="4870B6"/>
        </w:rPr>
        <w:t>maximální</w:t>
      </w:r>
      <w:r>
        <w:rPr>
          <w:color w:val="4870B6"/>
        </w:rPr>
        <w:t xml:space="preserve"> </w:t>
      </w:r>
      <w:r w:rsidR="00000000">
        <w:rPr>
          <w:color w:val="4870B6"/>
        </w:rPr>
        <w:t xml:space="preserve">podlažností 7 nadzemních podlaží. Všechny stavby mohou mít podzemní podlaží. Označení 7+0 (resp. 6+0 nebo 5+0 nebo 4+0 nebo 3+0 nebo 2+0) znamená, že stavba může mít maximálně 7 (resp. 6 nebo 5 nebo 4 nebo 3 nebo 2) nadzemní(ch) podlaží a </w:t>
      </w:r>
      <w:r>
        <w:rPr>
          <w:color w:val="4870B6"/>
        </w:rPr>
        <w:t>podzemní podlaží</w:t>
      </w:r>
      <w:r w:rsidR="00000000">
        <w:rPr>
          <w:color w:val="4870B6"/>
        </w:rPr>
        <w:t xml:space="preserve">. Označení 6+U (resp. 5+U nebo 4+U nebo 3+U nebo 2+U) znamená, že stavba může mít maximálně 7 (resp. 6 nebo 5 nebo 4 nebo 3) </w:t>
      </w:r>
      <w:r>
        <w:rPr>
          <w:color w:val="4870B6"/>
        </w:rPr>
        <w:t>nadzemní podlaží</w:t>
      </w:r>
      <w:r w:rsidR="00000000">
        <w:rPr>
          <w:color w:val="4870B6"/>
        </w:rPr>
        <w:t xml:space="preserve"> a </w:t>
      </w:r>
      <w:r>
        <w:rPr>
          <w:color w:val="4870B6"/>
        </w:rPr>
        <w:t>podzemní podlaží</w:t>
      </w:r>
      <w:r w:rsidR="00000000">
        <w:rPr>
          <w:color w:val="4870B6"/>
        </w:rPr>
        <w:t xml:space="preserve">, přičemž poslední (nejsvrchnější) podlaží musí být ustupující. Stejně tak se může stavebník rozhodnout vystavět stavbu nižší, než udává regulativ, </w:t>
      </w:r>
      <w:r>
        <w:rPr>
          <w:color w:val="4870B6"/>
        </w:rPr>
        <w:t>s výjimkou</w:t>
      </w:r>
      <w:r w:rsidR="00000000">
        <w:rPr>
          <w:color w:val="4870B6"/>
        </w:rPr>
        <w:t xml:space="preserve"> bloku č. 10, kde se stanoví, že nejmenší</w:t>
      </w:r>
      <w:r>
        <w:rPr>
          <w:color w:val="4870B6"/>
        </w:rPr>
        <w:t xml:space="preserve"> podlažnost je</w:t>
      </w:r>
      <w:r w:rsidR="00000000">
        <w:rPr>
          <w:color w:val="4870B6"/>
        </w:rPr>
        <w:t xml:space="preserve"> 5 podlaží.</w:t>
      </w:r>
    </w:p>
    <w:p w14:paraId="2CD48DD0" w14:textId="131C48BE" w:rsidR="00EC1C40" w:rsidRDefault="00000000">
      <w:pPr>
        <w:pStyle w:val="Zkladntext110"/>
        <w:framePr w:w="10555" w:h="14568" w:hRule="exact" w:wrap="none" w:vAnchor="page" w:hAnchor="page" w:x="802" w:y="1652"/>
        <w:spacing w:line="338" w:lineRule="auto"/>
      </w:pPr>
      <w:r>
        <w:rPr>
          <w:color w:val="4870B6"/>
        </w:rPr>
        <w:t xml:space="preserve">Ustupujícím podlažím se míní </w:t>
      </w:r>
      <w:r w:rsidR="009F44A2">
        <w:rPr>
          <w:color w:val="4870B6"/>
        </w:rPr>
        <w:t>nejsvrchnější podlaží</w:t>
      </w:r>
      <w:r>
        <w:rPr>
          <w:color w:val="4870B6"/>
        </w:rPr>
        <w:t xml:space="preserve"> domu, jehož hmota ustupuje směrem do vnitrobloku tak, že směrem do ulice vytváří zpravidla střešní terasu. Hrubá podlahová plocha tohoto podlaží může mít výměru max. 80% </w:t>
      </w:r>
      <w:r w:rsidR="009F44A2">
        <w:rPr>
          <w:color w:val="4870B6"/>
        </w:rPr>
        <w:t>výměry hrubé</w:t>
      </w:r>
      <w:r>
        <w:rPr>
          <w:color w:val="4870B6"/>
        </w:rPr>
        <w:t xml:space="preserve"> podlahové plochy podlaží, které se nachází bezprostředně pod ním, a zároveň musí ustupovat alespoň o 2 m od vnějšího líce budovy orientovaného směrem k</w:t>
      </w:r>
      <w:r w:rsidR="009F44A2">
        <w:rPr>
          <w:color w:val="4870B6"/>
        </w:rPr>
        <w:t xml:space="preserve"> </w:t>
      </w:r>
      <w:r>
        <w:rPr>
          <w:color w:val="4870B6"/>
        </w:rPr>
        <w:t>uliční čáře.</w:t>
      </w:r>
    </w:p>
    <w:p w14:paraId="7151340F" w14:textId="76B7039F" w:rsidR="00EC1C40" w:rsidRDefault="00000000">
      <w:pPr>
        <w:pStyle w:val="Zkladntext110"/>
        <w:framePr w:w="10555" w:h="14568" w:hRule="exact" w:wrap="none" w:vAnchor="page" w:hAnchor="page" w:x="802" w:y="1652"/>
      </w:pPr>
      <w:r>
        <w:rPr>
          <w:color w:val="4870B6"/>
        </w:rPr>
        <w:t xml:space="preserve">Sportovní hala </w:t>
      </w:r>
      <w:r w:rsidR="009F44A2">
        <w:rPr>
          <w:color w:val="4870B6"/>
        </w:rPr>
        <w:t>v rámci</w:t>
      </w:r>
      <w:r>
        <w:rPr>
          <w:color w:val="4870B6"/>
        </w:rPr>
        <w:t xml:space="preserve"> bloku „C“ nemá určenou podlažnost, ale je regulována maximální celkovou výškou a maximální výškou korunní římsy resp. atiky střechy.</w:t>
      </w:r>
    </w:p>
    <w:p w14:paraId="534718F0" w14:textId="77777777" w:rsidR="00EC1C40" w:rsidRDefault="00000000">
      <w:pPr>
        <w:pStyle w:val="Zkladntext110"/>
        <w:framePr w:w="10555" w:h="14568" w:hRule="exact" w:wrap="none" w:vAnchor="page" w:hAnchor="page" w:x="802" w:y="1652"/>
        <w:spacing w:line="338" w:lineRule="auto"/>
        <w:ind w:firstLine="740"/>
        <w:jc w:val="both"/>
      </w:pPr>
      <w:r>
        <w:rPr>
          <w:b/>
          <w:bCs/>
          <w:i w:val="0"/>
          <w:iCs w:val="0"/>
          <w:color w:val="231E20"/>
        </w:rPr>
        <w:t xml:space="preserve">Podlažnost </w:t>
      </w:r>
      <w:r>
        <w:rPr>
          <w:i w:val="0"/>
          <w:iCs w:val="0"/>
          <w:color w:val="231E20"/>
        </w:rPr>
        <w:t>- viz tabulka č. 1</w:t>
      </w:r>
    </w:p>
    <w:p w14:paraId="699481D5" w14:textId="3FDAF490" w:rsidR="00EC1C40" w:rsidRDefault="00000000">
      <w:pPr>
        <w:pStyle w:val="Zkladntext110"/>
        <w:framePr w:w="10555" w:h="14568" w:hRule="exact" w:wrap="none" w:vAnchor="page" w:hAnchor="page" w:x="802" w:y="1652"/>
        <w:spacing w:line="338" w:lineRule="auto"/>
      </w:pPr>
      <w:r>
        <w:rPr>
          <w:b/>
          <w:bCs/>
          <w:color w:val="4870B6"/>
        </w:rPr>
        <w:t>Maximální</w:t>
      </w:r>
      <w:r w:rsidR="009F44A2">
        <w:rPr>
          <w:b/>
          <w:bCs/>
          <w:color w:val="4870B6"/>
        </w:rPr>
        <w:t xml:space="preserve"> </w:t>
      </w:r>
      <w:r>
        <w:rPr>
          <w:b/>
          <w:bCs/>
          <w:color w:val="4870B6"/>
        </w:rPr>
        <w:t>výška</w:t>
      </w:r>
      <w:r w:rsidR="009F44A2">
        <w:rPr>
          <w:b/>
          <w:bCs/>
          <w:color w:val="4870B6"/>
        </w:rPr>
        <w:t xml:space="preserve"> </w:t>
      </w:r>
      <w:r>
        <w:rPr>
          <w:b/>
          <w:bCs/>
          <w:color w:val="4870B6"/>
        </w:rPr>
        <w:t>zástavby</w:t>
      </w:r>
      <w:r w:rsidR="009F44A2">
        <w:rPr>
          <w:b/>
          <w:bCs/>
          <w:color w:val="4870B6"/>
        </w:rPr>
        <w:t xml:space="preserve"> </w:t>
      </w:r>
      <w:r>
        <w:rPr>
          <w:color w:val="4870B6"/>
        </w:rPr>
        <w:t>vychází z</w:t>
      </w:r>
      <w:r w:rsidR="009F44A2">
        <w:rPr>
          <w:color w:val="4870B6"/>
        </w:rPr>
        <w:t xml:space="preserve"> </w:t>
      </w:r>
      <w:r>
        <w:rPr>
          <w:color w:val="4870B6"/>
        </w:rPr>
        <w:t xml:space="preserve">podlažnosti. Určuje se jako maximální výška umisťované stavby nad průměrnou niveletou přilehlých veřejných prostranství. Je uvedena </w:t>
      </w:r>
      <w:r w:rsidR="009F44A2">
        <w:rPr>
          <w:color w:val="4870B6"/>
        </w:rPr>
        <w:t>v regulačním</w:t>
      </w:r>
      <w:r>
        <w:rPr>
          <w:color w:val="4870B6"/>
        </w:rPr>
        <w:t xml:space="preserve"> výkrese pro každý stavební </w:t>
      </w:r>
      <w:r w:rsidR="009F44A2">
        <w:rPr>
          <w:color w:val="4870B6"/>
        </w:rPr>
        <w:t>blok jednotlivě</w:t>
      </w:r>
      <w:r>
        <w:rPr>
          <w:color w:val="4870B6"/>
        </w:rPr>
        <w:t xml:space="preserve">. Maximální výšku zástavby mohou přesahovat pouze technická nebo technologická zařízení jako například komíny, zastřešení vstupů, výdechy vzduchotechniky, hromosvody, antény, výtahové šachty, a to pouze </w:t>
      </w:r>
      <w:r w:rsidR="009F44A2">
        <w:rPr>
          <w:color w:val="4870B6"/>
        </w:rPr>
        <w:t>v nezbytné</w:t>
      </w:r>
      <w:r>
        <w:rPr>
          <w:color w:val="4870B6"/>
        </w:rPr>
        <w:t xml:space="preserve"> míře.</w:t>
      </w:r>
    </w:p>
    <w:p w14:paraId="0145AFA2" w14:textId="312E3824" w:rsidR="00EC1C40" w:rsidRDefault="00000000">
      <w:pPr>
        <w:pStyle w:val="Zkladntext110"/>
        <w:framePr w:w="10555" w:h="14568" w:hRule="exact" w:wrap="none" w:vAnchor="page" w:hAnchor="page" w:x="802" w:y="1652"/>
      </w:pPr>
      <w:r>
        <w:rPr>
          <w:color w:val="4870B6"/>
        </w:rPr>
        <w:t xml:space="preserve">Maximální výška zástavby je </w:t>
      </w:r>
      <w:r w:rsidR="009F44A2">
        <w:rPr>
          <w:color w:val="4870B6"/>
        </w:rPr>
        <w:t>stanovena jako</w:t>
      </w:r>
      <w:r>
        <w:rPr>
          <w:color w:val="4870B6"/>
        </w:rPr>
        <w:t xml:space="preserve"> nepřekročitelná. Stavebník se může rozhodnout vystavět stavbu nižší, než udává regulativ, </w:t>
      </w:r>
      <w:r w:rsidR="009F44A2">
        <w:rPr>
          <w:color w:val="4870B6"/>
        </w:rPr>
        <w:t>s výjimkou</w:t>
      </w:r>
      <w:r>
        <w:rPr>
          <w:color w:val="4870B6"/>
        </w:rPr>
        <w:t xml:space="preserve"> bloku č. 10, kde se stanoví, že nejmenší </w:t>
      </w:r>
      <w:r w:rsidR="009F44A2">
        <w:rPr>
          <w:color w:val="4870B6"/>
        </w:rPr>
        <w:t>podlažnost je</w:t>
      </w:r>
      <w:r>
        <w:rPr>
          <w:color w:val="4870B6"/>
        </w:rPr>
        <w:t xml:space="preserve"> 5 podlaží.</w:t>
      </w:r>
    </w:p>
    <w:p w14:paraId="696F98DD" w14:textId="77777777" w:rsidR="00EC1C40" w:rsidRDefault="00000000">
      <w:pPr>
        <w:pStyle w:val="Zkladntext110"/>
        <w:framePr w:w="10555" w:h="14568" w:hRule="exact" w:wrap="none" w:vAnchor="page" w:hAnchor="page" w:x="802" w:y="1652"/>
        <w:spacing w:line="338" w:lineRule="auto"/>
        <w:ind w:firstLine="740"/>
      </w:pPr>
      <w:r>
        <w:rPr>
          <w:b/>
          <w:bCs/>
          <w:i w:val="0"/>
          <w:iCs w:val="0"/>
          <w:color w:val="231E20"/>
        </w:rPr>
        <w:t xml:space="preserve">Maximální výška zástavby </w:t>
      </w:r>
      <w:r>
        <w:rPr>
          <w:i w:val="0"/>
          <w:iCs w:val="0"/>
          <w:color w:val="231E20"/>
        </w:rPr>
        <w:t>- viz tabulka č. 1</w:t>
      </w:r>
    </w:p>
    <w:p w14:paraId="79484D45" w14:textId="427B9B87" w:rsidR="00EC1C40" w:rsidRDefault="00000000">
      <w:pPr>
        <w:pStyle w:val="Zkladntext110"/>
        <w:framePr w:w="10555" w:h="14568" w:hRule="exact" w:wrap="none" w:vAnchor="page" w:hAnchor="page" w:x="802" w:y="1652"/>
        <w:spacing w:line="338" w:lineRule="auto"/>
      </w:pPr>
      <w:r>
        <w:rPr>
          <w:b/>
          <w:bCs/>
          <w:color w:val="4870B6"/>
        </w:rPr>
        <w:t>Výšková</w:t>
      </w:r>
      <w:r w:rsidR="009F44A2">
        <w:rPr>
          <w:b/>
          <w:bCs/>
          <w:color w:val="4870B6"/>
        </w:rPr>
        <w:t xml:space="preserve"> </w:t>
      </w:r>
      <w:r>
        <w:rPr>
          <w:b/>
          <w:bCs/>
          <w:color w:val="4870B6"/>
        </w:rPr>
        <w:t>dominanta:</w:t>
      </w:r>
      <w:r w:rsidR="009F44A2">
        <w:rPr>
          <w:b/>
          <w:bCs/>
          <w:color w:val="4870B6"/>
        </w:rPr>
        <w:t xml:space="preserve"> </w:t>
      </w:r>
      <w:r>
        <w:rPr>
          <w:color w:val="4870B6"/>
        </w:rPr>
        <w:t xml:space="preserve">Maximální výška zástavby dále může být překročena tzv. výškovými dominantami. Poloha výškové dominanty je určena grafickou značkou </w:t>
      </w:r>
      <w:r w:rsidR="009F44A2">
        <w:rPr>
          <w:color w:val="4870B6"/>
        </w:rPr>
        <w:t>v regulačním</w:t>
      </w:r>
      <w:r>
        <w:rPr>
          <w:color w:val="4870B6"/>
        </w:rPr>
        <w:t xml:space="preserve"> výkrese na </w:t>
      </w:r>
      <w:r w:rsidR="009F44A2">
        <w:rPr>
          <w:color w:val="4870B6"/>
        </w:rPr>
        <w:t>nároží vybraného</w:t>
      </w:r>
      <w:r>
        <w:rPr>
          <w:color w:val="4870B6"/>
        </w:rPr>
        <w:t xml:space="preserve"> stavebního bloku. Výška atiky této dominanty může být situována o max. 7,00 m výše,</w:t>
      </w:r>
      <w:r w:rsidR="009F44A2">
        <w:rPr>
          <w:color w:val="4870B6"/>
        </w:rPr>
        <w:t xml:space="preserve"> </w:t>
      </w:r>
      <w:r>
        <w:rPr>
          <w:color w:val="4870B6"/>
        </w:rPr>
        <w:t>než</w:t>
      </w:r>
      <w:r w:rsidR="009F44A2">
        <w:rPr>
          <w:color w:val="4870B6"/>
        </w:rPr>
        <w:t xml:space="preserve"> </w:t>
      </w:r>
      <w:r>
        <w:rPr>
          <w:color w:val="4870B6"/>
        </w:rPr>
        <w:t xml:space="preserve">je atika posledního (nejvyššího) </w:t>
      </w:r>
      <w:r w:rsidR="009F44A2">
        <w:rPr>
          <w:color w:val="4870B6"/>
        </w:rPr>
        <w:t>podlaží rámci</w:t>
      </w:r>
      <w:r>
        <w:rPr>
          <w:color w:val="4870B6"/>
        </w:rPr>
        <w:t xml:space="preserve"> stavebního bloku. Půdorysný průmět této dominanty může tvořit nejvíce 10% výměry zastavitelné plochy příslušného stavebního bloku.</w:t>
      </w:r>
    </w:p>
    <w:p w14:paraId="65C94673" w14:textId="77777777" w:rsidR="00EC1C40" w:rsidRDefault="00000000">
      <w:pPr>
        <w:pStyle w:val="Zkladntext110"/>
        <w:framePr w:w="10555" w:h="14568" w:hRule="exact" w:wrap="none" w:vAnchor="page" w:hAnchor="page" w:x="802" w:y="1652"/>
        <w:spacing w:line="338" w:lineRule="auto"/>
        <w:ind w:firstLine="740"/>
      </w:pPr>
      <w:r>
        <w:rPr>
          <w:i w:val="0"/>
          <w:iCs w:val="0"/>
          <w:color w:val="231E20"/>
        </w:rPr>
        <w:t>Poloha výškové dominanty je mimo řešené území.</w:t>
      </w:r>
    </w:p>
    <w:p w14:paraId="75A0A9AD" w14:textId="2A09DE23" w:rsidR="00EC1C40" w:rsidRDefault="00000000">
      <w:pPr>
        <w:pStyle w:val="Zkladntext110"/>
        <w:framePr w:w="10555" w:h="14568" w:hRule="exact" w:wrap="none" w:vAnchor="page" w:hAnchor="page" w:x="802" w:y="1652"/>
        <w:spacing w:line="338" w:lineRule="auto"/>
      </w:pPr>
      <w:r>
        <w:rPr>
          <w:b/>
          <w:bCs/>
          <w:color w:val="4870B6"/>
        </w:rPr>
        <w:t>Maximální</w:t>
      </w:r>
      <w:r w:rsidR="009F44A2">
        <w:rPr>
          <w:b/>
          <w:bCs/>
          <w:color w:val="4870B6"/>
        </w:rPr>
        <w:t xml:space="preserve"> </w:t>
      </w:r>
      <w:r>
        <w:rPr>
          <w:b/>
          <w:bCs/>
          <w:color w:val="4870B6"/>
        </w:rPr>
        <w:t>zastavitelnost</w:t>
      </w:r>
      <w:r w:rsidR="009F44A2">
        <w:rPr>
          <w:b/>
          <w:bCs/>
          <w:color w:val="4870B6"/>
        </w:rPr>
        <w:t xml:space="preserve"> pozemku</w:t>
      </w:r>
      <w:r w:rsidR="009F44A2">
        <w:rPr>
          <w:color w:val="4870B6"/>
        </w:rPr>
        <w:t xml:space="preserve"> je</w:t>
      </w:r>
      <w:r>
        <w:rPr>
          <w:color w:val="4870B6"/>
        </w:rPr>
        <w:t xml:space="preserve"> </w:t>
      </w:r>
      <w:r w:rsidR="009F44A2">
        <w:rPr>
          <w:color w:val="4870B6"/>
        </w:rPr>
        <w:t>určena jako</w:t>
      </w:r>
      <w:r>
        <w:rPr>
          <w:color w:val="4870B6"/>
        </w:rPr>
        <w:t xml:space="preserve"> podíl zastavěné plochy stavby k celkové výměře vymezeného stavebního bloku. Pro účely výpočtu maximální zastavitelnosti pozemku se za zastavěnou plochu stavby považuje plocha ohraničená zvnějšku obvodovým pláštěm budovy </w:t>
      </w:r>
      <w:r w:rsidR="009F44A2">
        <w:rPr>
          <w:color w:val="4870B6"/>
        </w:rPr>
        <w:t>v úrovni</w:t>
      </w:r>
      <w:r>
        <w:rPr>
          <w:color w:val="4870B6"/>
        </w:rPr>
        <w:t xml:space="preserve"> 1. nadzemního podlaží. Maximální zastavitelnost pozemku se určuje vždy pro každý stavební </w:t>
      </w:r>
      <w:r w:rsidR="009F44A2">
        <w:rPr>
          <w:color w:val="4870B6"/>
        </w:rPr>
        <w:t>blok jednotlivě</w:t>
      </w:r>
      <w:r>
        <w:rPr>
          <w:color w:val="4870B6"/>
        </w:rPr>
        <w:t xml:space="preserve"> a</w:t>
      </w:r>
      <w:r w:rsidR="009F44A2">
        <w:rPr>
          <w:color w:val="4870B6"/>
        </w:rPr>
        <w:t xml:space="preserve"> </w:t>
      </w:r>
      <w:r>
        <w:rPr>
          <w:color w:val="4870B6"/>
        </w:rPr>
        <w:t xml:space="preserve">je patrná </w:t>
      </w:r>
      <w:r w:rsidR="009F44A2">
        <w:rPr>
          <w:color w:val="4870B6"/>
        </w:rPr>
        <w:t>z regulačního</w:t>
      </w:r>
      <w:r>
        <w:rPr>
          <w:color w:val="4870B6"/>
        </w:rPr>
        <w:t xml:space="preserve"> výkresu.</w:t>
      </w:r>
    </w:p>
    <w:p w14:paraId="2F9A5460" w14:textId="77777777" w:rsidR="00EC1C40" w:rsidRDefault="00000000">
      <w:pPr>
        <w:pStyle w:val="Zkladntext110"/>
        <w:framePr w:w="10555" w:h="14568" w:hRule="exact" w:wrap="none" w:vAnchor="page" w:hAnchor="page" w:x="802" w:y="1652"/>
        <w:spacing w:line="338" w:lineRule="auto"/>
        <w:ind w:firstLine="740"/>
      </w:pPr>
      <w:r>
        <w:rPr>
          <w:b/>
          <w:bCs/>
          <w:i w:val="0"/>
          <w:iCs w:val="0"/>
          <w:color w:val="231E20"/>
        </w:rPr>
        <w:t xml:space="preserve">Maximální zastavitelnost pozemku </w:t>
      </w:r>
      <w:r>
        <w:rPr>
          <w:i w:val="0"/>
          <w:iCs w:val="0"/>
          <w:color w:val="231E20"/>
        </w:rPr>
        <w:t>- viz tabulka č. 1</w:t>
      </w:r>
    </w:p>
    <w:p w14:paraId="4EA3AA89" w14:textId="17E98966" w:rsidR="00EC1C40" w:rsidRDefault="00000000">
      <w:pPr>
        <w:pStyle w:val="Zkladntext110"/>
        <w:framePr w:w="10555" w:h="14568" w:hRule="exact" w:wrap="none" w:vAnchor="page" w:hAnchor="page" w:x="802" w:y="1652"/>
        <w:spacing w:after="0" w:line="338" w:lineRule="auto"/>
      </w:pPr>
      <w:r>
        <w:rPr>
          <w:b/>
          <w:bCs/>
          <w:color w:val="4870B6"/>
        </w:rPr>
        <w:t>Minimální</w:t>
      </w:r>
      <w:r w:rsidR="009F44A2">
        <w:rPr>
          <w:b/>
          <w:bCs/>
          <w:color w:val="4870B6"/>
        </w:rPr>
        <w:t xml:space="preserve"> </w:t>
      </w:r>
      <w:r>
        <w:rPr>
          <w:b/>
          <w:bCs/>
          <w:color w:val="4870B6"/>
        </w:rPr>
        <w:t>podíl</w:t>
      </w:r>
      <w:r w:rsidR="009F44A2">
        <w:rPr>
          <w:b/>
          <w:bCs/>
          <w:color w:val="4870B6"/>
        </w:rPr>
        <w:t xml:space="preserve"> </w:t>
      </w:r>
      <w:r>
        <w:rPr>
          <w:b/>
          <w:bCs/>
          <w:color w:val="4870B6"/>
        </w:rPr>
        <w:t>zeleně</w:t>
      </w:r>
      <w:r w:rsidR="009F44A2">
        <w:rPr>
          <w:b/>
          <w:bCs/>
          <w:color w:val="4870B6"/>
        </w:rPr>
        <w:t xml:space="preserve"> </w:t>
      </w:r>
      <w:r>
        <w:rPr>
          <w:color w:val="4870B6"/>
        </w:rPr>
        <w:t>je určen poměrem ozeleněných ploch stavebního pozemku vůči jeho celkové výměře.</w:t>
      </w:r>
    </w:p>
    <w:p w14:paraId="77D2246E" w14:textId="6A612006" w:rsidR="00EC1C40" w:rsidRDefault="009F44A2">
      <w:pPr>
        <w:pStyle w:val="Zkladntext110"/>
        <w:framePr w:w="10555" w:h="14568" w:hRule="exact" w:wrap="none" w:vAnchor="page" w:hAnchor="page" w:x="802" w:y="1652"/>
        <w:spacing w:after="40" w:line="338" w:lineRule="auto"/>
      </w:pPr>
      <w:r>
        <w:rPr>
          <w:color w:val="4870B6"/>
        </w:rPr>
        <w:t>Minimální podíl</w:t>
      </w:r>
      <w:r w:rsidR="00000000">
        <w:rPr>
          <w:color w:val="4870B6"/>
        </w:rPr>
        <w:t xml:space="preserve"> zeleně se určuje vždy pro každý stavební </w:t>
      </w:r>
      <w:r>
        <w:rPr>
          <w:color w:val="4870B6"/>
        </w:rPr>
        <w:t>blok jednotlivě</w:t>
      </w:r>
      <w:r w:rsidR="00000000">
        <w:rPr>
          <w:color w:val="4870B6"/>
        </w:rPr>
        <w:t xml:space="preserve"> a</w:t>
      </w:r>
      <w:r>
        <w:rPr>
          <w:color w:val="4870B6"/>
        </w:rPr>
        <w:t xml:space="preserve"> </w:t>
      </w:r>
      <w:r w:rsidR="00000000">
        <w:rPr>
          <w:color w:val="4870B6"/>
        </w:rPr>
        <w:t xml:space="preserve">je patrný </w:t>
      </w:r>
      <w:r>
        <w:rPr>
          <w:color w:val="4870B6"/>
        </w:rPr>
        <w:t>z regulačního</w:t>
      </w:r>
      <w:r w:rsidR="00000000">
        <w:rPr>
          <w:color w:val="4870B6"/>
        </w:rPr>
        <w:t xml:space="preserve"> výkresu. Lze</w:t>
      </w:r>
    </w:p>
    <w:p w14:paraId="53CC87EC" w14:textId="77777777" w:rsidR="00EC1C40" w:rsidRDefault="00000000">
      <w:pPr>
        <w:pStyle w:val="Zkladntext110"/>
        <w:framePr w:w="10555" w:h="14568" w:hRule="exact" w:wrap="none" w:vAnchor="page" w:hAnchor="page" w:x="802" w:y="1652"/>
        <w:spacing w:after="0" w:line="338" w:lineRule="auto"/>
        <w:jc w:val="right"/>
      </w:pPr>
      <w:r>
        <w:rPr>
          <w:i w:val="0"/>
          <w:iCs w:val="0"/>
          <w:color w:val="231E20"/>
        </w:rPr>
        <w:t>15</w:t>
      </w:r>
    </w:p>
    <w:p w14:paraId="68873B3A"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26F81FC0" w14:textId="77777777" w:rsidR="00EC1C40" w:rsidRDefault="00EC1C40">
      <w:pPr>
        <w:spacing w:line="1" w:lineRule="exact"/>
      </w:pPr>
    </w:p>
    <w:p w14:paraId="17E6D002" w14:textId="77777777" w:rsidR="00EC1C40" w:rsidRDefault="00000000">
      <w:pPr>
        <w:pStyle w:val="Zhlavnebozpat0"/>
        <w:framePr w:wrap="none" w:vAnchor="page" w:hAnchor="page" w:x="5111" w:y="1011"/>
        <w:rPr>
          <w:sz w:val="22"/>
          <w:szCs w:val="22"/>
        </w:rPr>
      </w:pPr>
      <w:r>
        <w:rPr>
          <w:rFonts w:ascii="Arial" w:eastAsia="Arial" w:hAnsi="Arial" w:cs="Arial"/>
          <w:sz w:val="22"/>
          <w:szCs w:val="22"/>
        </w:rPr>
        <w:t>Soulad záměru MHAP s Územní studií „Nová Cihelna 2024</w:t>
      </w:r>
    </w:p>
    <w:p w14:paraId="0CC6AC9B" w14:textId="057B9F63" w:rsidR="00EC1C40" w:rsidRDefault="00000000">
      <w:pPr>
        <w:pStyle w:val="Zkladntext110"/>
        <w:framePr w:w="10579" w:h="1114" w:hRule="exact" w:wrap="none" w:vAnchor="page" w:hAnchor="page" w:x="762" w:y="1683"/>
        <w:spacing w:after="100" w:line="341" w:lineRule="auto"/>
      </w:pPr>
      <w:r>
        <w:t xml:space="preserve">započíst plochy zeleně na terénu nebo na konstrukcích s mocností vegetačního </w:t>
      </w:r>
      <w:r w:rsidR="009F44A2">
        <w:t>souvrství vyšší</w:t>
      </w:r>
      <w:r>
        <w:t xml:space="preserve"> než 0,9 m. </w:t>
      </w:r>
      <w:r w:rsidR="009F44A2">
        <w:t>Ostatní plochy</w:t>
      </w:r>
      <w:r>
        <w:t xml:space="preserve"> či formy zeleně se nezapočítávají.</w:t>
      </w:r>
    </w:p>
    <w:p w14:paraId="3CD85B8C" w14:textId="77777777" w:rsidR="00EC1C40" w:rsidRDefault="00000000">
      <w:pPr>
        <w:pStyle w:val="Zkladntext110"/>
        <w:framePr w:w="10579" w:h="1114" w:hRule="exact" w:wrap="none" w:vAnchor="page" w:hAnchor="page" w:x="762" w:y="1683"/>
        <w:spacing w:after="0" w:line="341" w:lineRule="auto"/>
        <w:ind w:firstLine="740"/>
      </w:pPr>
      <w:r>
        <w:rPr>
          <w:b/>
          <w:bCs/>
          <w:i w:val="0"/>
          <w:iCs w:val="0"/>
          <w:color w:val="231E20"/>
        </w:rPr>
        <w:t xml:space="preserve">Minimální </w:t>
      </w:r>
      <w:r>
        <w:rPr>
          <w:i w:val="0"/>
          <w:iCs w:val="0"/>
          <w:color w:val="231E20"/>
        </w:rPr>
        <w:t>p</w:t>
      </w:r>
      <w:r>
        <w:rPr>
          <w:b/>
          <w:bCs/>
          <w:i w:val="0"/>
          <w:iCs w:val="0"/>
          <w:color w:val="231E20"/>
        </w:rPr>
        <w:t xml:space="preserve">odíl </w:t>
      </w:r>
      <w:r>
        <w:rPr>
          <w:i w:val="0"/>
          <w:iCs w:val="0"/>
          <w:color w:val="231E20"/>
        </w:rPr>
        <w:t>z</w:t>
      </w:r>
      <w:r>
        <w:rPr>
          <w:b/>
          <w:bCs/>
          <w:i w:val="0"/>
          <w:iCs w:val="0"/>
          <w:color w:val="231E20"/>
        </w:rPr>
        <w:t xml:space="preserve">eleně </w:t>
      </w:r>
      <w:r>
        <w:rPr>
          <w:i w:val="0"/>
          <w:iCs w:val="0"/>
          <w:color w:val="231E20"/>
        </w:rPr>
        <w:t>- viz tabulka č. 1</w:t>
      </w:r>
    </w:p>
    <w:p w14:paraId="533CEE43" w14:textId="77777777" w:rsidR="00EC1C40" w:rsidRDefault="00000000">
      <w:pPr>
        <w:pStyle w:val="Zkladntext110"/>
        <w:framePr w:wrap="none" w:vAnchor="page" w:hAnchor="page" w:x="762" w:y="3416"/>
        <w:spacing w:after="0" w:line="240" w:lineRule="auto"/>
        <w:rPr>
          <w:sz w:val="22"/>
          <w:szCs w:val="22"/>
        </w:rPr>
      </w:pPr>
      <w:r>
        <w:rPr>
          <w:i w:val="0"/>
          <w:iCs w:val="0"/>
          <w:color w:val="231E20"/>
          <w:sz w:val="22"/>
          <w:szCs w:val="22"/>
        </w:rPr>
        <w:t>Tabulka č. 1</w:t>
      </w:r>
    </w:p>
    <w:tbl>
      <w:tblPr>
        <w:tblOverlap w:val="never"/>
        <w:tblW w:w="0" w:type="auto"/>
        <w:tblLayout w:type="fixed"/>
        <w:tblCellMar>
          <w:left w:w="10" w:type="dxa"/>
          <w:right w:w="10" w:type="dxa"/>
        </w:tblCellMar>
        <w:tblLook w:val="0000" w:firstRow="0" w:lastRow="0" w:firstColumn="0" w:lastColumn="0" w:noHBand="0" w:noVBand="0"/>
      </w:tblPr>
      <w:tblGrid>
        <w:gridCol w:w="706"/>
        <w:gridCol w:w="1411"/>
        <w:gridCol w:w="1109"/>
        <w:gridCol w:w="1277"/>
        <w:gridCol w:w="1109"/>
        <w:gridCol w:w="1272"/>
        <w:gridCol w:w="1248"/>
        <w:gridCol w:w="1243"/>
        <w:gridCol w:w="1094"/>
      </w:tblGrid>
      <w:tr w:rsidR="00EC1C40" w14:paraId="00338A82" w14:textId="77777777">
        <w:tblPrEx>
          <w:tblCellMar>
            <w:top w:w="0" w:type="dxa"/>
            <w:bottom w:w="0" w:type="dxa"/>
          </w:tblCellMar>
        </w:tblPrEx>
        <w:trPr>
          <w:trHeight w:hRule="exact" w:val="341"/>
        </w:trPr>
        <w:tc>
          <w:tcPr>
            <w:tcW w:w="706" w:type="dxa"/>
            <w:vMerge w:val="restart"/>
            <w:tcBorders>
              <w:top w:val="single" w:sz="4" w:space="0" w:color="auto"/>
              <w:left w:val="single" w:sz="4" w:space="0" w:color="auto"/>
            </w:tcBorders>
            <w:shd w:val="clear" w:color="auto" w:fill="auto"/>
            <w:vAlign w:val="center"/>
          </w:tcPr>
          <w:p w14:paraId="638D6976" w14:textId="77777777" w:rsidR="00EC1C40" w:rsidRDefault="00000000">
            <w:pPr>
              <w:pStyle w:val="Jin0"/>
              <w:framePr w:w="10469" w:h="3682" w:wrap="none" w:vAnchor="page" w:hAnchor="page" w:x="801" w:y="3872"/>
              <w:spacing w:after="0"/>
              <w:rPr>
                <w:sz w:val="20"/>
                <w:szCs w:val="20"/>
              </w:rPr>
            </w:pPr>
            <w:r>
              <w:rPr>
                <w:rFonts w:ascii="Arial" w:eastAsia="Arial" w:hAnsi="Arial" w:cs="Arial"/>
                <w:sz w:val="20"/>
                <w:szCs w:val="20"/>
              </w:rPr>
              <w:t>Blok</w:t>
            </w:r>
          </w:p>
        </w:tc>
        <w:tc>
          <w:tcPr>
            <w:tcW w:w="2520" w:type="dxa"/>
            <w:gridSpan w:val="2"/>
            <w:tcBorders>
              <w:top w:val="single" w:sz="4" w:space="0" w:color="auto"/>
              <w:left w:val="single" w:sz="4" w:space="0" w:color="auto"/>
            </w:tcBorders>
            <w:shd w:val="clear" w:color="auto" w:fill="auto"/>
            <w:vAlign w:val="bottom"/>
          </w:tcPr>
          <w:p w14:paraId="4313CE00" w14:textId="77777777" w:rsidR="00EC1C40" w:rsidRDefault="00000000">
            <w:pPr>
              <w:pStyle w:val="Jin0"/>
              <w:framePr w:w="10469" w:h="3682" w:wrap="none" w:vAnchor="page" w:hAnchor="page" w:x="801" w:y="3872"/>
              <w:spacing w:after="0"/>
              <w:jc w:val="center"/>
              <w:rPr>
                <w:sz w:val="20"/>
                <w:szCs w:val="20"/>
              </w:rPr>
            </w:pPr>
            <w:r>
              <w:rPr>
                <w:rFonts w:ascii="Arial" w:eastAsia="Arial" w:hAnsi="Arial" w:cs="Arial"/>
                <w:b/>
                <w:bCs/>
                <w:sz w:val="20"/>
                <w:szCs w:val="20"/>
              </w:rPr>
              <w:t>Max. podlažnost</w:t>
            </w:r>
          </w:p>
        </w:tc>
        <w:tc>
          <w:tcPr>
            <w:tcW w:w="2386" w:type="dxa"/>
            <w:gridSpan w:val="2"/>
            <w:tcBorders>
              <w:top w:val="single" w:sz="4" w:space="0" w:color="auto"/>
              <w:left w:val="single" w:sz="4" w:space="0" w:color="auto"/>
            </w:tcBorders>
            <w:shd w:val="clear" w:color="auto" w:fill="auto"/>
            <w:vAlign w:val="bottom"/>
          </w:tcPr>
          <w:p w14:paraId="69D2B2AF" w14:textId="77777777" w:rsidR="00EC1C40" w:rsidRDefault="00000000">
            <w:pPr>
              <w:pStyle w:val="Jin0"/>
              <w:framePr w:w="10469" w:h="3682" w:wrap="none" w:vAnchor="page" w:hAnchor="page" w:x="801" w:y="3872"/>
              <w:spacing w:after="0"/>
              <w:jc w:val="center"/>
              <w:rPr>
                <w:sz w:val="20"/>
                <w:szCs w:val="20"/>
              </w:rPr>
            </w:pPr>
            <w:r>
              <w:rPr>
                <w:rFonts w:ascii="Arial" w:eastAsia="Arial" w:hAnsi="Arial" w:cs="Arial"/>
                <w:b/>
                <w:bCs/>
                <w:sz w:val="20"/>
                <w:szCs w:val="20"/>
              </w:rPr>
              <w:t>Max. výška zástavby</w:t>
            </w:r>
          </w:p>
        </w:tc>
        <w:tc>
          <w:tcPr>
            <w:tcW w:w="2520" w:type="dxa"/>
            <w:gridSpan w:val="2"/>
            <w:tcBorders>
              <w:top w:val="single" w:sz="4" w:space="0" w:color="auto"/>
              <w:left w:val="single" w:sz="4" w:space="0" w:color="auto"/>
            </w:tcBorders>
            <w:shd w:val="clear" w:color="auto" w:fill="auto"/>
            <w:vAlign w:val="bottom"/>
          </w:tcPr>
          <w:p w14:paraId="531DD7DD" w14:textId="77777777" w:rsidR="00EC1C40" w:rsidRDefault="00000000">
            <w:pPr>
              <w:pStyle w:val="Jin0"/>
              <w:framePr w:w="10469" w:h="3682" w:wrap="none" w:vAnchor="page" w:hAnchor="page" w:x="801" w:y="3872"/>
              <w:spacing w:after="0"/>
              <w:jc w:val="center"/>
              <w:rPr>
                <w:sz w:val="20"/>
                <w:szCs w:val="20"/>
              </w:rPr>
            </w:pPr>
            <w:r>
              <w:rPr>
                <w:rFonts w:ascii="Arial" w:eastAsia="Arial" w:hAnsi="Arial" w:cs="Arial"/>
                <w:b/>
                <w:bCs/>
                <w:sz w:val="20"/>
                <w:szCs w:val="20"/>
              </w:rPr>
              <w:t>Max. zastavitelnost</w:t>
            </w:r>
          </w:p>
        </w:tc>
        <w:tc>
          <w:tcPr>
            <w:tcW w:w="2337" w:type="dxa"/>
            <w:gridSpan w:val="2"/>
            <w:tcBorders>
              <w:top w:val="single" w:sz="4" w:space="0" w:color="auto"/>
              <w:left w:val="single" w:sz="4" w:space="0" w:color="auto"/>
              <w:right w:val="single" w:sz="4" w:space="0" w:color="auto"/>
            </w:tcBorders>
            <w:shd w:val="clear" w:color="auto" w:fill="auto"/>
            <w:vAlign w:val="bottom"/>
          </w:tcPr>
          <w:p w14:paraId="3AEF0F87" w14:textId="77777777" w:rsidR="00EC1C40" w:rsidRDefault="00000000">
            <w:pPr>
              <w:pStyle w:val="Jin0"/>
              <w:framePr w:w="10469" w:h="3682" w:wrap="none" w:vAnchor="page" w:hAnchor="page" w:x="801" w:y="3872"/>
              <w:spacing w:after="0"/>
              <w:jc w:val="center"/>
              <w:rPr>
                <w:sz w:val="20"/>
                <w:szCs w:val="20"/>
              </w:rPr>
            </w:pPr>
            <w:r>
              <w:rPr>
                <w:rFonts w:ascii="Arial" w:eastAsia="Arial" w:hAnsi="Arial" w:cs="Arial"/>
                <w:b/>
                <w:bCs/>
                <w:sz w:val="20"/>
                <w:szCs w:val="20"/>
              </w:rPr>
              <w:t>Min. podíl zeleně</w:t>
            </w:r>
          </w:p>
        </w:tc>
      </w:tr>
      <w:tr w:rsidR="00EC1C40" w14:paraId="3FB868FC" w14:textId="77777777">
        <w:tblPrEx>
          <w:tblCellMar>
            <w:top w:w="0" w:type="dxa"/>
            <w:bottom w:w="0" w:type="dxa"/>
          </w:tblCellMar>
        </w:tblPrEx>
        <w:trPr>
          <w:trHeight w:hRule="exact" w:val="331"/>
        </w:trPr>
        <w:tc>
          <w:tcPr>
            <w:tcW w:w="706" w:type="dxa"/>
            <w:vMerge/>
            <w:tcBorders>
              <w:left w:val="single" w:sz="4" w:space="0" w:color="auto"/>
            </w:tcBorders>
            <w:shd w:val="clear" w:color="auto" w:fill="auto"/>
            <w:vAlign w:val="center"/>
          </w:tcPr>
          <w:p w14:paraId="5455563F" w14:textId="77777777" w:rsidR="00EC1C40" w:rsidRDefault="00EC1C40">
            <w:pPr>
              <w:framePr w:w="10469" w:h="3682" w:wrap="none" w:vAnchor="page" w:hAnchor="page" w:x="801" w:y="3872"/>
            </w:pPr>
          </w:p>
        </w:tc>
        <w:tc>
          <w:tcPr>
            <w:tcW w:w="1411" w:type="dxa"/>
            <w:tcBorders>
              <w:top w:val="single" w:sz="4" w:space="0" w:color="auto"/>
              <w:left w:val="single" w:sz="4" w:space="0" w:color="auto"/>
            </w:tcBorders>
            <w:shd w:val="clear" w:color="auto" w:fill="auto"/>
          </w:tcPr>
          <w:p w14:paraId="68DA917E" w14:textId="77777777" w:rsidR="00EC1C40" w:rsidRDefault="00000000">
            <w:pPr>
              <w:pStyle w:val="Jin0"/>
              <w:framePr w:w="10469" w:h="3682" w:wrap="none" w:vAnchor="page" w:hAnchor="page" w:x="801" w:y="3872"/>
              <w:spacing w:after="0"/>
              <w:jc w:val="center"/>
              <w:rPr>
                <w:sz w:val="20"/>
                <w:szCs w:val="20"/>
              </w:rPr>
            </w:pPr>
            <w:r>
              <w:rPr>
                <w:rFonts w:ascii="Arial" w:eastAsia="Arial" w:hAnsi="Arial" w:cs="Arial"/>
                <w:i/>
                <w:iCs/>
                <w:color w:val="3C6AB3"/>
                <w:sz w:val="20"/>
                <w:szCs w:val="20"/>
              </w:rPr>
              <w:t>Požadavek</w:t>
            </w:r>
          </w:p>
        </w:tc>
        <w:tc>
          <w:tcPr>
            <w:tcW w:w="1109" w:type="dxa"/>
            <w:tcBorders>
              <w:top w:val="single" w:sz="4" w:space="0" w:color="auto"/>
              <w:left w:val="single" w:sz="4" w:space="0" w:color="auto"/>
            </w:tcBorders>
            <w:shd w:val="clear" w:color="auto" w:fill="auto"/>
          </w:tcPr>
          <w:p w14:paraId="240C7880" w14:textId="77777777" w:rsidR="00EC1C40" w:rsidRDefault="00000000">
            <w:pPr>
              <w:pStyle w:val="Jin0"/>
              <w:framePr w:w="10469" w:h="3682" w:wrap="none" w:vAnchor="page" w:hAnchor="page" w:x="801" w:y="3872"/>
              <w:spacing w:after="0"/>
              <w:jc w:val="center"/>
              <w:rPr>
                <w:sz w:val="20"/>
                <w:szCs w:val="20"/>
              </w:rPr>
            </w:pPr>
            <w:r>
              <w:rPr>
                <w:rFonts w:ascii="Arial" w:eastAsia="Arial" w:hAnsi="Arial" w:cs="Arial"/>
                <w:sz w:val="20"/>
                <w:szCs w:val="20"/>
              </w:rPr>
              <w:t>Návrh</w:t>
            </w:r>
          </w:p>
        </w:tc>
        <w:tc>
          <w:tcPr>
            <w:tcW w:w="1277" w:type="dxa"/>
            <w:tcBorders>
              <w:top w:val="single" w:sz="4" w:space="0" w:color="auto"/>
              <w:left w:val="single" w:sz="4" w:space="0" w:color="auto"/>
            </w:tcBorders>
            <w:shd w:val="clear" w:color="auto" w:fill="auto"/>
          </w:tcPr>
          <w:p w14:paraId="0D77854B" w14:textId="77777777" w:rsidR="00EC1C40" w:rsidRDefault="00000000">
            <w:pPr>
              <w:pStyle w:val="Jin0"/>
              <w:framePr w:w="10469" w:h="3682" w:wrap="none" w:vAnchor="page" w:hAnchor="page" w:x="801" w:y="3872"/>
              <w:spacing w:after="0"/>
              <w:jc w:val="center"/>
              <w:rPr>
                <w:sz w:val="20"/>
                <w:szCs w:val="20"/>
              </w:rPr>
            </w:pPr>
            <w:r>
              <w:rPr>
                <w:rFonts w:ascii="Arial" w:eastAsia="Arial" w:hAnsi="Arial" w:cs="Arial"/>
                <w:i/>
                <w:iCs/>
                <w:color w:val="3C6AB3"/>
                <w:sz w:val="20"/>
                <w:szCs w:val="20"/>
              </w:rPr>
              <w:t>Požadavek</w:t>
            </w:r>
          </w:p>
        </w:tc>
        <w:tc>
          <w:tcPr>
            <w:tcW w:w="1109" w:type="dxa"/>
            <w:tcBorders>
              <w:top w:val="single" w:sz="4" w:space="0" w:color="auto"/>
              <w:left w:val="single" w:sz="4" w:space="0" w:color="auto"/>
            </w:tcBorders>
            <w:shd w:val="clear" w:color="auto" w:fill="auto"/>
          </w:tcPr>
          <w:p w14:paraId="3D4149F7" w14:textId="77777777" w:rsidR="00EC1C40" w:rsidRDefault="00000000">
            <w:pPr>
              <w:pStyle w:val="Jin0"/>
              <w:framePr w:w="10469" w:h="3682" w:wrap="none" w:vAnchor="page" w:hAnchor="page" w:x="801" w:y="3872"/>
              <w:spacing w:after="0"/>
              <w:jc w:val="center"/>
              <w:rPr>
                <w:sz w:val="20"/>
                <w:szCs w:val="20"/>
              </w:rPr>
            </w:pPr>
            <w:r>
              <w:rPr>
                <w:rFonts w:ascii="Arial" w:eastAsia="Arial" w:hAnsi="Arial" w:cs="Arial"/>
                <w:sz w:val="20"/>
                <w:szCs w:val="20"/>
              </w:rPr>
              <w:t>Návrh</w:t>
            </w:r>
          </w:p>
        </w:tc>
        <w:tc>
          <w:tcPr>
            <w:tcW w:w="1272" w:type="dxa"/>
            <w:tcBorders>
              <w:top w:val="single" w:sz="4" w:space="0" w:color="auto"/>
              <w:left w:val="single" w:sz="4" w:space="0" w:color="auto"/>
            </w:tcBorders>
            <w:shd w:val="clear" w:color="auto" w:fill="auto"/>
          </w:tcPr>
          <w:p w14:paraId="0CBF59A8" w14:textId="77777777" w:rsidR="00EC1C40" w:rsidRDefault="00000000">
            <w:pPr>
              <w:pStyle w:val="Jin0"/>
              <w:framePr w:w="10469" w:h="3682" w:wrap="none" w:vAnchor="page" w:hAnchor="page" w:x="801" w:y="3872"/>
              <w:spacing w:after="0"/>
              <w:jc w:val="center"/>
              <w:rPr>
                <w:sz w:val="20"/>
                <w:szCs w:val="20"/>
              </w:rPr>
            </w:pPr>
            <w:r>
              <w:rPr>
                <w:rFonts w:ascii="Arial" w:eastAsia="Arial" w:hAnsi="Arial" w:cs="Arial"/>
                <w:i/>
                <w:iCs/>
                <w:color w:val="3C6AB3"/>
                <w:sz w:val="20"/>
                <w:szCs w:val="20"/>
              </w:rPr>
              <w:t>Požadavek</w:t>
            </w:r>
          </w:p>
        </w:tc>
        <w:tc>
          <w:tcPr>
            <w:tcW w:w="1248" w:type="dxa"/>
            <w:tcBorders>
              <w:top w:val="single" w:sz="4" w:space="0" w:color="auto"/>
              <w:left w:val="single" w:sz="4" w:space="0" w:color="auto"/>
            </w:tcBorders>
            <w:shd w:val="clear" w:color="auto" w:fill="auto"/>
          </w:tcPr>
          <w:p w14:paraId="23DF3C1A" w14:textId="77777777" w:rsidR="00EC1C40" w:rsidRDefault="00000000">
            <w:pPr>
              <w:pStyle w:val="Jin0"/>
              <w:framePr w:w="10469" w:h="3682" w:wrap="none" w:vAnchor="page" w:hAnchor="page" w:x="801" w:y="3872"/>
              <w:spacing w:after="0"/>
              <w:jc w:val="center"/>
              <w:rPr>
                <w:sz w:val="20"/>
                <w:szCs w:val="20"/>
              </w:rPr>
            </w:pPr>
            <w:r>
              <w:rPr>
                <w:rFonts w:ascii="Arial" w:eastAsia="Arial" w:hAnsi="Arial" w:cs="Arial"/>
                <w:sz w:val="20"/>
                <w:szCs w:val="20"/>
              </w:rPr>
              <w:t>Návrh</w:t>
            </w:r>
          </w:p>
        </w:tc>
        <w:tc>
          <w:tcPr>
            <w:tcW w:w="1243" w:type="dxa"/>
            <w:tcBorders>
              <w:top w:val="single" w:sz="4" w:space="0" w:color="auto"/>
              <w:left w:val="single" w:sz="4" w:space="0" w:color="auto"/>
            </w:tcBorders>
            <w:shd w:val="clear" w:color="auto" w:fill="auto"/>
          </w:tcPr>
          <w:p w14:paraId="46118285" w14:textId="77777777" w:rsidR="00EC1C40" w:rsidRDefault="00000000">
            <w:pPr>
              <w:pStyle w:val="Jin0"/>
              <w:framePr w:w="10469" w:h="3682" w:wrap="none" w:vAnchor="page" w:hAnchor="page" w:x="801" w:y="3872"/>
              <w:spacing w:after="0"/>
              <w:jc w:val="center"/>
              <w:rPr>
                <w:sz w:val="20"/>
                <w:szCs w:val="20"/>
              </w:rPr>
            </w:pPr>
            <w:r>
              <w:rPr>
                <w:rFonts w:ascii="Arial" w:eastAsia="Arial" w:hAnsi="Arial" w:cs="Arial"/>
                <w:i/>
                <w:iCs/>
                <w:color w:val="3C6AB3"/>
                <w:sz w:val="20"/>
                <w:szCs w:val="20"/>
              </w:rPr>
              <w:t>Požadavek</w:t>
            </w:r>
          </w:p>
        </w:tc>
        <w:tc>
          <w:tcPr>
            <w:tcW w:w="1094" w:type="dxa"/>
            <w:tcBorders>
              <w:top w:val="single" w:sz="4" w:space="0" w:color="auto"/>
              <w:left w:val="single" w:sz="4" w:space="0" w:color="auto"/>
              <w:right w:val="single" w:sz="4" w:space="0" w:color="auto"/>
            </w:tcBorders>
            <w:shd w:val="clear" w:color="auto" w:fill="auto"/>
          </w:tcPr>
          <w:p w14:paraId="28C8F053" w14:textId="77777777" w:rsidR="00EC1C40" w:rsidRDefault="00000000">
            <w:pPr>
              <w:pStyle w:val="Jin0"/>
              <w:framePr w:w="10469" w:h="3682" w:wrap="none" w:vAnchor="page" w:hAnchor="page" w:x="801" w:y="3872"/>
              <w:spacing w:after="0"/>
              <w:jc w:val="center"/>
              <w:rPr>
                <w:sz w:val="20"/>
                <w:szCs w:val="20"/>
              </w:rPr>
            </w:pPr>
            <w:r>
              <w:rPr>
                <w:rFonts w:ascii="Arial" w:eastAsia="Arial" w:hAnsi="Arial" w:cs="Arial"/>
                <w:sz w:val="20"/>
                <w:szCs w:val="20"/>
              </w:rPr>
              <w:t>Návrh</w:t>
            </w:r>
          </w:p>
        </w:tc>
      </w:tr>
      <w:tr w:rsidR="00EC1C40" w14:paraId="47A7EB83" w14:textId="77777777">
        <w:tblPrEx>
          <w:tblCellMar>
            <w:top w:w="0" w:type="dxa"/>
            <w:bottom w:w="0" w:type="dxa"/>
          </w:tblCellMar>
        </w:tblPrEx>
        <w:trPr>
          <w:trHeight w:hRule="exact" w:val="336"/>
        </w:trPr>
        <w:tc>
          <w:tcPr>
            <w:tcW w:w="706" w:type="dxa"/>
            <w:tcBorders>
              <w:top w:val="single" w:sz="4" w:space="0" w:color="auto"/>
              <w:left w:val="single" w:sz="4" w:space="0" w:color="auto"/>
            </w:tcBorders>
            <w:shd w:val="clear" w:color="auto" w:fill="auto"/>
          </w:tcPr>
          <w:p w14:paraId="20A0544E" w14:textId="77777777" w:rsidR="00EC1C40" w:rsidRDefault="00000000">
            <w:pPr>
              <w:pStyle w:val="Jin0"/>
              <w:framePr w:w="10469" w:h="3682" w:wrap="none" w:vAnchor="page" w:hAnchor="page" w:x="801" w:y="3872"/>
              <w:spacing w:after="0"/>
              <w:rPr>
                <w:sz w:val="20"/>
                <w:szCs w:val="20"/>
              </w:rPr>
            </w:pPr>
            <w:r>
              <w:rPr>
                <w:rFonts w:ascii="Arial" w:eastAsia="Arial" w:hAnsi="Arial" w:cs="Arial"/>
                <w:b/>
                <w:bCs/>
                <w:sz w:val="20"/>
                <w:szCs w:val="20"/>
              </w:rPr>
              <w:t>A</w:t>
            </w:r>
          </w:p>
        </w:tc>
        <w:tc>
          <w:tcPr>
            <w:tcW w:w="1411" w:type="dxa"/>
            <w:tcBorders>
              <w:top w:val="single" w:sz="4" w:space="0" w:color="auto"/>
              <w:left w:val="single" w:sz="4" w:space="0" w:color="auto"/>
            </w:tcBorders>
            <w:shd w:val="clear" w:color="auto" w:fill="auto"/>
          </w:tcPr>
          <w:p w14:paraId="41CEF620" w14:textId="77777777" w:rsidR="00EC1C40" w:rsidRDefault="00000000">
            <w:pPr>
              <w:pStyle w:val="Jin0"/>
              <w:framePr w:w="10469" w:h="3682" w:wrap="none" w:vAnchor="page" w:hAnchor="page" w:x="801" w:y="3872"/>
              <w:spacing w:after="0"/>
              <w:ind w:firstLine="640"/>
              <w:rPr>
                <w:sz w:val="20"/>
                <w:szCs w:val="20"/>
              </w:rPr>
            </w:pPr>
            <w:r>
              <w:rPr>
                <w:rFonts w:ascii="Arial" w:eastAsia="Arial" w:hAnsi="Arial" w:cs="Arial"/>
                <w:i/>
                <w:iCs/>
                <w:color w:val="3C6AB3"/>
                <w:sz w:val="20"/>
                <w:szCs w:val="20"/>
              </w:rPr>
              <w:t>/</w:t>
            </w:r>
          </w:p>
        </w:tc>
        <w:tc>
          <w:tcPr>
            <w:tcW w:w="1109" w:type="dxa"/>
            <w:tcBorders>
              <w:top w:val="single" w:sz="4" w:space="0" w:color="auto"/>
              <w:left w:val="single" w:sz="4" w:space="0" w:color="auto"/>
            </w:tcBorders>
            <w:shd w:val="clear" w:color="auto" w:fill="auto"/>
          </w:tcPr>
          <w:p w14:paraId="3BC4EF89" w14:textId="77777777" w:rsidR="00EC1C40" w:rsidRDefault="00000000">
            <w:pPr>
              <w:pStyle w:val="Jin0"/>
              <w:framePr w:w="10469" w:h="3682" w:wrap="none" w:vAnchor="page" w:hAnchor="page" w:x="801" w:y="3872"/>
              <w:spacing w:after="0"/>
              <w:jc w:val="center"/>
              <w:rPr>
                <w:sz w:val="20"/>
                <w:szCs w:val="20"/>
              </w:rPr>
            </w:pPr>
            <w:r>
              <w:rPr>
                <w:rFonts w:ascii="Arial" w:eastAsia="Arial" w:hAnsi="Arial" w:cs="Arial"/>
                <w:sz w:val="20"/>
                <w:szCs w:val="20"/>
              </w:rPr>
              <w:t>/</w:t>
            </w:r>
          </w:p>
        </w:tc>
        <w:tc>
          <w:tcPr>
            <w:tcW w:w="1277" w:type="dxa"/>
            <w:tcBorders>
              <w:top w:val="single" w:sz="4" w:space="0" w:color="auto"/>
              <w:left w:val="single" w:sz="4" w:space="0" w:color="auto"/>
            </w:tcBorders>
            <w:shd w:val="clear" w:color="auto" w:fill="auto"/>
          </w:tcPr>
          <w:p w14:paraId="0D26204E" w14:textId="77777777" w:rsidR="00EC1C40" w:rsidRDefault="00000000">
            <w:pPr>
              <w:pStyle w:val="Jin0"/>
              <w:framePr w:w="10469" w:h="3682" w:wrap="none" w:vAnchor="page" w:hAnchor="page" w:x="801" w:y="3872"/>
              <w:spacing w:after="0"/>
              <w:ind w:firstLine="380"/>
              <w:jc w:val="both"/>
              <w:rPr>
                <w:sz w:val="20"/>
                <w:szCs w:val="20"/>
              </w:rPr>
            </w:pPr>
            <w:r>
              <w:rPr>
                <w:rFonts w:ascii="Arial" w:eastAsia="Arial" w:hAnsi="Arial" w:cs="Arial"/>
                <w:i/>
                <w:iCs/>
                <w:color w:val="3C6AB3"/>
                <w:sz w:val="20"/>
                <w:szCs w:val="20"/>
              </w:rPr>
              <w:t>23 m</w:t>
            </w:r>
          </w:p>
        </w:tc>
        <w:tc>
          <w:tcPr>
            <w:tcW w:w="1109" w:type="dxa"/>
            <w:tcBorders>
              <w:top w:val="single" w:sz="4" w:space="0" w:color="auto"/>
              <w:left w:val="single" w:sz="4" w:space="0" w:color="auto"/>
            </w:tcBorders>
            <w:shd w:val="clear" w:color="auto" w:fill="auto"/>
          </w:tcPr>
          <w:p w14:paraId="0AB21965" w14:textId="77777777" w:rsidR="00EC1C40" w:rsidRDefault="00000000">
            <w:pPr>
              <w:pStyle w:val="Jin0"/>
              <w:framePr w:w="10469" w:h="3682" w:wrap="none" w:vAnchor="page" w:hAnchor="page" w:x="801" w:y="3872"/>
              <w:spacing w:after="0"/>
              <w:jc w:val="center"/>
              <w:rPr>
                <w:sz w:val="20"/>
                <w:szCs w:val="20"/>
              </w:rPr>
            </w:pPr>
            <w:r>
              <w:rPr>
                <w:rFonts w:ascii="Arial" w:eastAsia="Arial" w:hAnsi="Arial" w:cs="Arial"/>
                <w:sz w:val="20"/>
                <w:szCs w:val="20"/>
              </w:rPr>
              <w:t>18,5 m</w:t>
            </w:r>
          </w:p>
        </w:tc>
        <w:tc>
          <w:tcPr>
            <w:tcW w:w="1272" w:type="dxa"/>
            <w:tcBorders>
              <w:top w:val="single" w:sz="4" w:space="0" w:color="auto"/>
              <w:left w:val="single" w:sz="4" w:space="0" w:color="auto"/>
            </w:tcBorders>
            <w:shd w:val="clear" w:color="auto" w:fill="auto"/>
          </w:tcPr>
          <w:p w14:paraId="6D84EEFC" w14:textId="77777777" w:rsidR="00EC1C40" w:rsidRDefault="00000000">
            <w:pPr>
              <w:pStyle w:val="Jin0"/>
              <w:framePr w:w="10469" w:h="3682" w:wrap="none" w:vAnchor="page" w:hAnchor="page" w:x="801" w:y="3872"/>
              <w:spacing w:after="0"/>
              <w:jc w:val="center"/>
              <w:rPr>
                <w:sz w:val="20"/>
                <w:szCs w:val="20"/>
              </w:rPr>
            </w:pPr>
            <w:r>
              <w:rPr>
                <w:rFonts w:ascii="Arial" w:eastAsia="Arial" w:hAnsi="Arial" w:cs="Arial"/>
                <w:i/>
                <w:iCs/>
                <w:color w:val="3C6AB3"/>
                <w:sz w:val="20"/>
                <w:szCs w:val="20"/>
              </w:rPr>
              <w:t>100 %</w:t>
            </w:r>
          </w:p>
        </w:tc>
        <w:tc>
          <w:tcPr>
            <w:tcW w:w="1248" w:type="dxa"/>
            <w:tcBorders>
              <w:top w:val="single" w:sz="4" w:space="0" w:color="auto"/>
              <w:left w:val="single" w:sz="4" w:space="0" w:color="auto"/>
            </w:tcBorders>
            <w:shd w:val="clear" w:color="auto" w:fill="auto"/>
          </w:tcPr>
          <w:p w14:paraId="1FD13BB3" w14:textId="77777777" w:rsidR="00EC1C40" w:rsidRDefault="00000000">
            <w:pPr>
              <w:pStyle w:val="Jin0"/>
              <w:framePr w:w="10469" w:h="3682" w:wrap="none" w:vAnchor="page" w:hAnchor="page" w:x="801" w:y="3872"/>
              <w:spacing w:after="0"/>
              <w:jc w:val="center"/>
              <w:rPr>
                <w:sz w:val="20"/>
                <w:szCs w:val="20"/>
              </w:rPr>
            </w:pPr>
            <w:r>
              <w:rPr>
                <w:rFonts w:ascii="Arial" w:eastAsia="Arial" w:hAnsi="Arial" w:cs="Arial"/>
                <w:sz w:val="20"/>
                <w:szCs w:val="20"/>
              </w:rPr>
              <w:t>100 %</w:t>
            </w:r>
          </w:p>
        </w:tc>
        <w:tc>
          <w:tcPr>
            <w:tcW w:w="1243" w:type="dxa"/>
            <w:tcBorders>
              <w:top w:val="single" w:sz="4" w:space="0" w:color="auto"/>
              <w:left w:val="single" w:sz="4" w:space="0" w:color="auto"/>
            </w:tcBorders>
            <w:shd w:val="clear" w:color="auto" w:fill="auto"/>
          </w:tcPr>
          <w:p w14:paraId="38EC0923" w14:textId="77777777" w:rsidR="00EC1C40" w:rsidRDefault="00000000">
            <w:pPr>
              <w:pStyle w:val="Jin0"/>
              <w:framePr w:w="10469" w:h="3682" w:wrap="none" w:vAnchor="page" w:hAnchor="page" w:x="801" w:y="3872"/>
              <w:spacing w:after="0"/>
              <w:ind w:firstLine="380"/>
              <w:jc w:val="both"/>
              <w:rPr>
                <w:sz w:val="20"/>
                <w:szCs w:val="20"/>
              </w:rPr>
            </w:pPr>
            <w:r>
              <w:rPr>
                <w:rFonts w:ascii="Arial" w:eastAsia="Arial" w:hAnsi="Arial" w:cs="Arial"/>
                <w:i/>
                <w:iCs/>
                <w:color w:val="3C6AB3"/>
                <w:sz w:val="20"/>
                <w:szCs w:val="20"/>
              </w:rPr>
              <w:t>0 %</w:t>
            </w:r>
          </w:p>
        </w:tc>
        <w:tc>
          <w:tcPr>
            <w:tcW w:w="1094" w:type="dxa"/>
            <w:tcBorders>
              <w:top w:val="single" w:sz="4" w:space="0" w:color="auto"/>
              <w:left w:val="single" w:sz="4" w:space="0" w:color="auto"/>
              <w:right w:val="single" w:sz="4" w:space="0" w:color="auto"/>
            </w:tcBorders>
            <w:shd w:val="clear" w:color="auto" w:fill="auto"/>
          </w:tcPr>
          <w:p w14:paraId="522745A7" w14:textId="77777777" w:rsidR="00EC1C40" w:rsidRDefault="00000000">
            <w:pPr>
              <w:pStyle w:val="Jin0"/>
              <w:framePr w:w="10469" w:h="3682" w:wrap="none" w:vAnchor="page" w:hAnchor="page" w:x="801" w:y="3872"/>
              <w:spacing w:after="0"/>
              <w:jc w:val="center"/>
              <w:rPr>
                <w:sz w:val="20"/>
                <w:szCs w:val="20"/>
              </w:rPr>
            </w:pPr>
            <w:r>
              <w:rPr>
                <w:rFonts w:ascii="Arial" w:eastAsia="Arial" w:hAnsi="Arial" w:cs="Arial"/>
                <w:sz w:val="20"/>
                <w:szCs w:val="20"/>
              </w:rPr>
              <w:t>0 %</w:t>
            </w:r>
          </w:p>
        </w:tc>
      </w:tr>
      <w:tr w:rsidR="00EC1C40" w14:paraId="3DE7EEAA" w14:textId="77777777">
        <w:tblPrEx>
          <w:tblCellMar>
            <w:top w:w="0" w:type="dxa"/>
            <w:bottom w:w="0" w:type="dxa"/>
          </w:tblCellMar>
        </w:tblPrEx>
        <w:trPr>
          <w:trHeight w:hRule="exact" w:val="331"/>
        </w:trPr>
        <w:tc>
          <w:tcPr>
            <w:tcW w:w="706" w:type="dxa"/>
            <w:tcBorders>
              <w:top w:val="single" w:sz="4" w:space="0" w:color="auto"/>
              <w:left w:val="single" w:sz="4" w:space="0" w:color="auto"/>
            </w:tcBorders>
            <w:shd w:val="clear" w:color="auto" w:fill="auto"/>
          </w:tcPr>
          <w:p w14:paraId="1002E43F" w14:textId="77777777" w:rsidR="00EC1C40" w:rsidRDefault="00000000">
            <w:pPr>
              <w:pStyle w:val="Jin0"/>
              <w:framePr w:w="10469" w:h="3682" w:wrap="none" w:vAnchor="page" w:hAnchor="page" w:x="801" w:y="3872"/>
              <w:spacing w:after="0"/>
              <w:rPr>
                <w:sz w:val="20"/>
                <w:szCs w:val="20"/>
              </w:rPr>
            </w:pPr>
            <w:r>
              <w:rPr>
                <w:rFonts w:ascii="Arial" w:eastAsia="Arial" w:hAnsi="Arial" w:cs="Arial"/>
                <w:b/>
                <w:bCs/>
                <w:sz w:val="20"/>
                <w:szCs w:val="20"/>
              </w:rPr>
              <w:t>B</w:t>
            </w:r>
          </w:p>
        </w:tc>
        <w:tc>
          <w:tcPr>
            <w:tcW w:w="1411" w:type="dxa"/>
            <w:tcBorders>
              <w:top w:val="single" w:sz="4" w:space="0" w:color="auto"/>
              <w:left w:val="single" w:sz="4" w:space="0" w:color="auto"/>
            </w:tcBorders>
            <w:shd w:val="clear" w:color="auto" w:fill="auto"/>
          </w:tcPr>
          <w:p w14:paraId="59FB0EB1" w14:textId="77777777" w:rsidR="00EC1C40" w:rsidRDefault="00000000">
            <w:pPr>
              <w:pStyle w:val="Jin0"/>
              <w:framePr w:w="10469" w:h="3682" w:wrap="none" w:vAnchor="page" w:hAnchor="page" w:x="801" w:y="3872"/>
              <w:spacing w:after="0"/>
              <w:ind w:firstLine="400"/>
              <w:rPr>
                <w:sz w:val="20"/>
                <w:szCs w:val="20"/>
              </w:rPr>
            </w:pPr>
            <w:r>
              <w:rPr>
                <w:rFonts w:ascii="Arial" w:eastAsia="Arial" w:hAnsi="Arial" w:cs="Arial"/>
                <w:i/>
                <w:iCs/>
                <w:color w:val="3C6AB3"/>
                <w:sz w:val="20"/>
                <w:szCs w:val="20"/>
              </w:rPr>
              <w:t>7 + 0</w:t>
            </w:r>
          </w:p>
        </w:tc>
        <w:tc>
          <w:tcPr>
            <w:tcW w:w="1109" w:type="dxa"/>
            <w:tcBorders>
              <w:top w:val="single" w:sz="4" w:space="0" w:color="auto"/>
              <w:left w:val="single" w:sz="4" w:space="0" w:color="auto"/>
            </w:tcBorders>
            <w:shd w:val="clear" w:color="auto" w:fill="auto"/>
          </w:tcPr>
          <w:p w14:paraId="0F6F72EC" w14:textId="77777777" w:rsidR="00EC1C40" w:rsidRDefault="00EC1C40">
            <w:pPr>
              <w:framePr w:w="10469" w:h="3682" w:wrap="none" w:vAnchor="page" w:hAnchor="page" w:x="801" w:y="3872"/>
              <w:rPr>
                <w:sz w:val="10"/>
                <w:szCs w:val="10"/>
              </w:rPr>
            </w:pPr>
          </w:p>
        </w:tc>
        <w:tc>
          <w:tcPr>
            <w:tcW w:w="1277" w:type="dxa"/>
            <w:tcBorders>
              <w:top w:val="single" w:sz="4" w:space="0" w:color="auto"/>
              <w:left w:val="single" w:sz="4" w:space="0" w:color="auto"/>
            </w:tcBorders>
            <w:shd w:val="clear" w:color="auto" w:fill="auto"/>
          </w:tcPr>
          <w:p w14:paraId="41987A50" w14:textId="77777777" w:rsidR="00EC1C40" w:rsidRDefault="00000000">
            <w:pPr>
              <w:pStyle w:val="Jin0"/>
              <w:framePr w:w="10469" w:h="3682" w:wrap="none" w:vAnchor="page" w:hAnchor="page" w:x="801" w:y="3872"/>
              <w:spacing w:after="0"/>
              <w:ind w:firstLine="380"/>
              <w:jc w:val="both"/>
              <w:rPr>
                <w:sz w:val="20"/>
                <w:szCs w:val="20"/>
              </w:rPr>
            </w:pPr>
            <w:r>
              <w:rPr>
                <w:rFonts w:ascii="Arial" w:eastAsia="Arial" w:hAnsi="Arial" w:cs="Arial"/>
                <w:i/>
                <w:iCs/>
                <w:color w:val="3C6AB3"/>
                <w:sz w:val="20"/>
                <w:szCs w:val="20"/>
              </w:rPr>
              <w:t>30 m</w:t>
            </w:r>
          </w:p>
        </w:tc>
        <w:tc>
          <w:tcPr>
            <w:tcW w:w="1109" w:type="dxa"/>
            <w:tcBorders>
              <w:top w:val="single" w:sz="4" w:space="0" w:color="auto"/>
              <w:left w:val="single" w:sz="4" w:space="0" w:color="auto"/>
            </w:tcBorders>
            <w:shd w:val="clear" w:color="auto" w:fill="auto"/>
          </w:tcPr>
          <w:p w14:paraId="119919D8" w14:textId="77777777" w:rsidR="00EC1C40" w:rsidRDefault="00000000">
            <w:pPr>
              <w:pStyle w:val="Jin0"/>
              <w:framePr w:w="10469" w:h="3682" w:wrap="none" w:vAnchor="page" w:hAnchor="page" w:x="801" w:y="3872"/>
              <w:spacing w:after="0"/>
              <w:jc w:val="center"/>
              <w:rPr>
                <w:sz w:val="20"/>
                <w:szCs w:val="20"/>
              </w:rPr>
            </w:pPr>
            <w:r>
              <w:rPr>
                <w:rFonts w:ascii="Arial" w:eastAsia="Arial" w:hAnsi="Arial" w:cs="Arial"/>
                <w:sz w:val="20"/>
                <w:szCs w:val="20"/>
              </w:rPr>
              <w:t>24,6 m</w:t>
            </w:r>
          </w:p>
        </w:tc>
        <w:tc>
          <w:tcPr>
            <w:tcW w:w="1272" w:type="dxa"/>
            <w:tcBorders>
              <w:top w:val="single" w:sz="4" w:space="0" w:color="auto"/>
              <w:left w:val="single" w:sz="4" w:space="0" w:color="auto"/>
            </w:tcBorders>
            <w:shd w:val="clear" w:color="auto" w:fill="auto"/>
          </w:tcPr>
          <w:p w14:paraId="39813196" w14:textId="77777777" w:rsidR="00EC1C40" w:rsidRDefault="00000000">
            <w:pPr>
              <w:pStyle w:val="Jin0"/>
              <w:framePr w:w="10469" w:h="3682" w:wrap="none" w:vAnchor="page" w:hAnchor="page" w:x="801" w:y="3872"/>
              <w:spacing w:after="0"/>
              <w:jc w:val="center"/>
              <w:rPr>
                <w:sz w:val="20"/>
                <w:szCs w:val="20"/>
              </w:rPr>
            </w:pPr>
            <w:r>
              <w:rPr>
                <w:rFonts w:ascii="Arial" w:eastAsia="Arial" w:hAnsi="Arial" w:cs="Arial"/>
                <w:i/>
                <w:iCs/>
                <w:color w:val="3C6AB3"/>
                <w:sz w:val="20"/>
                <w:szCs w:val="20"/>
              </w:rPr>
              <w:t>100 %</w:t>
            </w:r>
          </w:p>
        </w:tc>
        <w:tc>
          <w:tcPr>
            <w:tcW w:w="1248" w:type="dxa"/>
            <w:tcBorders>
              <w:top w:val="single" w:sz="4" w:space="0" w:color="auto"/>
              <w:left w:val="single" w:sz="4" w:space="0" w:color="auto"/>
            </w:tcBorders>
            <w:shd w:val="clear" w:color="auto" w:fill="auto"/>
          </w:tcPr>
          <w:p w14:paraId="2C581139" w14:textId="77777777" w:rsidR="00EC1C40" w:rsidRDefault="00000000">
            <w:pPr>
              <w:pStyle w:val="Jin0"/>
              <w:framePr w:w="10469" w:h="3682" w:wrap="none" w:vAnchor="page" w:hAnchor="page" w:x="801" w:y="3872"/>
              <w:spacing w:after="0"/>
              <w:jc w:val="center"/>
              <w:rPr>
                <w:sz w:val="20"/>
                <w:szCs w:val="20"/>
              </w:rPr>
            </w:pPr>
            <w:r>
              <w:rPr>
                <w:rFonts w:ascii="Arial" w:eastAsia="Arial" w:hAnsi="Arial" w:cs="Arial"/>
                <w:sz w:val="20"/>
                <w:szCs w:val="20"/>
              </w:rPr>
              <w:t>100 %</w:t>
            </w:r>
          </w:p>
        </w:tc>
        <w:tc>
          <w:tcPr>
            <w:tcW w:w="1243" w:type="dxa"/>
            <w:tcBorders>
              <w:top w:val="single" w:sz="4" w:space="0" w:color="auto"/>
              <w:left w:val="single" w:sz="4" w:space="0" w:color="auto"/>
            </w:tcBorders>
            <w:shd w:val="clear" w:color="auto" w:fill="auto"/>
          </w:tcPr>
          <w:p w14:paraId="4999875B" w14:textId="77777777" w:rsidR="00EC1C40" w:rsidRDefault="00000000">
            <w:pPr>
              <w:pStyle w:val="Jin0"/>
              <w:framePr w:w="10469" w:h="3682" w:wrap="none" w:vAnchor="page" w:hAnchor="page" w:x="801" w:y="3872"/>
              <w:spacing w:after="0"/>
              <w:ind w:firstLine="380"/>
              <w:jc w:val="both"/>
              <w:rPr>
                <w:sz w:val="20"/>
                <w:szCs w:val="20"/>
              </w:rPr>
            </w:pPr>
            <w:r>
              <w:rPr>
                <w:rFonts w:ascii="Arial" w:eastAsia="Arial" w:hAnsi="Arial" w:cs="Arial"/>
                <w:i/>
                <w:iCs/>
                <w:color w:val="3C6AB3"/>
                <w:sz w:val="20"/>
                <w:szCs w:val="20"/>
              </w:rPr>
              <w:t>0 %</w:t>
            </w:r>
          </w:p>
        </w:tc>
        <w:tc>
          <w:tcPr>
            <w:tcW w:w="1094" w:type="dxa"/>
            <w:tcBorders>
              <w:top w:val="single" w:sz="4" w:space="0" w:color="auto"/>
              <w:left w:val="single" w:sz="4" w:space="0" w:color="auto"/>
              <w:right w:val="single" w:sz="4" w:space="0" w:color="auto"/>
            </w:tcBorders>
            <w:shd w:val="clear" w:color="auto" w:fill="auto"/>
          </w:tcPr>
          <w:p w14:paraId="21EA8B1F" w14:textId="77777777" w:rsidR="00EC1C40" w:rsidRDefault="00000000">
            <w:pPr>
              <w:pStyle w:val="Jin0"/>
              <w:framePr w:w="10469" w:h="3682" w:wrap="none" w:vAnchor="page" w:hAnchor="page" w:x="801" w:y="3872"/>
              <w:spacing w:after="0"/>
              <w:jc w:val="center"/>
              <w:rPr>
                <w:sz w:val="20"/>
                <w:szCs w:val="20"/>
              </w:rPr>
            </w:pPr>
            <w:r>
              <w:rPr>
                <w:rFonts w:ascii="Arial" w:eastAsia="Arial" w:hAnsi="Arial" w:cs="Arial"/>
                <w:sz w:val="20"/>
                <w:szCs w:val="20"/>
              </w:rPr>
              <w:t>0 %</w:t>
            </w:r>
          </w:p>
        </w:tc>
      </w:tr>
      <w:tr w:rsidR="00EC1C40" w14:paraId="611B923C" w14:textId="77777777">
        <w:tblPrEx>
          <w:tblCellMar>
            <w:top w:w="0" w:type="dxa"/>
            <w:bottom w:w="0" w:type="dxa"/>
          </w:tblCellMar>
        </w:tblPrEx>
        <w:trPr>
          <w:trHeight w:hRule="exact" w:val="331"/>
        </w:trPr>
        <w:tc>
          <w:tcPr>
            <w:tcW w:w="706" w:type="dxa"/>
            <w:tcBorders>
              <w:top w:val="single" w:sz="4" w:space="0" w:color="auto"/>
              <w:left w:val="single" w:sz="4" w:space="0" w:color="auto"/>
            </w:tcBorders>
            <w:shd w:val="clear" w:color="auto" w:fill="auto"/>
          </w:tcPr>
          <w:p w14:paraId="05BBD7C3" w14:textId="77777777" w:rsidR="00EC1C40" w:rsidRDefault="00000000">
            <w:pPr>
              <w:pStyle w:val="Jin0"/>
              <w:framePr w:w="10469" w:h="3682" w:wrap="none" w:vAnchor="page" w:hAnchor="page" w:x="801" w:y="3872"/>
              <w:spacing w:after="0"/>
              <w:rPr>
                <w:sz w:val="20"/>
                <w:szCs w:val="20"/>
              </w:rPr>
            </w:pPr>
            <w:r>
              <w:rPr>
                <w:rFonts w:ascii="Arial" w:eastAsia="Arial" w:hAnsi="Arial" w:cs="Arial"/>
                <w:b/>
                <w:bCs/>
                <w:sz w:val="20"/>
                <w:szCs w:val="20"/>
              </w:rPr>
              <w:t>C</w:t>
            </w:r>
          </w:p>
        </w:tc>
        <w:tc>
          <w:tcPr>
            <w:tcW w:w="1411" w:type="dxa"/>
            <w:tcBorders>
              <w:top w:val="single" w:sz="4" w:space="0" w:color="auto"/>
              <w:left w:val="single" w:sz="4" w:space="0" w:color="auto"/>
            </w:tcBorders>
            <w:shd w:val="clear" w:color="auto" w:fill="auto"/>
          </w:tcPr>
          <w:p w14:paraId="12510BD0" w14:textId="77777777" w:rsidR="00EC1C40" w:rsidRDefault="00000000">
            <w:pPr>
              <w:pStyle w:val="Jin0"/>
              <w:framePr w:w="10469" w:h="3682" w:wrap="none" w:vAnchor="page" w:hAnchor="page" w:x="801" w:y="3872"/>
              <w:spacing w:after="0"/>
              <w:ind w:firstLine="640"/>
              <w:rPr>
                <w:sz w:val="20"/>
                <w:szCs w:val="20"/>
              </w:rPr>
            </w:pPr>
            <w:r>
              <w:rPr>
                <w:rFonts w:ascii="Arial" w:eastAsia="Arial" w:hAnsi="Arial" w:cs="Arial"/>
                <w:i/>
                <w:iCs/>
                <w:color w:val="3C6AB3"/>
                <w:sz w:val="20"/>
                <w:szCs w:val="20"/>
              </w:rPr>
              <w:t>/</w:t>
            </w:r>
          </w:p>
        </w:tc>
        <w:tc>
          <w:tcPr>
            <w:tcW w:w="1109" w:type="dxa"/>
            <w:tcBorders>
              <w:top w:val="single" w:sz="4" w:space="0" w:color="auto"/>
              <w:left w:val="single" w:sz="4" w:space="0" w:color="auto"/>
            </w:tcBorders>
            <w:shd w:val="clear" w:color="auto" w:fill="auto"/>
          </w:tcPr>
          <w:p w14:paraId="4A3EF856" w14:textId="77777777" w:rsidR="00EC1C40" w:rsidRDefault="00000000">
            <w:pPr>
              <w:pStyle w:val="Jin0"/>
              <w:framePr w:w="10469" w:h="3682" w:wrap="none" w:vAnchor="page" w:hAnchor="page" w:x="801" w:y="3872"/>
              <w:spacing w:after="0"/>
              <w:jc w:val="center"/>
              <w:rPr>
                <w:sz w:val="20"/>
                <w:szCs w:val="20"/>
              </w:rPr>
            </w:pPr>
            <w:r>
              <w:rPr>
                <w:rFonts w:ascii="Arial" w:eastAsia="Arial" w:hAnsi="Arial" w:cs="Arial"/>
                <w:sz w:val="20"/>
                <w:szCs w:val="20"/>
              </w:rPr>
              <w:t>/</w:t>
            </w:r>
          </w:p>
        </w:tc>
        <w:tc>
          <w:tcPr>
            <w:tcW w:w="1277" w:type="dxa"/>
            <w:tcBorders>
              <w:top w:val="single" w:sz="4" w:space="0" w:color="auto"/>
              <w:left w:val="single" w:sz="4" w:space="0" w:color="auto"/>
            </w:tcBorders>
            <w:shd w:val="clear" w:color="auto" w:fill="auto"/>
          </w:tcPr>
          <w:p w14:paraId="6CC9E9E9" w14:textId="77777777" w:rsidR="00EC1C40" w:rsidRDefault="00000000">
            <w:pPr>
              <w:pStyle w:val="Jin0"/>
              <w:framePr w:w="10469" w:h="3682" w:wrap="none" w:vAnchor="page" w:hAnchor="page" w:x="801" w:y="3872"/>
              <w:spacing w:after="0"/>
              <w:ind w:firstLine="380"/>
              <w:jc w:val="both"/>
              <w:rPr>
                <w:sz w:val="20"/>
                <w:szCs w:val="20"/>
              </w:rPr>
            </w:pPr>
            <w:r>
              <w:rPr>
                <w:rFonts w:ascii="Arial" w:eastAsia="Arial" w:hAnsi="Arial" w:cs="Arial"/>
                <w:i/>
                <w:iCs/>
                <w:color w:val="3C6AB3"/>
                <w:sz w:val="20"/>
                <w:szCs w:val="20"/>
              </w:rPr>
              <w:t>60 m</w:t>
            </w:r>
          </w:p>
        </w:tc>
        <w:tc>
          <w:tcPr>
            <w:tcW w:w="1109" w:type="dxa"/>
            <w:tcBorders>
              <w:top w:val="single" w:sz="4" w:space="0" w:color="auto"/>
              <w:left w:val="single" w:sz="4" w:space="0" w:color="auto"/>
            </w:tcBorders>
            <w:shd w:val="clear" w:color="auto" w:fill="auto"/>
          </w:tcPr>
          <w:p w14:paraId="191F745A" w14:textId="77777777" w:rsidR="00EC1C40" w:rsidRDefault="00000000">
            <w:pPr>
              <w:pStyle w:val="Jin0"/>
              <w:framePr w:w="10469" w:h="3682" w:wrap="none" w:vAnchor="page" w:hAnchor="page" w:x="801" w:y="3872"/>
              <w:spacing w:after="0"/>
              <w:jc w:val="center"/>
              <w:rPr>
                <w:sz w:val="20"/>
                <w:szCs w:val="20"/>
              </w:rPr>
            </w:pPr>
            <w:r>
              <w:rPr>
                <w:rFonts w:ascii="Arial" w:eastAsia="Arial" w:hAnsi="Arial" w:cs="Arial"/>
                <w:sz w:val="20"/>
                <w:szCs w:val="20"/>
              </w:rPr>
              <w:t>53 m</w:t>
            </w:r>
          </w:p>
        </w:tc>
        <w:tc>
          <w:tcPr>
            <w:tcW w:w="1272" w:type="dxa"/>
            <w:tcBorders>
              <w:top w:val="single" w:sz="4" w:space="0" w:color="auto"/>
              <w:left w:val="single" w:sz="4" w:space="0" w:color="auto"/>
            </w:tcBorders>
            <w:shd w:val="clear" w:color="auto" w:fill="auto"/>
          </w:tcPr>
          <w:p w14:paraId="66BF58F7" w14:textId="77777777" w:rsidR="00EC1C40" w:rsidRDefault="00000000">
            <w:pPr>
              <w:pStyle w:val="Jin0"/>
              <w:framePr w:w="10469" w:h="3682" w:wrap="none" w:vAnchor="page" w:hAnchor="page" w:x="801" w:y="3872"/>
              <w:spacing w:after="0"/>
              <w:jc w:val="center"/>
              <w:rPr>
                <w:sz w:val="20"/>
                <w:szCs w:val="20"/>
              </w:rPr>
            </w:pPr>
            <w:r>
              <w:rPr>
                <w:rFonts w:ascii="Arial" w:eastAsia="Arial" w:hAnsi="Arial" w:cs="Arial"/>
                <w:i/>
                <w:iCs/>
                <w:color w:val="3C6AB3"/>
                <w:sz w:val="20"/>
                <w:szCs w:val="20"/>
              </w:rPr>
              <w:t>100 %</w:t>
            </w:r>
          </w:p>
        </w:tc>
        <w:tc>
          <w:tcPr>
            <w:tcW w:w="1248" w:type="dxa"/>
            <w:tcBorders>
              <w:top w:val="single" w:sz="4" w:space="0" w:color="auto"/>
              <w:left w:val="single" w:sz="4" w:space="0" w:color="auto"/>
            </w:tcBorders>
            <w:shd w:val="clear" w:color="auto" w:fill="auto"/>
          </w:tcPr>
          <w:p w14:paraId="55C4E561" w14:textId="77777777" w:rsidR="00EC1C40" w:rsidRDefault="00000000">
            <w:pPr>
              <w:pStyle w:val="Jin0"/>
              <w:framePr w:w="10469" w:h="3682" w:wrap="none" w:vAnchor="page" w:hAnchor="page" w:x="801" w:y="3872"/>
              <w:spacing w:after="0"/>
              <w:jc w:val="center"/>
              <w:rPr>
                <w:sz w:val="20"/>
                <w:szCs w:val="20"/>
              </w:rPr>
            </w:pPr>
            <w:r>
              <w:rPr>
                <w:rFonts w:ascii="Arial" w:eastAsia="Arial" w:hAnsi="Arial" w:cs="Arial"/>
                <w:sz w:val="20"/>
                <w:szCs w:val="20"/>
              </w:rPr>
              <w:t>100 %</w:t>
            </w:r>
          </w:p>
        </w:tc>
        <w:tc>
          <w:tcPr>
            <w:tcW w:w="1243" w:type="dxa"/>
            <w:tcBorders>
              <w:top w:val="single" w:sz="4" w:space="0" w:color="auto"/>
              <w:left w:val="single" w:sz="4" w:space="0" w:color="auto"/>
            </w:tcBorders>
            <w:shd w:val="clear" w:color="auto" w:fill="auto"/>
          </w:tcPr>
          <w:p w14:paraId="7DA0986B" w14:textId="77777777" w:rsidR="00EC1C40" w:rsidRDefault="00000000">
            <w:pPr>
              <w:pStyle w:val="Jin0"/>
              <w:framePr w:w="10469" w:h="3682" w:wrap="none" w:vAnchor="page" w:hAnchor="page" w:x="801" w:y="3872"/>
              <w:spacing w:after="0"/>
              <w:ind w:firstLine="380"/>
              <w:jc w:val="both"/>
              <w:rPr>
                <w:sz w:val="20"/>
                <w:szCs w:val="20"/>
              </w:rPr>
            </w:pPr>
            <w:r>
              <w:rPr>
                <w:rFonts w:ascii="Arial" w:eastAsia="Arial" w:hAnsi="Arial" w:cs="Arial"/>
                <w:i/>
                <w:iCs/>
                <w:color w:val="3C6AB3"/>
                <w:sz w:val="20"/>
                <w:szCs w:val="20"/>
              </w:rPr>
              <w:t>0 %</w:t>
            </w:r>
          </w:p>
        </w:tc>
        <w:tc>
          <w:tcPr>
            <w:tcW w:w="1094" w:type="dxa"/>
            <w:tcBorders>
              <w:top w:val="single" w:sz="4" w:space="0" w:color="auto"/>
              <w:left w:val="single" w:sz="4" w:space="0" w:color="auto"/>
              <w:right w:val="single" w:sz="4" w:space="0" w:color="auto"/>
            </w:tcBorders>
            <w:shd w:val="clear" w:color="auto" w:fill="auto"/>
          </w:tcPr>
          <w:p w14:paraId="15044D71" w14:textId="77777777" w:rsidR="00EC1C40" w:rsidRDefault="00000000">
            <w:pPr>
              <w:pStyle w:val="Jin0"/>
              <w:framePr w:w="10469" w:h="3682" w:wrap="none" w:vAnchor="page" w:hAnchor="page" w:x="801" w:y="3872"/>
              <w:spacing w:after="0"/>
              <w:jc w:val="center"/>
              <w:rPr>
                <w:sz w:val="20"/>
                <w:szCs w:val="20"/>
              </w:rPr>
            </w:pPr>
            <w:r>
              <w:rPr>
                <w:rFonts w:ascii="Arial" w:eastAsia="Arial" w:hAnsi="Arial" w:cs="Arial"/>
                <w:sz w:val="20"/>
                <w:szCs w:val="20"/>
              </w:rPr>
              <w:t>0 %</w:t>
            </w:r>
          </w:p>
        </w:tc>
      </w:tr>
      <w:tr w:rsidR="00EC1C40" w14:paraId="0CEFCA5F" w14:textId="77777777">
        <w:tblPrEx>
          <w:tblCellMar>
            <w:top w:w="0" w:type="dxa"/>
            <w:bottom w:w="0" w:type="dxa"/>
          </w:tblCellMar>
        </w:tblPrEx>
        <w:trPr>
          <w:trHeight w:hRule="exact" w:val="336"/>
        </w:trPr>
        <w:tc>
          <w:tcPr>
            <w:tcW w:w="706" w:type="dxa"/>
            <w:tcBorders>
              <w:top w:val="single" w:sz="4" w:space="0" w:color="auto"/>
              <w:left w:val="single" w:sz="4" w:space="0" w:color="auto"/>
            </w:tcBorders>
            <w:shd w:val="clear" w:color="auto" w:fill="auto"/>
          </w:tcPr>
          <w:p w14:paraId="79C5EBBF" w14:textId="77777777" w:rsidR="00EC1C40" w:rsidRDefault="00000000">
            <w:pPr>
              <w:pStyle w:val="Jin0"/>
              <w:framePr w:w="10469" w:h="3682" w:wrap="none" w:vAnchor="page" w:hAnchor="page" w:x="801" w:y="3872"/>
              <w:spacing w:after="0"/>
              <w:rPr>
                <w:sz w:val="20"/>
                <w:szCs w:val="20"/>
              </w:rPr>
            </w:pPr>
            <w:r>
              <w:rPr>
                <w:rFonts w:ascii="Arial" w:eastAsia="Arial" w:hAnsi="Arial" w:cs="Arial"/>
                <w:b/>
                <w:bCs/>
                <w:sz w:val="20"/>
                <w:szCs w:val="20"/>
              </w:rPr>
              <w:t>D</w:t>
            </w:r>
          </w:p>
        </w:tc>
        <w:tc>
          <w:tcPr>
            <w:tcW w:w="1411" w:type="dxa"/>
            <w:tcBorders>
              <w:top w:val="single" w:sz="4" w:space="0" w:color="auto"/>
              <w:left w:val="single" w:sz="4" w:space="0" w:color="auto"/>
            </w:tcBorders>
            <w:shd w:val="clear" w:color="auto" w:fill="auto"/>
          </w:tcPr>
          <w:p w14:paraId="38F20A6E" w14:textId="77777777" w:rsidR="00EC1C40" w:rsidRDefault="00000000">
            <w:pPr>
              <w:pStyle w:val="Jin0"/>
              <w:framePr w:w="10469" w:h="3682" w:wrap="none" w:vAnchor="page" w:hAnchor="page" w:x="801" w:y="3872"/>
              <w:spacing w:after="0"/>
              <w:ind w:firstLine="400"/>
              <w:rPr>
                <w:sz w:val="20"/>
                <w:szCs w:val="20"/>
              </w:rPr>
            </w:pPr>
            <w:r>
              <w:rPr>
                <w:rFonts w:ascii="Arial" w:eastAsia="Arial" w:hAnsi="Arial" w:cs="Arial"/>
                <w:i/>
                <w:iCs/>
                <w:color w:val="3C6AB3"/>
                <w:sz w:val="20"/>
                <w:szCs w:val="20"/>
              </w:rPr>
              <w:t>2 + 0</w:t>
            </w:r>
          </w:p>
        </w:tc>
        <w:tc>
          <w:tcPr>
            <w:tcW w:w="1109" w:type="dxa"/>
            <w:tcBorders>
              <w:top w:val="single" w:sz="4" w:space="0" w:color="auto"/>
              <w:left w:val="single" w:sz="4" w:space="0" w:color="auto"/>
            </w:tcBorders>
            <w:shd w:val="clear" w:color="auto" w:fill="auto"/>
          </w:tcPr>
          <w:p w14:paraId="3886E42B" w14:textId="77777777" w:rsidR="00EC1C40" w:rsidRDefault="00EC1C40">
            <w:pPr>
              <w:framePr w:w="10469" w:h="3682" w:wrap="none" w:vAnchor="page" w:hAnchor="page" w:x="801" w:y="3872"/>
              <w:rPr>
                <w:sz w:val="10"/>
                <w:szCs w:val="10"/>
              </w:rPr>
            </w:pPr>
          </w:p>
        </w:tc>
        <w:tc>
          <w:tcPr>
            <w:tcW w:w="1277" w:type="dxa"/>
            <w:tcBorders>
              <w:top w:val="single" w:sz="4" w:space="0" w:color="auto"/>
              <w:left w:val="single" w:sz="4" w:space="0" w:color="auto"/>
            </w:tcBorders>
            <w:shd w:val="clear" w:color="auto" w:fill="auto"/>
          </w:tcPr>
          <w:p w14:paraId="29EC2708" w14:textId="77777777" w:rsidR="00EC1C40" w:rsidRDefault="00000000">
            <w:pPr>
              <w:pStyle w:val="Jin0"/>
              <w:framePr w:w="10469" w:h="3682" w:wrap="none" w:vAnchor="page" w:hAnchor="page" w:x="801" w:y="3872"/>
              <w:spacing w:after="0"/>
              <w:ind w:firstLine="380"/>
              <w:jc w:val="both"/>
              <w:rPr>
                <w:sz w:val="20"/>
                <w:szCs w:val="20"/>
              </w:rPr>
            </w:pPr>
            <w:r>
              <w:rPr>
                <w:rFonts w:ascii="Arial" w:eastAsia="Arial" w:hAnsi="Arial" w:cs="Arial"/>
                <w:i/>
                <w:iCs/>
                <w:color w:val="3C6AB3"/>
                <w:sz w:val="20"/>
                <w:szCs w:val="20"/>
              </w:rPr>
              <w:t>10 m</w:t>
            </w:r>
          </w:p>
        </w:tc>
        <w:tc>
          <w:tcPr>
            <w:tcW w:w="1109" w:type="dxa"/>
            <w:tcBorders>
              <w:top w:val="single" w:sz="4" w:space="0" w:color="auto"/>
              <w:left w:val="single" w:sz="4" w:space="0" w:color="auto"/>
            </w:tcBorders>
            <w:shd w:val="clear" w:color="auto" w:fill="auto"/>
          </w:tcPr>
          <w:p w14:paraId="63A2167A" w14:textId="77777777" w:rsidR="00EC1C40" w:rsidRDefault="00000000">
            <w:pPr>
              <w:pStyle w:val="Jin0"/>
              <w:framePr w:w="10469" w:h="3682" w:wrap="none" w:vAnchor="page" w:hAnchor="page" w:x="801" w:y="3872"/>
              <w:spacing w:after="0"/>
              <w:jc w:val="center"/>
              <w:rPr>
                <w:sz w:val="20"/>
                <w:szCs w:val="20"/>
              </w:rPr>
            </w:pPr>
            <w:r>
              <w:rPr>
                <w:rFonts w:ascii="Arial" w:eastAsia="Arial" w:hAnsi="Arial" w:cs="Arial"/>
                <w:sz w:val="20"/>
                <w:szCs w:val="20"/>
              </w:rPr>
              <w:t>5,6 m</w:t>
            </w:r>
          </w:p>
        </w:tc>
        <w:tc>
          <w:tcPr>
            <w:tcW w:w="1272" w:type="dxa"/>
            <w:tcBorders>
              <w:top w:val="single" w:sz="4" w:space="0" w:color="auto"/>
              <w:left w:val="single" w:sz="4" w:space="0" w:color="auto"/>
            </w:tcBorders>
            <w:shd w:val="clear" w:color="auto" w:fill="auto"/>
          </w:tcPr>
          <w:p w14:paraId="5C45257A" w14:textId="77777777" w:rsidR="00EC1C40" w:rsidRDefault="00000000">
            <w:pPr>
              <w:pStyle w:val="Jin0"/>
              <w:framePr w:w="10469" w:h="3682" w:wrap="none" w:vAnchor="page" w:hAnchor="page" w:x="801" w:y="3872"/>
              <w:spacing w:after="0"/>
              <w:jc w:val="center"/>
              <w:rPr>
                <w:sz w:val="20"/>
                <w:szCs w:val="20"/>
              </w:rPr>
            </w:pPr>
            <w:r>
              <w:rPr>
                <w:rFonts w:ascii="Arial" w:eastAsia="Arial" w:hAnsi="Arial" w:cs="Arial"/>
                <w:i/>
                <w:iCs/>
                <w:color w:val="3C6AB3"/>
                <w:sz w:val="20"/>
                <w:szCs w:val="20"/>
              </w:rPr>
              <w:t>100 %</w:t>
            </w:r>
          </w:p>
        </w:tc>
        <w:tc>
          <w:tcPr>
            <w:tcW w:w="1248" w:type="dxa"/>
            <w:tcBorders>
              <w:top w:val="single" w:sz="4" w:space="0" w:color="auto"/>
              <w:left w:val="single" w:sz="4" w:space="0" w:color="auto"/>
            </w:tcBorders>
            <w:shd w:val="clear" w:color="auto" w:fill="auto"/>
          </w:tcPr>
          <w:p w14:paraId="63BBAD62" w14:textId="77777777" w:rsidR="00EC1C40" w:rsidRDefault="00000000">
            <w:pPr>
              <w:pStyle w:val="Jin0"/>
              <w:framePr w:w="10469" w:h="3682" w:wrap="none" w:vAnchor="page" w:hAnchor="page" w:x="801" w:y="3872"/>
              <w:spacing w:after="0"/>
              <w:jc w:val="center"/>
              <w:rPr>
                <w:sz w:val="20"/>
                <w:szCs w:val="20"/>
              </w:rPr>
            </w:pPr>
            <w:r>
              <w:rPr>
                <w:rFonts w:ascii="Arial" w:eastAsia="Arial" w:hAnsi="Arial" w:cs="Arial"/>
                <w:sz w:val="20"/>
                <w:szCs w:val="20"/>
              </w:rPr>
              <w:t>93,75 %</w:t>
            </w:r>
          </w:p>
        </w:tc>
        <w:tc>
          <w:tcPr>
            <w:tcW w:w="1243" w:type="dxa"/>
            <w:tcBorders>
              <w:top w:val="single" w:sz="4" w:space="0" w:color="auto"/>
              <w:left w:val="single" w:sz="4" w:space="0" w:color="auto"/>
            </w:tcBorders>
            <w:shd w:val="clear" w:color="auto" w:fill="auto"/>
          </w:tcPr>
          <w:p w14:paraId="31F7704E" w14:textId="77777777" w:rsidR="00EC1C40" w:rsidRDefault="00000000">
            <w:pPr>
              <w:pStyle w:val="Jin0"/>
              <w:framePr w:w="10469" w:h="3682" w:wrap="none" w:vAnchor="page" w:hAnchor="page" w:x="801" w:y="3872"/>
              <w:spacing w:after="0"/>
              <w:ind w:firstLine="380"/>
              <w:jc w:val="both"/>
              <w:rPr>
                <w:sz w:val="20"/>
                <w:szCs w:val="20"/>
              </w:rPr>
            </w:pPr>
            <w:r>
              <w:rPr>
                <w:rFonts w:ascii="Arial" w:eastAsia="Arial" w:hAnsi="Arial" w:cs="Arial"/>
                <w:i/>
                <w:iCs/>
                <w:color w:val="3C6AB3"/>
                <w:sz w:val="20"/>
                <w:szCs w:val="20"/>
              </w:rPr>
              <w:t>0 %</w:t>
            </w:r>
          </w:p>
        </w:tc>
        <w:tc>
          <w:tcPr>
            <w:tcW w:w="1094" w:type="dxa"/>
            <w:tcBorders>
              <w:top w:val="single" w:sz="4" w:space="0" w:color="auto"/>
              <w:left w:val="single" w:sz="4" w:space="0" w:color="auto"/>
              <w:right w:val="single" w:sz="4" w:space="0" w:color="auto"/>
            </w:tcBorders>
            <w:shd w:val="clear" w:color="auto" w:fill="auto"/>
          </w:tcPr>
          <w:p w14:paraId="7C9C22CB" w14:textId="77777777" w:rsidR="00EC1C40" w:rsidRDefault="00000000">
            <w:pPr>
              <w:pStyle w:val="Jin0"/>
              <w:framePr w:w="10469" w:h="3682" w:wrap="none" w:vAnchor="page" w:hAnchor="page" w:x="801" w:y="3872"/>
              <w:spacing w:after="0"/>
              <w:jc w:val="center"/>
              <w:rPr>
                <w:sz w:val="20"/>
                <w:szCs w:val="20"/>
              </w:rPr>
            </w:pPr>
            <w:r>
              <w:rPr>
                <w:rFonts w:ascii="Arial" w:eastAsia="Arial" w:hAnsi="Arial" w:cs="Arial"/>
                <w:sz w:val="20"/>
                <w:szCs w:val="20"/>
              </w:rPr>
              <w:t>1,41 %</w:t>
            </w:r>
          </w:p>
        </w:tc>
      </w:tr>
      <w:tr w:rsidR="00EC1C40" w14:paraId="51B640D1" w14:textId="77777777">
        <w:tblPrEx>
          <w:tblCellMar>
            <w:top w:w="0" w:type="dxa"/>
            <w:bottom w:w="0" w:type="dxa"/>
          </w:tblCellMar>
        </w:tblPrEx>
        <w:trPr>
          <w:trHeight w:hRule="exact" w:val="336"/>
        </w:trPr>
        <w:tc>
          <w:tcPr>
            <w:tcW w:w="706" w:type="dxa"/>
            <w:tcBorders>
              <w:top w:val="single" w:sz="4" w:space="0" w:color="auto"/>
              <w:left w:val="single" w:sz="4" w:space="0" w:color="auto"/>
            </w:tcBorders>
            <w:shd w:val="clear" w:color="auto" w:fill="auto"/>
          </w:tcPr>
          <w:p w14:paraId="66336578" w14:textId="77777777" w:rsidR="00EC1C40" w:rsidRDefault="00000000">
            <w:pPr>
              <w:pStyle w:val="Jin0"/>
              <w:framePr w:w="10469" w:h="3682" w:wrap="none" w:vAnchor="page" w:hAnchor="page" w:x="801" w:y="3872"/>
              <w:spacing w:after="0"/>
              <w:rPr>
                <w:sz w:val="20"/>
                <w:szCs w:val="20"/>
              </w:rPr>
            </w:pPr>
            <w:r>
              <w:rPr>
                <w:rFonts w:ascii="Arial" w:eastAsia="Arial" w:hAnsi="Arial" w:cs="Arial"/>
                <w:b/>
                <w:bCs/>
                <w:sz w:val="20"/>
                <w:szCs w:val="20"/>
              </w:rPr>
              <w:t>E</w:t>
            </w:r>
          </w:p>
        </w:tc>
        <w:tc>
          <w:tcPr>
            <w:tcW w:w="1411" w:type="dxa"/>
            <w:tcBorders>
              <w:top w:val="single" w:sz="4" w:space="0" w:color="auto"/>
              <w:left w:val="single" w:sz="4" w:space="0" w:color="auto"/>
            </w:tcBorders>
            <w:shd w:val="clear" w:color="auto" w:fill="auto"/>
          </w:tcPr>
          <w:p w14:paraId="5CC886F5" w14:textId="77777777" w:rsidR="00EC1C40" w:rsidRDefault="00000000">
            <w:pPr>
              <w:pStyle w:val="Jin0"/>
              <w:framePr w:w="10469" w:h="3682" w:wrap="none" w:vAnchor="page" w:hAnchor="page" w:x="801" w:y="3872"/>
              <w:spacing w:after="0"/>
              <w:jc w:val="center"/>
              <w:rPr>
                <w:sz w:val="20"/>
                <w:szCs w:val="20"/>
              </w:rPr>
            </w:pPr>
            <w:r>
              <w:rPr>
                <w:rFonts w:ascii="Arial" w:eastAsia="Arial" w:hAnsi="Arial" w:cs="Arial"/>
                <w:i/>
                <w:iCs/>
                <w:color w:val="3C6AB3"/>
                <w:sz w:val="20"/>
                <w:szCs w:val="20"/>
              </w:rPr>
              <w:t>12 + 0</w:t>
            </w:r>
          </w:p>
        </w:tc>
        <w:tc>
          <w:tcPr>
            <w:tcW w:w="1109" w:type="dxa"/>
            <w:tcBorders>
              <w:top w:val="single" w:sz="4" w:space="0" w:color="auto"/>
              <w:left w:val="single" w:sz="4" w:space="0" w:color="auto"/>
            </w:tcBorders>
            <w:shd w:val="clear" w:color="auto" w:fill="auto"/>
          </w:tcPr>
          <w:p w14:paraId="13EE4118" w14:textId="77777777" w:rsidR="00EC1C40" w:rsidRDefault="00EC1C40">
            <w:pPr>
              <w:framePr w:w="10469" w:h="3682" w:wrap="none" w:vAnchor="page" w:hAnchor="page" w:x="801" w:y="3872"/>
              <w:rPr>
                <w:sz w:val="10"/>
                <w:szCs w:val="10"/>
              </w:rPr>
            </w:pPr>
          </w:p>
        </w:tc>
        <w:tc>
          <w:tcPr>
            <w:tcW w:w="1277" w:type="dxa"/>
            <w:tcBorders>
              <w:top w:val="single" w:sz="4" w:space="0" w:color="auto"/>
              <w:left w:val="single" w:sz="4" w:space="0" w:color="auto"/>
            </w:tcBorders>
            <w:shd w:val="clear" w:color="auto" w:fill="auto"/>
          </w:tcPr>
          <w:p w14:paraId="3643F243" w14:textId="77777777" w:rsidR="00EC1C40" w:rsidRDefault="00000000">
            <w:pPr>
              <w:pStyle w:val="Jin0"/>
              <w:framePr w:w="10469" w:h="3682" w:wrap="none" w:vAnchor="page" w:hAnchor="page" w:x="801" w:y="3872"/>
              <w:spacing w:after="0"/>
              <w:ind w:firstLine="380"/>
              <w:jc w:val="both"/>
              <w:rPr>
                <w:sz w:val="20"/>
                <w:szCs w:val="20"/>
              </w:rPr>
            </w:pPr>
            <w:r>
              <w:rPr>
                <w:rFonts w:ascii="Arial" w:eastAsia="Arial" w:hAnsi="Arial" w:cs="Arial"/>
                <w:i/>
                <w:iCs/>
                <w:color w:val="3C6AB3"/>
                <w:sz w:val="20"/>
                <w:szCs w:val="20"/>
              </w:rPr>
              <w:t>40 m</w:t>
            </w:r>
          </w:p>
        </w:tc>
        <w:tc>
          <w:tcPr>
            <w:tcW w:w="1109" w:type="dxa"/>
            <w:tcBorders>
              <w:top w:val="single" w:sz="4" w:space="0" w:color="auto"/>
              <w:left w:val="single" w:sz="4" w:space="0" w:color="auto"/>
            </w:tcBorders>
            <w:shd w:val="clear" w:color="auto" w:fill="auto"/>
          </w:tcPr>
          <w:p w14:paraId="67B1C52F" w14:textId="77777777" w:rsidR="00EC1C40" w:rsidRDefault="00000000">
            <w:pPr>
              <w:pStyle w:val="Jin0"/>
              <w:framePr w:w="10469" w:h="3682" w:wrap="none" w:vAnchor="page" w:hAnchor="page" w:x="801" w:y="3872"/>
              <w:spacing w:after="0"/>
              <w:jc w:val="center"/>
              <w:rPr>
                <w:sz w:val="20"/>
                <w:szCs w:val="20"/>
              </w:rPr>
            </w:pPr>
            <w:r>
              <w:rPr>
                <w:rFonts w:ascii="Arial" w:eastAsia="Arial" w:hAnsi="Arial" w:cs="Arial"/>
                <w:sz w:val="20"/>
                <w:szCs w:val="20"/>
              </w:rPr>
              <w:t>30,6 m</w:t>
            </w:r>
          </w:p>
        </w:tc>
        <w:tc>
          <w:tcPr>
            <w:tcW w:w="1272" w:type="dxa"/>
            <w:tcBorders>
              <w:top w:val="single" w:sz="4" w:space="0" w:color="auto"/>
              <w:left w:val="single" w:sz="4" w:space="0" w:color="auto"/>
            </w:tcBorders>
            <w:shd w:val="clear" w:color="auto" w:fill="auto"/>
          </w:tcPr>
          <w:p w14:paraId="29E69BE7" w14:textId="77777777" w:rsidR="00EC1C40" w:rsidRDefault="00000000">
            <w:pPr>
              <w:pStyle w:val="Jin0"/>
              <w:framePr w:w="10469" w:h="3682" w:wrap="none" w:vAnchor="page" w:hAnchor="page" w:x="801" w:y="3872"/>
              <w:spacing w:after="0"/>
              <w:jc w:val="center"/>
              <w:rPr>
                <w:sz w:val="20"/>
                <w:szCs w:val="20"/>
              </w:rPr>
            </w:pPr>
            <w:r>
              <w:rPr>
                <w:rFonts w:ascii="Arial" w:eastAsia="Arial" w:hAnsi="Arial" w:cs="Arial"/>
                <w:i/>
                <w:iCs/>
                <w:color w:val="3C6AB3"/>
                <w:sz w:val="20"/>
                <w:szCs w:val="20"/>
              </w:rPr>
              <w:t>100 %</w:t>
            </w:r>
          </w:p>
        </w:tc>
        <w:tc>
          <w:tcPr>
            <w:tcW w:w="1248" w:type="dxa"/>
            <w:tcBorders>
              <w:top w:val="single" w:sz="4" w:space="0" w:color="auto"/>
              <w:left w:val="single" w:sz="4" w:space="0" w:color="auto"/>
            </w:tcBorders>
            <w:shd w:val="clear" w:color="auto" w:fill="auto"/>
          </w:tcPr>
          <w:p w14:paraId="0EF7C21D" w14:textId="77777777" w:rsidR="00EC1C40" w:rsidRDefault="00000000">
            <w:pPr>
              <w:pStyle w:val="Jin0"/>
              <w:framePr w:w="10469" w:h="3682" w:wrap="none" w:vAnchor="page" w:hAnchor="page" w:x="801" w:y="3872"/>
              <w:spacing w:after="0"/>
              <w:jc w:val="center"/>
              <w:rPr>
                <w:sz w:val="20"/>
                <w:szCs w:val="20"/>
              </w:rPr>
            </w:pPr>
            <w:r>
              <w:rPr>
                <w:rFonts w:ascii="Arial" w:eastAsia="Arial" w:hAnsi="Arial" w:cs="Arial"/>
                <w:sz w:val="20"/>
                <w:szCs w:val="20"/>
              </w:rPr>
              <w:t>98,41 %</w:t>
            </w:r>
          </w:p>
        </w:tc>
        <w:tc>
          <w:tcPr>
            <w:tcW w:w="1243" w:type="dxa"/>
            <w:tcBorders>
              <w:top w:val="single" w:sz="4" w:space="0" w:color="auto"/>
              <w:left w:val="single" w:sz="4" w:space="0" w:color="auto"/>
            </w:tcBorders>
            <w:shd w:val="clear" w:color="auto" w:fill="auto"/>
          </w:tcPr>
          <w:p w14:paraId="51DE9A2A" w14:textId="77777777" w:rsidR="00EC1C40" w:rsidRDefault="00000000">
            <w:pPr>
              <w:pStyle w:val="Jin0"/>
              <w:framePr w:w="10469" w:h="3682" w:wrap="none" w:vAnchor="page" w:hAnchor="page" w:x="801" w:y="3872"/>
              <w:spacing w:after="0"/>
              <w:ind w:firstLine="380"/>
              <w:jc w:val="both"/>
              <w:rPr>
                <w:sz w:val="20"/>
                <w:szCs w:val="20"/>
              </w:rPr>
            </w:pPr>
            <w:r>
              <w:rPr>
                <w:rFonts w:ascii="Arial" w:eastAsia="Arial" w:hAnsi="Arial" w:cs="Arial"/>
                <w:i/>
                <w:iCs/>
                <w:color w:val="3C6AB3"/>
                <w:sz w:val="20"/>
                <w:szCs w:val="20"/>
              </w:rPr>
              <w:t>0 %</w:t>
            </w:r>
          </w:p>
        </w:tc>
        <w:tc>
          <w:tcPr>
            <w:tcW w:w="1094" w:type="dxa"/>
            <w:tcBorders>
              <w:top w:val="single" w:sz="4" w:space="0" w:color="auto"/>
              <w:left w:val="single" w:sz="4" w:space="0" w:color="auto"/>
              <w:right w:val="single" w:sz="4" w:space="0" w:color="auto"/>
            </w:tcBorders>
            <w:shd w:val="clear" w:color="auto" w:fill="auto"/>
          </w:tcPr>
          <w:p w14:paraId="63CD2FF9" w14:textId="77777777" w:rsidR="00EC1C40" w:rsidRDefault="00000000">
            <w:pPr>
              <w:pStyle w:val="Jin0"/>
              <w:framePr w:w="10469" w:h="3682" w:wrap="none" w:vAnchor="page" w:hAnchor="page" w:x="801" w:y="3872"/>
              <w:spacing w:after="0"/>
              <w:jc w:val="center"/>
              <w:rPr>
                <w:sz w:val="20"/>
                <w:szCs w:val="20"/>
              </w:rPr>
            </w:pPr>
            <w:r>
              <w:rPr>
                <w:rFonts w:ascii="Arial" w:eastAsia="Arial" w:hAnsi="Arial" w:cs="Arial"/>
                <w:sz w:val="20"/>
                <w:szCs w:val="20"/>
              </w:rPr>
              <w:t>0 %</w:t>
            </w:r>
          </w:p>
        </w:tc>
      </w:tr>
      <w:tr w:rsidR="00EC1C40" w14:paraId="0B99ED5D" w14:textId="77777777">
        <w:tblPrEx>
          <w:tblCellMar>
            <w:top w:w="0" w:type="dxa"/>
            <w:bottom w:w="0" w:type="dxa"/>
          </w:tblCellMar>
        </w:tblPrEx>
        <w:trPr>
          <w:trHeight w:hRule="exact" w:val="326"/>
        </w:trPr>
        <w:tc>
          <w:tcPr>
            <w:tcW w:w="706" w:type="dxa"/>
            <w:tcBorders>
              <w:top w:val="single" w:sz="4" w:space="0" w:color="auto"/>
              <w:left w:val="single" w:sz="4" w:space="0" w:color="auto"/>
            </w:tcBorders>
            <w:shd w:val="clear" w:color="auto" w:fill="auto"/>
          </w:tcPr>
          <w:p w14:paraId="57E17834" w14:textId="77777777" w:rsidR="00EC1C40" w:rsidRDefault="00000000">
            <w:pPr>
              <w:pStyle w:val="Jin0"/>
              <w:framePr w:w="10469" w:h="3682" w:wrap="none" w:vAnchor="page" w:hAnchor="page" w:x="801" w:y="3872"/>
              <w:spacing w:after="0"/>
              <w:rPr>
                <w:sz w:val="20"/>
                <w:szCs w:val="20"/>
              </w:rPr>
            </w:pPr>
            <w:r>
              <w:rPr>
                <w:rFonts w:ascii="Arial" w:eastAsia="Arial" w:hAnsi="Arial" w:cs="Arial"/>
                <w:b/>
                <w:bCs/>
                <w:sz w:val="20"/>
                <w:szCs w:val="20"/>
              </w:rPr>
              <w:t>F</w:t>
            </w:r>
          </w:p>
        </w:tc>
        <w:tc>
          <w:tcPr>
            <w:tcW w:w="1411" w:type="dxa"/>
            <w:tcBorders>
              <w:top w:val="single" w:sz="4" w:space="0" w:color="auto"/>
              <w:left w:val="single" w:sz="4" w:space="0" w:color="auto"/>
            </w:tcBorders>
            <w:shd w:val="clear" w:color="auto" w:fill="auto"/>
          </w:tcPr>
          <w:p w14:paraId="7FCD3A67" w14:textId="77777777" w:rsidR="00EC1C40" w:rsidRDefault="00000000">
            <w:pPr>
              <w:pStyle w:val="Jin0"/>
              <w:framePr w:w="10469" w:h="3682" w:wrap="none" w:vAnchor="page" w:hAnchor="page" w:x="801" w:y="3872"/>
              <w:spacing w:after="0"/>
              <w:ind w:firstLine="640"/>
              <w:rPr>
                <w:sz w:val="20"/>
                <w:szCs w:val="20"/>
              </w:rPr>
            </w:pPr>
            <w:r>
              <w:rPr>
                <w:rFonts w:ascii="Arial" w:eastAsia="Arial" w:hAnsi="Arial" w:cs="Arial"/>
                <w:i/>
                <w:iCs/>
                <w:color w:val="3C6AB3"/>
                <w:sz w:val="20"/>
                <w:szCs w:val="20"/>
              </w:rPr>
              <w:t>/</w:t>
            </w:r>
          </w:p>
        </w:tc>
        <w:tc>
          <w:tcPr>
            <w:tcW w:w="1109" w:type="dxa"/>
            <w:tcBorders>
              <w:top w:val="single" w:sz="4" w:space="0" w:color="auto"/>
              <w:left w:val="single" w:sz="4" w:space="0" w:color="auto"/>
            </w:tcBorders>
            <w:shd w:val="clear" w:color="auto" w:fill="auto"/>
          </w:tcPr>
          <w:p w14:paraId="7F46879C" w14:textId="77777777" w:rsidR="00EC1C40" w:rsidRDefault="00000000">
            <w:pPr>
              <w:pStyle w:val="Jin0"/>
              <w:framePr w:w="10469" w:h="3682" w:wrap="none" w:vAnchor="page" w:hAnchor="page" w:x="801" w:y="3872"/>
              <w:spacing w:after="0"/>
              <w:jc w:val="center"/>
              <w:rPr>
                <w:sz w:val="20"/>
                <w:szCs w:val="20"/>
              </w:rPr>
            </w:pPr>
            <w:r>
              <w:rPr>
                <w:rFonts w:ascii="Arial" w:eastAsia="Arial" w:hAnsi="Arial" w:cs="Arial"/>
                <w:sz w:val="20"/>
                <w:szCs w:val="20"/>
              </w:rPr>
              <w:t>/</w:t>
            </w:r>
          </w:p>
        </w:tc>
        <w:tc>
          <w:tcPr>
            <w:tcW w:w="1277" w:type="dxa"/>
            <w:tcBorders>
              <w:top w:val="single" w:sz="4" w:space="0" w:color="auto"/>
              <w:left w:val="single" w:sz="4" w:space="0" w:color="auto"/>
            </w:tcBorders>
            <w:shd w:val="clear" w:color="auto" w:fill="auto"/>
          </w:tcPr>
          <w:p w14:paraId="4FCD7829" w14:textId="77777777" w:rsidR="00EC1C40" w:rsidRDefault="00000000">
            <w:pPr>
              <w:pStyle w:val="Jin0"/>
              <w:framePr w:w="10469" w:h="3682" w:wrap="none" w:vAnchor="page" w:hAnchor="page" w:x="801" w:y="3872"/>
              <w:spacing w:after="0"/>
              <w:jc w:val="center"/>
              <w:rPr>
                <w:sz w:val="20"/>
                <w:szCs w:val="20"/>
              </w:rPr>
            </w:pPr>
            <w:r>
              <w:rPr>
                <w:rFonts w:ascii="Arial" w:eastAsia="Arial" w:hAnsi="Arial" w:cs="Arial"/>
                <w:i/>
                <w:iCs/>
                <w:color w:val="3C6AB3"/>
                <w:sz w:val="20"/>
                <w:szCs w:val="20"/>
              </w:rPr>
              <w:t>0 m</w:t>
            </w:r>
          </w:p>
        </w:tc>
        <w:tc>
          <w:tcPr>
            <w:tcW w:w="1109" w:type="dxa"/>
            <w:tcBorders>
              <w:top w:val="single" w:sz="4" w:space="0" w:color="auto"/>
              <w:left w:val="single" w:sz="4" w:space="0" w:color="auto"/>
            </w:tcBorders>
            <w:shd w:val="clear" w:color="auto" w:fill="auto"/>
          </w:tcPr>
          <w:p w14:paraId="1887ACEA" w14:textId="77777777" w:rsidR="00EC1C40" w:rsidRDefault="00000000">
            <w:pPr>
              <w:pStyle w:val="Jin0"/>
              <w:framePr w:w="10469" w:h="3682" w:wrap="none" w:vAnchor="page" w:hAnchor="page" w:x="801" w:y="3872"/>
              <w:spacing w:after="0"/>
              <w:jc w:val="center"/>
              <w:rPr>
                <w:sz w:val="20"/>
                <w:szCs w:val="20"/>
              </w:rPr>
            </w:pPr>
            <w:r>
              <w:rPr>
                <w:rFonts w:ascii="Arial" w:eastAsia="Arial" w:hAnsi="Arial" w:cs="Arial"/>
                <w:sz w:val="20"/>
                <w:szCs w:val="20"/>
              </w:rPr>
              <w:t>0 m</w:t>
            </w:r>
          </w:p>
        </w:tc>
        <w:tc>
          <w:tcPr>
            <w:tcW w:w="1272" w:type="dxa"/>
            <w:tcBorders>
              <w:top w:val="single" w:sz="4" w:space="0" w:color="auto"/>
              <w:left w:val="single" w:sz="4" w:space="0" w:color="auto"/>
            </w:tcBorders>
            <w:shd w:val="clear" w:color="auto" w:fill="auto"/>
          </w:tcPr>
          <w:p w14:paraId="280155B1" w14:textId="77777777" w:rsidR="00EC1C40" w:rsidRDefault="00000000">
            <w:pPr>
              <w:pStyle w:val="Jin0"/>
              <w:framePr w:w="10469" w:h="3682" w:wrap="none" w:vAnchor="page" w:hAnchor="page" w:x="801" w:y="3872"/>
              <w:spacing w:after="0"/>
              <w:jc w:val="center"/>
              <w:rPr>
                <w:sz w:val="20"/>
                <w:szCs w:val="20"/>
              </w:rPr>
            </w:pPr>
            <w:r>
              <w:rPr>
                <w:rFonts w:ascii="Arial" w:eastAsia="Arial" w:hAnsi="Arial" w:cs="Arial"/>
                <w:i/>
                <w:iCs/>
                <w:color w:val="3C6AB3"/>
                <w:sz w:val="20"/>
                <w:szCs w:val="20"/>
              </w:rPr>
              <w:t>0 %</w:t>
            </w:r>
          </w:p>
        </w:tc>
        <w:tc>
          <w:tcPr>
            <w:tcW w:w="1248" w:type="dxa"/>
            <w:tcBorders>
              <w:top w:val="single" w:sz="4" w:space="0" w:color="auto"/>
              <w:left w:val="single" w:sz="4" w:space="0" w:color="auto"/>
            </w:tcBorders>
            <w:shd w:val="clear" w:color="auto" w:fill="auto"/>
          </w:tcPr>
          <w:p w14:paraId="5641221E" w14:textId="77777777" w:rsidR="00EC1C40" w:rsidRDefault="00000000">
            <w:pPr>
              <w:pStyle w:val="Jin0"/>
              <w:framePr w:w="10469" w:h="3682" w:wrap="none" w:vAnchor="page" w:hAnchor="page" w:x="801" w:y="3872"/>
              <w:spacing w:after="0"/>
              <w:jc w:val="center"/>
              <w:rPr>
                <w:sz w:val="20"/>
                <w:szCs w:val="20"/>
              </w:rPr>
            </w:pPr>
            <w:r>
              <w:rPr>
                <w:rFonts w:ascii="Arial" w:eastAsia="Arial" w:hAnsi="Arial" w:cs="Arial"/>
                <w:sz w:val="20"/>
                <w:szCs w:val="20"/>
              </w:rPr>
              <w:t>0 %</w:t>
            </w:r>
          </w:p>
        </w:tc>
        <w:tc>
          <w:tcPr>
            <w:tcW w:w="1243" w:type="dxa"/>
            <w:tcBorders>
              <w:top w:val="single" w:sz="4" w:space="0" w:color="auto"/>
              <w:left w:val="single" w:sz="4" w:space="0" w:color="auto"/>
            </w:tcBorders>
            <w:shd w:val="clear" w:color="auto" w:fill="auto"/>
          </w:tcPr>
          <w:p w14:paraId="1BC6C94B" w14:textId="77777777" w:rsidR="00EC1C40" w:rsidRDefault="00000000">
            <w:pPr>
              <w:pStyle w:val="Jin0"/>
              <w:framePr w:w="10469" w:h="3682" w:wrap="none" w:vAnchor="page" w:hAnchor="page" w:x="801" w:y="3872"/>
              <w:spacing w:after="0"/>
              <w:ind w:firstLine="380"/>
              <w:jc w:val="both"/>
              <w:rPr>
                <w:sz w:val="20"/>
                <w:szCs w:val="20"/>
              </w:rPr>
            </w:pPr>
            <w:r>
              <w:rPr>
                <w:rFonts w:ascii="Arial" w:eastAsia="Arial" w:hAnsi="Arial" w:cs="Arial"/>
                <w:i/>
                <w:iCs/>
                <w:color w:val="3C6AB3"/>
                <w:sz w:val="20"/>
                <w:szCs w:val="20"/>
              </w:rPr>
              <w:t>0 %</w:t>
            </w:r>
          </w:p>
        </w:tc>
        <w:tc>
          <w:tcPr>
            <w:tcW w:w="1094" w:type="dxa"/>
            <w:tcBorders>
              <w:top w:val="single" w:sz="4" w:space="0" w:color="auto"/>
              <w:left w:val="single" w:sz="4" w:space="0" w:color="auto"/>
              <w:right w:val="single" w:sz="4" w:space="0" w:color="auto"/>
            </w:tcBorders>
            <w:shd w:val="clear" w:color="auto" w:fill="auto"/>
          </w:tcPr>
          <w:p w14:paraId="34250768" w14:textId="77777777" w:rsidR="00EC1C40" w:rsidRDefault="00000000">
            <w:pPr>
              <w:pStyle w:val="Jin0"/>
              <w:framePr w:w="10469" w:h="3682" w:wrap="none" w:vAnchor="page" w:hAnchor="page" w:x="801" w:y="3872"/>
              <w:spacing w:after="0"/>
              <w:jc w:val="center"/>
              <w:rPr>
                <w:sz w:val="20"/>
                <w:szCs w:val="20"/>
              </w:rPr>
            </w:pPr>
            <w:r>
              <w:rPr>
                <w:rFonts w:ascii="Arial" w:eastAsia="Arial" w:hAnsi="Arial" w:cs="Arial"/>
                <w:sz w:val="20"/>
                <w:szCs w:val="20"/>
              </w:rPr>
              <w:t>0 %</w:t>
            </w:r>
          </w:p>
        </w:tc>
      </w:tr>
      <w:tr w:rsidR="00EC1C40" w14:paraId="1430675F" w14:textId="77777777">
        <w:tblPrEx>
          <w:tblCellMar>
            <w:top w:w="0" w:type="dxa"/>
            <w:bottom w:w="0" w:type="dxa"/>
          </w:tblCellMar>
        </w:tblPrEx>
        <w:trPr>
          <w:trHeight w:hRule="exact" w:val="336"/>
        </w:trPr>
        <w:tc>
          <w:tcPr>
            <w:tcW w:w="706" w:type="dxa"/>
            <w:tcBorders>
              <w:top w:val="single" w:sz="4" w:space="0" w:color="auto"/>
              <w:left w:val="single" w:sz="4" w:space="0" w:color="auto"/>
            </w:tcBorders>
            <w:shd w:val="clear" w:color="auto" w:fill="auto"/>
          </w:tcPr>
          <w:p w14:paraId="2B33AE53" w14:textId="77777777" w:rsidR="00EC1C40" w:rsidRDefault="00000000">
            <w:pPr>
              <w:pStyle w:val="Jin0"/>
              <w:framePr w:w="10469" w:h="3682" w:wrap="none" w:vAnchor="page" w:hAnchor="page" w:x="801" w:y="3872"/>
              <w:spacing w:after="0"/>
              <w:rPr>
                <w:sz w:val="20"/>
                <w:szCs w:val="20"/>
              </w:rPr>
            </w:pPr>
            <w:r>
              <w:rPr>
                <w:rFonts w:ascii="Arial" w:eastAsia="Arial" w:hAnsi="Arial" w:cs="Arial"/>
                <w:b/>
                <w:bCs/>
                <w:sz w:val="20"/>
                <w:szCs w:val="20"/>
              </w:rPr>
              <w:t>3</w:t>
            </w:r>
          </w:p>
        </w:tc>
        <w:tc>
          <w:tcPr>
            <w:tcW w:w="1411" w:type="dxa"/>
            <w:tcBorders>
              <w:top w:val="single" w:sz="4" w:space="0" w:color="auto"/>
              <w:left w:val="single" w:sz="4" w:space="0" w:color="auto"/>
            </w:tcBorders>
            <w:shd w:val="clear" w:color="auto" w:fill="auto"/>
          </w:tcPr>
          <w:p w14:paraId="78B38010" w14:textId="77777777" w:rsidR="00EC1C40" w:rsidRDefault="00000000">
            <w:pPr>
              <w:pStyle w:val="Jin0"/>
              <w:framePr w:w="10469" w:h="3682" w:wrap="none" w:vAnchor="page" w:hAnchor="page" w:x="801" w:y="3872"/>
              <w:spacing w:after="0"/>
              <w:ind w:firstLine="400"/>
              <w:rPr>
                <w:sz w:val="20"/>
                <w:szCs w:val="20"/>
              </w:rPr>
            </w:pPr>
            <w:r>
              <w:rPr>
                <w:rFonts w:ascii="Arial" w:eastAsia="Arial" w:hAnsi="Arial" w:cs="Arial"/>
                <w:i/>
                <w:iCs/>
                <w:color w:val="3C6AB3"/>
                <w:sz w:val="20"/>
                <w:szCs w:val="20"/>
              </w:rPr>
              <w:t>3 + 0</w:t>
            </w:r>
          </w:p>
        </w:tc>
        <w:tc>
          <w:tcPr>
            <w:tcW w:w="1109" w:type="dxa"/>
            <w:tcBorders>
              <w:top w:val="single" w:sz="4" w:space="0" w:color="auto"/>
              <w:left w:val="single" w:sz="4" w:space="0" w:color="auto"/>
            </w:tcBorders>
            <w:shd w:val="clear" w:color="auto" w:fill="auto"/>
          </w:tcPr>
          <w:p w14:paraId="1944E4D2" w14:textId="77777777" w:rsidR="00EC1C40" w:rsidRDefault="00000000">
            <w:pPr>
              <w:pStyle w:val="Jin0"/>
              <w:framePr w:w="10469" w:h="3682" w:wrap="none" w:vAnchor="page" w:hAnchor="page" w:x="801" w:y="3872"/>
              <w:spacing w:after="0"/>
              <w:jc w:val="center"/>
              <w:rPr>
                <w:sz w:val="20"/>
                <w:szCs w:val="20"/>
              </w:rPr>
            </w:pPr>
            <w:r>
              <w:rPr>
                <w:rFonts w:ascii="Arial" w:eastAsia="Arial" w:hAnsi="Arial" w:cs="Arial"/>
                <w:sz w:val="20"/>
                <w:szCs w:val="20"/>
              </w:rPr>
              <w:t>3 + 0</w:t>
            </w:r>
          </w:p>
        </w:tc>
        <w:tc>
          <w:tcPr>
            <w:tcW w:w="1277" w:type="dxa"/>
            <w:tcBorders>
              <w:top w:val="single" w:sz="4" w:space="0" w:color="auto"/>
              <w:left w:val="single" w:sz="4" w:space="0" w:color="auto"/>
            </w:tcBorders>
            <w:shd w:val="clear" w:color="auto" w:fill="auto"/>
          </w:tcPr>
          <w:p w14:paraId="030AFB46" w14:textId="77777777" w:rsidR="00EC1C40" w:rsidRDefault="00000000">
            <w:pPr>
              <w:pStyle w:val="Jin0"/>
              <w:framePr w:w="10469" w:h="3682" w:wrap="none" w:vAnchor="page" w:hAnchor="page" w:x="801" w:y="3872"/>
              <w:spacing w:after="0"/>
              <w:ind w:firstLine="380"/>
              <w:jc w:val="both"/>
              <w:rPr>
                <w:sz w:val="20"/>
                <w:szCs w:val="20"/>
              </w:rPr>
            </w:pPr>
            <w:r>
              <w:rPr>
                <w:rFonts w:ascii="Arial" w:eastAsia="Arial" w:hAnsi="Arial" w:cs="Arial"/>
                <w:i/>
                <w:iCs/>
                <w:color w:val="3C6AB3"/>
                <w:sz w:val="20"/>
                <w:szCs w:val="20"/>
              </w:rPr>
              <w:t>15 m</w:t>
            </w:r>
          </w:p>
        </w:tc>
        <w:tc>
          <w:tcPr>
            <w:tcW w:w="1109" w:type="dxa"/>
            <w:tcBorders>
              <w:top w:val="single" w:sz="4" w:space="0" w:color="auto"/>
              <w:left w:val="single" w:sz="4" w:space="0" w:color="auto"/>
            </w:tcBorders>
            <w:shd w:val="clear" w:color="auto" w:fill="auto"/>
          </w:tcPr>
          <w:p w14:paraId="57565BA2" w14:textId="77777777" w:rsidR="00EC1C40" w:rsidRDefault="00000000">
            <w:pPr>
              <w:pStyle w:val="Jin0"/>
              <w:framePr w:w="10469" w:h="3682" w:wrap="none" w:vAnchor="page" w:hAnchor="page" w:x="801" w:y="3872"/>
              <w:spacing w:after="0"/>
              <w:jc w:val="center"/>
              <w:rPr>
                <w:sz w:val="20"/>
                <w:szCs w:val="20"/>
              </w:rPr>
            </w:pPr>
            <w:r>
              <w:rPr>
                <w:rFonts w:ascii="Arial" w:eastAsia="Arial" w:hAnsi="Arial" w:cs="Arial"/>
                <w:sz w:val="20"/>
                <w:szCs w:val="20"/>
              </w:rPr>
              <w:t>14,9 m</w:t>
            </w:r>
          </w:p>
        </w:tc>
        <w:tc>
          <w:tcPr>
            <w:tcW w:w="1272" w:type="dxa"/>
            <w:tcBorders>
              <w:top w:val="single" w:sz="4" w:space="0" w:color="auto"/>
              <w:left w:val="single" w:sz="4" w:space="0" w:color="auto"/>
            </w:tcBorders>
            <w:shd w:val="clear" w:color="auto" w:fill="auto"/>
          </w:tcPr>
          <w:p w14:paraId="27064054" w14:textId="77777777" w:rsidR="00EC1C40" w:rsidRDefault="00000000">
            <w:pPr>
              <w:pStyle w:val="Jin0"/>
              <w:framePr w:w="10469" w:h="3682" w:wrap="none" w:vAnchor="page" w:hAnchor="page" w:x="801" w:y="3872"/>
              <w:spacing w:after="0"/>
              <w:jc w:val="center"/>
              <w:rPr>
                <w:sz w:val="20"/>
                <w:szCs w:val="20"/>
              </w:rPr>
            </w:pPr>
            <w:r>
              <w:rPr>
                <w:rFonts w:ascii="Arial" w:eastAsia="Arial" w:hAnsi="Arial" w:cs="Arial"/>
                <w:i/>
                <w:iCs/>
                <w:color w:val="3C6AB3"/>
                <w:sz w:val="20"/>
                <w:szCs w:val="20"/>
              </w:rPr>
              <w:t>100 %</w:t>
            </w:r>
          </w:p>
        </w:tc>
        <w:tc>
          <w:tcPr>
            <w:tcW w:w="1248" w:type="dxa"/>
            <w:tcBorders>
              <w:top w:val="single" w:sz="4" w:space="0" w:color="auto"/>
              <w:left w:val="single" w:sz="4" w:space="0" w:color="auto"/>
            </w:tcBorders>
            <w:shd w:val="clear" w:color="auto" w:fill="auto"/>
          </w:tcPr>
          <w:p w14:paraId="35DEA544" w14:textId="77777777" w:rsidR="00EC1C40" w:rsidRDefault="00000000">
            <w:pPr>
              <w:pStyle w:val="Jin0"/>
              <w:framePr w:w="10469" w:h="3682" w:wrap="none" w:vAnchor="page" w:hAnchor="page" w:x="801" w:y="3872"/>
              <w:spacing w:after="0"/>
              <w:jc w:val="center"/>
              <w:rPr>
                <w:sz w:val="20"/>
                <w:szCs w:val="20"/>
              </w:rPr>
            </w:pPr>
            <w:r>
              <w:rPr>
                <w:rFonts w:ascii="Arial" w:eastAsia="Arial" w:hAnsi="Arial" w:cs="Arial"/>
                <w:sz w:val="20"/>
                <w:szCs w:val="20"/>
              </w:rPr>
              <w:t>98,41 %</w:t>
            </w:r>
          </w:p>
        </w:tc>
        <w:tc>
          <w:tcPr>
            <w:tcW w:w="1243" w:type="dxa"/>
            <w:tcBorders>
              <w:top w:val="single" w:sz="4" w:space="0" w:color="auto"/>
              <w:left w:val="single" w:sz="4" w:space="0" w:color="auto"/>
            </w:tcBorders>
            <w:shd w:val="clear" w:color="auto" w:fill="auto"/>
          </w:tcPr>
          <w:p w14:paraId="3976F7DF" w14:textId="77777777" w:rsidR="00EC1C40" w:rsidRDefault="00000000">
            <w:pPr>
              <w:pStyle w:val="Jin0"/>
              <w:framePr w:w="10469" w:h="3682" w:wrap="none" w:vAnchor="page" w:hAnchor="page" w:x="801" w:y="3872"/>
              <w:spacing w:after="0"/>
              <w:ind w:firstLine="380"/>
              <w:jc w:val="both"/>
              <w:rPr>
                <w:sz w:val="20"/>
                <w:szCs w:val="20"/>
              </w:rPr>
            </w:pPr>
            <w:r>
              <w:rPr>
                <w:rFonts w:ascii="Arial" w:eastAsia="Arial" w:hAnsi="Arial" w:cs="Arial"/>
                <w:i/>
                <w:iCs/>
                <w:color w:val="3C6AB3"/>
                <w:sz w:val="20"/>
                <w:szCs w:val="20"/>
              </w:rPr>
              <w:t>0 %</w:t>
            </w:r>
          </w:p>
        </w:tc>
        <w:tc>
          <w:tcPr>
            <w:tcW w:w="1094" w:type="dxa"/>
            <w:tcBorders>
              <w:top w:val="single" w:sz="4" w:space="0" w:color="auto"/>
              <w:left w:val="single" w:sz="4" w:space="0" w:color="auto"/>
              <w:right w:val="single" w:sz="4" w:space="0" w:color="auto"/>
            </w:tcBorders>
            <w:shd w:val="clear" w:color="auto" w:fill="auto"/>
          </w:tcPr>
          <w:p w14:paraId="240FFB82" w14:textId="77777777" w:rsidR="00EC1C40" w:rsidRDefault="00000000">
            <w:pPr>
              <w:pStyle w:val="Jin0"/>
              <w:framePr w:w="10469" w:h="3682" w:wrap="none" w:vAnchor="page" w:hAnchor="page" w:x="801" w:y="3872"/>
              <w:spacing w:after="0"/>
              <w:jc w:val="center"/>
              <w:rPr>
                <w:sz w:val="20"/>
                <w:szCs w:val="20"/>
              </w:rPr>
            </w:pPr>
            <w:r>
              <w:rPr>
                <w:rFonts w:ascii="Arial" w:eastAsia="Arial" w:hAnsi="Arial" w:cs="Arial"/>
                <w:sz w:val="20"/>
                <w:szCs w:val="20"/>
              </w:rPr>
              <w:t>0 %</w:t>
            </w:r>
          </w:p>
        </w:tc>
      </w:tr>
      <w:tr w:rsidR="00EC1C40" w14:paraId="23C9CF9B" w14:textId="77777777">
        <w:tblPrEx>
          <w:tblCellMar>
            <w:top w:w="0" w:type="dxa"/>
            <w:bottom w:w="0" w:type="dxa"/>
          </w:tblCellMar>
        </w:tblPrEx>
        <w:trPr>
          <w:trHeight w:hRule="exact" w:val="331"/>
        </w:trPr>
        <w:tc>
          <w:tcPr>
            <w:tcW w:w="706" w:type="dxa"/>
            <w:tcBorders>
              <w:top w:val="single" w:sz="4" w:space="0" w:color="auto"/>
              <w:left w:val="single" w:sz="4" w:space="0" w:color="auto"/>
            </w:tcBorders>
            <w:shd w:val="clear" w:color="auto" w:fill="auto"/>
            <w:vAlign w:val="center"/>
          </w:tcPr>
          <w:p w14:paraId="1FFA6362" w14:textId="77777777" w:rsidR="00EC1C40" w:rsidRDefault="00000000">
            <w:pPr>
              <w:pStyle w:val="Jin0"/>
              <w:framePr w:w="10469" w:h="3682" w:wrap="none" w:vAnchor="page" w:hAnchor="page" w:x="801" w:y="3872"/>
              <w:spacing w:after="0"/>
              <w:rPr>
                <w:sz w:val="20"/>
                <w:szCs w:val="20"/>
              </w:rPr>
            </w:pPr>
            <w:r>
              <w:rPr>
                <w:rFonts w:ascii="Arial" w:eastAsia="Arial" w:hAnsi="Arial" w:cs="Arial"/>
                <w:b/>
                <w:bCs/>
                <w:sz w:val="20"/>
                <w:szCs w:val="20"/>
              </w:rPr>
              <w:t>4</w:t>
            </w:r>
          </w:p>
        </w:tc>
        <w:tc>
          <w:tcPr>
            <w:tcW w:w="1411" w:type="dxa"/>
            <w:tcBorders>
              <w:top w:val="single" w:sz="4" w:space="0" w:color="auto"/>
              <w:left w:val="single" w:sz="4" w:space="0" w:color="auto"/>
            </w:tcBorders>
            <w:shd w:val="clear" w:color="auto" w:fill="auto"/>
            <w:vAlign w:val="center"/>
          </w:tcPr>
          <w:p w14:paraId="63C35F18" w14:textId="77777777" w:rsidR="00EC1C40" w:rsidRDefault="00000000">
            <w:pPr>
              <w:pStyle w:val="Jin0"/>
              <w:framePr w:w="10469" w:h="3682" w:wrap="none" w:vAnchor="page" w:hAnchor="page" w:x="801" w:y="3872"/>
              <w:spacing w:after="0"/>
              <w:ind w:firstLine="400"/>
              <w:rPr>
                <w:sz w:val="20"/>
                <w:szCs w:val="20"/>
              </w:rPr>
            </w:pPr>
            <w:r>
              <w:rPr>
                <w:rFonts w:ascii="Arial" w:eastAsia="Arial" w:hAnsi="Arial" w:cs="Arial"/>
                <w:i/>
                <w:iCs/>
                <w:color w:val="3C6AB3"/>
                <w:sz w:val="20"/>
                <w:szCs w:val="20"/>
              </w:rPr>
              <w:t>5 + U</w:t>
            </w:r>
          </w:p>
        </w:tc>
        <w:tc>
          <w:tcPr>
            <w:tcW w:w="1109" w:type="dxa"/>
            <w:tcBorders>
              <w:top w:val="single" w:sz="4" w:space="0" w:color="auto"/>
              <w:left w:val="single" w:sz="4" w:space="0" w:color="auto"/>
            </w:tcBorders>
            <w:shd w:val="clear" w:color="auto" w:fill="auto"/>
            <w:vAlign w:val="center"/>
          </w:tcPr>
          <w:p w14:paraId="59241A45" w14:textId="77777777" w:rsidR="00EC1C40" w:rsidRDefault="00000000">
            <w:pPr>
              <w:pStyle w:val="Jin0"/>
              <w:framePr w:w="10469" w:h="3682" w:wrap="none" w:vAnchor="page" w:hAnchor="page" w:x="801" w:y="3872"/>
              <w:spacing w:after="0"/>
              <w:jc w:val="center"/>
              <w:rPr>
                <w:sz w:val="20"/>
                <w:szCs w:val="20"/>
              </w:rPr>
            </w:pPr>
            <w:r>
              <w:rPr>
                <w:rFonts w:ascii="Arial" w:eastAsia="Arial" w:hAnsi="Arial" w:cs="Arial"/>
                <w:sz w:val="20"/>
                <w:szCs w:val="20"/>
              </w:rPr>
              <w:t>—</w:t>
            </w:r>
          </w:p>
        </w:tc>
        <w:tc>
          <w:tcPr>
            <w:tcW w:w="1277" w:type="dxa"/>
            <w:tcBorders>
              <w:top w:val="single" w:sz="4" w:space="0" w:color="auto"/>
              <w:left w:val="single" w:sz="4" w:space="0" w:color="auto"/>
            </w:tcBorders>
            <w:shd w:val="clear" w:color="auto" w:fill="auto"/>
            <w:vAlign w:val="center"/>
          </w:tcPr>
          <w:p w14:paraId="5910C140" w14:textId="77777777" w:rsidR="00EC1C40" w:rsidRDefault="00000000">
            <w:pPr>
              <w:pStyle w:val="Jin0"/>
              <w:framePr w:w="10469" w:h="3682" w:wrap="none" w:vAnchor="page" w:hAnchor="page" w:x="801" w:y="3872"/>
              <w:spacing w:after="0"/>
              <w:ind w:firstLine="380"/>
              <w:jc w:val="both"/>
              <w:rPr>
                <w:sz w:val="20"/>
                <w:szCs w:val="20"/>
              </w:rPr>
            </w:pPr>
            <w:r>
              <w:rPr>
                <w:rFonts w:ascii="Arial" w:eastAsia="Arial" w:hAnsi="Arial" w:cs="Arial"/>
                <w:i/>
                <w:iCs/>
                <w:color w:val="3C6AB3"/>
                <w:sz w:val="20"/>
                <w:szCs w:val="20"/>
              </w:rPr>
              <w:t>20 m</w:t>
            </w:r>
          </w:p>
        </w:tc>
        <w:tc>
          <w:tcPr>
            <w:tcW w:w="1109" w:type="dxa"/>
            <w:tcBorders>
              <w:top w:val="single" w:sz="4" w:space="0" w:color="auto"/>
              <w:left w:val="single" w:sz="4" w:space="0" w:color="auto"/>
            </w:tcBorders>
            <w:shd w:val="clear" w:color="auto" w:fill="auto"/>
            <w:vAlign w:val="center"/>
          </w:tcPr>
          <w:p w14:paraId="72D29B93" w14:textId="77777777" w:rsidR="00EC1C40" w:rsidRDefault="00000000">
            <w:pPr>
              <w:pStyle w:val="Jin0"/>
              <w:framePr w:w="10469" w:h="3682" w:wrap="none" w:vAnchor="page" w:hAnchor="page" w:x="801" w:y="3872"/>
              <w:spacing w:after="0"/>
              <w:jc w:val="center"/>
              <w:rPr>
                <w:sz w:val="20"/>
                <w:szCs w:val="20"/>
              </w:rPr>
            </w:pPr>
            <w:r>
              <w:rPr>
                <w:rFonts w:ascii="Arial" w:eastAsia="Arial" w:hAnsi="Arial" w:cs="Arial"/>
                <w:sz w:val="20"/>
                <w:szCs w:val="20"/>
              </w:rPr>
              <w:t>—</w:t>
            </w:r>
          </w:p>
        </w:tc>
        <w:tc>
          <w:tcPr>
            <w:tcW w:w="1272" w:type="dxa"/>
            <w:tcBorders>
              <w:top w:val="single" w:sz="4" w:space="0" w:color="auto"/>
              <w:left w:val="single" w:sz="4" w:space="0" w:color="auto"/>
            </w:tcBorders>
            <w:shd w:val="clear" w:color="auto" w:fill="auto"/>
            <w:vAlign w:val="center"/>
          </w:tcPr>
          <w:p w14:paraId="14A742C0" w14:textId="77777777" w:rsidR="00EC1C40" w:rsidRDefault="00000000">
            <w:pPr>
              <w:pStyle w:val="Jin0"/>
              <w:framePr w:w="10469" w:h="3682" w:wrap="none" w:vAnchor="page" w:hAnchor="page" w:x="801" w:y="3872"/>
              <w:spacing w:after="0"/>
              <w:jc w:val="center"/>
              <w:rPr>
                <w:sz w:val="20"/>
                <w:szCs w:val="20"/>
              </w:rPr>
            </w:pPr>
            <w:r>
              <w:rPr>
                <w:rFonts w:ascii="Arial" w:eastAsia="Arial" w:hAnsi="Arial" w:cs="Arial"/>
                <w:i/>
                <w:iCs/>
                <w:color w:val="3C6AB3"/>
                <w:sz w:val="20"/>
                <w:szCs w:val="20"/>
              </w:rPr>
              <w:t>70 %</w:t>
            </w:r>
          </w:p>
        </w:tc>
        <w:tc>
          <w:tcPr>
            <w:tcW w:w="1248" w:type="dxa"/>
            <w:tcBorders>
              <w:top w:val="single" w:sz="4" w:space="0" w:color="auto"/>
              <w:left w:val="single" w:sz="4" w:space="0" w:color="auto"/>
            </w:tcBorders>
            <w:shd w:val="clear" w:color="auto" w:fill="auto"/>
            <w:vAlign w:val="center"/>
          </w:tcPr>
          <w:p w14:paraId="6FB88C66" w14:textId="77777777" w:rsidR="00EC1C40" w:rsidRDefault="00000000">
            <w:pPr>
              <w:pStyle w:val="Jin0"/>
              <w:framePr w:w="10469" w:h="3682" w:wrap="none" w:vAnchor="page" w:hAnchor="page" w:x="801" w:y="3872"/>
              <w:spacing w:after="0"/>
              <w:jc w:val="center"/>
              <w:rPr>
                <w:sz w:val="20"/>
                <w:szCs w:val="20"/>
              </w:rPr>
            </w:pPr>
            <w:r>
              <w:rPr>
                <w:rFonts w:ascii="Arial" w:eastAsia="Arial" w:hAnsi="Arial" w:cs="Arial"/>
                <w:sz w:val="20"/>
                <w:szCs w:val="20"/>
              </w:rPr>
              <w:t>—</w:t>
            </w:r>
          </w:p>
        </w:tc>
        <w:tc>
          <w:tcPr>
            <w:tcW w:w="1243" w:type="dxa"/>
            <w:tcBorders>
              <w:top w:val="single" w:sz="4" w:space="0" w:color="auto"/>
              <w:left w:val="single" w:sz="4" w:space="0" w:color="auto"/>
            </w:tcBorders>
            <w:shd w:val="clear" w:color="auto" w:fill="auto"/>
            <w:vAlign w:val="center"/>
          </w:tcPr>
          <w:p w14:paraId="15EF1E4B" w14:textId="77777777" w:rsidR="00EC1C40" w:rsidRDefault="00000000">
            <w:pPr>
              <w:pStyle w:val="Jin0"/>
              <w:framePr w:w="10469" w:h="3682" w:wrap="none" w:vAnchor="page" w:hAnchor="page" w:x="801" w:y="3872"/>
              <w:spacing w:after="0"/>
              <w:jc w:val="center"/>
              <w:rPr>
                <w:sz w:val="20"/>
                <w:szCs w:val="20"/>
              </w:rPr>
            </w:pPr>
            <w:r>
              <w:rPr>
                <w:rFonts w:ascii="Arial" w:eastAsia="Arial" w:hAnsi="Arial" w:cs="Arial"/>
                <w:i/>
                <w:iCs/>
                <w:color w:val="3C6AB3"/>
                <w:sz w:val="20"/>
                <w:szCs w:val="20"/>
              </w:rPr>
              <w:t>30 %</w:t>
            </w:r>
          </w:p>
        </w:tc>
        <w:tc>
          <w:tcPr>
            <w:tcW w:w="1094" w:type="dxa"/>
            <w:tcBorders>
              <w:top w:val="single" w:sz="4" w:space="0" w:color="auto"/>
              <w:left w:val="single" w:sz="4" w:space="0" w:color="auto"/>
              <w:right w:val="single" w:sz="4" w:space="0" w:color="auto"/>
            </w:tcBorders>
            <w:shd w:val="clear" w:color="auto" w:fill="auto"/>
            <w:vAlign w:val="center"/>
          </w:tcPr>
          <w:p w14:paraId="1169D2D4" w14:textId="77777777" w:rsidR="00EC1C40" w:rsidRDefault="00000000">
            <w:pPr>
              <w:pStyle w:val="Jin0"/>
              <w:framePr w:w="10469" w:h="3682" w:wrap="none" w:vAnchor="page" w:hAnchor="page" w:x="801" w:y="3872"/>
              <w:spacing w:after="0"/>
              <w:jc w:val="center"/>
              <w:rPr>
                <w:sz w:val="20"/>
                <w:szCs w:val="20"/>
              </w:rPr>
            </w:pPr>
            <w:r>
              <w:rPr>
                <w:rFonts w:ascii="Arial" w:eastAsia="Arial" w:hAnsi="Arial" w:cs="Arial"/>
                <w:sz w:val="20"/>
                <w:szCs w:val="20"/>
              </w:rPr>
              <w:t>—</w:t>
            </w:r>
          </w:p>
        </w:tc>
      </w:tr>
      <w:tr w:rsidR="00EC1C40" w14:paraId="6D8C59F5" w14:textId="77777777">
        <w:tblPrEx>
          <w:tblCellMar>
            <w:top w:w="0" w:type="dxa"/>
            <w:bottom w:w="0" w:type="dxa"/>
          </w:tblCellMar>
        </w:tblPrEx>
        <w:trPr>
          <w:trHeight w:hRule="exact" w:val="346"/>
        </w:trPr>
        <w:tc>
          <w:tcPr>
            <w:tcW w:w="706" w:type="dxa"/>
            <w:tcBorders>
              <w:top w:val="single" w:sz="4" w:space="0" w:color="auto"/>
              <w:left w:val="single" w:sz="4" w:space="0" w:color="auto"/>
              <w:bottom w:val="single" w:sz="4" w:space="0" w:color="auto"/>
            </w:tcBorders>
            <w:shd w:val="clear" w:color="auto" w:fill="auto"/>
            <w:vAlign w:val="center"/>
          </w:tcPr>
          <w:p w14:paraId="102E36D1" w14:textId="77777777" w:rsidR="00EC1C40" w:rsidRDefault="00000000">
            <w:pPr>
              <w:pStyle w:val="Jin0"/>
              <w:framePr w:w="10469" w:h="3682" w:wrap="none" w:vAnchor="page" w:hAnchor="page" w:x="801" w:y="3872"/>
              <w:spacing w:after="0"/>
              <w:rPr>
                <w:sz w:val="20"/>
                <w:szCs w:val="20"/>
              </w:rPr>
            </w:pPr>
            <w:r>
              <w:rPr>
                <w:rFonts w:ascii="Arial" w:eastAsia="Arial" w:hAnsi="Arial" w:cs="Arial"/>
                <w:b/>
                <w:bCs/>
                <w:sz w:val="20"/>
                <w:szCs w:val="20"/>
              </w:rPr>
              <w:t>7</w:t>
            </w:r>
          </w:p>
        </w:tc>
        <w:tc>
          <w:tcPr>
            <w:tcW w:w="1411" w:type="dxa"/>
            <w:tcBorders>
              <w:top w:val="single" w:sz="4" w:space="0" w:color="auto"/>
              <w:left w:val="single" w:sz="4" w:space="0" w:color="auto"/>
              <w:bottom w:val="single" w:sz="4" w:space="0" w:color="auto"/>
            </w:tcBorders>
            <w:shd w:val="clear" w:color="auto" w:fill="auto"/>
            <w:vAlign w:val="center"/>
          </w:tcPr>
          <w:p w14:paraId="57F9AAAB" w14:textId="77777777" w:rsidR="00EC1C40" w:rsidRDefault="00000000">
            <w:pPr>
              <w:pStyle w:val="Jin0"/>
              <w:framePr w:w="10469" w:h="3682" w:wrap="none" w:vAnchor="page" w:hAnchor="page" w:x="801" w:y="3872"/>
              <w:spacing w:after="0"/>
              <w:ind w:firstLine="400"/>
              <w:rPr>
                <w:sz w:val="20"/>
                <w:szCs w:val="20"/>
              </w:rPr>
            </w:pPr>
            <w:r>
              <w:rPr>
                <w:rFonts w:ascii="Arial" w:eastAsia="Arial" w:hAnsi="Arial" w:cs="Arial"/>
                <w:i/>
                <w:iCs/>
                <w:color w:val="3C6AB3"/>
                <w:sz w:val="20"/>
                <w:szCs w:val="20"/>
              </w:rPr>
              <w:t>5 + U</w:t>
            </w:r>
          </w:p>
        </w:tc>
        <w:tc>
          <w:tcPr>
            <w:tcW w:w="1109" w:type="dxa"/>
            <w:tcBorders>
              <w:top w:val="single" w:sz="4" w:space="0" w:color="auto"/>
              <w:left w:val="single" w:sz="4" w:space="0" w:color="auto"/>
              <w:bottom w:val="single" w:sz="4" w:space="0" w:color="auto"/>
            </w:tcBorders>
            <w:shd w:val="clear" w:color="auto" w:fill="auto"/>
            <w:vAlign w:val="center"/>
          </w:tcPr>
          <w:p w14:paraId="20154B8C" w14:textId="77777777" w:rsidR="00EC1C40" w:rsidRDefault="00000000">
            <w:pPr>
              <w:pStyle w:val="Jin0"/>
              <w:framePr w:w="10469" w:h="3682" w:wrap="none" w:vAnchor="page" w:hAnchor="page" w:x="801" w:y="3872"/>
              <w:spacing w:after="0"/>
              <w:jc w:val="center"/>
              <w:rPr>
                <w:sz w:val="20"/>
                <w:szCs w:val="20"/>
              </w:rPr>
            </w:pPr>
            <w:r>
              <w:rPr>
                <w:rFonts w:ascii="Arial" w:eastAsia="Arial" w:hAnsi="Arial" w:cs="Arial"/>
                <w:sz w:val="20"/>
                <w:szCs w:val="20"/>
              </w:rPr>
              <w:t>-</w:t>
            </w:r>
          </w:p>
        </w:tc>
        <w:tc>
          <w:tcPr>
            <w:tcW w:w="1277" w:type="dxa"/>
            <w:tcBorders>
              <w:top w:val="single" w:sz="4" w:space="0" w:color="auto"/>
              <w:left w:val="single" w:sz="4" w:space="0" w:color="auto"/>
              <w:bottom w:val="single" w:sz="4" w:space="0" w:color="auto"/>
            </w:tcBorders>
            <w:shd w:val="clear" w:color="auto" w:fill="auto"/>
            <w:vAlign w:val="center"/>
          </w:tcPr>
          <w:p w14:paraId="6C000323" w14:textId="77777777" w:rsidR="00EC1C40" w:rsidRDefault="00000000">
            <w:pPr>
              <w:pStyle w:val="Jin0"/>
              <w:framePr w:w="10469" w:h="3682" w:wrap="none" w:vAnchor="page" w:hAnchor="page" w:x="801" w:y="3872"/>
              <w:spacing w:after="0"/>
              <w:ind w:firstLine="380"/>
              <w:jc w:val="both"/>
              <w:rPr>
                <w:sz w:val="20"/>
                <w:szCs w:val="20"/>
              </w:rPr>
            </w:pPr>
            <w:r>
              <w:rPr>
                <w:rFonts w:ascii="Arial" w:eastAsia="Arial" w:hAnsi="Arial" w:cs="Arial"/>
                <w:i/>
                <w:iCs/>
                <w:color w:val="3C6AB3"/>
                <w:sz w:val="20"/>
                <w:szCs w:val="20"/>
              </w:rPr>
              <w:t>20 m</w:t>
            </w:r>
          </w:p>
        </w:tc>
        <w:tc>
          <w:tcPr>
            <w:tcW w:w="1109" w:type="dxa"/>
            <w:tcBorders>
              <w:top w:val="single" w:sz="4" w:space="0" w:color="auto"/>
              <w:left w:val="single" w:sz="4" w:space="0" w:color="auto"/>
              <w:bottom w:val="single" w:sz="4" w:space="0" w:color="auto"/>
            </w:tcBorders>
            <w:shd w:val="clear" w:color="auto" w:fill="auto"/>
            <w:vAlign w:val="center"/>
          </w:tcPr>
          <w:p w14:paraId="57854847" w14:textId="77777777" w:rsidR="00EC1C40" w:rsidRDefault="00000000">
            <w:pPr>
              <w:pStyle w:val="Jin0"/>
              <w:framePr w:w="10469" w:h="3682" w:wrap="none" w:vAnchor="page" w:hAnchor="page" w:x="801" w:y="3872"/>
              <w:spacing w:after="0"/>
              <w:jc w:val="center"/>
              <w:rPr>
                <w:sz w:val="20"/>
                <w:szCs w:val="20"/>
              </w:rPr>
            </w:pPr>
            <w:r>
              <w:rPr>
                <w:rFonts w:ascii="Arial" w:eastAsia="Arial" w:hAnsi="Arial" w:cs="Arial"/>
                <w:sz w:val="20"/>
                <w:szCs w:val="20"/>
              </w:rPr>
              <w:t>-</w:t>
            </w:r>
          </w:p>
        </w:tc>
        <w:tc>
          <w:tcPr>
            <w:tcW w:w="1272" w:type="dxa"/>
            <w:tcBorders>
              <w:top w:val="single" w:sz="4" w:space="0" w:color="auto"/>
              <w:left w:val="single" w:sz="4" w:space="0" w:color="auto"/>
              <w:bottom w:val="single" w:sz="4" w:space="0" w:color="auto"/>
            </w:tcBorders>
            <w:shd w:val="clear" w:color="auto" w:fill="auto"/>
            <w:vAlign w:val="center"/>
          </w:tcPr>
          <w:p w14:paraId="2F32C1A8" w14:textId="77777777" w:rsidR="00EC1C40" w:rsidRDefault="00000000">
            <w:pPr>
              <w:pStyle w:val="Jin0"/>
              <w:framePr w:w="10469" w:h="3682" w:wrap="none" w:vAnchor="page" w:hAnchor="page" w:x="801" w:y="3872"/>
              <w:spacing w:after="0"/>
              <w:jc w:val="center"/>
              <w:rPr>
                <w:sz w:val="20"/>
                <w:szCs w:val="20"/>
              </w:rPr>
            </w:pPr>
            <w:r>
              <w:rPr>
                <w:rFonts w:ascii="Arial" w:eastAsia="Arial" w:hAnsi="Arial" w:cs="Arial"/>
                <w:i/>
                <w:iCs/>
                <w:color w:val="3C6AB3"/>
                <w:sz w:val="20"/>
                <w:szCs w:val="20"/>
              </w:rPr>
              <w:t>70 %</w:t>
            </w:r>
          </w:p>
        </w:tc>
        <w:tc>
          <w:tcPr>
            <w:tcW w:w="1248" w:type="dxa"/>
            <w:tcBorders>
              <w:top w:val="single" w:sz="4" w:space="0" w:color="auto"/>
              <w:left w:val="single" w:sz="4" w:space="0" w:color="auto"/>
              <w:bottom w:val="single" w:sz="4" w:space="0" w:color="auto"/>
            </w:tcBorders>
            <w:shd w:val="clear" w:color="auto" w:fill="auto"/>
            <w:vAlign w:val="center"/>
          </w:tcPr>
          <w:p w14:paraId="493C1928" w14:textId="77777777" w:rsidR="00EC1C40" w:rsidRDefault="00000000">
            <w:pPr>
              <w:pStyle w:val="Jin0"/>
              <w:framePr w:w="10469" w:h="3682" w:wrap="none" w:vAnchor="page" w:hAnchor="page" w:x="801" w:y="3872"/>
              <w:spacing w:after="0"/>
              <w:jc w:val="center"/>
              <w:rPr>
                <w:sz w:val="20"/>
                <w:szCs w:val="20"/>
              </w:rPr>
            </w:pPr>
            <w:r>
              <w:rPr>
                <w:rFonts w:ascii="Arial" w:eastAsia="Arial" w:hAnsi="Arial" w:cs="Arial"/>
                <w:sz w:val="20"/>
                <w:szCs w:val="20"/>
              </w:rPr>
              <w:t>-</w:t>
            </w:r>
          </w:p>
        </w:tc>
        <w:tc>
          <w:tcPr>
            <w:tcW w:w="1243" w:type="dxa"/>
            <w:tcBorders>
              <w:top w:val="single" w:sz="4" w:space="0" w:color="auto"/>
              <w:left w:val="single" w:sz="4" w:space="0" w:color="auto"/>
              <w:bottom w:val="single" w:sz="4" w:space="0" w:color="auto"/>
            </w:tcBorders>
            <w:shd w:val="clear" w:color="auto" w:fill="auto"/>
            <w:vAlign w:val="center"/>
          </w:tcPr>
          <w:p w14:paraId="219DE62E" w14:textId="77777777" w:rsidR="00EC1C40" w:rsidRDefault="00000000">
            <w:pPr>
              <w:pStyle w:val="Jin0"/>
              <w:framePr w:w="10469" w:h="3682" w:wrap="none" w:vAnchor="page" w:hAnchor="page" w:x="801" w:y="3872"/>
              <w:spacing w:after="0"/>
              <w:jc w:val="center"/>
              <w:rPr>
                <w:sz w:val="20"/>
                <w:szCs w:val="20"/>
              </w:rPr>
            </w:pPr>
            <w:r>
              <w:rPr>
                <w:rFonts w:ascii="Arial" w:eastAsia="Arial" w:hAnsi="Arial" w:cs="Arial"/>
                <w:i/>
                <w:iCs/>
                <w:color w:val="3C6AB3"/>
                <w:sz w:val="20"/>
                <w:szCs w:val="20"/>
              </w:rPr>
              <w:t>30 %</w:t>
            </w:r>
          </w:p>
        </w:tc>
        <w:tc>
          <w:tcPr>
            <w:tcW w:w="1094" w:type="dxa"/>
            <w:tcBorders>
              <w:top w:val="single" w:sz="4" w:space="0" w:color="auto"/>
              <w:left w:val="single" w:sz="4" w:space="0" w:color="auto"/>
              <w:bottom w:val="single" w:sz="4" w:space="0" w:color="auto"/>
              <w:right w:val="single" w:sz="4" w:space="0" w:color="auto"/>
            </w:tcBorders>
            <w:shd w:val="clear" w:color="auto" w:fill="auto"/>
            <w:vAlign w:val="center"/>
          </w:tcPr>
          <w:p w14:paraId="41943399" w14:textId="77777777" w:rsidR="00EC1C40" w:rsidRDefault="00000000">
            <w:pPr>
              <w:pStyle w:val="Jin0"/>
              <w:framePr w:w="10469" w:h="3682" w:wrap="none" w:vAnchor="page" w:hAnchor="page" w:x="801" w:y="3872"/>
              <w:spacing w:after="0"/>
              <w:jc w:val="center"/>
              <w:rPr>
                <w:sz w:val="20"/>
                <w:szCs w:val="20"/>
              </w:rPr>
            </w:pPr>
            <w:r>
              <w:rPr>
                <w:rFonts w:ascii="Arial" w:eastAsia="Arial" w:hAnsi="Arial" w:cs="Arial"/>
                <w:sz w:val="20"/>
                <w:szCs w:val="20"/>
              </w:rPr>
              <w:t>-</w:t>
            </w:r>
          </w:p>
        </w:tc>
      </w:tr>
    </w:tbl>
    <w:p w14:paraId="3C6402FE" w14:textId="4A44B440" w:rsidR="00EC1C40" w:rsidRDefault="00000000">
      <w:pPr>
        <w:pStyle w:val="Zkladntext110"/>
        <w:framePr w:w="10579" w:h="4915" w:hRule="exact" w:wrap="none" w:vAnchor="page" w:hAnchor="page" w:x="762" w:y="8139"/>
        <w:spacing w:after="100" w:line="338" w:lineRule="auto"/>
      </w:pPr>
      <w:r>
        <w:rPr>
          <w:b/>
          <w:bCs/>
        </w:rPr>
        <w:t xml:space="preserve">Doprava </w:t>
      </w:r>
      <w:r>
        <w:t>v k</w:t>
      </w:r>
      <w:r>
        <w:rPr>
          <w:b/>
          <w:bCs/>
        </w:rPr>
        <w:t xml:space="preserve">lidu: </w:t>
      </w:r>
      <w:r>
        <w:t xml:space="preserve">Všechna odstavná stání k bytovým domům v počtu dle požadavků aktuální legislativy budou umístěna </w:t>
      </w:r>
      <w:r w:rsidR="009F44A2">
        <w:t>uvnitř vymezených</w:t>
      </w:r>
      <w:r>
        <w:t xml:space="preserve"> bloků bytových domů. V rámci vymezených ulic budou navržena parkovací stání pouze pro návštěvníky lokality.</w:t>
      </w:r>
    </w:p>
    <w:p w14:paraId="63D38ED5" w14:textId="77777777" w:rsidR="00EC1C40" w:rsidRDefault="00000000">
      <w:pPr>
        <w:pStyle w:val="Zkladntext110"/>
        <w:framePr w:w="10579" w:h="4915" w:hRule="exact" w:wrap="none" w:vAnchor="page" w:hAnchor="page" w:x="762" w:y="8139"/>
        <w:spacing w:after="100" w:line="341" w:lineRule="auto"/>
      </w:pPr>
      <w:r>
        <w:t>Všechna odstavná stání k rodinným domům v počtu dle zákonných požadavků budou umístěna na pozemcích rodinných domů. V rámci vymezených ulic budou navržena parkovací stání pouze pro návštěvníky lokality.</w:t>
      </w:r>
    </w:p>
    <w:p w14:paraId="461B62EF" w14:textId="77777777" w:rsidR="00EC1C40" w:rsidRDefault="00000000">
      <w:pPr>
        <w:pStyle w:val="Zkladntext110"/>
        <w:framePr w:w="10579" w:h="4915" w:hRule="exact" w:wrap="none" w:vAnchor="page" w:hAnchor="page" w:x="762" w:y="8139"/>
        <w:spacing w:after="100" w:line="338" w:lineRule="auto"/>
        <w:ind w:firstLine="740"/>
      </w:pPr>
      <w:r>
        <w:rPr>
          <w:i w:val="0"/>
          <w:iCs w:val="0"/>
          <w:color w:val="231E20"/>
        </w:rPr>
        <w:t>Bytové domy nejsou součástí záměru. Návrh umožňuje budoucí zástavbě splnit tento regulativ.</w:t>
      </w:r>
    </w:p>
    <w:p w14:paraId="23AF57B2" w14:textId="0CCB6D0C" w:rsidR="00EC1C40" w:rsidRDefault="00000000">
      <w:pPr>
        <w:pStyle w:val="Zkladntext110"/>
        <w:framePr w:w="10579" w:h="4915" w:hRule="exact" w:wrap="none" w:vAnchor="page" w:hAnchor="page" w:x="762" w:y="8139"/>
        <w:spacing w:after="0" w:line="338" w:lineRule="auto"/>
      </w:pPr>
      <w:r>
        <w:rPr>
          <w:b/>
          <w:bCs/>
        </w:rPr>
        <w:t xml:space="preserve">Uspořádání </w:t>
      </w:r>
      <w:r>
        <w:t>v</w:t>
      </w:r>
      <w:r>
        <w:rPr>
          <w:b/>
          <w:bCs/>
        </w:rPr>
        <w:t xml:space="preserve">eřejných </w:t>
      </w:r>
      <w:r>
        <w:t>p</w:t>
      </w:r>
      <w:r>
        <w:rPr>
          <w:b/>
          <w:bCs/>
        </w:rPr>
        <w:t xml:space="preserve">rostranství: </w:t>
      </w:r>
      <w:r>
        <w:t xml:space="preserve">Uspořádání veřejných prostranství, jak je zobrazeno ve vzorových profilech ve výkrese č. 4 „Řešení veřejných prostranství - uliční profily situace“ je dáno jako doporučené. Lze jej měnit pouze tak, že nebude redukována jejich šířka. V regulačním výkresu je patrná dimenze jednotlivých prostranství a označení příslušného vzorového profilu. Dále je v rámci každého vymezeného úseku ulice nutné dodržet minimální počet parkovacích míst a počet stromů, jak je uvedeno ve výkrese č. 5. Počet stromů a parkovacích míst je dán závazně pro každý úsek ulice s tolerancí - 25 %. Horní hranice tolerance se neurčuje. Musí se jednat o </w:t>
      </w:r>
      <w:r w:rsidR="009F44A2">
        <w:t>středně korunné</w:t>
      </w:r>
      <w:r>
        <w:t xml:space="preserve"> stromy. Veřejná prostranství budou doplněna o prvky modrozelené infrastruktury např. průleh nebo zasakovací rýha situované do vymezeného zeleného pásu v rámci navržených uličních profilů.</w:t>
      </w:r>
    </w:p>
    <w:p w14:paraId="18C41E95" w14:textId="77777777" w:rsidR="00EC1C40" w:rsidRDefault="00000000">
      <w:pPr>
        <w:pStyle w:val="Zhlavnebozpat0"/>
        <w:framePr w:wrap="none" w:vAnchor="page" w:hAnchor="page" w:x="11025" w:y="15901"/>
        <w:rPr>
          <w:sz w:val="20"/>
          <w:szCs w:val="20"/>
        </w:rPr>
      </w:pPr>
      <w:r>
        <w:rPr>
          <w:rFonts w:ascii="Arial" w:eastAsia="Arial" w:hAnsi="Arial" w:cs="Arial"/>
          <w:color w:val="231E20"/>
          <w:sz w:val="20"/>
          <w:szCs w:val="20"/>
        </w:rPr>
        <w:t>16</w:t>
      </w:r>
    </w:p>
    <w:p w14:paraId="36D60894"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4C13F66C" w14:textId="77777777" w:rsidR="00EC1C40" w:rsidRDefault="00EC1C40">
      <w:pPr>
        <w:spacing w:line="1" w:lineRule="exact"/>
      </w:pPr>
    </w:p>
    <w:p w14:paraId="34E17336" w14:textId="77777777" w:rsidR="00EC1C40" w:rsidRDefault="00000000">
      <w:pPr>
        <w:pStyle w:val="Zhlavnebozpat0"/>
        <w:framePr w:wrap="none" w:vAnchor="page" w:hAnchor="page" w:x="5188" w:y="945"/>
        <w:rPr>
          <w:sz w:val="22"/>
          <w:szCs w:val="22"/>
        </w:rPr>
      </w:pPr>
      <w:r>
        <w:rPr>
          <w:rFonts w:ascii="Arial" w:eastAsia="Arial" w:hAnsi="Arial" w:cs="Arial"/>
          <w:sz w:val="22"/>
          <w:szCs w:val="22"/>
        </w:rPr>
        <w:t>Soulad záměru MHAP s Územní studií „Nová Cihelna 2024</w:t>
      </w:r>
    </w:p>
    <w:p w14:paraId="480DC0A0" w14:textId="77777777" w:rsidR="00EC1C40" w:rsidRDefault="00000000">
      <w:pPr>
        <w:pStyle w:val="Titulekobrzku0"/>
        <w:framePr w:wrap="none" w:vAnchor="page" w:hAnchor="page" w:x="868" w:y="1617"/>
        <w:rPr>
          <w:sz w:val="20"/>
          <w:szCs w:val="20"/>
        </w:rPr>
      </w:pPr>
      <w:r>
        <w:rPr>
          <w:b w:val="0"/>
          <w:bCs w:val="0"/>
          <w:i/>
          <w:iCs/>
          <w:color w:val="3C6AB3"/>
          <w:sz w:val="20"/>
          <w:szCs w:val="20"/>
        </w:rPr>
        <w:t>Návrh řešení dopravní infrastruktury</w:t>
      </w:r>
    </w:p>
    <w:p w14:paraId="52A38414" w14:textId="77777777" w:rsidR="00EC1C40" w:rsidRDefault="00000000">
      <w:pPr>
        <w:framePr w:wrap="none" w:vAnchor="page" w:hAnchor="page" w:x="882" w:y="2025"/>
        <w:rPr>
          <w:sz w:val="2"/>
          <w:szCs w:val="2"/>
        </w:rPr>
      </w:pPr>
      <w:r>
        <w:rPr>
          <w:noProof/>
        </w:rPr>
        <w:drawing>
          <wp:inline distT="0" distB="0" distL="0" distR="0" wp14:anchorId="6B37C6C7" wp14:editId="55D1A1C6">
            <wp:extent cx="4151630" cy="3505200"/>
            <wp:effectExtent l="0" t="0" r="0" b="0"/>
            <wp:docPr id="186" name="Picutre 186"/>
            <wp:cNvGraphicFramePr/>
            <a:graphic xmlns:a="http://schemas.openxmlformats.org/drawingml/2006/main">
              <a:graphicData uri="http://schemas.openxmlformats.org/drawingml/2006/picture">
                <pic:pic xmlns:pic="http://schemas.openxmlformats.org/drawingml/2006/picture">
                  <pic:nvPicPr>
                    <pic:cNvPr id="186" name="Picture 186"/>
                    <pic:cNvPicPr/>
                  </pic:nvPicPr>
                  <pic:blipFill>
                    <a:blip r:embed="rId56"/>
                    <a:stretch/>
                  </pic:blipFill>
                  <pic:spPr>
                    <a:xfrm>
                      <a:off x="0" y="0"/>
                      <a:ext cx="4151630" cy="3505200"/>
                    </a:xfrm>
                    <a:prstGeom prst="rect">
                      <a:avLst/>
                    </a:prstGeom>
                  </pic:spPr>
                </pic:pic>
              </a:graphicData>
            </a:graphic>
          </wp:inline>
        </w:drawing>
      </w:r>
    </w:p>
    <w:p w14:paraId="660ED7D1" w14:textId="77777777" w:rsidR="00EC1C40" w:rsidRDefault="00000000">
      <w:pPr>
        <w:pStyle w:val="Zkladntext110"/>
        <w:framePr w:wrap="none" w:vAnchor="page" w:hAnchor="page" w:x="868" w:y="7742"/>
        <w:spacing w:after="0" w:line="240" w:lineRule="auto"/>
        <w:rPr>
          <w:sz w:val="22"/>
          <w:szCs w:val="22"/>
        </w:rPr>
      </w:pPr>
      <w:r>
        <w:rPr>
          <w:i w:val="0"/>
          <w:iCs w:val="0"/>
          <w:color w:val="231E20"/>
          <w:sz w:val="22"/>
          <w:szCs w:val="22"/>
        </w:rPr>
        <w:t>Tabulka č. 2</w:t>
      </w:r>
    </w:p>
    <w:tbl>
      <w:tblPr>
        <w:tblOverlap w:val="never"/>
        <w:tblW w:w="0" w:type="auto"/>
        <w:tblLayout w:type="fixed"/>
        <w:tblCellMar>
          <w:left w:w="10" w:type="dxa"/>
          <w:right w:w="10" w:type="dxa"/>
        </w:tblCellMar>
        <w:tblLook w:val="0000" w:firstRow="0" w:lastRow="0" w:firstColumn="0" w:lastColumn="0" w:noHBand="0" w:noVBand="0"/>
      </w:tblPr>
      <w:tblGrid>
        <w:gridCol w:w="1138"/>
        <w:gridCol w:w="1560"/>
        <w:gridCol w:w="1416"/>
        <w:gridCol w:w="1526"/>
        <w:gridCol w:w="1445"/>
        <w:gridCol w:w="1421"/>
        <w:gridCol w:w="1282"/>
      </w:tblGrid>
      <w:tr w:rsidR="00EC1C40" w14:paraId="6C290A9F" w14:textId="77777777">
        <w:tblPrEx>
          <w:tblCellMar>
            <w:top w:w="0" w:type="dxa"/>
            <w:bottom w:w="0" w:type="dxa"/>
          </w:tblCellMar>
        </w:tblPrEx>
        <w:trPr>
          <w:trHeight w:hRule="exact" w:val="341"/>
        </w:trPr>
        <w:tc>
          <w:tcPr>
            <w:tcW w:w="1138" w:type="dxa"/>
            <w:vMerge w:val="restart"/>
            <w:tcBorders>
              <w:top w:val="single" w:sz="4" w:space="0" w:color="auto"/>
              <w:left w:val="single" w:sz="4" w:space="0" w:color="auto"/>
            </w:tcBorders>
            <w:shd w:val="clear" w:color="auto" w:fill="auto"/>
            <w:vAlign w:val="center"/>
          </w:tcPr>
          <w:p w14:paraId="627A63FC" w14:textId="77777777" w:rsidR="00EC1C40" w:rsidRDefault="00000000">
            <w:pPr>
              <w:pStyle w:val="Jin0"/>
              <w:framePr w:w="9787" w:h="3014" w:wrap="none" w:vAnchor="page" w:hAnchor="page" w:x="877" w:y="8198"/>
              <w:spacing w:after="0"/>
              <w:rPr>
                <w:sz w:val="20"/>
                <w:szCs w:val="20"/>
              </w:rPr>
            </w:pPr>
            <w:r>
              <w:rPr>
                <w:rFonts w:ascii="Arial" w:eastAsia="Arial" w:hAnsi="Arial" w:cs="Arial"/>
                <w:sz w:val="20"/>
                <w:szCs w:val="20"/>
              </w:rPr>
              <w:t>Profil</w:t>
            </w:r>
          </w:p>
        </w:tc>
        <w:tc>
          <w:tcPr>
            <w:tcW w:w="2976" w:type="dxa"/>
            <w:gridSpan w:val="2"/>
            <w:tcBorders>
              <w:top w:val="single" w:sz="4" w:space="0" w:color="auto"/>
              <w:left w:val="single" w:sz="4" w:space="0" w:color="auto"/>
            </w:tcBorders>
            <w:shd w:val="clear" w:color="auto" w:fill="auto"/>
            <w:vAlign w:val="bottom"/>
          </w:tcPr>
          <w:p w14:paraId="0C5AAC71" w14:textId="77777777" w:rsidR="00EC1C40" w:rsidRDefault="00000000">
            <w:pPr>
              <w:pStyle w:val="Jin0"/>
              <w:framePr w:w="9787" w:h="3014" w:wrap="none" w:vAnchor="page" w:hAnchor="page" w:x="877" w:y="8198"/>
              <w:spacing w:after="0"/>
              <w:jc w:val="center"/>
              <w:rPr>
                <w:sz w:val="20"/>
                <w:szCs w:val="20"/>
              </w:rPr>
            </w:pPr>
            <w:r>
              <w:rPr>
                <w:rFonts w:ascii="Arial" w:eastAsia="Arial" w:hAnsi="Arial" w:cs="Arial"/>
                <w:b/>
                <w:bCs/>
                <w:sz w:val="20"/>
                <w:szCs w:val="20"/>
              </w:rPr>
              <w:t>Min. počet stromů v ulici</w:t>
            </w:r>
          </w:p>
        </w:tc>
        <w:tc>
          <w:tcPr>
            <w:tcW w:w="2971" w:type="dxa"/>
            <w:gridSpan w:val="2"/>
            <w:tcBorders>
              <w:top w:val="single" w:sz="4" w:space="0" w:color="auto"/>
              <w:left w:val="single" w:sz="4" w:space="0" w:color="auto"/>
            </w:tcBorders>
            <w:shd w:val="clear" w:color="auto" w:fill="auto"/>
            <w:vAlign w:val="bottom"/>
          </w:tcPr>
          <w:p w14:paraId="0D962220" w14:textId="77777777" w:rsidR="00EC1C40" w:rsidRDefault="00000000">
            <w:pPr>
              <w:pStyle w:val="Jin0"/>
              <w:framePr w:w="9787" w:h="3014" w:wrap="none" w:vAnchor="page" w:hAnchor="page" w:x="877" w:y="8198"/>
              <w:spacing w:after="0"/>
              <w:jc w:val="center"/>
              <w:rPr>
                <w:sz w:val="20"/>
                <w:szCs w:val="20"/>
              </w:rPr>
            </w:pPr>
            <w:r>
              <w:rPr>
                <w:rFonts w:ascii="Arial" w:eastAsia="Arial" w:hAnsi="Arial" w:cs="Arial"/>
                <w:b/>
                <w:bCs/>
                <w:sz w:val="20"/>
                <w:szCs w:val="20"/>
              </w:rPr>
              <w:t>Min. počet parkovacích stání</w:t>
            </w:r>
          </w:p>
        </w:tc>
        <w:tc>
          <w:tcPr>
            <w:tcW w:w="2703" w:type="dxa"/>
            <w:gridSpan w:val="2"/>
            <w:tcBorders>
              <w:top w:val="single" w:sz="4" w:space="0" w:color="auto"/>
              <w:left w:val="single" w:sz="4" w:space="0" w:color="auto"/>
              <w:right w:val="single" w:sz="4" w:space="0" w:color="auto"/>
            </w:tcBorders>
            <w:shd w:val="clear" w:color="auto" w:fill="auto"/>
            <w:vAlign w:val="bottom"/>
          </w:tcPr>
          <w:p w14:paraId="53A7EC82" w14:textId="77777777" w:rsidR="00EC1C40" w:rsidRDefault="00000000">
            <w:pPr>
              <w:pStyle w:val="Jin0"/>
              <w:framePr w:w="9787" w:h="3014" w:wrap="none" w:vAnchor="page" w:hAnchor="page" w:x="877" w:y="8198"/>
              <w:spacing w:after="0"/>
              <w:jc w:val="center"/>
              <w:rPr>
                <w:sz w:val="20"/>
                <w:szCs w:val="20"/>
              </w:rPr>
            </w:pPr>
            <w:r>
              <w:rPr>
                <w:rFonts w:ascii="Arial" w:eastAsia="Arial" w:hAnsi="Arial" w:cs="Arial"/>
                <w:b/>
                <w:bCs/>
                <w:sz w:val="20"/>
                <w:szCs w:val="20"/>
              </w:rPr>
              <w:t>Celková šířka profilu</w:t>
            </w:r>
          </w:p>
        </w:tc>
      </w:tr>
      <w:tr w:rsidR="00EC1C40" w14:paraId="1FA5524D" w14:textId="77777777">
        <w:tblPrEx>
          <w:tblCellMar>
            <w:top w:w="0" w:type="dxa"/>
            <w:bottom w:w="0" w:type="dxa"/>
          </w:tblCellMar>
        </w:tblPrEx>
        <w:trPr>
          <w:trHeight w:hRule="exact" w:val="331"/>
        </w:trPr>
        <w:tc>
          <w:tcPr>
            <w:tcW w:w="1138" w:type="dxa"/>
            <w:vMerge/>
            <w:tcBorders>
              <w:left w:val="single" w:sz="4" w:space="0" w:color="auto"/>
            </w:tcBorders>
            <w:shd w:val="clear" w:color="auto" w:fill="auto"/>
            <w:vAlign w:val="center"/>
          </w:tcPr>
          <w:p w14:paraId="7D8955F7" w14:textId="77777777" w:rsidR="00EC1C40" w:rsidRDefault="00EC1C40">
            <w:pPr>
              <w:framePr w:w="9787" w:h="3014" w:wrap="none" w:vAnchor="page" w:hAnchor="page" w:x="877" w:y="8198"/>
            </w:pPr>
          </w:p>
        </w:tc>
        <w:tc>
          <w:tcPr>
            <w:tcW w:w="1560" w:type="dxa"/>
            <w:tcBorders>
              <w:top w:val="single" w:sz="4" w:space="0" w:color="auto"/>
              <w:left w:val="single" w:sz="4" w:space="0" w:color="auto"/>
            </w:tcBorders>
            <w:shd w:val="clear" w:color="auto" w:fill="auto"/>
          </w:tcPr>
          <w:p w14:paraId="18B3EDA1" w14:textId="77777777" w:rsidR="00EC1C40" w:rsidRDefault="00000000">
            <w:pPr>
              <w:pStyle w:val="Jin0"/>
              <w:framePr w:w="9787" w:h="3014" w:wrap="none" w:vAnchor="page" w:hAnchor="page" w:x="877" w:y="8198"/>
              <w:spacing w:after="0"/>
              <w:ind w:firstLine="240"/>
              <w:rPr>
                <w:sz w:val="20"/>
                <w:szCs w:val="20"/>
              </w:rPr>
            </w:pPr>
            <w:r>
              <w:rPr>
                <w:rFonts w:ascii="Arial" w:eastAsia="Arial" w:hAnsi="Arial" w:cs="Arial"/>
                <w:i/>
                <w:iCs/>
                <w:color w:val="3C6AB3"/>
                <w:sz w:val="20"/>
                <w:szCs w:val="20"/>
              </w:rPr>
              <w:t>Požadavek</w:t>
            </w:r>
          </w:p>
        </w:tc>
        <w:tc>
          <w:tcPr>
            <w:tcW w:w="1416" w:type="dxa"/>
            <w:tcBorders>
              <w:top w:val="single" w:sz="4" w:space="0" w:color="auto"/>
              <w:left w:val="single" w:sz="4" w:space="0" w:color="auto"/>
            </w:tcBorders>
            <w:shd w:val="clear" w:color="auto" w:fill="auto"/>
          </w:tcPr>
          <w:p w14:paraId="49AFE792" w14:textId="77777777" w:rsidR="00EC1C40" w:rsidRDefault="00000000">
            <w:pPr>
              <w:pStyle w:val="Jin0"/>
              <w:framePr w:w="9787" w:h="3014" w:wrap="none" w:vAnchor="page" w:hAnchor="page" w:x="877" w:y="8198"/>
              <w:spacing w:after="0"/>
              <w:ind w:firstLine="420"/>
              <w:rPr>
                <w:sz w:val="20"/>
                <w:szCs w:val="20"/>
              </w:rPr>
            </w:pPr>
            <w:r>
              <w:rPr>
                <w:rFonts w:ascii="Arial" w:eastAsia="Arial" w:hAnsi="Arial" w:cs="Arial"/>
                <w:sz w:val="20"/>
                <w:szCs w:val="20"/>
              </w:rPr>
              <w:t>Návrh</w:t>
            </w:r>
          </w:p>
        </w:tc>
        <w:tc>
          <w:tcPr>
            <w:tcW w:w="1526" w:type="dxa"/>
            <w:tcBorders>
              <w:top w:val="single" w:sz="4" w:space="0" w:color="auto"/>
              <w:left w:val="single" w:sz="4" w:space="0" w:color="auto"/>
            </w:tcBorders>
            <w:shd w:val="clear" w:color="auto" w:fill="auto"/>
          </w:tcPr>
          <w:p w14:paraId="7C539AB6" w14:textId="77777777" w:rsidR="00EC1C40" w:rsidRDefault="00000000">
            <w:pPr>
              <w:pStyle w:val="Jin0"/>
              <w:framePr w:w="9787" w:h="3014" w:wrap="none" w:vAnchor="page" w:hAnchor="page" w:x="877" w:y="8198"/>
              <w:spacing w:after="0"/>
              <w:jc w:val="center"/>
              <w:rPr>
                <w:sz w:val="20"/>
                <w:szCs w:val="20"/>
              </w:rPr>
            </w:pPr>
            <w:r>
              <w:rPr>
                <w:rFonts w:ascii="Arial" w:eastAsia="Arial" w:hAnsi="Arial" w:cs="Arial"/>
                <w:i/>
                <w:iCs/>
                <w:color w:val="3C6AB3"/>
                <w:sz w:val="20"/>
                <w:szCs w:val="20"/>
              </w:rPr>
              <w:t>Požadavek</w:t>
            </w:r>
          </w:p>
        </w:tc>
        <w:tc>
          <w:tcPr>
            <w:tcW w:w="1445" w:type="dxa"/>
            <w:tcBorders>
              <w:top w:val="single" w:sz="4" w:space="0" w:color="auto"/>
              <w:left w:val="single" w:sz="4" w:space="0" w:color="auto"/>
            </w:tcBorders>
            <w:shd w:val="clear" w:color="auto" w:fill="auto"/>
          </w:tcPr>
          <w:p w14:paraId="2E632DAE" w14:textId="77777777" w:rsidR="00EC1C40" w:rsidRDefault="00000000">
            <w:pPr>
              <w:pStyle w:val="Jin0"/>
              <w:framePr w:w="9787" w:h="3014" w:wrap="none" w:vAnchor="page" w:hAnchor="page" w:x="877" w:y="8198"/>
              <w:spacing w:after="0"/>
              <w:jc w:val="center"/>
              <w:rPr>
                <w:sz w:val="20"/>
                <w:szCs w:val="20"/>
              </w:rPr>
            </w:pPr>
            <w:r>
              <w:rPr>
                <w:rFonts w:ascii="Arial" w:eastAsia="Arial" w:hAnsi="Arial" w:cs="Arial"/>
                <w:sz w:val="20"/>
                <w:szCs w:val="20"/>
              </w:rPr>
              <w:t>Návrh</w:t>
            </w:r>
          </w:p>
        </w:tc>
        <w:tc>
          <w:tcPr>
            <w:tcW w:w="1421" w:type="dxa"/>
            <w:tcBorders>
              <w:top w:val="single" w:sz="4" w:space="0" w:color="auto"/>
              <w:left w:val="single" w:sz="4" w:space="0" w:color="auto"/>
            </w:tcBorders>
            <w:shd w:val="clear" w:color="auto" w:fill="auto"/>
          </w:tcPr>
          <w:p w14:paraId="2DDC45E7" w14:textId="77777777" w:rsidR="00EC1C40" w:rsidRDefault="00000000">
            <w:pPr>
              <w:pStyle w:val="Jin0"/>
              <w:framePr w:w="9787" w:h="3014" w:wrap="none" w:vAnchor="page" w:hAnchor="page" w:x="877" w:y="8198"/>
              <w:spacing w:after="0"/>
              <w:jc w:val="center"/>
              <w:rPr>
                <w:sz w:val="20"/>
                <w:szCs w:val="20"/>
              </w:rPr>
            </w:pPr>
            <w:r>
              <w:rPr>
                <w:rFonts w:ascii="Arial" w:eastAsia="Arial" w:hAnsi="Arial" w:cs="Arial"/>
                <w:i/>
                <w:iCs/>
                <w:color w:val="3C6AB3"/>
                <w:sz w:val="20"/>
                <w:szCs w:val="20"/>
              </w:rPr>
              <w:t>Požadavek</w:t>
            </w:r>
          </w:p>
        </w:tc>
        <w:tc>
          <w:tcPr>
            <w:tcW w:w="1282" w:type="dxa"/>
            <w:tcBorders>
              <w:top w:val="single" w:sz="4" w:space="0" w:color="auto"/>
              <w:left w:val="single" w:sz="4" w:space="0" w:color="auto"/>
              <w:right w:val="single" w:sz="4" w:space="0" w:color="auto"/>
            </w:tcBorders>
            <w:shd w:val="clear" w:color="auto" w:fill="auto"/>
          </w:tcPr>
          <w:p w14:paraId="767272A6" w14:textId="77777777" w:rsidR="00EC1C40" w:rsidRDefault="00000000">
            <w:pPr>
              <w:pStyle w:val="Jin0"/>
              <w:framePr w:w="9787" w:h="3014" w:wrap="none" w:vAnchor="page" w:hAnchor="page" w:x="877" w:y="8198"/>
              <w:spacing w:after="0"/>
              <w:jc w:val="center"/>
              <w:rPr>
                <w:sz w:val="20"/>
                <w:szCs w:val="20"/>
              </w:rPr>
            </w:pPr>
            <w:r>
              <w:rPr>
                <w:rFonts w:ascii="Arial" w:eastAsia="Arial" w:hAnsi="Arial" w:cs="Arial"/>
                <w:sz w:val="20"/>
                <w:szCs w:val="20"/>
              </w:rPr>
              <w:t>Návrh</w:t>
            </w:r>
          </w:p>
        </w:tc>
      </w:tr>
      <w:tr w:rsidR="00EC1C40" w14:paraId="1021C1F9" w14:textId="77777777">
        <w:tblPrEx>
          <w:tblCellMar>
            <w:top w:w="0" w:type="dxa"/>
            <w:bottom w:w="0" w:type="dxa"/>
          </w:tblCellMar>
        </w:tblPrEx>
        <w:trPr>
          <w:trHeight w:hRule="exact" w:val="336"/>
        </w:trPr>
        <w:tc>
          <w:tcPr>
            <w:tcW w:w="1138" w:type="dxa"/>
            <w:tcBorders>
              <w:top w:val="single" w:sz="4" w:space="0" w:color="auto"/>
              <w:left w:val="single" w:sz="4" w:space="0" w:color="auto"/>
            </w:tcBorders>
            <w:shd w:val="clear" w:color="auto" w:fill="auto"/>
          </w:tcPr>
          <w:p w14:paraId="24532187" w14:textId="77777777" w:rsidR="00EC1C40" w:rsidRDefault="00000000">
            <w:pPr>
              <w:pStyle w:val="Jin0"/>
              <w:framePr w:w="9787" w:h="3014" w:wrap="none" w:vAnchor="page" w:hAnchor="page" w:x="877" w:y="8198"/>
              <w:spacing w:after="0"/>
              <w:rPr>
                <w:sz w:val="20"/>
                <w:szCs w:val="20"/>
              </w:rPr>
            </w:pPr>
            <w:r>
              <w:rPr>
                <w:rFonts w:ascii="Arial" w:eastAsia="Arial" w:hAnsi="Arial" w:cs="Arial"/>
                <w:b/>
                <w:bCs/>
                <w:sz w:val="20"/>
                <w:szCs w:val="20"/>
              </w:rPr>
              <w:t>29C-01</w:t>
            </w:r>
          </w:p>
        </w:tc>
        <w:tc>
          <w:tcPr>
            <w:tcW w:w="1560" w:type="dxa"/>
            <w:tcBorders>
              <w:top w:val="single" w:sz="4" w:space="0" w:color="auto"/>
              <w:left w:val="single" w:sz="4" w:space="0" w:color="auto"/>
            </w:tcBorders>
            <w:shd w:val="clear" w:color="auto" w:fill="auto"/>
          </w:tcPr>
          <w:p w14:paraId="2439EB72" w14:textId="77777777" w:rsidR="00EC1C40" w:rsidRDefault="00000000">
            <w:pPr>
              <w:pStyle w:val="Jin0"/>
              <w:framePr w:w="9787" w:h="3014" w:wrap="none" w:vAnchor="page" w:hAnchor="page" w:x="877" w:y="8198"/>
              <w:spacing w:after="0"/>
              <w:ind w:firstLine="240"/>
              <w:rPr>
                <w:sz w:val="20"/>
                <w:szCs w:val="20"/>
              </w:rPr>
            </w:pPr>
            <w:r>
              <w:rPr>
                <w:rFonts w:ascii="Arial" w:eastAsia="Arial" w:hAnsi="Arial" w:cs="Arial"/>
                <w:i/>
                <w:iCs/>
                <w:color w:val="3C6AB3"/>
                <w:sz w:val="20"/>
                <w:szCs w:val="20"/>
              </w:rPr>
              <w:t>20 S (15S)</w:t>
            </w:r>
          </w:p>
        </w:tc>
        <w:tc>
          <w:tcPr>
            <w:tcW w:w="1416" w:type="dxa"/>
            <w:tcBorders>
              <w:top w:val="single" w:sz="4" w:space="0" w:color="auto"/>
              <w:left w:val="single" w:sz="4" w:space="0" w:color="auto"/>
            </w:tcBorders>
            <w:shd w:val="clear" w:color="auto" w:fill="auto"/>
          </w:tcPr>
          <w:p w14:paraId="5D0A3F1E" w14:textId="77777777" w:rsidR="00EC1C40" w:rsidRDefault="00000000">
            <w:pPr>
              <w:pStyle w:val="Jin0"/>
              <w:framePr w:w="9787" w:h="3014" w:wrap="none" w:vAnchor="page" w:hAnchor="page" w:x="877" w:y="8198"/>
              <w:spacing w:after="0"/>
              <w:ind w:firstLine="420"/>
              <w:rPr>
                <w:sz w:val="20"/>
                <w:szCs w:val="20"/>
              </w:rPr>
            </w:pPr>
            <w:r>
              <w:rPr>
                <w:rFonts w:ascii="Arial" w:eastAsia="Arial" w:hAnsi="Arial" w:cs="Arial"/>
                <w:sz w:val="20"/>
                <w:szCs w:val="20"/>
              </w:rPr>
              <w:t>18S**</w:t>
            </w:r>
          </w:p>
        </w:tc>
        <w:tc>
          <w:tcPr>
            <w:tcW w:w="1526" w:type="dxa"/>
            <w:tcBorders>
              <w:top w:val="single" w:sz="4" w:space="0" w:color="auto"/>
              <w:left w:val="single" w:sz="4" w:space="0" w:color="auto"/>
            </w:tcBorders>
            <w:shd w:val="clear" w:color="auto" w:fill="auto"/>
          </w:tcPr>
          <w:p w14:paraId="6D243F68" w14:textId="77777777" w:rsidR="00EC1C40" w:rsidRDefault="00000000">
            <w:pPr>
              <w:pStyle w:val="Jin0"/>
              <w:framePr w:w="9787" w:h="3014" w:wrap="none" w:vAnchor="page" w:hAnchor="page" w:x="877" w:y="8198"/>
              <w:spacing w:after="0"/>
              <w:ind w:firstLine="380"/>
              <w:rPr>
                <w:sz w:val="20"/>
                <w:szCs w:val="20"/>
              </w:rPr>
            </w:pPr>
            <w:r>
              <w:rPr>
                <w:rFonts w:ascii="Arial" w:eastAsia="Arial" w:hAnsi="Arial" w:cs="Arial"/>
                <w:i/>
                <w:iCs/>
                <w:color w:val="3C6AB3"/>
                <w:sz w:val="20"/>
                <w:szCs w:val="20"/>
              </w:rPr>
              <w:t>0P (0P)</w:t>
            </w:r>
          </w:p>
        </w:tc>
        <w:tc>
          <w:tcPr>
            <w:tcW w:w="1445" w:type="dxa"/>
            <w:tcBorders>
              <w:top w:val="single" w:sz="4" w:space="0" w:color="auto"/>
              <w:left w:val="single" w:sz="4" w:space="0" w:color="auto"/>
            </w:tcBorders>
            <w:shd w:val="clear" w:color="auto" w:fill="auto"/>
          </w:tcPr>
          <w:p w14:paraId="22A16CFF" w14:textId="77777777" w:rsidR="00EC1C40" w:rsidRDefault="00000000">
            <w:pPr>
              <w:pStyle w:val="Jin0"/>
              <w:framePr w:w="9787" w:h="3014" w:wrap="none" w:vAnchor="page" w:hAnchor="page" w:x="877" w:y="8198"/>
              <w:spacing w:after="0"/>
              <w:jc w:val="center"/>
              <w:rPr>
                <w:sz w:val="20"/>
                <w:szCs w:val="20"/>
              </w:rPr>
            </w:pPr>
            <w:r>
              <w:rPr>
                <w:rFonts w:ascii="Arial" w:eastAsia="Arial" w:hAnsi="Arial" w:cs="Arial"/>
                <w:sz w:val="20"/>
                <w:szCs w:val="20"/>
              </w:rPr>
              <w:t>0P</w:t>
            </w:r>
          </w:p>
        </w:tc>
        <w:tc>
          <w:tcPr>
            <w:tcW w:w="1421" w:type="dxa"/>
            <w:tcBorders>
              <w:top w:val="single" w:sz="4" w:space="0" w:color="auto"/>
              <w:left w:val="single" w:sz="4" w:space="0" w:color="auto"/>
            </w:tcBorders>
            <w:shd w:val="clear" w:color="auto" w:fill="auto"/>
          </w:tcPr>
          <w:p w14:paraId="25DF41FD" w14:textId="77777777" w:rsidR="00EC1C40" w:rsidRDefault="00000000">
            <w:pPr>
              <w:pStyle w:val="Jin0"/>
              <w:framePr w:w="9787" w:h="3014" w:wrap="none" w:vAnchor="page" w:hAnchor="page" w:x="877" w:y="8198"/>
              <w:spacing w:after="0"/>
              <w:ind w:firstLine="440"/>
              <w:jc w:val="both"/>
              <w:rPr>
                <w:sz w:val="20"/>
                <w:szCs w:val="20"/>
              </w:rPr>
            </w:pPr>
            <w:r>
              <w:rPr>
                <w:rFonts w:ascii="Arial" w:eastAsia="Arial" w:hAnsi="Arial" w:cs="Arial"/>
                <w:i/>
                <w:iCs/>
                <w:color w:val="3C6AB3"/>
                <w:sz w:val="20"/>
                <w:szCs w:val="20"/>
              </w:rPr>
              <w:t>29 m</w:t>
            </w:r>
          </w:p>
        </w:tc>
        <w:tc>
          <w:tcPr>
            <w:tcW w:w="1282" w:type="dxa"/>
            <w:tcBorders>
              <w:top w:val="single" w:sz="4" w:space="0" w:color="auto"/>
              <w:left w:val="single" w:sz="4" w:space="0" w:color="auto"/>
              <w:right w:val="single" w:sz="4" w:space="0" w:color="auto"/>
            </w:tcBorders>
            <w:shd w:val="clear" w:color="auto" w:fill="auto"/>
          </w:tcPr>
          <w:p w14:paraId="00F3481A" w14:textId="77777777" w:rsidR="00EC1C40" w:rsidRDefault="00000000">
            <w:pPr>
              <w:pStyle w:val="Jin0"/>
              <w:framePr w:w="9787" w:h="3014" w:wrap="none" w:vAnchor="page" w:hAnchor="page" w:x="877" w:y="8198"/>
              <w:spacing w:after="0"/>
              <w:jc w:val="center"/>
              <w:rPr>
                <w:sz w:val="20"/>
                <w:szCs w:val="20"/>
              </w:rPr>
            </w:pPr>
            <w:r>
              <w:rPr>
                <w:rFonts w:ascii="Arial" w:eastAsia="Arial" w:hAnsi="Arial" w:cs="Arial"/>
                <w:sz w:val="20"/>
                <w:szCs w:val="20"/>
              </w:rPr>
              <w:t>29 m</w:t>
            </w:r>
          </w:p>
        </w:tc>
      </w:tr>
      <w:tr w:rsidR="00EC1C40" w14:paraId="495B1D53" w14:textId="77777777">
        <w:tblPrEx>
          <w:tblCellMar>
            <w:top w:w="0" w:type="dxa"/>
            <w:bottom w:w="0" w:type="dxa"/>
          </w:tblCellMar>
        </w:tblPrEx>
        <w:trPr>
          <w:trHeight w:hRule="exact" w:val="331"/>
        </w:trPr>
        <w:tc>
          <w:tcPr>
            <w:tcW w:w="1138" w:type="dxa"/>
            <w:tcBorders>
              <w:top w:val="single" w:sz="4" w:space="0" w:color="auto"/>
              <w:left w:val="single" w:sz="4" w:space="0" w:color="auto"/>
            </w:tcBorders>
            <w:shd w:val="clear" w:color="auto" w:fill="auto"/>
          </w:tcPr>
          <w:p w14:paraId="7A1B2D98" w14:textId="77777777" w:rsidR="00EC1C40" w:rsidRDefault="00000000">
            <w:pPr>
              <w:pStyle w:val="Jin0"/>
              <w:framePr w:w="9787" w:h="3014" w:wrap="none" w:vAnchor="page" w:hAnchor="page" w:x="877" w:y="8198"/>
              <w:spacing w:after="0"/>
              <w:rPr>
                <w:sz w:val="20"/>
                <w:szCs w:val="20"/>
              </w:rPr>
            </w:pPr>
            <w:r>
              <w:rPr>
                <w:rFonts w:ascii="Arial" w:eastAsia="Arial" w:hAnsi="Arial" w:cs="Arial"/>
                <w:b/>
                <w:bCs/>
                <w:sz w:val="20"/>
                <w:szCs w:val="20"/>
              </w:rPr>
              <w:t>29A-03</w:t>
            </w:r>
          </w:p>
        </w:tc>
        <w:tc>
          <w:tcPr>
            <w:tcW w:w="1560" w:type="dxa"/>
            <w:tcBorders>
              <w:top w:val="single" w:sz="4" w:space="0" w:color="auto"/>
              <w:left w:val="single" w:sz="4" w:space="0" w:color="auto"/>
            </w:tcBorders>
            <w:shd w:val="clear" w:color="auto" w:fill="auto"/>
          </w:tcPr>
          <w:p w14:paraId="7FB11823" w14:textId="77777777" w:rsidR="00EC1C40" w:rsidRDefault="00000000">
            <w:pPr>
              <w:pStyle w:val="Jin0"/>
              <w:framePr w:w="9787" w:h="3014" w:wrap="none" w:vAnchor="page" w:hAnchor="page" w:x="877" w:y="8198"/>
              <w:spacing w:after="0"/>
              <w:ind w:firstLine="240"/>
              <w:rPr>
                <w:sz w:val="20"/>
                <w:szCs w:val="20"/>
              </w:rPr>
            </w:pPr>
            <w:r>
              <w:rPr>
                <w:rFonts w:ascii="Arial" w:eastAsia="Arial" w:hAnsi="Arial" w:cs="Arial"/>
                <w:i/>
                <w:iCs/>
                <w:color w:val="3C6AB3"/>
                <w:sz w:val="20"/>
                <w:szCs w:val="20"/>
              </w:rPr>
              <w:t>15S (12S)</w:t>
            </w:r>
          </w:p>
        </w:tc>
        <w:tc>
          <w:tcPr>
            <w:tcW w:w="1416" w:type="dxa"/>
            <w:tcBorders>
              <w:top w:val="single" w:sz="4" w:space="0" w:color="auto"/>
              <w:left w:val="single" w:sz="4" w:space="0" w:color="auto"/>
            </w:tcBorders>
            <w:shd w:val="clear" w:color="auto" w:fill="auto"/>
          </w:tcPr>
          <w:p w14:paraId="47F7FF4F" w14:textId="77777777" w:rsidR="00EC1C40" w:rsidRDefault="00000000">
            <w:pPr>
              <w:pStyle w:val="Jin0"/>
              <w:framePr w:w="9787" w:h="3014" w:wrap="none" w:vAnchor="page" w:hAnchor="page" w:x="877" w:y="8198"/>
              <w:spacing w:after="0"/>
              <w:ind w:firstLine="420"/>
              <w:rPr>
                <w:sz w:val="20"/>
                <w:szCs w:val="20"/>
              </w:rPr>
            </w:pPr>
            <w:r>
              <w:rPr>
                <w:rFonts w:ascii="Arial" w:eastAsia="Arial" w:hAnsi="Arial" w:cs="Arial"/>
                <w:sz w:val="20"/>
                <w:szCs w:val="20"/>
              </w:rPr>
              <w:t>13S**</w:t>
            </w:r>
          </w:p>
        </w:tc>
        <w:tc>
          <w:tcPr>
            <w:tcW w:w="1526" w:type="dxa"/>
            <w:tcBorders>
              <w:top w:val="single" w:sz="4" w:space="0" w:color="auto"/>
              <w:left w:val="single" w:sz="4" w:space="0" w:color="auto"/>
            </w:tcBorders>
            <w:shd w:val="clear" w:color="auto" w:fill="auto"/>
          </w:tcPr>
          <w:p w14:paraId="100A58A3" w14:textId="77777777" w:rsidR="00EC1C40" w:rsidRDefault="00000000">
            <w:pPr>
              <w:pStyle w:val="Jin0"/>
              <w:framePr w:w="9787" w:h="3014" w:wrap="none" w:vAnchor="page" w:hAnchor="page" w:x="877" w:y="8198"/>
              <w:spacing w:after="0"/>
              <w:ind w:firstLine="380"/>
              <w:rPr>
                <w:sz w:val="20"/>
                <w:szCs w:val="20"/>
              </w:rPr>
            </w:pPr>
            <w:r>
              <w:rPr>
                <w:rFonts w:ascii="Arial" w:eastAsia="Arial" w:hAnsi="Arial" w:cs="Arial"/>
                <w:i/>
                <w:iCs/>
                <w:color w:val="3C6AB3"/>
                <w:sz w:val="20"/>
                <w:szCs w:val="20"/>
              </w:rPr>
              <w:t>5P (4P)</w:t>
            </w:r>
          </w:p>
        </w:tc>
        <w:tc>
          <w:tcPr>
            <w:tcW w:w="1445" w:type="dxa"/>
            <w:tcBorders>
              <w:top w:val="single" w:sz="4" w:space="0" w:color="auto"/>
              <w:left w:val="single" w:sz="4" w:space="0" w:color="auto"/>
            </w:tcBorders>
            <w:shd w:val="clear" w:color="auto" w:fill="auto"/>
          </w:tcPr>
          <w:p w14:paraId="77F71E02" w14:textId="77777777" w:rsidR="00EC1C40" w:rsidRDefault="00000000">
            <w:pPr>
              <w:pStyle w:val="Jin0"/>
              <w:framePr w:w="9787" w:h="3014" w:wrap="none" w:vAnchor="page" w:hAnchor="page" w:x="877" w:y="8198"/>
              <w:spacing w:after="0"/>
              <w:jc w:val="center"/>
              <w:rPr>
                <w:sz w:val="20"/>
                <w:szCs w:val="20"/>
              </w:rPr>
            </w:pPr>
            <w:r>
              <w:rPr>
                <w:rFonts w:ascii="Arial" w:eastAsia="Arial" w:hAnsi="Arial" w:cs="Arial"/>
                <w:sz w:val="20"/>
                <w:szCs w:val="20"/>
              </w:rPr>
              <w:t>10P</w:t>
            </w:r>
          </w:p>
        </w:tc>
        <w:tc>
          <w:tcPr>
            <w:tcW w:w="1421" w:type="dxa"/>
            <w:tcBorders>
              <w:top w:val="single" w:sz="4" w:space="0" w:color="auto"/>
              <w:left w:val="single" w:sz="4" w:space="0" w:color="auto"/>
            </w:tcBorders>
            <w:shd w:val="clear" w:color="auto" w:fill="auto"/>
          </w:tcPr>
          <w:p w14:paraId="5E4726CA" w14:textId="77777777" w:rsidR="00EC1C40" w:rsidRDefault="00000000">
            <w:pPr>
              <w:pStyle w:val="Jin0"/>
              <w:framePr w:w="9787" w:h="3014" w:wrap="none" w:vAnchor="page" w:hAnchor="page" w:x="877" w:y="8198"/>
              <w:spacing w:after="0"/>
              <w:ind w:firstLine="440"/>
              <w:jc w:val="both"/>
              <w:rPr>
                <w:sz w:val="20"/>
                <w:szCs w:val="20"/>
              </w:rPr>
            </w:pPr>
            <w:r>
              <w:rPr>
                <w:rFonts w:ascii="Arial" w:eastAsia="Arial" w:hAnsi="Arial" w:cs="Arial"/>
                <w:i/>
                <w:iCs/>
                <w:color w:val="3C6AB3"/>
                <w:sz w:val="20"/>
                <w:szCs w:val="20"/>
              </w:rPr>
              <w:t>29 m</w:t>
            </w:r>
          </w:p>
        </w:tc>
        <w:tc>
          <w:tcPr>
            <w:tcW w:w="1282" w:type="dxa"/>
            <w:tcBorders>
              <w:top w:val="single" w:sz="4" w:space="0" w:color="auto"/>
              <w:left w:val="single" w:sz="4" w:space="0" w:color="auto"/>
              <w:right w:val="single" w:sz="4" w:space="0" w:color="auto"/>
            </w:tcBorders>
            <w:shd w:val="clear" w:color="auto" w:fill="auto"/>
          </w:tcPr>
          <w:p w14:paraId="6AA7FB28" w14:textId="77777777" w:rsidR="00EC1C40" w:rsidRDefault="00000000">
            <w:pPr>
              <w:pStyle w:val="Jin0"/>
              <w:framePr w:w="9787" w:h="3014" w:wrap="none" w:vAnchor="page" w:hAnchor="page" w:x="877" w:y="8198"/>
              <w:spacing w:after="0"/>
              <w:jc w:val="center"/>
              <w:rPr>
                <w:sz w:val="20"/>
                <w:szCs w:val="20"/>
              </w:rPr>
            </w:pPr>
            <w:r>
              <w:rPr>
                <w:rFonts w:ascii="Arial" w:eastAsia="Arial" w:hAnsi="Arial" w:cs="Arial"/>
                <w:sz w:val="20"/>
                <w:szCs w:val="20"/>
              </w:rPr>
              <w:t>29 m</w:t>
            </w:r>
          </w:p>
        </w:tc>
      </w:tr>
      <w:tr w:rsidR="00EC1C40" w14:paraId="51DC91EF" w14:textId="77777777">
        <w:tblPrEx>
          <w:tblCellMar>
            <w:top w:w="0" w:type="dxa"/>
            <w:bottom w:w="0" w:type="dxa"/>
          </w:tblCellMar>
        </w:tblPrEx>
        <w:trPr>
          <w:trHeight w:hRule="exact" w:val="336"/>
        </w:trPr>
        <w:tc>
          <w:tcPr>
            <w:tcW w:w="1138" w:type="dxa"/>
            <w:tcBorders>
              <w:top w:val="single" w:sz="4" w:space="0" w:color="auto"/>
              <w:left w:val="single" w:sz="4" w:space="0" w:color="auto"/>
            </w:tcBorders>
            <w:shd w:val="clear" w:color="auto" w:fill="auto"/>
          </w:tcPr>
          <w:p w14:paraId="4780D34A" w14:textId="77777777" w:rsidR="00EC1C40" w:rsidRDefault="00000000">
            <w:pPr>
              <w:pStyle w:val="Jin0"/>
              <w:framePr w:w="9787" w:h="3014" w:wrap="none" w:vAnchor="page" w:hAnchor="page" w:x="877" w:y="8198"/>
              <w:spacing w:after="0"/>
              <w:rPr>
                <w:sz w:val="20"/>
                <w:szCs w:val="20"/>
              </w:rPr>
            </w:pPr>
            <w:r>
              <w:rPr>
                <w:rFonts w:ascii="Arial" w:eastAsia="Arial" w:hAnsi="Arial" w:cs="Arial"/>
                <w:b/>
                <w:bCs/>
                <w:sz w:val="20"/>
                <w:szCs w:val="20"/>
              </w:rPr>
              <w:t>30-01</w:t>
            </w:r>
          </w:p>
        </w:tc>
        <w:tc>
          <w:tcPr>
            <w:tcW w:w="1560" w:type="dxa"/>
            <w:tcBorders>
              <w:top w:val="single" w:sz="4" w:space="0" w:color="auto"/>
              <w:left w:val="single" w:sz="4" w:space="0" w:color="auto"/>
            </w:tcBorders>
            <w:shd w:val="clear" w:color="auto" w:fill="auto"/>
          </w:tcPr>
          <w:p w14:paraId="3436AB6E" w14:textId="77777777" w:rsidR="00EC1C40" w:rsidRDefault="00000000">
            <w:pPr>
              <w:pStyle w:val="Jin0"/>
              <w:framePr w:w="9787" w:h="3014" w:wrap="none" w:vAnchor="page" w:hAnchor="page" w:x="877" w:y="8198"/>
              <w:spacing w:after="0"/>
              <w:ind w:firstLine="240"/>
              <w:rPr>
                <w:sz w:val="20"/>
                <w:szCs w:val="20"/>
              </w:rPr>
            </w:pPr>
            <w:r>
              <w:rPr>
                <w:rFonts w:ascii="Arial" w:eastAsia="Arial" w:hAnsi="Arial" w:cs="Arial"/>
                <w:i/>
                <w:iCs/>
                <w:color w:val="3C6AB3"/>
                <w:sz w:val="20"/>
                <w:szCs w:val="20"/>
              </w:rPr>
              <w:t>16S (12S)</w:t>
            </w:r>
          </w:p>
        </w:tc>
        <w:tc>
          <w:tcPr>
            <w:tcW w:w="1416" w:type="dxa"/>
            <w:tcBorders>
              <w:top w:val="single" w:sz="4" w:space="0" w:color="auto"/>
              <w:left w:val="single" w:sz="4" w:space="0" w:color="auto"/>
            </w:tcBorders>
            <w:shd w:val="clear" w:color="auto" w:fill="auto"/>
          </w:tcPr>
          <w:p w14:paraId="305B63DE" w14:textId="77777777" w:rsidR="00EC1C40" w:rsidRDefault="00000000">
            <w:pPr>
              <w:pStyle w:val="Jin0"/>
              <w:framePr w:w="9787" w:h="3014" w:wrap="none" w:vAnchor="page" w:hAnchor="page" w:x="877" w:y="8198"/>
              <w:spacing w:after="0"/>
              <w:ind w:firstLine="420"/>
              <w:rPr>
                <w:sz w:val="20"/>
                <w:szCs w:val="20"/>
              </w:rPr>
            </w:pPr>
            <w:r>
              <w:rPr>
                <w:rFonts w:ascii="Arial" w:eastAsia="Arial" w:hAnsi="Arial" w:cs="Arial"/>
                <w:sz w:val="20"/>
                <w:szCs w:val="20"/>
              </w:rPr>
              <w:t>13S**</w:t>
            </w:r>
          </w:p>
        </w:tc>
        <w:tc>
          <w:tcPr>
            <w:tcW w:w="1526" w:type="dxa"/>
            <w:tcBorders>
              <w:top w:val="single" w:sz="4" w:space="0" w:color="auto"/>
              <w:left w:val="single" w:sz="4" w:space="0" w:color="auto"/>
            </w:tcBorders>
            <w:shd w:val="clear" w:color="auto" w:fill="auto"/>
          </w:tcPr>
          <w:p w14:paraId="3D130B5F" w14:textId="77777777" w:rsidR="00EC1C40" w:rsidRDefault="00000000">
            <w:pPr>
              <w:pStyle w:val="Jin0"/>
              <w:framePr w:w="9787" w:h="3014" w:wrap="none" w:vAnchor="page" w:hAnchor="page" w:x="877" w:y="8198"/>
              <w:spacing w:after="0"/>
              <w:ind w:firstLine="380"/>
              <w:rPr>
                <w:sz w:val="20"/>
                <w:szCs w:val="20"/>
              </w:rPr>
            </w:pPr>
            <w:r>
              <w:rPr>
                <w:rFonts w:ascii="Arial" w:eastAsia="Arial" w:hAnsi="Arial" w:cs="Arial"/>
                <w:i/>
                <w:iCs/>
                <w:color w:val="3C6AB3"/>
                <w:sz w:val="20"/>
                <w:szCs w:val="20"/>
              </w:rPr>
              <w:t>5P (4P)</w:t>
            </w:r>
          </w:p>
        </w:tc>
        <w:tc>
          <w:tcPr>
            <w:tcW w:w="1445" w:type="dxa"/>
            <w:tcBorders>
              <w:top w:val="single" w:sz="4" w:space="0" w:color="auto"/>
              <w:left w:val="single" w:sz="4" w:space="0" w:color="auto"/>
            </w:tcBorders>
            <w:shd w:val="clear" w:color="auto" w:fill="auto"/>
          </w:tcPr>
          <w:p w14:paraId="1EA81F8B" w14:textId="77777777" w:rsidR="00EC1C40" w:rsidRDefault="00000000">
            <w:pPr>
              <w:pStyle w:val="Jin0"/>
              <w:framePr w:w="9787" w:h="3014" w:wrap="none" w:vAnchor="page" w:hAnchor="page" w:x="877" w:y="8198"/>
              <w:spacing w:after="0"/>
              <w:jc w:val="center"/>
              <w:rPr>
                <w:sz w:val="20"/>
                <w:szCs w:val="20"/>
              </w:rPr>
            </w:pPr>
            <w:r>
              <w:rPr>
                <w:rFonts w:ascii="Arial" w:eastAsia="Arial" w:hAnsi="Arial" w:cs="Arial"/>
                <w:sz w:val="20"/>
                <w:szCs w:val="20"/>
              </w:rPr>
              <w:t>9P</w:t>
            </w:r>
          </w:p>
        </w:tc>
        <w:tc>
          <w:tcPr>
            <w:tcW w:w="1421" w:type="dxa"/>
            <w:tcBorders>
              <w:top w:val="single" w:sz="4" w:space="0" w:color="auto"/>
              <w:left w:val="single" w:sz="4" w:space="0" w:color="auto"/>
            </w:tcBorders>
            <w:shd w:val="clear" w:color="auto" w:fill="auto"/>
          </w:tcPr>
          <w:p w14:paraId="32CEDDC8" w14:textId="77777777" w:rsidR="00EC1C40" w:rsidRDefault="00000000">
            <w:pPr>
              <w:pStyle w:val="Jin0"/>
              <w:framePr w:w="9787" w:h="3014" w:wrap="none" w:vAnchor="page" w:hAnchor="page" w:x="877" w:y="8198"/>
              <w:spacing w:after="0"/>
              <w:ind w:firstLine="440"/>
              <w:jc w:val="both"/>
              <w:rPr>
                <w:sz w:val="20"/>
                <w:szCs w:val="20"/>
              </w:rPr>
            </w:pPr>
            <w:r>
              <w:rPr>
                <w:rFonts w:ascii="Arial" w:eastAsia="Arial" w:hAnsi="Arial" w:cs="Arial"/>
                <w:i/>
                <w:iCs/>
                <w:color w:val="3C6AB3"/>
                <w:sz w:val="20"/>
                <w:szCs w:val="20"/>
              </w:rPr>
              <w:t>30 m</w:t>
            </w:r>
          </w:p>
        </w:tc>
        <w:tc>
          <w:tcPr>
            <w:tcW w:w="1282" w:type="dxa"/>
            <w:tcBorders>
              <w:top w:val="single" w:sz="4" w:space="0" w:color="auto"/>
              <w:left w:val="single" w:sz="4" w:space="0" w:color="auto"/>
              <w:right w:val="single" w:sz="4" w:space="0" w:color="auto"/>
            </w:tcBorders>
            <w:shd w:val="clear" w:color="auto" w:fill="auto"/>
          </w:tcPr>
          <w:p w14:paraId="451F03AB" w14:textId="77777777" w:rsidR="00EC1C40" w:rsidRDefault="00000000">
            <w:pPr>
              <w:pStyle w:val="Jin0"/>
              <w:framePr w:w="9787" w:h="3014" w:wrap="none" w:vAnchor="page" w:hAnchor="page" w:x="877" w:y="8198"/>
              <w:spacing w:after="0"/>
              <w:jc w:val="center"/>
              <w:rPr>
                <w:sz w:val="20"/>
                <w:szCs w:val="20"/>
              </w:rPr>
            </w:pPr>
            <w:r>
              <w:rPr>
                <w:rFonts w:ascii="Arial" w:eastAsia="Arial" w:hAnsi="Arial" w:cs="Arial"/>
                <w:sz w:val="20"/>
                <w:szCs w:val="20"/>
              </w:rPr>
              <w:t>31,3 m</w:t>
            </w:r>
          </w:p>
        </w:tc>
      </w:tr>
      <w:tr w:rsidR="00EC1C40" w14:paraId="681FA908" w14:textId="77777777">
        <w:tblPrEx>
          <w:tblCellMar>
            <w:top w:w="0" w:type="dxa"/>
            <w:bottom w:w="0" w:type="dxa"/>
          </w:tblCellMar>
        </w:tblPrEx>
        <w:trPr>
          <w:trHeight w:hRule="exact" w:val="331"/>
        </w:trPr>
        <w:tc>
          <w:tcPr>
            <w:tcW w:w="1138" w:type="dxa"/>
            <w:tcBorders>
              <w:top w:val="single" w:sz="4" w:space="0" w:color="auto"/>
              <w:left w:val="single" w:sz="4" w:space="0" w:color="auto"/>
            </w:tcBorders>
            <w:shd w:val="clear" w:color="auto" w:fill="auto"/>
          </w:tcPr>
          <w:p w14:paraId="15D75D5C" w14:textId="77777777" w:rsidR="00EC1C40" w:rsidRDefault="00000000">
            <w:pPr>
              <w:pStyle w:val="Jin0"/>
              <w:framePr w:w="9787" w:h="3014" w:wrap="none" w:vAnchor="page" w:hAnchor="page" w:x="877" w:y="8198"/>
              <w:spacing w:after="0"/>
              <w:rPr>
                <w:sz w:val="20"/>
                <w:szCs w:val="20"/>
              </w:rPr>
            </w:pPr>
            <w:r>
              <w:rPr>
                <w:rFonts w:ascii="Arial" w:eastAsia="Arial" w:hAnsi="Arial" w:cs="Arial"/>
                <w:b/>
                <w:bCs/>
                <w:sz w:val="20"/>
                <w:szCs w:val="20"/>
              </w:rPr>
              <w:t>19-06</w:t>
            </w:r>
          </w:p>
        </w:tc>
        <w:tc>
          <w:tcPr>
            <w:tcW w:w="1560" w:type="dxa"/>
            <w:vMerge w:val="restart"/>
            <w:tcBorders>
              <w:top w:val="single" w:sz="4" w:space="0" w:color="auto"/>
              <w:left w:val="single" w:sz="4" w:space="0" w:color="auto"/>
            </w:tcBorders>
            <w:shd w:val="clear" w:color="auto" w:fill="auto"/>
            <w:vAlign w:val="center"/>
          </w:tcPr>
          <w:p w14:paraId="02255C9B" w14:textId="77777777" w:rsidR="00EC1C40" w:rsidRDefault="00000000">
            <w:pPr>
              <w:pStyle w:val="Jin0"/>
              <w:framePr w:w="9787" w:h="3014" w:wrap="none" w:vAnchor="page" w:hAnchor="page" w:x="877" w:y="8198"/>
              <w:spacing w:after="0"/>
              <w:ind w:firstLine="240"/>
              <w:rPr>
                <w:sz w:val="20"/>
                <w:szCs w:val="20"/>
              </w:rPr>
            </w:pPr>
            <w:r>
              <w:rPr>
                <w:rFonts w:ascii="Arial" w:eastAsia="Arial" w:hAnsi="Arial" w:cs="Arial"/>
                <w:i/>
                <w:iCs/>
                <w:color w:val="3C6AB3"/>
                <w:sz w:val="20"/>
                <w:szCs w:val="20"/>
              </w:rPr>
              <w:t>17S (13S)*</w:t>
            </w:r>
          </w:p>
        </w:tc>
        <w:tc>
          <w:tcPr>
            <w:tcW w:w="1416" w:type="dxa"/>
            <w:vMerge w:val="restart"/>
            <w:tcBorders>
              <w:top w:val="single" w:sz="4" w:space="0" w:color="auto"/>
              <w:left w:val="single" w:sz="4" w:space="0" w:color="auto"/>
            </w:tcBorders>
            <w:shd w:val="clear" w:color="auto" w:fill="auto"/>
            <w:vAlign w:val="center"/>
          </w:tcPr>
          <w:p w14:paraId="6E5E530A" w14:textId="77777777" w:rsidR="00EC1C40" w:rsidRDefault="00000000">
            <w:pPr>
              <w:pStyle w:val="Jin0"/>
              <w:framePr w:w="9787" w:h="3014" w:wrap="none" w:vAnchor="page" w:hAnchor="page" w:x="877" w:y="8198"/>
              <w:spacing w:after="0"/>
              <w:ind w:firstLine="420"/>
              <w:rPr>
                <w:sz w:val="20"/>
                <w:szCs w:val="20"/>
              </w:rPr>
            </w:pPr>
            <w:r>
              <w:rPr>
                <w:rFonts w:ascii="Arial" w:eastAsia="Arial" w:hAnsi="Arial" w:cs="Arial"/>
                <w:sz w:val="20"/>
                <w:szCs w:val="20"/>
              </w:rPr>
              <w:t>15S**</w:t>
            </w:r>
          </w:p>
        </w:tc>
        <w:tc>
          <w:tcPr>
            <w:tcW w:w="1526" w:type="dxa"/>
            <w:vMerge w:val="restart"/>
            <w:tcBorders>
              <w:top w:val="single" w:sz="4" w:space="0" w:color="auto"/>
              <w:left w:val="single" w:sz="4" w:space="0" w:color="auto"/>
            </w:tcBorders>
            <w:shd w:val="clear" w:color="auto" w:fill="auto"/>
            <w:vAlign w:val="center"/>
          </w:tcPr>
          <w:p w14:paraId="33A49156" w14:textId="77777777" w:rsidR="00EC1C40" w:rsidRDefault="00000000">
            <w:pPr>
              <w:pStyle w:val="Jin0"/>
              <w:framePr w:w="9787" w:h="3014" w:wrap="none" w:vAnchor="page" w:hAnchor="page" w:x="877" w:y="8198"/>
              <w:spacing w:after="0"/>
              <w:jc w:val="center"/>
              <w:rPr>
                <w:sz w:val="20"/>
                <w:szCs w:val="20"/>
              </w:rPr>
            </w:pPr>
            <w:r>
              <w:rPr>
                <w:rFonts w:ascii="Arial" w:eastAsia="Arial" w:hAnsi="Arial" w:cs="Arial"/>
                <w:i/>
                <w:iCs/>
                <w:color w:val="3C6AB3"/>
                <w:sz w:val="20"/>
                <w:szCs w:val="20"/>
              </w:rPr>
              <w:t>10P (8P)*</w:t>
            </w:r>
          </w:p>
        </w:tc>
        <w:tc>
          <w:tcPr>
            <w:tcW w:w="1445" w:type="dxa"/>
            <w:vMerge w:val="restart"/>
            <w:tcBorders>
              <w:top w:val="single" w:sz="4" w:space="0" w:color="auto"/>
              <w:left w:val="single" w:sz="4" w:space="0" w:color="auto"/>
            </w:tcBorders>
            <w:shd w:val="clear" w:color="auto" w:fill="auto"/>
            <w:vAlign w:val="center"/>
          </w:tcPr>
          <w:p w14:paraId="4B684D9C" w14:textId="77777777" w:rsidR="00EC1C40" w:rsidRDefault="00000000">
            <w:pPr>
              <w:pStyle w:val="Jin0"/>
              <w:framePr w:w="9787" w:h="3014" w:wrap="none" w:vAnchor="page" w:hAnchor="page" w:x="877" w:y="8198"/>
              <w:spacing w:after="0"/>
              <w:jc w:val="center"/>
              <w:rPr>
                <w:sz w:val="20"/>
                <w:szCs w:val="20"/>
              </w:rPr>
            </w:pPr>
            <w:r>
              <w:rPr>
                <w:rFonts w:ascii="Arial" w:eastAsia="Arial" w:hAnsi="Arial" w:cs="Arial"/>
                <w:sz w:val="20"/>
                <w:szCs w:val="20"/>
              </w:rPr>
              <w:t>8P**</w:t>
            </w:r>
          </w:p>
        </w:tc>
        <w:tc>
          <w:tcPr>
            <w:tcW w:w="1421" w:type="dxa"/>
            <w:tcBorders>
              <w:top w:val="single" w:sz="4" w:space="0" w:color="auto"/>
              <w:left w:val="single" w:sz="4" w:space="0" w:color="auto"/>
            </w:tcBorders>
            <w:shd w:val="clear" w:color="auto" w:fill="auto"/>
          </w:tcPr>
          <w:p w14:paraId="7B762A71" w14:textId="77777777" w:rsidR="00EC1C40" w:rsidRDefault="00000000">
            <w:pPr>
              <w:pStyle w:val="Jin0"/>
              <w:framePr w:w="9787" w:h="3014" w:wrap="none" w:vAnchor="page" w:hAnchor="page" w:x="877" w:y="8198"/>
              <w:spacing w:after="0"/>
              <w:ind w:firstLine="440"/>
              <w:jc w:val="both"/>
              <w:rPr>
                <w:sz w:val="20"/>
                <w:szCs w:val="20"/>
              </w:rPr>
            </w:pPr>
            <w:r>
              <w:rPr>
                <w:rFonts w:ascii="Arial" w:eastAsia="Arial" w:hAnsi="Arial" w:cs="Arial"/>
                <w:i/>
                <w:iCs/>
                <w:color w:val="3C6AB3"/>
                <w:sz w:val="20"/>
                <w:szCs w:val="20"/>
              </w:rPr>
              <w:t>19 m</w:t>
            </w:r>
          </w:p>
        </w:tc>
        <w:tc>
          <w:tcPr>
            <w:tcW w:w="1282" w:type="dxa"/>
            <w:tcBorders>
              <w:top w:val="single" w:sz="4" w:space="0" w:color="auto"/>
              <w:left w:val="single" w:sz="4" w:space="0" w:color="auto"/>
              <w:right w:val="single" w:sz="4" w:space="0" w:color="auto"/>
            </w:tcBorders>
            <w:shd w:val="clear" w:color="auto" w:fill="auto"/>
          </w:tcPr>
          <w:p w14:paraId="7F4729E8" w14:textId="77777777" w:rsidR="00EC1C40" w:rsidRDefault="00000000">
            <w:pPr>
              <w:pStyle w:val="Jin0"/>
              <w:framePr w:w="9787" w:h="3014" w:wrap="none" w:vAnchor="page" w:hAnchor="page" w:x="877" w:y="8198"/>
              <w:spacing w:after="0"/>
              <w:jc w:val="center"/>
              <w:rPr>
                <w:sz w:val="20"/>
                <w:szCs w:val="20"/>
              </w:rPr>
            </w:pPr>
            <w:r>
              <w:rPr>
                <w:rFonts w:ascii="Arial" w:eastAsia="Arial" w:hAnsi="Arial" w:cs="Arial"/>
                <w:sz w:val="20"/>
                <w:szCs w:val="20"/>
              </w:rPr>
              <w:t>21 m</w:t>
            </w:r>
          </w:p>
        </w:tc>
      </w:tr>
      <w:tr w:rsidR="00EC1C40" w14:paraId="508BE5F3" w14:textId="77777777">
        <w:tblPrEx>
          <w:tblCellMar>
            <w:top w:w="0" w:type="dxa"/>
            <w:bottom w:w="0" w:type="dxa"/>
          </w:tblCellMar>
        </w:tblPrEx>
        <w:trPr>
          <w:trHeight w:hRule="exact" w:val="336"/>
        </w:trPr>
        <w:tc>
          <w:tcPr>
            <w:tcW w:w="1138" w:type="dxa"/>
            <w:tcBorders>
              <w:top w:val="single" w:sz="4" w:space="0" w:color="auto"/>
              <w:left w:val="single" w:sz="4" w:space="0" w:color="auto"/>
            </w:tcBorders>
            <w:shd w:val="clear" w:color="auto" w:fill="auto"/>
          </w:tcPr>
          <w:p w14:paraId="21A48C92" w14:textId="77777777" w:rsidR="00EC1C40" w:rsidRDefault="00000000">
            <w:pPr>
              <w:pStyle w:val="Jin0"/>
              <w:framePr w:w="9787" w:h="3014" w:wrap="none" w:vAnchor="page" w:hAnchor="page" w:x="877" w:y="8198"/>
              <w:spacing w:after="0"/>
              <w:rPr>
                <w:sz w:val="20"/>
                <w:szCs w:val="20"/>
              </w:rPr>
            </w:pPr>
            <w:r>
              <w:rPr>
                <w:rFonts w:ascii="Arial" w:eastAsia="Arial" w:hAnsi="Arial" w:cs="Arial"/>
                <w:b/>
                <w:bCs/>
                <w:sz w:val="20"/>
                <w:szCs w:val="20"/>
              </w:rPr>
              <w:t>19-07</w:t>
            </w:r>
          </w:p>
        </w:tc>
        <w:tc>
          <w:tcPr>
            <w:tcW w:w="1560" w:type="dxa"/>
            <w:vMerge/>
            <w:tcBorders>
              <w:left w:val="single" w:sz="4" w:space="0" w:color="auto"/>
            </w:tcBorders>
            <w:shd w:val="clear" w:color="auto" w:fill="auto"/>
            <w:vAlign w:val="center"/>
          </w:tcPr>
          <w:p w14:paraId="40B18FC3" w14:textId="77777777" w:rsidR="00EC1C40" w:rsidRDefault="00EC1C40">
            <w:pPr>
              <w:framePr w:w="9787" w:h="3014" w:wrap="none" w:vAnchor="page" w:hAnchor="page" w:x="877" w:y="8198"/>
            </w:pPr>
          </w:p>
        </w:tc>
        <w:tc>
          <w:tcPr>
            <w:tcW w:w="1416" w:type="dxa"/>
            <w:vMerge/>
            <w:tcBorders>
              <w:left w:val="single" w:sz="4" w:space="0" w:color="auto"/>
            </w:tcBorders>
            <w:shd w:val="clear" w:color="auto" w:fill="auto"/>
            <w:vAlign w:val="center"/>
          </w:tcPr>
          <w:p w14:paraId="76E4F3B1" w14:textId="77777777" w:rsidR="00EC1C40" w:rsidRDefault="00EC1C40">
            <w:pPr>
              <w:framePr w:w="9787" w:h="3014" w:wrap="none" w:vAnchor="page" w:hAnchor="page" w:x="877" w:y="8198"/>
            </w:pPr>
          </w:p>
        </w:tc>
        <w:tc>
          <w:tcPr>
            <w:tcW w:w="1526" w:type="dxa"/>
            <w:vMerge/>
            <w:tcBorders>
              <w:left w:val="single" w:sz="4" w:space="0" w:color="auto"/>
            </w:tcBorders>
            <w:shd w:val="clear" w:color="auto" w:fill="auto"/>
            <w:vAlign w:val="center"/>
          </w:tcPr>
          <w:p w14:paraId="4865D4EC" w14:textId="77777777" w:rsidR="00EC1C40" w:rsidRDefault="00EC1C40">
            <w:pPr>
              <w:framePr w:w="9787" w:h="3014" w:wrap="none" w:vAnchor="page" w:hAnchor="page" w:x="877" w:y="8198"/>
            </w:pPr>
          </w:p>
        </w:tc>
        <w:tc>
          <w:tcPr>
            <w:tcW w:w="1445" w:type="dxa"/>
            <w:vMerge/>
            <w:tcBorders>
              <w:left w:val="single" w:sz="4" w:space="0" w:color="auto"/>
            </w:tcBorders>
            <w:shd w:val="clear" w:color="auto" w:fill="auto"/>
            <w:vAlign w:val="center"/>
          </w:tcPr>
          <w:p w14:paraId="05A632E3" w14:textId="77777777" w:rsidR="00EC1C40" w:rsidRDefault="00EC1C40">
            <w:pPr>
              <w:framePr w:w="9787" w:h="3014" w:wrap="none" w:vAnchor="page" w:hAnchor="page" w:x="877" w:y="8198"/>
            </w:pPr>
          </w:p>
        </w:tc>
        <w:tc>
          <w:tcPr>
            <w:tcW w:w="1421" w:type="dxa"/>
            <w:tcBorders>
              <w:top w:val="single" w:sz="4" w:space="0" w:color="auto"/>
              <w:left w:val="single" w:sz="4" w:space="0" w:color="auto"/>
            </w:tcBorders>
            <w:shd w:val="clear" w:color="auto" w:fill="auto"/>
          </w:tcPr>
          <w:p w14:paraId="53FAD713" w14:textId="77777777" w:rsidR="00EC1C40" w:rsidRDefault="00000000">
            <w:pPr>
              <w:pStyle w:val="Jin0"/>
              <w:framePr w:w="9787" w:h="3014" w:wrap="none" w:vAnchor="page" w:hAnchor="page" w:x="877" w:y="8198"/>
              <w:spacing w:after="0"/>
              <w:ind w:firstLine="440"/>
              <w:jc w:val="both"/>
              <w:rPr>
                <w:sz w:val="20"/>
                <w:szCs w:val="20"/>
              </w:rPr>
            </w:pPr>
            <w:r>
              <w:rPr>
                <w:rFonts w:ascii="Arial" w:eastAsia="Arial" w:hAnsi="Arial" w:cs="Arial"/>
                <w:i/>
                <w:iCs/>
                <w:color w:val="3C6AB3"/>
                <w:sz w:val="20"/>
                <w:szCs w:val="20"/>
              </w:rPr>
              <w:t>19 m</w:t>
            </w:r>
          </w:p>
        </w:tc>
        <w:tc>
          <w:tcPr>
            <w:tcW w:w="1282" w:type="dxa"/>
            <w:tcBorders>
              <w:top w:val="single" w:sz="4" w:space="0" w:color="auto"/>
              <w:left w:val="single" w:sz="4" w:space="0" w:color="auto"/>
              <w:right w:val="single" w:sz="4" w:space="0" w:color="auto"/>
            </w:tcBorders>
            <w:shd w:val="clear" w:color="auto" w:fill="auto"/>
          </w:tcPr>
          <w:p w14:paraId="5919DEF9" w14:textId="77777777" w:rsidR="00EC1C40" w:rsidRDefault="00000000">
            <w:pPr>
              <w:pStyle w:val="Jin0"/>
              <w:framePr w:w="9787" w:h="3014" w:wrap="none" w:vAnchor="page" w:hAnchor="page" w:x="877" w:y="8198"/>
              <w:spacing w:after="0"/>
              <w:jc w:val="center"/>
              <w:rPr>
                <w:sz w:val="20"/>
                <w:szCs w:val="20"/>
              </w:rPr>
            </w:pPr>
            <w:r>
              <w:rPr>
                <w:rFonts w:ascii="Arial" w:eastAsia="Arial" w:hAnsi="Arial" w:cs="Arial"/>
                <w:sz w:val="20"/>
                <w:szCs w:val="20"/>
              </w:rPr>
              <w:t>21-45 m</w:t>
            </w:r>
          </w:p>
        </w:tc>
      </w:tr>
      <w:tr w:rsidR="00EC1C40" w14:paraId="1B4AB9B0" w14:textId="77777777">
        <w:tblPrEx>
          <w:tblCellMar>
            <w:top w:w="0" w:type="dxa"/>
            <w:bottom w:w="0" w:type="dxa"/>
          </w:tblCellMar>
        </w:tblPrEx>
        <w:trPr>
          <w:trHeight w:hRule="exact" w:val="331"/>
        </w:trPr>
        <w:tc>
          <w:tcPr>
            <w:tcW w:w="1138" w:type="dxa"/>
            <w:tcBorders>
              <w:top w:val="single" w:sz="4" w:space="0" w:color="auto"/>
              <w:left w:val="single" w:sz="4" w:space="0" w:color="auto"/>
            </w:tcBorders>
            <w:shd w:val="clear" w:color="auto" w:fill="auto"/>
          </w:tcPr>
          <w:p w14:paraId="22017FE8" w14:textId="77777777" w:rsidR="00EC1C40" w:rsidRDefault="00000000">
            <w:pPr>
              <w:pStyle w:val="Jin0"/>
              <w:framePr w:w="9787" w:h="3014" w:wrap="none" w:vAnchor="page" w:hAnchor="page" w:x="877" w:y="8198"/>
              <w:spacing w:after="0"/>
              <w:rPr>
                <w:sz w:val="20"/>
                <w:szCs w:val="20"/>
              </w:rPr>
            </w:pPr>
            <w:r>
              <w:rPr>
                <w:rFonts w:ascii="Arial" w:eastAsia="Arial" w:hAnsi="Arial" w:cs="Arial"/>
                <w:b/>
                <w:bCs/>
                <w:sz w:val="20"/>
                <w:szCs w:val="20"/>
              </w:rPr>
              <w:t>24A-10</w:t>
            </w:r>
          </w:p>
        </w:tc>
        <w:tc>
          <w:tcPr>
            <w:tcW w:w="1560" w:type="dxa"/>
            <w:tcBorders>
              <w:top w:val="single" w:sz="4" w:space="0" w:color="auto"/>
              <w:left w:val="single" w:sz="4" w:space="0" w:color="auto"/>
            </w:tcBorders>
            <w:shd w:val="clear" w:color="auto" w:fill="auto"/>
          </w:tcPr>
          <w:p w14:paraId="2E94BEF3" w14:textId="77777777" w:rsidR="00EC1C40" w:rsidRDefault="00000000">
            <w:pPr>
              <w:pStyle w:val="Jin0"/>
              <w:framePr w:w="9787" w:h="3014" w:wrap="none" w:vAnchor="page" w:hAnchor="page" w:x="877" w:y="8198"/>
              <w:spacing w:after="0"/>
              <w:ind w:firstLine="240"/>
              <w:rPr>
                <w:sz w:val="20"/>
                <w:szCs w:val="20"/>
              </w:rPr>
            </w:pPr>
            <w:r>
              <w:rPr>
                <w:rFonts w:ascii="Arial" w:eastAsia="Arial" w:hAnsi="Arial" w:cs="Arial"/>
                <w:i/>
                <w:iCs/>
                <w:color w:val="3C6AB3"/>
                <w:sz w:val="20"/>
                <w:szCs w:val="20"/>
              </w:rPr>
              <w:t>17S (13S)</w:t>
            </w:r>
          </w:p>
        </w:tc>
        <w:tc>
          <w:tcPr>
            <w:tcW w:w="1416" w:type="dxa"/>
            <w:tcBorders>
              <w:top w:val="single" w:sz="4" w:space="0" w:color="auto"/>
              <w:left w:val="single" w:sz="4" w:space="0" w:color="auto"/>
            </w:tcBorders>
            <w:shd w:val="clear" w:color="auto" w:fill="auto"/>
          </w:tcPr>
          <w:p w14:paraId="1B6E37B0" w14:textId="77777777" w:rsidR="00EC1C40" w:rsidRDefault="00000000">
            <w:pPr>
              <w:pStyle w:val="Jin0"/>
              <w:framePr w:w="9787" w:h="3014" w:wrap="none" w:vAnchor="page" w:hAnchor="page" w:x="877" w:y="8198"/>
              <w:spacing w:after="0"/>
              <w:jc w:val="center"/>
              <w:rPr>
                <w:sz w:val="20"/>
                <w:szCs w:val="20"/>
              </w:rPr>
            </w:pPr>
            <w:r>
              <w:rPr>
                <w:rFonts w:ascii="Arial" w:eastAsia="Arial" w:hAnsi="Arial" w:cs="Arial"/>
                <w:sz w:val="20"/>
                <w:szCs w:val="20"/>
              </w:rPr>
              <w:t>20S</w:t>
            </w:r>
          </w:p>
        </w:tc>
        <w:tc>
          <w:tcPr>
            <w:tcW w:w="1526" w:type="dxa"/>
            <w:tcBorders>
              <w:top w:val="single" w:sz="4" w:space="0" w:color="auto"/>
              <w:left w:val="single" w:sz="4" w:space="0" w:color="auto"/>
            </w:tcBorders>
            <w:shd w:val="clear" w:color="auto" w:fill="auto"/>
          </w:tcPr>
          <w:p w14:paraId="6E5B1262" w14:textId="77777777" w:rsidR="00EC1C40" w:rsidRDefault="00000000">
            <w:pPr>
              <w:pStyle w:val="Jin0"/>
              <w:framePr w:w="9787" w:h="3014" w:wrap="none" w:vAnchor="page" w:hAnchor="page" w:x="877" w:y="8198"/>
              <w:spacing w:after="0"/>
              <w:ind w:firstLine="380"/>
              <w:rPr>
                <w:sz w:val="20"/>
                <w:szCs w:val="20"/>
              </w:rPr>
            </w:pPr>
            <w:r>
              <w:rPr>
                <w:rFonts w:ascii="Arial" w:eastAsia="Arial" w:hAnsi="Arial" w:cs="Arial"/>
                <w:i/>
                <w:iCs/>
                <w:color w:val="3C6AB3"/>
                <w:sz w:val="20"/>
                <w:szCs w:val="20"/>
              </w:rPr>
              <w:t>0P (0P)</w:t>
            </w:r>
          </w:p>
        </w:tc>
        <w:tc>
          <w:tcPr>
            <w:tcW w:w="1445" w:type="dxa"/>
            <w:tcBorders>
              <w:top w:val="single" w:sz="4" w:space="0" w:color="auto"/>
              <w:left w:val="single" w:sz="4" w:space="0" w:color="auto"/>
            </w:tcBorders>
            <w:shd w:val="clear" w:color="auto" w:fill="auto"/>
          </w:tcPr>
          <w:p w14:paraId="36DD2354" w14:textId="77777777" w:rsidR="00EC1C40" w:rsidRDefault="00000000">
            <w:pPr>
              <w:pStyle w:val="Jin0"/>
              <w:framePr w:w="9787" w:h="3014" w:wrap="none" w:vAnchor="page" w:hAnchor="page" w:x="877" w:y="8198"/>
              <w:spacing w:after="0"/>
              <w:jc w:val="center"/>
              <w:rPr>
                <w:sz w:val="20"/>
                <w:szCs w:val="20"/>
              </w:rPr>
            </w:pPr>
            <w:r>
              <w:rPr>
                <w:rFonts w:ascii="Arial" w:eastAsia="Arial" w:hAnsi="Arial" w:cs="Arial"/>
                <w:sz w:val="20"/>
                <w:szCs w:val="20"/>
              </w:rPr>
              <w:t>0P</w:t>
            </w:r>
          </w:p>
        </w:tc>
        <w:tc>
          <w:tcPr>
            <w:tcW w:w="1421" w:type="dxa"/>
            <w:tcBorders>
              <w:top w:val="single" w:sz="4" w:space="0" w:color="auto"/>
              <w:left w:val="single" w:sz="4" w:space="0" w:color="auto"/>
            </w:tcBorders>
            <w:shd w:val="clear" w:color="auto" w:fill="auto"/>
          </w:tcPr>
          <w:p w14:paraId="5CA10C61" w14:textId="77777777" w:rsidR="00EC1C40" w:rsidRDefault="00000000">
            <w:pPr>
              <w:pStyle w:val="Jin0"/>
              <w:framePr w:w="9787" w:h="3014" w:wrap="none" w:vAnchor="page" w:hAnchor="page" w:x="877" w:y="8198"/>
              <w:spacing w:after="0"/>
              <w:ind w:firstLine="440"/>
              <w:jc w:val="both"/>
              <w:rPr>
                <w:sz w:val="20"/>
                <w:szCs w:val="20"/>
              </w:rPr>
            </w:pPr>
            <w:r>
              <w:rPr>
                <w:rFonts w:ascii="Arial" w:eastAsia="Arial" w:hAnsi="Arial" w:cs="Arial"/>
                <w:i/>
                <w:iCs/>
                <w:color w:val="3C6AB3"/>
                <w:sz w:val="20"/>
                <w:szCs w:val="20"/>
              </w:rPr>
              <w:t>24 m</w:t>
            </w:r>
          </w:p>
        </w:tc>
        <w:tc>
          <w:tcPr>
            <w:tcW w:w="1282" w:type="dxa"/>
            <w:tcBorders>
              <w:top w:val="single" w:sz="4" w:space="0" w:color="auto"/>
              <w:left w:val="single" w:sz="4" w:space="0" w:color="auto"/>
              <w:right w:val="single" w:sz="4" w:space="0" w:color="auto"/>
            </w:tcBorders>
            <w:shd w:val="clear" w:color="auto" w:fill="auto"/>
          </w:tcPr>
          <w:p w14:paraId="2964CE4A" w14:textId="77777777" w:rsidR="00EC1C40" w:rsidRDefault="00000000">
            <w:pPr>
              <w:pStyle w:val="Jin0"/>
              <w:framePr w:w="9787" w:h="3014" w:wrap="none" w:vAnchor="page" w:hAnchor="page" w:x="877" w:y="8198"/>
              <w:spacing w:after="0"/>
              <w:jc w:val="center"/>
              <w:rPr>
                <w:sz w:val="20"/>
                <w:szCs w:val="20"/>
              </w:rPr>
            </w:pPr>
            <w:r>
              <w:rPr>
                <w:rFonts w:ascii="Arial" w:eastAsia="Arial" w:hAnsi="Arial" w:cs="Arial"/>
                <w:sz w:val="20"/>
                <w:szCs w:val="20"/>
              </w:rPr>
              <w:t>27-33 m</w:t>
            </w:r>
          </w:p>
        </w:tc>
      </w:tr>
      <w:tr w:rsidR="00EC1C40" w14:paraId="4E91C132" w14:textId="77777777">
        <w:tblPrEx>
          <w:tblCellMar>
            <w:top w:w="0" w:type="dxa"/>
            <w:bottom w:w="0" w:type="dxa"/>
          </w:tblCellMar>
        </w:tblPrEx>
        <w:trPr>
          <w:trHeight w:hRule="exact" w:val="341"/>
        </w:trPr>
        <w:tc>
          <w:tcPr>
            <w:tcW w:w="1138" w:type="dxa"/>
            <w:tcBorders>
              <w:top w:val="single" w:sz="4" w:space="0" w:color="auto"/>
              <w:left w:val="single" w:sz="4" w:space="0" w:color="auto"/>
              <w:bottom w:val="single" w:sz="4" w:space="0" w:color="auto"/>
            </w:tcBorders>
            <w:shd w:val="clear" w:color="auto" w:fill="auto"/>
          </w:tcPr>
          <w:p w14:paraId="1CC24F62" w14:textId="77777777" w:rsidR="00EC1C40" w:rsidRDefault="00000000">
            <w:pPr>
              <w:pStyle w:val="Jin0"/>
              <w:framePr w:w="9787" w:h="3014" w:wrap="none" w:vAnchor="page" w:hAnchor="page" w:x="877" w:y="8198"/>
              <w:spacing w:after="0"/>
              <w:rPr>
                <w:sz w:val="20"/>
                <w:szCs w:val="20"/>
              </w:rPr>
            </w:pPr>
            <w:r>
              <w:rPr>
                <w:rFonts w:ascii="Arial" w:eastAsia="Arial" w:hAnsi="Arial" w:cs="Arial"/>
                <w:b/>
                <w:bCs/>
                <w:sz w:val="20"/>
                <w:szCs w:val="20"/>
              </w:rPr>
              <w:t>24A-11</w:t>
            </w:r>
          </w:p>
        </w:tc>
        <w:tc>
          <w:tcPr>
            <w:tcW w:w="1560" w:type="dxa"/>
            <w:tcBorders>
              <w:top w:val="single" w:sz="4" w:space="0" w:color="auto"/>
              <w:left w:val="single" w:sz="4" w:space="0" w:color="auto"/>
              <w:bottom w:val="single" w:sz="4" w:space="0" w:color="auto"/>
            </w:tcBorders>
            <w:shd w:val="clear" w:color="auto" w:fill="auto"/>
          </w:tcPr>
          <w:p w14:paraId="656C3026" w14:textId="77777777" w:rsidR="00EC1C40" w:rsidRDefault="00000000">
            <w:pPr>
              <w:pStyle w:val="Jin0"/>
              <w:framePr w:w="9787" w:h="3014" w:wrap="none" w:vAnchor="page" w:hAnchor="page" w:x="877" w:y="8198"/>
              <w:spacing w:after="0"/>
              <w:ind w:firstLine="240"/>
              <w:rPr>
                <w:sz w:val="20"/>
                <w:szCs w:val="20"/>
              </w:rPr>
            </w:pPr>
            <w:r>
              <w:rPr>
                <w:rFonts w:ascii="Arial" w:eastAsia="Arial" w:hAnsi="Arial" w:cs="Arial"/>
                <w:i/>
                <w:iCs/>
                <w:color w:val="3C6AB3"/>
                <w:sz w:val="20"/>
                <w:szCs w:val="20"/>
              </w:rPr>
              <w:t>34S (26S)</w:t>
            </w:r>
          </w:p>
        </w:tc>
        <w:tc>
          <w:tcPr>
            <w:tcW w:w="1416" w:type="dxa"/>
            <w:tcBorders>
              <w:top w:val="single" w:sz="4" w:space="0" w:color="auto"/>
              <w:left w:val="single" w:sz="4" w:space="0" w:color="auto"/>
              <w:bottom w:val="single" w:sz="4" w:space="0" w:color="auto"/>
            </w:tcBorders>
            <w:shd w:val="clear" w:color="auto" w:fill="auto"/>
          </w:tcPr>
          <w:p w14:paraId="028021F0" w14:textId="77777777" w:rsidR="00EC1C40" w:rsidRDefault="00000000">
            <w:pPr>
              <w:pStyle w:val="Jin0"/>
              <w:framePr w:w="9787" w:h="3014" w:wrap="none" w:vAnchor="page" w:hAnchor="page" w:x="877" w:y="8198"/>
              <w:spacing w:after="0"/>
              <w:jc w:val="center"/>
              <w:rPr>
                <w:sz w:val="20"/>
                <w:szCs w:val="20"/>
              </w:rPr>
            </w:pPr>
            <w:r>
              <w:rPr>
                <w:rFonts w:ascii="Arial" w:eastAsia="Arial" w:hAnsi="Arial" w:cs="Arial"/>
                <w:sz w:val="20"/>
                <w:szCs w:val="20"/>
              </w:rPr>
              <w:t>37S</w:t>
            </w:r>
          </w:p>
        </w:tc>
        <w:tc>
          <w:tcPr>
            <w:tcW w:w="1526" w:type="dxa"/>
            <w:tcBorders>
              <w:top w:val="single" w:sz="4" w:space="0" w:color="auto"/>
              <w:left w:val="single" w:sz="4" w:space="0" w:color="auto"/>
              <w:bottom w:val="single" w:sz="4" w:space="0" w:color="auto"/>
            </w:tcBorders>
            <w:shd w:val="clear" w:color="auto" w:fill="auto"/>
          </w:tcPr>
          <w:p w14:paraId="08A29888" w14:textId="77777777" w:rsidR="00EC1C40" w:rsidRDefault="00000000">
            <w:pPr>
              <w:pStyle w:val="Jin0"/>
              <w:framePr w:w="9787" w:h="3014" w:wrap="none" w:vAnchor="page" w:hAnchor="page" w:x="877" w:y="8198"/>
              <w:spacing w:after="0"/>
              <w:ind w:firstLine="380"/>
              <w:rPr>
                <w:sz w:val="20"/>
                <w:szCs w:val="20"/>
              </w:rPr>
            </w:pPr>
            <w:r>
              <w:rPr>
                <w:rFonts w:ascii="Arial" w:eastAsia="Arial" w:hAnsi="Arial" w:cs="Arial"/>
                <w:i/>
                <w:iCs/>
                <w:color w:val="3C6AB3"/>
                <w:sz w:val="20"/>
                <w:szCs w:val="20"/>
              </w:rPr>
              <w:t>0P (0P)</w:t>
            </w:r>
          </w:p>
        </w:tc>
        <w:tc>
          <w:tcPr>
            <w:tcW w:w="1445" w:type="dxa"/>
            <w:tcBorders>
              <w:top w:val="single" w:sz="4" w:space="0" w:color="auto"/>
              <w:left w:val="single" w:sz="4" w:space="0" w:color="auto"/>
              <w:bottom w:val="single" w:sz="4" w:space="0" w:color="auto"/>
            </w:tcBorders>
            <w:shd w:val="clear" w:color="auto" w:fill="auto"/>
          </w:tcPr>
          <w:p w14:paraId="60C2508E" w14:textId="77777777" w:rsidR="00EC1C40" w:rsidRDefault="00000000">
            <w:pPr>
              <w:pStyle w:val="Jin0"/>
              <w:framePr w:w="9787" w:h="3014" w:wrap="none" w:vAnchor="page" w:hAnchor="page" w:x="877" w:y="8198"/>
              <w:spacing w:after="0"/>
              <w:jc w:val="center"/>
              <w:rPr>
                <w:sz w:val="20"/>
                <w:szCs w:val="20"/>
              </w:rPr>
            </w:pPr>
            <w:r>
              <w:rPr>
                <w:rFonts w:ascii="Arial" w:eastAsia="Arial" w:hAnsi="Arial" w:cs="Arial"/>
                <w:sz w:val="20"/>
                <w:szCs w:val="20"/>
              </w:rPr>
              <w:t>0P</w:t>
            </w:r>
          </w:p>
        </w:tc>
        <w:tc>
          <w:tcPr>
            <w:tcW w:w="1421" w:type="dxa"/>
            <w:tcBorders>
              <w:top w:val="single" w:sz="4" w:space="0" w:color="auto"/>
              <w:left w:val="single" w:sz="4" w:space="0" w:color="auto"/>
              <w:bottom w:val="single" w:sz="4" w:space="0" w:color="auto"/>
            </w:tcBorders>
            <w:shd w:val="clear" w:color="auto" w:fill="auto"/>
          </w:tcPr>
          <w:p w14:paraId="19993C6F" w14:textId="77777777" w:rsidR="00EC1C40" w:rsidRDefault="00000000">
            <w:pPr>
              <w:pStyle w:val="Jin0"/>
              <w:framePr w:w="9787" w:h="3014" w:wrap="none" w:vAnchor="page" w:hAnchor="page" w:x="877" w:y="8198"/>
              <w:spacing w:after="0"/>
              <w:ind w:firstLine="440"/>
              <w:jc w:val="both"/>
              <w:rPr>
                <w:sz w:val="20"/>
                <w:szCs w:val="20"/>
              </w:rPr>
            </w:pPr>
            <w:r>
              <w:rPr>
                <w:rFonts w:ascii="Arial" w:eastAsia="Arial" w:hAnsi="Arial" w:cs="Arial"/>
                <w:i/>
                <w:iCs/>
                <w:color w:val="3C6AB3"/>
                <w:sz w:val="20"/>
                <w:szCs w:val="20"/>
              </w:rPr>
              <w:t>24 m</w:t>
            </w:r>
          </w:p>
        </w:tc>
        <w:tc>
          <w:tcPr>
            <w:tcW w:w="1282" w:type="dxa"/>
            <w:tcBorders>
              <w:top w:val="single" w:sz="4" w:space="0" w:color="auto"/>
              <w:left w:val="single" w:sz="4" w:space="0" w:color="auto"/>
              <w:bottom w:val="single" w:sz="4" w:space="0" w:color="auto"/>
              <w:right w:val="single" w:sz="4" w:space="0" w:color="auto"/>
            </w:tcBorders>
            <w:shd w:val="clear" w:color="auto" w:fill="auto"/>
          </w:tcPr>
          <w:p w14:paraId="26B02540" w14:textId="77777777" w:rsidR="00EC1C40" w:rsidRDefault="00000000">
            <w:pPr>
              <w:pStyle w:val="Jin0"/>
              <w:framePr w:w="9787" w:h="3014" w:wrap="none" w:vAnchor="page" w:hAnchor="page" w:x="877" w:y="8198"/>
              <w:spacing w:after="0"/>
              <w:jc w:val="center"/>
              <w:rPr>
                <w:sz w:val="20"/>
                <w:szCs w:val="20"/>
              </w:rPr>
            </w:pPr>
            <w:r>
              <w:rPr>
                <w:rFonts w:ascii="Arial" w:eastAsia="Arial" w:hAnsi="Arial" w:cs="Arial"/>
                <w:sz w:val="20"/>
                <w:szCs w:val="20"/>
              </w:rPr>
              <w:t>36,4 m</w:t>
            </w:r>
          </w:p>
        </w:tc>
      </w:tr>
    </w:tbl>
    <w:p w14:paraId="48AD76CD" w14:textId="77777777" w:rsidR="00EC1C40" w:rsidRDefault="00000000">
      <w:pPr>
        <w:pStyle w:val="Poznmkapodarou0"/>
        <w:framePr w:w="10368" w:h="1613" w:hRule="exact" w:wrap="none" w:vAnchor="page" w:hAnchor="page" w:x="868" w:y="11798"/>
        <w:spacing w:after="120" w:line="336" w:lineRule="auto"/>
        <w:ind w:left="0" w:firstLine="0"/>
        <w:jc w:val="both"/>
        <w:rPr>
          <w:sz w:val="20"/>
          <w:szCs w:val="20"/>
        </w:rPr>
      </w:pPr>
      <w:r>
        <w:rPr>
          <w:rFonts w:ascii="Arial" w:eastAsia="Arial" w:hAnsi="Arial" w:cs="Arial"/>
          <w:sz w:val="20"/>
          <w:szCs w:val="20"/>
        </w:rPr>
        <w:t>* profily 19-06 a 19-07 se na počty stromů a počty parkovacích stání posuzují dohromady.</w:t>
      </w:r>
    </w:p>
    <w:p w14:paraId="41B375EE" w14:textId="77777777" w:rsidR="00EC1C40" w:rsidRDefault="00000000">
      <w:pPr>
        <w:pStyle w:val="Poznmkapodarou0"/>
        <w:framePr w:w="10368" w:h="1613" w:hRule="exact" w:wrap="none" w:vAnchor="page" w:hAnchor="page" w:x="868" w:y="11798"/>
        <w:spacing w:line="338" w:lineRule="auto"/>
        <w:ind w:left="720" w:firstLine="0"/>
        <w:jc w:val="both"/>
        <w:rPr>
          <w:sz w:val="20"/>
          <w:szCs w:val="20"/>
        </w:rPr>
      </w:pPr>
      <w:r>
        <w:rPr>
          <w:rFonts w:ascii="Arial" w:eastAsia="Arial" w:hAnsi="Arial" w:cs="Arial"/>
          <w:sz w:val="20"/>
          <w:szCs w:val="20"/>
        </w:rPr>
        <w:t>Odůvodnění: Do uličního profilu 19-06 není vhodné umísťovat parkovací stání kvůli bezpečnosti a plynulosti dopravy. Vzdálenost okružní křižovatky a křižovatky s vjezdem k showroomu (pozice vychází z ÚS) je příliš krátká. Do západní části profilu 19-06 není vhodné umisťovat stromy kvůli rozhledovým úhlům.</w:t>
      </w:r>
    </w:p>
    <w:p w14:paraId="1CC0150A" w14:textId="77777777" w:rsidR="00EC1C40" w:rsidRDefault="00000000">
      <w:pPr>
        <w:pStyle w:val="Poznmkapodarou0"/>
        <w:framePr w:w="10368" w:h="2146" w:hRule="exact" w:wrap="none" w:vAnchor="page" w:hAnchor="page" w:x="868" w:y="13699"/>
        <w:spacing w:after="120" w:line="336" w:lineRule="auto"/>
        <w:ind w:left="0" w:firstLine="0"/>
        <w:rPr>
          <w:sz w:val="20"/>
          <w:szCs w:val="20"/>
        </w:rPr>
      </w:pPr>
      <w:r>
        <w:rPr>
          <w:rFonts w:ascii="Arial" w:eastAsia="Arial" w:hAnsi="Arial" w:cs="Arial"/>
          <w:sz w:val="20"/>
          <w:szCs w:val="20"/>
        </w:rPr>
        <w:t>** byla využita tolerance 25%</w:t>
      </w:r>
    </w:p>
    <w:p w14:paraId="0FF3D17D" w14:textId="77777777" w:rsidR="00EC1C40" w:rsidRDefault="00000000">
      <w:pPr>
        <w:pStyle w:val="Poznmkapodarou0"/>
        <w:framePr w:w="10368" w:h="2146" w:hRule="exact" w:wrap="none" w:vAnchor="page" w:hAnchor="page" w:x="868" w:y="13699"/>
        <w:spacing w:after="120" w:line="336" w:lineRule="auto"/>
        <w:ind w:left="720" w:firstLine="0"/>
        <w:rPr>
          <w:sz w:val="20"/>
          <w:szCs w:val="20"/>
        </w:rPr>
      </w:pPr>
      <w:r>
        <w:rPr>
          <w:rFonts w:ascii="Arial" w:eastAsia="Arial" w:hAnsi="Arial" w:cs="Arial"/>
          <w:sz w:val="20"/>
          <w:szCs w:val="20"/>
        </w:rPr>
        <w:t>Odůvodnění: Tolerance bylo využito pouze v případech, kde nebylo možné umístit větší množství stromů kvůli bezpečnosti dopravy (rozhledové úhly) a kvůli pravidelnému rozmístění stromů v alejích. Počty stromů byly částečně nahrazeny v profilech 24A-10 a 24A-11.</w:t>
      </w:r>
    </w:p>
    <w:p w14:paraId="17B86C5F" w14:textId="77777777" w:rsidR="00EC1C40" w:rsidRDefault="00000000">
      <w:pPr>
        <w:pStyle w:val="Poznmkapodarou0"/>
        <w:framePr w:w="10368" w:h="2146" w:hRule="exact" w:wrap="none" w:vAnchor="page" w:hAnchor="page" w:x="868" w:y="13699"/>
        <w:spacing w:line="336" w:lineRule="auto"/>
        <w:ind w:left="720" w:firstLine="0"/>
        <w:rPr>
          <w:sz w:val="20"/>
          <w:szCs w:val="20"/>
        </w:rPr>
      </w:pPr>
      <w:r>
        <w:rPr>
          <w:rFonts w:ascii="Arial" w:eastAsia="Arial" w:hAnsi="Arial" w:cs="Arial"/>
          <w:b/>
          <w:bCs/>
          <w:sz w:val="20"/>
          <w:szCs w:val="20"/>
        </w:rPr>
        <w:t xml:space="preserve">Závěr: </w:t>
      </w:r>
      <w:r>
        <w:rPr>
          <w:rFonts w:ascii="Arial" w:eastAsia="Arial" w:hAnsi="Arial" w:cs="Arial"/>
          <w:sz w:val="20"/>
          <w:szCs w:val="20"/>
        </w:rPr>
        <w:t>Minimální šířky profilů jsou dodrženy. Počty parkovacích stání jsou dodrženy. Počty stromů jsou dodrženy (v profilech 29C-01, 29A-03, 30-01, 19-06, 19-07 s využitím tolerance).</w:t>
      </w:r>
    </w:p>
    <w:p w14:paraId="192248B0" w14:textId="77777777" w:rsidR="00EC1C40" w:rsidRDefault="00000000">
      <w:pPr>
        <w:pStyle w:val="Zhlavnebozpat0"/>
        <w:framePr w:wrap="none" w:vAnchor="page" w:hAnchor="page" w:x="11101" w:y="15849"/>
        <w:rPr>
          <w:sz w:val="20"/>
          <w:szCs w:val="20"/>
        </w:rPr>
      </w:pPr>
      <w:r>
        <w:rPr>
          <w:rFonts w:ascii="Arial" w:eastAsia="Arial" w:hAnsi="Arial" w:cs="Arial"/>
          <w:color w:val="231E20"/>
          <w:sz w:val="20"/>
          <w:szCs w:val="20"/>
        </w:rPr>
        <w:t>17</w:t>
      </w:r>
    </w:p>
    <w:p w14:paraId="534B490D"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0A3E4BA5" w14:textId="77777777" w:rsidR="00EC1C40" w:rsidRDefault="00EC1C40">
      <w:pPr>
        <w:spacing w:line="1" w:lineRule="exact"/>
      </w:pPr>
    </w:p>
    <w:p w14:paraId="12E8BD34" w14:textId="77777777" w:rsidR="00EC1C40" w:rsidRDefault="00000000">
      <w:pPr>
        <w:pStyle w:val="Zhlavnebozpat0"/>
        <w:framePr w:wrap="none" w:vAnchor="page" w:hAnchor="page" w:x="5154" w:y="1011"/>
        <w:rPr>
          <w:sz w:val="22"/>
          <w:szCs w:val="22"/>
        </w:rPr>
      </w:pPr>
      <w:r>
        <w:rPr>
          <w:rFonts w:ascii="Arial" w:eastAsia="Arial" w:hAnsi="Arial" w:cs="Arial"/>
          <w:sz w:val="22"/>
          <w:szCs w:val="22"/>
        </w:rPr>
        <w:t>Soulad záměru MHAP s Územní studií „Nová Cihelna 2024</w:t>
      </w:r>
    </w:p>
    <w:p w14:paraId="05AF3994" w14:textId="6F60DC8A" w:rsidR="00EC1C40" w:rsidRDefault="00000000">
      <w:pPr>
        <w:pStyle w:val="Zkladntext110"/>
        <w:framePr w:w="10454" w:h="3302" w:hRule="exact" w:wrap="none" w:vAnchor="page" w:hAnchor="page" w:x="825" w:y="1674"/>
        <w:spacing w:line="338" w:lineRule="auto"/>
      </w:pPr>
      <w:r>
        <w:rPr>
          <w:b/>
          <w:bCs/>
        </w:rPr>
        <w:t xml:space="preserve">Plovoucí </w:t>
      </w:r>
      <w:r>
        <w:t>p</w:t>
      </w:r>
      <w:r>
        <w:rPr>
          <w:b/>
          <w:bCs/>
        </w:rPr>
        <w:t xml:space="preserve">oloha </w:t>
      </w:r>
      <w:r>
        <w:t>u</w:t>
      </w:r>
      <w:r>
        <w:rPr>
          <w:b/>
          <w:bCs/>
        </w:rPr>
        <w:t xml:space="preserve">lice </w:t>
      </w:r>
      <w:r>
        <w:t xml:space="preserve">znamená, že její osa může být umístěna kdekoliv v rámci šířky navrženého uličního profilu. Navržený </w:t>
      </w:r>
      <w:r w:rsidR="009F44A2">
        <w:t>uliční profil</w:t>
      </w:r>
      <w:r>
        <w:t xml:space="preserve"> pak bude uspořádán dle příslušného doporučeného vzorového profilu a dle podmínek, jak je uvedeno o odstavec výše.</w:t>
      </w:r>
    </w:p>
    <w:p w14:paraId="2E409365" w14:textId="77777777" w:rsidR="00EC1C40" w:rsidRDefault="00000000">
      <w:pPr>
        <w:pStyle w:val="Zkladntext110"/>
        <w:framePr w:w="10454" w:h="3302" w:hRule="exact" w:wrap="none" w:vAnchor="page" w:hAnchor="page" w:x="825" w:y="1674"/>
        <w:spacing w:line="338" w:lineRule="auto"/>
        <w:ind w:firstLine="720"/>
      </w:pPr>
      <w:r>
        <w:rPr>
          <w:i w:val="0"/>
          <w:iCs w:val="0"/>
          <w:color w:val="231E20"/>
        </w:rPr>
        <w:t>Osy všech ulic jsou navrženy vždy v rámci šířky navrženého profilu.</w:t>
      </w:r>
    </w:p>
    <w:p w14:paraId="7E635F1B" w14:textId="6D5ABD5F" w:rsidR="00EC1C40" w:rsidRDefault="00000000">
      <w:pPr>
        <w:pStyle w:val="Zkladntext110"/>
        <w:framePr w:w="10454" w:h="3302" w:hRule="exact" w:wrap="none" w:vAnchor="page" w:hAnchor="page" w:x="825" w:y="1674"/>
        <w:spacing w:line="338" w:lineRule="auto"/>
      </w:pPr>
      <w:r>
        <w:rPr>
          <w:b/>
          <w:bCs/>
        </w:rPr>
        <w:t xml:space="preserve">Ostatní </w:t>
      </w:r>
      <w:r>
        <w:t>p</w:t>
      </w:r>
      <w:r>
        <w:rPr>
          <w:b/>
          <w:bCs/>
        </w:rPr>
        <w:t xml:space="preserve">odmínky, </w:t>
      </w:r>
      <w:r w:rsidR="009F44A2">
        <w:rPr>
          <w:b/>
          <w:bCs/>
        </w:rPr>
        <w:t>Vypořádávání</w:t>
      </w:r>
      <w:r w:rsidR="009F44A2">
        <w:t xml:space="preserve"> </w:t>
      </w:r>
      <w:r w:rsidR="009F44A2">
        <w:rPr>
          <w:b/>
          <w:bCs/>
        </w:rPr>
        <w:t>připomínek</w:t>
      </w:r>
      <w:r>
        <w:rPr>
          <w:b/>
          <w:bCs/>
        </w:rPr>
        <w:t xml:space="preserve"> </w:t>
      </w:r>
      <w:r>
        <w:t>a p</w:t>
      </w:r>
      <w:r>
        <w:rPr>
          <w:b/>
          <w:bCs/>
        </w:rPr>
        <w:t xml:space="preserve">ožadavky </w:t>
      </w:r>
      <w:r>
        <w:t xml:space="preserve">z </w:t>
      </w:r>
      <w:r>
        <w:rPr>
          <w:b/>
          <w:bCs/>
        </w:rPr>
        <w:t xml:space="preserve">nich </w:t>
      </w:r>
      <w:r>
        <w:t>p</w:t>
      </w:r>
      <w:r>
        <w:rPr>
          <w:b/>
          <w:bCs/>
        </w:rPr>
        <w:t>lynoucí</w:t>
      </w:r>
    </w:p>
    <w:p w14:paraId="454491B5" w14:textId="77777777" w:rsidR="00EC1C40" w:rsidRDefault="00000000">
      <w:pPr>
        <w:pStyle w:val="Zkladntext110"/>
        <w:framePr w:w="10454" w:h="3302" w:hRule="exact" w:wrap="none" w:vAnchor="page" w:hAnchor="page" w:x="825" w:y="1674"/>
        <w:spacing w:after="0" w:line="338" w:lineRule="auto"/>
        <w:ind w:left="720"/>
      </w:pPr>
      <w:r>
        <w:rPr>
          <w:i w:val="0"/>
          <w:iCs w:val="0"/>
          <w:color w:val="231E20"/>
        </w:rPr>
        <w:t>Ostatní podmínky a požadavky se týkají především stanovisek dotčených orgánů a správců sítí.</w:t>
      </w:r>
    </w:p>
    <w:p w14:paraId="7296B32E" w14:textId="77777777" w:rsidR="00EC1C40" w:rsidRDefault="00000000">
      <w:pPr>
        <w:pStyle w:val="Zkladntext110"/>
        <w:framePr w:w="10454" w:h="3302" w:hRule="exact" w:wrap="none" w:vAnchor="page" w:hAnchor="page" w:x="825" w:y="1674"/>
        <w:spacing w:after="0" w:line="338" w:lineRule="auto"/>
        <w:ind w:left="720"/>
      </w:pPr>
      <w:r>
        <w:rPr>
          <w:i w:val="0"/>
          <w:iCs w:val="0"/>
          <w:color w:val="231E20"/>
        </w:rPr>
        <w:t>Podmínky z těchto stanovisek jsou samostatně řešeny a vypořádány v rámci povolovacího procesu EIA, nebo dále v rámci samotného povolení záměru. Komentáře k vypořádání jednotlivých stanovisek a podmínek z nich plynoucí budou přílohou podání žádosti povolení záměru na stavební úřad.</w:t>
      </w:r>
    </w:p>
    <w:p w14:paraId="1A64D12B" w14:textId="77777777" w:rsidR="00EC1C40" w:rsidRDefault="00000000">
      <w:pPr>
        <w:pStyle w:val="Zhlavnebozpat0"/>
        <w:framePr w:wrap="none" w:vAnchor="page" w:hAnchor="page" w:x="11068" w:y="15901"/>
        <w:rPr>
          <w:sz w:val="20"/>
          <w:szCs w:val="20"/>
        </w:rPr>
      </w:pPr>
      <w:r>
        <w:rPr>
          <w:rFonts w:ascii="Arial" w:eastAsia="Arial" w:hAnsi="Arial" w:cs="Arial"/>
          <w:color w:val="231E20"/>
          <w:sz w:val="20"/>
          <w:szCs w:val="20"/>
        </w:rPr>
        <w:t>18</w:t>
      </w:r>
    </w:p>
    <w:p w14:paraId="28B91000"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5EA79E60" w14:textId="77777777" w:rsidR="00EC1C40" w:rsidRDefault="00EC1C40">
      <w:pPr>
        <w:spacing w:line="1" w:lineRule="exact"/>
      </w:pPr>
    </w:p>
    <w:p w14:paraId="5F73A290" w14:textId="77777777" w:rsidR="00EC1C40" w:rsidRDefault="00000000">
      <w:pPr>
        <w:pStyle w:val="Titulekobrzku0"/>
        <w:framePr w:wrap="none" w:vAnchor="page" w:hAnchor="page" w:x="3663" w:y="6611"/>
        <w:ind w:right="19"/>
        <w:jc w:val="both"/>
      </w:pPr>
      <w:r>
        <w:rPr>
          <w:rFonts w:ascii="Calibri" w:eastAsia="Calibri" w:hAnsi="Calibri" w:cs="Calibri"/>
          <w:b w:val="0"/>
          <w:bCs w:val="0"/>
          <w:color w:val="185DAB"/>
        </w:rPr>
        <w:t>—</w:t>
      </w:r>
    </w:p>
    <w:p w14:paraId="72305869" w14:textId="77777777" w:rsidR="00EC1C40" w:rsidRDefault="00000000">
      <w:pPr>
        <w:pStyle w:val="Titulekobrzku0"/>
        <w:framePr w:wrap="none" w:vAnchor="page" w:hAnchor="page" w:x="3845" w:y="7454"/>
        <w:jc w:val="both"/>
      </w:pPr>
      <w:r>
        <w:rPr>
          <w:rFonts w:ascii="Century Gothic" w:eastAsia="Century Gothic" w:hAnsi="Century Gothic" w:cs="Century Gothic"/>
          <w:b w:val="0"/>
          <w:bCs w:val="0"/>
          <w:color w:val="101212"/>
        </w:rPr>
        <w:t>0%</w:t>
      </w:r>
    </w:p>
    <w:p w14:paraId="43BC95C7" w14:textId="77777777" w:rsidR="00EC1C40" w:rsidRDefault="00000000">
      <w:pPr>
        <w:pStyle w:val="Titulekobrzku0"/>
        <w:framePr w:wrap="none" w:vAnchor="page" w:hAnchor="page" w:x="1805" w:y="7974"/>
      </w:pPr>
      <w:r>
        <w:rPr>
          <w:rFonts w:ascii="Century Gothic" w:eastAsia="Century Gothic" w:hAnsi="Century Gothic" w:cs="Century Gothic"/>
          <w:b w:val="0"/>
          <w:bCs w:val="0"/>
          <w:color w:val="010102"/>
        </w:rPr>
        <w:t>HPP: 19500</w:t>
      </w:r>
    </w:p>
    <w:p w14:paraId="34CAC0D8" w14:textId="77777777" w:rsidR="00EC1C40" w:rsidRDefault="00000000">
      <w:pPr>
        <w:pStyle w:val="Titulekobrzku0"/>
        <w:framePr w:wrap="none" w:vAnchor="page" w:hAnchor="page" w:x="1321" w:y="8495"/>
        <w:rPr>
          <w:sz w:val="9"/>
          <w:szCs w:val="9"/>
        </w:rPr>
      </w:pPr>
      <w:r>
        <w:rPr>
          <w:b w:val="0"/>
          <w:bCs w:val="0"/>
          <w:color w:val="010102"/>
          <w:sz w:val="9"/>
          <w:szCs w:val="9"/>
        </w:rPr>
        <w:t>24A-01</w:t>
      </w:r>
    </w:p>
    <w:p w14:paraId="6154F83B" w14:textId="77777777" w:rsidR="00EC1C40" w:rsidRDefault="00000000">
      <w:pPr>
        <w:pStyle w:val="Titulekobrzku0"/>
        <w:framePr w:wrap="none" w:vAnchor="page" w:hAnchor="page" w:x="7210" w:y="8572"/>
        <w:jc w:val="both"/>
      </w:pPr>
      <w:r>
        <w:rPr>
          <w:b w:val="0"/>
          <w:bCs w:val="0"/>
          <w:color w:val="010102"/>
        </w:rPr>
        <w:t>)CHA PRO</w:t>
      </w:r>
    </w:p>
    <w:p w14:paraId="13C3E081" w14:textId="77777777" w:rsidR="00EC1C40" w:rsidRDefault="00000000">
      <w:pPr>
        <w:pStyle w:val="Titulekobrzku0"/>
        <w:framePr w:wrap="none" w:vAnchor="page" w:hAnchor="page" w:x="6452" w:y="9102"/>
      </w:pPr>
      <w:r>
        <w:rPr>
          <w:rFonts w:ascii="Century Gothic" w:eastAsia="Century Gothic" w:hAnsi="Century Gothic" w:cs="Century Gothic"/>
          <w:b w:val="0"/>
          <w:bCs w:val="0"/>
          <w:u w:val="single"/>
        </w:rPr>
        <w:t>HPP:</w:t>
      </w:r>
      <w:r>
        <w:rPr>
          <w:rFonts w:ascii="Century Gothic" w:eastAsia="Century Gothic" w:hAnsi="Century Gothic" w:cs="Century Gothic"/>
          <w:b w:val="0"/>
          <w:bCs w:val="0"/>
          <w:color w:val="334273"/>
          <w:u w:val="single"/>
        </w:rPr>
        <w:t>68400</w:t>
      </w:r>
    </w:p>
    <w:p w14:paraId="5C886C02" w14:textId="77777777" w:rsidR="00EC1C40" w:rsidRDefault="00000000">
      <w:pPr>
        <w:pStyle w:val="Titulekobrzku0"/>
        <w:framePr w:wrap="none" w:vAnchor="page" w:hAnchor="page" w:x="2403" w:y="9854"/>
        <w:ind w:left="7"/>
      </w:pPr>
      <w:r>
        <w:rPr>
          <w:rFonts w:ascii="Century Gothic" w:eastAsia="Century Gothic" w:hAnsi="Century Gothic" w:cs="Century Gothic"/>
          <w:b w:val="0"/>
          <w:bCs w:val="0"/>
          <w:color w:val="010102"/>
        </w:rPr>
        <w:t>: 5000</w:t>
      </w:r>
    </w:p>
    <w:p w14:paraId="78A47CF0" w14:textId="77777777" w:rsidR="00EC1C40" w:rsidRDefault="00000000">
      <w:pPr>
        <w:pStyle w:val="Titulekobrzku0"/>
        <w:framePr w:wrap="none" w:vAnchor="page" w:hAnchor="page" w:x="5396" w:y="10074"/>
      </w:pPr>
      <w:r>
        <w:rPr>
          <w:rFonts w:ascii="Century Gothic" w:eastAsia="Century Gothic" w:hAnsi="Century Gothic" w:cs="Century Gothic"/>
          <w:b w:val="0"/>
          <w:bCs w:val="0"/>
          <w:u w:val="single"/>
        </w:rPr>
        <w:t>HPP: 6365 |</w:t>
      </w:r>
    </w:p>
    <w:p w14:paraId="5959F8D3" w14:textId="77777777" w:rsidR="00EC1C40" w:rsidRDefault="00000000">
      <w:pPr>
        <w:pStyle w:val="Titulekobrzku0"/>
        <w:framePr w:wrap="none" w:vAnchor="page" w:hAnchor="page" w:x="4642" w:y="10295"/>
        <w:rPr>
          <w:sz w:val="9"/>
          <w:szCs w:val="9"/>
        </w:rPr>
      </w:pPr>
      <w:r>
        <w:rPr>
          <w:b w:val="0"/>
          <w:bCs w:val="0"/>
          <w:color w:val="010102"/>
          <w:sz w:val="9"/>
          <w:szCs w:val="9"/>
        </w:rPr>
        <w:t>24C-01</w:t>
      </w:r>
    </w:p>
    <w:p w14:paraId="6BAB9762" w14:textId="77777777" w:rsidR="00EC1C40" w:rsidRDefault="00000000">
      <w:pPr>
        <w:pStyle w:val="Titulekobrzku0"/>
        <w:framePr w:wrap="none" w:vAnchor="page" w:hAnchor="page" w:x="5180" w:y="10497"/>
        <w:rPr>
          <w:sz w:val="9"/>
          <w:szCs w:val="9"/>
        </w:rPr>
      </w:pPr>
      <w:r>
        <w:rPr>
          <w:b w:val="0"/>
          <w:bCs w:val="0"/>
          <w:color w:val="010102"/>
          <w:sz w:val="9"/>
          <w:szCs w:val="9"/>
        </w:rPr>
        <w:t>12-03</w:t>
      </w:r>
    </w:p>
    <w:p w14:paraId="30DB778C" w14:textId="77777777" w:rsidR="00EC1C40" w:rsidRDefault="00000000">
      <w:pPr>
        <w:pStyle w:val="Titulekobrzku0"/>
        <w:framePr w:wrap="none" w:vAnchor="page" w:hAnchor="page" w:x="6269" w:y="10715"/>
        <w:ind w:right="9"/>
        <w:jc w:val="both"/>
      </w:pPr>
      <w:r>
        <w:rPr>
          <w:rFonts w:ascii="Century Gothic" w:eastAsia="Century Gothic" w:hAnsi="Century Gothic" w:cs="Century Gothic"/>
          <w:b w:val="0"/>
          <w:bCs w:val="0"/>
          <w:color w:val="768355"/>
          <w:u w:val="single"/>
        </w:rPr>
        <w:t>HPP:</w:t>
      </w:r>
    </w:p>
    <w:p w14:paraId="6E8613E4" w14:textId="77777777" w:rsidR="00EC1C40" w:rsidRDefault="00000000">
      <w:pPr>
        <w:pStyle w:val="Titulekobrzku0"/>
        <w:framePr w:wrap="none" w:vAnchor="page" w:hAnchor="page" w:x="4563" w:y="10809"/>
        <w:rPr>
          <w:sz w:val="9"/>
          <w:szCs w:val="9"/>
        </w:rPr>
      </w:pPr>
      <w:r>
        <w:rPr>
          <w:b w:val="0"/>
          <w:bCs w:val="0"/>
          <w:color w:val="010102"/>
          <w:sz w:val="9"/>
          <w:szCs w:val="9"/>
          <w:u w:val="single"/>
        </w:rPr>
        <w:t>24C-02</w:t>
      </w:r>
    </w:p>
    <w:p w14:paraId="28B61075" w14:textId="77777777" w:rsidR="00EC1C40" w:rsidRDefault="00000000">
      <w:pPr>
        <w:pStyle w:val="Titulekobrzku0"/>
        <w:framePr w:wrap="none" w:vAnchor="page" w:hAnchor="page" w:x="5309" w:y="10912"/>
      </w:pPr>
      <w:r>
        <w:rPr>
          <w:rFonts w:ascii="Century Gothic" w:eastAsia="Century Gothic" w:hAnsi="Century Gothic" w:cs="Century Gothic"/>
          <w:b w:val="0"/>
          <w:bCs w:val="0"/>
          <w:color w:val="010102"/>
        </w:rPr>
        <w:t>HPP:12395</w:t>
      </w:r>
    </w:p>
    <w:p w14:paraId="6BA23171" w14:textId="77777777" w:rsidR="00EC1C40" w:rsidRDefault="00000000">
      <w:pPr>
        <w:pStyle w:val="Titulekobrzku0"/>
        <w:framePr w:wrap="none" w:vAnchor="page" w:hAnchor="page" w:x="3380" w:y="10943"/>
        <w:rPr>
          <w:sz w:val="9"/>
          <w:szCs w:val="9"/>
        </w:rPr>
      </w:pPr>
      <w:r>
        <w:rPr>
          <w:b w:val="0"/>
          <w:bCs w:val="0"/>
          <w:color w:val="010102"/>
          <w:sz w:val="9"/>
          <w:szCs w:val="9"/>
        </w:rPr>
        <w:t>24A-04</w:t>
      </w:r>
    </w:p>
    <w:p w14:paraId="484FAD31" w14:textId="77777777" w:rsidR="00EC1C40" w:rsidRDefault="00000000">
      <w:pPr>
        <w:pStyle w:val="Titulekobrzku0"/>
        <w:framePr w:wrap="none" w:vAnchor="page" w:hAnchor="page" w:x="5146" w:y="11543"/>
        <w:rPr>
          <w:sz w:val="9"/>
          <w:szCs w:val="9"/>
        </w:rPr>
      </w:pPr>
      <w:r>
        <w:rPr>
          <w:b w:val="0"/>
          <w:bCs w:val="0"/>
          <w:color w:val="010102"/>
          <w:sz w:val="9"/>
          <w:szCs w:val="9"/>
        </w:rPr>
        <w:t>24A-09</w:t>
      </w:r>
    </w:p>
    <w:p w14:paraId="33B4156E" w14:textId="77777777" w:rsidR="00EC1C40" w:rsidRDefault="00000000">
      <w:pPr>
        <w:pStyle w:val="Titulekobrzku0"/>
        <w:framePr w:wrap="none" w:vAnchor="page" w:hAnchor="page" w:x="2765" w:y="11601"/>
        <w:rPr>
          <w:sz w:val="9"/>
          <w:szCs w:val="9"/>
        </w:rPr>
      </w:pPr>
      <w:r>
        <w:rPr>
          <w:b w:val="0"/>
          <w:bCs w:val="0"/>
          <w:color w:val="010102"/>
          <w:sz w:val="9"/>
          <w:szCs w:val="9"/>
        </w:rPr>
        <w:t>19-05</w:t>
      </w:r>
    </w:p>
    <w:p w14:paraId="1EA6F4A1" w14:textId="77777777" w:rsidR="00EC1C40" w:rsidRDefault="00000000">
      <w:pPr>
        <w:pStyle w:val="Titulekobrzku0"/>
        <w:framePr w:w="360" w:h="137" w:hRule="exact" w:wrap="none" w:vAnchor="page" w:hAnchor="page" w:x="5794" w:y="12100"/>
        <w:jc w:val="right"/>
        <w:rPr>
          <w:sz w:val="9"/>
          <w:szCs w:val="9"/>
        </w:rPr>
      </w:pPr>
      <w:r>
        <w:rPr>
          <w:b w:val="0"/>
          <w:bCs w:val="0"/>
          <w:color w:val="010102"/>
          <w:sz w:val="9"/>
          <w:szCs w:val="9"/>
        </w:rPr>
        <w:t>24B-06</w:t>
      </w:r>
    </w:p>
    <w:p w14:paraId="06038BE6" w14:textId="77777777" w:rsidR="00EC1C40" w:rsidRDefault="00000000">
      <w:pPr>
        <w:pStyle w:val="Titulekobrzku0"/>
        <w:framePr w:w="341" w:h="187" w:hRule="exact" w:wrap="none" w:vAnchor="page" w:hAnchor="page" w:x="3601" w:y="6676"/>
      </w:pPr>
      <w:r>
        <w:rPr>
          <w:rFonts w:ascii="Century Gothic" w:eastAsia="Century Gothic" w:hAnsi="Century Gothic" w:cs="Century Gothic"/>
          <w:b w:val="0"/>
          <w:bCs w:val="0"/>
          <w:color w:val="5B8AB9"/>
        </w:rPr>
        <w:t>23 m</w:t>
      </w:r>
    </w:p>
    <w:p w14:paraId="511AAE00" w14:textId="77777777" w:rsidR="00EC1C40" w:rsidRDefault="00000000">
      <w:pPr>
        <w:pStyle w:val="Titulekobrzku0"/>
        <w:framePr w:w="341" w:h="187" w:hRule="exact" w:wrap="none" w:vAnchor="page" w:hAnchor="page" w:x="3601" w:y="6676"/>
        <w:spacing w:line="180" w:lineRule="auto"/>
        <w:jc w:val="center"/>
      </w:pPr>
      <w:r>
        <w:rPr>
          <w:rFonts w:ascii="Century Gothic" w:eastAsia="Century Gothic" w:hAnsi="Century Gothic" w:cs="Century Gothic"/>
          <w:b w:val="0"/>
          <w:bCs w:val="0"/>
          <w:color w:val="010102"/>
        </w:rPr>
        <w:t>100% / 0%</w:t>
      </w:r>
    </w:p>
    <w:p w14:paraId="07921FBA" w14:textId="77777777" w:rsidR="00EC1C40" w:rsidRDefault="00000000">
      <w:pPr>
        <w:pStyle w:val="Titulekobrzku0"/>
        <w:framePr w:w="346" w:h="295" w:hRule="exact" w:wrap="none" w:vAnchor="page" w:hAnchor="page" w:x="1724" w:y="8066"/>
        <w:rPr>
          <w:sz w:val="12"/>
          <w:szCs w:val="12"/>
        </w:rPr>
      </w:pPr>
      <w:r>
        <w:rPr>
          <w:b w:val="0"/>
          <w:bCs w:val="0"/>
          <w:color w:val="185DAB"/>
          <w:sz w:val="12"/>
          <w:szCs w:val="12"/>
        </w:rPr>
        <w:t>6+0</w:t>
      </w:r>
    </w:p>
    <w:p w14:paraId="0BD7E15D" w14:textId="77777777" w:rsidR="00EC1C40" w:rsidRDefault="00000000">
      <w:pPr>
        <w:pStyle w:val="Titulekobrzku0"/>
        <w:framePr w:w="346" w:h="295" w:hRule="exact" w:wrap="none" w:vAnchor="page" w:hAnchor="page" w:x="1724" w:y="8066"/>
        <w:spacing w:line="170" w:lineRule="auto"/>
        <w:jc w:val="center"/>
      </w:pPr>
      <w:r>
        <w:rPr>
          <w:rFonts w:ascii="Century Gothic" w:eastAsia="Century Gothic" w:hAnsi="Century Gothic" w:cs="Century Gothic"/>
          <w:b w:val="0"/>
          <w:bCs w:val="0"/>
          <w:color w:val="5B8AB9"/>
        </w:rPr>
        <w:t>23 m</w:t>
      </w:r>
      <w:r>
        <w:rPr>
          <w:rFonts w:ascii="Century Gothic" w:eastAsia="Century Gothic" w:hAnsi="Century Gothic" w:cs="Century Gothic"/>
          <w:b w:val="0"/>
          <w:bCs w:val="0"/>
          <w:color w:val="5B8AB9"/>
        </w:rPr>
        <w:br/>
      </w:r>
      <w:r>
        <w:rPr>
          <w:rFonts w:ascii="Century Gothic" w:eastAsia="Century Gothic" w:hAnsi="Century Gothic" w:cs="Century Gothic"/>
          <w:b w:val="0"/>
          <w:bCs w:val="0"/>
          <w:color w:val="010102"/>
        </w:rPr>
        <w:t>70% / 30%</w:t>
      </w:r>
    </w:p>
    <w:p w14:paraId="73ED6880" w14:textId="77777777" w:rsidR="00EC1C40" w:rsidRDefault="00000000">
      <w:pPr>
        <w:pStyle w:val="Titulekobrzku0"/>
        <w:framePr w:w="341" w:h="293" w:hRule="exact" w:wrap="none" w:vAnchor="page" w:hAnchor="page" w:x="2194" w:y="9945"/>
        <w:rPr>
          <w:sz w:val="12"/>
          <w:szCs w:val="12"/>
        </w:rPr>
      </w:pPr>
      <w:r>
        <w:rPr>
          <w:b w:val="0"/>
          <w:bCs w:val="0"/>
          <w:color w:val="185DAB"/>
          <w:sz w:val="12"/>
          <w:szCs w:val="12"/>
        </w:rPr>
        <w:t>5+0</w:t>
      </w:r>
    </w:p>
    <w:p w14:paraId="75CEEDC8" w14:textId="77777777" w:rsidR="00EC1C40" w:rsidRDefault="00000000">
      <w:pPr>
        <w:pStyle w:val="Titulekobrzku0"/>
        <w:framePr w:w="341" w:h="293" w:hRule="exact" w:wrap="none" w:vAnchor="page" w:hAnchor="page" w:x="2194" w:y="9945"/>
        <w:spacing w:line="187" w:lineRule="auto"/>
      </w:pPr>
      <w:r>
        <w:rPr>
          <w:rFonts w:ascii="Century Gothic" w:eastAsia="Century Gothic" w:hAnsi="Century Gothic" w:cs="Century Gothic"/>
          <w:b w:val="0"/>
          <w:bCs w:val="0"/>
          <w:color w:val="5B8AB9"/>
        </w:rPr>
        <w:t>14 m</w:t>
      </w:r>
    </w:p>
    <w:p w14:paraId="1E851874" w14:textId="77777777" w:rsidR="00EC1C40" w:rsidRDefault="00000000">
      <w:pPr>
        <w:pStyle w:val="Titulekobrzku0"/>
        <w:framePr w:w="341" w:h="293" w:hRule="exact" w:wrap="none" w:vAnchor="page" w:hAnchor="page" w:x="2194" w:y="9945"/>
        <w:spacing w:line="180" w:lineRule="auto"/>
        <w:jc w:val="center"/>
      </w:pPr>
      <w:r>
        <w:rPr>
          <w:rFonts w:ascii="Century Gothic" w:eastAsia="Century Gothic" w:hAnsi="Century Gothic" w:cs="Century Gothic"/>
          <w:b w:val="0"/>
          <w:bCs w:val="0"/>
          <w:color w:val="010102"/>
        </w:rPr>
        <w:t>70% / 30%</w:t>
      </w:r>
    </w:p>
    <w:p w14:paraId="7307EB49" w14:textId="77777777" w:rsidR="00EC1C40" w:rsidRDefault="00000000">
      <w:pPr>
        <w:pStyle w:val="Titulekobrzku0"/>
        <w:framePr w:w="341" w:h="290" w:hRule="exact" w:wrap="none" w:vAnchor="page" w:hAnchor="page" w:x="5233" w:y="11003"/>
        <w:rPr>
          <w:sz w:val="12"/>
          <w:szCs w:val="12"/>
        </w:rPr>
      </w:pPr>
      <w:r>
        <w:rPr>
          <w:b w:val="0"/>
          <w:bCs w:val="0"/>
          <w:color w:val="185DAB"/>
          <w:sz w:val="12"/>
          <w:szCs w:val="12"/>
        </w:rPr>
        <w:t>6+U</w:t>
      </w:r>
    </w:p>
    <w:p w14:paraId="11DA44DC" w14:textId="77777777" w:rsidR="00EC1C40" w:rsidRDefault="00000000">
      <w:pPr>
        <w:pStyle w:val="Titulekobrzku0"/>
        <w:framePr w:w="341" w:h="290" w:hRule="exact" w:wrap="none" w:vAnchor="page" w:hAnchor="page" w:x="5233" w:y="11003"/>
        <w:spacing w:line="170" w:lineRule="auto"/>
        <w:jc w:val="center"/>
      </w:pPr>
      <w:r>
        <w:rPr>
          <w:rFonts w:ascii="Century Gothic" w:eastAsia="Century Gothic" w:hAnsi="Century Gothic" w:cs="Century Gothic"/>
          <w:b w:val="0"/>
          <w:bCs w:val="0"/>
          <w:color w:val="5B8AB9"/>
        </w:rPr>
        <w:t>23 m</w:t>
      </w:r>
      <w:r>
        <w:rPr>
          <w:rFonts w:ascii="Century Gothic" w:eastAsia="Century Gothic" w:hAnsi="Century Gothic" w:cs="Century Gothic"/>
          <w:b w:val="0"/>
          <w:bCs w:val="0"/>
          <w:color w:val="5B8AB9"/>
        </w:rPr>
        <w:br/>
      </w:r>
      <w:r>
        <w:rPr>
          <w:rFonts w:ascii="Century Gothic" w:eastAsia="Century Gothic" w:hAnsi="Century Gothic" w:cs="Century Gothic"/>
          <w:b w:val="0"/>
          <w:bCs w:val="0"/>
          <w:color w:val="010102"/>
        </w:rPr>
        <w:t>70%/ 30%</w:t>
      </w:r>
    </w:p>
    <w:p w14:paraId="7D9070C7" w14:textId="77777777" w:rsidR="00EC1C40" w:rsidRDefault="00000000">
      <w:pPr>
        <w:pStyle w:val="Titulekobrzku0"/>
        <w:framePr w:w="341" w:h="290" w:hRule="exact" w:wrap="none" w:vAnchor="page" w:hAnchor="page" w:x="5314" w:y="10154"/>
        <w:rPr>
          <w:sz w:val="12"/>
          <w:szCs w:val="12"/>
        </w:rPr>
      </w:pPr>
      <w:r>
        <w:rPr>
          <w:b w:val="0"/>
          <w:bCs w:val="0"/>
          <w:color w:val="185DAB"/>
          <w:sz w:val="12"/>
          <w:szCs w:val="12"/>
        </w:rPr>
        <w:t>6+U</w:t>
      </w:r>
    </w:p>
    <w:p w14:paraId="29437FBA" w14:textId="77777777" w:rsidR="00EC1C40" w:rsidRDefault="00000000">
      <w:pPr>
        <w:pStyle w:val="Titulekobrzku0"/>
        <w:framePr w:w="341" w:h="290" w:hRule="exact" w:wrap="none" w:vAnchor="page" w:hAnchor="page" w:x="5314" w:y="10154"/>
        <w:spacing w:line="166" w:lineRule="auto"/>
        <w:jc w:val="center"/>
      </w:pPr>
      <w:r>
        <w:rPr>
          <w:rFonts w:ascii="Century Gothic" w:eastAsia="Century Gothic" w:hAnsi="Century Gothic" w:cs="Century Gothic"/>
          <w:b w:val="0"/>
          <w:bCs w:val="0"/>
          <w:color w:val="5B8AB9"/>
        </w:rPr>
        <w:t>23 m</w:t>
      </w:r>
      <w:r>
        <w:rPr>
          <w:rFonts w:ascii="Century Gothic" w:eastAsia="Century Gothic" w:hAnsi="Century Gothic" w:cs="Century Gothic"/>
          <w:b w:val="0"/>
          <w:bCs w:val="0"/>
          <w:color w:val="5B8AB9"/>
        </w:rPr>
        <w:br/>
      </w:r>
      <w:r>
        <w:rPr>
          <w:rFonts w:ascii="Century Gothic" w:eastAsia="Century Gothic" w:hAnsi="Century Gothic" w:cs="Century Gothic"/>
          <w:b w:val="0"/>
          <w:bCs w:val="0"/>
          <w:color w:val="010102"/>
        </w:rPr>
        <w:t>70% / 30%</w:t>
      </w:r>
    </w:p>
    <w:p w14:paraId="1D87B8BF" w14:textId="77777777" w:rsidR="00EC1C40" w:rsidRDefault="00000000">
      <w:pPr>
        <w:pStyle w:val="Titulekobrzku0"/>
        <w:framePr w:w="355" w:h="290" w:hRule="exact" w:wrap="none" w:vAnchor="page" w:hAnchor="page" w:x="6365" w:y="9194"/>
        <w:rPr>
          <w:sz w:val="12"/>
          <w:szCs w:val="12"/>
        </w:rPr>
      </w:pPr>
      <w:r>
        <w:rPr>
          <w:b w:val="0"/>
          <w:bCs w:val="0"/>
          <w:color w:val="185DAB"/>
          <w:sz w:val="12"/>
          <w:szCs w:val="12"/>
        </w:rPr>
        <w:t>12+0"</w:t>
      </w:r>
    </w:p>
    <w:p w14:paraId="7AC7375F" w14:textId="77777777" w:rsidR="00EC1C40" w:rsidRDefault="00000000">
      <w:pPr>
        <w:pStyle w:val="Titulekobrzku0"/>
        <w:framePr w:w="355" w:h="290" w:hRule="exact" w:wrap="none" w:vAnchor="page" w:hAnchor="page" w:x="6365" w:y="9194"/>
        <w:spacing w:line="166" w:lineRule="auto"/>
        <w:jc w:val="center"/>
      </w:pPr>
      <w:r>
        <w:rPr>
          <w:rFonts w:ascii="Century Gothic" w:eastAsia="Century Gothic" w:hAnsi="Century Gothic" w:cs="Century Gothic"/>
          <w:b w:val="0"/>
          <w:bCs w:val="0"/>
          <w:color w:val="5B8AB9"/>
        </w:rPr>
        <w:t>40 m</w:t>
      </w:r>
      <w:r>
        <w:rPr>
          <w:rFonts w:ascii="Century Gothic" w:eastAsia="Century Gothic" w:hAnsi="Century Gothic" w:cs="Century Gothic"/>
          <w:b w:val="0"/>
          <w:bCs w:val="0"/>
          <w:color w:val="5B8AB9"/>
        </w:rPr>
        <w:br/>
      </w:r>
      <w:r>
        <w:rPr>
          <w:rFonts w:ascii="Century Gothic" w:eastAsia="Century Gothic" w:hAnsi="Century Gothic" w:cs="Century Gothic"/>
          <w:b w:val="0"/>
          <w:bCs w:val="0"/>
          <w:color w:val="010102"/>
        </w:rPr>
        <w:t>100% / 0%</w:t>
      </w:r>
    </w:p>
    <w:p w14:paraId="47A43C5C" w14:textId="77777777" w:rsidR="00EC1C40" w:rsidRDefault="00000000">
      <w:pPr>
        <w:pStyle w:val="Titulekobrzku0"/>
        <w:framePr w:w="278" w:h="293" w:hRule="exact" w:wrap="none" w:vAnchor="page" w:hAnchor="page" w:x="3509" w:y="7934"/>
        <w:rPr>
          <w:sz w:val="12"/>
          <w:szCs w:val="12"/>
        </w:rPr>
      </w:pPr>
      <w:r>
        <w:rPr>
          <w:b w:val="0"/>
          <w:bCs w:val="0"/>
          <w:color w:val="185DAB"/>
          <w:sz w:val="12"/>
          <w:szCs w:val="12"/>
        </w:rPr>
        <w:t>7+0</w:t>
      </w:r>
    </w:p>
    <w:p w14:paraId="02AC7137" w14:textId="77777777" w:rsidR="00EC1C40" w:rsidRDefault="00000000">
      <w:pPr>
        <w:pStyle w:val="Titulekobrzku0"/>
        <w:framePr w:w="278" w:h="293" w:hRule="exact" w:wrap="none" w:vAnchor="page" w:hAnchor="page" w:x="3509" w:y="7934"/>
        <w:spacing w:line="170" w:lineRule="auto"/>
        <w:ind w:right="19"/>
        <w:jc w:val="center"/>
      </w:pPr>
      <w:r>
        <w:rPr>
          <w:b w:val="0"/>
          <w:bCs w:val="0"/>
          <w:color w:val="4870B6"/>
        </w:rPr>
        <w:t xml:space="preserve">3Q </w:t>
      </w:r>
      <w:r>
        <w:rPr>
          <w:rFonts w:ascii="Century Gothic" w:eastAsia="Century Gothic" w:hAnsi="Century Gothic" w:cs="Century Gothic"/>
          <w:b w:val="0"/>
          <w:bCs w:val="0"/>
          <w:color w:val="4870B6"/>
        </w:rPr>
        <w:t>m</w:t>
      </w:r>
      <w:r>
        <w:rPr>
          <w:rFonts w:ascii="Century Gothic" w:eastAsia="Century Gothic" w:hAnsi="Century Gothic" w:cs="Century Gothic"/>
          <w:b w:val="0"/>
          <w:bCs w:val="0"/>
          <w:color w:val="4870B6"/>
        </w:rPr>
        <w:br/>
      </w:r>
      <w:r>
        <w:rPr>
          <w:rFonts w:ascii="Century Gothic" w:eastAsia="Century Gothic" w:hAnsi="Century Gothic" w:cs="Century Gothic"/>
          <w:b w:val="0"/>
          <w:bCs w:val="0"/>
          <w:color w:val="010102"/>
        </w:rPr>
        <w:t>100% / i</w:t>
      </w:r>
    </w:p>
    <w:p w14:paraId="2C7FEBA7" w14:textId="77777777" w:rsidR="00EC1C40" w:rsidRDefault="00000000">
      <w:pPr>
        <w:pStyle w:val="Titulekobrzku0"/>
        <w:framePr w:w="360" w:h="307" w:hRule="exact" w:wrap="none" w:vAnchor="page" w:hAnchor="page" w:x="6193" w:y="10804"/>
        <w:ind w:left="5"/>
        <w:rPr>
          <w:sz w:val="12"/>
          <w:szCs w:val="12"/>
        </w:rPr>
      </w:pPr>
      <w:r>
        <w:rPr>
          <w:b w:val="0"/>
          <w:bCs w:val="0"/>
          <w:color w:val="77A18D"/>
          <w:sz w:val="12"/>
          <w:szCs w:val="12"/>
        </w:rPr>
        <w:t xml:space="preserve">J5+U </w:t>
      </w:r>
      <w:r>
        <w:rPr>
          <w:b w:val="0"/>
          <w:bCs w:val="0"/>
          <w:color w:val="BA8B5E"/>
          <w:sz w:val="12"/>
          <w:szCs w:val="12"/>
        </w:rPr>
        <w:t>'</w:t>
      </w:r>
    </w:p>
    <w:p w14:paraId="428020A4" w14:textId="77777777" w:rsidR="00EC1C40" w:rsidRDefault="00000000">
      <w:pPr>
        <w:pStyle w:val="Titulekobrzku0"/>
        <w:framePr w:w="360" w:h="307" w:hRule="exact" w:wrap="none" w:vAnchor="page" w:hAnchor="page" w:x="6193" w:y="10804"/>
        <w:spacing w:line="166" w:lineRule="auto"/>
        <w:ind w:left="5" w:right="19"/>
        <w:jc w:val="both"/>
      </w:pPr>
      <w:r>
        <w:rPr>
          <w:rFonts w:ascii="Century Gothic" w:eastAsia="Century Gothic" w:hAnsi="Century Gothic" w:cs="Century Gothic"/>
          <w:b w:val="0"/>
          <w:bCs w:val="0"/>
          <w:color w:val="BA8B5E"/>
        </w:rPr>
        <w:t>A20m</w:t>
      </w:r>
      <w:r>
        <w:rPr>
          <w:rFonts w:ascii="Century Gothic" w:eastAsia="Century Gothic" w:hAnsi="Century Gothic" w:cs="Century Gothic"/>
          <w:b w:val="0"/>
          <w:bCs w:val="0"/>
          <w:color w:val="BA8B5E"/>
        </w:rPr>
        <w:br/>
      </w:r>
      <w:r>
        <w:rPr>
          <w:rFonts w:ascii="Century Gothic" w:eastAsia="Century Gothic" w:hAnsi="Century Gothic" w:cs="Century Gothic"/>
          <w:b w:val="0"/>
          <w:bCs w:val="0"/>
          <w:color w:val="768355"/>
          <w:u w:val="single"/>
        </w:rPr>
        <w:t>^0%/ 30%</w:t>
      </w:r>
    </w:p>
    <w:p w14:paraId="4870FC2F" w14:textId="77777777" w:rsidR="00EC1C40" w:rsidRDefault="00000000">
      <w:pPr>
        <w:pStyle w:val="Titulekobrzku0"/>
        <w:framePr w:w="264" w:h="216" w:hRule="exact" w:wrap="none" w:vAnchor="page" w:hAnchor="page" w:x="6173" w:y="10307"/>
        <w:jc w:val="right"/>
        <w:rPr>
          <w:sz w:val="12"/>
          <w:szCs w:val="12"/>
        </w:rPr>
      </w:pPr>
      <w:r>
        <w:rPr>
          <w:b w:val="0"/>
          <w:bCs w:val="0"/>
          <w:color w:val="77A18D"/>
          <w:sz w:val="12"/>
          <w:szCs w:val="12"/>
        </w:rPr>
        <w:t>5+U</w:t>
      </w:r>
    </w:p>
    <w:p w14:paraId="3187714A" w14:textId="77777777" w:rsidR="00EC1C40" w:rsidRDefault="00000000">
      <w:pPr>
        <w:pStyle w:val="Titulekobrzku0"/>
        <w:framePr w:w="264" w:h="216" w:hRule="exact" w:wrap="none" w:vAnchor="page" w:hAnchor="page" w:x="6173" w:y="10307"/>
        <w:spacing w:line="204" w:lineRule="auto"/>
        <w:jc w:val="both"/>
      </w:pPr>
      <w:r>
        <w:rPr>
          <w:rFonts w:ascii="Century Gothic" w:eastAsia="Century Gothic" w:hAnsi="Century Gothic" w:cs="Century Gothic"/>
          <w:b w:val="0"/>
          <w:bCs w:val="0"/>
          <w:color w:val="82BE5E"/>
        </w:rPr>
        <w:t>^</w:t>
      </w:r>
      <w:r>
        <w:rPr>
          <w:rFonts w:ascii="Century Gothic" w:eastAsia="Century Gothic" w:hAnsi="Century Gothic" w:cs="Century Gothic"/>
          <w:b w:val="0"/>
          <w:bCs w:val="0"/>
          <w:color w:val="92AE8D"/>
        </w:rPr>
        <w:t>2 0ÍM</w:t>
      </w:r>
    </w:p>
    <w:p w14:paraId="3411F209" w14:textId="77777777" w:rsidR="00EC1C40" w:rsidRDefault="00000000">
      <w:pPr>
        <w:pStyle w:val="Titulekobrzku0"/>
        <w:framePr w:wrap="none" w:vAnchor="page" w:hAnchor="page" w:x="3586" w:y="7842"/>
      </w:pPr>
      <w:r>
        <w:rPr>
          <w:rFonts w:ascii="Century Gothic" w:eastAsia="Century Gothic" w:hAnsi="Century Gothic" w:cs="Century Gothic"/>
          <w:b w:val="0"/>
          <w:bCs w:val="0"/>
          <w:color w:val="010102"/>
        </w:rPr>
        <w:t>HPP:'21000</w:t>
      </w:r>
    </w:p>
    <w:p w14:paraId="2F7F080E" w14:textId="77777777" w:rsidR="00EC1C40" w:rsidRDefault="00000000">
      <w:pPr>
        <w:pStyle w:val="Titulekobrzku0"/>
        <w:framePr w:w="365" w:h="252" w:hRule="exact" w:wrap="none" w:vAnchor="page" w:hAnchor="page" w:x="7973" w:y="8073"/>
        <w:spacing w:line="192" w:lineRule="auto"/>
        <w:jc w:val="right"/>
      </w:pPr>
      <w:r>
        <w:rPr>
          <w:b w:val="0"/>
          <w:bCs w:val="0"/>
          <w:color w:val="010102"/>
        </w:rPr>
        <w:t>PROSTOR PRO OBJEKT ZÁZEMÍ 40m</w:t>
      </w:r>
      <w:r>
        <w:rPr>
          <w:b w:val="0"/>
          <w:bCs w:val="0"/>
          <w:color w:val="010102"/>
          <w:vertAlign w:val="superscript"/>
        </w:rPr>
        <w:t>2</w:t>
      </w:r>
    </w:p>
    <w:p w14:paraId="3764D12F" w14:textId="77777777" w:rsidR="00EC1C40" w:rsidRDefault="00000000">
      <w:pPr>
        <w:pStyle w:val="Titulekobrzku0"/>
        <w:framePr w:w="360" w:h="187" w:hRule="exact" w:wrap="none" w:vAnchor="page" w:hAnchor="page" w:x="4729" w:y="7372"/>
      </w:pPr>
      <w:r>
        <w:rPr>
          <w:rFonts w:ascii="Century Gothic" w:eastAsia="Century Gothic" w:hAnsi="Century Gothic" w:cs="Century Gothic"/>
          <w:b w:val="0"/>
          <w:bCs w:val="0"/>
          <w:color w:val="5B8AB9"/>
        </w:rPr>
        <w:t>60 m*</w:t>
      </w:r>
    </w:p>
    <w:p w14:paraId="31B9D895" w14:textId="77777777" w:rsidR="00EC1C40" w:rsidRDefault="00000000">
      <w:pPr>
        <w:pStyle w:val="Titulekobrzku0"/>
        <w:framePr w:w="360" w:h="187" w:hRule="exact" w:wrap="none" w:vAnchor="page" w:hAnchor="page" w:x="4729" w:y="7372"/>
        <w:spacing w:line="180" w:lineRule="auto"/>
      </w:pPr>
      <w:r>
        <w:rPr>
          <w:rFonts w:ascii="Century Gothic" w:eastAsia="Century Gothic" w:hAnsi="Century Gothic" w:cs="Century Gothic"/>
          <w:b w:val="0"/>
          <w:bCs w:val="0"/>
          <w:color w:val="010102"/>
        </w:rPr>
        <w:t>100% / 0%</w:t>
      </w:r>
    </w:p>
    <w:p w14:paraId="41B6A42B" w14:textId="77777777" w:rsidR="00EC1C40" w:rsidRDefault="00000000">
      <w:pPr>
        <w:pStyle w:val="Titulekobrzku0"/>
        <w:framePr w:wrap="none" w:vAnchor="page" w:hAnchor="page" w:x="4637" w:y="7098"/>
      </w:pPr>
      <w:r>
        <w:rPr>
          <w:b w:val="0"/>
          <w:bCs w:val="0"/>
          <w:color w:val="010102"/>
          <w:sz w:val="10"/>
          <w:szCs w:val="10"/>
          <w:vertAlign w:val="superscript"/>
        </w:rPr>
        <w:t>C</w:t>
      </w:r>
      <w:r>
        <w:rPr>
          <w:b w:val="0"/>
          <w:bCs w:val="0"/>
          <w:color w:val="010102"/>
          <w:sz w:val="10"/>
          <w:szCs w:val="10"/>
        </w:rPr>
        <w:t xml:space="preserve"> </w:t>
      </w:r>
      <w:r>
        <w:rPr>
          <w:rFonts w:ascii="Century Gothic" w:eastAsia="Century Gothic" w:hAnsi="Century Gothic" w:cs="Century Gothic"/>
          <w:b w:val="0"/>
          <w:bCs w:val="0"/>
          <w:smallCaps/>
          <w:color w:val="010102"/>
        </w:rPr>
        <w:t>|</w:t>
      </w:r>
      <w:proofErr w:type="spellStart"/>
      <w:r>
        <w:rPr>
          <w:rFonts w:ascii="Century Gothic" w:eastAsia="Century Gothic" w:hAnsi="Century Gothic" w:cs="Century Gothic"/>
          <w:b w:val="0"/>
          <w:bCs w:val="0"/>
          <w:smallCaps/>
          <w:color w:val="010102"/>
        </w:rPr>
        <w:t>hPP</w:t>
      </w:r>
      <w:proofErr w:type="spellEnd"/>
      <w:r>
        <w:rPr>
          <w:rFonts w:ascii="Century Gothic" w:eastAsia="Century Gothic" w:hAnsi="Century Gothic" w:cs="Century Gothic"/>
          <w:b w:val="0"/>
          <w:bCs w:val="0"/>
          <w:smallCaps/>
          <w:color w:val="010102"/>
        </w:rPr>
        <w:t>:</w:t>
      </w:r>
      <w:r>
        <w:rPr>
          <w:rFonts w:ascii="Century Gothic" w:eastAsia="Century Gothic" w:hAnsi="Century Gothic" w:cs="Century Gothic"/>
          <w:b w:val="0"/>
          <w:bCs w:val="0"/>
          <w:color w:val="010102"/>
        </w:rPr>
        <w:t xml:space="preserve"> 226800</w:t>
      </w:r>
    </w:p>
    <w:p w14:paraId="16C4EFDF" w14:textId="77777777" w:rsidR="00EC1C40" w:rsidRDefault="00000000">
      <w:pPr>
        <w:pStyle w:val="Titulekobrzku0"/>
        <w:framePr w:w="523" w:h="322" w:hRule="exact" w:wrap="none" w:vAnchor="page" w:hAnchor="page" w:x="3927" w:y="11990"/>
        <w:jc w:val="center"/>
      </w:pPr>
      <w:r>
        <w:rPr>
          <w:b w:val="0"/>
          <w:bCs w:val="0"/>
          <w:color w:val="010102"/>
          <w:sz w:val="10"/>
          <w:szCs w:val="10"/>
          <w:vertAlign w:val="superscript"/>
        </w:rPr>
        <w:t>18</w:t>
      </w:r>
      <w:r>
        <w:rPr>
          <w:b w:val="0"/>
          <w:bCs w:val="0"/>
          <w:color w:val="010102"/>
          <w:sz w:val="10"/>
          <w:szCs w:val="10"/>
        </w:rPr>
        <w:t xml:space="preserve"> </w:t>
      </w:r>
      <w:r>
        <w:rPr>
          <w:rFonts w:ascii="Century Gothic" w:eastAsia="Century Gothic" w:hAnsi="Century Gothic" w:cs="Century Gothic"/>
          <w:b w:val="0"/>
          <w:bCs w:val="0"/>
          <w:color w:val="010102"/>
        </w:rPr>
        <w:t>HPP: 14070</w:t>
      </w:r>
    </w:p>
    <w:p w14:paraId="1C330738" w14:textId="77777777" w:rsidR="00EC1C40" w:rsidRDefault="00000000">
      <w:pPr>
        <w:pStyle w:val="Titulekobrzku0"/>
        <w:framePr w:w="523" w:h="322" w:hRule="exact" w:wrap="none" w:vAnchor="page" w:hAnchor="page" w:x="3927" w:y="11990"/>
        <w:spacing w:line="211" w:lineRule="auto"/>
        <w:jc w:val="center"/>
        <w:rPr>
          <w:sz w:val="12"/>
          <w:szCs w:val="12"/>
        </w:rPr>
      </w:pPr>
      <w:r>
        <w:rPr>
          <w:b w:val="0"/>
          <w:bCs w:val="0"/>
          <w:color w:val="185DAB"/>
          <w:sz w:val="12"/>
          <w:szCs w:val="12"/>
        </w:rPr>
        <w:t>6+U</w:t>
      </w:r>
    </w:p>
    <w:p w14:paraId="6CA8B493" w14:textId="77777777" w:rsidR="00EC1C40" w:rsidRDefault="00000000">
      <w:pPr>
        <w:pStyle w:val="Titulekobrzku0"/>
        <w:framePr w:w="533" w:h="319" w:hRule="exact" w:wrap="none" w:vAnchor="page" w:hAnchor="page" w:x="5079" w:y="11956"/>
        <w:jc w:val="center"/>
      </w:pPr>
      <w:r>
        <w:rPr>
          <w:b w:val="0"/>
          <w:bCs w:val="0"/>
          <w:color w:val="010102"/>
          <w:sz w:val="10"/>
          <w:szCs w:val="10"/>
          <w:vertAlign w:val="superscript"/>
        </w:rPr>
        <w:t>20</w:t>
      </w:r>
      <w:r>
        <w:rPr>
          <w:b w:val="0"/>
          <w:bCs w:val="0"/>
          <w:color w:val="010102"/>
          <w:sz w:val="10"/>
          <w:szCs w:val="10"/>
        </w:rPr>
        <w:t xml:space="preserve"> | </w:t>
      </w:r>
      <w:r>
        <w:rPr>
          <w:rFonts w:ascii="Century Gothic" w:eastAsia="Century Gothic" w:hAnsi="Century Gothic" w:cs="Century Gothic"/>
          <w:b w:val="0"/>
          <w:bCs w:val="0"/>
          <w:color w:val="010102"/>
        </w:rPr>
        <w:t>HPP: 12060</w:t>
      </w:r>
    </w:p>
    <w:p w14:paraId="1F246550" w14:textId="77777777" w:rsidR="00EC1C40" w:rsidRDefault="00000000">
      <w:pPr>
        <w:pStyle w:val="Titulekobrzku0"/>
        <w:framePr w:w="533" w:h="319" w:hRule="exact" w:wrap="none" w:vAnchor="page" w:hAnchor="page" w:x="5079" w:y="11956"/>
        <w:spacing w:line="211" w:lineRule="auto"/>
        <w:jc w:val="center"/>
        <w:rPr>
          <w:sz w:val="12"/>
          <w:szCs w:val="12"/>
        </w:rPr>
      </w:pPr>
      <w:r>
        <w:rPr>
          <w:b w:val="0"/>
          <w:bCs w:val="0"/>
          <w:color w:val="185DAB"/>
          <w:sz w:val="12"/>
          <w:szCs w:val="12"/>
        </w:rPr>
        <w:t>6+U</w:t>
      </w:r>
    </w:p>
    <w:p w14:paraId="524F75EB" w14:textId="77777777" w:rsidR="00EC1C40" w:rsidRDefault="00000000">
      <w:pPr>
        <w:pStyle w:val="Titulekobrzku0"/>
        <w:framePr w:w="499" w:h="456" w:hRule="exact" w:wrap="none" w:vAnchor="page" w:hAnchor="page" w:x="6217" w:y="11841"/>
        <w:jc w:val="center"/>
      </w:pPr>
      <w:r>
        <w:rPr>
          <w:b w:val="0"/>
          <w:bCs w:val="0"/>
          <w:color w:val="010102"/>
          <w:sz w:val="10"/>
          <w:szCs w:val="10"/>
          <w:vertAlign w:val="superscript"/>
        </w:rPr>
        <w:t>22</w:t>
      </w:r>
      <w:r>
        <w:rPr>
          <w:b w:val="0"/>
          <w:bCs w:val="0"/>
          <w:color w:val="010102"/>
          <w:sz w:val="10"/>
          <w:szCs w:val="10"/>
        </w:rPr>
        <w:t xml:space="preserve"> | </w:t>
      </w:r>
      <w:r>
        <w:rPr>
          <w:rFonts w:ascii="Century Gothic" w:eastAsia="Century Gothic" w:hAnsi="Century Gothic" w:cs="Century Gothic"/>
          <w:b w:val="0"/>
          <w:bCs w:val="0"/>
          <w:color w:val="010102"/>
        </w:rPr>
        <w:t>HPP: 8550</w:t>
      </w:r>
    </w:p>
    <w:p w14:paraId="4D6B99A1" w14:textId="77777777" w:rsidR="00EC1C40" w:rsidRDefault="00000000">
      <w:pPr>
        <w:pStyle w:val="Titulekobrzku0"/>
        <w:framePr w:w="499" w:h="456" w:hRule="exact" w:wrap="none" w:vAnchor="page" w:hAnchor="page" w:x="6217" w:y="11841"/>
        <w:spacing w:line="211" w:lineRule="auto"/>
        <w:jc w:val="center"/>
        <w:rPr>
          <w:sz w:val="12"/>
          <w:szCs w:val="12"/>
        </w:rPr>
      </w:pPr>
      <w:r>
        <w:rPr>
          <w:b w:val="0"/>
          <w:bCs w:val="0"/>
          <w:color w:val="185DAB"/>
          <w:sz w:val="12"/>
          <w:szCs w:val="12"/>
        </w:rPr>
        <w:t>5+U</w:t>
      </w:r>
    </w:p>
    <w:p w14:paraId="33F1867D" w14:textId="77777777" w:rsidR="00EC1C40" w:rsidRDefault="00000000">
      <w:pPr>
        <w:pStyle w:val="Titulekobrzku0"/>
        <w:framePr w:w="499" w:h="456" w:hRule="exact" w:wrap="none" w:vAnchor="page" w:hAnchor="page" w:x="6217" w:y="11841"/>
        <w:spacing w:line="187" w:lineRule="auto"/>
        <w:jc w:val="center"/>
      </w:pPr>
      <w:r>
        <w:rPr>
          <w:rFonts w:ascii="Century Gothic" w:eastAsia="Century Gothic" w:hAnsi="Century Gothic" w:cs="Century Gothic"/>
          <w:b w:val="0"/>
          <w:bCs w:val="0"/>
          <w:color w:val="5B8AB9"/>
        </w:rPr>
        <w:t>20 m</w:t>
      </w:r>
    </w:p>
    <w:p w14:paraId="53C12A72" w14:textId="77777777" w:rsidR="00EC1C40" w:rsidRDefault="00000000">
      <w:pPr>
        <w:pStyle w:val="Titulekobrzku0"/>
        <w:framePr w:w="499" w:h="456" w:hRule="exact" w:wrap="none" w:vAnchor="page" w:hAnchor="page" w:x="6217" w:y="11841"/>
        <w:spacing w:line="180" w:lineRule="auto"/>
        <w:jc w:val="center"/>
      </w:pPr>
      <w:r>
        <w:rPr>
          <w:rFonts w:ascii="Century Gothic" w:eastAsia="Century Gothic" w:hAnsi="Century Gothic" w:cs="Century Gothic"/>
          <w:b w:val="0"/>
          <w:bCs w:val="0"/>
          <w:color w:val="010102"/>
        </w:rPr>
        <w:t>70%/ 30%</w:t>
      </w:r>
    </w:p>
    <w:p w14:paraId="34864ABB" w14:textId="77777777" w:rsidR="00EC1C40" w:rsidRDefault="00000000">
      <w:pPr>
        <w:pStyle w:val="Titulekobrzku0"/>
        <w:framePr w:w="478" w:h="456" w:hRule="exact" w:wrap="none" w:vAnchor="page" w:hAnchor="page" w:x="2180" w:y="10756"/>
      </w:pPr>
      <w:r>
        <w:rPr>
          <w:b w:val="0"/>
          <w:bCs w:val="0"/>
          <w:color w:val="010102"/>
          <w:sz w:val="10"/>
          <w:szCs w:val="10"/>
          <w:vertAlign w:val="superscript"/>
        </w:rPr>
        <w:t>6</w:t>
      </w:r>
      <w:r>
        <w:rPr>
          <w:b w:val="0"/>
          <w:bCs w:val="0"/>
          <w:color w:val="010102"/>
          <w:sz w:val="10"/>
          <w:szCs w:val="10"/>
        </w:rPr>
        <w:t xml:space="preserve"> </w:t>
      </w:r>
      <w:r>
        <w:rPr>
          <w:rFonts w:ascii="Century Gothic" w:eastAsia="Century Gothic" w:hAnsi="Century Gothic" w:cs="Century Gothic"/>
          <w:b w:val="0"/>
          <w:bCs w:val="0"/>
          <w:color w:val="010102"/>
        </w:rPr>
        <w:t>| HPP: 3</w:t>
      </w:r>
      <w:r>
        <w:rPr>
          <w:rFonts w:ascii="Century Gothic" w:eastAsia="Century Gothic" w:hAnsi="Century Gothic" w:cs="Century Gothic"/>
          <w:b w:val="0"/>
          <w:bCs w:val="0"/>
        </w:rPr>
        <w:t>9</w:t>
      </w:r>
      <w:r>
        <w:rPr>
          <w:rFonts w:ascii="Century Gothic" w:eastAsia="Century Gothic" w:hAnsi="Century Gothic" w:cs="Century Gothic"/>
          <w:b w:val="0"/>
          <w:bCs w:val="0"/>
          <w:color w:val="010102"/>
        </w:rPr>
        <w:t>15</w:t>
      </w:r>
    </w:p>
    <w:p w14:paraId="1EEDB051" w14:textId="77777777" w:rsidR="00EC1C40" w:rsidRDefault="00000000">
      <w:pPr>
        <w:pStyle w:val="Titulekobrzku0"/>
        <w:framePr w:w="478" w:h="456" w:hRule="exact" w:wrap="none" w:vAnchor="page" w:hAnchor="page" w:x="2180" w:y="10756"/>
        <w:tabs>
          <w:tab w:val="left" w:pos="343"/>
        </w:tabs>
        <w:spacing w:line="211" w:lineRule="auto"/>
        <w:rPr>
          <w:sz w:val="12"/>
          <w:szCs w:val="12"/>
        </w:rPr>
      </w:pPr>
      <w:r>
        <w:rPr>
          <w:b w:val="0"/>
          <w:bCs w:val="0"/>
          <w:color w:val="185DAB"/>
          <w:sz w:val="12"/>
          <w:szCs w:val="12"/>
        </w:rPr>
        <w:t>2+U</w:t>
      </w:r>
      <w:r>
        <w:rPr>
          <w:b w:val="0"/>
          <w:bCs w:val="0"/>
          <w:color w:val="185DAB"/>
          <w:sz w:val="12"/>
          <w:szCs w:val="12"/>
        </w:rPr>
        <w:tab/>
        <w:t>&gt;</w:t>
      </w:r>
    </w:p>
    <w:p w14:paraId="1F91D8BD" w14:textId="77777777" w:rsidR="00EC1C40" w:rsidRDefault="00000000">
      <w:pPr>
        <w:pStyle w:val="Titulekobrzku0"/>
        <w:framePr w:w="478" w:h="456" w:hRule="exact" w:wrap="none" w:vAnchor="page" w:hAnchor="page" w:x="2180" w:y="10756"/>
        <w:spacing w:line="187" w:lineRule="auto"/>
      </w:pPr>
      <w:r>
        <w:rPr>
          <w:rFonts w:ascii="Century Gothic" w:eastAsia="Century Gothic" w:hAnsi="Century Gothic" w:cs="Century Gothic"/>
          <w:b w:val="0"/>
          <w:bCs w:val="0"/>
          <w:color w:val="5B8AB9"/>
        </w:rPr>
        <w:t>10 m $</w:t>
      </w:r>
    </w:p>
    <w:p w14:paraId="39347ED0" w14:textId="77777777" w:rsidR="00EC1C40" w:rsidRDefault="00000000">
      <w:pPr>
        <w:pStyle w:val="Titulekobrzku0"/>
        <w:framePr w:w="478" w:h="456" w:hRule="exact" w:wrap="none" w:vAnchor="page" w:hAnchor="page" w:x="2180" w:y="10756"/>
        <w:spacing w:line="180" w:lineRule="auto"/>
        <w:jc w:val="center"/>
      </w:pPr>
      <w:r>
        <w:rPr>
          <w:rFonts w:ascii="Century Gothic" w:eastAsia="Century Gothic" w:hAnsi="Century Gothic" w:cs="Century Gothic"/>
          <w:b w:val="0"/>
          <w:bCs w:val="0"/>
          <w:color w:val="010102"/>
        </w:rPr>
        <w:t>50% / 30%</w:t>
      </w:r>
    </w:p>
    <w:p w14:paraId="2DF1B539" w14:textId="77777777" w:rsidR="00EC1C40" w:rsidRDefault="00000000">
      <w:pPr>
        <w:pStyle w:val="Titulekobrzku0"/>
        <w:framePr w:wrap="none" w:vAnchor="page" w:hAnchor="page" w:x="3509" w:y="6407"/>
      </w:pPr>
      <w:r>
        <w:rPr>
          <w:rFonts w:ascii="Century Gothic" w:eastAsia="Century Gothic" w:hAnsi="Century Gothic" w:cs="Century Gothic"/>
          <w:b w:val="0"/>
          <w:bCs w:val="0"/>
          <w:color w:val="010102"/>
          <w:vertAlign w:val="superscript"/>
        </w:rPr>
        <w:t>A</w:t>
      </w:r>
      <w:r>
        <w:rPr>
          <w:rFonts w:ascii="Century Gothic" w:eastAsia="Century Gothic" w:hAnsi="Century Gothic" w:cs="Century Gothic"/>
          <w:b w:val="0"/>
          <w:bCs w:val="0"/>
          <w:color w:val="010102"/>
        </w:rPr>
        <w:t xml:space="preserve"> | </w:t>
      </w:r>
      <w:r>
        <w:rPr>
          <w:rFonts w:ascii="Century Gothic" w:eastAsia="Century Gothic" w:hAnsi="Century Gothic" w:cs="Century Gothic"/>
          <w:b w:val="0"/>
          <w:bCs w:val="0"/>
        </w:rPr>
        <w:t>HPP:245</w:t>
      </w:r>
      <w:r>
        <w:rPr>
          <w:rFonts w:ascii="Century Gothic" w:eastAsia="Century Gothic" w:hAnsi="Century Gothic" w:cs="Century Gothic"/>
          <w:b w:val="0"/>
          <w:bCs w:val="0"/>
          <w:color w:val="010102"/>
        </w:rPr>
        <w:t>0</w:t>
      </w:r>
      <w:r>
        <w:rPr>
          <w:rFonts w:ascii="Century Gothic" w:eastAsia="Century Gothic" w:hAnsi="Century Gothic" w:cs="Century Gothic"/>
          <w:b w:val="0"/>
          <w:bCs w:val="0"/>
        </w:rPr>
        <w:t>0</w:t>
      </w:r>
    </w:p>
    <w:p w14:paraId="2CC2265F" w14:textId="77777777" w:rsidR="00EC1C40" w:rsidRDefault="00000000">
      <w:pPr>
        <w:pStyle w:val="Titulekobrzku0"/>
        <w:framePr w:w="470" w:h="461" w:hRule="exact" w:wrap="none" w:vAnchor="page" w:hAnchor="page" w:x="2804" w:y="10934"/>
      </w:pPr>
      <w:r>
        <w:rPr>
          <w:b w:val="0"/>
          <w:bCs w:val="0"/>
          <w:color w:val="010102"/>
          <w:sz w:val="10"/>
          <w:szCs w:val="10"/>
          <w:vertAlign w:val="superscript"/>
        </w:rPr>
        <w:t>9</w:t>
      </w:r>
      <w:r>
        <w:rPr>
          <w:b w:val="0"/>
          <w:bCs w:val="0"/>
          <w:color w:val="010102"/>
          <w:sz w:val="10"/>
          <w:szCs w:val="10"/>
        </w:rPr>
        <w:t xml:space="preserve"> </w:t>
      </w:r>
      <w:r>
        <w:rPr>
          <w:rFonts w:ascii="Century Gothic" w:eastAsia="Century Gothic" w:hAnsi="Century Gothic" w:cs="Century Gothic"/>
          <w:b w:val="0"/>
          <w:bCs w:val="0"/>
          <w:color w:val="010102"/>
        </w:rPr>
        <w:t>HPP: 7750</w:t>
      </w:r>
    </w:p>
    <w:p w14:paraId="2F46DC1C" w14:textId="77777777" w:rsidR="00EC1C40" w:rsidRDefault="00000000">
      <w:pPr>
        <w:pStyle w:val="Titulekobrzku0"/>
        <w:framePr w:w="470" w:h="461" w:hRule="exact" w:wrap="none" w:vAnchor="page" w:hAnchor="page" w:x="2804" w:y="10934"/>
        <w:spacing w:line="211" w:lineRule="auto"/>
        <w:jc w:val="center"/>
        <w:rPr>
          <w:sz w:val="12"/>
          <w:szCs w:val="12"/>
        </w:rPr>
      </w:pPr>
      <w:r>
        <w:rPr>
          <w:b w:val="0"/>
          <w:bCs w:val="0"/>
          <w:color w:val="185DAB"/>
          <w:sz w:val="12"/>
          <w:szCs w:val="12"/>
        </w:rPr>
        <w:t>5+0</w:t>
      </w:r>
    </w:p>
    <w:p w14:paraId="4C76F098" w14:textId="77777777" w:rsidR="00EC1C40" w:rsidRDefault="00000000">
      <w:pPr>
        <w:pStyle w:val="Titulekobrzku0"/>
        <w:framePr w:w="470" w:h="461" w:hRule="exact" w:wrap="none" w:vAnchor="page" w:hAnchor="page" w:x="2804" w:y="10934"/>
        <w:spacing w:line="187" w:lineRule="auto"/>
        <w:jc w:val="center"/>
      </w:pPr>
      <w:r>
        <w:rPr>
          <w:rFonts w:ascii="Century Gothic" w:eastAsia="Century Gothic" w:hAnsi="Century Gothic" w:cs="Century Gothic"/>
          <w:b w:val="0"/>
          <w:bCs w:val="0"/>
          <w:color w:val="5B8AB9"/>
        </w:rPr>
        <w:t>17 m</w:t>
      </w:r>
    </w:p>
    <w:p w14:paraId="09F8C992" w14:textId="77777777" w:rsidR="00EC1C40" w:rsidRDefault="00000000">
      <w:pPr>
        <w:pStyle w:val="Titulekobrzku0"/>
        <w:framePr w:w="470" w:h="461" w:hRule="exact" w:wrap="none" w:vAnchor="page" w:hAnchor="page" w:x="2804" w:y="10934"/>
        <w:spacing w:line="180" w:lineRule="auto"/>
        <w:jc w:val="center"/>
      </w:pPr>
      <w:r>
        <w:rPr>
          <w:rFonts w:ascii="Century Gothic" w:eastAsia="Century Gothic" w:hAnsi="Century Gothic" w:cs="Century Gothic"/>
          <w:b w:val="0"/>
          <w:bCs w:val="0"/>
          <w:color w:val="010102"/>
        </w:rPr>
        <w:t>70%/ 30%</w:t>
      </w:r>
    </w:p>
    <w:p w14:paraId="28598B0E" w14:textId="77777777" w:rsidR="00EC1C40" w:rsidRDefault="00000000">
      <w:pPr>
        <w:pStyle w:val="Titulekobrzku0"/>
        <w:framePr w:w="528" w:h="456" w:hRule="exact" w:wrap="none" w:vAnchor="page" w:hAnchor="page" w:x="3956" w:y="10866"/>
        <w:jc w:val="center"/>
      </w:pPr>
      <w:r>
        <w:rPr>
          <w:b w:val="0"/>
          <w:bCs w:val="0"/>
          <w:color w:val="010102"/>
          <w:sz w:val="10"/>
          <w:szCs w:val="10"/>
          <w:vertAlign w:val="superscript"/>
        </w:rPr>
        <w:t>10</w:t>
      </w:r>
      <w:r>
        <w:rPr>
          <w:b w:val="0"/>
          <w:bCs w:val="0"/>
          <w:color w:val="010102"/>
          <w:sz w:val="10"/>
          <w:szCs w:val="10"/>
        </w:rPr>
        <w:t xml:space="preserve"> | </w:t>
      </w:r>
      <w:r>
        <w:rPr>
          <w:rFonts w:ascii="Century Gothic" w:eastAsia="Century Gothic" w:hAnsi="Century Gothic" w:cs="Century Gothic"/>
          <w:b w:val="0"/>
          <w:bCs w:val="0"/>
          <w:color w:val="010102"/>
        </w:rPr>
        <w:t>HPP: 19600</w:t>
      </w:r>
    </w:p>
    <w:p w14:paraId="0E386797" w14:textId="77777777" w:rsidR="00EC1C40" w:rsidRDefault="00000000">
      <w:pPr>
        <w:pStyle w:val="Titulekobrzku0"/>
        <w:framePr w:w="528" w:h="456" w:hRule="exact" w:wrap="none" w:vAnchor="page" w:hAnchor="page" w:x="3956" w:y="10866"/>
        <w:spacing w:line="211" w:lineRule="auto"/>
        <w:jc w:val="center"/>
        <w:rPr>
          <w:sz w:val="12"/>
          <w:szCs w:val="12"/>
        </w:rPr>
      </w:pPr>
      <w:r>
        <w:rPr>
          <w:b w:val="0"/>
          <w:bCs w:val="0"/>
          <w:color w:val="185DAB"/>
          <w:sz w:val="12"/>
          <w:szCs w:val="12"/>
        </w:rPr>
        <w:t>7+0</w:t>
      </w:r>
    </w:p>
    <w:p w14:paraId="24EAB49E" w14:textId="77777777" w:rsidR="00EC1C40" w:rsidRDefault="00000000">
      <w:pPr>
        <w:pStyle w:val="Titulekobrzku0"/>
        <w:framePr w:w="528" w:h="456" w:hRule="exact" w:wrap="none" w:vAnchor="page" w:hAnchor="page" w:x="3956" w:y="10866"/>
        <w:spacing w:line="187" w:lineRule="auto"/>
        <w:jc w:val="center"/>
      </w:pPr>
      <w:r>
        <w:rPr>
          <w:rFonts w:ascii="Century Gothic" w:eastAsia="Century Gothic" w:hAnsi="Century Gothic" w:cs="Century Gothic"/>
          <w:b w:val="0"/>
          <w:bCs w:val="0"/>
          <w:color w:val="5B8AB9"/>
        </w:rPr>
        <w:t>23 m</w:t>
      </w:r>
    </w:p>
    <w:p w14:paraId="5B1FE40B" w14:textId="77777777" w:rsidR="00EC1C40" w:rsidRDefault="00000000">
      <w:pPr>
        <w:pStyle w:val="Titulekobrzku0"/>
        <w:framePr w:w="528" w:h="456" w:hRule="exact" w:wrap="none" w:vAnchor="page" w:hAnchor="page" w:x="3956" w:y="10866"/>
        <w:spacing w:line="180" w:lineRule="auto"/>
        <w:jc w:val="center"/>
      </w:pPr>
      <w:r>
        <w:rPr>
          <w:rFonts w:ascii="Century Gothic" w:eastAsia="Century Gothic" w:hAnsi="Century Gothic" w:cs="Century Gothic"/>
          <w:b w:val="0"/>
          <w:bCs w:val="0"/>
          <w:color w:val="010102"/>
        </w:rPr>
        <w:t>80%/ 10%</w:t>
      </w:r>
    </w:p>
    <w:p w14:paraId="717C613F" w14:textId="77777777" w:rsidR="00EC1C40" w:rsidRDefault="00000000">
      <w:pPr>
        <w:pStyle w:val="Titulekobrzku0"/>
        <w:framePr w:w="504" w:h="456" w:hRule="exact" w:wrap="none" w:vAnchor="page" w:hAnchor="page" w:x="3015" w:y="9330"/>
        <w:spacing w:line="146" w:lineRule="auto"/>
        <w:jc w:val="center"/>
      </w:pPr>
      <w:r>
        <w:rPr>
          <w:b w:val="0"/>
          <w:bCs w:val="0"/>
          <w:color w:val="010102"/>
          <w:sz w:val="10"/>
          <w:szCs w:val="10"/>
          <w:vertAlign w:val="superscript"/>
        </w:rPr>
        <w:t>2</w:t>
      </w:r>
      <w:r>
        <w:rPr>
          <w:b w:val="0"/>
          <w:bCs w:val="0"/>
          <w:color w:val="010102"/>
          <w:sz w:val="10"/>
          <w:szCs w:val="10"/>
        </w:rPr>
        <w:t xml:space="preserve"> </w:t>
      </w:r>
      <w:r>
        <w:rPr>
          <w:rFonts w:ascii="Century Gothic" w:eastAsia="Century Gothic" w:hAnsi="Century Gothic" w:cs="Century Gothic"/>
          <w:b w:val="0"/>
          <w:bCs w:val="0"/>
          <w:color w:val="010102"/>
        </w:rPr>
        <w:t xml:space="preserve">| </w:t>
      </w:r>
      <w:r>
        <w:rPr>
          <w:rFonts w:ascii="Century Gothic" w:eastAsia="Century Gothic" w:hAnsi="Century Gothic" w:cs="Century Gothic"/>
          <w:b w:val="0"/>
          <w:bCs w:val="0"/>
        </w:rPr>
        <w:t>HPP: 16500</w:t>
      </w:r>
    </w:p>
    <w:p w14:paraId="4BAB9344" w14:textId="77777777" w:rsidR="00EC1C40" w:rsidRDefault="00000000">
      <w:pPr>
        <w:pStyle w:val="Titulekobrzku0"/>
        <w:framePr w:w="504" w:h="456" w:hRule="exact" w:wrap="none" w:vAnchor="page" w:hAnchor="page" w:x="3015" w:y="9330"/>
        <w:spacing w:line="211" w:lineRule="auto"/>
        <w:rPr>
          <w:sz w:val="12"/>
          <w:szCs w:val="12"/>
        </w:rPr>
      </w:pPr>
      <w:r>
        <w:rPr>
          <w:b w:val="0"/>
          <w:bCs w:val="0"/>
          <w:color w:val="185DAB"/>
          <w:sz w:val="12"/>
          <w:szCs w:val="12"/>
        </w:rPr>
        <w:t>6+0</w:t>
      </w:r>
    </w:p>
    <w:p w14:paraId="103D6867" w14:textId="77777777" w:rsidR="00EC1C40" w:rsidRDefault="00000000">
      <w:pPr>
        <w:pStyle w:val="Titulekobrzku0"/>
        <w:framePr w:w="504" w:h="456" w:hRule="exact" w:wrap="none" w:vAnchor="page" w:hAnchor="page" w:x="3015" w:y="9330"/>
        <w:spacing w:line="170" w:lineRule="auto"/>
        <w:jc w:val="center"/>
      </w:pPr>
      <w:r>
        <w:rPr>
          <w:rFonts w:ascii="Century Gothic" w:eastAsia="Century Gothic" w:hAnsi="Century Gothic" w:cs="Century Gothic"/>
          <w:b w:val="0"/>
          <w:bCs w:val="0"/>
          <w:color w:val="5B8AB9"/>
        </w:rPr>
        <w:t>23 m</w:t>
      </w:r>
      <w:r>
        <w:rPr>
          <w:rFonts w:ascii="Century Gothic" w:eastAsia="Century Gothic" w:hAnsi="Century Gothic" w:cs="Century Gothic"/>
          <w:b w:val="0"/>
          <w:bCs w:val="0"/>
          <w:color w:val="5B8AB9"/>
        </w:rPr>
        <w:br/>
      </w:r>
      <w:r>
        <w:rPr>
          <w:rFonts w:ascii="Century Gothic" w:eastAsia="Century Gothic" w:hAnsi="Century Gothic" w:cs="Century Gothic"/>
          <w:b w:val="0"/>
          <w:bCs w:val="0"/>
          <w:color w:val="010102"/>
        </w:rPr>
        <w:t>70%/ 30%</w:t>
      </w:r>
    </w:p>
    <w:p w14:paraId="1EDB02F3" w14:textId="77777777" w:rsidR="00EC1C40" w:rsidRDefault="00000000">
      <w:pPr>
        <w:pStyle w:val="Titulekobrzku0"/>
        <w:framePr w:w="494" w:h="322" w:hRule="exact" w:wrap="none" w:vAnchor="page" w:hAnchor="page" w:x="2660" w:y="11999"/>
        <w:jc w:val="center"/>
      </w:pPr>
      <w:r>
        <w:rPr>
          <w:b w:val="0"/>
          <w:bCs w:val="0"/>
          <w:color w:val="010102"/>
          <w:sz w:val="10"/>
          <w:szCs w:val="10"/>
          <w:vertAlign w:val="superscript"/>
        </w:rPr>
        <w:t>16</w:t>
      </w:r>
      <w:r>
        <w:rPr>
          <w:b w:val="0"/>
          <w:bCs w:val="0"/>
          <w:color w:val="010102"/>
          <w:sz w:val="10"/>
          <w:szCs w:val="10"/>
        </w:rPr>
        <w:t xml:space="preserve"> </w:t>
      </w:r>
      <w:r>
        <w:rPr>
          <w:rFonts w:ascii="Century Gothic" w:eastAsia="Century Gothic" w:hAnsi="Century Gothic" w:cs="Century Gothic"/>
          <w:b w:val="0"/>
          <w:bCs w:val="0"/>
          <w:color w:val="010102"/>
        </w:rPr>
        <w:t>HPP: 9120</w:t>
      </w:r>
    </w:p>
    <w:p w14:paraId="530CDB59" w14:textId="77777777" w:rsidR="00EC1C40" w:rsidRDefault="00000000">
      <w:pPr>
        <w:pStyle w:val="Titulekobrzku0"/>
        <w:framePr w:w="494" w:h="322" w:hRule="exact" w:wrap="none" w:vAnchor="page" w:hAnchor="page" w:x="2660" w:y="11999"/>
        <w:spacing w:line="209" w:lineRule="auto"/>
        <w:jc w:val="center"/>
        <w:rPr>
          <w:sz w:val="12"/>
          <w:szCs w:val="12"/>
        </w:rPr>
      </w:pPr>
      <w:r>
        <w:rPr>
          <w:b w:val="0"/>
          <w:bCs w:val="0"/>
          <w:color w:val="185DAB"/>
          <w:sz w:val="12"/>
          <w:szCs w:val="12"/>
        </w:rPr>
        <w:t>5+U</w:t>
      </w:r>
    </w:p>
    <w:p w14:paraId="2F47D294" w14:textId="77777777" w:rsidR="00EC1C40" w:rsidRDefault="00000000">
      <w:pPr>
        <w:pStyle w:val="Titulekobrzku0"/>
        <w:framePr w:wrap="none" w:vAnchor="page" w:hAnchor="page" w:x="2117" w:y="9810"/>
      </w:pPr>
      <w:r>
        <w:rPr>
          <w:b w:val="0"/>
          <w:bCs w:val="0"/>
          <w:color w:val="010102"/>
          <w:sz w:val="10"/>
          <w:szCs w:val="10"/>
          <w:vertAlign w:val="superscript"/>
        </w:rPr>
        <w:t>5</w:t>
      </w:r>
      <w:r>
        <w:rPr>
          <w:b w:val="0"/>
          <w:bCs w:val="0"/>
          <w:color w:val="010102"/>
          <w:sz w:val="10"/>
          <w:szCs w:val="10"/>
        </w:rPr>
        <w:t xml:space="preserve"> </w:t>
      </w:r>
      <w:r>
        <w:rPr>
          <w:rFonts w:ascii="Century Gothic" w:eastAsia="Century Gothic" w:hAnsi="Century Gothic" w:cs="Century Gothic"/>
          <w:b w:val="0"/>
          <w:bCs w:val="0"/>
          <w:color w:val="010102"/>
        </w:rPr>
        <w:t>HPP:</w:t>
      </w:r>
    </w:p>
    <w:p w14:paraId="71664B28" w14:textId="77777777" w:rsidR="00EC1C40" w:rsidRDefault="00000000">
      <w:pPr>
        <w:pStyle w:val="Titulekobrzku0"/>
        <w:framePr w:wrap="none" w:vAnchor="page" w:hAnchor="page" w:x="6620" w:y="10151"/>
      </w:pPr>
      <w:r>
        <w:rPr>
          <w:b w:val="0"/>
          <w:bCs w:val="0"/>
          <w:color w:val="010102"/>
          <w:sz w:val="10"/>
          <w:szCs w:val="10"/>
          <w:vertAlign w:val="superscript"/>
        </w:rPr>
        <w:t>3</w:t>
      </w:r>
      <w:r>
        <w:rPr>
          <w:b w:val="0"/>
          <w:bCs w:val="0"/>
          <w:color w:val="010102"/>
          <w:sz w:val="10"/>
          <w:szCs w:val="10"/>
        </w:rPr>
        <w:t xml:space="preserve"> </w:t>
      </w:r>
      <w:r>
        <w:rPr>
          <w:b w:val="0"/>
          <w:bCs w:val="0"/>
          <w:color w:val="010102"/>
          <w:sz w:val="10"/>
          <w:szCs w:val="10"/>
          <w:lang w:val="en-US" w:eastAsia="en-US" w:bidi="en-US"/>
        </w:rPr>
        <w:t xml:space="preserve">I </w:t>
      </w:r>
      <w:r>
        <w:rPr>
          <w:rFonts w:ascii="Century Gothic" w:eastAsia="Century Gothic" w:hAnsi="Century Gothic" w:cs="Century Gothic"/>
          <w:b w:val="0"/>
          <w:bCs w:val="0"/>
        </w:rPr>
        <w:t>HPP</w:t>
      </w:r>
    </w:p>
    <w:p w14:paraId="7C5E4419" w14:textId="77777777" w:rsidR="00EC1C40" w:rsidRDefault="00000000">
      <w:pPr>
        <w:pStyle w:val="Titulekobrzku0"/>
        <w:framePr w:w="499" w:h="456" w:hRule="exact" w:wrap="none" w:vAnchor="page" w:hAnchor="page" w:x="2271" w:y="6978"/>
      </w:pPr>
      <w:r>
        <w:rPr>
          <w:b w:val="0"/>
          <w:bCs w:val="0"/>
          <w:color w:val="010102"/>
          <w:sz w:val="10"/>
          <w:szCs w:val="10"/>
          <w:vertAlign w:val="superscript"/>
        </w:rPr>
        <w:t>36</w:t>
      </w:r>
      <w:r>
        <w:rPr>
          <w:b w:val="0"/>
          <w:bCs w:val="0"/>
          <w:color w:val="010102"/>
          <w:sz w:val="10"/>
          <w:szCs w:val="10"/>
        </w:rPr>
        <w:t xml:space="preserve"> | </w:t>
      </w:r>
      <w:r>
        <w:rPr>
          <w:rFonts w:ascii="Century Gothic" w:eastAsia="Century Gothic" w:hAnsi="Century Gothic" w:cs="Century Gothic"/>
          <w:b w:val="0"/>
          <w:bCs w:val="0"/>
          <w:color w:val="010102"/>
        </w:rPr>
        <w:t>HPP: 9600</w:t>
      </w:r>
    </w:p>
    <w:p w14:paraId="47677BFA" w14:textId="77777777" w:rsidR="00EC1C40" w:rsidRDefault="00000000">
      <w:pPr>
        <w:pStyle w:val="Titulekobrzku0"/>
        <w:framePr w:w="499" w:h="456" w:hRule="exact" w:wrap="none" w:vAnchor="page" w:hAnchor="page" w:x="2271" w:y="6978"/>
        <w:spacing w:line="211" w:lineRule="auto"/>
        <w:jc w:val="center"/>
        <w:rPr>
          <w:sz w:val="12"/>
          <w:szCs w:val="12"/>
        </w:rPr>
      </w:pPr>
      <w:r>
        <w:rPr>
          <w:b w:val="0"/>
          <w:bCs w:val="0"/>
          <w:color w:val="185DAB"/>
          <w:sz w:val="12"/>
          <w:szCs w:val="12"/>
        </w:rPr>
        <w:t>6+0</w:t>
      </w:r>
    </w:p>
    <w:p w14:paraId="680BFA43" w14:textId="77777777" w:rsidR="00EC1C40" w:rsidRDefault="00000000">
      <w:pPr>
        <w:pStyle w:val="Titulekobrzku0"/>
        <w:framePr w:w="499" w:h="456" w:hRule="exact" w:wrap="none" w:vAnchor="page" w:hAnchor="page" w:x="2271" w:y="6978"/>
        <w:spacing w:line="192" w:lineRule="auto"/>
        <w:jc w:val="center"/>
      </w:pPr>
      <w:r>
        <w:rPr>
          <w:rFonts w:ascii="Century Gothic" w:eastAsia="Century Gothic" w:hAnsi="Century Gothic" w:cs="Century Gothic"/>
          <w:b w:val="0"/>
          <w:bCs w:val="0"/>
          <w:color w:val="5B8AB9"/>
        </w:rPr>
        <w:t>23 m</w:t>
      </w:r>
    </w:p>
    <w:p w14:paraId="2E8CD161" w14:textId="77777777" w:rsidR="00EC1C40" w:rsidRDefault="00000000">
      <w:pPr>
        <w:pStyle w:val="Titulekobrzku0"/>
        <w:framePr w:w="499" w:h="456" w:hRule="exact" w:wrap="none" w:vAnchor="page" w:hAnchor="page" w:x="2271" w:y="6978"/>
        <w:spacing w:line="180" w:lineRule="auto"/>
        <w:jc w:val="center"/>
      </w:pPr>
      <w:r>
        <w:rPr>
          <w:rFonts w:ascii="Century Gothic" w:eastAsia="Century Gothic" w:hAnsi="Century Gothic" w:cs="Century Gothic"/>
          <w:b w:val="0"/>
          <w:bCs w:val="0"/>
          <w:color w:val="010102"/>
        </w:rPr>
        <w:t>70%/ 30%</w:t>
      </w:r>
    </w:p>
    <w:p w14:paraId="6B49456F" w14:textId="77777777" w:rsidR="00EC1C40" w:rsidRDefault="00000000">
      <w:pPr>
        <w:pStyle w:val="Titulekobrzku0"/>
        <w:framePr w:w="494" w:h="389" w:hRule="exact" w:wrap="none" w:vAnchor="page" w:hAnchor="page" w:x="1628" w:y="11913"/>
        <w:jc w:val="center"/>
      </w:pPr>
      <w:r>
        <w:rPr>
          <w:b w:val="0"/>
          <w:bCs w:val="0"/>
          <w:color w:val="010102"/>
          <w:sz w:val="10"/>
          <w:szCs w:val="10"/>
          <w:vertAlign w:val="superscript"/>
        </w:rPr>
        <w:t>12</w:t>
      </w:r>
      <w:r>
        <w:rPr>
          <w:b w:val="0"/>
          <w:bCs w:val="0"/>
          <w:color w:val="010102"/>
          <w:sz w:val="10"/>
          <w:szCs w:val="10"/>
        </w:rPr>
        <w:t xml:space="preserve"> </w:t>
      </w:r>
      <w:r>
        <w:rPr>
          <w:rFonts w:ascii="Century Gothic" w:eastAsia="Century Gothic" w:hAnsi="Century Gothic" w:cs="Century Gothic"/>
          <w:b w:val="0"/>
          <w:bCs w:val="0"/>
          <w:color w:val="010102"/>
        </w:rPr>
        <w:t>HPP: 5400</w:t>
      </w:r>
    </w:p>
    <w:p w14:paraId="74F9B34D" w14:textId="77777777" w:rsidR="00EC1C40" w:rsidRDefault="00000000">
      <w:pPr>
        <w:pStyle w:val="Titulekobrzku0"/>
        <w:framePr w:w="494" w:h="389" w:hRule="exact" w:wrap="none" w:vAnchor="page" w:hAnchor="page" w:x="1628" w:y="11913"/>
        <w:spacing w:line="209" w:lineRule="auto"/>
        <w:jc w:val="center"/>
        <w:rPr>
          <w:sz w:val="12"/>
          <w:szCs w:val="12"/>
        </w:rPr>
      </w:pPr>
      <w:r>
        <w:rPr>
          <w:b w:val="0"/>
          <w:bCs w:val="0"/>
          <w:color w:val="185DAB"/>
          <w:sz w:val="12"/>
          <w:szCs w:val="12"/>
        </w:rPr>
        <w:t>2+U</w:t>
      </w:r>
    </w:p>
    <w:p w14:paraId="2A60741B" w14:textId="77777777" w:rsidR="00EC1C40" w:rsidRDefault="00000000">
      <w:pPr>
        <w:pStyle w:val="Titulekobrzku0"/>
        <w:framePr w:w="494" w:h="389" w:hRule="exact" w:wrap="none" w:vAnchor="page" w:hAnchor="page" w:x="1628" w:y="11913"/>
        <w:spacing w:line="192" w:lineRule="auto"/>
        <w:jc w:val="center"/>
      </w:pPr>
      <w:r>
        <w:rPr>
          <w:rFonts w:ascii="Century Gothic" w:eastAsia="Century Gothic" w:hAnsi="Century Gothic" w:cs="Century Gothic"/>
          <w:b w:val="0"/>
          <w:bCs w:val="0"/>
          <w:color w:val="5B8AB9"/>
        </w:rPr>
        <w:t>10 m</w:t>
      </w:r>
    </w:p>
    <w:p w14:paraId="5152EF46" w14:textId="77777777" w:rsidR="00EC1C40" w:rsidRDefault="00EC1C40">
      <w:pPr>
        <w:framePr w:wrap="none" w:vAnchor="page" w:hAnchor="page" w:x="5631" w:y="11442"/>
      </w:pPr>
    </w:p>
    <w:p w14:paraId="75B2247F" w14:textId="77777777" w:rsidR="00EC1C40" w:rsidRDefault="00000000">
      <w:pPr>
        <w:pStyle w:val="Zkladntext120"/>
        <w:framePr w:wrap="none" w:vAnchor="page" w:hAnchor="page" w:x="10292" w:y="7458"/>
        <w:jc w:val="both"/>
      </w:pPr>
      <w:r>
        <w:rPr>
          <w:color w:val="010102"/>
        </w:rPr>
        <w:t>Legenda dle ÚS</w:t>
      </w:r>
    </w:p>
    <w:p w14:paraId="4E2F14B2" w14:textId="77777777" w:rsidR="00EC1C40" w:rsidRDefault="00000000">
      <w:pPr>
        <w:pStyle w:val="Zkladntext120"/>
        <w:framePr w:wrap="none" w:vAnchor="page" w:hAnchor="page" w:x="10297" w:y="7569"/>
        <w:tabs>
          <w:tab w:val="left" w:pos="278"/>
        </w:tabs>
        <w:jc w:val="both"/>
      </w:pPr>
      <w:r>
        <w:rPr>
          <w:color w:val="010102"/>
          <w:vertAlign w:val="superscript"/>
        </w:rPr>
        <w:t>1</w:t>
      </w:r>
      <w:r>
        <w:rPr>
          <w:color w:val="010102"/>
        </w:rPr>
        <w:tab/>
        <w:t>ŘEŠENÉ ÚZEMÍ</w:t>
      </w:r>
    </w:p>
    <w:p w14:paraId="7F39D48A" w14:textId="77777777" w:rsidR="00EC1C40" w:rsidRDefault="00000000">
      <w:pPr>
        <w:pStyle w:val="Zkladntext120"/>
        <w:framePr w:wrap="none" w:vAnchor="page" w:hAnchor="page" w:x="10292" w:y="7864"/>
        <w:jc w:val="both"/>
      </w:pPr>
      <w:r>
        <w:rPr>
          <w:color w:val="010102"/>
        </w:rPr>
        <w:t>Plochy s rozdílným způsobem využití</w:t>
      </w:r>
    </w:p>
    <w:p w14:paraId="689BB734" w14:textId="77777777" w:rsidR="00EC1C40" w:rsidRDefault="00000000">
      <w:pPr>
        <w:pStyle w:val="Zkladntext120"/>
        <w:framePr w:w="557" w:h="526" w:hRule="exact" w:wrap="none" w:vAnchor="page" w:hAnchor="page" w:x="10580" w:y="7958"/>
        <w:jc w:val="both"/>
      </w:pPr>
      <w:r>
        <w:rPr>
          <w:color w:val="010102"/>
        </w:rPr>
        <w:t>VEŘEJNÁ PROSTRANSTVÍ</w:t>
      </w:r>
    </w:p>
    <w:p w14:paraId="38D03682" w14:textId="77777777" w:rsidR="00EC1C40" w:rsidRDefault="00000000">
      <w:pPr>
        <w:pStyle w:val="Zkladntext120"/>
        <w:framePr w:w="557" w:h="526" w:hRule="exact" w:wrap="none" w:vAnchor="page" w:hAnchor="page" w:x="10580" w:y="7958"/>
        <w:jc w:val="both"/>
      </w:pPr>
      <w:r>
        <w:rPr>
          <w:color w:val="000000"/>
        </w:rPr>
        <w:t>PLOCHY ZELENĚ VEŘEJNÉ</w:t>
      </w:r>
    </w:p>
    <w:p w14:paraId="26C7F34B" w14:textId="77777777" w:rsidR="00EC1C40" w:rsidRDefault="00000000">
      <w:pPr>
        <w:pStyle w:val="Zkladntext120"/>
        <w:framePr w:w="557" w:h="526" w:hRule="exact" w:wrap="none" w:vAnchor="page" w:hAnchor="page" w:x="10580" w:y="7958"/>
        <w:jc w:val="both"/>
      </w:pPr>
      <w:r>
        <w:t>OBČANSKÉ VYBAVENÍ - KOMERČNÍ</w:t>
      </w:r>
    </w:p>
    <w:p w14:paraId="5FCD4475" w14:textId="77777777" w:rsidR="00EC1C40" w:rsidRDefault="00000000">
      <w:pPr>
        <w:pStyle w:val="Zkladntext120"/>
        <w:framePr w:w="557" w:h="526" w:hRule="exact" w:wrap="none" w:vAnchor="page" w:hAnchor="page" w:x="10580" w:y="7958"/>
        <w:jc w:val="both"/>
      </w:pPr>
      <w:r>
        <w:t>OBČANSKÉ VYBAVENÍ - SPORT</w:t>
      </w:r>
    </w:p>
    <w:p w14:paraId="60C82FE4" w14:textId="77777777" w:rsidR="00EC1C40" w:rsidRDefault="00000000">
      <w:pPr>
        <w:pStyle w:val="Zkladntext120"/>
        <w:framePr w:w="557" w:h="526" w:hRule="exact" w:wrap="none" w:vAnchor="page" w:hAnchor="page" w:x="10580" w:y="7958"/>
        <w:jc w:val="both"/>
      </w:pPr>
      <w:r>
        <w:rPr>
          <w:color w:val="010102"/>
        </w:rPr>
        <w:t>OBČANSKÉ VYBAVENÍ - VEŘEJNÉ</w:t>
      </w:r>
    </w:p>
    <w:p w14:paraId="7AE2338A" w14:textId="77777777" w:rsidR="00EC1C40" w:rsidRDefault="00000000">
      <w:pPr>
        <w:pStyle w:val="Zkladntext120"/>
        <w:framePr w:w="446" w:h="310" w:hRule="exact" w:wrap="none" w:vAnchor="page" w:hAnchor="page" w:x="10575" w:y="8486"/>
        <w:jc w:val="both"/>
      </w:pPr>
      <w:r>
        <w:t>BYDLENÍ HROMADNÉ</w:t>
      </w:r>
    </w:p>
    <w:p w14:paraId="52E01CAF" w14:textId="77777777" w:rsidR="00EC1C40" w:rsidRDefault="00000000">
      <w:pPr>
        <w:pStyle w:val="Zkladntext120"/>
        <w:framePr w:w="446" w:h="310" w:hRule="exact" w:wrap="none" w:vAnchor="page" w:hAnchor="page" w:x="10575" w:y="8486"/>
        <w:jc w:val="both"/>
      </w:pPr>
      <w:r>
        <w:t>BYDLENÍ INDIVIDUÁLNÍ</w:t>
      </w:r>
    </w:p>
    <w:p w14:paraId="7AB9409C" w14:textId="77777777" w:rsidR="00EC1C40" w:rsidRDefault="00000000">
      <w:pPr>
        <w:pStyle w:val="Zkladntext120"/>
        <w:framePr w:w="446" w:h="310" w:hRule="exact" w:wrap="none" w:vAnchor="page" w:hAnchor="page" w:x="10575" w:y="8486"/>
        <w:jc w:val="both"/>
      </w:pPr>
      <w:r>
        <w:t>PLOCHY DOPRAVY V KLIDU</w:t>
      </w:r>
    </w:p>
    <w:p w14:paraId="2FF0951D" w14:textId="77777777" w:rsidR="00EC1C40" w:rsidRDefault="00000000">
      <w:pPr>
        <w:pStyle w:val="Zkladntext120"/>
        <w:framePr w:wrap="none" w:vAnchor="page" w:hAnchor="page" w:x="10580" w:y="8798"/>
        <w:jc w:val="both"/>
      </w:pPr>
      <w:r>
        <w:rPr>
          <w:color w:val="000000"/>
        </w:rPr>
        <w:t>TECHNICKÁ INFRASTRUKTURA</w:t>
      </w:r>
    </w:p>
    <w:p w14:paraId="3B953780" w14:textId="77777777" w:rsidR="00EC1C40" w:rsidRDefault="00000000">
      <w:pPr>
        <w:pStyle w:val="Zkladntext120"/>
        <w:framePr w:wrap="none" w:vAnchor="page" w:hAnchor="page" w:x="10575" w:y="8898"/>
        <w:jc w:val="both"/>
      </w:pPr>
      <w:r>
        <w:t>NEZASTAVITELNÁ ČÁST STAVEBNÍHO BLOKU</w:t>
      </w:r>
    </w:p>
    <w:p w14:paraId="667F0BA7" w14:textId="77777777" w:rsidR="00EC1C40" w:rsidRDefault="00000000">
      <w:pPr>
        <w:pStyle w:val="Zkladntext120"/>
        <w:framePr w:wrap="none" w:vAnchor="page" w:hAnchor="page" w:x="10719" w:y="8918"/>
        <w:jc w:val="both"/>
      </w:pPr>
      <w:r>
        <w:t>- PODMÍNĚNO VYDÁNÍM ZMĚNY ÚZEMNÍHO PLÁNU</w:t>
      </w:r>
    </w:p>
    <w:p w14:paraId="32EF03EC" w14:textId="77777777" w:rsidR="00EC1C40" w:rsidRDefault="00000000">
      <w:pPr>
        <w:pStyle w:val="Zkladntext120"/>
        <w:framePr w:wrap="none" w:vAnchor="page" w:hAnchor="page" w:x="10575" w:y="9004"/>
        <w:jc w:val="both"/>
      </w:pPr>
      <w:r>
        <w:t>PLOCHY SMÍŠENÉ MĚSTSKÉ</w:t>
      </w:r>
    </w:p>
    <w:p w14:paraId="1676510D" w14:textId="77777777" w:rsidR="00EC1C40" w:rsidRDefault="00000000">
      <w:pPr>
        <w:pStyle w:val="Zkladntext120"/>
        <w:framePr w:w="614" w:h="168" w:hRule="exact" w:wrap="none" w:vAnchor="page" w:hAnchor="page" w:x="10292" w:y="9275"/>
      </w:pPr>
      <w:r>
        <w:rPr>
          <w:color w:val="010102"/>
        </w:rPr>
        <w:t>Prostorové regulativy</w:t>
      </w:r>
    </w:p>
    <w:p w14:paraId="54100ACE" w14:textId="77777777" w:rsidR="00EC1C40" w:rsidRDefault="00000000">
      <w:pPr>
        <w:pStyle w:val="Zkladntext120"/>
        <w:framePr w:w="614" w:h="168" w:hRule="exact" w:wrap="none" w:vAnchor="page" w:hAnchor="page" w:x="10292" w:y="9275"/>
        <w:tabs>
          <w:tab w:val="left" w:leader="hyphen" w:pos="238"/>
        </w:tabs>
        <w:spacing w:line="180" w:lineRule="auto"/>
        <w:jc w:val="both"/>
      </w:pPr>
      <w:r>
        <w:rPr>
          <w:color w:val="000000"/>
        </w:rPr>
        <w:tab/>
        <w:t xml:space="preserve"> ULIČNÍ ČÁRA</w:t>
      </w:r>
    </w:p>
    <w:p w14:paraId="067B6BB0" w14:textId="77777777" w:rsidR="00EC1C40" w:rsidRDefault="00000000">
      <w:pPr>
        <w:pStyle w:val="Zkladntext120"/>
        <w:framePr w:w="936" w:h="331" w:hRule="exact" w:wrap="none" w:vAnchor="page" w:hAnchor="page" w:x="10292" w:y="9446"/>
        <w:tabs>
          <w:tab w:val="left" w:leader="hyphen" w:pos="240"/>
        </w:tabs>
        <w:jc w:val="both"/>
      </w:pPr>
      <w:r>
        <w:rPr>
          <w:color w:val="EC1C23"/>
        </w:rPr>
        <w:tab/>
        <w:t xml:space="preserve"> </w:t>
      </w:r>
      <w:r>
        <w:t>STAVEBNÍ ČÁRA - PEVNÁ</w:t>
      </w:r>
    </w:p>
    <w:p w14:paraId="47DEF32A" w14:textId="77777777" w:rsidR="00EC1C40" w:rsidRDefault="00000000">
      <w:pPr>
        <w:pStyle w:val="Zkladntext120"/>
        <w:framePr w:w="936" w:h="331" w:hRule="exact" w:wrap="none" w:vAnchor="page" w:hAnchor="page" w:x="10292" w:y="9446"/>
        <w:tabs>
          <w:tab w:val="left" w:leader="hyphen" w:pos="238"/>
        </w:tabs>
        <w:jc w:val="both"/>
      </w:pPr>
      <w:r>
        <w:rPr>
          <w:color w:val="EC1C23"/>
        </w:rPr>
        <w:tab/>
      </w:r>
      <w:r>
        <w:t>STAVEBNÍ ČÁRA - NEPŘEKROČITELNÁ</w:t>
      </w:r>
    </w:p>
    <w:p w14:paraId="4F235CE3" w14:textId="77777777" w:rsidR="00EC1C40" w:rsidRDefault="00000000">
      <w:pPr>
        <w:pStyle w:val="Zkladntext120"/>
        <w:framePr w:w="936" w:h="331" w:hRule="exact" w:wrap="none" w:vAnchor="page" w:hAnchor="page" w:x="10292" w:y="9446"/>
        <w:tabs>
          <w:tab w:val="left" w:leader="hyphen" w:pos="235"/>
        </w:tabs>
        <w:jc w:val="both"/>
      </w:pPr>
      <w:r>
        <w:tab/>
        <w:t xml:space="preserve"> HRANICE OBJEKTU S FIXNÍM UMÍSTĚNÍM</w:t>
      </w:r>
    </w:p>
    <w:p w14:paraId="1AAF4702" w14:textId="77777777" w:rsidR="00EC1C40" w:rsidRDefault="00000000">
      <w:pPr>
        <w:pStyle w:val="Zkladntext120"/>
        <w:framePr w:wrap="none" w:vAnchor="page" w:hAnchor="page" w:x="10580" w:y="9789"/>
        <w:jc w:val="both"/>
      </w:pPr>
      <w:r>
        <w:t>POVINNOST OBČANSKÉHO VYBAVENÍ V PŘÍZEMÍ DOMŮ</w:t>
      </w:r>
    </w:p>
    <w:p w14:paraId="5143E9B3" w14:textId="77777777" w:rsidR="00EC1C40" w:rsidRDefault="00000000">
      <w:pPr>
        <w:pStyle w:val="Zkladntext120"/>
        <w:framePr w:wrap="none" w:vAnchor="page" w:hAnchor="page" w:x="10580" w:y="9906"/>
        <w:jc w:val="both"/>
      </w:pPr>
      <w:r>
        <w:t>VÝŠKOVÁ DOMINANTA</w:t>
      </w:r>
    </w:p>
    <w:p w14:paraId="356946EE" w14:textId="77777777" w:rsidR="00EC1C40" w:rsidRDefault="00000000">
      <w:pPr>
        <w:pStyle w:val="Jin0"/>
        <w:framePr w:w="206" w:h="118" w:hRule="exact" w:wrap="none" w:vAnchor="page" w:hAnchor="page" w:x="10306" w:y="10007"/>
        <w:spacing w:after="0"/>
        <w:jc w:val="right"/>
        <w:rPr>
          <w:sz w:val="8"/>
          <w:szCs w:val="8"/>
        </w:rPr>
      </w:pPr>
      <w:r>
        <w:rPr>
          <w:rFonts w:ascii="Century Gothic" w:eastAsia="Century Gothic" w:hAnsi="Century Gothic" w:cs="Century Gothic"/>
          <w:color w:val="000000"/>
          <w:sz w:val="8"/>
          <w:szCs w:val="8"/>
        </w:rPr>
        <w:t>50% / 50%</w:t>
      </w:r>
    </w:p>
    <w:p w14:paraId="22D2D634" w14:textId="77777777" w:rsidR="00EC1C40" w:rsidRDefault="00000000">
      <w:pPr>
        <w:pStyle w:val="Zkladntext120"/>
        <w:framePr w:wrap="none" w:vAnchor="page" w:hAnchor="page" w:x="10580" w:y="10007"/>
        <w:jc w:val="both"/>
      </w:pPr>
      <w:r>
        <w:t>MAXIMÁLNÍ ZASTAVĚNOST POZEMKU</w:t>
      </w:r>
    </w:p>
    <w:p w14:paraId="0D705625" w14:textId="77777777" w:rsidR="00EC1C40" w:rsidRDefault="00000000">
      <w:pPr>
        <w:pStyle w:val="Zkladntext120"/>
        <w:framePr w:wrap="none" w:vAnchor="page" w:hAnchor="page" w:x="10753" w:y="10024"/>
        <w:jc w:val="both"/>
      </w:pPr>
      <w:r>
        <w:t>/ MINIMÁLNÍ PODÍL ZELENĚ</w:t>
      </w:r>
    </w:p>
    <w:p w14:paraId="29A58755" w14:textId="77777777" w:rsidR="00EC1C40" w:rsidRDefault="00000000">
      <w:pPr>
        <w:pStyle w:val="Zkladntext120"/>
        <w:framePr w:wrap="none" w:vAnchor="page" w:hAnchor="page" w:x="10292" w:y="10132"/>
        <w:tabs>
          <w:tab w:val="left" w:leader="hyphen" w:pos="218"/>
        </w:tabs>
        <w:jc w:val="both"/>
      </w:pPr>
      <w:r>
        <w:rPr>
          <w:color w:val="334273"/>
        </w:rPr>
        <w:t>«</w:t>
      </w:r>
      <w:r>
        <w:rPr>
          <w:color w:val="334273"/>
        </w:rPr>
        <w:tab/>
        <w:t xml:space="preserve">&gt; PLOVOUCÍ POLOHA ULICE (S </w:t>
      </w:r>
      <w:r>
        <w:t>VYZNAČENÍM PROFILU)</w:t>
      </w:r>
    </w:p>
    <w:p w14:paraId="4E45A311" w14:textId="77777777" w:rsidR="00EC1C40" w:rsidRDefault="00000000">
      <w:pPr>
        <w:pStyle w:val="Zkladntext120"/>
        <w:framePr w:w="1502" w:h="245" w:hRule="exact" w:wrap="none" w:vAnchor="page" w:hAnchor="page" w:x="10311" w:y="10307"/>
        <w:tabs>
          <w:tab w:val="left" w:pos="286"/>
        </w:tabs>
        <w:jc w:val="both"/>
      </w:pPr>
      <w:r>
        <w:rPr>
          <w:rFonts w:ascii="Arial" w:eastAsia="Arial" w:hAnsi="Arial" w:cs="Arial"/>
          <w:color w:val="010102"/>
          <w:u w:val="single"/>
        </w:rPr>
        <w:t>L4-0</w:t>
      </w:r>
      <w:r>
        <w:rPr>
          <w:rFonts w:ascii="Arial" w:eastAsia="Arial" w:hAnsi="Arial" w:cs="Arial"/>
          <w:color w:val="010102"/>
        </w:rPr>
        <w:t xml:space="preserve"> </w:t>
      </w:r>
      <w:r>
        <w:rPr>
          <w:rFonts w:ascii="Arial" w:eastAsia="Arial" w:hAnsi="Arial" w:cs="Arial"/>
          <w:color w:val="010102"/>
          <w:lang w:val="en-US" w:eastAsia="en-US" w:bidi="en-US"/>
        </w:rPr>
        <w:t>I</w:t>
      </w:r>
      <w:r>
        <w:rPr>
          <w:rFonts w:ascii="Arial" w:eastAsia="Arial" w:hAnsi="Arial" w:cs="Arial"/>
          <w:color w:val="010102"/>
          <w:lang w:val="en-US" w:eastAsia="en-US" w:bidi="en-US"/>
        </w:rPr>
        <w:tab/>
      </w:r>
      <w:r>
        <w:rPr>
          <w:color w:val="010102"/>
        </w:rPr>
        <w:t xml:space="preserve">ZNA </w:t>
      </w:r>
      <w:r>
        <w:rPr>
          <w:color w:val="010102"/>
          <w:lang w:val="en-US" w:eastAsia="en-US" w:bidi="en-US"/>
        </w:rPr>
        <w:t xml:space="preserve">ENI </w:t>
      </w:r>
      <w:r>
        <w:rPr>
          <w:color w:val="010102"/>
        </w:rPr>
        <w:t xml:space="preserve">USP ŘÁDÁNI </w:t>
      </w:r>
      <w:r>
        <w:rPr>
          <w:color w:val="010102"/>
          <w:lang w:val="en-US" w:eastAsia="en-US" w:bidi="en-US"/>
        </w:rPr>
        <w:t xml:space="preserve">ULI </w:t>
      </w:r>
      <w:r>
        <w:rPr>
          <w:color w:val="010102"/>
        </w:rPr>
        <w:t xml:space="preserve">NIH </w:t>
      </w:r>
      <w:r>
        <w:rPr>
          <w:color w:val="010102"/>
          <w:lang w:val="en-US" w:eastAsia="en-US" w:bidi="en-US"/>
        </w:rPr>
        <w:t xml:space="preserve">PR </w:t>
      </w:r>
      <w:r>
        <w:rPr>
          <w:color w:val="010102"/>
        </w:rPr>
        <w:t xml:space="preserve">FILU ( IŘKA </w:t>
      </w:r>
      <w:r>
        <w:rPr>
          <w:color w:val="010102"/>
          <w:lang w:val="en-US" w:eastAsia="en-US" w:bidi="en-US"/>
        </w:rPr>
        <w:t xml:space="preserve">PR </w:t>
      </w:r>
      <w:r>
        <w:rPr>
          <w:color w:val="010102"/>
        </w:rPr>
        <w:t>FILU PŘAD VEI-L)</w:t>
      </w:r>
    </w:p>
    <w:p w14:paraId="608D9F30" w14:textId="77777777" w:rsidR="00EC1C40" w:rsidRDefault="00000000">
      <w:pPr>
        <w:pStyle w:val="Zkladntext120"/>
        <w:framePr w:w="1502" w:h="245" w:hRule="exact" w:wrap="none" w:vAnchor="page" w:hAnchor="page" w:x="10311" w:y="10307"/>
        <w:spacing w:line="180" w:lineRule="auto"/>
        <w:jc w:val="both"/>
      </w:pPr>
      <w:r>
        <w:t>POŘADOVÉ ČÍSLO ÚSEKU DANÉHO PROFILU</w:t>
      </w:r>
    </w:p>
    <w:p w14:paraId="3420D060" w14:textId="77777777" w:rsidR="00EC1C40" w:rsidRDefault="00000000">
      <w:pPr>
        <w:pStyle w:val="Zkladntext120"/>
        <w:framePr w:w="1502" w:h="245" w:hRule="exact" w:wrap="none" w:vAnchor="page" w:hAnchor="page" w:x="10311" w:y="10307"/>
        <w:spacing w:line="180" w:lineRule="auto"/>
        <w:jc w:val="both"/>
      </w:pPr>
      <w:r>
        <w:t>POŘADOVÉ ČÍSLO PROFILU SE STEJNOU ŠÍŘKOU</w:t>
      </w:r>
    </w:p>
    <w:p w14:paraId="69E6C7D7" w14:textId="77777777" w:rsidR="00EC1C40" w:rsidRDefault="00000000">
      <w:pPr>
        <w:pStyle w:val="Zkladntext120"/>
        <w:framePr w:wrap="none" w:vAnchor="page" w:hAnchor="page" w:x="10330" w:y="10526"/>
        <w:jc w:val="both"/>
      </w:pPr>
      <w:r>
        <w:rPr>
          <w:color w:val="000000"/>
        </w:rPr>
        <w:t>ŠÍŘKA PROFILU</w:t>
      </w:r>
    </w:p>
    <w:p w14:paraId="558D828F" w14:textId="77777777" w:rsidR="00EC1C40" w:rsidRDefault="00000000">
      <w:pPr>
        <w:pStyle w:val="Zkladntext120"/>
        <w:framePr w:w="1550" w:h="516" w:hRule="exact" w:wrap="none" w:vAnchor="page" w:hAnchor="page" w:x="10369" w:y="10785"/>
        <w:spacing w:line="0" w:lineRule="atLeast"/>
        <w:jc w:val="both"/>
      </w:pPr>
      <w:r>
        <w:rPr>
          <w:color w:val="000000"/>
        </w:rPr>
        <w:t>POŘADOVÉ ČÍSLO DANÉHO BLOKU</w:t>
      </w:r>
    </w:p>
    <w:p w14:paraId="30D680AA" w14:textId="77777777" w:rsidR="00EC1C40" w:rsidRDefault="00000000">
      <w:pPr>
        <w:pStyle w:val="Zkladntext120"/>
        <w:framePr w:w="1550" w:h="516" w:hRule="exact" w:wrap="none" w:vAnchor="page" w:hAnchor="page" w:x="10369" w:y="10785"/>
        <w:spacing w:line="0" w:lineRule="atLeast"/>
        <w:jc w:val="both"/>
      </w:pPr>
      <w:r>
        <w:t xml:space="preserve"> CELKOVÁ HRUBÁ PODLAŽNÍ PLOCHA MAXIMÁLNÍCH OBJEKTŮ V BLOKU</w:t>
      </w:r>
    </w:p>
    <w:p w14:paraId="3012D5FF" w14:textId="77777777" w:rsidR="00EC1C40" w:rsidRDefault="00000000">
      <w:pPr>
        <w:pStyle w:val="Jin0"/>
        <w:framePr w:w="1550" w:h="516" w:hRule="exact" w:wrap="none" w:vAnchor="page" w:hAnchor="page" w:x="10369" w:y="10785"/>
        <w:numPr>
          <w:ilvl w:val="0"/>
          <w:numId w:val="102"/>
        </w:numPr>
        <w:tabs>
          <w:tab w:val="left" w:pos="94"/>
        </w:tabs>
        <w:spacing w:after="0"/>
        <w:rPr>
          <w:sz w:val="8"/>
          <w:szCs w:val="8"/>
        </w:rPr>
      </w:pPr>
      <w:r>
        <w:rPr>
          <w:rFonts w:ascii="Century Gothic" w:eastAsia="Century Gothic" w:hAnsi="Century Gothic" w:cs="Century Gothic"/>
          <w:color w:val="010102"/>
          <w:sz w:val="8"/>
          <w:szCs w:val="8"/>
        </w:rPr>
        <w:t>I HPP: 15600</w:t>
      </w:r>
    </w:p>
    <w:p w14:paraId="5DA8621D" w14:textId="77777777" w:rsidR="00EC1C40" w:rsidRDefault="00000000">
      <w:pPr>
        <w:pStyle w:val="Zkladntext120"/>
        <w:framePr w:w="1550" w:h="516" w:hRule="exact" w:wrap="none" w:vAnchor="page" w:hAnchor="page" w:x="10369" w:y="10785"/>
        <w:spacing w:line="0" w:lineRule="atLeast"/>
        <w:ind w:left="520"/>
        <w:jc w:val="right"/>
      </w:pPr>
      <w:r>
        <w:t xml:space="preserve">MAXIMÁLNÍ MOŽNÁ PODLAŽNOST OBJEKTŮ V DANÉM BLOKU </w:t>
      </w:r>
      <w:r>
        <w:rPr>
          <w:color w:val="000000"/>
        </w:rPr>
        <w:t>(U = USTUPUJÍCÍ PODLAŽÍ)</w:t>
      </w:r>
    </w:p>
    <w:p w14:paraId="1FC8E182" w14:textId="77777777" w:rsidR="00EC1C40" w:rsidRDefault="00000000">
      <w:pPr>
        <w:pStyle w:val="Zkladntext120"/>
        <w:framePr w:w="1550" w:h="516" w:hRule="exact" w:wrap="none" w:vAnchor="page" w:hAnchor="page" w:x="10369" w:y="10785"/>
        <w:tabs>
          <w:tab w:val="left" w:pos="550"/>
        </w:tabs>
        <w:spacing w:line="0" w:lineRule="atLeast"/>
        <w:ind w:firstLine="140"/>
        <w:jc w:val="both"/>
      </w:pPr>
      <w:r>
        <w:rPr>
          <w:rFonts w:ascii="Century Gothic" w:eastAsia="Century Gothic" w:hAnsi="Century Gothic" w:cs="Century Gothic"/>
          <w:smallCaps/>
          <w:color w:val="5B8AB9"/>
          <w:sz w:val="20"/>
          <w:szCs w:val="20"/>
        </w:rPr>
        <w:t>23 m</w:t>
      </w:r>
      <w:r>
        <w:rPr>
          <w:color w:val="5B8AB9"/>
        </w:rPr>
        <w:tab/>
      </w:r>
      <w:r>
        <w:t>MAXIMÁLNÍ MOŽNÁ VÝŠKA ZÁSTAVBY OBJEKTŮ V DANÉM BLOKU</w:t>
      </w:r>
    </w:p>
    <w:p w14:paraId="787FEC13" w14:textId="77777777" w:rsidR="00EC1C40" w:rsidRDefault="00000000">
      <w:pPr>
        <w:pStyle w:val="Jin0"/>
        <w:framePr w:w="1550" w:h="516" w:hRule="exact" w:wrap="none" w:vAnchor="page" w:hAnchor="page" w:x="10369" w:y="10785"/>
        <w:pBdr>
          <w:bottom w:val="single" w:sz="4" w:space="0" w:color="auto"/>
        </w:pBdr>
        <w:spacing w:after="0" w:line="180" w:lineRule="auto"/>
        <w:jc w:val="both"/>
        <w:rPr>
          <w:sz w:val="8"/>
          <w:szCs w:val="8"/>
        </w:rPr>
      </w:pPr>
      <w:r>
        <w:rPr>
          <w:rFonts w:ascii="Century Gothic" w:eastAsia="Century Gothic" w:hAnsi="Century Gothic" w:cs="Century Gothic"/>
          <w:color w:val="010102"/>
          <w:sz w:val="8"/>
          <w:szCs w:val="8"/>
        </w:rPr>
        <w:t>40% / 50%</w:t>
      </w:r>
    </w:p>
    <w:p w14:paraId="5E90896A" w14:textId="77777777" w:rsidR="00EC1C40" w:rsidRDefault="00000000">
      <w:pPr>
        <w:pStyle w:val="Zkladntext120"/>
        <w:framePr w:w="850" w:h="156" w:hRule="exact" w:wrap="none" w:vAnchor="page" w:hAnchor="page" w:x="10349" w:y="11310"/>
        <w:tabs>
          <w:tab w:val="left" w:pos="470"/>
        </w:tabs>
        <w:jc w:val="both"/>
      </w:pPr>
      <w:r>
        <w:t>MAXIMÁLNÍ % ZÁSTAVBY</w:t>
      </w:r>
      <w:r>
        <w:tab/>
        <w:t>MINIMÁLNÍ % ZELENĚ</w:t>
      </w:r>
    </w:p>
    <w:p w14:paraId="69F492BA" w14:textId="77777777" w:rsidR="00EC1C40" w:rsidRDefault="00000000">
      <w:pPr>
        <w:pStyle w:val="Zkladntext120"/>
        <w:framePr w:w="850" w:h="156" w:hRule="exact" w:wrap="none" w:vAnchor="page" w:hAnchor="page" w:x="10349" w:y="11310"/>
        <w:tabs>
          <w:tab w:val="left" w:pos="458"/>
        </w:tabs>
        <w:spacing w:line="180" w:lineRule="auto"/>
        <w:jc w:val="both"/>
      </w:pPr>
      <w:r>
        <w:t>V DANÉM BLOKU</w:t>
      </w:r>
      <w:r>
        <w:tab/>
        <w:t>V DANÉM BLOKU</w:t>
      </w:r>
    </w:p>
    <w:p w14:paraId="66ADE700" w14:textId="77777777" w:rsidR="00EC1C40" w:rsidRDefault="00000000">
      <w:pPr>
        <w:pStyle w:val="Zkladntext120"/>
        <w:framePr w:w="874" w:h="192" w:hRule="exact" w:wrap="none" w:vAnchor="page" w:hAnchor="page" w:x="10441" w:y="11469"/>
      </w:pPr>
      <w:r>
        <w:t>* VÝŠKA KORUNNÍ ŘÍMSY V ROZMEZÍ 35-48 M</w:t>
      </w:r>
    </w:p>
    <w:p w14:paraId="3883C763" w14:textId="77777777" w:rsidR="00EC1C40" w:rsidRDefault="00000000">
      <w:pPr>
        <w:pStyle w:val="Zkladntext120"/>
        <w:framePr w:w="874" w:h="192" w:hRule="exact" w:wrap="none" w:vAnchor="page" w:hAnchor="page" w:x="10441" w:y="11469"/>
        <w:spacing w:line="192" w:lineRule="auto"/>
      </w:pPr>
      <w:r>
        <w:t>VŠECHNY VÝŠKY JSOU BRÁNY OD UPRAVENÉHO TERÉNU</w:t>
      </w:r>
    </w:p>
    <w:p w14:paraId="3284F962" w14:textId="77777777" w:rsidR="00EC1C40" w:rsidRDefault="00000000">
      <w:pPr>
        <w:pStyle w:val="Zkladntext90"/>
        <w:framePr w:w="1613" w:h="485" w:hRule="exact" w:wrap="none" w:vAnchor="page" w:hAnchor="page" w:x="10349" w:y="11831"/>
        <w:spacing w:line="310" w:lineRule="auto"/>
      </w:pPr>
      <w:r>
        <w:rPr>
          <w:b w:val="0"/>
          <w:bCs w:val="0"/>
          <w:color w:val="231E20"/>
        </w:rPr>
        <w:t xml:space="preserve">MULTIFUNKČNÍ HOKEJOVÁ ARÉNA PARDUBICE </w:t>
      </w:r>
      <w:r>
        <w:rPr>
          <w:b w:val="0"/>
          <w:bCs w:val="0"/>
          <w:color w:val="231E20"/>
          <w:sz w:val="10"/>
          <w:szCs w:val="10"/>
        </w:rPr>
        <w:t xml:space="preserve">SOUTISK S REGULAČNÍM VÝKRESEM ÚS </w:t>
      </w:r>
      <w:r>
        <w:rPr>
          <w:b w:val="0"/>
          <w:bCs w:val="0"/>
          <w:color w:val="231E20"/>
        </w:rPr>
        <w:t>MĚŘÍTKO: 1:600</w:t>
      </w:r>
    </w:p>
    <w:p w14:paraId="325FE4F7" w14:textId="77777777" w:rsidR="00EC1C40" w:rsidRDefault="00000000">
      <w:pPr>
        <w:pStyle w:val="Zkladntext90"/>
        <w:framePr w:w="1613" w:h="485" w:hRule="exact" w:wrap="none" w:vAnchor="page" w:hAnchor="page" w:x="10349" w:y="11831"/>
        <w:spacing w:line="206" w:lineRule="auto"/>
        <w:jc w:val="both"/>
      </w:pPr>
      <w:r>
        <w:rPr>
          <w:b w:val="0"/>
          <w:bCs w:val="0"/>
          <w:color w:val="231E20"/>
        </w:rPr>
        <w:t>DATUM: 29.08.2025</w:t>
      </w:r>
    </w:p>
    <w:p w14:paraId="23DFB2B2" w14:textId="77777777" w:rsidR="00EC1C40" w:rsidRDefault="00000000">
      <w:pPr>
        <w:spacing w:line="1" w:lineRule="exact"/>
        <w:sectPr w:rsidR="00EC1C40">
          <w:pgSz w:w="12148" w:h="17375"/>
          <w:pgMar w:top="360" w:right="360" w:bottom="360" w:left="360" w:header="0" w:footer="3" w:gutter="0"/>
          <w:cols w:space="720"/>
          <w:noEndnote/>
          <w:docGrid w:linePitch="360"/>
        </w:sectPr>
      </w:pPr>
      <w:r>
        <w:rPr>
          <w:noProof/>
        </w:rPr>
        <w:drawing>
          <wp:anchor distT="0" distB="0" distL="0" distR="0" simplePos="0" relativeHeight="251725312" behindDoc="1" locked="0" layoutInCell="1" allowOverlap="1" wp14:anchorId="66380EE8" wp14:editId="0FA0BC4A">
            <wp:simplePos x="0" y="0"/>
            <wp:positionH relativeFrom="page">
              <wp:posOffset>81915</wp:posOffset>
            </wp:positionH>
            <wp:positionV relativeFrom="page">
              <wp:posOffset>3208655</wp:posOffset>
            </wp:positionV>
            <wp:extent cx="6382385" cy="4657090"/>
            <wp:effectExtent l="0" t="0" r="0" b="0"/>
            <wp:wrapNone/>
            <wp:docPr id="187" name="Shape 187"/>
            <wp:cNvGraphicFramePr/>
            <a:graphic xmlns:a="http://schemas.openxmlformats.org/drawingml/2006/main">
              <a:graphicData uri="http://schemas.openxmlformats.org/drawingml/2006/picture">
                <pic:pic xmlns:pic="http://schemas.openxmlformats.org/drawingml/2006/picture">
                  <pic:nvPicPr>
                    <pic:cNvPr id="188" name="Picture box 188"/>
                    <pic:cNvPicPr/>
                  </pic:nvPicPr>
                  <pic:blipFill>
                    <a:blip r:embed="rId57"/>
                    <a:stretch/>
                  </pic:blipFill>
                  <pic:spPr>
                    <a:xfrm>
                      <a:off x="0" y="0"/>
                      <a:ext cx="6382385" cy="4657090"/>
                    </a:xfrm>
                    <a:prstGeom prst="rect">
                      <a:avLst/>
                    </a:prstGeom>
                  </pic:spPr>
                </pic:pic>
              </a:graphicData>
            </a:graphic>
          </wp:anchor>
        </w:drawing>
      </w:r>
    </w:p>
    <w:p w14:paraId="57D71DC5" w14:textId="77777777" w:rsidR="00EC1C40" w:rsidRDefault="00EC1C40">
      <w:pPr>
        <w:spacing w:line="1" w:lineRule="exact"/>
      </w:pPr>
    </w:p>
    <w:p w14:paraId="729DF6DD" w14:textId="77777777" w:rsidR="00EC1C40" w:rsidRDefault="00000000">
      <w:pPr>
        <w:pStyle w:val="Zkladntext80"/>
        <w:framePr w:w="9139" w:h="638" w:hRule="exact" w:wrap="none" w:vAnchor="page" w:hAnchor="page" w:x="1503" w:y="5079"/>
        <w:rPr>
          <w:sz w:val="50"/>
          <w:szCs w:val="50"/>
        </w:rPr>
      </w:pPr>
      <w:r>
        <w:t>Příloh</w:t>
      </w:r>
      <w:r>
        <w:rPr>
          <w:rFonts w:ascii="Calibri" w:eastAsia="Calibri" w:hAnsi="Calibri" w:cs="Calibri"/>
          <w:b/>
          <w:bCs/>
          <w:smallCaps/>
          <w:sz w:val="50"/>
          <w:szCs w:val="50"/>
        </w:rPr>
        <w:t>a</w:t>
      </w:r>
      <w:r>
        <w:t xml:space="preserve"> č. </w:t>
      </w:r>
      <w:r>
        <w:rPr>
          <w:rFonts w:ascii="Calibri" w:eastAsia="Calibri" w:hAnsi="Calibri" w:cs="Calibri"/>
          <w:b/>
          <w:bCs/>
          <w:smallCaps/>
          <w:sz w:val="50"/>
          <w:szCs w:val="50"/>
        </w:rPr>
        <w:t>15</w:t>
      </w:r>
    </w:p>
    <w:p w14:paraId="3114767F"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7912A380" w14:textId="77777777" w:rsidR="00EC1C40" w:rsidRDefault="00EC1C40">
      <w:pPr>
        <w:spacing w:line="1" w:lineRule="exact"/>
      </w:pPr>
    </w:p>
    <w:p w14:paraId="5B175CA2" w14:textId="77777777" w:rsidR="00EC1C40" w:rsidRDefault="00000000">
      <w:pPr>
        <w:pStyle w:val="Nadpis40"/>
        <w:framePr w:w="9139" w:h="13925" w:hRule="exact" w:wrap="none" w:vAnchor="page" w:hAnchor="page" w:x="1503" w:y="1679"/>
        <w:spacing w:after="140" w:line="295" w:lineRule="auto"/>
        <w:jc w:val="center"/>
      </w:pPr>
      <w:bookmarkStart w:id="138" w:name="bookmark278"/>
      <w:r>
        <w:rPr>
          <w:color w:val="231E20"/>
        </w:rPr>
        <w:t>Odůvodnění veřejné stavby dle čl. I. odst. 6 Zásad statutárního</w:t>
      </w:r>
      <w:r>
        <w:rPr>
          <w:color w:val="231E20"/>
        </w:rPr>
        <w:br/>
        <w:t>města Pardubice pro spolupráci s investory</w:t>
      </w:r>
      <w:bookmarkEnd w:id="138"/>
    </w:p>
    <w:p w14:paraId="2A49ABDD" w14:textId="77777777" w:rsidR="00EC1C40" w:rsidRDefault="00000000">
      <w:pPr>
        <w:pStyle w:val="Zkladntext100"/>
        <w:framePr w:w="9139" w:h="13925" w:hRule="exact" w:wrap="none" w:vAnchor="page" w:hAnchor="page" w:x="1503" w:y="1679"/>
        <w:spacing w:after="140" w:line="276" w:lineRule="auto"/>
        <w:ind w:left="0" w:firstLine="0"/>
        <w:jc w:val="both"/>
      </w:pPr>
      <w:r>
        <w:t>Dle čl. I. odst. 6 Zásad statutárního města Pardubice pro spolupráci s investory (dále jen „</w:t>
      </w:r>
      <w:r>
        <w:rPr>
          <w:b/>
          <w:bCs/>
        </w:rPr>
        <w:t>Zásady</w:t>
      </w:r>
      <w:r>
        <w:t>“) se se rozumí veřejnou stavbou stavby pro sport, občanské vybavení ve smyslu § 2 odst. 1 písm. m) bodu č. 3 stavebního zákona (zákona č. 183/2006 Sb.).</w:t>
      </w:r>
    </w:p>
    <w:p w14:paraId="6752FE2C" w14:textId="77777777" w:rsidR="00EC1C40" w:rsidRDefault="00000000">
      <w:pPr>
        <w:pStyle w:val="Zkladntext100"/>
        <w:framePr w:w="9139" w:h="13925" w:hRule="exact" w:wrap="none" w:vAnchor="page" w:hAnchor="page" w:x="1503" w:y="1679"/>
        <w:numPr>
          <w:ilvl w:val="0"/>
          <w:numId w:val="103"/>
        </w:numPr>
        <w:tabs>
          <w:tab w:val="left" w:pos="753"/>
        </w:tabs>
        <w:spacing w:after="140" w:line="276" w:lineRule="auto"/>
        <w:ind w:left="0" w:firstLine="380"/>
        <w:jc w:val="both"/>
      </w:pPr>
      <w:r>
        <w:t xml:space="preserve">§ 2 </w:t>
      </w:r>
      <w:proofErr w:type="spellStart"/>
      <w:r>
        <w:rPr>
          <w:lang w:val="en-US" w:eastAsia="en-US" w:bidi="en-US"/>
        </w:rPr>
        <w:t>odst</w:t>
      </w:r>
      <w:proofErr w:type="spellEnd"/>
      <w:r>
        <w:rPr>
          <w:lang w:val="en-US" w:eastAsia="en-US" w:bidi="en-US"/>
        </w:rPr>
        <w:t xml:space="preserve">. 1 </w:t>
      </w:r>
      <w:r>
        <w:t xml:space="preserve">písm. </w:t>
      </w:r>
      <w:r>
        <w:rPr>
          <w:lang w:val="en-US" w:eastAsia="en-US" w:bidi="en-US"/>
        </w:rPr>
        <w:t xml:space="preserve">m) </w:t>
      </w:r>
      <w:r>
        <w:t>bodu č. 3 zákona č. 183/2006 Sb. (již zrušený):</w:t>
      </w:r>
    </w:p>
    <w:p w14:paraId="75EDC35C" w14:textId="77777777" w:rsidR="00EC1C40" w:rsidRDefault="00000000">
      <w:pPr>
        <w:pStyle w:val="Zkladntext100"/>
        <w:framePr w:w="9139" w:h="13925" w:hRule="exact" w:wrap="none" w:vAnchor="page" w:hAnchor="page" w:x="1503" w:y="1679"/>
        <w:spacing w:after="140" w:line="271" w:lineRule="auto"/>
        <w:ind w:left="0" w:firstLine="0"/>
        <w:jc w:val="both"/>
      </w:pPr>
      <w:r>
        <w:rPr>
          <w:i/>
          <w:iCs/>
        </w:rPr>
        <w:t>„občanské vybavení, kterým jsou stavby, zařízení a pozemky sloužící například pro vzdělávání a výchovu, sociální služby a péči o rodiny, zdravotní služby, kulturu, veřejnou správu, ochranu obyvatelstva“</w:t>
      </w:r>
    </w:p>
    <w:p w14:paraId="3D6C9769" w14:textId="77777777" w:rsidR="00EC1C40" w:rsidRDefault="00000000">
      <w:pPr>
        <w:pStyle w:val="Zkladntext100"/>
        <w:framePr w:w="9139" w:h="13925" w:hRule="exact" w:wrap="none" w:vAnchor="page" w:hAnchor="page" w:x="1503" w:y="1679"/>
        <w:numPr>
          <w:ilvl w:val="0"/>
          <w:numId w:val="103"/>
        </w:numPr>
        <w:tabs>
          <w:tab w:val="left" w:pos="753"/>
        </w:tabs>
        <w:spacing w:after="140" w:line="276" w:lineRule="auto"/>
        <w:ind w:left="740" w:hanging="340"/>
        <w:jc w:val="both"/>
      </w:pPr>
      <w:r>
        <w:t>vymezení občanského vybavení v rámci nového stavebního zákona (§ 10 odst. 1 písm. d) zákona č. 283/2021 Sb.) je však obdobné:</w:t>
      </w:r>
    </w:p>
    <w:p w14:paraId="09F95BB5" w14:textId="77777777" w:rsidR="00EC1C40" w:rsidRDefault="00000000">
      <w:pPr>
        <w:pStyle w:val="Zkladntext100"/>
        <w:framePr w:w="9139" w:h="13925" w:hRule="exact" w:wrap="none" w:vAnchor="page" w:hAnchor="page" w:x="1503" w:y="1679"/>
        <w:spacing w:after="140" w:line="276" w:lineRule="auto"/>
        <w:ind w:left="0" w:firstLine="0"/>
        <w:jc w:val="both"/>
      </w:pPr>
      <w:r>
        <w:rPr>
          <w:i/>
          <w:iCs/>
        </w:rPr>
        <w:t>„občanské vybavení, kterým jsou stavby, zařízení a pozemky sloužící k zajištění základních potřeb obyvatel, zejména pro vzdělávání, výchovu a sport, sociální a zdravotní služby, kulturu, veřejnou správu a ochranu obyvatelstva“</w:t>
      </w:r>
    </w:p>
    <w:p w14:paraId="3E3FE9F3" w14:textId="77777777" w:rsidR="00EC1C40" w:rsidRDefault="00000000">
      <w:pPr>
        <w:pStyle w:val="Zkladntext100"/>
        <w:framePr w:w="9139" w:h="13925" w:hRule="exact" w:wrap="none" w:vAnchor="page" w:hAnchor="page" w:x="1503" w:y="1679"/>
        <w:spacing w:after="140" w:line="276" w:lineRule="auto"/>
        <w:ind w:left="0" w:firstLine="0"/>
        <w:jc w:val="both"/>
      </w:pPr>
      <w:r>
        <w:t xml:space="preserve">Níže uvedené rozčlenění Investičního záměru na veřejnou stavbu a tu část Investičního záměru, která veřejnou stavbou není, odpovídá dohodnutému rozsahu dle plánovací smlouvy (viz </w:t>
      </w:r>
      <w:r>
        <w:rPr>
          <w:u w:val="single"/>
        </w:rPr>
        <w:t xml:space="preserve">Příloha č. 11 </w:t>
      </w:r>
      <w:r>
        <w:rPr>
          <w:i/>
          <w:iCs/>
        </w:rPr>
        <w:t>Tabulka zpoplatněných HPP</w:t>
      </w:r>
      <w:r>
        <w:t xml:space="preserve"> a </w:t>
      </w:r>
      <w:r>
        <w:rPr>
          <w:u w:val="single"/>
        </w:rPr>
        <w:t>Příloha č. 12</w:t>
      </w:r>
      <w:r>
        <w:t xml:space="preserve"> </w:t>
      </w:r>
      <w:r>
        <w:rPr>
          <w:i/>
          <w:iCs/>
        </w:rPr>
        <w:t>Grafické zobrazení zpoplatněných HPP</w:t>
      </w:r>
      <w:r>
        <w:t>).</w:t>
      </w:r>
    </w:p>
    <w:p w14:paraId="34FED5C9" w14:textId="77777777" w:rsidR="00EC1C40" w:rsidRDefault="00000000">
      <w:pPr>
        <w:pStyle w:val="Zkladntext100"/>
        <w:framePr w:w="9139" w:h="13925" w:hRule="exact" w:wrap="none" w:vAnchor="page" w:hAnchor="page" w:x="1503" w:y="1679"/>
        <w:spacing w:after="140" w:line="276" w:lineRule="auto"/>
        <w:ind w:left="0" w:firstLine="0"/>
        <w:jc w:val="both"/>
      </w:pPr>
      <w:r>
        <w:rPr>
          <w:b/>
          <w:bCs/>
        </w:rPr>
        <w:t>Obecně platí, že Investiční záměr je stavbou pro sport a občanské vybavení ve smyslu čl. I. odst. 6 Zásad, tj. jedná se o soubor staveb, které jsou primárně určeny pro konání sportovních, kulturních a jiných obdobných akcí, respektive stavby, kterou jsou určeny pro využití ze strany veřejnosti.</w:t>
      </w:r>
    </w:p>
    <w:p w14:paraId="2F5C56F0" w14:textId="77777777" w:rsidR="00EC1C40" w:rsidRDefault="00000000">
      <w:pPr>
        <w:pStyle w:val="Zkladntext100"/>
        <w:framePr w:w="9139" w:h="13925" w:hRule="exact" w:wrap="none" w:vAnchor="page" w:hAnchor="page" w:x="1503" w:y="1679"/>
        <w:spacing w:after="140" w:line="276" w:lineRule="auto"/>
        <w:ind w:left="0" w:firstLine="0"/>
        <w:jc w:val="both"/>
      </w:pPr>
      <w:r>
        <w:rPr>
          <w:b/>
          <w:bCs/>
        </w:rPr>
        <w:t xml:space="preserve">S ohledem na skutečnost, že Investiční záměr současně obsahuje i funkce, které nespadají svým funkčním vymezením pod vymezení veřejná stavba ve smyslu čl. I. odst. 6 Zásad, bylo v rámci vyjednávání dohodnuto detailnější rozlišení funkcí (viz </w:t>
      </w:r>
      <w:r>
        <w:rPr>
          <w:b/>
          <w:bCs/>
          <w:u w:val="single"/>
        </w:rPr>
        <w:t>Příloha č. 11</w:t>
      </w:r>
      <w:r>
        <w:rPr>
          <w:b/>
          <w:bCs/>
        </w:rPr>
        <w:t xml:space="preserve"> </w:t>
      </w:r>
      <w:r>
        <w:rPr>
          <w:b/>
          <w:bCs/>
          <w:i/>
          <w:iCs/>
        </w:rPr>
        <w:t>Tabulka zpoplatněných HPP</w:t>
      </w:r>
      <w:r>
        <w:rPr>
          <w:b/>
          <w:bCs/>
        </w:rPr>
        <w:t xml:space="preserve"> a </w:t>
      </w:r>
      <w:r>
        <w:rPr>
          <w:b/>
          <w:bCs/>
          <w:u w:val="single"/>
        </w:rPr>
        <w:t>Příloha č. 12</w:t>
      </w:r>
      <w:r>
        <w:rPr>
          <w:b/>
          <w:bCs/>
        </w:rPr>
        <w:t xml:space="preserve"> </w:t>
      </w:r>
      <w:r>
        <w:rPr>
          <w:b/>
          <w:bCs/>
          <w:i/>
          <w:iCs/>
        </w:rPr>
        <w:t>Grafické zobrazení zpoplatněných HPP</w:t>
      </w:r>
      <w:r>
        <w:rPr>
          <w:b/>
          <w:bCs/>
        </w:rPr>
        <w:t>) na část odpovídající veřejné stavbě a část, která pod tuto funkci nespadá.</w:t>
      </w:r>
    </w:p>
    <w:p w14:paraId="048003A4" w14:textId="77777777" w:rsidR="00EC1C40" w:rsidRDefault="00000000">
      <w:pPr>
        <w:pStyle w:val="Zkladntext100"/>
        <w:framePr w:w="9139" w:h="13925" w:hRule="exact" w:wrap="none" w:vAnchor="page" w:hAnchor="page" w:x="1503" w:y="1679"/>
        <w:spacing w:after="140" w:line="276" w:lineRule="auto"/>
        <w:ind w:left="0" w:firstLine="0"/>
        <w:jc w:val="both"/>
      </w:pPr>
      <w:r>
        <w:t>Níže je obsaženo odůvodnění tohoto detailního rozlišení:</w:t>
      </w:r>
    </w:p>
    <w:p w14:paraId="3E1864DF" w14:textId="77777777" w:rsidR="00EC1C40" w:rsidRDefault="00000000">
      <w:pPr>
        <w:pStyle w:val="Nadpis60"/>
        <w:framePr w:w="9139" w:h="13925" w:hRule="exact" w:wrap="none" w:vAnchor="page" w:hAnchor="page" w:x="1503" w:y="1679"/>
        <w:spacing w:after="140" w:line="276" w:lineRule="auto"/>
        <w:jc w:val="both"/>
      </w:pPr>
      <w:bookmarkStart w:id="139" w:name="bookmark280"/>
      <w:r>
        <w:rPr>
          <w:u w:val="single"/>
        </w:rPr>
        <w:t>Aréna:</w:t>
      </w:r>
      <w:bookmarkEnd w:id="139"/>
    </w:p>
    <w:p w14:paraId="48E2A4FD" w14:textId="77777777" w:rsidR="00EC1C40" w:rsidRDefault="00000000">
      <w:pPr>
        <w:pStyle w:val="Zkladntext100"/>
        <w:framePr w:w="9139" w:h="13925" w:hRule="exact" w:wrap="none" w:vAnchor="page" w:hAnchor="page" w:x="1503" w:y="1679"/>
        <w:numPr>
          <w:ilvl w:val="0"/>
          <w:numId w:val="103"/>
        </w:numPr>
        <w:tabs>
          <w:tab w:val="left" w:pos="753"/>
        </w:tabs>
        <w:spacing w:after="0" w:line="276" w:lineRule="auto"/>
        <w:ind w:left="740" w:hanging="340"/>
        <w:jc w:val="both"/>
      </w:pPr>
      <w:r>
        <w:rPr>
          <w:b/>
          <w:bCs/>
        </w:rPr>
        <w:t xml:space="preserve">2PP </w:t>
      </w:r>
      <w:r>
        <w:t>- parkovací plochy parkovací plochy pro veřejnost jsou integrální součásti Arény, jedná se tedy o prostory, které jsou součásti funkce Arény jako veřejné stavby a jsou nezbytné pro její provozování, sdílejí proto její režim. Část parkovacích ploch v rozsahu 10 % je vyhrazena pro uživatele komerčních funkcí v rámci Arény, tj. v rozsahu 10 % nejsou tyto plochy zařazeny ve funkci veřejné stavby</w:t>
      </w:r>
    </w:p>
    <w:p w14:paraId="39E05FEB" w14:textId="77777777" w:rsidR="00EC1C40" w:rsidRDefault="00000000">
      <w:pPr>
        <w:pStyle w:val="Zkladntext100"/>
        <w:framePr w:w="9139" w:h="13925" w:hRule="exact" w:wrap="none" w:vAnchor="page" w:hAnchor="page" w:x="1503" w:y="1679"/>
        <w:numPr>
          <w:ilvl w:val="0"/>
          <w:numId w:val="103"/>
        </w:numPr>
        <w:tabs>
          <w:tab w:val="left" w:pos="753"/>
        </w:tabs>
        <w:spacing w:after="0" w:line="276" w:lineRule="auto"/>
        <w:ind w:left="0" w:firstLine="380"/>
        <w:jc w:val="both"/>
      </w:pPr>
      <w:r>
        <w:rPr>
          <w:b/>
          <w:bCs/>
        </w:rPr>
        <w:t xml:space="preserve">1PP </w:t>
      </w:r>
      <w:r>
        <w:t>- viz výše (odůvodnění k 2PP)</w:t>
      </w:r>
    </w:p>
    <w:p w14:paraId="6FCC8453" w14:textId="77777777" w:rsidR="00EC1C40" w:rsidRDefault="00000000">
      <w:pPr>
        <w:pStyle w:val="Nadpis60"/>
        <w:framePr w:w="9139" w:h="13925" w:hRule="exact" w:wrap="none" w:vAnchor="page" w:hAnchor="page" w:x="1503" w:y="1679"/>
        <w:numPr>
          <w:ilvl w:val="0"/>
          <w:numId w:val="103"/>
        </w:numPr>
        <w:tabs>
          <w:tab w:val="left" w:pos="753"/>
        </w:tabs>
        <w:spacing w:after="0" w:line="276" w:lineRule="auto"/>
        <w:ind w:firstLine="380"/>
        <w:jc w:val="both"/>
      </w:pPr>
      <w:bookmarkStart w:id="140" w:name="bookmark282"/>
      <w:r>
        <w:t>1NP:</w:t>
      </w:r>
      <w:bookmarkEnd w:id="140"/>
    </w:p>
    <w:p w14:paraId="13FD48B6" w14:textId="58DF7021" w:rsidR="00EC1C40" w:rsidRDefault="00000000">
      <w:pPr>
        <w:pStyle w:val="Zkladntext100"/>
        <w:framePr w:w="9139" w:h="13925" w:hRule="exact" w:wrap="none" w:vAnchor="page" w:hAnchor="page" w:x="1503" w:y="1679"/>
        <w:numPr>
          <w:ilvl w:val="0"/>
          <w:numId w:val="104"/>
        </w:numPr>
        <w:tabs>
          <w:tab w:val="left" w:pos="1100"/>
        </w:tabs>
        <w:spacing w:after="0" w:line="276" w:lineRule="auto"/>
        <w:ind w:left="1100" w:hanging="360"/>
        <w:jc w:val="both"/>
      </w:pPr>
      <w:r>
        <w:t xml:space="preserve">zázemí společnosti </w:t>
      </w:r>
      <w:r>
        <w:rPr>
          <w:b/>
          <w:bCs/>
          <w:lang w:val="en-US" w:eastAsia="en-US" w:bidi="en-US"/>
        </w:rPr>
        <w:t xml:space="preserve">HOCKEY </w:t>
      </w:r>
      <w:r>
        <w:rPr>
          <w:b/>
          <w:bCs/>
        </w:rPr>
        <w:t>CLUB DYNAMO PARDUBICE a.s.</w:t>
      </w:r>
      <w:r>
        <w:t xml:space="preserve">, IČ: 601 12 476, se sídlem: Sukova třída 1735, Zelené </w:t>
      </w:r>
      <w:r w:rsidR="009F44A2">
        <w:t>Předměstí</w:t>
      </w:r>
      <w:r>
        <w:t xml:space="preserve">, 530 02 Pardubice, zapsané v obchodním rejstříku vedeném Krajským soudem v Hradci Králové pod </w:t>
      </w:r>
      <w:proofErr w:type="spellStart"/>
      <w:r>
        <w:t>sp</w:t>
      </w:r>
      <w:proofErr w:type="spellEnd"/>
      <w:r>
        <w:t>. zn. B 1078 (dále jen „</w:t>
      </w:r>
      <w:r>
        <w:rPr>
          <w:b/>
          <w:bCs/>
        </w:rPr>
        <w:t>HOCKEY CLUB DYNAMO PARDUBICE a.s.</w:t>
      </w:r>
      <w:r>
        <w:t xml:space="preserve">“) - </w:t>
      </w:r>
      <w:r>
        <w:rPr>
          <w:lang w:val="en-US" w:eastAsia="en-US" w:bidi="en-US"/>
        </w:rPr>
        <w:t xml:space="preserve">HOCKEY </w:t>
      </w:r>
      <w:r>
        <w:t>CLUB DYNAMO PARDUBICE a.s. je společnosti provozující profesionální sportovní klub ledního hokeje. Součásti jeho aktivit je mimo jiné i</w:t>
      </w:r>
    </w:p>
    <w:p w14:paraId="76DB1899" w14:textId="77777777" w:rsidR="00EC1C40" w:rsidRDefault="00000000">
      <w:pPr>
        <w:pStyle w:val="Zhlavnebozpat0"/>
        <w:framePr w:wrap="none" w:vAnchor="page" w:hAnchor="page" w:x="6005" w:y="15791"/>
        <w:rPr>
          <w:sz w:val="24"/>
          <w:szCs w:val="24"/>
        </w:rPr>
      </w:pPr>
      <w:r>
        <w:rPr>
          <w:rFonts w:ascii="Arial" w:eastAsia="Arial" w:hAnsi="Arial" w:cs="Arial"/>
          <w:color w:val="231E20"/>
          <w:sz w:val="24"/>
          <w:szCs w:val="24"/>
        </w:rPr>
        <w:t>1</w:t>
      </w:r>
    </w:p>
    <w:p w14:paraId="4E4BA569"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4715827D" w14:textId="77777777" w:rsidR="00EC1C40" w:rsidRDefault="00EC1C40">
      <w:pPr>
        <w:spacing w:line="1" w:lineRule="exact"/>
      </w:pPr>
    </w:p>
    <w:p w14:paraId="1F3BCAFB" w14:textId="77777777" w:rsidR="00EC1C40" w:rsidRDefault="00000000">
      <w:pPr>
        <w:pStyle w:val="Zkladntext100"/>
        <w:framePr w:w="9130" w:h="9466" w:hRule="exact" w:wrap="none" w:vAnchor="page" w:hAnchor="page" w:x="1508" w:y="1706"/>
        <w:spacing w:after="0" w:line="276" w:lineRule="auto"/>
        <w:ind w:left="1100" w:firstLine="0"/>
        <w:jc w:val="both"/>
      </w:pPr>
      <w:r>
        <w:t>činnost týkající se dorostu a mládeže, tj. zajištění jejich výchovy a vzdělávání v oblastí sportu. Do funkce, která není veřejnou stavbou, je zařazeno 70 % těchto ploch</w:t>
      </w:r>
    </w:p>
    <w:p w14:paraId="53E6C34B" w14:textId="77777777" w:rsidR="00EC1C40" w:rsidRDefault="00000000">
      <w:pPr>
        <w:pStyle w:val="Zkladntext100"/>
        <w:framePr w:w="9130" w:h="9466" w:hRule="exact" w:wrap="none" w:vAnchor="page" w:hAnchor="page" w:x="1508" w:y="1706"/>
        <w:numPr>
          <w:ilvl w:val="0"/>
          <w:numId w:val="104"/>
        </w:numPr>
        <w:tabs>
          <w:tab w:val="left" w:pos="1089"/>
        </w:tabs>
        <w:spacing w:after="0" w:line="276" w:lineRule="auto"/>
        <w:ind w:left="1100" w:hanging="360"/>
        <w:jc w:val="both"/>
      </w:pPr>
      <w:r>
        <w:rPr>
          <w:b/>
          <w:bCs/>
        </w:rPr>
        <w:t xml:space="preserve">bazén, </w:t>
      </w:r>
      <w:proofErr w:type="spellStart"/>
      <w:r>
        <w:rPr>
          <w:b/>
          <w:bCs/>
        </w:rPr>
        <w:t>welness</w:t>
      </w:r>
      <w:proofErr w:type="spellEnd"/>
      <w:r>
        <w:rPr>
          <w:b/>
          <w:bCs/>
        </w:rPr>
        <w:t xml:space="preserve"> </w:t>
      </w:r>
      <w:r>
        <w:t xml:space="preserve">- bude sloužit pro veřejnost, provoz </w:t>
      </w:r>
      <w:r>
        <w:rPr>
          <w:lang w:val="en-US" w:eastAsia="en-US" w:bidi="en-US"/>
        </w:rPr>
        <w:t xml:space="preserve">HOCKEY </w:t>
      </w:r>
      <w:r>
        <w:t xml:space="preserve">CLUB DYNAMO PARDUBICE a.s. i pro provoz hotelu. V rozsahu, v jakém bude provoz bazénu určen pro veřejnost a </w:t>
      </w:r>
      <w:r>
        <w:rPr>
          <w:lang w:val="en-US" w:eastAsia="en-US" w:bidi="en-US"/>
        </w:rPr>
        <w:t xml:space="preserve">HOCKEY </w:t>
      </w:r>
      <w:r>
        <w:t>CLUB DYNAMO PARDUBICE a.s., se jedná o sportovní využití, tj. veřejnou stavbu. Do funkce nikoli veřejné stavby (tj. pro provoz hotelu) je zařazeno 33 % těchto ploch</w:t>
      </w:r>
    </w:p>
    <w:p w14:paraId="56DEF25B" w14:textId="77777777" w:rsidR="00EC1C40" w:rsidRDefault="00000000">
      <w:pPr>
        <w:pStyle w:val="Zkladntext100"/>
        <w:framePr w:w="9130" w:h="9466" w:hRule="exact" w:wrap="none" w:vAnchor="page" w:hAnchor="page" w:x="1508" w:y="1706"/>
        <w:numPr>
          <w:ilvl w:val="0"/>
          <w:numId w:val="104"/>
        </w:numPr>
        <w:tabs>
          <w:tab w:val="left" w:pos="1089"/>
          <w:tab w:val="left" w:pos="1100"/>
        </w:tabs>
        <w:spacing w:after="0" w:line="276" w:lineRule="auto"/>
        <w:ind w:left="0" w:firstLine="740"/>
        <w:jc w:val="both"/>
      </w:pPr>
      <w:r>
        <w:rPr>
          <w:b/>
          <w:bCs/>
        </w:rPr>
        <w:t xml:space="preserve">komerční jednotka </w:t>
      </w:r>
      <w:r>
        <w:t>- není zahrnuta do veřejné stavby</w:t>
      </w:r>
    </w:p>
    <w:p w14:paraId="42046C4B" w14:textId="77777777" w:rsidR="00EC1C40" w:rsidRDefault="00000000">
      <w:pPr>
        <w:pStyle w:val="Nadpis60"/>
        <w:framePr w:w="9130" w:h="9466" w:hRule="exact" w:wrap="none" w:vAnchor="page" w:hAnchor="page" w:x="1508" w:y="1706"/>
        <w:spacing w:after="0" w:line="276" w:lineRule="auto"/>
        <w:ind w:firstLine="380"/>
      </w:pPr>
      <w:bookmarkStart w:id="141" w:name="bookmark284"/>
      <w:r>
        <w:rPr>
          <w:b w:val="0"/>
          <w:bCs w:val="0"/>
        </w:rPr>
        <w:t xml:space="preserve">• </w:t>
      </w:r>
      <w:r>
        <w:t>2NP:</w:t>
      </w:r>
      <w:bookmarkEnd w:id="141"/>
    </w:p>
    <w:p w14:paraId="3EBB4DEA" w14:textId="77777777" w:rsidR="00EC1C40" w:rsidRDefault="00000000">
      <w:pPr>
        <w:pStyle w:val="Zkladntext100"/>
        <w:framePr w:w="9130" w:h="9466" w:hRule="exact" w:wrap="none" w:vAnchor="page" w:hAnchor="page" w:x="1508" w:y="1706"/>
        <w:numPr>
          <w:ilvl w:val="0"/>
          <w:numId w:val="105"/>
        </w:numPr>
        <w:tabs>
          <w:tab w:val="left" w:pos="1089"/>
        </w:tabs>
        <w:spacing w:after="0" w:line="276" w:lineRule="auto"/>
        <w:ind w:left="0" w:firstLine="740"/>
        <w:jc w:val="both"/>
      </w:pPr>
      <w:proofErr w:type="spellStart"/>
      <w:r>
        <w:rPr>
          <w:b/>
          <w:bCs/>
        </w:rPr>
        <w:t>fanshop</w:t>
      </w:r>
      <w:proofErr w:type="spellEnd"/>
      <w:r>
        <w:rPr>
          <w:b/>
          <w:bCs/>
        </w:rPr>
        <w:t xml:space="preserve"> </w:t>
      </w:r>
      <w:r>
        <w:t>- není zahrnut do veřejné stavby</w:t>
      </w:r>
    </w:p>
    <w:p w14:paraId="32A8ED97" w14:textId="77777777" w:rsidR="00EC1C40" w:rsidRDefault="00000000">
      <w:pPr>
        <w:pStyle w:val="Zkladntext100"/>
        <w:framePr w:w="9130" w:h="9466" w:hRule="exact" w:wrap="none" w:vAnchor="page" w:hAnchor="page" w:x="1508" w:y="1706"/>
        <w:numPr>
          <w:ilvl w:val="0"/>
          <w:numId w:val="105"/>
        </w:numPr>
        <w:tabs>
          <w:tab w:val="left" w:pos="1089"/>
        </w:tabs>
        <w:spacing w:after="0" w:line="276" w:lineRule="auto"/>
        <w:ind w:left="1100" w:hanging="360"/>
        <w:jc w:val="both"/>
      </w:pPr>
      <w:r>
        <w:rPr>
          <w:b/>
          <w:bCs/>
        </w:rPr>
        <w:t xml:space="preserve">výstavní prostor </w:t>
      </w:r>
      <w:r>
        <w:t>- je zahrnut do veřejné stavby, jedná se o plochu určenou pro realizaci kulturních funkcí</w:t>
      </w:r>
    </w:p>
    <w:p w14:paraId="15AF7CB2" w14:textId="77777777" w:rsidR="00EC1C40" w:rsidRDefault="00000000">
      <w:pPr>
        <w:pStyle w:val="Zkladntext100"/>
        <w:framePr w:w="9130" w:h="9466" w:hRule="exact" w:wrap="none" w:vAnchor="page" w:hAnchor="page" w:x="1508" w:y="1706"/>
        <w:numPr>
          <w:ilvl w:val="0"/>
          <w:numId w:val="105"/>
        </w:numPr>
        <w:tabs>
          <w:tab w:val="left" w:pos="1089"/>
        </w:tabs>
        <w:spacing w:after="0" w:line="276" w:lineRule="auto"/>
        <w:ind w:left="0" w:firstLine="740"/>
        <w:jc w:val="both"/>
      </w:pPr>
      <w:r>
        <w:rPr>
          <w:b/>
          <w:bCs/>
        </w:rPr>
        <w:t xml:space="preserve">sportbar </w:t>
      </w:r>
      <w:r>
        <w:t>- není zahrnut do veřejné stavby</w:t>
      </w:r>
    </w:p>
    <w:p w14:paraId="084F6D0B" w14:textId="77777777" w:rsidR="00EC1C40" w:rsidRDefault="00000000">
      <w:pPr>
        <w:pStyle w:val="Zkladntext100"/>
        <w:framePr w:w="9130" w:h="9466" w:hRule="exact" w:wrap="none" w:vAnchor="page" w:hAnchor="page" w:x="1508" w:y="1706"/>
        <w:numPr>
          <w:ilvl w:val="0"/>
          <w:numId w:val="106"/>
        </w:numPr>
        <w:tabs>
          <w:tab w:val="left" w:pos="735"/>
        </w:tabs>
        <w:spacing w:after="0" w:line="276" w:lineRule="auto"/>
        <w:ind w:left="0" w:firstLine="380"/>
        <w:jc w:val="both"/>
      </w:pPr>
      <w:r>
        <w:rPr>
          <w:b/>
          <w:bCs/>
        </w:rPr>
        <w:t xml:space="preserve">8NP </w:t>
      </w:r>
      <w:r>
        <w:t xml:space="preserve">- plochy využívané </w:t>
      </w:r>
      <w:r>
        <w:rPr>
          <w:lang w:val="en-US" w:eastAsia="en-US" w:bidi="en-US"/>
        </w:rPr>
        <w:t xml:space="preserve">HOCKEY </w:t>
      </w:r>
      <w:r>
        <w:t>CLUB DYNAMO PARDUBICE a.s. - viz odůvodnění k 1NP</w:t>
      </w:r>
    </w:p>
    <w:p w14:paraId="6A16F132" w14:textId="77777777" w:rsidR="00EC1C40" w:rsidRDefault="00000000">
      <w:pPr>
        <w:pStyle w:val="Zkladntext100"/>
        <w:framePr w:w="9130" w:h="9466" w:hRule="exact" w:wrap="none" w:vAnchor="page" w:hAnchor="page" w:x="1508" w:y="1706"/>
        <w:numPr>
          <w:ilvl w:val="0"/>
          <w:numId w:val="106"/>
        </w:numPr>
        <w:tabs>
          <w:tab w:val="left" w:pos="735"/>
        </w:tabs>
        <w:spacing w:after="160" w:line="276" w:lineRule="auto"/>
        <w:ind w:left="740" w:hanging="360"/>
        <w:jc w:val="both"/>
      </w:pPr>
      <w:r>
        <w:t>ostatní plochy v rámci Arény (tj. aréna veřejnost, aréna zázemí) - představují vlastní plochy Arény, jsou tedy určeny pro pořádání sportovních a kulturních akcí. Jedná se tak o veřejnou stavbu ve smyslu Zásad.</w:t>
      </w:r>
    </w:p>
    <w:p w14:paraId="0D2FFFD5" w14:textId="77777777" w:rsidR="00EC1C40" w:rsidRDefault="00000000">
      <w:pPr>
        <w:pStyle w:val="Nadpis60"/>
        <w:framePr w:w="9130" w:h="9466" w:hRule="exact" w:wrap="none" w:vAnchor="page" w:hAnchor="page" w:x="1508" w:y="1706"/>
        <w:spacing w:after="160" w:line="276" w:lineRule="auto"/>
      </w:pPr>
      <w:bookmarkStart w:id="142" w:name="bookmark286"/>
      <w:r>
        <w:rPr>
          <w:u w:val="single"/>
        </w:rPr>
        <w:t>Hotel</w:t>
      </w:r>
      <w:bookmarkEnd w:id="142"/>
    </w:p>
    <w:p w14:paraId="05763ABE" w14:textId="77777777" w:rsidR="00EC1C40" w:rsidRDefault="00000000">
      <w:pPr>
        <w:pStyle w:val="Zkladntext100"/>
        <w:framePr w:w="9130" w:h="9466" w:hRule="exact" w:wrap="none" w:vAnchor="page" w:hAnchor="page" w:x="1508" w:y="1706"/>
        <w:numPr>
          <w:ilvl w:val="0"/>
          <w:numId w:val="106"/>
        </w:numPr>
        <w:tabs>
          <w:tab w:val="left" w:pos="735"/>
        </w:tabs>
        <w:spacing w:after="160" w:line="276" w:lineRule="auto"/>
        <w:ind w:left="0" w:firstLine="380"/>
      </w:pPr>
      <w:r>
        <w:t>není zahrnut do funkce veřejné stavby</w:t>
      </w:r>
    </w:p>
    <w:p w14:paraId="23B82C85" w14:textId="77777777" w:rsidR="00EC1C40" w:rsidRDefault="00000000">
      <w:pPr>
        <w:pStyle w:val="Nadpis60"/>
        <w:framePr w:w="9130" w:h="9466" w:hRule="exact" w:wrap="none" w:vAnchor="page" w:hAnchor="page" w:x="1508" w:y="1706"/>
        <w:spacing w:after="160" w:line="276" w:lineRule="auto"/>
      </w:pPr>
      <w:bookmarkStart w:id="143" w:name="bookmark288"/>
      <w:r>
        <w:rPr>
          <w:u w:val="single"/>
        </w:rPr>
        <w:t>Tréninková aréna</w:t>
      </w:r>
      <w:bookmarkEnd w:id="143"/>
    </w:p>
    <w:p w14:paraId="6B90A535" w14:textId="6414CC78" w:rsidR="00EC1C40" w:rsidRDefault="00000000">
      <w:pPr>
        <w:pStyle w:val="Zkladntext100"/>
        <w:framePr w:w="9130" w:h="9466" w:hRule="exact" w:wrap="none" w:vAnchor="page" w:hAnchor="page" w:x="1508" w:y="1706"/>
        <w:numPr>
          <w:ilvl w:val="0"/>
          <w:numId w:val="106"/>
        </w:numPr>
        <w:tabs>
          <w:tab w:val="left" w:pos="735"/>
        </w:tabs>
        <w:spacing w:after="160" w:line="276" w:lineRule="auto"/>
        <w:ind w:left="740" w:hanging="360"/>
        <w:jc w:val="both"/>
      </w:pPr>
      <w:r>
        <w:t xml:space="preserve">prostor pro sportovní tréning, sportovní </w:t>
      </w:r>
      <w:r w:rsidR="009F44A2">
        <w:t>aktivity</w:t>
      </w:r>
      <w:r>
        <w:t xml:space="preserve"> veřejností, pro konání menších kulturních akcí (včetně např. výstav) atd. Jedná se tedy o funkci veřejné stavby.</w:t>
      </w:r>
    </w:p>
    <w:p w14:paraId="271ED99E" w14:textId="77777777" w:rsidR="00EC1C40" w:rsidRDefault="00000000">
      <w:pPr>
        <w:pStyle w:val="Nadpis60"/>
        <w:framePr w:w="9130" w:h="9466" w:hRule="exact" w:wrap="none" w:vAnchor="page" w:hAnchor="page" w:x="1508" w:y="1706"/>
        <w:spacing w:after="160" w:line="276" w:lineRule="auto"/>
      </w:pPr>
      <w:bookmarkStart w:id="144" w:name="bookmark290"/>
      <w:r>
        <w:rPr>
          <w:u w:val="single"/>
        </w:rPr>
        <w:t>Parkovací dům</w:t>
      </w:r>
      <w:bookmarkEnd w:id="144"/>
    </w:p>
    <w:p w14:paraId="658F4382" w14:textId="77777777" w:rsidR="00EC1C40" w:rsidRDefault="00000000">
      <w:pPr>
        <w:pStyle w:val="Zkladntext100"/>
        <w:framePr w:w="9130" w:h="9466" w:hRule="exact" w:wrap="none" w:vAnchor="page" w:hAnchor="page" w:x="1508" w:y="1706"/>
        <w:numPr>
          <w:ilvl w:val="0"/>
          <w:numId w:val="106"/>
        </w:numPr>
        <w:tabs>
          <w:tab w:val="left" w:pos="735"/>
        </w:tabs>
        <w:spacing w:after="160" w:line="276" w:lineRule="auto"/>
        <w:ind w:left="740" w:hanging="360"/>
        <w:jc w:val="both"/>
      </w:pPr>
      <w:r>
        <w:t>parkovací plochy pro veřejnost jsou integrální součástí Arény, jedná se tedy o prostory, které jsou součástí funkce veřejné stavby a jsou nezbytné pro její provozování, sdílejí proto její režim</w:t>
      </w:r>
    </w:p>
    <w:p w14:paraId="441DCC82" w14:textId="77777777" w:rsidR="00EC1C40" w:rsidRDefault="00000000">
      <w:pPr>
        <w:pStyle w:val="Nadpis60"/>
        <w:framePr w:w="9130" w:h="9466" w:hRule="exact" w:wrap="none" w:vAnchor="page" w:hAnchor="page" w:x="1508" w:y="1706"/>
        <w:spacing w:after="160" w:line="276" w:lineRule="auto"/>
      </w:pPr>
      <w:bookmarkStart w:id="145" w:name="bookmark292"/>
      <w:r>
        <w:rPr>
          <w:u w:val="single"/>
          <w:lang w:val="en-US" w:eastAsia="en-US" w:bidi="en-US"/>
        </w:rPr>
        <w:t>Showroom</w:t>
      </w:r>
      <w:bookmarkEnd w:id="145"/>
    </w:p>
    <w:p w14:paraId="463B81D9" w14:textId="77777777" w:rsidR="00EC1C40" w:rsidRDefault="00000000">
      <w:pPr>
        <w:pStyle w:val="Zkladntext100"/>
        <w:framePr w:w="9130" w:h="9466" w:hRule="exact" w:wrap="none" w:vAnchor="page" w:hAnchor="page" w:x="1508" w:y="1706"/>
        <w:numPr>
          <w:ilvl w:val="0"/>
          <w:numId w:val="106"/>
        </w:numPr>
        <w:tabs>
          <w:tab w:val="left" w:pos="735"/>
        </w:tabs>
        <w:spacing w:after="0" w:line="276" w:lineRule="auto"/>
        <w:ind w:left="0" w:firstLine="380"/>
        <w:jc w:val="both"/>
      </w:pPr>
      <w:r>
        <w:t>není zahrnut do veřejné stavby</w:t>
      </w:r>
    </w:p>
    <w:p w14:paraId="73F14DE0" w14:textId="77777777" w:rsidR="00EC1C40" w:rsidRDefault="00000000">
      <w:pPr>
        <w:pStyle w:val="Zhlavnebozpat0"/>
        <w:framePr w:wrap="none" w:vAnchor="page" w:hAnchor="page" w:x="5991" w:y="15832"/>
        <w:rPr>
          <w:sz w:val="24"/>
          <w:szCs w:val="24"/>
        </w:rPr>
      </w:pPr>
      <w:r>
        <w:rPr>
          <w:rFonts w:ascii="Arial" w:eastAsia="Arial" w:hAnsi="Arial" w:cs="Arial"/>
          <w:color w:val="231E20"/>
          <w:sz w:val="24"/>
          <w:szCs w:val="24"/>
        </w:rPr>
        <w:t>2</w:t>
      </w:r>
    </w:p>
    <w:p w14:paraId="0B4587BC"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0574E66E" w14:textId="77777777" w:rsidR="00EC1C40" w:rsidRDefault="00EC1C40">
      <w:pPr>
        <w:spacing w:line="1" w:lineRule="exact"/>
      </w:pPr>
    </w:p>
    <w:p w14:paraId="70B8C71A" w14:textId="77777777" w:rsidR="00EC1C40" w:rsidRDefault="00000000">
      <w:pPr>
        <w:pStyle w:val="Zkladntext80"/>
        <w:framePr w:w="9686" w:h="547" w:hRule="exact" w:wrap="none" w:vAnchor="page" w:hAnchor="page" w:x="1124" w:y="5132"/>
      </w:pPr>
      <w:r>
        <w:t>Příloha č. 16</w:t>
      </w:r>
    </w:p>
    <w:p w14:paraId="7BBB12AC"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52C855C8" w14:textId="77777777" w:rsidR="00EC1C40" w:rsidRDefault="00EC1C40">
      <w:pPr>
        <w:spacing w:line="1" w:lineRule="exact"/>
      </w:pPr>
    </w:p>
    <w:p w14:paraId="6A8FB8E3" w14:textId="77777777" w:rsidR="00EC1C40" w:rsidRDefault="00000000">
      <w:pPr>
        <w:pStyle w:val="Titulektabulky0"/>
        <w:framePr w:w="4075" w:h="235" w:hRule="exact" w:wrap="none" w:vAnchor="page" w:hAnchor="page" w:x="3937" w:y="980"/>
        <w:jc w:val="center"/>
        <w:rPr>
          <w:sz w:val="16"/>
          <w:szCs w:val="16"/>
        </w:rPr>
      </w:pPr>
      <w:r>
        <w:rPr>
          <w:rFonts w:ascii="Arial" w:eastAsia="Arial" w:hAnsi="Arial" w:cs="Arial"/>
          <w:color w:val="231E20"/>
          <w:sz w:val="16"/>
          <w:szCs w:val="16"/>
        </w:rPr>
        <w:t>NEPENĚŽNÍ PLNĚNÍ - SEZNAM STAVEBNÍCH OBJEKTŮ</w:t>
      </w:r>
    </w:p>
    <w:tbl>
      <w:tblPr>
        <w:tblOverlap w:val="never"/>
        <w:tblW w:w="0" w:type="auto"/>
        <w:tblLayout w:type="fixed"/>
        <w:tblCellMar>
          <w:left w:w="10" w:type="dxa"/>
          <w:right w:w="10" w:type="dxa"/>
        </w:tblCellMar>
        <w:tblLook w:val="0000" w:firstRow="0" w:lastRow="0" w:firstColumn="0" w:lastColumn="0" w:noHBand="0" w:noVBand="0"/>
      </w:tblPr>
      <w:tblGrid>
        <w:gridCol w:w="950"/>
        <w:gridCol w:w="1363"/>
        <w:gridCol w:w="5722"/>
        <w:gridCol w:w="1651"/>
      </w:tblGrid>
      <w:tr w:rsidR="00EC1C40" w14:paraId="657A84F3" w14:textId="77777777">
        <w:tblPrEx>
          <w:tblCellMar>
            <w:top w:w="0" w:type="dxa"/>
            <w:bottom w:w="0" w:type="dxa"/>
          </w:tblCellMar>
        </w:tblPrEx>
        <w:trPr>
          <w:trHeight w:hRule="exact" w:val="245"/>
        </w:trPr>
        <w:tc>
          <w:tcPr>
            <w:tcW w:w="950" w:type="dxa"/>
            <w:tcBorders>
              <w:top w:val="single" w:sz="4" w:space="0" w:color="auto"/>
              <w:left w:val="single" w:sz="4" w:space="0" w:color="auto"/>
            </w:tcBorders>
            <w:shd w:val="clear" w:color="auto" w:fill="DAEAF7"/>
            <w:vAlign w:val="bottom"/>
          </w:tcPr>
          <w:p w14:paraId="26B4D780" w14:textId="77777777" w:rsidR="00EC1C40" w:rsidRDefault="00000000">
            <w:pPr>
              <w:pStyle w:val="Jin0"/>
              <w:framePr w:w="9686" w:h="7166" w:wrap="none" w:vAnchor="page" w:hAnchor="page" w:x="1124" w:y="1311"/>
              <w:spacing w:after="0"/>
              <w:ind w:firstLine="160"/>
              <w:rPr>
                <w:sz w:val="16"/>
                <w:szCs w:val="16"/>
              </w:rPr>
            </w:pPr>
            <w:r>
              <w:rPr>
                <w:sz w:val="16"/>
                <w:szCs w:val="16"/>
              </w:rPr>
              <w:t>Označení</w:t>
            </w:r>
          </w:p>
        </w:tc>
        <w:tc>
          <w:tcPr>
            <w:tcW w:w="7085" w:type="dxa"/>
            <w:gridSpan w:val="2"/>
            <w:tcBorders>
              <w:top w:val="single" w:sz="4" w:space="0" w:color="auto"/>
              <w:left w:val="single" w:sz="4" w:space="0" w:color="auto"/>
            </w:tcBorders>
            <w:shd w:val="clear" w:color="auto" w:fill="DAEAF7"/>
            <w:vAlign w:val="bottom"/>
          </w:tcPr>
          <w:p w14:paraId="02BC06B8" w14:textId="77777777" w:rsidR="00EC1C40" w:rsidRDefault="00000000">
            <w:pPr>
              <w:pStyle w:val="Jin0"/>
              <w:framePr w:w="9686" w:h="7166" w:wrap="none" w:vAnchor="page" w:hAnchor="page" w:x="1124" w:y="1311"/>
              <w:spacing w:after="0"/>
              <w:ind w:firstLine="140"/>
              <w:rPr>
                <w:sz w:val="16"/>
                <w:szCs w:val="16"/>
              </w:rPr>
            </w:pPr>
            <w:r>
              <w:rPr>
                <w:sz w:val="16"/>
                <w:szCs w:val="16"/>
              </w:rPr>
              <w:t>Stavební objekt</w:t>
            </w:r>
          </w:p>
        </w:tc>
        <w:tc>
          <w:tcPr>
            <w:tcW w:w="1651" w:type="dxa"/>
            <w:tcBorders>
              <w:top w:val="single" w:sz="4" w:space="0" w:color="auto"/>
              <w:left w:val="single" w:sz="4" w:space="0" w:color="auto"/>
              <w:right w:val="single" w:sz="4" w:space="0" w:color="auto"/>
            </w:tcBorders>
            <w:shd w:val="clear" w:color="auto" w:fill="DAEAF7"/>
            <w:vAlign w:val="bottom"/>
          </w:tcPr>
          <w:p w14:paraId="025A83AF" w14:textId="77777777" w:rsidR="00EC1C40" w:rsidRDefault="00000000">
            <w:pPr>
              <w:pStyle w:val="Jin0"/>
              <w:framePr w:w="9686" w:h="7166" w:wrap="none" w:vAnchor="page" w:hAnchor="page" w:x="1124" w:y="1311"/>
              <w:spacing w:after="0"/>
              <w:ind w:firstLine="400"/>
              <w:rPr>
                <w:sz w:val="16"/>
                <w:szCs w:val="16"/>
              </w:rPr>
            </w:pPr>
            <w:r>
              <w:rPr>
                <w:sz w:val="16"/>
                <w:szCs w:val="16"/>
              </w:rPr>
              <w:t>Odhad ceny</w:t>
            </w:r>
          </w:p>
        </w:tc>
      </w:tr>
      <w:tr w:rsidR="00EC1C40" w14:paraId="453FAD92" w14:textId="77777777">
        <w:tblPrEx>
          <w:tblCellMar>
            <w:top w:w="0" w:type="dxa"/>
            <w:bottom w:w="0" w:type="dxa"/>
          </w:tblCellMar>
        </w:tblPrEx>
        <w:trPr>
          <w:trHeight w:hRule="exact" w:val="235"/>
        </w:trPr>
        <w:tc>
          <w:tcPr>
            <w:tcW w:w="950" w:type="dxa"/>
            <w:vMerge w:val="restart"/>
            <w:tcBorders>
              <w:top w:val="single" w:sz="4" w:space="0" w:color="auto"/>
              <w:left w:val="single" w:sz="4" w:space="0" w:color="auto"/>
            </w:tcBorders>
            <w:shd w:val="clear" w:color="auto" w:fill="6169B1"/>
            <w:vAlign w:val="center"/>
          </w:tcPr>
          <w:p w14:paraId="284B4DD8" w14:textId="77777777" w:rsidR="00EC1C40" w:rsidRDefault="00000000">
            <w:pPr>
              <w:pStyle w:val="Jin0"/>
              <w:framePr w:w="9686" w:h="7166" w:wrap="none" w:vAnchor="page" w:hAnchor="page" w:x="1124" w:y="1311"/>
              <w:spacing w:after="0"/>
              <w:jc w:val="center"/>
              <w:rPr>
                <w:sz w:val="20"/>
                <w:szCs w:val="20"/>
              </w:rPr>
            </w:pPr>
            <w:r>
              <w:rPr>
                <w:b/>
                <w:bCs/>
                <w:sz w:val="20"/>
                <w:szCs w:val="20"/>
              </w:rPr>
              <w:t>I</w:t>
            </w:r>
          </w:p>
        </w:tc>
        <w:tc>
          <w:tcPr>
            <w:tcW w:w="1363" w:type="dxa"/>
            <w:tcBorders>
              <w:top w:val="single" w:sz="4" w:space="0" w:color="auto"/>
              <w:left w:val="single" w:sz="4" w:space="0" w:color="auto"/>
            </w:tcBorders>
            <w:shd w:val="clear" w:color="auto" w:fill="auto"/>
            <w:vAlign w:val="bottom"/>
          </w:tcPr>
          <w:p w14:paraId="6BF6150F" w14:textId="77777777" w:rsidR="00EC1C40" w:rsidRDefault="00000000">
            <w:pPr>
              <w:pStyle w:val="Jin0"/>
              <w:framePr w:w="9686" w:h="7166" w:wrap="none" w:vAnchor="page" w:hAnchor="page" w:x="1124" w:y="1311"/>
              <w:spacing w:after="0"/>
              <w:ind w:firstLine="140"/>
              <w:rPr>
                <w:sz w:val="16"/>
                <w:szCs w:val="16"/>
              </w:rPr>
            </w:pPr>
            <w:r>
              <w:rPr>
                <w:sz w:val="16"/>
                <w:szCs w:val="16"/>
              </w:rPr>
              <w:t>SO.100</w:t>
            </w:r>
          </w:p>
        </w:tc>
        <w:tc>
          <w:tcPr>
            <w:tcW w:w="5722" w:type="dxa"/>
            <w:tcBorders>
              <w:top w:val="single" w:sz="4" w:space="0" w:color="auto"/>
              <w:left w:val="single" w:sz="4" w:space="0" w:color="auto"/>
            </w:tcBorders>
            <w:shd w:val="clear" w:color="auto" w:fill="auto"/>
            <w:vAlign w:val="bottom"/>
          </w:tcPr>
          <w:p w14:paraId="5A92C620" w14:textId="77777777" w:rsidR="00EC1C40" w:rsidRDefault="00000000">
            <w:pPr>
              <w:pStyle w:val="Jin0"/>
              <w:framePr w:w="9686" w:h="7166" w:wrap="none" w:vAnchor="page" w:hAnchor="page" w:x="1124" w:y="1311"/>
              <w:spacing w:after="0"/>
              <w:ind w:firstLine="140"/>
              <w:rPr>
                <w:sz w:val="16"/>
                <w:szCs w:val="16"/>
              </w:rPr>
            </w:pPr>
            <w:r>
              <w:rPr>
                <w:sz w:val="16"/>
                <w:szCs w:val="16"/>
              </w:rPr>
              <w:t>Páteřní komunikace I</w:t>
            </w:r>
          </w:p>
        </w:tc>
        <w:tc>
          <w:tcPr>
            <w:tcW w:w="1651" w:type="dxa"/>
            <w:tcBorders>
              <w:top w:val="single" w:sz="4" w:space="0" w:color="auto"/>
              <w:left w:val="single" w:sz="4" w:space="0" w:color="auto"/>
              <w:right w:val="single" w:sz="4" w:space="0" w:color="auto"/>
            </w:tcBorders>
            <w:shd w:val="clear" w:color="auto" w:fill="auto"/>
            <w:vAlign w:val="bottom"/>
          </w:tcPr>
          <w:p w14:paraId="4BC7A632" w14:textId="77777777" w:rsidR="00EC1C40" w:rsidRDefault="00000000">
            <w:pPr>
              <w:pStyle w:val="Jin0"/>
              <w:framePr w:w="9686" w:h="7166" w:wrap="none" w:vAnchor="page" w:hAnchor="page" w:x="1124" w:y="1311"/>
              <w:spacing w:after="0"/>
              <w:ind w:firstLine="520"/>
              <w:jc w:val="both"/>
              <w:rPr>
                <w:sz w:val="16"/>
                <w:szCs w:val="16"/>
              </w:rPr>
            </w:pPr>
            <w:r>
              <w:rPr>
                <w:sz w:val="16"/>
                <w:szCs w:val="16"/>
              </w:rPr>
              <w:t>27 162 500 Kč</w:t>
            </w:r>
          </w:p>
        </w:tc>
      </w:tr>
      <w:tr w:rsidR="00EC1C40" w14:paraId="5D37C57B" w14:textId="77777777">
        <w:tblPrEx>
          <w:tblCellMar>
            <w:top w:w="0" w:type="dxa"/>
            <w:bottom w:w="0" w:type="dxa"/>
          </w:tblCellMar>
        </w:tblPrEx>
        <w:trPr>
          <w:trHeight w:hRule="exact" w:val="230"/>
        </w:trPr>
        <w:tc>
          <w:tcPr>
            <w:tcW w:w="950" w:type="dxa"/>
            <w:vMerge/>
            <w:tcBorders>
              <w:left w:val="single" w:sz="4" w:space="0" w:color="auto"/>
            </w:tcBorders>
            <w:shd w:val="clear" w:color="auto" w:fill="6169B1"/>
            <w:vAlign w:val="center"/>
          </w:tcPr>
          <w:p w14:paraId="36F298F9" w14:textId="77777777" w:rsidR="00EC1C40" w:rsidRDefault="00EC1C40">
            <w:pPr>
              <w:framePr w:w="9686" w:h="7166" w:wrap="none" w:vAnchor="page" w:hAnchor="page" w:x="1124" w:y="1311"/>
            </w:pPr>
          </w:p>
        </w:tc>
        <w:tc>
          <w:tcPr>
            <w:tcW w:w="1363" w:type="dxa"/>
            <w:tcBorders>
              <w:top w:val="single" w:sz="4" w:space="0" w:color="auto"/>
              <w:left w:val="single" w:sz="4" w:space="0" w:color="auto"/>
            </w:tcBorders>
            <w:shd w:val="clear" w:color="auto" w:fill="auto"/>
            <w:vAlign w:val="bottom"/>
          </w:tcPr>
          <w:p w14:paraId="13E3679E" w14:textId="77777777" w:rsidR="00EC1C40" w:rsidRDefault="00000000">
            <w:pPr>
              <w:pStyle w:val="Jin0"/>
              <w:framePr w:w="9686" w:h="7166" w:wrap="none" w:vAnchor="page" w:hAnchor="page" w:x="1124" w:y="1311"/>
              <w:spacing w:after="0"/>
              <w:ind w:firstLine="140"/>
              <w:rPr>
                <w:sz w:val="16"/>
                <w:szCs w:val="16"/>
              </w:rPr>
            </w:pPr>
            <w:r>
              <w:rPr>
                <w:sz w:val="16"/>
                <w:szCs w:val="16"/>
              </w:rPr>
              <w:t>SO.101</w:t>
            </w:r>
          </w:p>
        </w:tc>
        <w:tc>
          <w:tcPr>
            <w:tcW w:w="5722" w:type="dxa"/>
            <w:tcBorders>
              <w:top w:val="single" w:sz="4" w:space="0" w:color="auto"/>
              <w:left w:val="single" w:sz="4" w:space="0" w:color="auto"/>
            </w:tcBorders>
            <w:shd w:val="clear" w:color="auto" w:fill="auto"/>
            <w:vAlign w:val="bottom"/>
          </w:tcPr>
          <w:p w14:paraId="160AE61A" w14:textId="77777777" w:rsidR="00EC1C40" w:rsidRDefault="00000000">
            <w:pPr>
              <w:pStyle w:val="Jin0"/>
              <w:framePr w:w="9686" w:h="7166" w:wrap="none" w:vAnchor="page" w:hAnchor="page" w:x="1124" w:y="1311"/>
              <w:spacing w:after="0"/>
              <w:ind w:firstLine="140"/>
              <w:rPr>
                <w:sz w:val="16"/>
                <w:szCs w:val="16"/>
              </w:rPr>
            </w:pPr>
            <w:r>
              <w:rPr>
                <w:sz w:val="16"/>
                <w:szCs w:val="16"/>
              </w:rPr>
              <w:t>Páteřní komunikace II (pouze napojení na SO.100 + chodník podél SO.100)</w:t>
            </w:r>
          </w:p>
        </w:tc>
        <w:tc>
          <w:tcPr>
            <w:tcW w:w="1651" w:type="dxa"/>
            <w:tcBorders>
              <w:top w:val="single" w:sz="4" w:space="0" w:color="auto"/>
              <w:left w:val="single" w:sz="4" w:space="0" w:color="auto"/>
              <w:right w:val="single" w:sz="4" w:space="0" w:color="auto"/>
            </w:tcBorders>
            <w:shd w:val="clear" w:color="auto" w:fill="auto"/>
            <w:vAlign w:val="bottom"/>
          </w:tcPr>
          <w:p w14:paraId="3B2A34C9" w14:textId="77777777" w:rsidR="00EC1C40" w:rsidRDefault="00000000">
            <w:pPr>
              <w:pStyle w:val="Jin0"/>
              <w:framePr w:w="9686" w:h="7166" w:wrap="none" w:vAnchor="page" w:hAnchor="page" w:x="1124" w:y="1311"/>
              <w:spacing w:after="0"/>
              <w:ind w:firstLine="600"/>
              <w:jc w:val="both"/>
              <w:rPr>
                <w:sz w:val="16"/>
                <w:szCs w:val="16"/>
              </w:rPr>
            </w:pPr>
            <w:r>
              <w:rPr>
                <w:sz w:val="16"/>
                <w:szCs w:val="16"/>
              </w:rPr>
              <w:t>5 111550 Kč</w:t>
            </w:r>
          </w:p>
        </w:tc>
      </w:tr>
      <w:tr w:rsidR="00EC1C40" w14:paraId="6D2B71DD" w14:textId="77777777">
        <w:tblPrEx>
          <w:tblCellMar>
            <w:top w:w="0" w:type="dxa"/>
            <w:bottom w:w="0" w:type="dxa"/>
          </w:tblCellMar>
        </w:tblPrEx>
        <w:trPr>
          <w:trHeight w:hRule="exact" w:val="230"/>
        </w:trPr>
        <w:tc>
          <w:tcPr>
            <w:tcW w:w="950" w:type="dxa"/>
            <w:vMerge/>
            <w:tcBorders>
              <w:left w:val="single" w:sz="4" w:space="0" w:color="auto"/>
            </w:tcBorders>
            <w:shd w:val="clear" w:color="auto" w:fill="6169B1"/>
            <w:vAlign w:val="center"/>
          </w:tcPr>
          <w:p w14:paraId="3F9FDDF2" w14:textId="77777777" w:rsidR="00EC1C40" w:rsidRDefault="00EC1C40">
            <w:pPr>
              <w:framePr w:w="9686" w:h="7166" w:wrap="none" w:vAnchor="page" w:hAnchor="page" w:x="1124" w:y="1311"/>
            </w:pPr>
          </w:p>
        </w:tc>
        <w:tc>
          <w:tcPr>
            <w:tcW w:w="1363" w:type="dxa"/>
            <w:tcBorders>
              <w:top w:val="single" w:sz="4" w:space="0" w:color="auto"/>
              <w:left w:val="single" w:sz="4" w:space="0" w:color="auto"/>
            </w:tcBorders>
            <w:shd w:val="clear" w:color="auto" w:fill="auto"/>
            <w:vAlign w:val="bottom"/>
          </w:tcPr>
          <w:p w14:paraId="731253B8" w14:textId="77777777" w:rsidR="00EC1C40" w:rsidRDefault="00000000">
            <w:pPr>
              <w:pStyle w:val="Jin0"/>
              <w:framePr w:w="9686" w:h="7166" w:wrap="none" w:vAnchor="page" w:hAnchor="page" w:x="1124" w:y="1311"/>
              <w:spacing w:after="0"/>
              <w:ind w:firstLine="140"/>
              <w:rPr>
                <w:sz w:val="16"/>
                <w:szCs w:val="16"/>
              </w:rPr>
            </w:pPr>
            <w:r>
              <w:rPr>
                <w:sz w:val="16"/>
                <w:szCs w:val="16"/>
              </w:rPr>
              <w:t>SO.120</w:t>
            </w:r>
          </w:p>
        </w:tc>
        <w:tc>
          <w:tcPr>
            <w:tcW w:w="5722" w:type="dxa"/>
            <w:tcBorders>
              <w:top w:val="single" w:sz="4" w:space="0" w:color="auto"/>
              <w:left w:val="single" w:sz="4" w:space="0" w:color="auto"/>
            </w:tcBorders>
            <w:shd w:val="clear" w:color="auto" w:fill="auto"/>
            <w:vAlign w:val="bottom"/>
          </w:tcPr>
          <w:p w14:paraId="2122ACA3" w14:textId="77777777" w:rsidR="00EC1C40" w:rsidRDefault="00000000">
            <w:pPr>
              <w:pStyle w:val="Jin0"/>
              <w:framePr w:w="9686" w:h="7166" w:wrap="none" w:vAnchor="page" w:hAnchor="page" w:x="1124" w:y="1311"/>
              <w:spacing w:after="0"/>
              <w:ind w:firstLine="140"/>
              <w:rPr>
                <w:sz w:val="16"/>
                <w:szCs w:val="16"/>
              </w:rPr>
            </w:pPr>
            <w:r>
              <w:rPr>
                <w:sz w:val="16"/>
                <w:szCs w:val="16"/>
              </w:rPr>
              <w:t>Most přes brozanský odpad</w:t>
            </w:r>
          </w:p>
        </w:tc>
        <w:tc>
          <w:tcPr>
            <w:tcW w:w="1651" w:type="dxa"/>
            <w:tcBorders>
              <w:top w:val="single" w:sz="4" w:space="0" w:color="auto"/>
              <w:left w:val="single" w:sz="4" w:space="0" w:color="auto"/>
              <w:right w:val="single" w:sz="4" w:space="0" w:color="auto"/>
            </w:tcBorders>
            <w:shd w:val="clear" w:color="auto" w:fill="auto"/>
            <w:vAlign w:val="bottom"/>
          </w:tcPr>
          <w:p w14:paraId="4A45A72E" w14:textId="77777777" w:rsidR="00EC1C40" w:rsidRDefault="00000000">
            <w:pPr>
              <w:pStyle w:val="Jin0"/>
              <w:framePr w:w="9686" w:h="7166" w:wrap="none" w:vAnchor="page" w:hAnchor="page" w:x="1124" w:y="1311"/>
              <w:spacing w:after="0"/>
              <w:ind w:firstLine="520"/>
              <w:jc w:val="both"/>
              <w:rPr>
                <w:sz w:val="16"/>
                <w:szCs w:val="16"/>
              </w:rPr>
            </w:pPr>
            <w:r>
              <w:rPr>
                <w:sz w:val="16"/>
                <w:szCs w:val="16"/>
              </w:rPr>
              <w:t>16 500 000 Kč</w:t>
            </w:r>
          </w:p>
        </w:tc>
      </w:tr>
      <w:tr w:rsidR="00EC1C40" w14:paraId="42898B6F" w14:textId="77777777">
        <w:tblPrEx>
          <w:tblCellMar>
            <w:top w:w="0" w:type="dxa"/>
            <w:bottom w:w="0" w:type="dxa"/>
          </w:tblCellMar>
        </w:tblPrEx>
        <w:trPr>
          <w:trHeight w:hRule="exact" w:val="226"/>
        </w:trPr>
        <w:tc>
          <w:tcPr>
            <w:tcW w:w="950" w:type="dxa"/>
            <w:vMerge/>
            <w:tcBorders>
              <w:left w:val="single" w:sz="4" w:space="0" w:color="auto"/>
            </w:tcBorders>
            <w:shd w:val="clear" w:color="auto" w:fill="6169B1"/>
            <w:vAlign w:val="center"/>
          </w:tcPr>
          <w:p w14:paraId="36BC298A" w14:textId="77777777" w:rsidR="00EC1C40" w:rsidRDefault="00EC1C40">
            <w:pPr>
              <w:framePr w:w="9686" w:h="7166" w:wrap="none" w:vAnchor="page" w:hAnchor="page" w:x="1124" w:y="1311"/>
            </w:pPr>
          </w:p>
        </w:tc>
        <w:tc>
          <w:tcPr>
            <w:tcW w:w="1363" w:type="dxa"/>
            <w:tcBorders>
              <w:top w:val="single" w:sz="4" w:space="0" w:color="auto"/>
              <w:left w:val="single" w:sz="4" w:space="0" w:color="auto"/>
            </w:tcBorders>
            <w:shd w:val="clear" w:color="auto" w:fill="auto"/>
            <w:vAlign w:val="bottom"/>
          </w:tcPr>
          <w:p w14:paraId="6B926F84" w14:textId="77777777" w:rsidR="00EC1C40" w:rsidRDefault="00000000">
            <w:pPr>
              <w:pStyle w:val="Jin0"/>
              <w:framePr w:w="9686" w:h="7166" w:wrap="none" w:vAnchor="page" w:hAnchor="page" w:x="1124" w:y="1311"/>
              <w:spacing w:after="0"/>
              <w:ind w:firstLine="140"/>
              <w:rPr>
                <w:sz w:val="16"/>
                <w:szCs w:val="16"/>
              </w:rPr>
            </w:pPr>
            <w:r>
              <w:rPr>
                <w:sz w:val="16"/>
                <w:szCs w:val="16"/>
              </w:rPr>
              <w:t>SO.226</w:t>
            </w:r>
          </w:p>
        </w:tc>
        <w:tc>
          <w:tcPr>
            <w:tcW w:w="5722" w:type="dxa"/>
            <w:tcBorders>
              <w:top w:val="single" w:sz="4" w:space="0" w:color="auto"/>
              <w:left w:val="single" w:sz="4" w:space="0" w:color="auto"/>
            </w:tcBorders>
            <w:shd w:val="clear" w:color="auto" w:fill="auto"/>
            <w:vAlign w:val="bottom"/>
          </w:tcPr>
          <w:p w14:paraId="6BCD19BB" w14:textId="77777777" w:rsidR="00EC1C40" w:rsidRDefault="00000000">
            <w:pPr>
              <w:pStyle w:val="Jin0"/>
              <w:framePr w:w="9686" w:h="7166" w:wrap="none" w:vAnchor="page" w:hAnchor="page" w:x="1124" w:y="1311"/>
              <w:spacing w:after="0"/>
              <w:ind w:firstLine="140"/>
              <w:rPr>
                <w:sz w:val="16"/>
                <w:szCs w:val="16"/>
              </w:rPr>
            </w:pPr>
            <w:r>
              <w:rPr>
                <w:sz w:val="16"/>
                <w:szCs w:val="16"/>
              </w:rPr>
              <w:t>Dešťové přípojky areál</w:t>
            </w:r>
          </w:p>
        </w:tc>
        <w:tc>
          <w:tcPr>
            <w:tcW w:w="1651" w:type="dxa"/>
            <w:tcBorders>
              <w:top w:val="single" w:sz="4" w:space="0" w:color="auto"/>
              <w:left w:val="single" w:sz="4" w:space="0" w:color="auto"/>
              <w:right w:val="single" w:sz="4" w:space="0" w:color="auto"/>
            </w:tcBorders>
            <w:shd w:val="clear" w:color="auto" w:fill="auto"/>
            <w:vAlign w:val="bottom"/>
          </w:tcPr>
          <w:p w14:paraId="366101A9" w14:textId="77777777" w:rsidR="00EC1C40" w:rsidRDefault="00000000">
            <w:pPr>
              <w:pStyle w:val="Jin0"/>
              <w:framePr w:w="9686" w:h="7166" w:wrap="none" w:vAnchor="page" w:hAnchor="page" w:x="1124" w:y="1311"/>
              <w:spacing w:after="0"/>
              <w:ind w:firstLine="720"/>
              <w:jc w:val="both"/>
              <w:rPr>
                <w:sz w:val="16"/>
                <w:szCs w:val="16"/>
              </w:rPr>
            </w:pPr>
            <w:r>
              <w:rPr>
                <w:sz w:val="16"/>
                <w:szCs w:val="16"/>
              </w:rPr>
              <w:t>500 000 Kč</w:t>
            </w:r>
          </w:p>
        </w:tc>
      </w:tr>
      <w:tr w:rsidR="00EC1C40" w14:paraId="2F612D0E" w14:textId="77777777">
        <w:tblPrEx>
          <w:tblCellMar>
            <w:top w:w="0" w:type="dxa"/>
            <w:bottom w:w="0" w:type="dxa"/>
          </w:tblCellMar>
        </w:tblPrEx>
        <w:trPr>
          <w:trHeight w:hRule="exact" w:val="230"/>
        </w:trPr>
        <w:tc>
          <w:tcPr>
            <w:tcW w:w="950" w:type="dxa"/>
            <w:vMerge/>
            <w:tcBorders>
              <w:left w:val="single" w:sz="4" w:space="0" w:color="auto"/>
            </w:tcBorders>
            <w:shd w:val="clear" w:color="auto" w:fill="6169B1"/>
            <w:vAlign w:val="center"/>
          </w:tcPr>
          <w:p w14:paraId="31B6EF67" w14:textId="77777777" w:rsidR="00EC1C40" w:rsidRDefault="00EC1C40">
            <w:pPr>
              <w:framePr w:w="9686" w:h="7166" w:wrap="none" w:vAnchor="page" w:hAnchor="page" w:x="1124" w:y="1311"/>
            </w:pPr>
          </w:p>
        </w:tc>
        <w:tc>
          <w:tcPr>
            <w:tcW w:w="1363" w:type="dxa"/>
            <w:tcBorders>
              <w:top w:val="single" w:sz="4" w:space="0" w:color="auto"/>
              <w:left w:val="single" w:sz="4" w:space="0" w:color="auto"/>
            </w:tcBorders>
            <w:shd w:val="clear" w:color="auto" w:fill="auto"/>
            <w:vAlign w:val="bottom"/>
          </w:tcPr>
          <w:p w14:paraId="520B003C" w14:textId="77777777" w:rsidR="00EC1C40" w:rsidRDefault="00000000">
            <w:pPr>
              <w:pStyle w:val="Jin0"/>
              <w:framePr w:w="9686" w:h="7166" w:wrap="none" w:vAnchor="page" w:hAnchor="page" w:x="1124" w:y="1311"/>
              <w:spacing w:after="0"/>
              <w:ind w:firstLine="140"/>
              <w:rPr>
                <w:sz w:val="16"/>
                <w:szCs w:val="16"/>
              </w:rPr>
            </w:pPr>
            <w:r>
              <w:rPr>
                <w:sz w:val="16"/>
                <w:szCs w:val="16"/>
              </w:rPr>
              <w:t>SO.301</w:t>
            </w:r>
          </w:p>
        </w:tc>
        <w:tc>
          <w:tcPr>
            <w:tcW w:w="5722" w:type="dxa"/>
            <w:tcBorders>
              <w:top w:val="single" w:sz="4" w:space="0" w:color="auto"/>
              <w:left w:val="single" w:sz="4" w:space="0" w:color="auto"/>
            </w:tcBorders>
            <w:shd w:val="clear" w:color="auto" w:fill="auto"/>
            <w:vAlign w:val="bottom"/>
          </w:tcPr>
          <w:p w14:paraId="0B14D205" w14:textId="77777777" w:rsidR="00EC1C40" w:rsidRDefault="00000000">
            <w:pPr>
              <w:pStyle w:val="Jin0"/>
              <w:framePr w:w="9686" w:h="7166" w:wrap="none" w:vAnchor="page" w:hAnchor="page" w:x="1124" w:y="1311"/>
              <w:spacing w:after="0"/>
              <w:ind w:firstLine="140"/>
              <w:rPr>
                <w:sz w:val="16"/>
                <w:szCs w:val="16"/>
              </w:rPr>
            </w:pPr>
            <w:r>
              <w:rPr>
                <w:sz w:val="16"/>
                <w:szCs w:val="16"/>
              </w:rPr>
              <w:t>Areálové rozvody NN (připojení pro SSZ)</w:t>
            </w:r>
          </w:p>
        </w:tc>
        <w:tc>
          <w:tcPr>
            <w:tcW w:w="1651" w:type="dxa"/>
            <w:tcBorders>
              <w:top w:val="single" w:sz="4" w:space="0" w:color="auto"/>
              <w:left w:val="single" w:sz="4" w:space="0" w:color="auto"/>
              <w:right w:val="single" w:sz="4" w:space="0" w:color="auto"/>
            </w:tcBorders>
            <w:shd w:val="clear" w:color="auto" w:fill="auto"/>
            <w:vAlign w:val="bottom"/>
          </w:tcPr>
          <w:p w14:paraId="38C9C396" w14:textId="77777777" w:rsidR="00EC1C40" w:rsidRDefault="00000000">
            <w:pPr>
              <w:pStyle w:val="Jin0"/>
              <w:framePr w:w="9686" w:h="7166" w:wrap="none" w:vAnchor="page" w:hAnchor="page" w:x="1124" w:y="1311"/>
              <w:spacing w:after="0"/>
              <w:ind w:firstLine="720"/>
              <w:jc w:val="both"/>
              <w:rPr>
                <w:sz w:val="16"/>
                <w:szCs w:val="16"/>
              </w:rPr>
            </w:pPr>
            <w:r>
              <w:rPr>
                <w:sz w:val="16"/>
                <w:szCs w:val="16"/>
              </w:rPr>
              <w:t>290 000 Kč</w:t>
            </w:r>
          </w:p>
        </w:tc>
      </w:tr>
      <w:tr w:rsidR="00EC1C40" w14:paraId="2019818C" w14:textId="77777777">
        <w:tblPrEx>
          <w:tblCellMar>
            <w:top w:w="0" w:type="dxa"/>
            <w:bottom w:w="0" w:type="dxa"/>
          </w:tblCellMar>
        </w:tblPrEx>
        <w:trPr>
          <w:trHeight w:hRule="exact" w:val="235"/>
        </w:trPr>
        <w:tc>
          <w:tcPr>
            <w:tcW w:w="950" w:type="dxa"/>
            <w:vMerge/>
            <w:tcBorders>
              <w:left w:val="single" w:sz="4" w:space="0" w:color="auto"/>
            </w:tcBorders>
            <w:shd w:val="clear" w:color="auto" w:fill="6169B1"/>
            <w:vAlign w:val="center"/>
          </w:tcPr>
          <w:p w14:paraId="3E0A4A94" w14:textId="77777777" w:rsidR="00EC1C40" w:rsidRDefault="00EC1C40">
            <w:pPr>
              <w:framePr w:w="9686" w:h="7166" w:wrap="none" w:vAnchor="page" w:hAnchor="page" w:x="1124" w:y="1311"/>
            </w:pPr>
          </w:p>
        </w:tc>
        <w:tc>
          <w:tcPr>
            <w:tcW w:w="1363" w:type="dxa"/>
            <w:tcBorders>
              <w:top w:val="single" w:sz="4" w:space="0" w:color="auto"/>
              <w:left w:val="single" w:sz="4" w:space="0" w:color="auto"/>
            </w:tcBorders>
            <w:shd w:val="clear" w:color="auto" w:fill="auto"/>
            <w:vAlign w:val="bottom"/>
          </w:tcPr>
          <w:p w14:paraId="2BDBD719" w14:textId="77777777" w:rsidR="00EC1C40" w:rsidRDefault="00000000">
            <w:pPr>
              <w:pStyle w:val="Jin0"/>
              <w:framePr w:w="9686" w:h="7166" w:wrap="none" w:vAnchor="page" w:hAnchor="page" w:x="1124" w:y="1311"/>
              <w:spacing w:after="0"/>
              <w:ind w:firstLine="140"/>
              <w:rPr>
                <w:sz w:val="16"/>
                <w:szCs w:val="16"/>
              </w:rPr>
            </w:pPr>
            <w:r>
              <w:rPr>
                <w:sz w:val="16"/>
                <w:szCs w:val="16"/>
              </w:rPr>
              <w:t>SO.311</w:t>
            </w:r>
          </w:p>
        </w:tc>
        <w:tc>
          <w:tcPr>
            <w:tcW w:w="5722" w:type="dxa"/>
            <w:tcBorders>
              <w:top w:val="single" w:sz="4" w:space="0" w:color="auto"/>
              <w:left w:val="single" w:sz="4" w:space="0" w:color="auto"/>
            </w:tcBorders>
            <w:shd w:val="clear" w:color="auto" w:fill="auto"/>
            <w:vAlign w:val="bottom"/>
          </w:tcPr>
          <w:p w14:paraId="2BD7B0ED" w14:textId="77777777" w:rsidR="00EC1C40" w:rsidRDefault="00000000">
            <w:pPr>
              <w:pStyle w:val="Jin0"/>
              <w:framePr w:w="9686" w:h="7166" w:wrap="none" w:vAnchor="page" w:hAnchor="page" w:x="1124" w:y="1311"/>
              <w:spacing w:after="0"/>
              <w:ind w:firstLine="140"/>
              <w:rPr>
                <w:sz w:val="16"/>
                <w:szCs w:val="16"/>
              </w:rPr>
            </w:pPr>
            <w:r>
              <w:rPr>
                <w:sz w:val="16"/>
                <w:szCs w:val="16"/>
              </w:rPr>
              <w:t>Veřejné osvětlení</w:t>
            </w:r>
          </w:p>
        </w:tc>
        <w:tc>
          <w:tcPr>
            <w:tcW w:w="1651" w:type="dxa"/>
            <w:tcBorders>
              <w:top w:val="single" w:sz="4" w:space="0" w:color="auto"/>
              <w:left w:val="single" w:sz="4" w:space="0" w:color="auto"/>
              <w:right w:val="single" w:sz="4" w:space="0" w:color="auto"/>
            </w:tcBorders>
            <w:shd w:val="clear" w:color="auto" w:fill="auto"/>
            <w:vAlign w:val="bottom"/>
          </w:tcPr>
          <w:p w14:paraId="0CAB3B95" w14:textId="77777777" w:rsidR="00EC1C40" w:rsidRDefault="00000000">
            <w:pPr>
              <w:pStyle w:val="Jin0"/>
              <w:framePr w:w="9686" w:h="7166" w:wrap="none" w:vAnchor="page" w:hAnchor="page" w:x="1124" w:y="1311"/>
              <w:spacing w:after="0"/>
              <w:ind w:firstLine="600"/>
              <w:jc w:val="both"/>
              <w:rPr>
                <w:sz w:val="16"/>
                <w:szCs w:val="16"/>
              </w:rPr>
            </w:pPr>
            <w:r>
              <w:rPr>
                <w:sz w:val="16"/>
                <w:szCs w:val="16"/>
              </w:rPr>
              <w:t>1 844 940 Kč</w:t>
            </w:r>
          </w:p>
        </w:tc>
      </w:tr>
      <w:tr w:rsidR="00EC1C40" w14:paraId="0AB4BED8" w14:textId="77777777">
        <w:tblPrEx>
          <w:tblCellMar>
            <w:top w:w="0" w:type="dxa"/>
            <w:bottom w:w="0" w:type="dxa"/>
          </w:tblCellMar>
        </w:tblPrEx>
        <w:trPr>
          <w:trHeight w:hRule="exact" w:val="226"/>
        </w:trPr>
        <w:tc>
          <w:tcPr>
            <w:tcW w:w="950" w:type="dxa"/>
            <w:vMerge/>
            <w:tcBorders>
              <w:left w:val="single" w:sz="4" w:space="0" w:color="auto"/>
            </w:tcBorders>
            <w:shd w:val="clear" w:color="auto" w:fill="6169B1"/>
            <w:vAlign w:val="center"/>
          </w:tcPr>
          <w:p w14:paraId="0D8B971A" w14:textId="77777777" w:rsidR="00EC1C40" w:rsidRDefault="00EC1C40">
            <w:pPr>
              <w:framePr w:w="9686" w:h="7166" w:wrap="none" w:vAnchor="page" w:hAnchor="page" w:x="1124" w:y="1311"/>
            </w:pPr>
          </w:p>
        </w:tc>
        <w:tc>
          <w:tcPr>
            <w:tcW w:w="1363" w:type="dxa"/>
            <w:tcBorders>
              <w:top w:val="single" w:sz="4" w:space="0" w:color="auto"/>
              <w:left w:val="single" w:sz="4" w:space="0" w:color="auto"/>
            </w:tcBorders>
            <w:shd w:val="clear" w:color="auto" w:fill="auto"/>
            <w:vAlign w:val="bottom"/>
          </w:tcPr>
          <w:p w14:paraId="3F307F9C" w14:textId="77777777" w:rsidR="00EC1C40" w:rsidRDefault="00000000">
            <w:pPr>
              <w:pStyle w:val="Jin0"/>
              <w:framePr w:w="9686" w:h="7166" w:wrap="none" w:vAnchor="page" w:hAnchor="page" w:x="1124" w:y="1311"/>
              <w:spacing w:after="0"/>
              <w:ind w:firstLine="140"/>
              <w:rPr>
                <w:sz w:val="16"/>
                <w:szCs w:val="16"/>
              </w:rPr>
            </w:pPr>
            <w:r>
              <w:rPr>
                <w:sz w:val="16"/>
                <w:szCs w:val="16"/>
              </w:rPr>
              <w:t>SO.451</w:t>
            </w:r>
          </w:p>
        </w:tc>
        <w:tc>
          <w:tcPr>
            <w:tcW w:w="5722" w:type="dxa"/>
            <w:tcBorders>
              <w:top w:val="single" w:sz="4" w:space="0" w:color="auto"/>
              <w:left w:val="single" w:sz="4" w:space="0" w:color="auto"/>
            </w:tcBorders>
            <w:shd w:val="clear" w:color="auto" w:fill="auto"/>
            <w:vAlign w:val="bottom"/>
          </w:tcPr>
          <w:p w14:paraId="429C623B" w14:textId="77777777" w:rsidR="00EC1C40" w:rsidRDefault="00000000">
            <w:pPr>
              <w:pStyle w:val="Jin0"/>
              <w:framePr w:w="9686" w:h="7166" w:wrap="none" w:vAnchor="page" w:hAnchor="page" w:x="1124" w:y="1311"/>
              <w:spacing w:after="0"/>
              <w:ind w:firstLine="140"/>
              <w:rPr>
                <w:sz w:val="16"/>
                <w:szCs w:val="16"/>
              </w:rPr>
            </w:pPr>
            <w:r>
              <w:rPr>
                <w:sz w:val="16"/>
                <w:szCs w:val="16"/>
              </w:rPr>
              <w:t>SSZ</w:t>
            </w:r>
          </w:p>
        </w:tc>
        <w:tc>
          <w:tcPr>
            <w:tcW w:w="1651" w:type="dxa"/>
            <w:tcBorders>
              <w:top w:val="single" w:sz="4" w:space="0" w:color="auto"/>
              <w:left w:val="single" w:sz="4" w:space="0" w:color="auto"/>
              <w:right w:val="single" w:sz="4" w:space="0" w:color="auto"/>
            </w:tcBorders>
            <w:shd w:val="clear" w:color="auto" w:fill="auto"/>
            <w:vAlign w:val="bottom"/>
          </w:tcPr>
          <w:p w14:paraId="0471541E" w14:textId="77777777" w:rsidR="00EC1C40" w:rsidRDefault="00000000">
            <w:pPr>
              <w:pStyle w:val="Jin0"/>
              <w:framePr w:w="9686" w:h="7166" w:wrap="none" w:vAnchor="page" w:hAnchor="page" w:x="1124" w:y="1311"/>
              <w:spacing w:after="0"/>
              <w:ind w:firstLine="600"/>
              <w:jc w:val="both"/>
              <w:rPr>
                <w:sz w:val="16"/>
                <w:szCs w:val="16"/>
              </w:rPr>
            </w:pPr>
            <w:r>
              <w:rPr>
                <w:sz w:val="16"/>
                <w:szCs w:val="16"/>
              </w:rPr>
              <w:t>5 000 000 Kč</w:t>
            </w:r>
          </w:p>
        </w:tc>
      </w:tr>
      <w:tr w:rsidR="00EC1C40" w14:paraId="46FAD44F" w14:textId="77777777">
        <w:tblPrEx>
          <w:tblCellMar>
            <w:top w:w="0" w:type="dxa"/>
            <w:bottom w:w="0" w:type="dxa"/>
          </w:tblCellMar>
        </w:tblPrEx>
        <w:trPr>
          <w:trHeight w:hRule="exact" w:val="230"/>
        </w:trPr>
        <w:tc>
          <w:tcPr>
            <w:tcW w:w="950" w:type="dxa"/>
            <w:vMerge/>
            <w:tcBorders>
              <w:left w:val="single" w:sz="4" w:space="0" w:color="auto"/>
            </w:tcBorders>
            <w:shd w:val="clear" w:color="auto" w:fill="6169B1"/>
            <w:vAlign w:val="center"/>
          </w:tcPr>
          <w:p w14:paraId="530A23EF" w14:textId="77777777" w:rsidR="00EC1C40" w:rsidRDefault="00EC1C40">
            <w:pPr>
              <w:framePr w:w="9686" w:h="7166" w:wrap="none" w:vAnchor="page" w:hAnchor="page" w:x="1124" w:y="1311"/>
            </w:pPr>
          </w:p>
        </w:tc>
        <w:tc>
          <w:tcPr>
            <w:tcW w:w="1363" w:type="dxa"/>
            <w:tcBorders>
              <w:top w:val="single" w:sz="4" w:space="0" w:color="auto"/>
              <w:left w:val="single" w:sz="4" w:space="0" w:color="auto"/>
            </w:tcBorders>
            <w:shd w:val="clear" w:color="auto" w:fill="auto"/>
            <w:vAlign w:val="bottom"/>
          </w:tcPr>
          <w:p w14:paraId="47115BE5" w14:textId="77777777" w:rsidR="00EC1C40" w:rsidRDefault="00000000">
            <w:pPr>
              <w:pStyle w:val="Jin0"/>
              <w:framePr w:w="9686" w:h="7166" w:wrap="none" w:vAnchor="page" w:hAnchor="page" w:x="1124" w:y="1311"/>
              <w:spacing w:after="0"/>
              <w:ind w:firstLine="140"/>
              <w:rPr>
                <w:sz w:val="16"/>
                <w:szCs w:val="16"/>
              </w:rPr>
            </w:pPr>
            <w:r>
              <w:rPr>
                <w:sz w:val="16"/>
                <w:szCs w:val="16"/>
              </w:rPr>
              <w:t>SO.452</w:t>
            </w:r>
          </w:p>
        </w:tc>
        <w:tc>
          <w:tcPr>
            <w:tcW w:w="5722" w:type="dxa"/>
            <w:tcBorders>
              <w:top w:val="single" w:sz="4" w:space="0" w:color="auto"/>
              <w:left w:val="single" w:sz="4" w:space="0" w:color="auto"/>
            </w:tcBorders>
            <w:shd w:val="clear" w:color="auto" w:fill="auto"/>
            <w:vAlign w:val="bottom"/>
          </w:tcPr>
          <w:p w14:paraId="7FFF3262" w14:textId="77777777" w:rsidR="00EC1C40" w:rsidRDefault="00000000">
            <w:pPr>
              <w:pStyle w:val="Jin0"/>
              <w:framePr w:w="9686" w:h="7166" w:wrap="none" w:vAnchor="page" w:hAnchor="page" w:x="1124" w:y="1311"/>
              <w:spacing w:after="0"/>
              <w:ind w:firstLine="140"/>
              <w:rPr>
                <w:sz w:val="16"/>
                <w:szCs w:val="16"/>
              </w:rPr>
            </w:pPr>
            <w:r>
              <w:rPr>
                <w:sz w:val="16"/>
                <w:szCs w:val="16"/>
              </w:rPr>
              <w:t>Sdělovací kabel mezi křižovatky řízenými SSZ</w:t>
            </w:r>
          </w:p>
        </w:tc>
        <w:tc>
          <w:tcPr>
            <w:tcW w:w="1651" w:type="dxa"/>
            <w:tcBorders>
              <w:top w:val="single" w:sz="4" w:space="0" w:color="auto"/>
              <w:left w:val="single" w:sz="4" w:space="0" w:color="auto"/>
              <w:right w:val="single" w:sz="4" w:space="0" w:color="auto"/>
            </w:tcBorders>
            <w:shd w:val="clear" w:color="auto" w:fill="auto"/>
            <w:vAlign w:val="bottom"/>
          </w:tcPr>
          <w:p w14:paraId="7C3CE3C4" w14:textId="77777777" w:rsidR="00EC1C40" w:rsidRDefault="00000000">
            <w:pPr>
              <w:pStyle w:val="Jin0"/>
              <w:framePr w:w="9686" w:h="7166" w:wrap="none" w:vAnchor="page" w:hAnchor="page" w:x="1124" w:y="1311"/>
              <w:spacing w:after="0"/>
              <w:ind w:firstLine="720"/>
              <w:jc w:val="both"/>
              <w:rPr>
                <w:sz w:val="16"/>
                <w:szCs w:val="16"/>
              </w:rPr>
            </w:pPr>
            <w:r>
              <w:rPr>
                <w:sz w:val="16"/>
                <w:szCs w:val="16"/>
              </w:rPr>
              <w:t>302 820 Kč</w:t>
            </w:r>
          </w:p>
        </w:tc>
      </w:tr>
      <w:tr w:rsidR="00EC1C40" w14:paraId="072A5947" w14:textId="77777777">
        <w:tblPrEx>
          <w:tblCellMar>
            <w:top w:w="0" w:type="dxa"/>
            <w:bottom w:w="0" w:type="dxa"/>
          </w:tblCellMar>
        </w:tblPrEx>
        <w:trPr>
          <w:trHeight w:hRule="exact" w:val="230"/>
        </w:trPr>
        <w:tc>
          <w:tcPr>
            <w:tcW w:w="950" w:type="dxa"/>
            <w:vMerge w:val="restart"/>
            <w:tcBorders>
              <w:top w:val="single" w:sz="4" w:space="0" w:color="auto"/>
              <w:left w:val="single" w:sz="4" w:space="0" w:color="auto"/>
            </w:tcBorders>
            <w:shd w:val="clear" w:color="auto" w:fill="6169B1"/>
            <w:vAlign w:val="center"/>
          </w:tcPr>
          <w:p w14:paraId="1FAFA927" w14:textId="77777777" w:rsidR="00EC1C40" w:rsidRDefault="00000000">
            <w:pPr>
              <w:pStyle w:val="Jin0"/>
              <w:framePr w:w="9686" w:h="7166" w:wrap="none" w:vAnchor="page" w:hAnchor="page" w:x="1124" w:y="1311"/>
              <w:spacing w:after="0"/>
              <w:ind w:firstLine="380"/>
              <w:rPr>
                <w:sz w:val="20"/>
                <w:szCs w:val="20"/>
              </w:rPr>
            </w:pPr>
            <w:r>
              <w:rPr>
                <w:b/>
                <w:bCs/>
                <w:sz w:val="20"/>
                <w:szCs w:val="20"/>
              </w:rPr>
              <w:t>II</w:t>
            </w:r>
          </w:p>
        </w:tc>
        <w:tc>
          <w:tcPr>
            <w:tcW w:w="1363" w:type="dxa"/>
            <w:tcBorders>
              <w:top w:val="single" w:sz="4" w:space="0" w:color="auto"/>
              <w:left w:val="single" w:sz="4" w:space="0" w:color="auto"/>
            </w:tcBorders>
            <w:shd w:val="clear" w:color="auto" w:fill="auto"/>
            <w:vAlign w:val="bottom"/>
          </w:tcPr>
          <w:p w14:paraId="30F8F777" w14:textId="77777777" w:rsidR="00EC1C40" w:rsidRDefault="00000000">
            <w:pPr>
              <w:pStyle w:val="Jin0"/>
              <w:framePr w:w="9686" w:h="7166" w:wrap="none" w:vAnchor="page" w:hAnchor="page" w:x="1124" w:y="1311"/>
              <w:spacing w:after="0"/>
              <w:ind w:firstLine="140"/>
              <w:rPr>
                <w:sz w:val="16"/>
                <w:szCs w:val="16"/>
              </w:rPr>
            </w:pPr>
            <w:r>
              <w:rPr>
                <w:sz w:val="16"/>
                <w:szCs w:val="16"/>
              </w:rPr>
              <w:t>SO.104</w:t>
            </w:r>
          </w:p>
        </w:tc>
        <w:tc>
          <w:tcPr>
            <w:tcW w:w="5722" w:type="dxa"/>
            <w:tcBorders>
              <w:top w:val="single" w:sz="4" w:space="0" w:color="auto"/>
              <w:left w:val="single" w:sz="4" w:space="0" w:color="auto"/>
            </w:tcBorders>
            <w:shd w:val="clear" w:color="auto" w:fill="auto"/>
            <w:vAlign w:val="bottom"/>
          </w:tcPr>
          <w:p w14:paraId="5A3A4FD8" w14:textId="77777777" w:rsidR="00EC1C40" w:rsidRDefault="00000000">
            <w:pPr>
              <w:pStyle w:val="Jin0"/>
              <w:framePr w:w="9686" w:h="7166" w:wrap="none" w:vAnchor="page" w:hAnchor="page" w:x="1124" w:y="1311"/>
              <w:spacing w:after="0"/>
              <w:ind w:firstLine="140"/>
              <w:rPr>
                <w:sz w:val="16"/>
                <w:szCs w:val="16"/>
              </w:rPr>
            </w:pPr>
            <w:r>
              <w:rPr>
                <w:sz w:val="16"/>
                <w:szCs w:val="16"/>
              </w:rPr>
              <w:t>Točna bus</w:t>
            </w:r>
          </w:p>
        </w:tc>
        <w:tc>
          <w:tcPr>
            <w:tcW w:w="1651" w:type="dxa"/>
            <w:tcBorders>
              <w:top w:val="single" w:sz="4" w:space="0" w:color="auto"/>
              <w:left w:val="single" w:sz="4" w:space="0" w:color="auto"/>
              <w:right w:val="single" w:sz="4" w:space="0" w:color="auto"/>
            </w:tcBorders>
            <w:shd w:val="clear" w:color="auto" w:fill="auto"/>
            <w:vAlign w:val="bottom"/>
          </w:tcPr>
          <w:p w14:paraId="0A15F37B" w14:textId="77777777" w:rsidR="00EC1C40" w:rsidRDefault="00000000">
            <w:pPr>
              <w:pStyle w:val="Jin0"/>
              <w:framePr w:w="9686" w:h="7166" w:wrap="none" w:vAnchor="page" w:hAnchor="page" w:x="1124" w:y="1311"/>
              <w:spacing w:after="0"/>
              <w:ind w:firstLine="520"/>
              <w:jc w:val="both"/>
              <w:rPr>
                <w:sz w:val="16"/>
                <w:szCs w:val="16"/>
              </w:rPr>
            </w:pPr>
            <w:r>
              <w:rPr>
                <w:sz w:val="16"/>
                <w:szCs w:val="16"/>
              </w:rPr>
              <w:t>25 418 547 Kč</w:t>
            </w:r>
          </w:p>
        </w:tc>
      </w:tr>
      <w:tr w:rsidR="00EC1C40" w14:paraId="014E6DB1" w14:textId="77777777">
        <w:tblPrEx>
          <w:tblCellMar>
            <w:top w:w="0" w:type="dxa"/>
            <w:bottom w:w="0" w:type="dxa"/>
          </w:tblCellMar>
        </w:tblPrEx>
        <w:trPr>
          <w:trHeight w:hRule="exact" w:val="235"/>
        </w:trPr>
        <w:tc>
          <w:tcPr>
            <w:tcW w:w="950" w:type="dxa"/>
            <w:vMerge/>
            <w:tcBorders>
              <w:left w:val="single" w:sz="4" w:space="0" w:color="auto"/>
            </w:tcBorders>
            <w:shd w:val="clear" w:color="auto" w:fill="6169B1"/>
            <w:vAlign w:val="center"/>
          </w:tcPr>
          <w:p w14:paraId="7EAFB6FB" w14:textId="77777777" w:rsidR="00EC1C40" w:rsidRDefault="00EC1C40">
            <w:pPr>
              <w:framePr w:w="9686" w:h="7166" w:wrap="none" w:vAnchor="page" w:hAnchor="page" w:x="1124" w:y="1311"/>
            </w:pPr>
          </w:p>
        </w:tc>
        <w:tc>
          <w:tcPr>
            <w:tcW w:w="1363" w:type="dxa"/>
            <w:tcBorders>
              <w:top w:val="single" w:sz="4" w:space="0" w:color="auto"/>
              <w:left w:val="single" w:sz="4" w:space="0" w:color="auto"/>
            </w:tcBorders>
            <w:shd w:val="clear" w:color="auto" w:fill="auto"/>
            <w:vAlign w:val="bottom"/>
          </w:tcPr>
          <w:p w14:paraId="360BB23F" w14:textId="77777777" w:rsidR="00EC1C40" w:rsidRDefault="00000000">
            <w:pPr>
              <w:pStyle w:val="Jin0"/>
              <w:framePr w:w="9686" w:h="7166" w:wrap="none" w:vAnchor="page" w:hAnchor="page" w:x="1124" w:y="1311"/>
              <w:spacing w:after="0"/>
              <w:ind w:firstLine="140"/>
              <w:rPr>
                <w:sz w:val="16"/>
                <w:szCs w:val="16"/>
              </w:rPr>
            </w:pPr>
            <w:r>
              <w:rPr>
                <w:sz w:val="16"/>
                <w:szCs w:val="16"/>
              </w:rPr>
              <w:t>SO.123</w:t>
            </w:r>
          </w:p>
        </w:tc>
        <w:tc>
          <w:tcPr>
            <w:tcW w:w="5722" w:type="dxa"/>
            <w:tcBorders>
              <w:top w:val="single" w:sz="4" w:space="0" w:color="auto"/>
              <w:left w:val="single" w:sz="4" w:space="0" w:color="auto"/>
            </w:tcBorders>
            <w:shd w:val="clear" w:color="auto" w:fill="auto"/>
            <w:vAlign w:val="bottom"/>
          </w:tcPr>
          <w:p w14:paraId="79C1E67C" w14:textId="77777777" w:rsidR="00EC1C40" w:rsidRDefault="00000000">
            <w:pPr>
              <w:pStyle w:val="Jin0"/>
              <w:framePr w:w="9686" w:h="7166" w:wrap="none" w:vAnchor="page" w:hAnchor="page" w:x="1124" w:y="1311"/>
              <w:spacing w:after="0"/>
              <w:ind w:firstLine="140"/>
              <w:rPr>
                <w:sz w:val="16"/>
                <w:szCs w:val="16"/>
              </w:rPr>
            </w:pPr>
            <w:r>
              <w:rPr>
                <w:sz w:val="16"/>
                <w:szCs w:val="16"/>
              </w:rPr>
              <w:t>Most přes horkovod</w:t>
            </w:r>
          </w:p>
        </w:tc>
        <w:tc>
          <w:tcPr>
            <w:tcW w:w="1651" w:type="dxa"/>
            <w:tcBorders>
              <w:top w:val="single" w:sz="4" w:space="0" w:color="auto"/>
              <w:left w:val="single" w:sz="4" w:space="0" w:color="auto"/>
              <w:right w:val="single" w:sz="4" w:space="0" w:color="auto"/>
            </w:tcBorders>
            <w:shd w:val="clear" w:color="auto" w:fill="auto"/>
            <w:vAlign w:val="bottom"/>
          </w:tcPr>
          <w:p w14:paraId="1EB42DD1" w14:textId="77777777" w:rsidR="00EC1C40" w:rsidRDefault="00000000">
            <w:pPr>
              <w:pStyle w:val="Jin0"/>
              <w:framePr w:w="9686" w:h="7166" w:wrap="none" w:vAnchor="page" w:hAnchor="page" w:x="1124" w:y="1311"/>
              <w:spacing w:after="0"/>
              <w:ind w:firstLine="600"/>
              <w:jc w:val="both"/>
              <w:rPr>
                <w:sz w:val="16"/>
                <w:szCs w:val="16"/>
              </w:rPr>
            </w:pPr>
            <w:r>
              <w:rPr>
                <w:sz w:val="16"/>
                <w:szCs w:val="16"/>
              </w:rPr>
              <w:t>8 500 000 Kč</w:t>
            </w:r>
          </w:p>
        </w:tc>
      </w:tr>
      <w:tr w:rsidR="00EC1C40" w14:paraId="0AD1988D" w14:textId="77777777">
        <w:tblPrEx>
          <w:tblCellMar>
            <w:top w:w="0" w:type="dxa"/>
            <w:bottom w:w="0" w:type="dxa"/>
          </w:tblCellMar>
        </w:tblPrEx>
        <w:trPr>
          <w:trHeight w:hRule="exact" w:val="230"/>
        </w:trPr>
        <w:tc>
          <w:tcPr>
            <w:tcW w:w="950" w:type="dxa"/>
            <w:vMerge/>
            <w:tcBorders>
              <w:left w:val="single" w:sz="4" w:space="0" w:color="auto"/>
            </w:tcBorders>
            <w:shd w:val="clear" w:color="auto" w:fill="6169B1"/>
            <w:vAlign w:val="center"/>
          </w:tcPr>
          <w:p w14:paraId="38D2CCB5" w14:textId="77777777" w:rsidR="00EC1C40" w:rsidRDefault="00EC1C40">
            <w:pPr>
              <w:framePr w:w="9686" w:h="7166" w:wrap="none" w:vAnchor="page" w:hAnchor="page" w:x="1124" w:y="1311"/>
            </w:pPr>
          </w:p>
        </w:tc>
        <w:tc>
          <w:tcPr>
            <w:tcW w:w="1363" w:type="dxa"/>
            <w:tcBorders>
              <w:top w:val="single" w:sz="4" w:space="0" w:color="auto"/>
              <w:left w:val="single" w:sz="4" w:space="0" w:color="auto"/>
            </w:tcBorders>
            <w:shd w:val="clear" w:color="auto" w:fill="auto"/>
            <w:vAlign w:val="bottom"/>
          </w:tcPr>
          <w:p w14:paraId="0A041872" w14:textId="77777777" w:rsidR="00EC1C40" w:rsidRDefault="00000000">
            <w:pPr>
              <w:pStyle w:val="Jin0"/>
              <w:framePr w:w="9686" w:h="7166" w:wrap="none" w:vAnchor="page" w:hAnchor="page" w:x="1124" w:y="1311"/>
              <w:spacing w:after="0"/>
              <w:ind w:firstLine="140"/>
              <w:rPr>
                <w:sz w:val="16"/>
                <w:szCs w:val="16"/>
              </w:rPr>
            </w:pPr>
            <w:r>
              <w:rPr>
                <w:sz w:val="16"/>
                <w:szCs w:val="16"/>
              </w:rPr>
              <w:t>SO.226</w:t>
            </w:r>
          </w:p>
        </w:tc>
        <w:tc>
          <w:tcPr>
            <w:tcW w:w="5722" w:type="dxa"/>
            <w:tcBorders>
              <w:top w:val="single" w:sz="4" w:space="0" w:color="auto"/>
              <w:left w:val="single" w:sz="4" w:space="0" w:color="auto"/>
            </w:tcBorders>
            <w:shd w:val="clear" w:color="auto" w:fill="auto"/>
            <w:vAlign w:val="bottom"/>
          </w:tcPr>
          <w:p w14:paraId="5A2A8070" w14:textId="77777777" w:rsidR="00EC1C40" w:rsidRDefault="00000000">
            <w:pPr>
              <w:pStyle w:val="Jin0"/>
              <w:framePr w:w="9686" w:h="7166" w:wrap="none" w:vAnchor="page" w:hAnchor="page" w:x="1124" w:y="1311"/>
              <w:spacing w:after="0"/>
              <w:ind w:firstLine="140"/>
              <w:rPr>
                <w:sz w:val="16"/>
                <w:szCs w:val="16"/>
              </w:rPr>
            </w:pPr>
            <w:r>
              <w:rPr>
                <w:sz w:val="16"/>
                <w:szCs w:val="16"/>
              </w:rPr>
              <w:t>Dešťové přípojky areál</w:t>
            </w:r>
          </w:p>
        </w:tc>
        <w:tc>
          <w:tcPr>
            <w:tcW w:w="1651" w:type="dxa"/>
            <w:tcBorders>
              <w:top w:val="single" w:sz="4" w:space="0" w:color="auto"/>
              <w:left w:val="single" w:sz="4" w:space="0" w:color="auto"/>
              <w:right w:val="single" w:sz="4" w:space="0" w:color="auto"/>
            </w:tcBorders>
            <w:shd w:val="clear" w:color="auto" w:fill="auto"/>
            <w:vAlign w:val="bottom"/>
          </w:tcPr>
          <w:p w14:paraId="2B8E3D47" w14:textId="77777777" w:rsidR="00EC1C40" w:rsidRDefault="00000000">
            <w:pPr>
              <w:pStyle w:val="Jin0"/>
              <w:framePr w:w="9686" w:h="7166" w:wrap="none" w:vAnchor="page" w:hAnchor="page" w:x="1124" w:y="1311"/>
              <w:spacing w:after="0"/>
              <w:ind w:firstLine="720"/>
              <w:jc w:val="both"/>
              <w:rPr>
                <w:sz w:val="16"/>
                <w:szCs w:val="16"/>
              </w:rPr>
            </w:pPr>
            <w:r>
              <w:rPr>
                <w:sz w:val="16"/>
                <w:szCs w:val="16"/>
              </w:rPr>
              <w:t>225 000 Kč</w:t>
            </w:r>
          </w:p>
        </w:tc>
      </w:tr>
      <w:tr w:rsidR="00EC1C40" w14:paraId="10D50E93" w14:textId="77777777">
        <w:tblPrEx>
          <w:tblCellMar>
            <w:top w:w="0" w:type="dxa"/>
            <w:bottom w:w="0" w:type="dxa"/>
          </w:tblCellMar>
        </w:tblPrEx>
        <w:trPr>
          <w:trHeight w:hRule="exact" w:val="230"/>
        </w:trPr>
        <w:tc>
          <w:tcPr>
            <w:tcW w:w="950" w:type="dxa"/>
            <w:vMerge/>
            <w:tcBorders>
              <w:left w:val="single" w:sz="4" w:space="0" w:color="auto"/>
            </w:tcBorders>
            <w:shd w:val="clear" w:color="auto" w:fill="6169B1"/>
            <w:vAlign w:val="center"/>
          </w:tcPr>
          <w:p w14:paraId="25D5FED7" w14:textId="77777777" w:rsidR="00EC1C40" w:rsidRDefault="00EC1C40">
            <w:pPr>
              <w:framePr w:w="9686" w:h="7166" w:wrap="none" w:vAnchor="page" w:hAnchor="page" w:x="1124" w:y="1311"/>
            </w:pPr>
          </w:p>
        </w:tc>
        <w:tc>
          <w:tcPr>
            <w:tcW w:w="1363" w:type="dxa"/>
            <w:tcBorders>
              <w:top w:val="single" w:sz="4" w:space="0" w:color="auto"/>
              <w:left w:val="single" w:sz="4" w:space="0" w:color="auto"/>
            </w:tcBorders>
            <w:shd w:val="clear" w:color="auto" w:fill="auto"/>
            <w:vAlign w:val="bottom"/>
          </w:tcPr>
          <w:p w14:paraId="1D9E38A0" w14:textId="77777777" w:rsidR="00EC1C40" w:rsidRDefault="00000000">
            <w:pPr>
              <w:pStyle w:val="Jin0"/>
              <w:framePr w:w="9686" w:h="7166" w:wrap="none" w:vAnchor="page" w:hAnchor="page" w:x="1124" w:y="1311"/>
              <w:spacing w:after="0"/>
              <w:ind w:firstLine="140"/>
              <w:rPr>
                <w:sz w:val="16"/>
                <w:szCs w:val="16"/>
              </w:rPr>
            </w:pPr>
            <w:r>
              <w:rPr>
                <w:sz w:val="16"/>
                <w:szCs w:val="16"/>
              </w:rPr>
              <w:t>SO.241</w:t>
            </w:r>
          </w:p>
        </w:tc>
        <w:tc>
          <w:tcPr>
            <w:tcW w:w="5722" w:type="dxa"/>
            <w:tcBorders>
              <w:top w:val="single" w:sz="4" w:space="0" w:color="auto"/>
              <w:left w:val="single" w:sz="4" w:space="0" w:color="auto"/>
            </w:tcBorders>
            <w:shd w:val="clear" w:color="auto" w:fill="auto"/>
            <w:vAlign w:val="bottom"/>
          </w:tcPr>
          <w:p w14:paraId="59EF26A5" w14:textId="77777777" w:rsidR="00EC1C40" w:rsidRDefault="00000000">
            <w:pPr>
              <w:pStyle w:val="Jin0"/>
              <w:framePr w:w="9686" w:h="7166" w:wrap="none" w:vAnchor="page" w:hAnchor="page" w:x="1124" w:y="1311"/>
              <w:spacing w:after="0"/>
              <w:ind w:firstLine="140"/>
              <w:rPr>
                <w:sz w:val="16"/>
                <w:szCs w:val="16"/>
              </w:rPr>
            </w:pPr>
            <w:r>
              <w:rPr>
                <w:sz w:val="16"/>
                <w:szCs w:val="16"/>
              </w:rPr>
              <w:t>Vodovodní přípojka pneuservis (přeložka)</w:t>
            </w:r>
          </w:p>
        </w:tc>
        <w:tc>
          <w:tcPr>
            <w:tcW w:w="1651" w:type="dxa"/>
            <w:tcBorders>
              <w:top w:val="single" w:sz="4" w:space="0" w:color="auto"/>
              <w:left w:val="single" w:sz="4" w:space="0" w:color="auto"/>
              <w:right w:val="single" w:sz="4" w:space="0" w:color="auto"/>
            </w:tcBorders>
            <w:shd w:val="clear" w:color="auto" w:fill="auto"/>
            <w:vAlign w:val="bottom"/>
          </w:tcPr>
          <w:p w14:paraId="46AA5D96" w14:textId="77777777" w:rsidR="00EC1C40" w:rsidRDefault="00000000">
            <w:pPr>
              <w:pStyle w:val="Jin0"/>
              <w:framePr w:w="9686" w:h="7166" w:wrap="none" w:vAnchor="page" w:hAnchor="page" w:x="1124" w:y="1311"/>
              <w:spacing w:after="0"/>
              <w:ind w:firstLine="720"/>
              <w:jc w:val="both"/>
              <w:rPr>
                <w:sz w:val="16"/>
                <w:szCs w:val="16"/>
              </w:rPr>
            </w:pPr>
            <w:r>
              <w:rPr>
                <w:sz w:val="16"/>
                <w:szCs w:val="16"/>
              </w:rPr>
              <w:t>330 000 Kč</w:t>
            </w:r>
          </w:p>
        </w:tc>
      </w:tr>
      <w:tr w:rsidR="00EC1C40" w14:paraId="42470C21" w14:textId="77777777">
        <w:tblPrEx>
          <w:tblCellMar>
            <w:top w:w="0" w:type="dxa"/>
            <w:bottom w:w="0" w:type="dxa"/>
          </w:tblCellMar>
        </w:tblPrEx>
        <w:trPr>
          <w:trHeight w:hRule="exact" w:val="230"/>
        </w:trPr>
        <w:tc>
          <w:tcPr>
            <w:tcW w:w="950" w:type="dxa"/>
            <w:vMerge/>
            <w:tcBorders>
              <w:left w:val="single" w:sz="4" w:space="0" w:color="auto"/>
            </w:tcBorders>
            <w:shd w:val="clear" w:color="auto" w:fill="6169B1"/>
            <w:vAlign w:val="center"/>
          </w:tcPr>
          <w:p w14:paraId="589CD107" w14:textId="77777777" w:rsidR="00EC1C40" w:rsidRDefault="00EC1C40">
            <w:pPr>
              <w:framePr w:w="9686" w:h="7166" w:wrap="none" w:vAnchor="page" w:hAnchor="page" w:x="1124" w:y="1311"/>
            </w:pPr>
          </w:p>
        </w:tc>
        <w:tc>
          <w:tcPr>
            <w:tcW w:w="1363" w:type="dxa"/>
            <w:tcBorders>
              <w:top w:val="single" w:sz="4" w:space="0" w:color="auto"/>
              <w:left w:val="single" w:sz="4" w:space="0" w:color="auto"/>
            </w:tcBorders>
            <w:shd w:val="clear" w:color="auto" w:fill="auto"/>
            <w:vAlign w:val="bottom"/>
          </w:tcPr>
          <w:p w14:paraId="130BD928" w14:textId="77777777" w:rsidR="00EC1C40" w:rsidRDefault="00000000">
            <w:pPr>
              <w:pStyle w:val="Jin0"/>
              <w:framePr w:w="9686" w:h="7166" w:wrap="none" w:vAnchor="page" w:hAnchor="page" w:x="1124" w:y="1311"/>
              <w:spacing w:after="0"/>
              <w:ind w:firstLine="140"/>
              <w:rPr>
                <w:sz w:val="16"/>
                <w:szCs w:val="16"/>
              </w:rPr>
            </w:pPr>
            <w:r>
              <w:rPr>
                <w:sz w:val="16"/>
                <w:szCs w:val="16"/>
              </w:rPr>
              <w:t>SO.311</w:t>
            </w:r>
          </w:p>
        </w:tc>
        <w:tc>
          <w:tcPr>
            <w:tcW w:w="5722" w:type="dxa"/>
            <w:tcBorders>
              <w:top w:val="single" w:sz="4" w:space="0" w:color="auto"/>
              <w:left w:val="single" w:sz="4" w:space="0" w:color="auto"/>
            </w:tcBorders>
            <w:shd w:val="clear" w:color="auto" w:fill="auto"/>
            <w:vAlign w:val="bottom"/>
          </w:tcPr>
          <w:p w14:paraId="48967E51" w14:textId="77777777" w:rsidR="00EC1C40" w:rsidRDefault="00000000">
            <w:pPr>
              <w:pStyle w:val="Jin0"/>
              <w:framePr w:w="9686" w:h="7166" w:wrap="none" w:vAnchor="page" w:hAnchor="page" w:x="1124" w:y="1311"/>
              <w:spacing w:after="0"/>
              <w:ind w:firstLine="140"/>
              <w:rPr>
                <w:sz w:val="16"/>
                <w:szCs w:val="16"/>
              </w:rPr>
            </w:pPr>
            <w:r>
              <w:rPr>
                <w:sz w:val="16"/>
                <w:szCs w:val="16"/>
              </w:rPr>
              <w:t>Veřejné osvětlení</w:t>
            </w:r>
          </w:p>
        </w:tc>
        <w:tc>
          <w:tcPr>
            <w:tcW w:w="1651" w:type="dxa"/>
            <w:tcBorders>
              <w:top w:val="single" w:sz="4" w:space="0" w:color="auto"/>
              <w:left w:val="single" w:sz="4" w:space="0" w:color="auto"/>
              <w:right w:val="single" w:sz="4" w:space="0" w:color="auto"/>
            </w:tcBorders>
            <w:shd w:val="clear" w:color="auto" w:fill="auto"/>
            <w:vAlign w:val="bottom"/>
          </w:tcPr>
          <w:p w14:paraId="5078B866" w14:textId="77777777" w:rsidR="00EC1C40" w:rsidRDefault="00000000">
            <w:pPr>
              <w:pStyle w:val="Jin0"/>
              <w:framePr w:w="9686" w:h="7166" w:wrap="none" w:vAnchor="page" w:hAnchor="page" w:x="1124" w:y="1311"/>
              <w:spacing w:after="0"/>
              <w:ind w:firstLine="600"/>
              <w:jc w:val="both"/>
              <w:rPr>
                <w:sz w:val="16"/>
                <w:szCs w:val="16"/>
              </w:rPr>
            </w:pPr>
            <w:r>
              <w:rPr>
                <w:sz w:val="16"/>
                <w:szCs w:val="16"/>
              </w:rPr>
              <w:t>1 359 614 Kč</w:t>
            </w:r>
          </w:p>
        </w:tc>
      </w:tr>
      <w:tr w:rsidR="00EC1C40" w14:paraId="11D8837E" w14:textId="77777777">
        <w:tblPrEx>
          <w:tblCellMar>
            <w:top w:w="0" w:type="dxa"/>
            <w:bottom w:w="0" w:type="dxa"/>
          </w:tblCellMar>
        </w:tblPrEx>
        <w:trPr>
          <w:trHeight w:hRule="exact" w:val="226"/>
        </w:trPr>
        <w:tc>
          <w:tcPr>
            <w:tcW w:w="950" w:type="dxa"/>
            <w:vMerge/>
            <w:tcBorders>
              <w:left w:val="single" w:sz="4" w:space="0" w:color="auto"/>
            </w:tcBorders>
            <w:shd w:val="clear" w:color="auto" w:fill="6169B1"/>
            <w:vAlign w:val="center"/>
          </w:tcPr>
          <w:p w14:paraId="3AA9171E" w14:textId="77777777" w:rsidR="00EC1C40" w:rsidRDefault="00EC1C40">
            <w:pPr>
              <w:framePr w:w="9686" w:h="7166" w:wrap="none" w:vAnchor="page" w:hAnchor="page" w:x="1124" w:y="1311"/>
            </w:pPr>
          </w:p>
        </w:tc>
        <w:tc>
          <w:tcPr>
            <w:tcW w:w="1363" w:type="dxa"/>
            <w:tcBorders>
              <w:top w:val="single" w:sz="4" w:space="0" w:color="auto"/>
              <w:left w:val="single" w:sz="4" w:space="0" w:color="auto"/>
            </w:tcBorders>
            <w:shd w:val="clear" w:color="auto" w:fill="auto"/>
            <w:vAlign w:val="bottom"/>
          </w:tcPr>
          <w:p w14:paraId="03E8BE88" w14:textId="77777777" w:rsidR="00EC1C40" w:rsidRDefault="00000000">
            <w:pPr>
              <w:pStyle w:val="Jin0"/>
              <w:framePr w:w="9686" w:h="7166" w:wrap="none" w:vAnchor="page" w:hAnchor="page" w:x="1124" w:y="1311"/>
              <w:spacing w:after="0"/>
              <w:ind w:firstLine="140"/>
              <w:rPr>
                <w:sz w:val="16"/>
                <w:szCs w:val="16"/>
              </w:rPr>
            </w:pPr>
            <w:r>
              <w:rPr>
                <w:sz w:val="16"/>
                <w:szCs w:val="16"/>
              </w:rPr>
              <w:t>SO.420</w:t>
            </w:r>
          </w:p>
        </w:tc>
        <w:tc>
          <w:tcPr>
            <w:tcW w:w="5722" w:type="dxa"/>
            <w:tcBorders>
              <w:top w:val="single" w:sz="4" w:space="0" w:color="auto"/>
              <w:left w:val="single" w:sz="4" w:space="0" w:color="auto"/>
            </w:tcBorders>
            <w:shd w:val="clear" w:color="auto" w:fill="auto"/>
            <w:vAlign w:val="bottom"/>
          </w:tcPr>
          <w:p w14:paraId="12E218B6" w14:textId="77777777" w:rsidR="00EC1C40" w:rsidRDefault="00000000">
            <w:pPr>
              <w:pStyle w:val="Jin0"/>
              <w:framePr w:w="9686" w:h="7166" w:wrap="none" w:vAnchor="page" w:hAnchor="page" w:x="1124" w:y="1311"/>
              <w:spacing w:after="0"/>
              <w:ind w:firstLine="140"/>
              <w:rPr>
                <w:sz w:val="16"/>
                <w:szCs w:val="16"/>
              </w:rPr>
            </w:pPr>
            <w:r>
              <w:rPr>
                <w:sz w:val="16"/>
                <w:szCs w:val="16"/>
              </w:rPr>
              <w:t>Přeložka SEK u mostu přes horkovod</w:t>
            </w:r>
          </w:p>
        </w:tc>
        <w:tc>
          <w:tcPr>
            <w:tcW w:w="1651" w:type="dxa"/>
            <w:tcBorders>
              <w:top w:val="single" w:sz="4" w:space="0" w:color="auto"/>
              <w:left w:val="single" w:sz="4" w:space="0" w:color="auto"/>
              <w:right w:val="single" w:sz="4" w:space="0" w:color="auto"/>
            </w:tcBorders>
            <w:shd w:val="clear" w:color="auto" w:fill="auto"/>
            <w:vAlign w:val="bottom"/>
          </w:tcPr>
          <w:p w14:paraId="06DAC587" w14:textId="77777777" w:rsidR="00EC1C40" w:rsidRDefault="00000000">
            <w:pPr>
              <w:pStyle w:val="Jin0"/>
              <w:framePr w:w="9686" w:h="7166" w:wrap="none" w:vAnchor="page" w:hAnchor="page" w:x="1124" w:y="1311"/>
              <w:spacing w:after="0"/>
              <w:ind w:firstLine="600"/>
              <w:jc w:val="both"/>
              <w:rPr>
                <w:sz w:val="16"/>
                <w:szCs w:val="16"/>
              </w:rPr>
            </w:pPr>
            <w:r>
              <w:rPr>
                <w:sz w:val="16"/>
                <w:szCs w:val="16"/>
              </w:rPr>
              <w:t>2 000 000 Kč</w:t>
            </w:r>
          </w:p>
        </w:tc>
      </w:tr>
      <w:tr w:rsidR="00EC1C40" w14:paraId="4F01892D" w14:textId="77777777">
        <w:tblPrEx>
          <w:tblCellMar>
            <w:top w:w="0" w:type="dxa"/>
            <w:bottom w:w="0" w:type="dxa"/>
          </w:tblCellMar>
        </w:tblPrEx>
        <w:trPr>
          <w:trHeight w:hRule="exact" w:val="235"/>
        </w:trPr>
        <w:tc>
          <w:tcPr>
            <w:tcW w:w="950" w:type="dxa"/>
            <w:vMerge w:val="restart"/>
            <w:tcBorders>
              <w:top w:val="single" w:sz="4" w:space="0" w:color="auto"/>
              <w:left w:val="single" w:sz="4" w:space="0" w:color="auto"/>
            </w:tcBorders>
            <w:shd w:val="clear" w:color="auto" w:fill="6169B1"/>
            <w:vAlign w:val="center"/>
          </w:tcPr>
          <w:p w14:paraId="3A393C22" w14:textId="77777777" w:rsidR="00EC1C40" w:rsidRDefault="00000000">
            <w:pPr>
              <w:pStyle w:val="Jin0"/>
              <w:framePr w:w="9686" w:h="7166" w:wrap="none" w:vAnchor="page" w:hAnchor="page" w:x="1124" w:y="1311"/>
              <w:spacing w:after="0"/>
              <w:ind w:firstLine="380"/>
              <w:rPr>
                <w:sz w:val="20"/>
                <w:szCs w:val="20"/>
              </w:rPr>
            </w:pPr>
            <w:r>
              <w:rPr>
                <w:b/>
                <w:bCs/>
                <w:sz w:val="20"/>
                <w:szCs w:val="20"/>
              </w:rPr>
              <w:t>III</w:t>
            </w:r>
          </w:p>
        </w:tc>
        <w:tc>
          <w:tcPr>
            <w:tcW w:w="1363" w:type="dxa"/>
            <w:tcBorders>
              <w:top w:val="single" w:sz="4" w:space="0" w:color="auto"/>
              <w:left w:val="single" w:sz="4" w:space="0" w:color="auto"/>
            </w:tcBorders>
            <w:shd w:val="clear" w:color="auto" w:fill="auto"/>
            <w:vAlign w:val="bottom"/>
          </w:tcPr>
          <w:p w14:paraId="40C4C981" w14:textId="77777777" w:rsidR="00EC1C40" w:rsidRDefault="00000000">
            <w:pPr>
              <w:pStyle w:val="Jin0"/>
              <w:framePr w:w="9686" w:h="7166" w:wrap="none" w:vAnchor="page" w:hAnchor="page" w:x="1124" w:y="1311"/>
              <w:spacing w:after="0"/>
              <w:ind w:firstLine="140"/>
              <w:rPr>
                <w:sz w:val="16"/>
                <w:szCs w:val="16"/>
              </w:rPr>
            </w:pPr>
            <w:r>
              <w:rPr>
                <w:sz w:val="16"/>
                <w:szCs w:val="16"/>
              </w:rPr>
              <w:t>SO.102</w:t>
            </w:r>
          </w:p>
        </w:tc>
        <w:tc>
          <w:tcPr>
            <w:tcW w:w="5722" w:type="dxa"/>
            <w:tcBorders>
              <w:top w:val="single" w:sz="4" w:space="0" w:color="auto"/>
              <w:left w:val="single" w:sz="4" w:space="0" w:color="auto"/>
            </w:tcBorders>
            <w:shd w:val="clear" w:color="auto" w:fill="auto"/>
            <w:vAlign w:val="bottom"/>
          </w:tcPr>
          <w:p w14:paraId="58733BF1" w14:textId="77777777" w:rsidR="00EC1C40" w:rsidRDefault="00000000">
            <w:pPr>
              <w:pStyle w:val="Jin0"/>
              <w:framePr w:w="9686" w:h="7166" w:wrap="none" w:vAnchor="page" w:hAnchor="page" w:x="1124" w:y="1311"/>
              <w:spacing w:after="0"/>
              <w:ind w:firstLine="140"/>
              <w:rPr>
                <w:sz w:val="16"/>
                <w:szCs w:val="16"/>
              </w:rPr>
            </w:pPr>
            <w:r>
              <w:rPr>
                <w:sz w:val="16"/>
                <w:szCs w:val="16"/>
              </w:rPr>
              <w:t>Účelová komunikace sever (napojení na obchvat - veřejná část)</w:t>
            </w:r>
          </w:p>
        </w:tc>
        <w:tc>
          <w:tcPr>
            <w:tcW w:w="1651" w:type="dxa"/>
            <w:tcBorders>
              <w:top w:val="single" w:sz="4" w:space="0" w:color="auto"/>
              <w:left w:val="single" w:sz="4" w:space="0" w:color="auto"/>
              <w:right w:val="single" w:sz="4" w:space="0" w:color="auto"/>
            </w:tcBorders>
            <w:shd w:val="clear" w:color="auto" w:fill="auto"/>
            <w:vAlign w:val="bottom"/>
          </w:tcPr>
          <w:p w14:paraId="57CF83D6" w14:textId="77777777" w:rsidR="00EC1C40" w:rsidRDefault="00000000">
            <w:pPr>
              <w:pStyle w:val="Jin0"/>
              <w:framePr w:w="9686" w:h="7166" w:wrap="none" w:vAnchor="page" w:hAnchor="page" w:x="1124" w:y="1311"/>
              <w:spacing w:after="0"/>
              <w:ind w:firstLine="720"/>
              <w:jc w:val="both"/>
              <w:rPr>
                <w:sz w:val="16"/>
                <w:szCs w:val="16"/>
              </w:rPr>
            </w:pPr>
            <w:r>
              <w:rPr>
                <w:sz w:val="16"/>
                <w:szCs w:val="16"/>
              </w:rPr>
              <w:t>740 400 Kč</w:t>
            </w:r>
          </w:p>
        </w:tc>
      </w:tr>
      <w:tr w:rsidR="00EC1C40" w14:paraId="171444B7" w14:textId="77777777">
        <w:tblPrEx>
          <w:tblCellMar>
            <w:top w:w="0" w:type="dxa"/>
            <w:bottom w:w="0" w:type="dxa"/>
          </w:tblCellMar>
        </w:tblPrEx>
        <w:trPr>
          <w:trHeight w:hRule="exact" w:val="230"/>
        </w:trPr>
        <w:tc>
          <w:tcPr>
            <w:tcW w:w="950" w:type="dxa"/>
            <w:vMerge/>
            <w:tcBorders>
              <w:left w:val="single" w:sz="4" w:space="0" w:color="auto"/>
            </w:tcBorders>
            <w:shd w:val="clear" w:color="auto" w:fill="6169B1"/>
            <w:vAlign w:val="center"/>
          </w:tcPr>
          <w:p w14:paraId="08F8546C" w14:textId="77777777" w:rsidR="00EC1C40" w:rsidRDefault="00EC1C40">
            <w:pPr>
              <w:framePr w:w="9686" w:h="7166" w:wrap="none" w:vAnchor="page" w:hAnchor="page" w:x="1124" w:y="1311"/>
            </w:pPr>
          </w:p>
        </w:tc>
        <w:tc>
          <w:tcPr>
            <w:tcW w:w="1363" w:type="dxa"/>
            <w:tcBorders>
              <w:top w:val="single" w:sz="4" w:space="0" w:color="auto"/>
              <w:left w:val="single" w:sz="4" w:space="0" w:color="auto"/>
            </w:tcBorders>
            <w:shd w:val="clear" w:color="auto" w:fill="auto"/>
            <w:vAlign w:val="bottom"/>
          </w:tcPr>
          <w:p w14:paraId="39CB7B3E" w14:textId="77777777" w:rsidR="00EC1C40" w:rsidRDefault="00000000">
            <w:pPr>
              <w:pStyle w:val="Jin0"/>
              <w:framePr w:w="9686" w:h="7166" w:wrap="none" w:vAnchor="page" w:hAnchor="page" w:x="1124" w:y="1311"/>
              <w:spacing w:after="0"/>
              <w:ind w:firstLine="140"/>
              <w:rPr>
                <w:sz w:val="16"/>
                <w:szCs w:val="16"/>
              </w:rPr>
            </w:pPr>
            <w:r>
              <w:rPr>
                <w:sz w:val="16"/>
                <w:szCs w:val="16"/>
              </w:rPr>
              <w:t>SO.108</w:t>
            </w:r>
          </w:p>
        </w:tc>
        <w:tc>
          <w:tcPr>
            <w:tcW w:w="5722" w:type="dxa"/>
            <w:tcBorders>
              <w:top w:val="single" w:sz="4" w:space="0" w:color="auto"/>
              <w:left w:val="single" w:sz="4" w:space="0" w:color="auto"/>
            </w:tcBorders>
            <w:shd w:val="clear" w:color="auto" w:fill="auto"/>
            <w:vAlign w:val="bottom"/>
          </w:tcPr>
          <w:p w14:paraId="4E43C25A" w14:textId="77777777" w:rsidR="00EC1C40" w:rsidRDefault="00000000">
            <w:pPr>
              <w:pStyle w:val="Jin0"/>
              <w:framePr w:w="9686" w:h="7166" w:wrap="none" w:vAnchor="page" w:hAnchor="page" w:x="1124" w:y="1311"/>
              <w:spacing w:after="0"/>
              <w:ind w:firstLine="140"/>
              <w:rPr>
                <w:sz w:val="16"/>
                <w:szCs w:val="16"/>
              </w:rPr>
            </w:pPr>
            <w:r>
              <w:rPr>
                <w:sz w:val="16"/>
                <w:szCs w:val="16"/>
              </w:rPr>
              <w:t>Cyklostezka sever</w:t>
            </w:r>
          </w:p>
        </w:tc>
        <w:tc>
          <w:tcPr>
            <w:tcW w:w="1651" w:type="dxa"/>
            <w:tcBorders>
              <w:top w:val="single" w:sz="4" w:space="0" w:color="auto"/>
              <w:left w:val="single" w:sz="4" w:space="0" w:color="auto"/>
              <w:right w:val="single" w:sz="4" w:space="0" w:color="auto"/>
            </w:tcBorders>
            <w:shd w:val="clear" w:color="auto" w:fill="auto"/>
            <w:vAlign w:val="bottom"/>
          </w:tcPr>
          <w:p w14:paraId="1883E5D1" w14:textId="77777777" w:rsidR="00EC1C40" w:rsidRDefault="00000000">
            <w:pPr>
              <w:pStyle w:val="Jin0"/>
              <w:framePr w:w="9686" w:h="7166" w:wrap="none" w:vAnchor="page" w:hAnchor="page" w:x="1124" w:y="1311"/>
              <w:spacing w:after="0"/>
              <w:ind w:firstLine="600"/>
              <w:jc w:val="both"/>
              <w:rPr>
                <w:sz w:val="16"/>
                <w:szCs w:val="16"/>
              </w:rPr>
            </w:pPr>
            <w:r>
              <w:rPr>
                <w:sz w:val="16"/>
                <w:szCs w:val="16"/>
              </w:rPr>
              <w:t>3 468 750 Kč</w:t>
            </w:r>
          </w:p>
        </w:tc>
      </w:tr>
      <w:tr w:rsidR="00EC1C40" w14:paraId="3853E17E" w14:textId="77777777">
        <w:tblPrEx>
          <w:tblCellMar>
            <w:top w:w="0" w:type="dxa"/>
            <w:bottom w:w="0" w:type="dxa"/>
          </w:tblCellMar>
        </w:tblPrEx>
        <w:trPr>
          <w:trHeight w:hRule="exact" w:val="226"/>
        </w:trPr>
        <w:tc>
          <w:tcPr>
            <w:tcW w:w="950" w:type="dxa"/>
            <w:vMerge/>
            <w:tcBorders>
              <w:left w:val="single" w:sz="4" w:space="0" w:color="auto"/>
            </w:tcBorders>
            <w:shd w:val="clear" w:color="auto" w:fill="6169B1"/>
            <w:vAlign w:val="center"/>
          </w:tcPr>
          <w:p w14:paraId="7F9CE663" w14:textId="77777777" w:rsidR="00EC1C40" w:rsidRDefault="00EC1C40">
            <w:pPr>
              <w:framePr w:w="9686" w:h="7166" w:wrap="none" w:vAnchor="page" w:hAnchor="page" w:x="1124" w:y="1311"/>
            </w:pPr>
          </w:p>
        </w:tc>
        <w:tc>
          <w:tcPr>
            <w:tcW w:w="1363" w:type="dxa"/>
            <w:tcBorders>
              <w:top w:val="single" w:sz="4" w:space="0" w:color="auto"/>
              <w:left w:val="single" w:sz="4" w:space="0" w:color="auto"/>
            </w:tcBorders>
            <w:shd w:val="clear" w:color="auto" w:fill="auto"/>
            <w:vAlign w:val="bottom"/>
          </w:tcPr>
          <w:p w14:paraId="413F4FDD" w14:textId="77777777" w:rsidR="00EC1C40" w:rsidRDefault="00000000">
            <w:pPr>
              <w:pStyle w:val="Jin0"/>
              <w:framePr w:w="9686" w:h="7166" w:wrap="none" w:vAnchor="page" w:hAnchor="page" w:x="1124" w:y="1311"/>
              <w:spacing w:after="0"/>
              <w:ind w:firstLine="140"/>
              <w:rPr>
                <w:sz w:val="16"/>
                <w:szCs w:val="16"/>
              </w:rPr>
            </w:pPr>
            <w:r>
              <w:rPr>
                <w:sz w:val="16"/>
                <w:szCs w:val="16"/>
              </w:rPr>
              <w:t>SO.226</w:t>
            </w:r>
          </w:p>
        </w:tc>
        <w:tc>
          <w:tcPr>
            <w:tcW w:w="5722" w:type="dxa"/>
            <w:tcBorders>
              <w:top w:val="single" w:sz="4" w:space="0" w:color="auto"/>
              <w:left w:val="single" w:sz="4" w:space="0" w:color="auto"/>
            </w:tcBorders>
            <w:shd w:val="clear" w:color="auto" w:fill="auto"/>
            <w:vAlign w:val="bottom"/>
          </w:tcPr>
          <w:p w14:paraId="34E79A57" w14:textId="77777777" w:rsidR="00EC1C40" w:rsidRDefault="00000000">
            <w:pPr>
              <w:pStyle w:val="Jin0"/>
              <w:framePr w:w="9686" w:h="7166" w:wrap="none" w:vAnchor="page" w:hAnchor="page" w:x="1124" w:y="1311"/>
              <w:spacing w:after="0"/>
              <w:ind w:firstLine="140"/>
              <w:rPr>
                <w:sz w:val="16"/>
                <w:szCs w:val="16"/>
              </w:rPr>
            </w:pPr>
            <w:r>
              <w:rPr>
                <w:sz w:val="16"/>
                <w:szCs w:val="16"/>
              </w:rPr>
              <w:t>Dešťové přípojky areál</w:t>
            </w:r>
          </w:p>
        </w:tc>
        <w:tc>
          <w:tcPr>
            <w:tcW w:w="1651" w:type="dxa"/>
            <w:tcBorders>
              <w:top w:val="single" w:sz="4" w:space="0" w:color="auto"/>
              <w:left w:val="single" w:sz="4" w:space="0" w:color="auto"/>
              <w:right w:val="single" w:sz="4" w:space="0" w:color="auto"/>
            </w:tcBorders>
            <w:shd w:val="clear" w:color="auto" w:fill="auto"/>
            <w:vAlign w:val="bottom"/>
          </w:tcPr>
          <w:p w14:paraId="3418D944" w14:textId="77777777" w:rsidR="00EC1C40" w:rsidRDefault="00000000">
            <w:pPr>
              <w:pStyle w:val="Jin0"/>
              <w:framePr w:w="9686" w:h="7166" w:wrap="none" w:vAnchor="page" w:hAnchor="page" w:x="1124" w:y="1311"/>
              <w:spacing w:after="0"/>
              <w:ind w:firstLine="820"/>
              <w:rPr>
                <w:sz w:val="16"/>
                <w:szCs w:val="16"/>
              </w:rPr>
            </w:pPr>
            <w:r>
              <w:rPr>
                <w:sz w:val="16"/>
                <w:szCs w:val="16"/>
              </w:rPr>
              <w:t>65 000 Kč</w:t>
            </w:r>
          </w:p>
        </w:tc>
      </w:tr>
      <w:tr w:rsidR="00EC1C40" w14:paraId="3108C842" w14:textId="77777777">
        <w:tblPrEx>
          <w:tblCellMar>
            <w:top w:w="0" w:type="dxa"/>
            <w:bottom w:w="0" w:type="dxa"/>
          </w:tblCellMar>
        </w:tblPrEx>
        <w:trPr>
          <w:trHeight w:hRule="exact" w:val="230"/>
        </w:trPr>
        <w:tc>
          <w:tcPr>
            <w:tcW w:w="950" w:type="dxa"/>
            <w:vMerge/>
            <w:tcBorders>
              <w:left w:val="single" w:sz="4" w:space="0" w:color="auto"/>
            </w:tcBorders>
            <w:shd w:val="clear" w:color="auto" w:fill="6169B1"/>
            <w:vAlign w:val="center"/>
          </w:tcPr>
          <w:p w14:paraId="04FE65CF" w14:textId="77777777" w:rsidR="00EC1C40" w:rsidRDefault="00EC1C40">
            <w:pPr>
              <w:framePr w:w="9686" w:h="7166" w:wrap="none" w:vAnchor="page" w:hAnchor="page" w:x="1124" w:y="1311"/>
            </w:pPr>
          </w:p>
        </w:tc>
        <w:tc>
          <w:tcPr>
            <w:tcW w:w="1363" w:type="dxa"/>
            <w:tcBorders>
              <w:top w:val="single" w:sz="4" w:space="0" w:color="auto"/>
              <w:left w:val="single" w:sz="4" w:space="0" w:color="auto"/>
            </w:tcBorders>
            <w:shd w:val="clear" w:color="auto" w:fill="auto"/>
            <w:vAlign w:val="bottom"/>
          </w:tcPr>
          <w:p w14:paraId="2E94712B" w14:textId="77777777" w:rsidR="00EC1C40" w:rsidRDefault="00000000">
            <w:pPr>
              <w:pStyle w:val="Jin0"/>
              <w:framePr w:w="9686" w:h="7166" w:wrap="none" w:vAnchor="page" w:hAnchor="page" w:x="1124" w:y="1311"/>
              <w:spacing w:after="0"/>
              <w:ind w:firstLine="140"/>
              <w:rPr>
                <w:sz w:val="16"/>
                <w:szCs w:val="16"/>
              </w:rPr>
            </w:pPr>
            <w:r>
              <w:rPr>
                <w:sz w:val="16"/>
                <w:szCs w:val="16"/>
              </w:rPr>
              <w:t>SO.311</w:t>
            </w:r>
          </w:p>
        </w:tc>
        <w:tc>
          <w:tcPr>
            <w:tcW w:w="5722" w:type="dxa"/>
            <w:tcBorders>
              <w:top w:val="single" w:sz="4" w:space="0" w:color="auto"/>
              <w:left w:val="single" w:sz="4" w:space="0" w:color="auto"/>
            </w:tcBorders>
            <w:shd w:val="clear" w:color="auto" w:fill="auto"/>
            <w:vAlign w:val="bottom"/>
          </w:tcPr>
          <w:p w14:paraId="0FC65697" w14:textId="77777777" w:rsidR="00EC1C40" w:rsidRDefault="00000000">
            <w:pPr>
              <w:pStyle w:val="Jin0"/>
              <w:framePr w:w="9686" w:h="7166" w:wrap="none" w:vAnchor="page" w:hAnchor="page" w:x="1124" w:y="1311"/>
              <w:spacing w:after="0"/>
              <w:ind w:firstLine="140"/>
              <w:rPr>
                <w:sz w:val="16"/>
                <w:szCs w:val="16"/>
              </w:rPr>
            </w:pPr>
            <w:r>
              <w:rPr>
                <w:sz w:val="16"/>
                <w:szCs w:val="16"/>
              </w:rPr>
              <w:t>Veřejné osvětlení</w:t>
            </w:r>
          </w:p>
        </w:tc>
        <w:tc>
          <w:tcPr>
            <w:tcW w:w="1651" w:type="dxa"/>
            <w:tcBorders>
              <w:top w:val="single" w:sz="4" w:space="0" w:color="auto"/>
              <w:left w:val="single" w:sz="4" w:space="0" w:color="auto"/>
              <w:right w:val="single" w:sz="4" w:space="0" w:color="auto"/>
            </w:tcBorders>
            <w:shd w:val="clear" w:color="auto" w:fill="auto"/>
            <w:vAlign w:val="bottom"/>
          </w:tcPr>
          <w:p w14:paraId="46F49BC6" w14:textId="77777777" w:rsidR="00EC1C40" w:rsidRDefault="00000000">
            <w:pPr>
              <w:pStyle w:val="Jin0"/>
              <w:framePr w:w="9686" w:h="7166" w:wrap="none" w:vAnchor="page" w:hAnchor="page" w:x="1124" w:y="1311"/>
              <w:spacing w:after="0"/>
              <w:ind w:firstLine="720"/>
              <w:jc w:val="both"/>
              <w:rPr>
                <w:sz w:val="16"/>
                <w:szCs w:val="16"/>
              </w:rPr>
            </w:pPr>
            <w:r>
              <w:rPr>
                <w:sz w:val="16"/>
                <w:szCs w:val="16"/>
              </w:rPr>
              <w:t>778 242 Kč</w:t>
            </w:r>
          </w:p>
        </w:tc>
      </w:tr>
      <w:tr w:rsidR="00EC1C40" w14:paraId="61D1FDFC" w14:textId="77777777">
        <w:tblPrEx>
          <w:tblCellMar>
            <w:top w:w="0" w:type="dxa"/>
            <w:bottom w:w="0" w:type="dxa"/>
          </w:tblCellMar>
        </w:tblPrEx>
        <w:trPr>
          <w:trHeight w:hRule="exact" w:val="691"/>
        </w:trPr>
        <w:tc>
          <w:tcPr>
            <w:tcW w:w="950" w:type="dxa"/>
            <w:tcBorders>
              <w:top w:val="single" w:sz="4" w:space="0" w:color="auto"/>
              <w:left w:val="single" w:sz="4" w:space="0" w:color="auto"/>
            </w:tcBorders>
            <w:shd w:val="clear" w:color="auto" w:fill="F0B9B4"/>
            <w:vAlign w:val="center"/>
          </w:tcPr>
          <w:p w14:paraId="38F750D6" w14:textId="77777777" w:rsidR="00EC1C40" w:rsidRDefault="00000000">
            <w:pPr>
              <w:pStyle w:val="Jin0"/>
              <w:framePr w:w="9686" w:h="7166" w:wrap="none" w:vAnchor="page" w:hAnchor="page" w:x="1124" w:y="1311"/>
              <w:spacing w:after="0"/>
              <w:ind w:firstLine="380"/>
              <w:rPr>
                <w:sz w:val="20"/>
                <w:szCs w:val="20"/>
              </w:rPr>
            </w:pPr>
            <w:r>
              <w:rPr>
                <w:b/>
                <w:bCs/>
                <w:sz w:val="20"/>
                <w:szCs w:val="20"/>
              </w:rPr>
              <w:t>IV</w:t>
            </w:r>
          </w:p>
        </w:tc>
        <w:tc>
          <w:tcPr>
            <w:tcW w:w="7085" w:type="dxa"/>
            <w:gridSpan w:val="2"/>
            <w:tcBorders>
              <w:top w:val="single" w:sz="4" w:space="0" w:color="auto"/>
              <w:left w:val="single" w:sz="4" w:space="0" w:color="auto"/>
            </w:tcBorders>
            <w:shd w:val="clear" w:color="auto" w:fill="auto"/>
          </w:tcPr>
          <w:p w14:paraId="02E4F8D0" w14:textId="77777777" w:rsidR="00EC1C40" w:rsidRDefault="00000000">
            <w:pPr>
              <w:pStyle w:val="Jin0"/>
              <w:framePr w:w="9686" w:h="7166" w:wrap="none" w:vAnchor="page" w:hAnchor="page" w:x="1124" w:y="1311"/>
              <w:spacing w:after="0"/>
              <w:ind w:firstLine="140"/>
              <w:rPr>
                <w:sz w:val="16"/>
                <w:szCs w:val="16"/>
              </w:rPr>
            </w:pPr>
            <w:r>
              <w:rPr>
                <w:sz w:val="16"/>
                <w:szCs w:val="16"/>
              </w:rPr>
              <w:t>Součást stavby "</w:t>
            </w:r>
            <w:r>
              <w:rPr>
                <w:b/>
                <w:bCs/>
                <w:sz w:val="16"/>
                <w:szCs w:val="16"/>
              </w:rPr>
              <w:t>I/36 PARDUBICE, TRNOVÁ - FÁBLOVKA - DUBINA</w:t>
            </w:r>
            <w:r>
              <w:rPr>
                <w:sz w:val="16"/>
                <w:szCs w:val="16"/>
              </w:rPr>
              <w:t>"</w:t>
            </w:r>
          </w:p>
          <w:p w14:paraId="2529F996" w14:textId="77777777" w:rsidR="00EC1C40" w:rsidRDefault="00000000">
            <w:pPr>
              <w:pStyle w:val="Jin0"/>
              <w:framePr w:w="9686" w:h="7166" w:wrap="none" w:vAnchor="page" w:hAnchor="page" w:x="1124" w:y="1311"/>
              <w:spacing w:after="0"/>
              <w:ind w:firstLine="140"/>
              <w:rPr>
                <w:sz w:val="16"/>
                <w:szCs w:val="16"/>
              </w:rPr>
            </w:pPr>
            <w:r>
              <w:rPr>
                <w:sz w:val="16"/>
                <w:szCs w:val="16"/>
              </w:rPr>
              <w:t>Realizuje ŘSD na základě SML o spolupráci při zajištění připojení lokality Nová Cihelna</w:t>
            </w:r>
          </w:p>
          <w:p w14:paraId="5658C7E9" w14:textId="77777777" w:rsidR="00EC1C40" w:rsidRDefault="00000000">
            <w:pPr>
              <w:pStyle w:val="Jin0"/>
              <w:framePr w:w="9686" w:h="7166" w:wrap="none" w:vAnchor="page" w:hAnchor="page" w:x="1124" w:y="1311"/>
              <w:spacing w:after="0"/>
              <w:ind w:firstLine="140"/>
              <w:rPr>
                <w:sz w:val="16"/>
                <w:szCs w:val="16"/>
              </w:rPr>
            </w:pPr>
            <w:proofErr w:type="spellStart"/>
            <w:r>
              <w:rPr>
                <w:color w:val="EC1C23"/>
                <w:sz w:val="16"/>
                <w:szCs w:val="16"/>
              </w:rPr>
              <w:t>Zahnruje</w:t>
            </w:r>
            <w:proofErr w:type="spellEnd"/>
            <w:r>
              <w:rPr>
                <w:color w:val="EC1C23"/>
                <w:sz w:val="16"/>
                <w:szCs w:val="16"/>
              </w:rPr>
              <w:t xml:space="preserve"> objekty převáděné do majetku SMP - tj. </w:t>
            </w:r>
            <w:r>
              <w:rPr>
                <w:color w:val="EC1C23"/>
                <w:sz w:val="16"/>
                <w:szCs w:val="16"/>
                <w:lang w:val="en-US" w:eastAsia="en-US" w:bidi="en-US"/>
              </w:rPr>
              <w:t xml:space="preserve">VO </w:t>
            </w:r>
            <w:r>
              <w:rPr>
                <w:color w:val="EC1C23"/>
                <w:sz w:val="16"/>
                <w:szCs w:val="16"/>
              </w:rPr>
              <w:t>+ SSZ</w:t>
            </w:r>
          </w:p>
        </w:tc>
        <w:tc>
          <w:tcPr>
            <w:tcW w:w="1651" w:type="dxa"/>
            <w:tcBorders>
              <w:top w:val="single" w:sz="4" w:space="0" w:color="auto"/>
              <w:left w:val="single" w:sz="4" w:space="0" w:color="auto"/>
              <w:right w:val="single" w:sz="4" w:space="0" w:color="auto"/>
            </w:tcBorders>
            <w:shd w:val="clear" w:color="auto" w:fill="auto"/>
            <w:vAlign w:val="center"/>
          </w:tcPr>
          <w:p w14:paraId="26FA0D03" w14:textId="77777777" w:rsidR="00EC1C40" w:rsidRDefault="00000000">
            <w:pPr>
              <w:pStyle w:val="Jin0"/>
              <w:framePr w:w="9686" w:h="7166" w:wrap="none" w:vAnchor="page" w:hAnchor="page" w:x="1124" w:y="1311"/>
              <w:spacing w:after="0"/>
              <w:ind w:firstLine="520"/>
              <w:jc w:val="both"/>
              <w:rPr>
                <w:sz w:val="16"/>
                <w:szCs w:val="16"/>
              </w:rPr>
            </w:pPr>
            <w:r>
              <w:rPr>
                <w:color w:val="EC1C23"/>
                <w:sz w:val="16"/>
                <w:szCs w:val="16"/>
              </w:rPr>
              <w:t>14 376 059 Kč</w:t>
            </w:r>
          </w:p>
        </w:tc>
      </w:tr>
      <w:tr w:rsidR="00EC1C40" w14:paraId="24357795" w14:textId="77777777">
        <w:tblPrEx>
          <w:tblCellMar>
            <w:top w:w="0" w:type="dxa"/>
            <w:bottom w:w="0" w:type="dxa"/>
          </w:tblCellMar>
        </w:tblPrEx>
        <w:trPr>
          <w:trHeight w:hRule="exact" w:val="691"/>
        </w:trPr>
        <w:tc>
          <w:tcPr>
            <w:tcW w:w="950" w:type="dxa"/>
            <w:tcBorders>
              <w:top w:val="single" w:sz="4" w:space="0" w:color="auto"/>
              <w:left w:val="single" w:sz="4" w:space="0" w:color="auto"/>
            </w:tcBorders>
            <w:shd w:val="clear" w:color="auto" w:fill="F0B9B4"/>
            <w:vAlign w:val="center"/>
          </w:tcPr>
          <w:p w14:paraId="50099AD7" w14:textId="77777777" w:rsidR="00EC1C40" w:rsidRDefault="00000000">
            <w:pPr>
              <w:pStyle w:val="Jin0"/>
              <w:framePr w:w="9686" w:h="7166" w:wrap="none" w:vAnchor="page" w:hAnchor="page" w:x="1124" w:y="1311"/>
              <w:spacing w:after="0"/>
              <w:ind w:firstLine="380"/>
              <w:rPr>
                <w:sz w:val="20"/>
                <w:szCs w:val="20"/>
              </w:rPr>
            </w:pPr>
            <w:r>
              <w:rPr>
                <w:b/>
                <w:bCs/>
                <w:sz w:val="20"/>
                <w:szCs w:val="20"/>
              </w:rPr>
              <w:t>V</w:t>
            </w:r>
          </w:p>
        </w:tc>
        <w:tc>
          <w:tcPr>
            <w:tcW w:w="7085" w:type="dxa"/>
            <w:gridSpan w:val="2"/>
            <w:tcBorders>
              <w:top w:val="single" w:sz="4" w:space="0" w:color="auto"/>
              <w:left w:val="single" w:sz="4" w:space="0" w:color="auto"/>
            </w:tcBorders>
            <w:shd w:val="clear" w:color="auto" w:fill="auto"/>
          </w:tcPr>
          <w:p w14:paraId="1B861255" w14:textId="77777777" w:rsidR="00EC1C40" w:rsidRDefault="00000000">
            <w:pPr>
              <w:pStyle w:val="Jin0"/>
              <w:framePr w:w="9686" w:h="7166" w:wrap="none" w:vAnchor="page" w:hAnchor="page" w:x="1124" w:y="1311"/>
              <w:spacing w:after="0"/>
              <w:ind w:firstLine="140"/>
              <w:rPr>
                <w:sz w:val="16"/>
                <w:szCs w:val="16"/>
              </w:rPr>
            </w:pPr>
            <w:r>
              <w:rPr>
                <w:sz w:val="16"/>
                <w:szCs w:val="16"/>
              </w:rPr>
              <w:t>Součást stavby "</w:t>
            </w:r>
            <w:r>
              <w:rPr>
                <w:b/>
                <w:bCs/>
                <w:sz w:val="16"/>
                <w:szCs w:val="16"/>
              </w:rPr>
              <w:t>I/36 PARDUBICE, TRNOVÁ - FÁBLOVKA - DUBINA</w:t>
            </w:r>
            <w:r>
              <w:rPr>
                <w:sz w:val="16"/>
                <w:szCs w:val="16"/>
              </w:rPr>
              <w:t>"</w:t>
            </w:r>
          </w:p>
          <w:p w14:paraId="017A13C2" w14:textId="77777777" w:rsidR="00EC1C40" w:rsidRDefault="00000000">
            <w:pPr>
              <w:pStyle w:val="Jin0"/>
              <w:framePr w:w="9686" w:h="7166" w:wrap="none" w:vAnchor="page" w:hAnchor="page" w:x="1124" w:y="1311"/>
              <w:spacing w:after="0"/>
              <w:ind w:firstLine="140"/>
              <w:rPr>
                <w:sz w:val="16"/>
                <w:szCs w:val="16"/>
              </w:rPr>
            </w:pPr>
            <w:r>
              <w:rPr>
                <w:sz w:val="16"/>
                <w:szCs w:val="16"/>
              </w:rPr>
              <w:t>Realizuje ŘSD na základě SML o spolupráci při zajištění připojení lokality Nová Cihelna</w:t>
            </w:r>
          </w:p>
          <w:p w14:paraId="4354BAE4" w14:textId="77777777" w:rsidR="00EC1C40" w:rsidRDefault="00000000">
            <w:pPr>
              <w:pStyle w:val="Jin0"/>
              <w:framePr w:w="9686" w:h="7166" w:wrap="none" w:vAnchor="page" w:hAnchor="page" w:x="1124" w:y="1311"/>
              <w:spacing w:after="0"/>
              <w:ind w:firstLine="140"/>
              <w:rPr>
                <w:sz w:val="16"/>
                <w:szCs w:val="16"/>
              </w:rPr>
            </w:pPr>
            <w:r>
              <w:rPr>
                <w:color w:val="EC1C23"/>
                <w:sz w:val="16"/>
                <w:szCs w:val="16"/>
              </w:rPr>
              <w:t>Nezahrnuje objekty převáděné do majetku SMP</w:t>
            </w:r>
          </w:p>
        </w:tc>
        <w:tc>
          <w:tcPr>
            <w:tcW w:w="1651" w:type="dxa"/>
            <w:tcBorders>
              <w:top w:val="single" w:sz="4" w:space="0" w:color="auto"/>
              <w:left w:val="single" w:sz="4" w:space="0" w:color="auto"/>
              <w:right w:val="single" w:sz="4" w:space="0" w:color="auto"/>
            </w:tcBorders>
            <w:shd w:val="clear" w:color="auto" w:fill="auto"/>
          </w:tcPr>
          <w:p w14:paraId="24928643" w14:textId="77777777" w:rsidR="00EC1C40" w:rsidRDefault="00EC1C40">
            <w:pPr>
              <w:framePr w:w="9686" w:h="7166" w:wrap="none" w:vAnchor="page" w:hAnchor="page" w:x="1124" w:y="1311"/>
              <w:rPr>
                <w:sz w:val="10"/>
                <w:szCs w:val="10"/>
              </w:rPr>
            </w:pPr>
          </w:p>
        </w:tc>
      </w:tr>
      <w:tr w:rsidR="00EC1C40" w14:paraId="5DC349CD" w14:textId="77777777">
        <w:tblPrEx>
          <w:tblCellMar>
            <w:top w:w="0" w:type="dxa"/>
            <w:bottom w:w="0" w:type="dxa"/>
          </w:tblCellMar>
        </w:tblPrEx>
        <w:trPr>
          <w:trHeight w:hRule="exact" w:val="461"/>
        </w:trPr>
        <w:tc>
          <w:tcPr>
            <w:tcW w:w="950" w:type="dxa"/>
            <w:tcBorders>
              <w:top w:val="single" w:sz="4" w:space="0" w:color="auto"/>
              <w:left w:val="single" w:sz="4" w:space="0" w:color="auto"/>
            </w:tcBorders>
            <w:shd w:val="clear" w:color="auto" w:fill="A9D59A"/>
            <w:vAlign w:val="center"/>
          </w:tcPr>
          <w:p w14:paraId="32394E4B" w14:textId="77777777" w:rsidR="00EC1C40" w:rsidRDefault="00000000">
            <w:pPr>
              <w:pStyle w:val="Jin0"/>
              <w:framePr w:w="9686" w:h="7166" w:wrap="none" w:vAnchor="page" w:hAnchor="page" w:x="1124" w:y="1311"/>
              <w:spacing w:after="0"/>
              <w:ind w:firstLine="380"/>
              <w:rPr>
                <w:sz w:val="20"/>
                <w:szCs w:val="20"/>
              </w:rPr>
            </w:pPr>
            <w:r>
              <w:rPr>
                <w:b/>
                <w:bCs/>
                <w:sz w:val="20"/>
                <w:szCs w:val="20"/>
              </w:rPr>
              <w:t>VII</w:t>
            </w:r>
          </w:p>
        </w:tc>
        <w:tc>
          <w:tcPr>
            <w:tcW w:w="7085" w:type="dxa"/>
            <w:gridSpan w:val="2"/>
            <w:tcBorders>
              <w:top w:val="single" w:sz="4" w:space="0" w:color="auto"/>
              <w:left w:val="single" w:sz="4" w:space="0" w:color="auto"/>
            </w:tcBorders>
            <w:shd w:val="clear" w:color="auto" w:fill="auto"/>
            <w:vAlign w:val="bottom"/>
          </w:tcPr>
          <w:p w14:paraId="5B7D71CE" w14:textId="77777777" w:rsidR="00EC1C40" w:rsidRDefault="00000000">
            <w:pPr>
              <w:pStyle w:val="Jin0"/>
              <w:framePr w:w="9686" w:h="7166" w:wrap="none" w:vAnchor="page" w:hAnchor="page" w:x="1124" w:y="1311"/>
              <w:spacing w:after="0"/>
              <w:ind w:firstLine="140"/>
              <w:rPr>
                <w:sz w:val="16"/>
                <w:szCs w:val="16"/>
              </w:rPr>
            </w:pPr>
            <w:r>
              <w:rPr>
                <w:sz w:val="16"/>
                <w:szCs w:val="16"/>
              </w:rPr>
              <w:t>Součást stavby "</w:t>
            </w:r>
            <w:r>
              <w:rPr>
                <w:b/>
                <w:bCs/>
                <w:sz w:val="16"/>
                <w:szCs w:val="16"/>
              </w:rPr>
              <w:t xml:space="preserve">Cyklistická stezka I/36 Pardubice, Trnová - </w:t>
            </w:r>
            <w:proofErr w:type="spellStart"/>
            <w:r>
              <w:rPr>
                <w:b/>
                <w:bCs/>
                <w:sz w:val="16"/>
                <w:szCs w:val="16"/>
              </w:rPr>
              <w:t>Fáblovka</w:t>
            </w:r>
            <w:proofErr w:type="spellEnd"/>
            <w:r>
              <w:rPr>
                <w:b/>
                <w:bCs/>
                <w:sz w:val="16"/>
                <w:szCs w:val="16"/>
              </w:rPr>
              <w:t xml:space="preserve"> - Dubina</w:t>
            </w:r>
            <w:r>
              <w:rPr>
                <w:sz w:val="16"/>
                <w:szCs w:val="16"/>
              </w:rPr>
              <w:t>"</w:t>
            </w:r>
          </w:p>
          <w:p w14:paraId="7683CE83" w14:textId="77777777" w:rsidR="00EC1C40" w:rsidRDefault="00000000">
            <w:pPr>
              <w:pStyle w:val="Jin0"/>
              <w:framePr w:w="9686" w:h="7166" w:wrap="none" w:vAnchor="page" w:hAnchor="page" w:x="1124" w:y="1311"/>
              <w:spacing w:after="0"/>
              <w:ind w:firstLine="140"/>
              <w:rPr>
                <w:sz w:val="16"/>
                <w:szCs w:val="16"/>
              </w:rPr>
            </w:pPr>
            <w:r>
              <w:rPr>
                <w:sz w:val="16"/>
                <w:szCs w:val="16"/>
              </w:rPr>
              <w:t>Realizuje a hradí MHAP</w:t>
            </w:r>
          </w:p>
        </w:tc>
        <w:tc>
          <w:tcPr>
            <w:tcW w:w="1651" w:type="dxa"/>
            <w:tcBorders>
              <w:top w:val="single" w:sz="4" w:space="0" w:color="auto"/>
              <w:left w:val="single" w:sz="4" w:space="0" w:color="auto"/>
              <w:right w:val="single" w:sz="4" w:space="0" w:color="auto"/>
            </w:tcBorders>
            <w:shd w:val="clear" w:color="auto" w:fill="auto"/>
            <w:vAlign w:val="center"/>
          </w:tcPr>
          <w:p w14:paraId="39968042" w14:textId="77777777" w:rsidR="00EC1C40" w:rsidRDefault="00000000">
            <w:pPr>
              <w:pStyle w:val="Jin0"/>
              <w:framePr w:w="9686" w:h="7166" w:wrap="none" w:vAnchor="page" w:hAnchor="page" w:x="1124" w:y="1311"/>
              <w:spacing w:after="0"/>
              <w:ind w:firstLine="720"/>
              <w:jc w:val="both"/>
              <w:rPr>
                <w:sz w:val="16"/>
                <w:szCs w:val="16"/>
              </w:rPr>
            </w:pPr>
            <w:r>
              <w:rPr>
                <w:sz w:val="16"/>
                <w:szCs w:val="16"/>
              </w:rPr>
              <w:t>975 000 Kč</w:t>
            </w:r>
          </w:p>
        </w:tc>
      </w:tr>
      <w:tr w:rsidR="00EC1C40" w14:paraId="61797C86" w14:textId="77777777">
        <w:tblPrEx>
          <w:tblCellMar>
            <w:top w:w="0" w:type="dxa"/>
            <w:bottom w:w="0" w:type="dxa"/>
          </w:tblCellMar>
        </w:tblPrEx>
        <w:trPr>
          <w:trHeight w:hRule="exact" w:val="470"/>
        </w:trPr>
        <w:tc>
          <w:tcPr>
            <w:tcW w:w="950" w:type="dxa"/>
            <w:tcBorders>
              <w:top w:val="single" w:sz="4" w:space="0" w:color="auto"/>
              <w:left w:val="single" w:sz="4" w:space="0" w:color="auto"/>
            </w:tcBorders>
            <w:shd w:val="clear" w:color="auto" w:fill="F6EDD1"/>
            <w:vAlign w:val="center"/>
          </w:tcPr>
          <w:p w14:paraId="27F337E8" w14:textId="77777777" w:rsidR="00EC1C40" w:rsidRDefault="00000000">
            <w:pPr>
              <w:pStyle w:val="Jin0"/>
              <w:framePr w:w="9686" w:h="7166" w:wrap="none" w:vAnchor="page" w:hAnchor="page" w:x="1124" w:y="1311"/>
              <w:spacing w:after="0"/>
              <w:ind w:firstLine="380"/>
              <w:rPr>
                <w:sz w:val="20"/>
                <w:szCs w:val="20"/>
              </w:rPr>
            </w:pPr>
            <w:r>
              <w:rPr>
                <w:b/>
                <w:bCs/>
                <w:sz w:val="20"/>
                <w:szCs w:val="20"/>
              </w:rPr>
              <w:t>IX</w:t>
            </w:r>
          </w:p>
        </w:tc>
        <w:tc>
          <w:tcPr>
            <w:tcW w:w="1363" w:type="dxa"/>
            <w:tcBorders>
              <w:top w:val="single" w:sz="4" w:space="0" w:color="auto"/>
              <w:left w:val="single" w:sz="4" w:space="0" w:color="auto"/>
            </w:tcBorders>
            <w:shd w:val="clear" w:color="auto" w:fill="auto"/>
            <w:vAlign w:val="center"/>
          </w:tcPr>
          <w:p w14:paraId="38B4917A" w14:textId="77777777" w:rsidR="00EC1C40" w:rsidRDefault="00000000">
            <w:pPr>
              <w:pStyle w:val="Jin0"/>
              <w:framePr w:w="9686" w:h="7166" w:wrap="none" w:vAnchor="page" w:hAnchor="page" w:x="1124" w:y="1311"/>
              <w:spacing w:after="0"/>
              <w:ind w:firstLine="140"/>
              <w:rPr>
                <w:sz w:val="16"/>
                <w:szCs w:val="16"/>
              </w:rPr>
            </w:pPr>
            <w:r>
              <w:rPr>
                <w:sz w:val="16"/>
                <w:szCs w:val="16"/>
              </w:rPr>
              <w:t>SO.106</w:t>
            </w:r>
          </w:p>
        </w:tc>
        <w:tc>
          <w:tcPr>
            <w:tcW w:w="5722" w:type="dxa"/>
            <w:tcBorders>
              <w:top w:val="single" w:sz="4" w:space="0" w:color="auto"/>
              <w:left w:val="single" w:sz="4" w:space="0" w:color="auto"/>
            </w:tcBorders>
            <w:shd w:val="clear" w:color="auto" w:fill="auto"/>
            <w:vAlign w:val="center"/>
          </w:tcPr>
          <w:p w14:paraId="023DD921" w14:textId="77777777" w:rsidR="00EC1C40" w:rsidRDefault="00000000">
            <w:pPr>
              <w:pStyle w:val="Jin0"/>
              <w:framePr w:w="9686" w:h="7166" w:wrap="none" w:vAnchor="page" w:hAnchor="page" w:x="1124" w:y="1311"/>
              <w:spacing w:after="0"/>
              <w:ind w:firstLine="140"/>
              <w:rPr>
                <w:sz w:val="16"/>
                <w:szCs w:val="16"/>
              </w:rPr>
            </w:pPr>
            <w:r>
              <w:rPr>
                <w:sz w:val="16"/>
                <w:szCs w:val="16"/>
              </w:rPr>
              <w:t>CYKLOPARKING - venkovní plochy</w:t>
            </w:r>
          </w:p>
        </w:tc>
        <w:tc>
          <w:tcPr>
            <w:tcW w:w="1651" w:type="dxa"/>
            <w:tcBorders>
              <w:top w:val="single" w:sz="4" w:space="0" w:color="auto"/>
              <w:left w:val="single" w:sz="4" w:space="0" w:color="auto"/>
              <w:right w:val="single" w:sz="4" w:space="0" w:color="auto"/>
            </w:tcBorders>
            <w:shd w:val="clear" w:color="auto" w:fill="auto"/>
            <w:vAlign w:val="center"/>
          </w:tcPr>
          <w:p w14:paraId="19BF785E" w14:textId="77777777" w:rsidR="00EC1C40" w:rsidRDefault="00000000">
            <w:pPr>
              <w:pStyle w:val="Jin0"/>
              <w:framePr w:w="9686" w:h="7166" w:wrap="none" w:vAnchor="page" w:hAnchor="page" w:x="1124" w:y="1311"/>
              <w:spacing w:after="0"/>
              <w:ind w:firstLine="600"/>
              <w:jc w:val="both"/>
              <w:rPr>
                <w:sz w:val="16"/>
                <w:szCs w:val="16"/>
              </w:rPr>
            </w:pPr>
            <w:r>
              <w:rPr>
                <w:sz w:val="16"/>
                <w:szCs w:val="16"/>
              </w:rPr>
              <w:t>3 056 300 Kč</w:t>
            </w:r>
          </w:p>
        </w:tc>
      </w:tr>
      <w:tr w:rsidR="00EC1C40" w14:paraId="672698F3" w14:textId="77777777">
        <w:tblPrEx>
          <w:tblCellMar>
            <w:top w:w="0" w:type="dxa"/>
            <w:bottom w:w="0" w:type="dxa"/>
          </w:tblCellMar>
        </w:tblPrEx>
        <w:trPr>
          <w:trHeight w:hRule="exact" w:val="461"/>
        </w:trPr>
        <w:tc>
          <w:tcPr>
            <w:tcW w:w="8035" w:type="dxa"/>
            <w:gridSpan w:val="3"/>
            <w:tcBorders>
              <w:top w:val="single" w:sz="4" w:space="0" w:color="auto"/>
              <w:left w:val="single" w:sz="4" w:space="0" w:color="auto"/>
              <w:bottom w:val="single" w:sz="4" w:space="0" w:color="auto"/>
            </w:tcBorders>
            <w:shd w:val="clear" w:color="auto" w:fill="DAEAF7"/>
            <w:vAlign w:val="center"/>
          </w:tcPr>
          <w:p w14:paraId="0CAB1160" w14:textId="77777777" w:rsidR="00EC1C40" w:rsidRDefault="00000000">
            <w:pPr>
              <w:pStyle w:val="Jin0"/>
              <w:framePr w:w="9686" w:h="7166" w:wrap="none" w:vAnchor="page" w:hAnchor="page" w:x="1124" w:y="1311"/>
              <w:spacing w:after="0"/>
              <w:ind w:firstLine="260"/>
              <w:rPr>
                <w:sz w:val="16"/>
                <w:szCs w:val="16"/>
              </w:rPr>
            </w:pPr>
            <w:r>
              <w:rPr>
                <w:rFonts w:ascii="Arial" w:eastAsia="Arial" w:hAnsi="Arial" w:cs="Arial"/>
                <w:b/>
                <w:bCs/>
                <w:sz w:val="16"/>
                <w:szCs w:val="16"/>
              </w:rPr>
              <w:t>NEPENĚŽNÍ PLNĚNÍ - CELKOVÉ NÁKLADY</w:t>
            </w:r>
          </w:p>
        </w:tc>
        <w:tc>
          <w:tcPr>
            <w:tcW w:w="1651" w:type="dxa"/>
            <w:tcBorders>
              <w:top w:val="single" w:sz="4" w:space="0" w:color="auto"/>
              <w:left w:val="single" w:sz="4" w:space="0" w:color="auto"/>
              <w:bottom w:val="single" w:sz="4" w:space="0" w:color="auto"/>
              <w:right w:val="single" w:sz="4" w:space="0" w:color="auto"/>
            </w:tcBorders>
            <w:shd w:val="clear" w:color="auto" w:fill="DAEAF7"/>
            <w:vAlign w:val="center"/>
          </w:tcPr>
          <w:p w14:paraId="19C64A8C" w14:textId="77777777" w:rsidR="00EC1C40" w:rsidRDefault="00000000">
            <w:pPr>
              <w:pStyle w:val="Jin0"/>
              <w:framePr w:w="9686" w:h="7166" w:wrap="none" w:vAnchor="page" w:hAnchor="page" w:x="1124" w:y="1311"/>
              <w:spacing w:after="0"/>
              <w:ind w:firstLine="240"/>
              <w:rPr>
                <w:sz w:val="16"/>
                <w:szCs w:val="16"/>
              </w:rPr>
            </w:pPr>
            <w:r>
              <w:rPr>
                <w:rFonts w:ascii="Arial" w:eastAsia="Arial" w:hAnsi="Arial" w:cs="Arial"/>
                <w:b/>
                <w:bCs/>
                <w:color w:val="EC1C23"/>
                <w:sz w:val="16"/>
                <w:szCs w:val="16"/>
              </w:rPr>
              <w:t>118 004 722 Kč</w:t>
            </w:r>
          </w:p>
        </w:tc>
      </w:tr>
    </w:tbl>
    <w:p w14:paraId="4EC6960A"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3376EFD3" w14:textId="77777777" w:rsidR="00EC1C40" w:rsidRDefault="00EC1C40">
      <w:pPr>
        <w:spacing w:line="1" w:lineRule="exact"/>
      </w:pPr>
    </w:p>
    <w:p w14:paraId="74DB4498" w14:textId="77777777" w:rsidR="00EC1C40" w:rsidRDefault="00000000">
      <w:pPr>
        <w:pStyle w:val="Zkladntext80"/>
        <w:framePr w:wrap="none" w:vAnchor="page" w:hAnchor="page" w:x="4748" w:y="5079"/>
        <w:jc w:val="left"/>
        <w:rPr>
          <w:sz w:val="50"/>
          <w:szCs w:val="50"/>
        </w:rPr>
      </w:pPr>
      <w:r>
        <w:t>Příloh</w:t>
      </w:r>
      <w:r>
        <w:rPr>
          <w:rFonts w:ascii="Calibri" w:eastAsia="Calibri" w:hAnsi="Calibri" w:cs="Calibri"/>
          <w:b/>
          <w:bCs/>
          <w:smallCaps/>
          <w:sz w:val="50"/>
          <w:szCs w:val="50"/>
        </w:rPr>
        <w:t>a</w:t>
      </w:r>
      <w:r>
        <w:t xml:space="preserve"> č. </w:t>
      </w:r>
      <w:r>
        <w:rPr>
          <w:rFonts w:ascii="Calibri" w:eastAsia="Calibri" w:hAnsi="Calibri" w:cs="Calibri"/>
          <w:b/>
          <w:bCs/>
          <w:smallCaps/>
          <w:sz w:val="50"/>
          <w:szCs w:val="50"/>
        </w:rPr>
        <w:t>17</w:t>
      </w:r>
    </w:p>
    <w:p w14:paraId="1AE37E59"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2472CB04" w14:textId="77777777" w:rsidR="00EC1C40" w:rsidRDefault="00EC1C40">
      <w:pPr>
        <w:spacing w:line="1" w:lineRule="exact"/>
      </w:pPr>
    </w:p>
    <w:p w14:paraId="62E31225" w14:textId="77777777" w:rsidR="00EC1C40" w:rsidRDefault="00000000">
      <w:pPr>
        <w:pStyle w:val="Titulekobrzku0"/>
        <w:framePr w:wrap="none" w:vAnchor="page" w:hAnchor="page" w:x="9447" w:y="4742"/>
        <w:jc w:val="both"/>
      </w:pPr>
      <w:r>
        <w:rPr>
          <w:b w:val="0"/>
          <w:bCs w:val="0"/>
          <w:color w:val="010102"/>
        </w:rPr>
        <w:t>LEGENDA VYZNAČENÝCH PLOCH</w:t>
      </w:r>
    </w:p>
    <w:p w14:paraId="3C3C1066" w14:textId="77777777" w:rsidR="00EC1C40" w:rsidRDefault="00000000">
      <w:pPr>
        <w:pStyle w:val="Titulekobrzku0"/>
        <w:framePr w:wrap="none" w:vAnchor="page" w:hAnchor="page" w:x="9673" w:y="5884"/>
        <w:jc w:val="both"/>
      </w:pPr>
      <w:r>
        <w:rPr>
          <w:b w:val="0"/>
          <w:bCs w:val="0"/>
          <w:color w:val="010102"/>
        </w:rPr>
        <w:t>Úsek od křižovatky Hradecká po sjezd z Obchvatu</w:t>
      </w:r>
    </w:p>
    <w:p w14:paraId="674DF5AA" w14:textId="77777777" w:rsidR="00EC1C40" w:rsidRDefault="00000000">
      <w:pPr>
        <w:pStyle w:val="Titulekobrzku0"/>
        <w:framePr w:wrap="none" w:vAnchor="page" w:hAnchor="page" w:x="9668" w:y="5990"/>
        <w:jc w:val="both"/>
      </w:pPr>
      <w:r>
        <w:rPr>
          <w:b w:val="0"/>
          <w:bCs w:val="0"/>
          <w:color w:val="DBDD1F"/>
        </w:rPr>
        <w:t>Součást záměru MHAP</w:t>
      </w:r>
    </w:p>
    <w:p w14:paraId="34D66814" w14:textId="77777777" w:rsidR="00EC1C40" w:rsidRDefault="00000000">
      <w:pPr>
        <w:pStyle w:val="Titulekobrzku0"/>
        <w:framePr w:w="1877" w:h="192" w:hRule="exact" w:wrap="none" w:vAnchor="page" w:hAnchor="page" w:x="9668" w:y="5692"/>
        <w:jc w:val="both"/>
      </w:pPr>
      <w:r>
        <w:rPr>
          <w:b w:val="0"/>
          <w:bCs w:val="0"/>
          <w:color w:val="50B847"/>
        </w:rPr>
        <w:t>Součást projektu CYKLOSTEZKA</w:t>
      </w:r>
    </w:p>
    <w:p w14:paraId="2063A1A2" w14:textId="77777777" w:rsidR="00EC1C40" w:rsidRDefault="00000000">
      <w:pPr>
        <w:pStyle w:val="Titulekobrzku0"/>
        <w:framePr w:w="1877" w:h="192" w:hRule="exact" w:wrap="none" w:vAnchor="page" w:hAnchor="page" w:x="9668" w:y="5692"/>
        <w:spacing w:line="226" w:lineRule="auto"/>
        <w:jc w:val="both"/>
      </w:pPr>
      <w:r>
        <w:rPr>
          <w:b w:val="0"/>
          <w:bCs w:val="0"/>
          <w:color w:val="50B847"/>
        </w:rPr>
        <w:t>Město Pardubice / náklady hradí MHAP / zůstává v majetku Města Pardubice</w:t>
      </w:r>
    </w:p>
    <w:p w14:paraId="293C7994" w14:textId="77777777" w:rsidR="00EC1C40" w:rsidRDefault="00000000">
      <w:pPr>
        <w:pStyle w:val="Titulekobrzku0"/>
        <w:framePr w:w="1291" w:h="209" w:hRule="exact" w:wrap="none" w:vAnchor="page" w:hAnchor="page" w:x="9668" w:y="6174"/>
        <w:jc w:val="both"/>
      </w:pPr>
      <w:r>
        <w:rPr>
          <w:b w:val="0"/>
          <w:bCs w:val="0"/>
          <w:color w:val="010102"/>
        </w:rPr>
        <w:t>CYKLOPARKING venkovní (kolem Arény)</w:t>
      </w:r>
    </w:p>
    <w:p w14:paraId="1010DF50" w14:textId="77777777" w:rsidR="00EC1C40" w:rsidRDefault="00000000">
      <w:pPr>
        <w:pStyle w:val="Titulekobrzku0"/>
        <w:framePr w:w="1291" w:h="209" w:hRule="exact" w:wrap="none" w:vAnchor="page" w:hAnchor="page" w:x="9668" w:y="6174"/>
        <w:jc w:val="both"/>
      </w:pPr>
      <w:r>
        <w:rPr>
          <w:b w:val="0"/>
          <w:bCs w:val="0"/>
          <w:color w:val="010102"/>
        </w:rPr>
        <w:t>CYKLOPARKING krytý (součást parkovacího domu)</w:t>
      </w:r>
    </w:p>
    <w:p w14:paraId="7253AA8B" w14:textId="77777777" w:rsidR="00EC1C40" w:rsidRDefault="00000000">
      <w:pPr>
        <w:pStyle w:val="Titulekobrzku0"/>
        <w:framePr w:wrap="none" w:vAnchor="page" w:hAnchor="page" w:x="9519" w:y="5121"/>
        <w:jc w:val="both"/>
      </w:pPr>
      <w:r>
        <w:rPr>
          <w:b w:val="0"/>
          <w:bCs w:val="0"/>
          <w:color w:val="010102"/>
        </w:rPr>
        <w:t>II.</w:t>
      </w:r>
    </w:p>
    <w:p w14:paraId="0EC29654" w14:textId="77777777" w:rsidR="00EC1C40" w:rsidRDefault="00000000">
      <w:pPr>
        <w:pStyle w:val="Titulekobrzku0"/>
        <w:framePr w:wrap="none" w:vAnchor="page" w:hAnchor="page" w:x="9519" w:y="5217"/>
        <w:ind w:right="12"/>
        <w:jc w:val="both"/>
      </w:pPr>
      <w:r>
        <w:rPr>
          <w:b w:val="0"/>
          <w:bCs w:val="0"/>
          <w:color w:val="010102"/>
        </w:rPr>
        <w:t>III.</w:t>
      </w:r>
    </w:p>
    <w:p w14:paraId="5A0DC37F" w14:textId="77777777" w:rsidR="00EC1C40" w:rsidRDefault="00000000">
      <w:pPr>
        <w:pStyle w:val="Titulekobrzku0"/>
        <w:framePr w:wrap="none" w:vAnchor="page" w:hAnchor="page" w:x="5271" w:y="5308"/>
        <w:ind w:left="33"/>
      </w:pPr>
      <w:r>
        <w:rPr>
          <w:b w:val="0"/>
          <w:bCs w:val="0"/>
          <w:color w:val="010102"/>
        </w:rPr>
        <w:t>P kamiony</w:t>
      </w:r>
    </w:p>
    <w:p w14:paraId="5D11B4B4" w14:textId="77777777" w:rsidR="00EC1C40" w:rsidRDefault="00000000">
      <w:pPr>
        <w:pStyle w:val="Titulekobrzku0"/>
        <w:framePr w:wrap="none" w:vAnchor="page" w:hAnchor="page" w:x="9519" w:y="5483"/>
        <w:jc w:val="both"/>
      </w:pPr>
      <w:r>
        <w:rPr>
          <w:b w:val="0"/>
          <w:bCs w:val="0"/>
          <w:color w:val="010102"/>
        </w:rPr>
        <w:t>IV.</w:t>
      </w:r>
    </w:p>
    <w:p w14:paraId="0B4E47DE" w14:textId="77777777" w:rsidR="00EC1C40" w:rsidRDefault="00000000">
      <w:pPr>
        <w:pStyle w:val="Titulekobrzku0"/>
        <w:framePr w:wrap="none" w:vAnchor="page" w:hAnchor="page" w:x="9514" w:y="5586"/>
        <w:jc w:val="both"/>
      </w:pPr>
      <w:r>
        <w:rPr>
          <w:b w:val="0"/>
          <w:bCs w:val="0"/>
          <w:color w:val="010102"/>
        </w:rPr>
        <w:t>V.</w:t>
      </w:r>
    </w:p>
    <w:p w14:paraId="5527C765" w14:textId="77777777" w:rsidR="00EC1C40" w:rsidRDefault="00000000">
      <w:pPr>
        <w:pStyle w:val="Titulekobrzku0"/>
        <w:framePr w:wrap="none" w:vAnchor="page" w:hAnchor="page" w:x="5309" w:y="5699"/>
        <w:ind w:left="34"/>
      </w:pPr>
      <w:r>
        <w:rPr>
          <w:b w:val="0"/>
          <w:bCs w:val="0"/>
          <w:color w:val="010102"/>
        </w:rPr>
        <w:t>zásobováni</w:t>
      </w:r>
    </w:p>
    <w:p w14:paraId="72194CEC" w14:textId="77777777" w:rsidR="00EC1C40" w:rsidRDefault="00000000">
      <w:pPr>
        <w:pStyle w:val="Titulekobrzku0"/>
        <w:framePr w:wrap="none" w:vAnchor="page" w:hAnchor="page" w:x="7090" w:y="6124"/>
        <w:ind w:left="33"/>
      </w:pPr>
      <w:r>
        <w:rPr>
          <w:b w:val="0"/>
          <w:bCs w:val="0"/>
          <w:color w:val="010102"/>
        </w:rPr>
        <w:t>P kamiony</w:t>
      </w:r>
    </w:p>
    <w:p w14:paraId="4FA8F4C4" w14:textId="77777777" w:rsidR="00EC1C40" w:rsidRDefault="00000000">
      <w:pPr>
        <w:pStyle w:val="Titulekobrzku0"/>
        <w:framePr w:wrap="none" w:vAnchor="page" w:hAnchor="page" w:x="9519" w:y="6174"/>
        <w:jc w:val="both"/>
      </w:pPr>
      <w:r>
        <w:rPr>
          <w:b w:val="0"/>
          <w:bCs w:val="0"/>
          <w:color w:val="010102"/>
        </w:rPr>
        <w:t>IX.</w:t>
      </w:r>
    </w:p>
    <w:p w14:paraId="1FC2E6EF" w14:textId="77777777" w:rsidR="00EC1C40" w:rsidRDefault="00000000">
      <w:pPr>
        <w:pStyle w:val="Titulekobrzku0"/>
        <w:framePr w:wrap="none" w:vAnchor="page" w:hAnchor="page" w:x="9514" w:y="6278"/>
        <w:jc w:val="both"/>
      </w:pPr>
      <w:r>
        <w:rPr>
          <w:b w:val="0"/>
          <w:bCs w:val="0"/>
          <w:color w:val="010102"/>
        </w:rPr>
        <w:t>X.</w:t>
      </w:r>
    </w:p>
    <w:p w14:paraId="13222F9A" w14:textId="77777777" w:rsidR="00EC1C40" w:rsidRDefault="00000000">
      <w:pPr>
        <w:pStyle w:val="Titulekobrzku0"/>
        <w:framePr w:wrap="none" w:vAnchor="page" w:hAnchor="page" w:x="7508" w:y="6657"/>
        <w:ind w:left="34" w:right="33"/>
        <w:jc w:val="both"/>
      </w:pPr>
      <w:r>
        <w:rPr>
          <w:b w:val="0"/>
          <w:bCs w:val="0"/>
          <w:color w:val="010102"/>
        </w:rPr>
        <w:t>trafostanice</w:t>
      </w:r>
    </w:p>
    <w:p w14:paraId="2188D315" w14:textId="77777777" w:rsidR="00EC1C40" w:rsidRDefault="00000000">
      <w:pPr>
        <w:pStyle w:val="Titulekobrzku0"/>
        <w:framePr w:wrap="none" w:vAnchor="page" w:hAnchor="page" w:x="5113" w:y="8603"/>
        <w:ind w:left="34"/>
      </w:pPr>
      <w:r>
        <w:rPr>
          <w:rFonts w:ascii="SimSun" w:eastAsia="SimSun" w:hAnsi="SimSun" w:cs="SimSun"/>
          <w:b w:val="0"/>
          <w:bCs w:val="0"/>
          <w:color w:val="231E20"/>
          <w:sz w:val="9"/>
          <w:szCs w:val="9"/>
        </w:rPr>
        <w:t>△</w:t>
      </w:r>
      <w:r>
        <w:rPr>
          <w:b w:val="0"/>
          <w:bCs w:val="0"/>
          <w:color w:val="231E20"/>
        </w:rPr>
        <w:t xml:space="preserve"> </w:t>
      </w:r>
      <w:r>
        <w:rPr>
          <w:b w:val="0"/>
          <w:bCs w:val="0"/>
          <w:color w:val="010102"/>
        </w:rPr>
        <w:t>vstup bazén</w:t>
      </w:r>
    </w:p>
    <w:p w14:paraId="19167F95" w14:textId="77777777" w:rsidR="00EC1C40" w:rsidRDefault="00000000">
      <w:pPr>
        <w:pStyle w:val="Titulekobrzku0"/>
        <w:framePr w:wrap="none" w:vAnchor="page" w:hAnchor="page" w:x="7330" w:y="10761"/>
        <w:ind w:left="33" w:right="34"/>
        <w:jc w:val="both"/>
      </w:pPr>
      <w:r>
        <w:rPr>
          <w:b w:val="0"/>
          <w:bCs w:val="0"/>
          <w:color w:val="010102"/>
        </w:rPr>
        <w:t>zásobován</w:t>
      </w:r>
    </w:p>
    <w:p w14:paraId="0F293E64" w14:textId="77777777" w:rsidR="00EC1C40" w:rsidRDefault="00000000">
      <w:pPr>
        <w:pStyle w:val="Titulekobrzku0"/>
        <w:framePr w:wrap="none" w:vAnchor="page" w:hAnchor="page" w:x="1637" w:y="10938"/>
        <w:ind w:left="34"/>
        <w:rPr>
          <w:sz w:val="44"/>
          <w:szCs w:val="44"/>
        </w:rPr>
      </w:pPr>
      <w:r>
        <w:rPr>
          <w:rFonts w:ascii="Calibri" w:eastAsia="Calibri" w:hAnsi="Calibri" w:cs="Calibri"/>
          <w:b w:val="0"/>
          <w:bCs w:val="0"/>
          <w:color w:val="768355"/>
          <w:sz w:val="44"/>
          <w:szCs w:val="44"/>
        </w:rPr>
        <w:t>□ □</w:t>
      </w:r>
    </w:p>
    <w:p w14:paraId="3C4B2BD7" w14:textId="77777777" w:rsidR="00EC1C40" w:rsidRDefault="00000000">
      <w:pPr>
        <w:pStyle w:val="Titulekobrzku0"/>
        <w:framePr w:wrap="none" w:vAnchor="page" w:hAnchor="page" w:x="3243" w:y="11980"/>
      </w:pPr>
      <w:r>
        <w:rPr>
          <w:b w:val="0"/>
          <w:bCs w:val="0"/>
          <w:color w:val="C4C4C4"/>
        </w:rPr>
        <w:t>_</w:t>
      </w:r>
      <w:r>
        <w:rPr>
          <w:b w:val="0"/>
          <w:bCs w:val="0"/>
          <w:color w:val="C4C4C4"/>
          <w:u w:val="single"/>
        </w:rPr>
        <w:t>= ;=</w:t>
      </w:r>
    </w:p>
    <w:p w14:paraId="2ADDA2B6" w14:textId="77777777" w:rsidR="00EC1C40" w:rsidRDefault="00000000">
      <w:pPr>
        <w:pStyle w:val="Titulekobrzku0"/>
        <w:framePr w:wrap="none" w:vAnchor="page" w:hAnchor="page" w:x="5761" w:y="8702"/>
        <w:ind w:left="24"/>
      </w:pPr>
      <w:r>
        <w:rPr>
          <w:b w:val="0"/>
          <w:bCs w:val="0"/>
          <w:color w:val="010102"/>
        </w:rPr>
        <w:t>vstup i</w:t>
      </w:r>
    </w:p>
    <w:p w14:paraId="13B7DE29" w14:textId="77777777" w:rsidR="00EC1C40" w:rsidRDefault="00000000">
      <w:pPr>
        <w:pStyle w:val="Titulekobrzku0"/>
        <w:framePr w:wrap="none" w:vAnchor="page" w:hAnchor="page" w:x="5751" w:y="8766"/>
        <w:ind w:left="33"/>
      </w:pPr>
      <w:r>
        <w:rPr>
          <w:b w:val="0"/>
          <w:bCs w:val="0"/>
          <w:color w:val="010102"/>
        </w:rPr>
        <w:t>- koncert</w:t>
      </w:r>
    </w:p>
    <w:p w14:paraId="0FD28DA9" w14:textId="77777777" w:rsidR="00EC1C40" w:rsidRDefault="00000000">
      <w:pPr>
        <w:pStyle w:val="Zkladntext90"/>
        <w:framePr w:w="2669" w:h="840" w:hRule="exact" w:wrap="none" w:vAnchor="page" w:hAnchor="page" w:x="9077" w:y="4852"/>
        <w:ind w:firstLine="600"/>
        <w:jc w:val="both"/>
      </w:pPr>
      <w:r>
        <w:rPr>
          <w:b w:val="0"/>
          <w:bCs w:val="0"/>
          <w:color w:val="3453A4"/>
        </w:rPr>
        <w:t>Součást záměru MHAP</w:t>
      </w:r>
    </w:p>
    <w:p w14:paraId="1B9139CE" w14:textId="77777777" w:rsidR="00EC1C40" w:rsidRDefault="00000000">
      <w:pPr>
        <w:pStyle w:val="Zkladntext90"/>
        <w:framePr w:w="2669" w:h="840" w:hRule="exact" w:wrap="none" w:vAnchor="page" w:hAnchor="page" w:x="9077" w:y="4852"/>
        <w:spacing w:line="226" w:lineRule="auto"/>
        <w:ind w:firstLine="600"/>
        <w:jc w:val="both"/>
      </w:pPr>
      <w:r>
        <w:rPr>
          <w:b w:val="0"/>
          <w:bCs w:val="0"/>
          <w:color w:val="3453A4"/>
        </w:rPr>
        <w:t>náklady hradí MHAP / MHAP převádí na Město Pardubice</w:t>
      </w:r>
    </w:p>
    <w:p w14:paraId="2D634A29" w14:textId="77777777" w:rsidR="00EC1C40" w:rsidRDefault="00000000">
      <w:pPr>
        <w:pStyle w:val="Zkladntext90"/>
        <w:framePr w:w="2669" w:h="840" w:hRule="exact" w:wrap="none" w:vAnchor="page" w:hAnchor="page" w:x="9077" w:y="4852"/>
        <w:ind w:firstLine="600"/>
        <w:jc w:val="both"/>
      </w:pPr>
      <w:r>
        <w:rPr>
          <w:b w:val="0"/>
          <w:bCs w:val="0"/>
          <w:color w:val="010102"/>
        </w:rPr>
        <w:t>Páteřní komunikace včetně IS (osvětlení, odvodnění, SSZ, atd.)</w:t>
      </w:r>
    </w:p>
    <w:p w14:paraId="5520D4D2" w14:textId="77777777" w:rsidR="00EC1C40" w:rsidRDefault="00000000">
      <w:pPr>
        <w:pStyle w:val="Zkladntext90"/>
        <w:framePr w:w="2669" w:h="840" w:hRule="exact" w:wrap="none" w:vAnchor="page" w:hAnchor="page" w:x="9077" w:y="4852"/>
        <w:ind w:firstLine="600"/>
        <w:jc w:val="both"/>
      </w:pPr>
      <w:r>
        <w:rPr>
          <w:b w:val="0"/>
          <w:bCs w:val="0"/>
          <w:color w:val="010102"/>
        </w:rPr>
        <w:t xml:space="preserve">Točna MHD + zastávky + příjezdová komunikace včetně </w:t>
      </w:r>
      <w:r>
        <w:rPr>
          <w:b w:val="0"/>
          <w:bCs w:val="0"/>
          <w:color w:val="010102"/>
          <w:lang w:val="en-US" w:eastAsia="en-US" w:bidi="en-US"/>
        </w:rPr>
        <w:t xml:space="preserve">IS </w:t>
      </w:r>
      <w:r>
        <w:rPr>
          <w:b w:val="0"/>
          <w:bCs w:val="0"/>
          <w:color w:val="010102"/>
        </w:rPr>
        <w:t>(osvětlení, odvodnění, ...)</w:t>
      </w:r>
    </w:p>
    <w:p w14:paraId="67915288" w14:textId="77777777" w:rsidR="00EC1C40" w:rsidRDefault="00000000">
      <w:pPr>
        <w:pStyle w:val="Zkladntext90"/>
        <w:framePr w:w="2669" w:h="840" w:hRule="exact" w:wrap="none" w:vAnchor="page" w:hAnchor="page" w:x="9077" w:y="4852"/>
        <w:ind w:firstLine="600"/>
        <w:jc w:val="both"/>
      </w:pPr>
      <w:r>
        <w:rPr>
          <w:b w:val="0"/>
          <w:bCs w:val="0"/>
          <w:color w:val="010102"/>
        </w:rPr>
        <w:t xml:space="preserve">Sjezd z obchvatu s navazující cyklostezkou včetně </w:t>
      </w:r>
      <w:r>
        <w:rPr>
          <w:b w:val="0"/>
          <w:bCs w:val="0"/>
          <w:color w:val="010102"/>
          <w:lang w:val="en-US" w:eastAsia="en-US" w:bidi="en-US"/>
        </w:rPr>
        <w:t xml:space="preserve">IS </w:t>
      </w:r>
      <w:r>
        <w:rPr>
          <w:b w:val="0"/>
          <w:bCs w:val="0"/>
          <w:color w:val="010102"/>
        </w:rPr>
        <w:t>(osvětlení, odvodnění, ...)</w:t>
      </w:r>
    </w:p>
    <w:p w14:paraId="4D1807DE" w14:textId="77777777" w:rsidR="00EC1C40" w:rsidRDefault="00000000">
      <w:pPr>
        <w:pStyle w:val="Zkladntext90"/>
        <w:framePr w:w="2669" w:h="840" w:hRule="exact" w:wrap="none" w:vAnchor="page" w:hAnchor="page" w:x="9077" w:y="4852"/>
        <w:spacing w:line="226" w:lineRule="auto"/>
        <w:ind w:firstLine="600"/>
        <w:jc w:val="both"/>
      </w:pPr>
      <w:r>
        <w:rPr>
          <w:b w:val="0"/>
          <w:bCs w:val="0"/>
          <w:color w:val="DD6D89"/>
        </w:rPr>
        <w:t>Součást záměru ŘSD (Obchvat)</w:t>
      </w:r>
    </w:p>
    <w:p w14:paraId="2DF2AF09" w14:textId="77777777" w:rsidR="00EC1C40" w:rsidRDefault="00000000">
      <w:pPr>
        <w:pStyle w:val="Zkladntext90"/>
        <w:framePr w:w="2669" w:h="840" w:hRule="exact" w:wrap="none" w:vAnchor="page" w:hAnchor="page" w:x="9077" w:y="4852"/>
        <w:spacing w:line="218" w:lineRule="auto"/>
        <w:ind w:firstLine="600"/>
        <w:jc w:val="both"/>
      </w:pPr>
      <w:r>
        <w:rPr>
          <w:b w:val="0"/>
          <w:bCs w:val="0"/>
          <w:color w:val="DD6D89"/>
        </w:rPr>
        <w:t>náklady hradí MHAP / ŘSD částečně převádí na Město Pardubice</w:t>
      </w:r>
    </w:p>
    <w:p w14:paraId="5231A883" w14:textId="77777777" w:rsidR="00EC1C40" w:rsidRDefault="00000000">
      <w:pPr>
        <w:pStyle w:val="Zkladntext90"/>
        <w:framePr w:w="2669" w:h="840" w:hRule="exact" w:wrap="none" w:vAnchor="page" w:hAnchor="page" w:x="9077" w:y="4852"/>
        <w:ind w:firstLine="600"/>
        <w:jc w:val="both"/>
      </w:pPr>
      <w:r>
        <w:rPr>
          <w:b w:val="0"/>
          <w:bCs w:val="0"/>
          <w:color w:val="010102"/>
        </w:rPr>
        <w:t>Křižovatka CIHELNA včetně osvětlení, SSZ a dopravního značení</w:t>
      </w:r>
    </w:p>
    <w:p w14:paraId="561A84ED" w14:textId="77777777" w:rsidR="00EC1C40" w:rsidRDefault="00000000">
      <w:pPr>
        <w:pStyle w:val="Zkladntext90"/>
        <w:framePr w:w="2669" w:h="840" w:hRule="exact" w:wrap="none" w:vAnchor="page" w:hAnchor="page" w:x="9077" w:y="4852"/>
        <w:ind w:firstLine="600"/>
        <w:jc w:val="both"/>
      </w:pPr>
      <w:r>
        <w:rPr>
          <w:b w:val="0"/>
          <w:bCs w:val="0"/>
          <w:color w:val="010102"/>
        </w:rPr>
        <w:t>Jednosměrné Odbočení a Připojení</w:t>
      </w:r>
    </w:p>
    <w:p w14:paraId="526A620C" w14:textId="77777777" w:rsidR="00EC1C40" w:rsidRDefault="00000000">
      <w:pPr>
        <w:pStyle w:val="Zkladntext90"/>
        <w:framePr w:w="350" w:h="175" w:hRule="exact" w:wrap="none" w:vAnchor="page" w:hAnchor="page" w:x="11002" w:y="10012"/>
      </w:pPr>
      <w:proofErr w:type="spellStart"/>
      <w:r>
        <w:rPr>
          <w:b w:val="0"/>
          <w:bCs w:val="0"/>
          <w:color w:val="844151"/>
        </w:rPr>
        <w:t>řízen</w:t>
      </w:r>
      <w:r>
        <w:rPr>
          <w:b w:val="0"/>
          <w:bCs w:val="0"/>
        </w:rPr>
        <w:t>e</w:t>
      </w:r>
      <w:proofErr w:type="spellEnd"/>
    </w:p>
    <w:p w14:paraId="56403A0E" w14:textId="77777777" w:rsidR="00EC1C40" w:rsidRDefault="00000000">
      <w:pPr>
        <w:pStyle w:val="Zkladntext90"/>
        <w:framePr w:w="350" w:h="175" w:hRule="exact" w:wrap="none" w:vAnchor="page" w:hAnchor="page" w:x="11002" w:y="10012"/>
        <w:spacing w:line="180" w:lineRule="auto"/>
      </w:pPr>
      <w:proofErr w:type="spellStart"/>
      <w:r>
        <w:rPr>
          <w:b w:val="0"/>
          <w:bCs w:val="0"/>
          <w:color w:val="844151"/>
        </w:rPr>
        <w:t>křižov</w:t>
      </w:r>
      <w:proofErr w:type="spellEnd"/>
      <w:r>
        <w:rPr>
          <w:b w:val="0"/>
          <w:bCs w:val="0"/>
          <w:color w:val="844151"/>
        </w:rPr>
        <w:t xml:space="preserve"> </w:t>
      </w:r>
      <w:proofErr w:type="spellStart"/>
      <w:r>
        <w:rPr>
          <w:b w:val="0"/>
          <w:bCs w:val="0"/>
          <w:color w:val="010102"/>
        </w:rPr>
        <w:t>atka</w:t>
      </w:r>
      <w:proofErr w:type="spellEnd"/>
    </w:p>
    <w:p w14:paraId="790000CD" w14:textId="77777777" w:rsidR="00EC1C40" w:rsidRDefault="00000000">
      <w:pPr>
        <w:pStyle w:val="Jin0"/>
        <w:framePr w:wrap="none" w:vAnchor="page" w:hAnchor="page" w:x="380" w:y="12369"/>
        <w:spacing w:after="0"/>
        <w:rPr>
          <w:sz w:val="14"/>
          <w:szCs w:val="14"/>
        </w:rPr>
      </w:pPr>
      <w:r>
        <w:rPr>
          <w:rFonts w:ascii="Arial" w:eastAsia="Arial" w:hAnsi="Arial" w:cs="Arial"/>
          <w:b/>
          <w:bCs/>
          <w:sz w:val="14"/>
          <w:szCs w:val="14"/>
        </w:rPr>
        <w:t>SITUACE - NEPENĚŽNÍ PLNĚNÍ</w:t>
      </w:r>
    </w:p>
    <w:p w14:paraId="102BB0E3" w14:textId="77777777" w:rsidR="00EC1C40" w:rsidRDefault="00000000">
      <w:pPr>
        <w:pStyle w:val="Zkladntext90"/>
        <w:framePr w:w="715" w:h="173" w:hRule="exact" w:wrap="none" w:vAnchor="page" w:hAnchor="page" w:x="4153" w:y="12359"/>
        <w:ind w:firstLine="140"/>
      </w:pPr>
      <w:r>
        <w:rPr>
          <w:b w:val="0"/>
          <w:bCs w:val="0"/>
          <w:color w:val="010102"/>
        </w:rPr>
        <w:t>...</w:t>
      </w:r>
    </w:p>
    <w:p w14:paraId="772DA40B" w14:textId="77777777" w:rsidR="00EC1C40" w:rsidRDefault="00000000">
      <w:pPr>
        <w:pStyle w:val="Zkladntext90"/>
        <w:framePr w:w="715" w:h="173" w:hRule="exact" w:wrap="none" w:vAnchor="page" w:hAnchor="page" w:x="4153" w:y="12359"/>
        <w:spacing w:line="180" w:lineRule="auto"/>
      </w:pPr>
      <w:r>
        <w:rPr>
          <w:b w:val="0"/>
          <w:bCs w:val="0"/>
          <w:color w:val="010102"/>
        </w:rPr>
        <w:t>měřítko 1 : 1 750</w:t>
      </w:r>
    </w:p>
    <w:p w14:paraId="2CFB20F3" w14:textId="77777777" w:rsidR="00EC1C40" w:rsidRDefault="00000000">
      <w:pPr>
        <w:pStyle w:val="Zkladntext90"/>
        <w:framePr w:w="394" w:h="264" w:hRule="exact" w:wrap="none" w:vAnchor="page" w:hAnchor="page" w:x="5319" w:y="12297"/>
        <w:spacing w:line="300" w:lineRule="auto"/>
      </w:pPr>
      <w:r>
        <w:rPr>
          <w:b w:val="0"/>
          <w:bCs w:val="0"/>
          <w:color w:val="231E20"/>
        </w:rPr>
        <w:t>DATUM 08/2025</w:t>
      </w:r>
    </w:p>
    <w:p w14:paraId="392BD3EF" w14:textId="77777777" w:rsidR="00EC1C40" w:rsidRDefault="00000000">
      <w:pPr>
        <w:pStyle w:val="Zkladntext90"/>
        <w:framePr w:w="1114" w:h="322" w:hRule="exact" w:wrap="none" w:vAnchor="page" w:hAnchor="page" w:x="6740" w:y="12297"/>
        <w:spacing w:line="257" w:lineRule="auto"/>
      </w:pPr>
      <w:r>
        <w:rPr>
          <w:b w:val="0"/>
          <w:bCs w:val="0"/>
          <w:color w:val="010102"/>
        </w:rPr>
        <w:t>PROJEKT</w:t>
      </w:r>
    </w:p>
    <w:p w14:paraId="616E4081" w14:textId="77777777" w:rsidR="00EC1C40" w:rsidRDefault="00000000">
      <w:pPr>
        <w:pStyle w:val="Zkladntext90"/>
        <w:framePr w:w="1114" w:h="322" w:hRule="exact" w:wrap="none" w:vAnchor="page" w:hAnchor="page" w:x="6740" w:y="12297"/>
        <w:spacing w:line="257" w:lineRule="auto"/>
      </w:pPr>
      <w:r>
        <w:rPr>
          <w:b w:val="0"/>
          <w:bCs w:val="0"/>
          <w:color w:val="231E20"/>
        </w:rPr>
        <w:t>Multifunkční hokejová aréna v Pardubicích</w:t>
      </w:r>
    </w:p>
    <w:p w14:paraId="5DAD760B" w14:textId="77777777" w:rsidR="00EC1C40" w:rsidRDefault="00000000">
      <w:pPr>
        <w:pStyle w:val="Zkladntext90"/>
        <w:framePr w:w="864" w:h="259" w:hRule="exact" w:wrap="none" w:vAnchor="page" w:hAnchor="page" w:x="8381" w:y="12278"/>
      </w:pPr>
      <w:r>
        <w:rPr>
          <w:b w:val="0"/>
          <w:bCs w:val="0"/>
          <w:color w:val="231E20"/>
        </w:rPr>
        <w:t>FÁZE</w:t>
      </w:r>
    </w:p>
    <w:p w14:paraId="62967463" w14:textId="77777777" w:rsidR="00EC1C40" w:rsidRDefault="00000000">
      <w:pPr>
        <w:pStyle w:val="Zkladntext90"/>
        <w:framePr w:w="864" w:h="259" w:hRule="exact" w:wrap="none" w:vAnchor="page" w:hAnchor="page" w:x="8381" w:y="12278"/>
        <w:jc w:val="both"/>
      </w:pPr>
      <w:r>
        <w:rPr>
          <w:b w:val="0"/>
          <w:bCs w:val="0"/>
          <w:color w:val="231E20"/>
        </w:rPr>
        <w:t>dokumentace záměru</w:t>
      </w:r>
    </w:p>
    <w:p w14:paraId="40FBE57D" w14:textId="77777777" w:rsidR="00EC1C40" w:rsidRDefault="00000000">
      <w:pPr>
        <w:pStyle w:val="Nadpis20"/>
        <w:framePr w:wrap="none" w:vAnchor="page" w:hAnchor="page" w:x="10733" w:y="12194"/>
      </w:pPr>
      <w:bookmarkStart w:id="146" w:name="bookmark294"/>
      <w:proofErr w:type="spellStart"/>
      <w:r>
        <w:t>ovri</w:t>
      </w:r>
      <w:bookmarkEnd w:id="146"/>
      <w:proofErr w:type="spellEnd"/>
    </w:p>
    <w:p w14:paraId="1A9FB8FD" w14:textId="77777777" w:rsidR="00EC1C40" w:rsidRDefault="00000000">
      <w:pPr>
        <w:spacing w:line="1" w:lineRule="exact"/>
        <w:sectPr w:rsidR="00EC1C40">
          <w:pgSz w:w="12148" w:h="17375"/>
          <w:pgMar w:top="360" w:right="360" w:bottom="360" w:left="360" w:header="0" w:footer="3" w:gutter="0"/>
          <w:cols w:space="720"/>
          <w:noEndnote/>
          <w:docGrid w:linePitch="360"/>
        </w:sectPr>
      </w:pPr>
      <w:r>
        <w:rPr>
          <w:noProof/>
        </w:rPr>
        <w:drawing>
          <wp:anchor distT="0" distB="0" distL="0" distR="0" simplePos="0" relativeHeight="251726336" behindDoc="1" locked="0" layoutInCell="1" allowOverlap="1" wp14:anchorId="24642CD7" wp14:editId="3218F24C">
            <wp:simplePos x="0" y="0"/>
            <wp:positionH relativeFrom="page">
              <wp:posOffset>252730</wp:posOffset>
            </wp:positionH>
            <wp:positionV relativeFrom="page">
              <wp:posOffset>3019425</wp:posOffset>
            </wp:positionV>
            <wp:extent cx="7205345" cy="4724400"/>
            <wp:effectExtent l="0" t="0" r="0" b="0"/>
            <wp:wrapNone/>
            <wp:docPr id="189" name="Shape 189"/>
            <wp:cNvGraphicFramePr/>
            <a:graphic xmlns:a="http://schemas.openxmlformats.org/drawingml/2006/main">
              <a:graphicData uri="http://schemas.openxmlformats.org/drawingml/2006/picture">
                <pic:pic xmlns:pic="http://schemas.openxmlformats.org/drawingml/2006/picture">
                  <pic:nvPicPr>
                    <pic:cNvPr id="190" name="Picture box 190"/>
                    <pic:cNvPicPr/>
                  </pic:nvPicPr>
                  <pic:blipFill>
                    <a:blip r:embed="rId58"/>
                    <a:stretch/>
                  </pic:blipFill>
                  <pic:spPr>
                    <a:xfrm>
                      <a:off x="0" y="0"/>
                      <a:ext cx="7205345" cy="4724400"/>
                    </a:xfrm>
                    <a:prstGeom prst="rect">
                      <a:avLst/>
                    </a:prstGeom>
                  </pic:spPr>
                </pic:pic>
              </a:graphicData>
            </a:graphic>
          </wp:anchor>
        </w:drawing>
      </w:r>
    </w:p>
    <w:p w14:paraId="7C888DCF" w14:textId="77777777" w:rsidR="00EC1C40" w:rsidRDefault="00EC1C40">
      <w:pPr>
        <w:spacing w:line="1" w:lineRule="exact"/>
      </w:pPr>
    </w:p>
    <w:p w14:paraId="1DB53E7B" w14:textId="77777777" w:rsidR="00EC1C40" w:rsidRDefault="00000000">
      <w:pPr>
        <w:pStyle w:val="Zkladntext80"/>
        <w:framePr w:w="10272" w:h="547" w:hRule="exact" w:wrap="none" w:vAnchor="page" w:hAnchor="page" w:x="831" w:y="5132"/>
      </w:pPr>
      <w:r>
        <w:t>Příloha č. 18</w:t>
      </w:r>
    </w:p>
    <w:p w14:paraId="4D2AA6F6"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785400A2" w14:textId="77777777" w:rsidR="00EC1C40" w:rsidRDefault="00EC1C40">
      <w:pPr>
        <w:spacing w:line="1" w:lineRule="exact"/>
      </w:pPr>
    </w:p>
    <w:p w14:paraId="49A93BD0" w14:textId="77777777" w:rsidR="00EC1C40" w:rsidRDefault="00000000">
      <w:pPr>
        <w:pStyle w:val="Zkladntext70"/>
        <w:framePr w:w="10272" w:h="274" w:hRule="exact" w:wrap="none" w:vAnchor="page" w:hAnchor="page" w:x="831" w:y="1181"/>
        <w:spacing w:line="240" w:lineRule="auto"/>
        <w:ind w:left="0"/>
        <w:jc w:val="center"/>
        <w:rPr>
          <w:sz w:val="19"/>
          <w:szCs w:val="19"/>
        </w:rPr>
      </w:pPr>
      <w:r>
        <w:rPr>
          <w:b/>
          <w:bCs/>
          <w:sz w:val="19"/>
          <w:szCs w:val="19"/>
        </w:rPr>
        <w:t>MULTIFUNKČNÍ HOKEJOVÁ ARÉNA PARDUBICE - STAVEBNÍ OBJEKTY</w:t>
      </w:r>
    </w:p>
    <w:tbl>
      <w:tblPr>
        <w:tblOverlap w:val="never"/>
        <w:tblW w:w="0" w:type="auto"/>
        <w:tblLayout w:type="fixed"/>
        <w:tblCellMar>
          <w:left w:w="10" w:type="dxa"/>
          <w:right w:w="10" w:type="dxa"/>
        </w:tblCellMar>
        <w:tblLook w:val="0000" w:firstRow="0" w:lastRow="0" w:firstColumn="0" w:lastColumn="0" w:noHBand="0" w:noVBand="0"/>
      </w:tblPr>
      <w:tblGrid>
        <w:gridCol w:w="1085"/>
        <w:gridCol w:w="4301"/>
        <w:gridCol w:w="720"/>
        <w:gridCol w:w="715"/>
        <w:gridCol w:w="3451"/>
      </w:tblGrid>
      <w:tr w:rsidR="00EC1C40" w14:paraId="3E17FA5A" w14:textId="77777777">
        <w:tblPrEx>
          <w:tblCellMar>
            <w:top w:w="0" w:type="dxa"/>
            <w:bottom w:w="0" w:type="dxa"/>
          </w:tblCellMar>
        </w:tblPrEx>
        <w:trPr>
          <w:trHeight w:hRule="exact" w:val="283"/>
        </w:trPr>
        <w:tc>
          <w:tcPr>
            <w:tcW w:w="5386" w:type="dxa"/>
            <w:gridSpan w:val="2"/>
            <w:vMerge w:val="restart"/>
            <w:tcBorders>
              <w:top w:val="single" w:sz="4" w:space="0" w:color="auto"/>
              <w:left w:val="single" w:sz="4" w:space="0" w:color="auto"/>
            </w:tcBorders>
            <w:shd w:val="clear" w:color="auto" w:fill="auto"/>
            <w:vAlign w:val="center"/>
          </w:tcPr>
          <w:p w14:paraId="7C68893A" w14:textId="77777777" w:rsidR="00EC1C40" w:rsidRDefault="00000000">
            <w:pPr>
              <w:pStyle w:val="Jin0"/>
              <w:framePr w:w="10272" w:h="14573" w:wrap="none" w:vAnchor="page" w:hAnchor="page" w:x="831" w:y="1565"/>
              <w:spacing w:after="0"/>
              <w:rPr>
                <w:sz w:val="12"/>
                <w:szCs w:val="12"/>
              </w:rPr>
            </w:pPr>
            <w:r>
              <w:rPr>
                <w:rFonts w:ascii="Arial" w:eastAsia="Arial" w:hAnsi="Arial" w:cs="Arial"/>
                <w:b/>
                <w:bCs/>
                <w:sz w:val="12"/>
                <w:szCs w:val="12"/>
              </w:rPr>
              <w:t>Stavební objekt (projektová dokumentace)</w:t>
            </w:r>
          </w:p>
        </w:tc>
        <w:tc>
          <w:tcPr>
            <w:tcW w:w="4886" w:type="dxa"/>
            <w:gridSpan w:val="3"/>
            <w:tcBorders>
              <w:top w:val="single" w:sz="4" w:space="0" w:color="auto"/>
              <w:left w:val="single" w:sz="4" w:space="0" w:color="auto"/>
              <w:right w:val="single" w:sz="4" w:space="0" w:color="auto"/>
            </w:tcBorders>
            <w:shd w:val="clear" w:color="auto" w:fill="F5EA02"/>
            <w:vAlign w:val="bottom"/>
          </w:tcPr>
          <w:p w14:paraId="51658123" w14:textId="77777777" w:rsidR="00EC1C40" w:rsidRDefault="00000000">
            <w:pPr>
              <w:pStyle w:val="Jin0"/>
              <w:framePr w:w="10272" w:h="14573" w:wrap="none" w:vAnchor="page" w:hAnchor="page" w:x="831" w:y="1565"/>
              <w:spacing w:after="0"/>
              <w:jc w:val="center"/>
              <w:rPr>
                <w:sz w:val="12"/>
                <w:szCs w:val="12"/>
              </w:rPr>
            </w:pPr>
            <w:r>
              <w:rPr>
                <w:rFonts w:ascii="Arial" w:eastAsia="Arial" w:hAnsi="Arial" w:cs="Arial"/>
                <w:b/>
                <w:bCs/>
                <w:sz w:val="12"/>
                <w:szCs w:val="12"/>
              </w:rPr>
              <w:t xml:space="preserve">převod </w:t>
            </w:r>
            <w:r>
              <w:rPr>
                <w:rFonts w:ascii="Arial" w:eastAsia="Arial" w:hAnsi="Arial" w:cs="Arial"/>
                <w:b/>
                <w:bCs/>
                <w:sz w:val="12"/>
                <w:szCs w:val="12"/>
                <w:lang w:val="en-US" w:eastAsia="en-US" w:bidi="en-US"/>
              </w:rPr>
              <w:t xml:space="preserve">SO </w:t>
            </w:r>
            <w:r>
              <w:rPr>
                <w:rFonts w:ascii="Arial" w:eastAsia="Arial" w:hAnsi="Arial" w:cs="Arial"/>
                <w:b/>
                <w:bCs/>
                <w:sz w:val="12"/>
                <w:szCs w:val="12"/>
              </w:rPr>
              <w:t>na město</w:t>
            </w:r>
          </w:p>
        </w:tc>
      </w:tr>
      <w:tr w:rsidR="00EC1C40" w14:paraId="7FF34B79" w14:textId="77777777">
        <w:tblPrEx>
          <w:tblCellMar>
            <w:top w:w="0" w:type="dxa"/>
            <w:bottom w:w="0" w:type="dxa"/>
          </w:tblCellMar>
        </w:tblPrEx>
        <w:trPr>
          <w:trHeight w:hRule="exact" w:val="274"/>
        </w:trPr>
        <w:tc>
          <w:tcPr>
            <w:tcW w:w="5386" w:type="dxa"/>
            <w:gridSpan w:val="2"/>
            <w:vMerge/>
            <w:tcBorders>
              <w:left w:val="single" w:sz="4" w:space="0" w:color="auto"/>
            </w:tcBorders>
            <w:shd w:val="clear" w:color="auto" w:fill="auto"/>
            <w:vAlign w:val="center"/>
          </w:tcPr>
          <w:p w14:paraId="38EC11FB" w14:textId="77777777" w:rsidR="00EC1C40" w:rsidRDefault="00EC1C40">
            <w:pPr>
              <w:framePr w:w="10272" w:h="14573" w:wrap="none" w:vAnchor="page" w:hAnchor="page" w:x="831" w:y="1565"/>
            </w:pPr>
          </w:p>
        </w:tc>
        <w:tc>
          <w:tcPr>
            <w:tcW w:w="720" w:type="dxa"/>
            <w:tcBorders>
              <w:top w:val="single" w:sz="4" w:space="0" w:color="auto"/>
              <w:left w:val="single" w:sz="4" w:space="0" w:color="auto"/>
            </w:tcBorders>
            <w:shd w:val="clear" w:color="auto" w:fill="F0B9B4"/>
            <w:vAlign w:val="center"/>
          </w:tcPr>
          <w:p w14:paraId="537AA85E" w14:textId="77777777" w:rsidR="00EC1C40" w:rsidRDefault="00000000">
            <w:pPr>
              <w:pStyle w:val="Jin0"/>
              <w:framePr w:w="10272" w:h="14573" w:wrap="none" w:vAnchor="page" w:hAnchor="page" w:x="831" w:y="1565"/>
              <w:spacing w:after="0"/>
              <w:jc w:val="center"/>
              <w:rPr>
                <w:sz w:val="12"/>
                <w:szCs w:val="12"/>
              </w:rPr>
            </w:pPr>
            <w:r>
              <w:rPr>
                <w:rFonts w:ascii="Arial" w:eastAsia="Arial" w:hAnsi="Arial" w:cs="Arial"/>
                <w:b/>
                <w:bCs/>
                <w:sz w:val="12"/>
                <w:szCs w:val="12"/>
              </w:rPr>
              <w:t>celý</w:t>
            </w:r>
          </w:p>
        </w:tc>
        <w:tc>
          <w:tcPr>
            <w:tcW w:w="715" w:type="dxa"/>
            <w:tcBorders>
              <w:top w:val="single" w:sz="4" w:space="0" w:color="auto"/>
              <w:left w:val="single" w:sz="4" w:space="0" w:color="auto"/>
            </w:tcBorders>
            <w:shd w:val="clear" w:color="auto" w:fill="F6EDD1"/>
            <w:vAlign w:val="center"/>
          </w:tcPr>
          <w:p w14:paraId="239A045A" w14:textId="77777777" w:rsidR="00EC1C40" w:rsidRDefault="00000000">
            <w:pPr>
              <w:pStyle w:val="Jin0"/>
              <w:framePr w:w="10272" w:h="14573" w:wrap="none" w:vAnchor="page" w:hAnchor="page" w:x="831" w:y="1565"/>
              <w:spacing w:after="0"/>
              <w:jc w:val="center"/>
              <w:rPr>
                <w:sz w:val="12"/>
                <w:szCs w:val="12"/>
              </w:rPr>
            </w:pPr>
            <w:r>
              <w:rPr>
                <w:rFonts w:ascii="Arial" w:eastAsia="Arial" w:hAnsi="Arial" w:cs="Arial"/>
                <w:b/>
                <w:bCs/>
                <w:sz w:val="12"/>
                <w:szCs w:val="12"/>
              </w:rPr>
              <w:t>dílčí</w:t>
            </w:r>
          </w:p>
        </w:tc>
        <w:tc>
          <w:tcPr>
            <w:tcW w:w="3451" w:type="dxa"/>
            <w:tcBorders>
              <w:top w:val="single" w:sz="4" w:space="0" w:color="auto"/>
              <w:left w:val="single" w:sz="4" w:space="0" w:color="auto"/>
              <w:right w:val="single" w:sz="4" w:space="0" w:color="auto"/>
            </w:tcBorders>
            <w:shd w:val="clear" w:color="auto" w:fill="auto"/>
            <w:vAlign w:val="center"/>
          </w:tcPr>
          <w:p w14:paraId="66A5C13E" w14:textId="77777777" w:rsidR="00EC1C40" w:rsidRDefault="00000000">
            <w:pPr>
              <w:pStyle w:val="Jin0"/>
              <w:framePr w:w="10272" w:h="14573" w:wrap="none" w:vAnchor="page" w:hAnchor="page" w:x="831" w:y="1565"/>
              <w:spacing w:after="0"/>
              <w:rPr>
                <w:sz w:val="13"/>
                <w:szCs w:val="13"/>
              </w:rPr>
            </w:pPr>
            <w:r>
              <w:rPr>
                <w:rFonts w:ascii="Arial" w:eastAsia="Arial" w:hAnsi="Arial" w:cs="Arial"/>
                <w:sz w:val="13"/>
                <w:szCs w:val="13"/>
              </w:rPr>
              <w:t>pozn.</w:t>
            </w:r>
          </w:p>
        </w:tc>
      </w:tr>
      <w:tr w:rsidR="00EC1C40" w14:paraId="4F9326B3" w14:textId="77777777">
        <w:tblPrEx>
          <w:tblCellMar>
            <w:top w:w="0" w:type="dxa"/>
            <w:bottom w:w="0" w:type="dxa"/>
          </w:tblCellMar>
        </w:tblPrEx>
        <w:trPr>
          <w:trHeight w:hRule="exact" w:val="182"/>
        </w:trPr>
        <w:tc>
          <w:tcPr>
            <w:tcW w:w="1085" w:type="dxa"/>
            <w:tcBorders>
              <w:top w:val="single" w:sz="4" w:space="0" w:color="auto"/>
              <w:left w:val="single" w:sz="4" w:space="0" w:color="auto"/>
            </w:tcBorders>
            <w:shd w:val="clear" w:color="auto" w:fill="auto"/>
          </w:tcPr>
          <w:p w14:paraId="33A36D00" w14:textId="77777777" w:rsidR="00EC1C40" w:rsidRDefault="00000000">
            <w:pPr>
              <w:pStyle w:val="Jin0"/>
              <w:framePr w:w="10272" w:h="14573" w:wrap="none" w:vAnchor="page" w:hAnchor="page" w:x="831" w:y="1565"/>
              <w:spacing w:after="0"/>
              <w:ind w:firstLine="200"/>
              <w:rPr>
                <w:sz w:val="13"/>
                <w:szCs w:val="13"/>
              </w:rPr>
            </w:pPr>
            <w:r>
              <w:rPr>
                <w:rFonts w:ascii="Arial" w:eastAsia="Arial" w:hAnsi="Arial" w:cs="Arial"/>
                <w:sz w:val="13"/>
                <w:szCs w:val="13"/>
              </w:rPr>
              <w:t>2.2.2.4.01</w:t>
            </w:r>
          </w:p>
        </w:tc>
        <w:tc>
          <w:tcPr>
            <w:tcW w:w="4301" w:type="dxa"/>
            <w:tcBorders>
              <w:top w:val="single" w:sz="4" w:space="0" w:color="auto"/>
              <w:left w:val="single" w:sz="4" w:space="0" w:color="auto"/>
            </w:tcBorders>
            <w:shd w:val="clear" w:color="auto" w:fill="auto"/>
          </w:tcPr>
          <w:p w14:paraId="1F995F36" w14:textId="77777777" w:rsidR="00EC1C40" w:rsidRDefault="00000000">
            <w:pPr>
              <w:pStyle w:val="Jin0"/>
              <w:framePr w:w="10272" w:h="14573" w:wrap="none" w:vAnchor="page" w:hAnchor="page" w:x="831" w:y="1565"/>
              <w:spacing w:after="0"/>
              <w:ind w:firstLine="200"/>
              <w:rPr>
                <w:sz w:val="13"/>
                <w:szCs w:val="13"/>
              </w:rPr>
            </w:pPr>
            <w:r>
              <w:rPr>
                <w:rFonts w:ascii="Arial" w:eastAsia="Arial" w:hAnsi="Arial" w:cs="Arial"/>
                <w:sz w:val="13"/>
                <w:szCs w:val="13"/>
              </w:rPr>
              <w:t>SO.01 Aréna</w:t>
            </w:r>
          </w:p>
        </w:tc>
        <w:tc>
          <w:tcPr>
            <w:tcW w:w="720" w:type="dxa"/>
            <w:tcBorders>
              <w:top w:val="single" w:sz="4" w:space="0" w:color="auto"/>
              <w:left w:val="single" w:sz="4" w:space="0" w:color="auto"/>
            </w:tcBorders>
            <w:shd w:val="clear" w:color="auto" w:fill="auto"/>
          </w:tcPr>
          <w:p w14:paraId="59E655A9" w14:textId="77777777" w:rsidR="00EC1C40" w:rsidRDefault="00EC1C40">
            <w:pPr>
              <w:framePr w:w="10272" w:h="14573" w:wrap="none" w:vAnchor="page" w:hAnchor="page" w:x="831" w:y="1565"/>
              <w:rPr>
                <w:sz w:val="10"/>
                <w:szCs w:val="10"/>
              </w:rPr>
            </w:pPr>
          </w:p>
        </w:tc>
        <w:tc>
          <w:tcPr>
            <w:tcW w:w="715" w:type="dxa"/>
            <w:tcBorders>
              <w:top w:val="single" w:sz="4" w:space="0" w:color="auto"/>
              <w:left w:val="single" w:sz="4" w:space="0" w:color="auto"/>
            </w:tcBorders>
            <w:shd w:val="clear" w:color="auto" w:fill="auto"/>
          </w:tcPr>
          <w:p w14:paraId="74711353" w14:textId="77777777" w:rsidR="00EC1C40" w:rsidRDefault="00EC1C40">
            <w:pPr>
              <w:framePr w:w="10272" w:h="14573" w:wrap="none" w:vAnchor="page" w:hAnchor="page" w:x="831" w:y="1565"/>
              <w:rPr>
                <w:sz w:val="10"/>
                <w:szCs w:val="10"/>
              </w:rPr>
            </w:pPr>
          </w:p>
        </w:tc>
        <w:tc>
          <w:tcPr>
            <w:tcW w:w="3451" w:type="dxa"/>
            <w:tcBorders>
              <w:top w:val="single" w:sz="4" w:space="0" w:color="auto"/>
              <w:left w:val="single" w:sz="4" w:space="0" w:color="auto"/>
              <w:right w:val="single" w:sz="4" w:space="0" w:color="auto"/>
            </w:tcBorders>
            <w:shd w:val="clear" w:color="auto" w:fill="auto"/>
          </w:tcPr>
          <w:p w14:paraId="30FF5CAD" w14:textId="77777777" w:rsidR="00EC1C40" w:rsidRDefault="00EC1C40">
            <w:pPr>
              <w:framePr w:w="10272" w:h="14573" w:wrap="none" w:vAnchor="page" w:hAnchor="page" w:x="831" w:y="1565"/>
              <w:rPr>
                <w:sz w:val="10"/>
                <w:szCs w:val="10"/>
              </w:rPr>
            </w:pPr>
          </w:p>
        </w:tc>
      </w:tr>
      <w:tr w:rsidR="00EC1C40" w14:paraId="32D9E2B9" w14:textId="77777777">
        <w:tblPrEx>
          <w:tblCellMar>
            <w:top w:w="0" w:type="dxa"/>
            <w:bottom w:w="0" w:type="dxa"/>
          </w:tblCellMar>
        </w:tblPrEx>
        <w:trPr>
          <w:trHeight w:hRule="exact" w:val="187"/>
        </w:trPr>
        <w:tc>
          <w:tcPr>
            <w:tcW w:w="1085" w:type="dxa"/>
            <w:tcBorders>
              <w:top w:val="single" w:sz="4" w:space="0" w:color="auto"/>
              <w:left w:val="single" w:sz="4" w:space="0" w:color="auto"/>
            </w:tcBorders>
            <w:shd w:val="clear" w:color="auto" w:fill="auto"/>
            <w:vAlign w:val="bottom"/>
          </w:tcPr>
          <w:p w14:paraId="5B40704D" w14:textId="77777777" w:rsidR="00EC1C40" w:rsidRDefault="00000000">
            <w:pPr>
              <w:pStyle w:val="Jin0"/>
              <w:framePr w:w="10272" w:h="14573" w:wrap="none" w:vAnchor="page" w:hAnchor="page" w:x="831" w:y="1565"/>
              <w:spacing w:after="0"/>
              <w:ind w:firstLine="200"/>
              <w:rPr>
                <w:sz w:val="13"/>
                <w:szCs w:val="13"/>
              </w:rPr>
            </w:pPr>
            <w:r>
              <w:rPr>
                <w:rFonts w:ascii="Arial" w:eastAsia="Arial" w:hAnsi="Arial" w:cs="Arial"/>
                <w:sz w:val="13"/>
                <w:szCs w:val="13"/>
              </w:rPr>
              <w:t>2.2.2.4.02</w:t>
            </w:r>
          </w:p>
        </w:tc>
        <w:tc>
          <w:tcPr>
            <w:tcW w:w="4301" w:type="dxa"/>
            <w:tcBorders>
              <w:top w:val="single" w:sz="4" w:space="0" w:color="auto"/>
              <w:left w:val="single" w:sz="4" w:space="0" w:color="auto"/>
            </w:tcBorders>
            <w:shd w:val="clear" w:color="auto" w:fill="auto"/>
            <w:vAlign w:val="bottom"/>
          </w:tcPr>
          <w:p w14:paraId="52211A8E" w14:textId="77777777" w:rsidR="00EC1C40" w:rsidRDefault="00000000">
            <w:pPr>
              <w:pStyle w:val="Jin0"/>
              <w:framePr w:w="10272" w:h="14573" w:wrap="none" w:vAnchor="page" w:hAnchor="page" w:x="831" w:y="1565"/>
              <w:spacing w:after="0"/>
              <w:ind w:firstLine="200"/>
              <w:rPr>
                <w:sz w:val="13"/>
                <w:szCs w:val="13"/>
              </w:rPr>
            </w:pPr>
            <w:r>
              <w:rPr>
                <w:rFonts w:ascii="Arial" w:eastAsia="Arial" w:hAnsi="Arial" w:cs="Arial"/>
                <w:sz w:val="13"/>
                <w:szCs w:val="13"/>
              </w:rPr>
              <w:t>SO.02 Hotel</w:t>
            </w:r>
          </w:p>
        </w:tc>
        <w:tc>
          <w:tcPr>
            <w:tcW w:w="720" w:type="dxa"/>
            <w:tcBorders>
              <w:top w:val="single" w:sz="4" w:space="0" w:color="auto"/>
              <w:left w:val="single" w:sz="4" w:space="0" w:color="auto"/>
            </w:tcBorders>
            <w:shd w:val="clear" w:color="auto" w:fill="auto"/>
          </w:tcPr>
          <w:p w14:paraId="5B049898" w14:textId="77777777" w:rsidR="00EC1C40" w:rsidRDefault="00EC1C40">
            <w:pPr>
              <w:framePr w:w="10272" w:h="14573" w:wrap="none" w:vAnchor="page" w:hAnchor="page" w:x="831" w:y="1565"/>
              <w:rPr>
                <w:sz w:val="10"/>
                <w:szCs w:val="10"/>
              </w:rPr>
            </w:pPr>
          </w:p>
        </w:tc>
        <w:tc>
          <w:tcPr>
            <w:tcW w:w="715" w:type="dxa"/>
            <w:tcBorders>
              <w:top w:val="single" w:sz="4" w:space="0" w:color="auto"/>
              <w:left w:val="single" w:sz="4" w:space="0" w:color="auto"/>
            </w:tcBorders>
            <w:shd w:val="clear" w:color="auto" w:fill="auto"/>
          </w:tcPr>
          <w:p w14:paraId="5A5EE558" w14:textId="77777777" w:rsidR="00EC1C40" w:rsidRDefault="00EC1C40">
            <w:pPr>
              <w:framePr w:w="10272" w:h="14573" w:wrap="none" w:vAnchor="page" w:hAnchor="page" w:x="831" w:y="1565"/>
              <w:rPr>
                <w:sz w:val="10"/>
                <w:szCs w:val="10"/>
              </w:rPr>
            </w:pPr>
          </w:p>
        </w:tc>
        <w:tc>
          <w:tcPr>
            <w:tcW w:w="3451" w:type="dxa"/>
            <w:tcBorders>
              <w:top w:val="single" w:sz="4" w:space="0" w:color="auto"/>
              <w:left w:val="single" w:sz="4" w:space="0" w:color="auto"/>
              <w:right w:val="single" w:sz="4" w:space="0" w:color="auto"/>
            </w:tcBorders>
            <w:shd w:val="clear" w:color="auto" w:fill="auto"/>
          </w:tcPr>
          <w:p w14:paraId="059150EA" w14:textId="77777777" w:rsidR="00EC1C40" w:rsidRDefault="00EC1C40">
            <w:pPr>
              <w:framePr w:w="10272" w:h="14573" w:wrap="none" w:vAnchor="page" w:hAnchor="page" w:x="831" w:y="1565"/>
              <w:rPr>
                <w:sz w:val="10"/>
                <w:szCs w:val="10"/>
              </w:rPr>
            </w:pPr>
          </w:p>
        </w:tc>
      </w:tr>
      <w:tr w:rsidR="00EC1C40" w14:paraId="30DC75E8" w14:textId="77777777">
        <w:tblPrEx>
          <w:tblCellMar>
            <w:top w:w="0" w:type="dxa"/>
            <w:bottom w:w="0" w:type="dxa"/>
          </w:tblCellMar>
        </w:tblPrEx>
        <w:trPr>
          <w:trHeight w:hRule="exact" w:val="187"/>
        </w:trPr>
        <w:tc>
          <w:tcPr>
            <w:tcW w:w="1085" w:type="dxa"/>
            <w:tcBorders>
              <w:top w:val="single" w:sz="4" w:space="0" w:color="auto"/>
              <w:left w:val="single" w:sz="4" w:space="0" w:color="auto"/>
            </w:tcBorders>
            <w:shd w:val="clear" w:color="auto" w:fill="auto"/>
            <w:vAlign w:val="bottom"/>
          </w:tcPr>
          <w:p w14:paraId="6BDB9225" w14:textId="77777777" w:rsidR="00EC1C40" w:rsidRDefault="00000000">
            <w:pPr>
              <w:pStyle w:val="Jin0"/>
              <w:framePr w:w="10272" w:h="14573" w:wrap="none" w:vAnchor="page" w:hAnchor="page" w:x="831" w:y="1565"/>
              <w:spacing w:after="0"/>
              <w:ind w:firstLine="200"/>
              <w:rPr>
                <w:sz w:val="13"/>
                <w:szCs w:val="13"/>
              </w:rPr>
            </w:pPr>
            <w:r>
              <w:rPr>
                <w:rFonts w:ascii="Arial" w:eastAsia="Arial" w:hAnsi="Arial" w:cs="Arial"/>
                <w:sz w:val="13"/>
                <w:szCs w:val="13"/>
              </w:rPr>
              <w:t>2.2.2.4.03</w:t>
            </w:r>
          </w:p>
        </w:tc>
        <w:tc>
          <w:tcPr>
            <w:tcW w:w="4301" w:type="dxa"/>
            <w:tcBorders>
              <w:top w:val="single" w:sz="4" w:space="0" w:color="auto"/>
              <w:left w:val="single" w:sz="4" w:space="0" w:color="auto"/>
            </w:tcBorders>
            <w:shd w:val="clear" w:color="auto" w:fill="auto"/>
            <w:vAlign w:val="bottom"/>
          </w:tcPr>
          <w:p w14:paraId="61828575" w14:textId="77777777" w:rsidR="00EC1C40" w:rsidRDefault="00000000">
            <w:pPr>
              <w:pStyle w:val="Jin0"/>
              <w:framePr w:w="10272" w:h="14573" w:wrap="none" w:vAnchor="page" w:hAnchor="page" w:x="831" w:y="1565"/>
              <w:spacing w:after="0"/>
              <w:ind w:firstLine="200"/>
              <w:rPr>
                <w:sz w:val="13"/>
                <w:szCs w:val="13"/>
              </w:rPr>
            </w:pPr>
            <w:r>
              <w:rPr>
                <w:rFonts w:ascii="Arial" w:eastAsia="Arial" w:hAnsi="Arial" w:cs="Arial"/>
                <w:sz w:val="13"/>
                <w:szCs w:val="13"/>
              </w:rPr>
              <w:t>SO.03 Malá hala</w:t>
            </w:r>
          </w:p>
        </w:tc>
        <w:tc>
          <w:tcPr>
            <w:tcW w:w="720" w:type="dxa"/>
            <w:tcBorders>
              <w:top w:val="single" w:sz="4" w:space="0" w:color="auto"/>
              <w:left w:val="single" w:sz="4" w:space="0" w:color="auto"/>
            </w:tcBorders>
            <w:shd w:val="clear" w:color="auto" w:fill="auto"/>
          </w:tcPr>
          <w:p w14:paraId="6746C89F" w14:textId="77777777" w:rsidR="00EC1C40" w:rsidRDefault="00EC1C40">
            <w:pPr>
              <w:framePr w:w="10272" w:h="14573" w:wrap="none" w:vAnchor="page" w:hAnchor="page" w:x="831" w:y="1565"/>
              <w:rPr>
                <w:sz w:val="10"/>
                <w:szCs w:val="10"/>
              </w:rPr>
            </w:pPr>
          </w:p>
        </w:tc>
        <w:tc>
          <w:tcPr>
            <w:tcW w:w="715" w:type="dxa"/>
            <w:tcBorders>
              <w:top w:val="single" w:sz="4" w:space="0" w:color="auto"/>
              <w:left w:val="single" w:sz="4" w:space="0" w:color="auto"/>
            </w:tcBorders>
            <w:shd w:val="clear" w:color="auto" w:fill="auto"/>
          </w:tcPr>
          <w:p w14:paraId="218B63EA" w14:textId="77777777" w:rsidR="00EC1C40" w:rsidRDefault="00EC1C40">
            <w:pPr>
              <w:framePr w:w="10272" w:h="14573" w:wrap="none" w:vAnchor="page" w:hAnchor="page" w:x="831" w:y="1565"/>
              <w:rPr>
                <w:sz w:val="10"/>
                <w:szCs w:val="10"/>
              </w:rPr>
            </w:pPr>
          </w:p>
        </w:tc>
        <w:tc>
          <w:tcPr>
            <w:tcW w:w="3451" w:type="dxa"/>
            <w:tcBorders>
              <w:top w:val="single" w:sz="4" w:space="0" w:color="auto"/>
              <w:left w:val="single" w:sz="4" w:space="0" w:color="auto"/>
              <w:right w:val="single" w:sz="4" w:space="0" w:color="auto"/>
            </w:tcBorders>
            <w:shd w:val="clear" w:color="auto" w:fill="auto"/>
          </w:tcPr>
          <w:p w14:paraId="7B84CDEA" w14:textId="77777777" w:rsidR="00EC1C40" w:rsidRDefault="00EC1C40">
            <w:pPr>
              <w:framePr w:w="10272" w:h="14573" w:wrap="none" w:vAnchor="page" w:hAnchor="page" w:x="831" w:y="1565"/>
              <w:rPr>
                <w:sz w:val="10"/>
                <w:szCs w:val="10"/>
              </w:rPr>
            </w:pPr>
          </w:p>
        </w:tc>
      </w:tr>
      <w:tr w:rsidR="00EC1C40" w14:paraId="1B05678E" w14:textId="77777777">
        <w:tblPrEx>
          <w:tblCellMar>
            <w:top w:w="0" w:type="dxa"/>
            <w:bottom w:w="0" w:type="dxa"/>
          </w:tblCellMar>
        </w:tblPrEx>
        <w:trPr>
          <w:trHeight w:hRule="exact" w:val="187"/>
        </w:trPr>
        <w:tc>
          <w:tcPr>
            <w:tcW w:w="1085" w:type="dxa"/>
            <w:tcBorders>
              <w:top w:val="single" w:sz="4" w:space="0" w:color="auto"/>
              <w:left w:val="single" w:sz="4" w:space="0" w:color="auto"/>
            </w:tcBorders>
            <w:shd w:val="clear" w:color="auto" w:fill="auto"/>
            <w:vAlign w:val="bottom"/>
          </w:tcPr>
          <w:p w14:paraId="14A40E57" w14:textId="77777777" w:rsidR="00EC1C40" w:rsidRDefault="00000000">
            <w:pPr>
              <w:pStyle w:val="Jin0"/>
              <w:framePr w:w="10272" w:h="14573" w:wrap="none" w:vAnchor="page" w:hAnchor="page" w:x="831" w:y="1565"/>
              <w:spacing w:after="0"/>
              <w:ind w:firstLine="200"/>
              <w:rPr>
                <w:sz w:val="13"/>
                <w:szCs w:val="13"/>
              </w:rPr>
            </w:pPr>
            <w:r>
              <w:rPr>
                <w:rFonts w:ascii="Arial" w:eastAsia="Arial" w:hAnsi="Arial" w:cs="Arial"/>
                <w:sz w:val="13"/>
                <w:szCs w:val="13"/>
              </w:rPr>
              <w:t>2.2.2.4.04</w:t>
            </w:r>
          </w:p>
        </w:tc>
        <w:tc>
          <w:tcPr>
            <w:tcW w:w="4301" w:type="dxa"/>
            <w:tcBorders>
              <w:top w:val="single" w:sz="4" w:space="0" w:color="auto"/>
              <w:left w:val="single" w:sz="4" w:space="0" w:color="auto"/>
            </w:tcBorders>
            <w:shd w:val="clear" w:color="auto" w:fill="auto"/>
            <w:vAlign w:val="bottom"/>
          </w:tcPr>
          <w:p w14:paraId="74C6D6E6" w14:textId="77777777" w:rsidR="00EC1C40" w:rsidRDefault="00000000">
            <w:pPr>
              <w:pStyle w:val="Jin0"/>
              <w:framePr w:w="10272" w:h="14573" w:wrap="none" w:vAnchor="page" w:hAnchor="page" w:x="831" w:y="1565"/>
              <w:spacing w:after="0"/>
              <w:ind w:firstLine="200"/>
              <w:rPr>
                <w:sz w:val="13"/>
                <w:szCs w:val="13"/>
              </w:rPr>
            </w:pPr>
            <w:r>
              <w:rPr>
                <w:rFonts w:ascii="Arial" w:eastAsia="Arial" w:hAnsi="Arial" w:cs="Arial"/>
                <w:sz w:val="13"/>
                <w:szCs w:val="13"/>
              </w:rPr>
              <w:t xml:space="preserve">SO.04 </w:t>
            </w:r>
            <w:r>
              <w:rPr>
                <w:rFonts w:ascii="Arial" w:eastAsia="Arial" w:hAnsi="Arial" w:cs="Arial"/>
                <w:sz w:val="13"/>
                <w:szCs w:val="13"/>
                <w:lang w:val="en-US" w:eastAsia="en-US" w:bidi="en-US"/>
              </w:rPr>
              <w:t>Parking</w:t>
            </w:r>
          </w:p>
        </w:tc>
        <w:tc>
          <w:tcPr>
            <w:tcW w:w="720" w:type="dxa"/>
            <w:tcBorders>
              <w:top w:val="single" w:sz="4" w:space="0" w:color="auto"/>
              <w:left w:val="single" w:sz="4" w:space="0" w:color="auto"/>
            </w:tcBorders>
            <w:shd w:val="clear" w:color="auto" w:fill="auto"/>
          </w:tcPr>
          <w:p w14:paraId="0B2F37B5" w14:textId="77777777" w:rsidR="00EC1C40" w:rsidRDefault="00EC1C40">
            <w:pPr>
              <w:framePr w:w="10272" w:h="14573" w:wrap="none" w:vAnchor="page" w:hAnchor="page" w:x="831" w:y="1565"/>
              <w:rPr>
                <w:sz w:val="10"/>
                <w:szCs w:val="10"/>
              </w:rPr>
            </w:pPr>
          </w:p>
        </w:tc>
        <w:tc>
          <w:tcPr>
            <w:tcW w:w="715" w:type="dxa"/>
            <w:tcBorders>
              <w:top w:val="single" w:sz="4" w:space="0" w:color="auto"/>
              <w:left w:val="single" w:sz="4" w:space="0" w:color="auto"/>
            </w:tcBorders>
            <w:shd w:val="clear" w:color="auto" w:fill="auto"/>
          </w:tcPr>
          <w:p w14:paraId="2D78E1DD" w14:textId="77777777" w:rsidR="00EC1C40" w:rsidRDefault="00EC1C40">
            <w:pPr>
              <w:framePr w:w="10272" w:h="14573" w:wrap="none" w:vAnchor="page" w:hAnchor="page" w:x="831" w:y="1565"/>
              <w:rPr>
                <w:sz w:val="10"/>
                <w:szCs w:val="10"/>
              </w:rPr>
            </w:pPr>
          </w:p>
        </w:tc>
        <w:tc>
          <w:tcPr>
            <w:tcW w:w="3451" w:type="dxa"/>
            <w:tcBorders>
              <w:top w:val="single" w:sz="4" w:space="0" w:color="auto"/>
              <w:left w:val="single" w:sz="4" w:space="0" w:color="auto"/>
              <w:right w:val="single" w:sz="4" w:space="0" w:color="auto"/>
            </w:tcBorders>
            <w:shd w:val="clear" w:color="auto" w:fill="auto"/>
          </w:tcPr>
          <w:p w14:paraId="117D9D3A" w14:textId="77777777" w:rsidR="00EC1C40" w:rsidRDefault="00EC1C40">
            <w:pPr>
              <w:framePr w:w="10272" w:h="14573" w:wrap="none" w:vAnchor="page" w:hAnchor="page" w:x="831" w:y="1565"/>
              <w:rPr>
                <w:sz w:val="10"/>
                <w:szCs w:val="10"/>
              </w:rPr>
            </w:pPr>
          </w:p>
        </w:tc>
      </w:tr>
      <w:tr w:rsidR="00EC1C40" w14:paraId="3B9F4E6F" w14:textId="77777777">
        <w:tblPrEx>
          <w:tblCellMar>
            <w:top w:w="0" w:type="dxa"/>
            <w:bottom w:w="0" w:type="dxa"/>
          </w:tblCellMar>
        </w:tblPrEx>
        <w:trPr>
          <w:trHeight w:hRule="exact" w:val="187"/>
        </w:trPr>
        <w:tc>
          <w:tcPr>
            <w:tcW w:w="1085" w:type="dxa"/>
            <w:tcBorders>
              <w:top w:val="single" w:sz="4" w:space="0" w:color="auto"/>
              <w:left w:val="single" w:sz="4" w:space="0" w:color="auto"/>
            </w:tcBorders>
            <w:shd w:val="clear" w:color="auto" w:fill="auto"/>
            <w:vAlign w:val="bottom"/>
          </w:tcPr>
          <w:p w14:paraId="39626FE1" w14:textId="77777777" w:rsidR="00EC1C40" w:rsidRDefault="00000000">
            <w:pPr>
              <w:pStyle w:val="Jin0"/>
              <w:framePr w:w="10272" w:h="14573" w:wrap="none" w:vAnchor="page" w:hAnchor="page" w:x="831" w:y="1565"/>
              <w:spacing w:after="0"/>
              <w:ind w:firstLine="200"/>
              <w:rPr>
                <w:sz w:val="13"/>
                <w:szCs w:val="13"/>
              </w:rPr>
            </w:pPr>
            <w:r>
              <w:rPr>
                <w:rFonts w:ascii="Arial" w:eastAsia="Arial" w:hAnsi="Arial" w:cs="Arial"/>
                <w:sz w:val="13"/>
                <w:szCs w:val="13"/>
              </w:rPr>
              <w:t>2.2.2.4.05</w:t>
            </w:r>
          </w:p>
        </w:tc>
        <w:tc>
          <w:tcPr>
            <w:tcW w:w="4301" w:type="dxa"/>
            <w:tcBorders>
              <w:top w:val="single" w:sz="4" w:space="0" w:color="auto"/>
              <w:left w:val="single" w:sz="4" w:space="0" w:color="auto"/>
            </w:tcBorders>
            <w:shd w:val="clear" w:color="auto" w:fill="auto"/>
            <w:vAlign w:val="bottom"/>
          </w:tcPr>
          <w:p w14:paraId="106AD48C" w14:textId="77777777" w:rsidR="00EC1C40" w:rsidRDefault="00000000">
            <w:pPr>
              <w:pStyle w:val="Jin0"/>
              <w:framePr w:w="10272" w:h="14573" w:wrap="none" w:vAnchor="page" w:hAnchor="page" w:x="831" w:y="1565"/>
              <w:spacing w:after="0"/>
              <w:ind w:firstLine="200"/>
              <w:rPr>
                <w:sz w:val="13"/>
                <w:szCs w:val="13"/>
              </w:rPr>
            </w:pPr>
            <w:r>
              <w:rPr>
                <w:rFonts w:ascii="Arial" w:eastAsia="Arial" w:hAnsi="Arial" w:cs="Arial"/>
                <w:sz w:val="13"/>
                <w:szCs w:val="13"/>
              </w:rPr>
              <w:t xml:space="preserve">SO.05 </w:t>
            </w:r>
            <w:r>
              <w:rPr>
                <w:rFonts w:ascii="Arial" w:eastAsia="Arial" w:hAnsi="Arial" w:cs="Arial"/>
                <w:sz w:val="13"/>
                <w:szCs w:val="13"/>
                <w:lang w:val="en-US" w:eastAsia="en-US" w:bidi="en-US"/>
              </w:rPr>
              <w:t>Showroom</w:t>
            </w:r>
          </w:p>
        </w:tc>
        <w:tc>
          <w:tcPr>
            <w:tcW w:w="720" w:type="dxa"/>
            <w:tcBorders>
              <w:top w:val="single" w:sz="4" w:space="0" w:color="auto"/>
              <w:left w:val="single" w:sz="4" w:space="0" w:color="auto"/>
            </w:tcBorders>
            <w:shd w:val="clear" w:color="auto" w:fill="auto"/>
          </w:tcPr>
          <w:p w14:paraId="6D68AF1C" w14:textId="77777777" w:rsidR="00EC1C40" w:rsidRDefault="00EC1C40">
            <w:pPr>
              <w:framePr w:w="10272" w:h="14573" w:wrap="none" w:vAnchor="page" w:hAnchor="page" w:x="831" w:y="1565"/>
              <w:rPr>
                <w:sz w:val="10"/>
                <w:szCs w:val="10"/>
              </w:rPr>
            </w:pPr>
          </w:p>
        </w:tc>
        <w:tc>
          <w:tcPr>
            <w:tcW w:w="715" w:type="dxa"/>
            <w:tcBorders>
              <w:top w:val="single" w:sz="4" w:space="0" w:color="auto"/>
              <w:left w:val="single" w:sz="4" w:space="0" w:color="auto"/>
            </w:tcBorders>
            <w:shd w:val="clear" w:color="auto" w:fill="auto"/>
          </w:tcPr>
          <w:p w14:paraId="6412C479" w14:textId="77777777" w:rsidR="00EC1C40" w:rsidRDefault="00EC1C40">
            <w:pPr>
              <w:framePr w:w="10272" w:h="14573" w:wrap="none" w:vAnchor="page" w:hAnchor="page" w:x="831" w:y="1565"/>
              <w:rPr>
                <w:sz w:val="10"/>
                <w:szCs w:val="10"/>
              </w:rPr>
            </w:pPr>
          </w:p>
        </w:tc>
        <w:tc>
          <w:tcPr>
            <w:tcW w:w="3451" w:type="dxa"/>
            <w:tcBorders>
              <w:top w:val="single" w:sz="4" w:space="0" w:color="auto"/>
              <w:left w:val="single" w:sz="4" w:space="0" w:color="auto"/>
              <w:right w:val="single" w:sz="4" w:space="0" w:color="auto"/>
            </w:tcBorders>
            <w:shd w:val="clear" w:color="auto" w:fill="auto"/>
          </w:tcPr>
          <w:p w14:paraId="3F08472D" w14:textId="77777777" w:rsidR="00EC1C40" w:rsidRDefault="00EC1C40">
            <w:pPr>
              <w:framePr w:w="10272" w:h="14573" w:wrap="none" w:vAnchor="page" w:hAnchor="page" w:x="831" w:y="1565"/>
              <w:rPr>
                <w:sz w:val="10"/>
                <w:szCs w:val="10"/>
              </w:rPr>
            </w:pPr>
          </w:p>
        </w:tc>
      </w:tr>
      <w:tr w:rsidR="00EC1C40" w14:paraId="07C016EA" w14:textId="77777777">
        <w:tblPrEx>
          <w:tblCellMar>
            <w:top w:w="0" w:type="dxa"/>
            <w:bottom w:w="0" w:type="dxa"/>
          </w:tblCellMar>
        </w:tblPrEx>
        <w:trPr>
          <w:trHeight w:hRule="exact" w:val="187"/>
        </w:trPr>
        <w:tc>
          <w:tcPr>
            <w:tcW w:w="1085" w:type="dxa"/>
            <w:tcBorders>
              <w:top w:val="single" w:sz="4" w:space="0" w:color="auto"/>
              <w:left w:val="single" w:sz="4" w:space="0" w:color="auto"/>
            </w:tcBorders>
            <w:shd w:val="clear" w:color="auto" w:fill="auto"/>
            <w:vAlign w:val="bottom"/>
          </w:tcPr>
          <w:p w14:paraId="6990BDEE" w14:textId="77777777" w:rsidR="00EC1C40" w:rsidRDefault="00000000">
            <w:pPr>
              <w:pStyle w:val="Jin0"/>
              <w:framePr w:w="10272" w:h="14573" w:wrap="none" w:vAnchor="page" w:hAnchor="page" w:x="831" w:y="1565"/>
              <w:spacing w:after="0"/>
              <w:ind w:firstLine="200"/>
              <w:rPr>
                <w:sz w:val="13"/>
                <w:szCs w:val="13"/>
              </w:rPr>
            </w:pPr>
            <w:r>
              <w:rPr>
                <w:rFonts w:ascii="Arial" w:eastAsia="Arial" w:hAnsi="Arial" w:cs="Arial"/>
                <w:sz w:val="13"/>
                <w:szCs w:val="13"/>
              </w:rPr>
              <w:t>2.2.8.4.050</w:t>
            </w:r>
          </w:p>
        </w:tc>
        <w:tc>
          <w:tcPr>
            <w:tcW w:w="4301" w:type="dxa"/>
            <w:tcBorders>
              <w:top w:val="single" w:sz="4" w:space="0" w:color="auto"/>
              <w:left w:val="single" w:sz="4" w:space="0" w:color="auto"/>
            </w:tcBorders>
            <w:shd w:val="clear" w:color="auto" w:fill="auto"/>
            <w:vAlign w:val="bottom"/>
          </w:tcPr>
          <w:p w14:paraId="70D349D8" w14:textId="77777777" w:rsidR="00EC1C40" w:rsidRDefault="00000000">
            <w:pPr>
              <w:pStyle w:val="Jin0"/>
              <w:framePr w:w="10272" w:h="14573" w:wrap="none" w:vAnchor="page" w:hAnchor="page" w:x="831" w:y="1565"/>
              <w:spacing w:after="0"/>
              <w:ind w:firstLine="200"/>
              <w:rPr>
                <w:sz w:val="13"/>
                <w:szCs w:val="13"/>
              </w:rPr>
            </w:pPr>
            <w:r>
              <w:rPr>
                <w:rFonts w:ascii="Arial" w:eastAsia="Arial" w:hAnsi="Arial" w:cs="Arial"/>
                <w:sz w:val="13"/>
                <w:szCs w:val="13"/>
              </w:rPr>
              <w:t>SO.050 Parter a jeho vybavení</w:t>
            </w:r>
          </w:p>
        </w:tc>
        <w:tc>
          <w:tcPr>
            <w:tcW w:w="720" w:type="dxa"/>
            <w:tcBorders>
              <w:top w:val="single" w:sz="4" w:space="0" w:color="auto"/>
              <w:left w:val="single" w:sz="4" w:space="0" w:color="auto"/>
            </w:tcBorders>
            <w:shd w:val="clear" w:color="auto" w:fill="auto"/>
          </w:tcPr>
          <w:p w14:paraId="74C4E35E" w14:textId="77777777" w:rsidR="00EC1C40" w:rsidRDefault="00EC1C40">
            <w:pPr>
              <w:framePr w:w="10272" w:h="14573" w:wrap="none" w:vAnchor="page" w:hAnchor="page" w:x="831" w:y="1565"/>
              <w:rPr>
                <w:sz w:val="10"/>
                <w:szCs w:val="10"/>
              </w:rPr>
            </w:pPr>
          </w:p>
        </w:tc>
        <w:tc>
          <w:tcPr>
            <w:tcW w:w="715" w:type="dxa"/>
            <w:tcBorders>
              <w:top w:val="single" w:sz="4" w:space="0" w:color="auto"/>
              <w:left w:val="single" w:sz="4" w:space="0" w:color="auto"/>
            </w:tcBorders>
            <w:shd w:val="clear" w:color="auto" w:fill="auto"/>
          </w:tcPr>
          <w:p w14:paraId="40538FC0" w14:textId="77777777" w:rsidR="00EC1C40" w:rsidRDefault="00EC1C40">
            <w:pPr>
              <w:framePr w:w="10272" w:h="14573" w:wrap="none" w:vAnchor="page" w:hAnchor="page" w:x="831" w:y="1565"/>
              <w:rPr>
                <w:sz w:val="10"/>
                <w:szCs w:val="10"/>
              </w:rPr>
            </w:pPr>
          </w:p>
        </w:tc>
        <w:tc>
          <w:tcPr>
            <w:tcW w:w="3451" w:type="dxa"/>
            <w:tcBorders>
              <w:top w:val="single" w:sz="4" w:space="0" w:color="auto"/>
              <w:left w:val="single" w:sz="4" w:space="0" w:color="auto"/>
              <w:right w:val="single" w:sz="4" w:space="0" w:color="auto"/>
            </w:tcBorders>
            <w:shd w:val="clear" w:color="auto" w:fill="auto"/>
          </w:tcPr>
          <w:p w14:paraId="60BE834D" w14:textId="77777777" w:rsidR="00EC1C40" w:rsidRDefault="00EC1C40">
            <w:pPr>
              <w:framePr w:w="10272" w:h="14573" w:wrap="none" w:vAnchor="page" w:hAnchor="page" w:x="831" w:y="1565"/>
              <w:rPr>
                <w:sz w:val="10"/>
                <w:szCs w:val="10"/>
              </w:rPr>
            </w:pPr>
          </w:p>
        </w:tc>
      </w:tr>
      <w:tr w:rsidR="00EC1C40" w14:paraId="42D1007B" w14:textId="77777777">
        <w:tblPrEx>
          <w:tblCellMar>
            <w:top w:w="0" w:type="dxa"/>
            <w:bottom w:w="0" w:type="dxa"/>
          </w:tblCellMar>
        </w:tblPrEx>
        <w:trPr>
          <w:trHeight w:hRule="exact" w:val="187"/>
        </w:trPr>
        <w:tc>
          <w:tcPr>
            <w:tcW w:w="1085" w:type="dxa"/>
            <w:tcBorders>
              <w:top w:val="single" w:sz="4" w:space="0" w:color="auto"/>
              <w:left w:val="single" w:sz="4" w:space="0" w:color="auto"/>
            </w:tcBorders>
            <w:shd w:val="clear" w:color="auto" w:fill="auto"/>
          </w:tcPr>
          <w:p w14:paraId="6F3BBEBC" w14:textId="77777777" w:rsidR="00EC1C40" w:rsidRDefault="00000000">
            <w:pPr>
              <w:pStyle w:val="Jin0"/>
              <w:framePr w:w="10272" w:h="14573" w:wrap="none" w:vAnchor="page" w:hAnchor="page" w:x="831" w:y="1565"/>
              <w:spacing w:after="0"/>
              <w:jc w:val="center"/>
              <w:rPr>
                <w:sz w:val="13"/>
                <w:szCs w:val="13"/>
              </w:rPr>
            </w:pPr>
            <w:r>
              <w:rPr>
                <w:rFonts w:ascii="Arial" w:eastAsia="Arial" w:hAnsi="Arial" w:cs="Arial"/>
                <w:sz w:val="13"/>
                <w:szCs w:val="13"/>
              </w:rPr>
              <w:t>2.2.8.4.099</w:t>
            </w:r>
          </w:p>
        </w:tc>
        <w:tc>
          <w:tcPr>
            <w:tcW w:w="4301" w:type="dxa"/>
            <w:tcBorders>
              <w:top w:val="single" w:sz="4" w:space="0" w:color="auto"/>
              <w:left w:val="single" w:sz="4" w:space="0" w:color="auto"/>
            </w:tcBorders>
            <w:shd w:val="clear" w:color="auto" w:fill="auto"/>
          </w:tcPr>
          <w:p w14:paraId="6211272F" w14:textId="77777777" w:rsidR="00EC1C40" w:rsidRDefault="00000000">
            <w:pPr>
              <w:pStyle w:val="Jin0"/>
              <w:framePr w:w="10272" w:h="14573" w:wrap="none" w:vAnchor="page" w:hAnchor="page" w:x="831" w:y="1565"/>
              <w:spacing w:after="0"/>
              <w:ind w:firstLine="200"/>
              <w:rPr>
                <w:sz w:val="13"/>
                <w:szCs w:val="13"/>
              </w:rPr>
            </w:pPr>
            <w:r>
              <w:rPr>
                <w:rFonts w:ascii="Arial" w:eastAsia="Arial" w:hAnsi="Arial" w:cs="Arial"/>
                <w:sz w:val="13"/>
                <w:szCs w:val="13"/>
              </w:rPr>
              <w:t>SO.099 PBŘ společné</w:t>
            </w:r>
          </w:p>
        </w:tc>
        <w:tc>
          <w:tcPr>
            <w:tcW w:w="720" w:type="dxa"/>
            <w:tcBorders>
              <w:top w:val="single" w:sz="4" w:space="0" w:color="auto"/>
              <w:left w:val="single" w:sz="4" w:space="0" w:color="auto"/>
            </w:tcBorders>
            <w:shd w:val="clear" w:color="auto" w:fill="auto"/>
          </w:tcPr>
          <w:p w14:paraId="47191DB3" w14:textId="77777777" w:rsidR="00EC1C40" w:rsidRDefault="00EC1C40">
            <w:pPr>
              <w:framePr w:w="10272" w:h="14573" w:wrap="none" w:vAnchor="page" w:hAnchor="page" w:x="831" w:y="1565"/>
              <w:rPr>
                <w:sz w:val="10"/>
                <w:szCs w:val="10"/>
              </w:rPr>
            </w:pPr>
          </w:p>
        </w:tc>
        <w:tc>
          <w:tcPr>
            <w:tcW w:w="715" w:type="dxa"/>
            <w:tcBorders>
              <w:top w:val="single" w:sz="4" w:space="0" w:color="auto"/>
              <w:left w:val="single" w:sz="4" w:space="0" w:color="auto"/>
            </w:tcBorders>
            <w:shd w:val="clear" w:color="auto" w:fill="auto"/>
          </w:tcPr>
          <w:p w14:paraId="29953DE3" w14:textId="77777777" w:rsidR="00EC1C40" w:rsidRDefault="00EC1C40">
            <w:pPr>
              <w:framePr w:w="10272" w:h="14573" w:wrap="none" w:vAnchor="page" w:hAnchor="page" w:x="831" w:y="1565"/>
              <w:rPr>
                <w:sz w:val="10"/>
                <w:szCs w:val="10"/>
              </w:rPr>
            </w:pPr>
          </w:p>
        </w:tc>
        <w:tc>
          <w:tcPr>
            <w:tcW w:w="3451" w:type="dxa"/>
            <w:tcBorders>
              <w:top w:val="single" w:sz="4" w:space="0" w:color="auto"/>
              <w:left w:val="single" w:sz="4" w:space="0" w:color="auto"/>
              <w:right w:val="single" w:sz="4" w:space="0" w:color="auto"/>
            </w:tcBorders>
            <w:shd w:val="clear" w:color="auto" w:fill="auto"/>
          </w:tcPr>
          <w:p w14:paraId="5D73E97B" w14:textId="77777777" w:rsidR="00EC1C40" w:rsidRDefault="00EC1C40">
            <w:pPr>
              <w:framePr w:w="10272" w:h="14573" w:wrap="none" w:vAnchor="page" w:hAnchor="page" w:x="831" w:y="1565"/>
              <w:rPr>
                <w:sz w:val="10"/>
                <w:szCs w:val="10"/>
              </w:rPr>
            </w:pPr>
          </w:p>
        </w:tc>
      </w:tr>
      <w:tr w:rsidR="00EC1C40" w14:paraId="45570169" w14:textId="77777777">
        <w:tblPrEx>
          <w:tblCellMar>
            <w:top w:w="0" w:type="dxa"/>
            <w:bottom w:w="0" w:type="dxa"/>
          </w:tblCellMar>
        </w:tblPrEx>
        <w:trPr>
          <w:trHeight w:hRule="exact" w:val="182"/>
        </w:trPr>
        <w:tc>
          <w:tcPr>
            <w:tcW w:w="1085" w:type="dxa"/>
            <w:tcBorders>
              <w:top w:val="single" w:sz="4" w:space="0" w:color="auto"/>
              <w:left w:val="single" w:sz="4" w:space="0" w:color="auto"/>
            </w:tcBorders>
            <w:shd w:val="clear" w:color="auto" w:fill="F5EA02"/>
            <w:vAlign w:val="bottom"/>
          </w:tcPr>
          <w:p w14:paraId="670C3EA1" w14:textId="77777777" w:rsidR="00EC1C40" w:rsidRDefault="00000000">
            <w:pPr>
              <w:pStyle w:val="Jin0"/>
              <w:framePr w:w="10272" w:h="14573" w:wrap="none" w:vAnchor="page" w:hAnchor="page" w:x="831" w:y="1565"/>
              <w:spacing w:after="0"/>
              <w:ind w:firstLine="200"/>
              <w:rPr>
                <w:sz w:val="13"/>
                <w:szCs w:val="13"/>
              </w:rPr>
            </w:pPr>
            <w:r>
              <w:rPr>
                <w:rFonts w:ascii="Arial" w:eastAsia="Arial" w:hAnsi="Arial" w:cs="Arial"/>
                <w:b/>
                <w:bCs/>
                <w:sz w:val="13"/>
                <w:szCs w:val="13"/>
              </w:rPr>
              <w:t>2.2.3.1.100</w:t>
            </w:r>
          </w:p>
        </w:tc>
        <w:tc>
          <w:tcPr>
            <w:tcW w:w="4301" w:type="dxa"/>
            <w:tcBorders>
              <w:top w:val="single" w:sz="4" w:space="0" w:color="auto"/>
              <w:left w:val="single" w:sz="4" w:space="0" w:color="auto"/>
            </w:tcBorders>
            <w:shd w:val="clear" w:color="auto" w:fill="F5EA02"/>
            <w:vAlign w:val="bottom"/>
          </w:tcPr>
          <w:p w14:paraId="5BCB9F6C" w14:textId="77777777" w:rsidR="00EC1C40" w:rsidRDefault="00000000">
            <w:pPr>
              <w:pStyle w:val="Jin0"/>
              <w:framePr w:w="10272" w:h="14573" w:wrap="none" w:vAnchor="page" w:hAnchor="page" w:x="831" w:y="1565"/>
              <w:spacing w:after="0"/>
              <w:ind w:firstLine="200"/>
              <w:rPr>
                <w:sz w:val="13"/>
                <w:szCs w:val="13"/>
              </w:rPr>
            </w:pPr>
            <w:r>
              <w:rPr>
                <w:rFonts w:ascii="Arial" w:eastAsia="Arial" w:hAnsi="Arial" w:cs="Arial"/>
                <w:b/>
                <w:bCs/>
                <w:sz w:val="13"/>
                <w:szCs w:val="13"/>
              </w:rPr>
              <w:t>SO.100 Páteřní komunikace I</w:t>
            </w:r>
          </w:p>
        </w:tc>
        <w:tc>
          <w:tcPr>
            <w:tcW w:w="720" w:type="dxa"/>
            <w:tcBorders>
              <w:top w:val="single" w:sz="4" w:space="0" w:color="auto"/>
              <w:left w:val="single" w:sz="4" w:space="0" w:color="auto"/>
            </w:tcBorders>
            <w:shd w:val="clear" w:color="auto" w:fill="F0B9B4"/>
          </w:tcPr>
          <w:p w14:paraId="2DAFD285" w14:textId="77777777" w:rsidR="00EC1C40" w:rsidRDefault="00EC1C40">
            <w:pPr>
              <w:framePr w:w="10272" w:h="14573" w:wrap="none" w:vAnchor="page" w:hAnchor="page" w:x="831" w:y="1565"/>
              <w:rPr>
                <w:sz w:val="10"/>
                <w:szCs w:val="10"/>
              </w:rPr>
            </w:pPr>
          </w:p>
        </w:tc>
        <w:tc>
          <w:tcPr>
            <w:tcW w:w="715" w:type="dxa"/>
            <w:tcBorders>
              <w:top w:val="single" w:sz="4" w:space="0" w:color="auto"/>
              <w:left w:val="single" w:sz="4" w:space="0" w:color="auto"/>
            </w:tcBorders>
            <w:shd w:val="clear" w:color="auto" w:fill="auto"/>
          </w:tcPr>
          <w:p w14:paraId="4D2BFB74" w14:textId="77777777" w:rsidR="00EC1C40" w:rsidRDefault="00EC1C40">
            <w:pPr>
              <w:framePr w:w="10272" w:h="14573" w:wrap="none" w:vAnchor="page" w:hAnchor="page" w:x="831" w:y="1565"/>
              <w:rPr>
                <w:sz w:val="10"/>
                <w:szCs w:val="10"/>
              </w:rPr>
            </w:pPr>
          </w:p>
        </w:tc>
        <w:tc>
          <w:tcPr>
            <w:tcW w:w="3451" w:type="dxa"/>
            <w:tcBorders>
              <w:top w:val="single" w:sz="4" w:space="0" w:color="auto"/>
              <w:left w:val="single" w:sz="4" w:space="0" w:color="auto"/>
              <w:right w:val="single" w:sz="4" w:space="0" w:color="auto"/>
            </w:tcBorders>
            <w:shd w:val="clear" w:color="auto" w:fill="auto"/>
          </w:tcPr>
          <w:p w14:paraId="2B5A6164" w14:textId="77777777" w:rsidR="00EC1C40" w:rsidRDefault="00EC1C40">
            <w:pPr>
              <w:framePr w:w="10272" w:h="14573" w:wrap="none" w:vAnchor="page" w:hAnchor="page" w:x="831" w:y="1565"/>
              <w:rPr>
                <w:sz w:val="10"/>
                <w:szCs w:val="10"/>
              </w:rPr>
            </w:pPr>
          </w:p>
        </w:tc>
      </w:tr>
      <w:tr w:rsidR="00EC1C40" w14:paraId="780DB294" w14:textId="77777777">
        <w:tblPrEx>
          <w:tblCellMar>
            <w:top w:w="0" w:type="dxa"/>
            <w:bottom w:w="0" w:type="dxa"/>
          </w:tblCellMar>
        </w:tblPrEx>
        <w:trPr>
          <w:trHeight w:hRule="exact" w:val="187"/>
        </w:trPr>
        <w:tc>
          <w:tcPr>
            <w:tcW w:w="1085" w:type="dxa"/>
            <w:tcBorders>
              <w:top w:val="single" w:sz="4" w:space="0" w:color="auto"/>
              <w:left w:val="single" w:sz="4" w:space="0" w:color="auto"/>
            </w:tcBorders>
            <w:shd w:val="clear" w:color="auto" w:fill="F5EA02"/>
            <w:vAlign w:val="bottom"/>
          </w:tcPr>
          <w:p w14:paraId="35DDE8F2" w14:textId="77777777" w:rsidR="00EC1C40" w:rsidRDefault="00000000">
            <w:pPr>
              <w:pStyle w:val="Jin0"/>
              <w:framePr w:w="10272" w:h="14573" w:wrap="none" w:vAnchor="page" w:hAnchor="page" w:x="831" w:y="1565"/>
              <w:spacing w:after="0"/>
              <w:ind w:firstLine="200"/>
              <w:rPr>
                <w:sz w:val="13"/>
                <w:szCs w:val="13"/>
              </w:rPr>
            </w:pPr>
            <w:r>
              <w:rPr>
                <w:rFonts w:ascii="Arial" w:eastAsia="Arial" w:hAnsi="Arial" w:cs="Arial"/>
                <w:b/>
                <w:bCs/>
                <w:sz w:val="13"/>
                <w:szCs w:val="13"/>
              </w:rPr>
              <w:t>2.2.3.1.101</w:t>
            </w:r>
          </w:p>
        </w:tc>
        <w:tc>
          <w:tcPr>
            <w:tcW w:w="4301" w:type="dxa"/>
            <w:tcBorders>
              <w:top w:val="single" w:sz="4" w:space="0" w:color="auto"/>
              <w:left w:val="single" w:sz="4" w:space="0" w:color="auto"/>
            </w:tcBorders>
            <w:shd w:val="clear" w:color="auto" w:fill="F5EA02"/>
            <w:vAlign w:val="bottom"/>
          </w:tcPr>
          <w:p w14:paraId="1D3E508D" w14:textId="77777777" w:rsidR="00EC1C40" w:rsidRDefault="00000000">
            <w:pPr>
              <w:pStyle w:val="Jin0"/>
              <w:framePr w:w="10272" w:h="14573" w:wrap="none" w:vAnchor="page" w:hAnchor="page" w:x="831" w:y="1565"/>
              <w:spacing w:after="0"/>
              <w:ind w:firstLine="200"/>
              <w:rPr>
                <w:sz w:val="13"/>
                <w:szCs w:val="13"/>
              </w:rPr>
            </w:pPr>
            <w:r>
              <w:rPr>
                <w:rFonts w:ascii="Arial" w:eastAsia="Arial" w:hAnsi="Arial" w:cs="Arial"/>
                <w:b/>
                <w:bCs/>
                <w:sz w:val="13"/>
                <w:szCs w:val="13"/>
              </w:rPr>
              <w:t>SO.101 Páteřní komunikace II</w:t>
            </w:r>
          </w:p>
        </w:tc>
        <w:tc>
          <w:tcPr>
            <w:tcW w:w="720" w:type="dxa"/>
            <w:tcBorders>
              <w:top w:val="single" w:sz="4" w:space="0" w:color="auto"/>
              <w:left w:val="single" w:sz="4" w:space="0" w:color="auto"/>
            </w:tcBorders>
            <w:shd w:val="clear" w:color="auto" w:fill="F0B9B4"/>
          </w:tcPr>
          <w:p w14:paraId="7AA4F362" w14:textId="77777777" w:rsidR="00EC1C40" w:rsidRDefault="00EC1C40">
            <w:pPr>
              <w:framePr w:w="10272" w:h="14573" w:wrap="none" w:vAnchor="page" w:hAnchor="page" w:x="831" w:y="1565"/>
              <w:rPr>
                <w:sz w:val="10"/>
                <w:szCs w:val="10"/>
              </w:rPr>
            </w:pPr>
          </w:p>
        </w:tc>
        <w:tc>
          <w:tcPr>
            <w:tcW w:w="715" w:type="dxa"/>
            <w:tcBorders>
              <w:top w:val="single" w:sz="4" w:space="0" w:color="auto"/>
              <w:left w:val="single" w:sz="4" w:space="0" w:color="auto"/>
            </w:tcBorders>
            <w:shd w:val="clear" w:color="auto" w:fill="auto"/>
          </w:tcPr>
          <w:p w14:paraId="2519DF5A" w14:textId="77777777" w:rsidR="00EC1C40" w:rsidRDefault="00EC1C40">
            <w:pPr>
              <w:framePr w:w="10272" w:h="14573" w:wrap="none" w:vAnchor="page" w:hAnchor="page" w:x="831" w:y="1565"/>
              <w:rPr>
                <w:sz w:val="10"/>
                <w:szCs w:val="10"/>
              </w:rPr>
            </w:pPr>
          </w:p>
        </w:tc>
        <w:tc>
          <w:tcPr>
            <w:tcW w:w="3451" w:type="dxa"/>
            <w:tcBorders>
              <w:top w:val="single" w:sz="4" w:space="0" w:color="auto"/>
              <w:left w:val="single" w:sz="4" w:space="0" w:color="auto"/>
              <w:right w:val="single" w:sz="4" w:space="0" w:color="auto"/>
            </w:tcBorders>
            <w:shd w:val="clear" w:color="auto" w:fill="auto"/>
          </w:tcPr>
          <w:p w14:paraId="6C9A5722" w14:textId="77777777" w:rsidR="00EC1C40" w:rsidRDefault="00EC1C40">
            <w:pPr>
              <w:framePr w:w="10272" w:h="14573" w:wrap="none" w:vAnchor="page" w:hAnchor="page" w:x="831" w:y="1565"/>
              <w:rPr>
                <w:sz w:val="10"/>
                <w:szCs w:val="10"/>
              </w:rPr>
            </w:pPr>
          </w:p>
        </w:tc>
      </w:tr>
      <w:tr w:rsidR="00EC1C40" w14:paraId="4F328C49" w14:textId="77777777">
        <w:tblPrEx>
          <w:tblCellMar>
            <w:top w:w="0" w:type="dxa"/>
            <w:bottom w:w="0" w:type="dxa"/>
          </w:tblCellMar>
        </w:tblPrEx>
        <w:trPr>
          <w:trHeight w:hRule="exact" w:val="187"/>
        </w:trPr>
        <w:tc>
          <w:tcPr>
            <w:tcW w:w="1085" w:type="dxa"/>
            <w:tcBorders>
              <w:top w:val="single" w:sz="4" w:space="0" w:color="auto"/>
              <w:left w:val="single" w:sz="4" w:space="0" w:color="auto"/>
            </w:tcBorders>
            <w:shd w:val="clear" w:color="auto" w:fill="F5EA02"/>
            <w:vAlign w:val="bottom"/>
          </w:tcPr>
          <w:p w14:paraId="4088C217" w14:textId="77777777" w:rsidR="00EC1C40" w:rsidRDefault="00000000">
            <w:pPr>
              <w:pStyle w:val="Jin0"/>
              <w:framePr w:w="10272" w:h="14573" w:wrap="none" w:vAnchor="page" w:hAnchor="page" w:x="831" w:y="1565"/>
              <w:spacing w:after="0"/>
              <w:jc w:val="center"/>
              <w:rPr>
                <w:sz w:val="13"/>
                <w:szCs w:val="13"/>
              </w:rPr>
            </w:pPr>
            <w:r>
              <w:rPr>
                <w:rFonts w:ascii="Arial" w:eastAsia="Arial" w:hAnsi="Arial" w:cs="Arial"/>
                <w:b/>
                <w:bCs/>
                <w:sz w:val="13"/>
                <w:szCs w:val="13"/>
              </w:rPr>
              <w:t>2.2.3.1.102</w:t>
            </w:r>
          </w:p>
        </w:tc>
        <w:tc>
          <w:tcPr>
            <w:tcW w:w="4301" w:type="dxa"/>
            <w:tcBorders>
              <w:top w:val="single" w:sz="4" w:space="0" w:color="auto"/>
              <w:left w:val="single" w:sz="4" w:space="0" w:color="auto"/>
            </w:tcBorders>
            <w:shd w:val="clear" w:color="auto" w:fill="F5EA02"/>
            <w:vAlign w:val="bottom"/>
          </w:tcPr>
          <w:p w14:paraId="598ABC9A" w14:textId="77777777" w:rsidR="00EC1C40" w:rsidRDefault="00000000">
            <w:pPr>
              <w:pStyle w:val="Jin0"/>
              <w:framePr w:w="10272" w:h="14573" w:wrap="none" w:vAnchor="page" w:hAnchor="page" w:x="831" w:y="1565"/>
              <w:spacing w:after="0"/>
              <w:ind w:firstLine="200"/>
              <w:rPr>
                <w:sz w:val="13"/>
                <w:szCs w:val="13"/>
              </w:rPr>
            </w:pPr>
            <w:r>
              <w:rPr>
                <w:rFonts w:ascii="Arial" w:eastAsia="Arial" w:hAnsi="Arial" w:cs="Arial"/>
                <w:b/>
                <w:bCs/>
                <w:sz w:val="13"/>
                <w:szCs w:val="13"/>
              </w:rPr>
              <w:t>SO.102 Účelové komunikace sever</w:t>
            </w:r>
          </w:p>
        </w:tc>
        <w:tc>
          <w:tcPr>
            <w:tcW w:w="720" w:type="dxa"/>
            <w:tcBorders>
              <w:top w:val="single" w:sz="4" w:space="0" w:color="auto"/>
              <w:left w:val="single" w:sz="4" w:space="0" w:color="auto"/>
            </w:tcBorders>
            <w:shd w:val="clear" w:color="auto" w:fill="auto"/>
          </w:tcPr>
          <w:p w14:paraId="3A724E64" w14:textId="77777777" w:rsidR="00EC1C40" w:rsidRDefault="00EC1C40">
            <w:pPr>
              <w:framePr w:w="10272" w:h="14573" w:wrap="none" w:vAnchor="page" w:hAnchor="page" w:x="831" w:y="1565"/>
              <w:rPr>
                <w:sz w:val="10"/>
                <w:szCs w:val="10"/>
              </w:rPr>
            </w:pPr>
          </w:p>
        </w:tc>
        <w:tc>
          <w:tcPr>
            <w:tcW w:w="715" w:type="dxa"/>
            <w:tcBorders>
              <w:top w:val="single" w:sz="4" w:space="0" w:color="auto"/>
              <w:left w:val="single" w:sz="4" w:space="0" w:color="auto"/>
            </w:tcBorders>
            <w:shd w:val="clear" w:color="auto" w:fill="F6EDD1"/>
          </w:tcPr>
          <w:p w14:paraId="4E362220" w14:textId="77777777" w:rsidR="00EC1C40" w:rsidRDefault="00EC1C40">
            <w:pPr>
              <w:framePr w:w="10272" w:h="14573" w:wrap="none" w:vAnchor="page" w:hAnchor="page" w:x="831" w:y="1565"/>
              <w:rPr>
                <w:sz w:val="10"/>
                <w:szCs w:val="10"/>
              </w:rPr>
            </w:pPr>
          </w:p>
        </w:tc>
        <w:tc>
          <w:tcPr>
            <w:tcW w:w="3451" w:type="dxa"/>
            <w:tcBorders>
              <w:top w:val="single" w:sz="4" w:space="0" w:color="auto"/>
              <w:left w:val="single" w:sz="4" w:space="0" w:color="auto"/>
              <w:right w:val="single" w:sz="4" w:space="0" w:color="auto"/>
            </w:tcBorders>
            <w:shd w:val="clear" w:color="auto" w:fill="auto"/>
            <w:vAlign w:val="bottom"/>
          </w:tcPr>
          <w:p w14:paraId="0DC810A0" w14:textId="77777777" w:rsidR="00EC1C40" w:rsidRDefault="00000000">
            <w:pPr>
              <w:pStyle w:val="Jin0"/>
              <w:framePr w:w="10272" w:h="14573" w:wrap="none" w:vAnchor="page" w:hAnchor="page" w:x="831" w:y="1565"/>
              <w:spacing w:after="0"/>
              <w:rPr>
                <w:sz w:val="11"/>
                <w:szCs w:val="11"/>
              </w:rPr>
            </w:pPr>
            <w:r>
              <w:rPr>
                <w:sz w:val="11"/>
                <w:szCs w:val="11"/>
              </w:rPr>
              <w:t>v rozsahu dle grafické přílohy - Související infrastruktura</w:t>
            </w:r>
          </w:p>
        </w:tc>
      </w:tr>
      <w:tr w:rsidR="00EC1C40" w14:paraId="22B38A8F" w14:textId="77777777">
        <w:tblPrEx>
          <w:tblCellMar>
            <w:top w:w="0" w:type="dxa"/>
            <w:bottom w:w="0" w:type="dxa"/>
          </w:tblCellMar>
        </w:tblPrEx>
        <w:trPr>
          <w:trHeight w:hRule="exact" w:val="187"/>
        </w:trPr>
        <w:tc>
          <w:tcPr>
            <w:tcW w:w="1085" w:type="dxa"/>
            <w:tcBorders>
              <w:top w:val="single" w:sz="4" w:space="0" w:color="auto"/>
              <w:left w:val="single" w:sz="4" w:space="0" w:color="auto"/>
            </w:tcBorders>
            <w:shd w:val="clear" w:color="auto" w:fill="F5EA02"/>
            <w:vAlign w:val="bottom"/>
          </w:tcPr>
          <w:p w14:paraId="613CB545" w14:textId="77777777" w:rsidR="00EC1C40" w:rsidRDefault="00000000">
            <w:pPr>
              <w:pStyle w:val="Jin0"/>
              <w:framePr w:w="10272" w:h="14573" w:wrap="none" w:vAnchor="page" w:hAnchor="page" w:x="831" w:y="1565"/>
              <w:spacing w:after="0"/>
              <w:jc w:val="center"/>
              <w:rPr>
                <w:sz w:val="13"/>
                <w:szCs w:val="13"/>
              </w:rPr>
            </w:pPr>
            <w:r>
              <w:rPr>
                <w:rFonts w:ascii="Arial" w:eastAsia="Arial" w:hAnsi="Arial" w:cs="Arial"/>
                <w:b/>
                <w:bCs/>
                <w:sz w:val="13"/>
                <w:szCs w:val="13"/>
              </w:rPr>
              <w:t>2.2.3.1.103</w:t>
            </w:r>
          </w:p>
        </w:tc>
        <w:tc>
          <w:tcPr>
            <w:tcW w:w="4301" w:type="dxa"/>
            <w:tcBorders>
              <w:top w:val="single" w:sz="4" w:space="0" w:color="auto"/>
              <w:left w:val="single" w:sz="4" w:space="0" w:color="auto"/>
            </w:tcBorders>
            <w:shd w:val="clear" w:color="auto" w:fill="F5EA02"/>
            <w:vAlign w:val="bottom"/>
          </w:tcPr>
          <w:p w14:paraId="7102EF5B" w14:textId="77777777" w:rsidR="00EC1C40" w:rsidRDefault="00000000">
            <w:pPr>
              <w:pStyle w:val="Jin0"/>
              <w:framePr w:w="10272" w:h="14573" w:wrap="none" w:vAnchor="page" w:hAnchor="page" w:x="831" w:y="1565"/>
              <w:spacing w:after="0"/>
              <w:ind w:firstLine="200"/>
              <w:rPr>
                <w:sz w:val="13"/>
                <w:szCs w:val="13"/>
              </w:rPr>
            </w:pPr>
            <w:r>
              <w:rPr>
                <w:rFonts w:ascii="Arial" w:eastAsia="Arial" w:hAnsi="Arial" w:cs="Arial"/>
                <w:b/>
                <w:bCs/>
                <w:sz w:val="13"/>
                <w:szCs w:val="13"/>
              </w:rPr>
              <w:t>SO.103 Účelová komunikace jih</w:t>
            </w:r>
          </w:p>
        </w:tc>
        <w:tc>
          <w:tcPr>
            <w:tcW w:w="720" w:type="dxa"/>
            <w:tcBorders>
              <w:top w:val="single" w:sz="4" w:space="0" w:color="auto"/>
              <w:left w:val="single" w:sz="4" w:space="0" w:color="auto"/>
            </w:tcBorders>
            <w:shd w:val="clear" w:color="auto" w:fill="F0B9B4"/>
          </w:tcPr>
          <w:p w14:paraId="18A5675A" w14:textId="77777777" w:rsidR="00EC1C40" w:rsidRDefault="00EC1C40">
            <w:pPr>
              <w:framePr w:w="10272" w:h="14573" w:wrap="none" w:vAnchor="page" w:hAnchor="page" w:x="831" w:y="1565"/>
              <w:rPr>
                <w:sz w:val="10"/>
                <w:szCs w:val="10"/>
              </w:rPr>
            </w:pPr>
          </w:p>
        </w:tc>
        <w:tc>
          <w:tcPr>
            <w:tcW w:w="715" w:type="dxa"/>
            <w:tcBorders>
              <w:top w:val="single" w:sz="4" w:space="0" w:color="auto"/>
              <w:left w:val="single" w:sz="4" w:space="0" w:color="auto"/>
            </w:tcBorders>
            <w:shd w:val="clear" w:color="auto" w:fill="auto"/>
          </w:tcPr>
          <w:p w14:paraId="1C7AB3C0" w14:textId="77777777" w:rsidR="00EC1C40" w:rsidRDefault="00EC1C40">
            <w:pPr>
              <w:framePr w:w="10272" w:h="14573" w:wrap="none" w:vAnchor="page" w:hAnchor="page" w:x="831" w:y="1565"/>
              <w:rPr>
                <w:sz w:val="10"/>
                <w:szCs w:val="10"/>
              </w:rPr>
            </w:pPr>
          </w:p>
        </w:tc>
        <w:tc>
          <w:tcPr>
            <w:tcW w:w="3451" w:type="dxa"/>
            <w:tcBorders>
              <w:top w:val="single" w:sz="4" w:space="0" w:color="auto"/>
              <w:left w:val="single" w:sz="4" w:space="0" w:color="auto"/>
              <w:right w:val="single" w:sz="4" w:space="0" w:color="auto"/>
            </w:tcBorders>
            <w:shd w:val="clear" w:color="auto" w:fill="auto"/>
          </w:tcPr>
          <w:p w14:paraId="2A4E8E3D" w14:textId="77777777" w:rsidR="00EC1C40" w:rsidRDefault="00EC1C40">
            <w:pPr>
              <w:framePr w:w="10272" w:h="14573" w:wrap="none" w:vAnchor="page" w:hAnchor="page" w:x="831" w:y="1565"/>
              <w:rPr>
                <w:sz w:val="10"/>
                <w:szCs w:val="10"/>
              </w:rPr>
            </w:pPr>
          </w:p>
        </w:tc>
      </w:tr>
      <w:tr w:rsidR="00EC1C40" w14:paraId="4765E8C9" w14:textId="77777777">
        <w:tblPrEx>
          <w:tblCellMar>
            <w:top w:w="0" w:type="dxa"/>
            <w:bottom w:w="0" w:type="dxa"/>
          </w:tblCellMar>
        </w:tblPrEx>
        <w:trPr>
          <w:trHeight w:hRule="exact" w:val="187"/>
        </w:trPr>
        <w:tc>
          <w:tcPr>
            <w:tcW w:w="1085" w:type="dxa"/>
            <w:tcBorders>
              <w:top w:val="single" w:sz="4" w:space="0" w:color="auto"/>
              <w:left w:val="single" w:sz="4" w:space="0" w:color="auto"/>
            </w:tcBorders>
            <w:shd w:val="clear" w:color="auto" w:fill="F5EA02"/>
            <w:vAlign w:val="bottom"/>
          </w:tcPr>
          <w:p w14:paraId="5CD765F7" w14:textId="77777777" w:rsidR="00EC1C40" w:rsidRDefault="00000000">
            <w:pPr>
              <w:pStyle w:val="Jin0"/>
              <w:framePr w:w="10272" w:h="14573" w:wrap="none" w:vAnchor="page" w:hAnchor="page" w:x="831" w:y="1565"/>
              <w:spacing w:after="0"/>
              <w:jc w:val="center"/>
              <w:rPr>
                <w:sz w:val="13"/>
                <w:szCs w:val="13"/>
              </w:rPr>
            </w:pPr>
            <w:r>
              <w:rPr>
                <w:rFonts w:ascii="Arial" w:eastAsia="Arial" w:hAnsi="Arial" w:cs="Arial"/>
                <w:b/>
                <w:bCs/>
                <w:sz w:val="13"/>
                <w:szCs w:val="13"/>
              </w:rPr>
              <w:t>2.2.3.1.104</w:t>
            </w:r>
          </w:p>
        </w:tc>
        <w:tc>
          <w:tcPr>
            <w:tcW w:w="4301" w:type="dxa"/>
            <w:tcBorders>
              <w:top w:val="single" w:sz="4" w:space="0" w:color="auto"/>
              <w:left w:val="single" w:sz="4" w:space="0" w:color="auto"/>
            </w:tcBorders>
            <w:shd w:val="clear" w:color="auto" w:fill="F5EA02"/>
            <w:vAlign w:val="bottom"/>
          </w:tcPr>
          <w:p w14:paraId="4E6FA2A6" w14:textId="77777777" w:rsidR="00EC1C40" w:rsidRDefault="00000000">
            <w:pPr>
              <w:pStyle w:val="Jin0"/>
              <w:framePr w:w="10272" w:h="14573" w:wrap="none" w:vAnchor="page" w:hAnchor="page" w:x="831" w:y="1565"/>
              <w:spacing w:after="0"/>
              <w:ind w:firstLine="200"/>
              <w:rPr>
                <w:sz w:val="13"/>
                <w:szCs w:val="13"/>
              </w:rPr>
            </w:pPr>
            <w:r>
              <w:rPr>
                <w:rFonts w:ascii="Arial" w:eastAsia="Arial" w:hAnsi="Arial" w:cs="Arial"/>
                <w:b/>
                <w:bCs/>
                <w:sz w:val="13"/>
                <w:szCs w:val="13"/>
              </w:rPr>
              <w:t>SO.104 Točna bus</w:t>
            </w:r>
          </w:p>
        </w:tc>
        <w:tc>
          <w:tcPr>
            <w:tcW w:w="720" w:type="dxa"/>
            <w:tcBorders>
              <w:top w:val="single" w:sz="4" w:space="0" w:color="auto"/>
              <w:left w:val="single" w:sz="4" w:space="0" w:color="auto"/>
            </w:tcBorders>
            <w:shd w:val="clear" w:color="auto" w:fill="F0B9B4"/>
          </w:tcPr>
          <w:p w14:paraId="2BBFA60E" w14:textId="77777777" w:rsidR="00EC1C40" w:rsidRDefault="00EC1C40">
            <w:pPr>
              <w:framePr w:w="10272" w:h="14573" w:wrap="none" w:vAnchor="page" w:hAnchor="page" w:x="831" w:y="1565"/>
              <w:rPr>
                <w:sz w:val="10"/>
                <w:szCs w:val="10"/>
              </w:rPr>
            </w:pPr>
          </w:p>
        </w:tc>
        <w:tc>
          <w:tcPr>
            <w:tcW w:w="715" w:type="dxa"/>
            <w:tcBorders>
              <w:top w:val="single" w:sz="4" w:space="0" w:color="auto"/>
              <w:left w:val="single" w:sz="4" w:space="0" w:color="auto"/>
            </w:tcBorders>
            <w:shd w:val="clear" w:color="auto" w:fill="auto"/>
          </w:tcPr>
          <w:p w14:paraId="72522234" w14:textId="77777777" w:rsidR="00EC1C40" w:rsidRDefault="00EC1C40">
            <w:pPr>
              <w:framePr w:w="10272" w:h="14573" w:wrap="none" w:vAnchor="page" w:hAnchor="page" w:x="831" w:y="1565"/>
              <w:rPr>
                <w:sz w:val="10"/>
                <w:szCs w:val="10"/>
              </w:rPr>
            </w:pPr>
          </w:p>
        </w:tc>
        <w:tc>
          <w:tcPr>
            <w:tcW w:w="3451" w:type="dxa"/>
            <w:tcBorders>
              <w:top w:val="single" w:sz="4" w:space="0" w:color="auto"/>
              <w:left w:val="single" w:sz="4" w:space="0" w:color="auto"/>
              <w:right w:val="single" w:sz="4" w:space="0" w:color="auto"/>
            </w:tcBorders>
            <w:shd w:val="clear" w:color="auto" w:fill="auto"/>
            <w:vAlign w:val="bottom"/>
          </w:tcPr>
          <w:p w14:paraId="53F70ACB" w14:textId="77777777" w:rsidR="00EC1C40" w:rsidRDefault="00000000">
            <w:pPr>
              <w:pStyle w:val="Jin0"/>
              <w:framePr w:w="10272" w:h="14573" w:wrap="none" w:vAnchor="page" w:hAnchor="page" w:x="831" w:y="1565"/>
              <w:spacing w:after="0"/>
              <w:rPr>
                <w:sz w:val="11"/>
                <w:szCs w:val="11"/>
              </w:rPr>
            </w:pPr>
            <w:r>
              <w:rPr>
                <w:sz w:val="11"/>
                <w:szCs w:val="11"/>
              </w:rPr>
              <w:t xml:space="preserve">mimo sjezdy na </w:t>
            </w:r>
            <w:proofErr w:type="spellStart"/>
            <w:r>
              <w:rPr>
                <w:sz w:val="11"/>
                <w:szCs w:val="11"/>
              </w:rPr>
              <w:t>p.č</w:t>
            </w:r>
            <w:proofErr w:type="spellEnd"/>
            <w:r>
              <w:rPr>
                <w:sz w:val="11"/>
                <w:szCs w:val="11"/>
              </w:rPr>
              <w:t>. 3680/3 a 3680/6</w:t>
            </w:r>
          </w:p>
        </w:tc>
      </w:tr>
      <w:tr w:rsidR="00EC1C40" w14:paraId="7B2D683C" w14:textId="77777777">
        <w:tblPrEx>
          <w:tblCellMar>
            <w:top w:w="0" w:type="dxa"/>
            <w:bottom w:w="0" w:type="dxa"/>
          </w:tblCellMar>
        </w:tblPrEx>
        <w:trPr>
          <w:trHeight w:hRule="exact" w:val="187"/>
        </w:trPr>
        <w:tc>
          <w:tcPr>
            <w:tcW w:w="1085" w:type="dxa"/>
            <w:tcBorders>
              <w:top w:val="single" w:sz="4" w:space="0" w:color="auto"/>
              <w:left w:val="single" w:sz="4" w:space="0" w:color="auto"/>
            </w:tcBorders>
            <w:shd w:val="clear" w:color="auto" w:fill="auto"/>
            <w:vAlign w:val="bottom"/>
          </w:tcPr>
          <w:p w14:paraId="2BA03519" w14:textId="77777777" w:rsidR="00EC1C40" w:rsidRDefault="00000000">
            <w:pPr>
              <w:pStyle w:val="Jin0"/>
              <w:framePr w:w="10272" w:h="14573" w:wrap="none" w:vAnchor="page" w:hAnchor="page" w:x="831" w:y="1565"/>
              <w:spacing w:after="0"/>
              <w:ind w:firstLine="200"/>
              <w:rPr>
                <w:sz w:val="13"/>
                <w:szCs w:val="13"/>
              </w:rPr>
            </w:pPr>
            <w:r>
              <w:rPr>
                <w:rFonts w:ascii="Arial" w:eastAsia="Arial" w:hAnsi="Arial" w:cs="Arial"/>
                <w:sz w:val="13"/>
                <w:szCs w:val="13"/>
              </w:rPr>
              <w:t>2.2.3.1.105</w:t>
            </w:r>
          </w:p>
        </w:tc>
        <w:tc>
          <w:tcPr>
            <w:tcW w:w="4301" w:type="dxa"/>
            <w:tcBorders>
              <w:top w:val="single" w:sz="4" w:space="0" w:color="auto"/>
              <w:left w:val="single" w:sz="4" w:space="0" w:color="auto"/>
            </w:tcBorders>
            <w:shd w:val="clear" w:color="auto" w:fill="auto"/>
            <w:vAlign w:val="bottom"/>
          </w:tcPr>
          <w:p w14:paraId="3C21BDE6" w14:textId="77777777" w:rsidR="00EC1C40" w:rsidRDefault="00000000">
            <w:pPr>
              <w:pStyle w:val="Jin0"/>
              <w:framePr w:w="10272" w:h="14573" w:wrap="none" w:vAnchor="page" w:hAnchor="page" w:x="831" w:y="1565"/>
              <w:spacing w:after="0"/>
              <w:ind w:firstLine="200"/>
              <w:rPr>
                <w:sz w:val="13"/>
                <w:szCs w:val="13"/>
              </w:rPr>
            </w:pPr>
            <w:r>
              <w:rPr>
                <w:rFonts w:ascii="Arial" w:eastAsia="Arial" w:hAnsi="Arial" w:cs="Arial"/>
                <w:sz w:val="13"/>
                <w:szCs w:val="13"/>
              </w:rPr>
              <w:t>SO.105 Pozemní parkoviště</w:t>
            </w:r>
          </w:p>
        </w:tc>
        <w:tc>
          <w:tcPr>
            <w:tcW w:w="720" w:type="dxa"/>
            <w:tcBorders>
              <w:top w:val="single" w:sz="4" w:space="0" w:color="auto"/>
              <w:left w:val="single" w:sz="4" w:space="0" w:color="auto"/>
            </w:tcBorders>
            <w:shd w:val="clear" w:color="auto" w:fill="auto"/>
          </w:tcPr>
          <w:p w14:paraId="757EF4C5" w14:textId="77777777" w:rsidR="00EC1C40" w:rsidRDefault="00EC1C40">
            <w:pPr>
              <w:framePr w:w="10272" w:h="14573" w:wrap="none" w:vAnchor="page" w:hAnchor="page" w:x="831" w:y="1565"/>
              <w:rPr>
                <w:sz w:val="10"/>
                <w:szCs w:val="10"/>
              </w:rPr>
            </w:pPr>
          </w:p>
        </w:tc>
        <w:tc>
          <w:tcPr>
            <w:tcW w:w="715" w:type="dxa"/>
            <w:tcBorders>
              <w:top w:val="single" w:sz="4" w:space="0" w:color="auto"/>
              <w:left w:val="single" w:sz="4" w:space="0" w:color="auto"/>
            </w:tcBorders>
            <w:shd w:val="clear" w:color="auto" w:fill="auto"/>
          </w:tcPr>
          <w:p w14:paraId="22813011" w14:textId="77777777" w:rsidR="00EC1C40" w:rsidRDefault="00EC1C40">
            <w:pPr>
              <w:framePr w:w="10272" w:h="14573" w:wrap="none" w:vAnchor="page" w:hAnchor="page" w:x="831" w:y="1565"/>
              <w:rPr>
                <w:sz w:val="10"/>
                <w:szCs w:val="10"/>
              </w:rPr>
            </w:pPr>
          </w:p>
        </w:tc>
        <w:tc>
          <w:tcPr>
            <w:tcW w:w="3451" w:type="dxa"/>
            <w:tcBorders>
              <w:top w:val="single" w:sz="4" w:space="0" w:color="auto"/>
              <w:left w:val="single" w:sz="4" w:space="0" w:color="auto"/>
              <w:right w:val="single" w:sz="4" w:space="0" w:color="auto"/>
            </w:tcBorders>
            <w:shd w:val="clear" w:color="auto" w:fill="auto"/>
          </w:tcPr>
          <w:p w14:paraId="511DB173" w14:textId="77777777" w:rsidR="00EC1C40" w:rsidRDefault="00EC1C40">
            <w:pPr>
              <w:framePr w:w="10272" w:h="14573" w:wrap="none" w:vAnchor="page" w:hAnchor="page" w:x="831" w:y="1565"/>
              <w:rPr>
                <w:sz w:val="10"/>
                <w:szCs w:val="10"/>
              </w:rPr>
            </w:pPr>
          </w:p>
        </w:tc>
      </w:tr>
      <w:tr w:rsidR="00EC1C40" w14:paraId="4D2D2CA1" w14:textId="77777777">
        <w:tblPrEx>
          <w:tblCellMar>
            <w:top w:w="0" w:type="dxa"/>
            <w:bottom w:w="0" w:type="dxa"/>
          </w:tblCellMar>
        </w:tblPrEx>
        <w:trPr>
          <w:trHeight w:hRule="exact" w:val="187"/>
        </w:trPr>
        <w:tc>
          <w:tcPr>
            <w:tcW w:w="1085" w:type="dxa"/>
            <w:tcBorders>
              <w:top w:val="single" w:sz="4" w:space="0" w:color="auto"/>
              <w:left w:val="single" w:sz="4" w:space="0" w:color="auto"/>
            </w:tcBorders>
            <w:shd w:val="clear" w:color="auto" w:fill="auto"/>
            <w:vAlign w:val="bottom"/>
          </w:tcPr>
          <w:p w14:paraId="1804AF60" w14:textId="77777777" w:rsidR="00EC1C40" w:rsidRDefault="00000000">
            <w:pPr>
              <w:pStyle w:val="Jin0"/>
              <w:framePr w:w="10272" w:h="14573" w:wrap="none" w:vAnchor="page" w:hAnchor="page" w:x="831" w:y="1565"/>
              <w:spacing w:after="0"/>
              <w:ind w:firstLine="200"/>
              <w:rPr>
                <w:sz w:val="13"/>
                <w:szCs w:val="13"/>
              </w:rPr>
            </w:pPr>
            <w:r>
              <w:rPr>
                <w:rFonts w:ascii="Arial" w:eastAsia="Arial" w:hAnsi="Arial" w:cs="Arial"/>
                <w:sz w:val="13"/>
                <w:szCs w:val="13"/>
              </w:rPr>
              <w:t>2.2.3.1.106</w:t>
            </w:r>
          </w:p>
        </w:tc>
        <w:tc>
          <w:tcPr>
            <w:tcW w:w="4301" w:type="dxa"/>
            <w:tcBorders>
              <w:top w:val="single" w:sz="4" w:space="0" w:color="auto"/>
              <w:left w:val="single" w:sz="4" w:space="0" w:color="auto"/>
            </w:tcBorders>
            <w:shd w:val="clear" w:color="auto" w:fill="auto"/>
            <w:vAlign w:val="bottom"/>
          </w:tcPr>
          <w:p w14:paraId="06C8A6CF" w14:textId="77777777" w:rsidR="00EC1C40" w:rsidRDefault="00000000">
            <w:pPr>
              <w:pStyle w:val="Jin0"/>
              <w:framePr w:w="10272" w:h="14573" w:wrap="none" w:vAnchor="page" w:hAnchor="page" w:x="831" w:y="1565"/>
              <w:spacing w:after="0"/>
              <w:ind w:firstLine="200"/>
              <w:rPr>
                <w:sz w:val="13"/>
                <w:szCs w:val="13"/>
              </w:rPr>
            </w:pPr>
            <w:r>
              <w:rPr>
                <w:rFonts w:ascii="Arial" w:eastAsia="Arial" w:hAnsi="Arial" w:cs="Arial"/>
                <w:sz w:val="13"/>
                <w:szCs w:val="13"/>
              </w:rPr>
              <w:t>SO.106 Rozptylové plochy pěší</w:t>
            </w:r>
          </w:p>
        </w:tc>
        <w:tc>
          <w:tcPr>
            <w:tcW w:w="720" w:type="dxa"/>
            <w:tcBorders>
              <w:top w:val="single" w:sz="4" w:space="0" w:color="auto"/>
              <w:left w:val="single" w:sz="4" w:space="0" w:color="auto"/>
            </w:tcBorders>
            <w:shd w:val="clear" w:color="auto" w:fill="auto"/>
          </w:tcPr>
          <w:p w14:paraId="5AB3F7C3" w14:textId="77777777" w:rsidR="00EC1C40" w:rsidRDefault="00EC1C40">
            <w:pPr>
              <w:framePr w:w="10272" w:h="14573" w:wrap="none" w:vAnchor="page" w:hAnchor="page" w:x="831" w:y="1565"/>
              <w:rPr>
                <w:sz w:val="10"/>
                <w:szCs w:val="10"/>
              </w:rPr>
            </w:pPr>
          </w:p>
        </w:tc>
        <w:tc>
          <w:tcPr>
            <w:tcW w:w="715" w:type="dxa"/>
            <w:tcBorders>
              <w:top w:val="single" w:sz="4" w:space="0" w:color="auto"/>
              <w:left w:val="single" w:sz="4" w:space="0" w:color="auto"/>
            </w:tcBorders>
            <w:shd w:val="clear" w:color="auto" w:fill="auto"/>
          </w:tcPr>
          <w:p w14:paraId="4534E641" w14:textId="77777777" w:rsidR="00EC1C40" w:rsidRDefault="00EC1C40">
            <w:pPr>
              <w:framePr w:w="10272" w:h="14573" w:wrap="none" w:vAnchor="page" w:hAnchor="page" w:x="831" w:y="1565"/>
              <w:rPr>
                <w:sz w:val="10"/>
                <w:szCs w:val="10"/>
              </w:rPr>
            </w:pPr>
          </w:p>
        </w:tc>
        <w:tc>
          <w:tcPr>
            <w:tcW w:w="3451" w:type="dxa"/>
            <w:tcBorders>
              <w:top w:val="single" w:sz="4" w:space="0" w:color="auto"/>
              <w:left w:val="single" w:sz="4" w:space="0" w:color="auto"/>
              <w:right w:val="single" w:sz="4" w:space="0" w:color="auto"/>
            </w:tcBorders>
            <w:shd w:val="clear" w:color="auto" w:fill="auto"/>
          </w:tcPr>
          <w:p w14:paraId="19723377" w14:textId="77777777" w:rsidR="00EC1C40" w:rsidRDefault="00EC1C40">
            <w:pPr>
              <w:framePr w:w="10272" w:h="14573" w:wrap="none" w:vAnchor="page" w:hAnchor="page" w:x="831" w:y="1565"/>
              <w:rPr>
                <w:sz w:val="10"/>
                <w:szCs w:val="10"/>
              </w:rPr>
            </w:pPr>
          </w:p>
        </w:tc>
      </w:tr>
      <w:tr w:rsidR="00EC1C40" w14:paraId="4C523C69" w14:textId="77777777">
        <w:tblPrEx>
          <w:tblCellMar>
            <w:top w:w="0" w:type="dxa"/>
            <w:bottom w:w="0" w:type="dxa"/>
          </w:tblCellMar>
        </w:tblPrEx>
        <w:trPr>
          <w:trHeight w:hRule="exact" w:val="187"/>
        </w:trPr>
        <w:tc>
          <w:tcPr>
            <w:tcW w:w="1085" w:type="dxa"/>
            <w:tcBorders>
              <w:top w:val="single" w:sz="4" w:space="0" w:color="auto"/>
              <w:left w:val="single" w:sz="4" w:space="0" w:color="auto"/>
            </w:tcBorders>
            <w:shd w:val="clear" w:color="auto" w:fill="auto"/>
            <w:vAlign w:val="bottom"/>
          </w:tcPr>
          <w:p w14:paraId="5915F281" w14:textId="77777777" w:rsidR="00EC1C40" w:rsidRDefault="00000000">
            <w:pPr>
              <w:pStyle w:val="Jin0"/>
              <w:framePr w:w="10272" w:h="14573" w:wrap="none" w:vAnchor="page" w:hAnchor="page" w:x="831" w:y="1565"/>
              <w:spacing w:after="0"/>
              <w:jc w:val="center"/>
              <w:rPr>
                <w:sz w:val="13"/>
                <w:szCs w:val="13"/>
              </w:rPr>
            </w:pPr>
            <w:r>
              <w:rPr>
                <w:rFonts w:ascii="Arial" w:eastAsia="Arial" w:hAnsi="Arial" w:cs="Arial"/>
                <w:sz w:val="13"/>
                <w:szCs w:val="13"/>
              </w:rPr>
              <w:t>2.2.3.1.107</w:t>
            </w:r>
          </w:p>
        </w:tc>
        <w:tc>
          <w:tcPr>
            <w:tcW w:w="4301" w:type="dxa"/>
            <w:tcBorders>
              <w:top w:val="single" w:sz="4" w:space="0" w:color="auto"/>
              <w:left w:val="single" w:sz="4" w:space="0" w:color="auto"/>
            </w:tcBorders>
            <w:shd w:val="clear" w:color="auto" w:fill="auto"/>
            <w:vAlign w:val="bottom"/>
          </w:tcPr>
          <w:p w14:paraId="3A052CC9" w14:textId="77777777" w:rsidR="00EC1C40" w:rsidRDefault="00000000">
            <w:pPr>
              <w:pStyle w:val="Jin0"/>
              <w:framePr w:w="10272" w:h="14573" w:wrap="none" w:vAnchor="page" w:hAnchor="page" w:x="831" w:y="1565"/>
              <w:spacing w:after="0"/>
              <w:ind w:firstLine="200"/>
              <w:rPr>
                <w:sz w:val="13"/>
                <w:szCs w:val="13"/>
              </w:rPr>
            </w:pPr>
            <w:r>
              <w:rPr>
                <w:rFonts w:ascii="Arial" w:eastAsia="Arial" w:hAnsi="Arial" w:cs="Arial"/>
                <w:sz w:val="13"/>
                <w:szCs w:val="13"/>
              </w:rPr>
              <w:t>SO.107 Plochy park</w:t>
            </w:r>
          </w:p>
        </w:tc>
        <w:tc>
          <w:tcPr>
            <w:tcW w:w="720" w:type="dxa"/>
            <w:tcBorders>
              <w:top w:val="single" w:sz="4" w:space="0" w:color="auto"/>
              <w:left w:val="single" w:sz="4" w:space="0" w:color="auto"/>
            </w:tcBorders>
            <w:shd w:val="clear" w:color="auto" w:fill="auto"/>
          </w:tcPr>
          <w:p w14:paraId="7393E066" w14:textId="77777777" w:rsidR="00EC1C40" w:rsidRDefault="00EC1C40">
            <w:pPr>
              <w:framePr w:w="10272" w:h="14573" w:wrap="none" w:vAnchor="page" w:hAnchor="page" w:x="831" w:y="1565"/>
              <w:rPr>
                <w:sz w:val="10"/>
                <w:szCs w:val="10"/>
              </w:rPr>
            </w:pPr>
          </w:p>
        </w:tc>
        <w:tc>
          <w:tcPr>
            <w:tcW w:w="715" w:type="dxa"/>
            <w:tcBorders>
              <w:top w:val="single" w:sz="4" w:space="0" w:color="auto"/>
              <w:left w:val="single" w:sz="4" w:space="0" w:color="auto"/>
            </w:tcBorders>
            <w:shd w:val="clear" w:color="auto" w:fill="auto"/>
          </w:tcPr>
          <w:p w14:paraId="0B14B0E7" w14:textId="77777777" w:rsidR="00EC1C40" w:rsidRDefault="00EC1C40">
            <w:pPr>
              <w:framePr w:w="10272" w:h="14573" w:wrap="none" w:vAnchor="page" w:hAnchor="page" w:x="831" w:y="1565"/>
              <w:rPr>
                <w:sz w:val="10"/>
                <w:szCs w:val="10"/>
              </w:rPr>
            </w:pPr>
          </w:p>
        </w:tc>
        <w:tc>
          <w:tcPr>
            <w:tcW w:w="3451" w:type="dxa"/>
            <w:tcBorders>
              <w:top w:val="single" w:sz="4" w:space="0" w:color="auto"/>
              <w:left w:val="single" w:sz="4" w:space="0" w:color="auto"/>
              <w:right w:val="single" w:sz="4" w:space="0" w:color="auto"/>
            </w:tcBorders>
            <w:shd w:val="clear" w:color="auto" w:fill="auto"/>
          </w:tcPr>
          <w:p w14:paraId="33D34D88" w14:textId="77777777" w:rsidR="00EC1C40" w:rsidRDefault="00EC1C40">
            <w:pPr>
              <w:framePr w:w="10272" w:h="14573" w:wrap="none" w:vAnchor="page" w:hAnchor="page" w:x="831" w:y="1565"/>
              <w:rPr>
                <w:sz w:val="10"/>
                <w:szCs w:val="10"/>
              </w:rPr>
            </w:pPr>
          </w:p>
        </w:tc>
      </w:tr>
      <w:tr w:rsidR="00EC1C40" w14:paraId="2ADE233C" w14:textId="77777777">
        <w:tblPrEx>
          <w:tblCellMar>
            <w:top w:w="0" w:type="dxa"/>
            <w:bottom w:w="0" w:type="dxa"/>
          </w:tblCellMar>
        </w:tblPrEx>
        <w:trPr>
          <w:trHeight w:hRule="exact" w:val="182"/>
        </w:trPr>
        <w:tc>
          <w:tcPr>
            <w:tcW w:w="1085" w:type="dxa"/>
            <w:tcBorders>
              <w:top w:val="single" w:sz="4" w:space="0" w:color="auto"/>
              <w:left w:val="single" w:sz="4" w:space="0" w:color="auto"/>
            </w:tcBorders>
            <w:shd w:val="clear" w:color="auto" w:fill="F5EA02"/>
            <w:vAlign w:val="bottom"/>
          </w:tcPr>
          <w:p w14:paraId="09E47877" w14:textId="77777777" w:rsidR="00EC1C40" w:rsidRDefault="00000000">
            <w:pPr>
              <w:pStyle w:val="Jin0"/>
              <w:framePr w:w="10272" w:h="14573" w:wrap="none" w:vAnchor="page" w:hAnchor="page" w:x="831" w:y="1565"/>
              <w:spacing w:after="0"/>
              <w:ind w:firstLine="200"/>
              <w:rPr>
                <w:sz w:val="13"/>
                <w:szCs w:val="13"/>
              </w:rPr>
            </w:pPr>
            <w:r>
              <w:rPr>
                <w:rFonts w:ascii="Arial" w:eastAsia="Arial" w:hAnsi="Arial" w:cs="Arial"/>
                <w:b/>
                <w:bCs/>
                <w:sz w:val="13"/>
                <w:szCs w:val="13"/>
              </w:rPr>
              <w:t>2.2.3.1.108</w:t>
            </w:r>
          </w:p>
        </w:tc>
        <w:tc>
          <w:tcPr>
            <w:tcW w:w="4301" w:type="dxa"/>
            <w:tcBorders>
              <w:top w:val="single" w:sz="4" w:space="0" w:color="auto"/>
              <w:left w:val="single" w:sz="4" w:space="0" w:color="auto"/>
            </w:tcBorders>
            <w:shd w:val="clear" w:color="auto" w:fill="F5EA02"/>
            <w:vAlign w:val="bottom"/>
          </w:tcPr>
          <w:p w14:paraId="1CEE2B6C" w14:textId="77777777" w:rsidR="00EC1C40" w:rsidRDefault="00000000">
            <w:pPr>
              <w:pStyle w:val="Jin0"/>
              <w:framePr w:w="10272" w:h="14573" w:wrap="none" w:vAnchor="page" w:hAnchor="page" w:x="831" w:y="1565"/>
              <w:spacing w:after="0"/>
              <w:ind w:firstLine="200"/>
              <w:rPr>
                <w:sz w:val="13"/>
                <w:szCs w:val="13"/>
              </w:rPr>
            </w:pPr>
            <w:r>
              <w:rPr>
                <w:rFonts w:ascii="Arial" w:eastAsia="Arial" w:hAnsi="Arial" w:cs="Arial"/>
                <w:b/>
                <w:bCs/>
                <w:sz w:val="13"/>
                <w:szCs w:val="13"/>
              </w:rPr>
              <w:t>SO.108 Cyklostezka sever</w:t>
            </w:r>
          </w:p>
        </w:tc>
        <w:tc>
          <w:tcPr>
            <w:tcW w:w="720" w:type="dxa"/>
            <w:tcBorders>
              <w:top w:val="single" w:sz="4" w:space="0" w:color="auto"/>
              <w:left w:val="single" w:sz="4" w:space="0" w:color="auto"/>
            </w:tcBorders>
            <w:shd w:val="clear" w:color="auto" w:fill="F0B9B4"/>
          </w:tcPr>
          <w:p w14:paraId="78049EEE" w14:textId="77777777" w:rsidR="00EC1C40" w:rsidRDefault="00EC1C40">
            <w:pPr>
              <w:framePr w:w="10272" w:h="14573" w:wrap="none" w:vAnchor="page" w:hAnchor="page" w:x="831" w:y="1565"/>
              <w:rPr>
                <w:sz w:val="10"/>
                <w:szCs w:val="10"/>
              </w:rPr>
            </w:pPr>
          </w:p>
        </w:tc>
        <w:tc>
          <w:tcPr>
            <w:tcW w:w="715" w:type="dxa"/>
            <w:tcBorders>
              <w:top w:val="single" w:sz="4" w:space="0" w:color="auto"/>
              <w:left w:val="single" w:sz="4" w:space="0" w:color="auto"/>
            </w:tcBorders>
            <w:shd w:val="clear" w:color="auto" w:fill="auto"/>
          </w:tcPr>
          <w:p w14:paraId="6452025A" w14:textId="77777777" w:rsidR="00EC1C40" w:rsidRDefault="00EC1C40">
            <w:pPr>
              <w:framePr w:w="10272" w:h="14573" w:wrap="none" w:vAnchor="page" w:hAnchor="page" w:x="831" w:y="1565"/>
              <w:rPr>
                <w:sz w:val="10"/>
                <w:szCs w:val="10"/>
              </w:rPr>
            </w:pPr>
          </w:p>
        </w:tc>
        <w:tc>
          <w:tcPr>
            <w:tcW w:w="3451" w:type="dxa"/>
            <w:tcBorders>
              <w:top w:val="single" w:sz="4" w:space="0" w:color="auto"/>
              <w:left w:val="single" w:sz="4" w:space="0" w:color="auto"/>
              <w:right w:val="single" w:sz="4" w:space="0" w:color="auto"/>
            </w:tcBorders>
            <w:shd w:val="clear" w:color="auto" w:fill="auto"/>
          </w:tcPr>
          <w:p w14:paraId="39311422" w14:textId="77777777" w:rsidR="00EC1C40" w:rsidRDefault="00EC1C40">
            <w:pPr>
              <w:framePr w:w="10272" w:h="14573" w:wrap="none" w:vAnchor="page" w:hAnchor="page" w:x="831" w:y="1565"/>
              <w:rPr>
                <w:sz w:val="10"/>
                <w:szCs w:val="10"/>
              </w:rPr>
            </w:pPr>
          </w:p>
        </w:tc>
      </w:tr>
      <w:tr w:rsidR="00EC1C40" w14:paraId="65CA85CA" w14:textId="77777777">
        <w:tblPrEx>
          <w:tblCellMar>
            <w:top w:w="0" w:type="dxa"/>
            <w:bottom w:w="0" w:type="dxa"/>
          </w:tblCellMar>
        </w:tblPrEx>
        <w:trPr>
          <w:trHeight w:hRule="exact" w:val="187"/>
        </w:trPr>
        <w:tc>
          <w:tcPr>
            <w:tcW w:w="1085" w:type="dxa"/>
            <w:tcBorders>
              <w:top w:val="single" w:sz="4" w:space="0" w:color="auto"/>
              <w:left w:val="single" w:sz="4" w:space="0" w:color="auto"/>
            </w:tcBorders>
            <w:shd w:val="clear" w:color="auto" w:fill="F5EA02"/>
            <w:vAlign w:val="bottom"/>
          </w:tcPr>
          <w:p w14:paraId="26FA8832" w14:textId="77777777" w:rsidR="00EC1C40" w:rsidRDefault="00000000">
            <w:pPr>
              <w:pStyle w:val="Jin0"/>
              <w:framePr w:w="10272" w:h="14573" w:wrap="none" w:vAnchor="page" w:hAnchor="page" w:x="831" w:y="1565"/>
              <w:spacing w:after="0"/>
              <w:ind w:firstLine="200"/>
              <w:rPr>
                <w:sz w:val="13"/>
                <w:szCs w:val="13"/>
              </w:rPr>
            </w:pPr>
            <w:r>
              <w:rPr>
                <w:rFonts w:ascii="Arial" w:eastAsia="Arial" w:hAnsi="Arial" w:cs="Arial"/>
                <w:b/>
                <w:bCs/>
                <w:sz w:val="13"/>
                <w:szCs w:val="13"/>
              </w:rPr>
              <w:t>2.2.3.1.220</w:t>
            </w:r>
          </w:p>
        </w:tc>
        <w:tc>
          <w:tcPr>
            <w:tcW w:w="4301" w:type="dxa"/>
            <w:tcBorders>
              <w:top w:val="single" w:sz="4" w:space="0" w:color="auto"/>
              <w:left w:val="single" w:sz="4" w:space="0" w:color="auto"/>
            </w:tcBorders>
            <w:shd w:val="clear" w:color="auto" w:fill="F5EA02"/>
            <w:vAlign w:val="bottom"/>
          </w:tcPr>
          <w:p w14:paraId="7447A001" w14:textId="77777777" w:rsidR="00EC1C40" w:rsidRDefault="00000000">
            <w:pPr>
              <w:pStyle w:val="Jin0"/>
              <w:framePr w:w="10272" w:h="14573" w:wrap="none" w:vAnchor="page" w:hAnchor="page" w:x="831" w:y="1565"/>
              <w:spacing w:after="0"/>
              <w:ind w:firstLine="200"/>
              <w:rPr>
                <w:sz w:val="13"/>
                <w:szCs w:val="13"/>
              </w:rPr>
            </w:pPr>
            <w:r>
              <w:rPr>
                <w:rFonts w:ascii="Arial" w:eastAsia="Arial" w:hAnsi="Arial" w:cs="Arial"/>
                <w:b/>
                <w:bCs/>
                <w:sz w:val="13"/>
                <w:szCs w:val="13"/>
              </w:rPr>
              <w:t>SO.120 Most přes brozanský odpad</w:t>
            </w:r>
          </w:p>
        </w:tc>
        <w:tc>
          <w:tcPr>
            <w:tcW w:w="720" w:type="dxa"/>
            <w:tcBorders>
              <w:top w:val="single" w:sz="4" w:space="0" w:color="auto"/>
              <w:left w:val="single" w:sz="4" w:space="0" w:color="auto"/>
            </w:tcBorders>
            <w:shd w:val="clear" w:color="auto" w:fill="F0B9B4"/>
          </w:tcPr>
          <w:p w14:paraId="7AD24F41" w14:textId="77777777" w:rsidR="00EC1C40" w:rsidRDefault="00EC1C40">
            <w:pPr>
              <w:framePr w:w="10272" w:h="14573" w:wrap="none" w:vAnchor="page" w:hAnchor="page" w:x="831" w:y="1565"/>
              <w:rPr>
                <w:sz w:val="10"/>
                <w:szCs w:val="10"/>
              </w:rPr>
            </w:pPr>
          </w:p>
        </w:tc>
        <w:tc>
          <w:tcPr>
            <w:tcW w:w="715" w:type="dxa"/>
            <w:tcBorders>
              <w:top w:val="single" w:sz="4" w:space="0" w:color="auto"/>
              <w:left w:val="single" w:sz="4" w:space="0" w:color="auto"/>
            </w:tcBorders>
            <w:shd w:val="clear" w:color="auto" w:fill="auto"/>
          </w:tcPr>
          <w:p w14:paraId="71376B6B" w14:textId="77777777" w:rsidR="00EC1C40" w:rsidRDefault="00EC1C40">
            <w:pPr>
              <w:framePr w:w="10272" w:h="14573" w:wrap="none" w:vAnchor="page" w:hAnchor="page" w:x="831" w:y="1565"/>
              <w:rPr>
                <w:sz w:val="10"/>
                <w:szCs w:val="10"/>
              </w:rPr>
            </w:pPr>
          </w:p>
        </w:tc>
        <w:tc>
          <w:tcPr>
            <w:tcW w:w="3451" w:type="dxa"/>
            <w:tcBorders>
              <w:top w:val="single" w:sz="4" w:space="0" w:color="auto"/>
              <w:left w:val="single" w:sz="4" w:space="0" w:color="auto"/>
              <w:right w:val="single" w:sz="4" w:space="0" w:color="auto"/>
            </w:tcBorders>
            <w:shd w:val="clear" w:color="auto" w:fill="auto"/>
            <w:vAlign w:val="bottom"/>
          </w:tcPr>
          <w:p w14:paraId="7620DCFB" w14:textId="77777777" w:rsidR="00EC1C40" w:rsidRDefault="00000000">
            <w:pPr>
              <w:pStyle w:val="Jin0"/>
              <w:framePr w:w="10272" w:h="14573" w:wrap="none" w:vAnchor="page" w:hAnchor="page" w:x="831" w:y="1565"/>
              <w:spacing w:after="0"/>
              <w:rPr>
                <w:sz w:val="11"/>
                <w:szCs w:val="11"/>
              </w:rPr>
            </w:pPr>
            <w:r>
              <w:rPr>
                <w:sz w:val="11"/>
                <w:szCs w:val="11"/>
              </w:rPr>
              <w:t>součást Páteřní komunikace I</w:t>
            </w:r>
          </w:p>
        </w:tc>
      </w:tr>
      <w:tr w:rsidR="00EC1C40" w14:paraId="252C1E68" w14:textId="77777777">
        <w:tblPrEx>
          <w:tblCellMar>
            <w:top w:w="0" w:type="dxa"/>
            <w:bottom w:w="0" w:type="dxa"/>
          </w:tblCellMar>
        </w:tblPrEx>
        <w:trPr>
          <w:trHeight w:hRule="exact" w:val="187"/>
        </w:trPr>
        <w:tc>
          <w:tcPr>
            <w:tcW w:w="1085" w:type="dxa"/>
            <w:tcBorders>
              <w:top w:val="single" w:sz="4" w:space="0" w:color="auto"/>
              <w:left w:val="single" w:sz="4" w:space="0" w:color="auto"/>
            </w:tcBorders>
            <w:shd w:val="clear" w:color="auto" w:fill="auto"/>
            <w:vAlign w:val="bottom"/>
          </w:tcPr>
          <w:p w14:paraId="257B72EC" w14:textId="77777777" w:rsidR="00EC1C40" w:rsidRDefault="00000000">
            <w:pPr>
              <w:pStyle w:val="Jin0"/>
              <w:framePr w:w="10272" w:h="14573" w:wrap="none" w:vAnchor="page" w:hAnchor="page" w:x="831" w:y="1565"/>
              <w:spacing w:after="0"/>
              <w:jc w:val="center"/>
              <w:rPr>
                <w:sz w:val="13"/>
                <w:szCs w:val="13"/>
              </w:rPr>
            </w:pPr>
            <w:r>
              <w:rPr>
                <w:rFonts w:ascii="Arial" w:eastAsia="Arial" w:hAnsi="Arial" w:cs="Arial"/>
                <w:sz w:val="13"/>
                <w:szCs w:val="13"/>
              </w:rPr>
              <w:t>2.2.3.1.221</w:t>
            </w:r>
          </w:p>
        </w:tc>
        <w:tc>
          <w:tcPr>
            <w:tcW w:w="4301" w:type="dxa"/>
            <w:tcBorders>
              <w:top w:val="single" w:sz="4" w:space="0" w:color="auto"/>
              <w:left w:val="single" w:sz="4" w:space="0" w:color="auto"/>
            </w:tcBorders>
            <w:shd w:val="clear" w:color="auto" w:fill="auto"/>
            <w:vAlign w:val="bottom"/>
          </w:tcPr>
          <w:p w14:paraId="0BF487BA" w14:textId="77777777" w:rsidR="00EC1C40" w:rsidRDefault="00000000">
            <w:pPr>
              <w:pStyle w:val="Jin0"/>
              <w:framePr w:w="10272" w:h="14573" w:wrap="none" w:vAnchor="page" w:hAnchor="page" w:x="831" w:y="1565"/>
              <w:spacing w:after="0"/>
              <w:ind w:firstLine="200"/>
              <w:rPr>
                <w:sz w:val="13"/>
                <w:szCs w:val="13"/>
              </w:rPr>
            </w:pPr>
            <w:r>
              <w:rPr>
                <w:rFonts w:ascii="Arial" w:eastAsia="Arial" w:hAnsi="Arial" w:cs="Arial"/>
                <w:sz w:val="13"/>
                <w:szCs w:val="13"/>
              </w:rPr>
              <w:t>SO.121 Lávka přes brozanský odpad I</w:t>
            </w:r>
          </w:p>
        </w:tc>
        <w:tc>
          <w:tcPr>
            <w:tcW w:w="720" w:type="dxa"/>
            <w:tcBorders>
              <w:top w:val="single" w:sz="4" w:space="0" w:color="auto"/>
              <w:left w:val="single" w:sz="4" w:space="0" w:color="auto"/>
            </w:tcBorders>
            <w:shd w:val="clear" w:color="auto" w:fill="auto"/>
          </w:tcPr>
          <w:p w14:paraId="3F07A2B1" w14:textId="77777777" w:rsidR="00EC1C40" w:rsidRDefault="00EC1C40">
            <w:pPr>
              <w:framePr w:w="10272" w:h="14573" w:wrap="none" w:vAnchor="page" w:hAnchor="page" w:x="831" w:y="1565"/>
              <w:rPr>
                <w:sz w:val="10"/>
                <w:szCs w:val="10"/>
              </w:rPr>
            </w:pPr>
          </w:p>
        </w:tc>
        <w:tc>
          <w:tcPr>
            <w:tcW w:w="715" w:type="dxa"/>
            <w:tcBorders>
              <w:top w:val="single" w:sz="4" w:space="0" w:color="auto"/>
              <w:left w:val="single" w:sz="4" w:space="0" w:color="auto"/>
            </w:tcBorders>
            <w:shd w:val="clear" w:color="auto" w:fill="auto"/>
          </w:tcPr>
          <w:p w14:paraId="22F93C04" w14:textId="77777777" w:rsidR="00EC1C40" w:rsidRDefault="00EC1C40">
            <w:pPr>
              <w:framePr w:w="10272" w:h="14573" w:wrap="none" w:vAnchor="page" w:hAnchor="page" w:x="831" w:y="1565"/>
              <w:rPr>
                <w:sz w:val="10"/>
                <w:szCs w:val="10"/>
              </w:rPr>
            </w:pPr>
          </w:p>
        </w:tc>
        <w:tc>
          <w:tcPr>
            <w:tcW w:w="3451" w:type="dxa"/>
            <w:tcBorders>
              <w:top w:val="single" w:sz="4" w:space="0" w:color="auto"/>
              <w:left w:val="single" w:sz="4" w:space="0" w:color="auto"/>
              <w:right w:val="single" w:sz="4" w:space="0" w:color="auto"/>
            </w:tcBorders>
            <w:shd w:val="clear" w:color="auto" w:fill="auto"/>
          </w:tcPr>
          <w:p w14:paraId="4E802584" w14:textId="77777777" w:rsidR="00EC1C40" w:rsidRDefault="00EC1C40">
            <w:pPr>
              <w:framePr w:w="10272" w:h="14573" w:wrap="none" w:vAnchor="page" w:hAnchor="page" w:x="831" w:y="1565"/>
              <w:rPr>
                <w:sz w:val="10"/>
                <w:szCs w:val="10"/>
              </w:rPr>
            </w:pPr>
          </w:p>
        </w:tc>
      </w:tr>
      <w:tr w:rsidR="00EC1C40" w14:paraId="2972E5D4" w14:textId="77777777">
        <w:tblPrEx>
          <w:tblCellMar>
            <w:top w:w="0" w:type="dxa"/>
            <w:bottom w:w="0" w:type="dxa"/>
          </w:tblCellMar>
        </w:tblPrEx>
        <w:trPr>
          <w:trHeight w:hRule="exact" w:val="187"/>
        </w:trPr>
        <w:tc>
          <w:tcPr>
            <w:tcW w:w="1085" w:type="dxa"/>
            <w:tcBorders>
              <w:top w:val="single" w:sz="4" w:space="0" w:color="auto"/>
              <w:left w:val="single" w:sz="4" w:space="0" w:color="auto"/>
            </w:tcBorders>
            <w:shd w:val="clear" w:color="auto" w:fill="auto"/>
            <w:vAlign w:val="bottom"/>
          </w:tcPr>
          <w:p w14:paraId="28975360" w14:textId="77777777" w:rsidR="00EC1C40" w:rsidRDefault="00000000">
            <w:pPr>
              <w:pStyle w:val="Jin0"/>
              <w:framePr w:w="10272" w:h="14573" w:wrap="none" w:vAnchor="page" w:hAnchor="page" w:x="831" w:y="1565"/>
              <w:spacing w:after="0"/>
              <w:ind w:firstLine="200"/>
              <w:rPr>
                <w:sz w:val="13"/>
                <w:szCs w:val="13"/>
              </w:rPr>
            </w:pPr>
            <w:r>
              <w:rPr>
                <w:rFonts w:ascii="Arial" w:eastAsia="Arial" w:hAnsi="Arial" w:cs="Arial"/>
                <w:sz w:val="13"/>
                <w:szCs w:val="13"/>
              </w:rPr>
              <w:t>2.2.3.1.222</w:t>
            </w:r>
          </w:p>
        </w:tc>
        <w:tc>
          <w:tcPr>
            <w:tcW w:w="4301" w:type="dxa"/>
            <w:tcBorders>
              <w:top w:val="single" w:sz="4" w:space="0" w:color="auto"/>
              <w:left w:val="single" w:sz="4" w:space="0" w:color="auto"/>
            </w:tcBorders>
            <w:shd w:val="clear" w:color="auto" w:fill="auto"/>
            <w:vAlign w:val="bottom"/>
          </w:tcPr>
          <w:p w14:paraId="50664A50" w14:textId="77777777" w:rsidR="00EC1C40" w:rsidRDefault="00000000">
            <w:pPr>
              <w:pStyle w:val="Jin0"/>
              <w:framePr w:w="10272" w:h="14573" w:wrap="none" w:vAnchor="page" w:hAnchor="page" w:x="831" w:y="1565"/>
              <w:spacing w:after="0"/>
              <w:ind w:firstLine="200"/>
              <w:rPr>
                <w:sz w:val="13"/>
                <w:szCs w:val="13"/>
              </w:rPr>
            </w:pPr>
            <w:r>
              <w:rPr>
                <w:rFonts w:ascii="Arial" w:eastAsia="Arial" w:hAnsi="Arial" w:cs="Arial"/>
                <w:sz w:val="13"/>
                <w:szCs w:val="13"/>
              </w:rPr>
              <w:t>SO.122 Lávka přes brozanský odpad II</w:t>
            </w:r>
          </w:p>
        </w:tc>
        <w:tc>
          <w:tcPr>
            <w:tcW w:w="720" w:type="dxa"/>
            <w:tcBorders>
              <w:top w:val="single" w:sz="4" w:space="0" w:color="auto"/>
              <w:left w:val="single" w:sz="4" w:space="0" w:color="auto"/>
            </w:tcBorders>
            <w:shd w:val="clear" w:color="auto" w:fill="auto"/>
          </w:tcPr>
          <w:p w14:paraId="7F3DC0FE" w14:textId="77777777" w:rsidR="00EC1C40" w:rsidRDefault="00EC1C40">
            <w:pPr>
              <w:framePr w:w="10272" w:h="14573" w:wrap="none" w:vAnchor="page" w:hAnchor="page" w:x="831" w:y="1565"/>
              <w:rPr>
                <w:sz w:val="10"/>
                <w:szCs w:val="10"/>
              </w:rPr>
            </w:pPr>
          </w:p>
        </w:tc>
        <w:tc>
          <w:tcPr>
            <w:tcW w:w="715" w:type="dxa"/>
            <w:tcBorders>
              <w:top w:val="single" w:sz="4" w:space="0" w:color="auto"/>
              <w:left w:val="single" w:sz="4" w:space="0" w:color="auto"/>
            </w:tcBorders>
            <w:shd w:val="clear" w:color="auto" w:fill="auto"/>
          </w:tcPr>
          <w:p w14:paraId="7F21B99E" w14:textId="77777777" w:rsidR="00EC1C40" w:rsidRDefault="00EC1C40">
            <w:pPr>
              <w:framePr w:w="10272" w:h="14573" w:wrap="none" w:vAnchor="page" w:hAnchor="page" w:x="831" w:y="1565"/>
              <w:rPr>
                <w:sz w:val="10"/>
                <w:szCs w:val="10"/>
              </w:rPr>
            </w:pPr>
          </w:p>
        </w:tc>
        <w:tc>
          <w:tcPr>
            <w:tcW w:w="3451" w:type="dxa"/>
            <w:tcBorders>
              <w:top w:val="single" w:sz="4" w:space="0" w:color="auto"/>
              <w:left w:val="single" w:sz="4" w:space="0" w:color="auto"/>
              <w:right w:val="single" w:sz="4" w:space="0" w:color="auto"/>
            </w:tcBorders>
            <w:shd w:val="clear" w:color="auto" w:fill="auto"/>
          </w:tcPr>
          <w:p w14:paraId="4BDAF196" w14:textId="77777777" w:rsidR="00EC1C40" w:rsidRDefault="00EC1C40">
            <w:pPr>
              <w:framePr w:w="10272" w:h="14573" w:wrap="none" w:vAnchor="page" w:hAnchor="page" w:x="831" w:y="1565"/>
              <w:rPr>
                <w:sz w:val="10"/>
                <w:szCs w:val="10"/>
              </w:rPr>
            </w:pPr>
          </w:p>
        </w:tc>
      </w:tr>
      <w:tr w:rsidR="00EC1C40" w14:paraId="352622D1" w14:textId="77777777">
        <w:tblPrEx>
          <w:tblCellMar>
            <w:top w:w="0" w:type="dxa"/>
            <w:bottom w:w="0" w:type="dxa"/>
          </w:tblCellMar>
        </w:tblPrEx>
        <w:trPr>
          <w:trHeight w:hRule="exact" w:val="187"/>
        </w:trPr>
        <w:tc>
          <w:tcPr>
            <w:tcW w:w="1085" w:type="dxa"/>
            <w:tcBorders>
              <w:top w:val="single" w:sz="4" w:space="0" w:color="auto"/>
              <w:left w:val="single" w:sz="4" w:space="0" w:color="auto"/>
            </w:tcBorders>
            <w:shd w:val="clear" w:color="auto" w:fill="F5EA02"/>
            <w:vAlign w:val="bottom"/>
          </w:tcPr>
          <w:p w14:paraId="37E7C3CB" w14:textId="77777777" w:rsidR="00EC1C40" w:rsidRDefault="00000000">
            <w:pPr>
              <w:pStyle w:val="Jin0"/>
              <w:framePr w:w="10272" w:h="14573" w:wrap="none" w:vAnchor="page" w:hAnchor="page" w:x="831" w:y="1565"/>
              <w:spacing w:after="0"/>
              <w:jc w:val="center"/>
              <w:rPr>
                <w:sz w:val="13"/>
                <w:szCs w:val="13"/>
              </w:rPr>
            </w:pPr>
            <w:r>
              <w:rPr>
                <w:rFonts w:ascii="Arial" w:eastAsia="Arial" w:hAnsi="Arial" w:cs="Arial"/>
                <w:b/>
                <w:bCs/>
                <w:sz w:val="13"/>
                <w:szCs w:val="13"/>
              </w:rPr>
              <w:t>2.2.3.1.223</w:t>
            </w:r>
          </w:p>
        </w:tc>
        <w:tc>
          <w:tcPr>
            <w:tcW w:w="4301" w:type="dxa"/>
            <w:tcBorders>
              <w:top w:val="single" w:sz="4" w:space="0" w:color="auto"/>
              <w:left w:val="single" w:sz="4" w:space="0" w:color="auto"/>
            </w:tcBorders>
            <w:shd w:val="clear" w:color="auto" w:fill="F5EA02"/>
            <w:vAlign w:val="bottom"/>
          </w:tcPr>
          <w:p w14:paraId="514F0B0D" w14:textId="77777777" w:rsidR="00EC1C40" w:rsidRDefault="00000000">
            <w:pPr>
              <w:pStyle w:val="Jin0"/>
              <w:framePr w:w="10272" w:h="14573" w:wrap="none" w:vAnchor="page" w:hAnchor="page" w:x="831" w:y="1565"/>
              <w:spacing w:after="0"/>
              <w:ind w:firstLine="200"/>
              <w:rPr>
                <w:sz w:val="13"/>
                <w:szCs w:val="13"/>
              </w:rPr>
            </w:pPr>
            <w:r>
              <w:rPr>
                <w:rFonts w:ascii="Arial" w:eastAsia="Arial" w:hAnsi="Arial" w:cs="Arial"/>
                <w:b/>
                <w:bCs/>
                <w:sz w:val="13"/>
                <w:szCs w:val="13"/>
              </w:rPr>
              <w:t>SO.123 Most přes horkovod</w:t>
            </w:r>
          </w:p>
        </w:tc>
        <w:tc>
          <w:tcPr>
            <w:tcW w:w="720" w:type="dxa"/>
            <w:tcBorders>
              <w:top w:val="single" w:sz="4" w:space="0" w:color="auto"/>
              <w:left w:val="single" w:sz="4" w:space="0" w:color="auto"/>
            </w:tcBorders>
            <w:shd w:val="clear" w:color="auto" w:fill="F0B9B4"/>
          </w:tcPr>
          <w:p w14:paraId="6067D66D" w14:textId="77777777" w:rsidR="00EC1C40" w:rsidRDefault="00EC1C40">
            <w:pPr>
              <w:framePr w:w="10272" w:h="14573" w:wrap="none" w:vAnchor="page" w:hAnchor="page" w:x="831" w:y="1565"/>
              <w:rPr>
                <w:sz w:val="10"/>
                <w:szCs w:val="10"/>
              </w:rPr>
            </w:pPr>
          </w:p>
        </w:tc>
        <w:tc>
          <w:tcPr>
            <w:tcW w:w="715" w:type="dxa"/>
            <w:tcBorders>
              <w:top w:val="single" w:sz="4" w:space="0" w:color="auto"/>
              <w:left w:val="single" w:sz="4" w:space="0" w:color="auto"/>
            </w:tcBorders>
            <w:shd w:val="clear" w:color="auto" w:fill="auto"/>
          </w:tcPr>
          <w:p w14:paraId="0A99F23C" w14:textId="77777777" w:rsidR="00EC1C40" w:rsidRDefault="00EC1C40">
            <w:pPr>
              <w:framePr w:w="10272" w:h="14573" w:wrap="none" w:vAnchor="page" w:hAnchor="page" w:x="831" w:y="1565"/>
              <w:rPr>
                <w:sz w:val="10"/>
                <w:szCs w:val="10"/>
              </w:rPr>
            </w:pPr>
          </w:p>
        </w:tc>
        <w:tc>
          <w:tcPr>
            <w:tcW w:w="3451" w:type="dxa"/>
            <w:tcBorders>
              <w:top w:val="single" w:sz="4" w:space="0" w:color="auto"/>
              <w:left w:val="single" w:sz="4" w:space="0" w:color="auto"/>
              <w:right w:val="single" w:sz="4" w:space="0" w:color="auto"/>
            </w:tcBorders>
            <w:shd w:val="clear" w:color="auto" w:fill="auto"/>
          </w:tcPr>
          <w:p w14:paraId="4EEEAB15" w14:textId="77777777" w:rsidR="00EC1C40" w:rsidRDefault="00EC1C40">
            <w:pPr>
              <w:framePr w:w="10272" w:h="14573" w:wrap="none" w:vAnchor="page" w:hAnchor="page" w:x="831" w:y="1565"/>
              <w:rPr>
                <w:sz w:val="10"/>
                <w:szCs w:val="10"/>
              </w:rPr>
            </w:pPr>
          </w:p>
        </w:tc>
      </w:tr>
      <w:tr w:rsidR="00EC1C40" w14:paraId="2C590AED" w14:textId="77777777">
        <w:tblPrEx>
          <w:tblCellMar>
            <w:top w:w="0" w:type="dxa"/>
            <w:bottom w:w="0" w:type="dxa"/>
          </w:tblCellMar>
        </w:tblPrEx>
        <w:trPr>
          <w:trHeight w:hRule="exact" w:val="187"/>
        </w:trPr>
        <w:tc>
          <w:tcPr>
            <w:tcW w:w="1085" w:type="dxa"/>
            <w:tcBorders>
              <w:top w:val="single" w:sz="4" w:space="0" w:color="auto"/>
              <w:left w:val="single" w:sz="4" w:space="0" w:color="auto"/>
            </w:tcBorders>
            <w:shd w:val="clear" w:color="auto" w:fill="F5EA02"/>
            <w:vAlign w:val="bottom"/>
          </w:tcPr>
          <w:p w14:paraId="13126BC5" w14:textId="77777777" w:rsidR="00EC1C40" w:rsidRDefault="00000000">
            <w:pPr>
              <w:pStyle w:val="Jin0"/>
              <w:framePr w:w="10272" w:h="14573" w:wrap="none" w:vAnchor="page" w:hAnchor="page" w:x="831" w:y="1565"/>
              <w:spacing w:after="0"/>
              <w:jc w:val="center"/>
              <w:rPr>
                <w:sz w:val="13"/>
                <w:szCs w:val="13"/>
              </w:rPr>
            </w:pPr>
            <w:r>
              <w:rPr>
                <w:rFonts w:ascii="Arial" w:eastAsia="Arial" w:hAnsi="Arial" w:cs="Arial"/>
                <w:b/>
                <w:bCs/>
                <w:sz w:val="13"/>
                <w:szCs w:val="13"/>
              </w:rPr>
              <w:t>2.2.6.4.200</w:t>
            </w:r>
          </w:p>
        </w:tc>
        <w:tc>
          <w:tcPr>
            <w:tcW w:w="4301" w:type="dxa"/>
            <w:tcBorders>
              <w:top w:val="single" w:sz="4" w:space="0" w:color="auto"/>
              <w:left w:val="single" w:sz="4" w:space="0" w:color="auto"/>
            </w:tcBorders>
            <w:shd w:val="clear" w:color="auto" w:fill="F5EA02"/>
            <w:vAlign w:val="bottom"/>
          </w:tcPr>
          <w:p w14:paraId="44BD0EC0" w14:textId="77777777" w:rsidR="00EC1C40" w:rsidRDefault="00000000">
            <w:pPr>
              <w:pStyle w:val="Jin0"/>
              <w:framePr w:w="10272" w:h="14573" w:wrap="none" w:vAnchor="page" w:hAnchor="page" w:x="831" w:y="1565"/>
              <w:spacing w:after="0"/>
              <w:ind w:firstLine="200"/>
              <w:rPr>
                <w:sz w:val="13"/>
                <w:szCs w:val="13"/>
              </w:rPr>
            </w:pPr>
            <w:r>
              <w:rPr>
                <w:rFonts w:ascii="Arial" w:eastAsia="Arial" w:hAnsi="Arial" w:cs="Arial"/>
                <w:b/>
                <w:bCs/>
                <w:sz w:val="13"/>
                <w:szCs w:val="13"/>
              </w:rPr>
              <w:t>SO.200 Gravitační splašková kanalizace</w:t>
            </w:r>
          </w:p>
        </w:tc>
        <w:tc>
          <w:tcPr>
            <w:tcW w:w="720" w:type="dxa"/>
            <w:tcBorders>
              <w:top w:val="single" w:sz="4" w:space="0" w:color="auto"/>
              <w:left w:val="single" w:sz="4" w:space="0" w:color="auto"/>
            </w:tcBorders>
            <w:shd w:val="clear" w:color="auto" w:fill="F0B9B4"/>
          </w:tcPr>
          <w:p w14:paraId="23EBBFB5" w14:textId="77777777" w:rsidR="00EC1C40" w:rsidRDefault="00EC1C40">
            <w:pPr>
              <w:framePr w:w="10272" w:h="14573" w:wrap="none" w:vAnchor="page" w:hAnchor="page" w:x="831" w:y="1565"/>
              <w:rPr>
                <w:sz w:val="10"/>
                <w:szCs w:val="10"/>
              </w:rPr>
            </w:pPr>
          </w:p>
        </w:tc>
        <w:tc>
          <w:tcPr>
            <w:tcW w:w="715" w:type="dxa"/>
            <w:tcBorders>
              <w:top w:val="single" w:sz="4" w:space="0" w:color="auto"/>
              <w:left w:val="single" w:sz="4" w:space="0" w:color="auto"/>
            </w:tcBorders>
            <w:shd w:val="clear" w:color="auto" w:fill="auto"/>
          </w:tcPr>
          <w:p w14:paraId="26264212" w14:textId="77777777" w:rsidR="00EC1C40" w:rsidRDefault="00EC1C40">
            <w:pPr>
              <w:framePr w:w="10272" w:h="14573" w:wrap="none" w:vAnchor="page" w:hAnchor="page" w:x="831" w:y="1565"/>
              <w:rPr>
                <w:sz w:val="10"/>
                <w:szCs w:val="10"/>
              </w:rPr>
            </w:pPr>
          </w:p>
        </w:tc>
        <w:tc>
          <w:tcPr>
            <w:tcW w:w="3451" w:type="dxa"/>
            <w:tcBorders>
              <w:top w:val="single" w:sz="4" w:space="0" w:color="auto"/>
              <w:left w:val="single" w:sz="4" w:space="0" w:color="auto"/>
              <w:right w:val="single" w:sz="4" w:space="0" w:color="auto"/>
            </w:tcBorders>
            <w:shd w:val="clear" w:color="auto" w:fill="auto"/>
            <w:vAlign w:val="bottom"/>
          </w:tcPr>
          <w:p w14:paraId="24C172AD" w14:textId="77777777" w:rsidR="00EC1C40" w:rsidRDefault="00000000">
            <w:pPr>
              <w:pStyle w:val="Jin0"/>
              <w:framePr w:w="10272" w:h="14573" w:wrap="none" w:vAnchor="page" w:hAnchor="page" w:x="831" w:y="1565"/>
              <w:spacing w:after="0"/>
              <w:rPr>
                <w:sz w:val="11"/>
                <w:szCs w:val="11"/>
              </w:rPr>
            </w:pPr>
            <w:r>
              <w:rPr>
                <w:sz w:val="11"/>
                <w:szCs w:val="11"/>
              </w:rPr>
              <w:t>odsouhlaseno VAK PCE</w:t>
            </w:r>
          </w:p>
        </w:tc>
      </w:tr>
      <w:tr w:rsidR="00EC1C40" w14:paraId="35F9CBCA" w14:textId="77777777">
        <w:tblPrEx>
          <w:tblCellMar>
            <w:top w:w="0" w:type="dxa"/>
            <w:bottom w:w="0" w:type="dxa"/>
          </w:tblCellMar>
        </w:tblPrEx>
        <w:trPr>
          <w:trHeight w:hRule="exact" w:val="187"/>
        </w:trPr>
        <w:tc>
          <w:tcPr>
            <w:tcW w:w="1085" w:type="dxa"/>
            <w:tcBorders>
              <w:top w:val="single" w:sz="4" w:space="0" w:color="auto"/>
              <w:left w:val="single" w:sz="4" w:space="0" w:color="auto"/>
            </w:tcBorders>
            <w:shd w:val="clear" w:color="auto" w:fill="F5EA02"/>
            <w:vAlign w:val="bottom"/>
          </w:tcPr>
          <w:p w14:paraId="6F04E2C9" w14:textId="77777777" w:rsidR="00EC1C40" w:rsidRDefault="00000000">
            <w:pPr>
              <w:pStyle w:val="Jin0"/>
              <w:framePr w:w="10272" w:h="14573" w:wrap="none" w:vAnchor="page" w:hAnchor="page" w:x="831" w:y="1565"/>
              <w:spacing w:after="0"/>
              <w:ind w:firstLine="200"/>
              <w:rPr>
                <w:sz w:val="13"/>
                <w:szCs w:val="13"/>
              </w:rPr>
            </w:pPr>
            <w:r>
              <w:rPr>
                <w:rFonts w:ascii="Arial" w:eastAsia="Arial" w:hAnsi="Arial" w:cs="Arial"/>
                <w:b/>
                <w:bCs/>
                <w:sz w:val="13"/>
                <w:szCs w:val="13"/>
              </w:rPr>
              <w:t>2.2.6.4.201</w:t>
            </w:r>
          </w:p>
        </w:tc>
        <w:tc>
          <w:tcPr>
            <w:tcW w:w="4301" w:type="dxa"/>
            <w:tcBorders>
              <w:top w:val="single" w:sz="4" w:space="0" w:color="auto"/>
              <w:left w:val="single" w:sz="4" w:space="0" w:color="auto"/>
            </w:tcBorders>
            <w:shd w:val="clear" w:color="auto" w:fill="F5EA02"/>
            <w:vAlign w:val="bottom"/>
          </w:tcPr>
          <w:p w14:paraId="297D3E2B" w14:textId="77777777" w:rsidR="00EC1C40" w:rsidRDefault="00000000">
            <w:pPr>
              <w:pStyle w:val="Jin0"/>
              <w:framePr w:w="10272" w:h="14573" w:wrap="none" w:vAnchor="page" w:hAnchor="page" w:x="831" w:y="1565"/>
              <w:spacing w:after="0"/>
              <w:ind w:firstLine="200"/>
              <w:rPr>
                <w:sz w:val="13"/>
                <w:szCs w:val="13"/>
              </w:rPr>
            </w:pPr>
            <w:r>
              <w:rPr>
                <w:rFonts w:ascii="Arial" w:eastAsia="Arial" w:hAnsi="Arial" w:cs="Arial"/>
                <w:b/>
                <w:bCs/>
                <w:sz w:val="13"/>
                <w:szCs w:val="13"/>
              </w:rPr>
              <w:t>SO.201 Čerpací stanice splaškových vod</w:t>
            </w:r>
          </w:p>
        </w:tc>
        <w:tc>
          <w:tcPr>
            <w:tcW w:w="720" w:type="dxa"/>
            <w:tcBorders>
              <w:top w:val="single" w:sz="4" w:space="0" w:color="auto"/>
              <w:left w:val="single" w:sz="4" w:space="0" w:color="auto"/>
            </w:tcBorders>
            <w:shd w:val="clear" w:color="auto" w:fill="F0B9B4"/>
          </w:tcPr>
          <w:p w14:paraId="44C6C8EB" w14:textId="77777777" w:rsidR="00EC1C40" w:rsidRDefault="00EC1C40">
            <w:pPr>
              <w:framePr w:w="10272" w:h="14573" w:wrap="none" w:vAnchor="page" w:hAnchor="page" w:x="831" w:y="1565"/>
              <w:rPr>
                <w:sz w:val="10"/>
                <w:szCs w:val="10"/>
              </w:rPr>
            </w:pPr>
          </w:p>
        </w:tc>
        <w:tc>
          <w:tcPr>
            <w:tcW w:w="715" w:type="dxa"/>
            <w:tcBorders>
              <w:top w:val="single" w:sz="4" w:space="0" w:color="auto"/>
              <w:left w:val="single" w:sz="4" w:space="0" w:color="auto"/>
            </w:tcBorders>
            <w:shd w:val="clear" w:color="auto" w:fill="auto"/>
          </w:tcPr>
          <w:p w14:paraId="1916BC49" w14:textId="77777777" w:rsidR="00EC1C40" w:rsidRDefault="00EC1C40">
            <w:pPr>
              <w:framePr w:w="10272" w:h="14573" w:wrap="none" w:vAnchor="page" w:hAnchor="page" w:x="831" w:y="1565"/>
              <w:rPr>
                <w:sz w:val="10"/>
                <w:szCs w:val="10"/>
              </w:rPr>
            </w:pPr>
          </w:p>
        </w:tc>
        <w:tc>
          <w:tcPr>
            <w:tcW w:w="3451" w:type="dxa"/>
            <w:tcBorders>
              <w:top w:val="single" w:sz="4" w:space="0" w:color="auto"/>
              <w:left w:val="single" w:sz="4" w:space="0" w:color="auto"/>
              <w:right w:val="single" w:sz="4" w:space="0" w:color="auto"/>
            </w:tcBorders>
            <w:shd w:val="clear" w:color="auto" w:fill="auto"/>
            <w:vAlign w:val="bottom"/>
          </w:tcPr>
          <w:p w14:paraId="1841F8FD" w14:textId="77777777" w:rsidR="00EC1C40" w:rsidRDefault="00000000">
            <w:pPr>
              <w:pStyle w:val="Jin0"/>
              <w:framePr w:w="10272" w:h="14573" w:wrap="none" w:vAnchor="page" w:hAnchor="page" w:x="831" w:y="1565"/>
              <w:spacing w:after="0"/>
              <w:rPr>
                <w:sz w:val="11"/>
                <w:szCs w:val="11"/>
              </w:rPr>
            </w:pPr>
            <w:r>
              <w:rPr>
                <w:sz w:val="11"/>
                <w:szCs w:val="11"/>
              </w:rPr>
              <w:t>odsouhlaseno VAK PCE</w:t>
            </w:r>
          </w:p>
        </w:tc>
      </w:tr>
      <w:tr w:rsidR="00EC1C40" w14:paraId="36475CD7" w14:textId="77777777">
        <w:tblPrEx>
          <w:tblCellMar>
            <w:top w:w="0" w:type="dxa"/>
            <w:bottom w:w="0" w:type="dxa"/>
          </w:tblCellMar>
        </w:tblPrEx>
        <w:trPr>
          <w:trHeight w:hRule="exact" w:val="187"/>
        </w:trPr>
        <w:tc>
          <w:tcPr>
            <w:tcW w:w="1085" w:type="dxa"/>
            <w:tcBorders>
              <w:top w:val="single" w:sz="4" w:space="0" w:color="auto"/>
              <w:left w:val="single" w:sz="4" w:space="0" w:color="auto"/>
            </w:tcBorders>
            <w:shd w:val="clear" w:color="auto" w:fill="F5EA02"/>
            <w:vAlign w:val="bottom"/>
          </w:tcPr>
          <w:p w14:paraId="4B0BE1F8" w14:textId="77777777" w:rsidR="00EC1C40" w:rsidRDefault="00000000">
            <w:pPr>
              <w:pStyle w:val="Jin0"/>
              <w:framePr w:w="10272" w:h="14573" w:wrap="none" w:vAnchor="page" w:hAnchor="page" w:x="831" w:y="1565"/>
              <w:spacing w:after="0"/>
              <w:ind w:firstLine="200"/>
              <w:rPr>
                <w:sz w:val="13"/>
                <w:szCs w:val="13"/>
              </w:rPr>
            </w:pPr>
            <w:r>
              <w:rPr>
                <w:rFonts w:ascii="Arial" w:eastAsia="Arial" w:hAnsi="Arial" w:cs="Arial"/>
                <w:b/>
                <w:bCs/>
                <w:sz w:val="13"/>
                <w:szCs w:val="13"/>
              </w:rPr>
              <w:t>2.2.6.4.202</w:t>
            </w:r>
          </w:p>
        </w:tc>
        <w:tc>
          <w:tcPr>
            <w:tcW w:w="4301" w:type="dxa"/>
            <w:tcBorders>
              <w:top w:val="single" w:sz="4" w:space="0" w:color="auto"/>
              <w:left w:val="single" w:sz="4" w:space="0" w:color="auto"/>
            </w:tcBorders>
            <w:shd w:val="clear" w:color="auto" w:fill="F5EA02"/>
            <w:vAlign w:val="bottom"/>
          </w:tcPr>
          <w:p w14:paraId="21E8BBEA" w14:textId="77777777" w:rsidR="00EC1C40" w:rsidRDefault="00000000">
            <w:pPr>
              <w:pStyle w:val="Jin0"/>
              <w:framePr w:w="10272" w:h="14573" w:wrap="none" w:vAnchor="page" w:hAnchor="page" w:x="831" w:y="1565"/>
              <w:spacing w:after="0"/>
              <w:ind w:firstLine="200"/>
              <w:rPr>
                <w:sz w:val="13"/>
                <w:szCs w:val="13"/>
              </w:rPr>
            </w:pPr>
            <w:r>
              <w:rPr>
                <w:rFonts w:ascii="Arial" w:eastAsia="Arial" w:hAnsi="Arial" w:cs="Arial"/>
                <w:b/>
                <w:bCs/>
                <w:sz w:val="13"/>
                <w:szCs w:val="13"/>
              </w:rPr>
              <w:t>SO.202 Výtlak splaškových vod</w:t>
            </w:r>
          </w:p>
        </w:tc>
        <w:tc>
          <w:tcPr>
            <w:tcW w:w="720" w:type="dxa"/>
            <w:tcBorders>
              <w:top w:val="single" w:sz="4" w:space="0" w:color="auto"/>
              <w:left w:val="single" w:sz="4" w:space="0" w:color="auto"/>
            </w:tcBorders>
            <w:shd w:val="clear" w:color="auto" w:fill="F0B9B4"/>
          </w:tcPr>
          <w:p w14:paraId="787DCB28" w14:textId="77777777" w:rsidR="00EC1C40" w:rsidRDefault="00EC1C40">
            <w:pPr>
              <w:framePr w:w="10272" w:h="14573" w:wrap="none" w:vAnchor="page" w:hAnchor="page" w:x="831" w:y="1565"/>
              <w:rPr>
                <w:sz w:val="10"/>
                <w:szCs w:val="10"/>
              </w:rPr>
            </w:pPr>
          </w:p>
        </w:tc>
        <w:tc>
          <w:tcPr>
            <w:tcW w:w="715" w:type="dxa"/>
            <w:tcBorders>
              <w:top w:val="single" w:sz="4" w:space="0" w:color="auto"/>
              <w:left w:val="single" w:sz="4" w:space="0" w:color="auto"/>
            </w:tcBorders>
            <w:shd w:val="clear" w:color="auto" w:fill="auto"/>
          </w:tcPr>
          <w:p w14:paraId="0CE7C4DB" w14:textId="77777777" w:rsidR="00EC1C40" w:rsidRDefault="00EC1C40">
            <w:pPr>
              <w:framePr w:w="10272" w:h="14573" w:wrap="none" w:vAnchor="page" w:hAnchor="page" w:x="831" w:y="1565"/>
              <w:rPr>
                <w:sz w:val="10"/>
                <w:szCs w:val="10"/>
              </w:rPr>
            </w:pPr>
          </w:p>
        </w:tc>
        <w:tc>
          <w:tcPr>
            <w:tcW w:w="3451" w:type="dxa"/>
            <w:tcBorders>
              <w:top w:val="single" w:sz="4" w:space="0" w:color="auto"/>
              <w:left w:val="single" w:sz="4" w:space="0" w:color="auto"/>
              <w:right w:val="single" w:sz="4" w:space="0" w:color="auto"/>
            </w:tcBorders>
            <w:shd w:val="clear" w:color="auto" w:fill="auto"/>
            <w:vAlign w:val="bottom"/>
          </w:tcPr>
          <w:p w14:paraId="3277BAD5" w14:textId="77777777" w:rsidR="00EC1C40" w:rsidRDefault="00000000">
            <w:pPr>
              <w:pStyle w:val="Jin0"/>
              <w:framePr w:w="10272" w:h="14573" w:wrap="none" w:vAnchor="page" w:hAnchor="page" w:x="831" w:y="1565"/>
              <w:spacing w:after="0"/>
              <w:rPr>
                <w:sz w:val="11"/>
                <w:szCs w:val="11"/>
              </w:rPr>
            </w:pPr>
            <w:r>
              <w:rPr>
                <w:sz w:val="11"/>
                <w:szCs w:val="11"/>
              </w:rPr>
              <w:t>odsouhlaseno VAK PCE</w:t>
            </w:r>
          </w:p>
        </w:tc>
      </w:tr>
      <w:tr w:rsidR="00EC1C40" w14:paraId="6ED4584C" w14:textId="77777777">
        <w:tblPrEx>
          <w:tblCellMar>
            <w:top w:w="0" w:type="dxa"/>
            <w:bottom w:w="0" w:type="dxa"/>
          </w:tblCellMar>
        </w:tblPrEx>
        <w:trPr>
          <w:trHeight w:hRule="exact" w:val="187"/>
        </w:trPr>
        <w:tc>
          <w:tcPr>
            <w:tcW w:w="1085" w:type="dxa"/>
            <w:tcBorders>
              <w:top w:val="single" w:sz="4" w:space="0" w:color="auto"/>
              <w:left w:val="single" w:sz="4" w:space="0" w:color="auto"/>
            </w:tcBorders>
            <w:shd w:val="clear" w:color="auto" w:fill="auto"/>
            <w:vAlign w:val="bottom"/>
          </w:tcPr>
          <w:p w14:paraId="6AC16750" w14:textId="77777777" w:rsidR="00EC1C40" w:rsidRDefault="00000000">
            <w:pPr>
              <w:pStyle w:val="Jin0"/>
              <w:framePr w:w="10272" w:h="14573" w:wrap="none" w:vAnchor="page" w:hAnchor="page" w:x="831" w:y="1565"/>
              <w:spacing w:after="0"/>
              <w:jc w:val="center"/>
              <w:rPr>
                <w:sz w:val="13"/>
                <w:szCs w:val="13"/>
              </w:rPr>
            </w:pPr>
            <w:r>
              <w:rPr>
                <w:rFonts w:ascii="Arial" w:eastAsia="Arial" w:hAnsi="Arial" w:cs="Arial"/>
                <w:sz w:val="13"/>
                <w:szCs w:val="13"/>
              </w:rPr>
              <w:t>2.2.6.4.204</w:t>
            </w:r>
          </w:p>
        </w:tc>
        <w:tc>
          <w:tcPr>
            <w:tcW w:w="4301" w:type="dxa"/>
            <w:tcBorders>
              <w:top w:val="single" w:sz="4" w:space="0" w:color="auto"/>
              <w:left w:val="single" w:sz="4" w:space="0" w:color="auto"/>
            </w:tcBorders>
            <w:shd w:val="clear" w:color="auto" w:fill="auto"/>
            <w:vAlign w:val="bottom"/>
          </w:tcPr>
          <w:p w14:paraId="18A565A5" w14:textId="77777777" w:rsidR="00EC1C40" w:rsidRDefault="00000000">
            <w:pPr>
              <w:pStyle w:val="Jin0"/>
              <w:framePr w:w="10272" w:h="14573" w:wrap="none" w:vAnchor="page" w:hAnchor="page" w:x="831" w:y="1565"/>
              <w:spacing w:after="0"/>
              <w:ind w:firstLine="200"/>
              <w:rPr>
                <w:sz w:val="13"/>
                <w:szCs w:val="13"/>
              </w:rPr>
            </w:pPr>
            <w:r>
              <w:rPr>
                <w:rFonts w:ascii="Arial" w:eastAsia="Arial" w:hAnsi="Arial" w:cs="Arial"/>
                <w:sz w:val="13"/>
                <w:szCs w:val="13"/>
              </w:rPr>
              <w:t xml:space="preserve">SO.204 Splašková kanalizační přípojka </w:t>
            </w:r>
            <w:r>
              <w:rPr>
                <w:rFonts w:ascii="Arial" w:eastAsia="Arial" w:hAnsi="Arial" w:cs="Arial"/>
                <w:sz w:val="13"/>
                <w:szCs w:val="13"/>
                <w:lang w:val="en-US" w:eastAsia="en-US" w:bidi="en-US"/>
              </w:rPr>
              <w:t>showroom</w:t>
            </w:r>
          </w:p>
        </w:tc>
        <w:tc>
          <w:tcPr>
            <w:tcW w:w="720" w:type="dxa"/>
            <w:tcBorders>
              <w:top w:val="single" w:sz="4" w:space="0" w:color="auto"/>
              <w:left w:val="single" w:sz="4" w:space="0" w:color="auto"/>
            </w:tcBorders>
            <w:shd w:val="clear" w:color="auto" w:fill="auto"/>
          </w:tcPr>
          <w:p w14:paraId="1C392EE7" w14:textId="77777777" w:rsidR="00EC1C40" w:rsidRDefault="00EC1C40">
            <w:pPr>
              <w:framePr w:w="10272" w:h="14573" w:wrap="none" w:vAnchor="page" w:hAnchor="page" w:x="831" w:y="1565"/>
              <w:rPr>
                <w:sz w:val="10"/>
                <w:szCs w:val="10"/>
              </w:rPr>
            </w:pPr>
          </w:p>
        </w:tc>
        <w:tc>
          <w:tcPr>
            <w:tcW w:w="715" w:type="dxa"/>
            <w:tcBorders>
              <w:top w:val="single" w:sz="4" w:space="0" w:color="auto"/>
              <w:left w:val="single" w:sz="4" w:space="0" w:color="auto"/>
            </w:tcBorders>
            <w:shd w:val="clear" w:color="auto" w:fill="auto"/>
          </w:tcPr>
          <w:p w14:paraId="58C92417" w14:textId="77777777" w:rsidR="00EC1C40" w:rsidRDefault="00EC1C40">
            <w:pPr>
              <w:framePr w:w="10272" w:h="14573" w:wrap="none" w:vAnchor="page" w:hAnchor="page" w:x="831" w:y="1565"/>
              <w:rPr>
                <w:sz w:val="10"/>
                <w:szCs w:val="10"/>
              </w:rPr>
            </w:pPr>
          </w:p>
        </w:tc>
        <w:tc>
          <w:tcPr>
            <w:tcW w:w="3451" w:type="dxa"/>
            <w:tcBorders>
              <w:top w:val="single" w:sz="4" w:space="0" w:color="auto"/>
              <w:left w:val="single" w:sz="4" w:space="0" w:color="auto"/>
              <w:right w:val="single" w:sz="4" w:space="0" w:color="auto"/>
            </w:tcBorders>
            <w:shd w:val="clear" w:color="auto" w:fill="auto"/>
          </w:tcPr>
          <w:p w14:paraId="377A6DD5" w14:textId="77777777" w:rsidR="00EC1C40" w:rsidRDefault="00EC1C40">
            <w:pPr>
              <w:framePr w:w="10272" w:h="14573" w:wrap="none" w:vAnchor="page" w:hAnchor="page" w:x="831" w:y="1565"/>
              <w:rPr>
                <w:sz w:val="10"/>
                <w:szCs w:val="10"/>
              </w:rPr>
            </w:pPr>
          </w:p>
        </w:tc>
      </w:tr>
      <w:tr w:rsidR="00EC1C40" w14:paraId="2B972E0D" w14:textId="77777777">
        <w:tblPrEx>
          <w:tblCellMar>
            <w:top w:w="0" w:type="dxa"/>
            <w:bottom w:w="0" w:type="dxa"/>
          </w:tblCellMar>
        </w:tblPrEx>
        <w:trPr>
          <w:trHeight w:hRule="exact" w:val="182"/>
        </w:trPr>
        <w:tc>
          <w:tcPr>
            <w:tcW w:w="1085" w:type="dxa"/>
            <w:tcBorders>
              <w:top w:val="single" w:sz="4" w:space="0" w:color="auto"/>
              <w:left w:val="single" w:sz="4" w:space="0" w:color="auto"/>
            </w:tcBorders>
            <w:shd w:val="clear" w:color="auto" w:fill="auto"/>
            <w:vAlign w:val="bottom"/>
          </w:tcPr>
          <w:p w14:paraId="634C463B" w14:textId="77777777" w:rsidR="00EC1C40" w:rsidRDefault="00000000">
            <w:pPr>
              <w:pStyle w:val="Jin0"/>
              <w:framePr w:w="10272" w:h="14573" w:wrap="none" w:vAnchor="page" w:hAnchor="page" w:x="831" w:y="1565"/>
              <w:spacing w:after="0"/>
              <w:jc w:val="center"/>
              <w:rPr>
                <w:sz w:val="13"/>
                <w:szCs w:val="13"/>
              </w:rPr>
            </w:pPr>
            <w:r>
              <w:rPr>
                <w:rFonts w:ascii="Arial" w:eastAsia="Arial" w:hAnsi="Arial" w:cs="Arial"/>
                <w:sz w:val="13"/>
                <w:szCs w:val="13"/>
              </w:rPr>
              <w:t>2.2.6.4.205</w:t>
            </w:r>
          </w:p>
        </w:tc>
        <w:tc>
          <w:tcPr>
            <w:tcW w:w="4301" w:type="dxa"/>
            <w:tcBorders>
              <w:top w:val="single" w:sz="4" w:space="0" w:color="auto"/>
              <w:left w:val="single" w:sz="4" w:space="0" w:color="auto"/>
            </w:tcBorders>
            <w:shd w:val="clear" w:color="auto" w:fill="auto"/>
            <w:vAlign w:val="bottom"/>
          </w:tcPr>
          <w:p w14:paraId="002F318F" w14:textId="77777777" w:rsidR="00EC1C40" w:rsidRDefault="00000000">
            <w:pPr>
              <w:pStyle w:val="Jin0"/>
              <w:framePr w:w="10272" w:h="14573" w:wrap="none" w:vAnchor="page" w:hAnchor="page" w:x="831" w:y="1565"/>
              <w:spacing w:after="0"/>
              <w:ind w:firstLine="200"/>
              <w:rPr>
                <w:sz w:val="13"/>
                <w:szCs w:val="13"/>
              </w:rPr>
            </w:pPr>
            <w:r>
              <w:rPr>
                <w:rFonts w:ascii="Arial" w:eastAsia="Arial" w:hAnsi="Arial" w:cs="Arial"/>
                <w:sz w:val="13"/>
                <w:szCs w:val="13"/>
              </w:rPr>
              <w:t>SO.205 Splaškové kanalizační přípojky aréna</w:t>
            </w:r>
          </w:p>
        </w:tc>
        <w:tc>
          <w:tcPr>
            <w:tcW w:w="720" w:type="dxa"/>
            <w:tcBorders>
              <w:top w:val="single" w:sz="4" w:space="0" w:color="auto"/>
              <w:left w:val="single" w:sz="4" w:space="0" w:color="auto"/>
            </w:tcBorders>
            <w:shd w:val="clear" w:color="auto" w:fill="auto"/>
          </w:tcPr>
          <w:p w14:paraId="2D8CF28C" w14:textId="77777777" w:rsidR="00EC1C40" w:rsidRDefault="00EC1C40">
            <w:pPr>
              <w:framePr w:w="10272" w:h="14573" w:wrap="none" w:vAnchor="page" w:hAnchor="page" w:x="831" w:y="1565"/>
              <w:rPr>
                <w:sz w:val="10"/>
                <w:szCs w:val="10"/>
              </w:rPr>
            </w:pPr>
          </w:p>
        </w:tc>
        <w:tc>
          <w:tcPr>
            <w:tcW w:w="715" w:type="dxa"/>
            <w:tcBorders>
              <w:top w:val="single" w:sz="4" w:space="0" w:color="auto"/>
              <w:left w:val="single" w:sz="4" w:space="0" w:color="auto"/>
            </w:tcBorders>
            <w:shd w:val="clear" w:color="auto" w:fill="auto"/>
          </w:tcPr>
          <w:p w14:paraId="1341B629" w14:textId="77777777" w:rsidR="00EC1C40" w:rsidRDefault="00EC1C40">
            <w:pPr>
              <w:framePr w:w="10272" w:h="14573" w:wrap="none" w:vAnchor="page" w:hAnchor="page" w:x="831" w:y="1565"/>
              <w:rPr>
                <w:sz w:val="10"/>
                <w:szCs w:val="10"/>
              </w:rPr>
            </w:pPr>
          </w:p>
        </w:tc>
        <w:tc>
          <w:tcPr>
            <w:tcW w:w="3451" w:type="dxa"/>
            <w:tcBorders>
              <w:top w:val="single" w:sz="4" w:space="0" w:color="auto"/>
              <w:left w:val="single" w:sz="4" w:space="0" w:color="auto"/>
              <w:right w:val="single" w:sz="4" w:space="0" w:color="auto"/>
            </w:tcBorders>
            <w:shd w:val="clear" w:color="auto" w:fill="auto"/>
          </w:tcPr>
          <w:p w14:paraId="5AF607D4" w14:textId="77777777" w:rsidR="00EC1C40" w:rsidRDefault="00EC1C40">
            <w:pPr>
              <w:framePr w:w="10272" w:h="14573" w:wrap="none" w:vAnchor="page" w:hAnchor="page" w:x="831" w:y="1565"/>
              <w:rPr>
                <w:sz w:val="10"/>
                <w:szCs w:val="10"/>
              </w:rPr>
            </w:pPr>
          </w:p>
        </w:tc>
      </w:tr>
      <w:tr w:rsidR="00EC1C40" w14:paraId="6EE91748" w14:textId="77777777">
        <w:tblPrEx>
          <w:tblCellMar>
            <w:top w:w="0" w:type="dxa"/>
            <w:bottom w:w="0" w:type="dxa"/>
          </w:tblCellMar>
        </w:tblPrEx>
        <w:trPr>
          <w:trHeight w:hRule="exact" w:val="187"/>
        </w:trPr>
        <w:tc>
          <w:tcPr>
            <w:tcW w:w="1085" w:type="dxa"/>
            <w:tcBorders>
              <w:top w:val="single" w:sz="4" w:space="0" w:color="auto"/>
              <w:left w:val="single" w:sz="4" w:space="0" w:color="auto"/>
            </w:tcBorders>
            <w:shd w:val="clear" w:color="auto" w:fill="auto"/>
            <w:vAlign w:val="bottom"/>
          </w:tcPr>
          <w:p w14:paraId="61CE80FD" w14:textId="77777777" w:rsidR="00EC1C40" w:rsidRDefault="00000000">
            <w:pPr>
              <w:pStyle w:val="Jin0"/>
              <w:framePr w:w="10272" w:h="14573" w:wrap="none" w:vAnchor="page" w:hAnchor="page" w:x="831" w:y="1565"/>
              <w:spacing w:after="0"/>
              <w:jc w:val="center"/>
              <w:rPr>
                <w:sz w:val="13"/>
                <w:szCs w:val="13"/>
              </w:rPr>
            </w:pPr>
            <w:r>
              <w:rPr>
                <w:rFonts w:ascii="Arial" w:eastAsia="Arial" w:hAnsi="Arial" w:cs="Arial"/>
                <w:sz w:val="13"/>
                <w:szCs w:val="13"/>
              </w:rPr>
              <w:t>2.2.6.4.206</w:t>
            </w:r>
          </w:p>
        </w:tc>
        <w:tc>
          <w:tcPr>
            <w:tcW w:w="4301" w:type="dxa"/>
            <w:tcBorders>
              <w:top w:val="single" w:sz="4" w:space="0" w:color="auto"/>
              <w:left w:val="single" w:sz="4" w:space="0" w:color="auto"/>
            </w:tcBorders>
            <w:shd w:val="clear" w:color="auto" w:fill="auto"/>
            <w:vAlign w:val="bottom"/>
          </w:tcPr>
          <w:p w14:paraId="4A3742B3" w14:textId="77777777" w:rsidR="00EC1C40" w:rsidRDefault="00000000">
            <w:pPr>
              <w:pStyle w:val="Jin0"/>
              <w:framePr w:w="10272" w:h="14573" w:wrap="none" w:vAnchor="page" w:hAnchor="page" w:x="831" w:y="1565"/>
              <w:spacing w:after="0"/>
              <w:ind w:firstLine="200"/>
              <w:rPr>
                <w:sz w:val="13"/>
                <w:szCs w:val="13"/>
              </w:rPr>
            </w:pPr>
            <w:r>
              <w:rPr>
                <w:rFonts w:ascii="Arial" w:eastAsia="Arial" w:hAnsi="Arial" w:cs="Arial"/>
                <w:sz w:val="13"/>
                <w:szCs w:val="13"/>
              </w:rPr>
              <w:t>SO.206 Splašková kanalizační přípojka malá hala</w:t>
            </w:r>
          </w:p>
        </w:tc>
        <w:tc>
          <w:tcPr>
            <w:tcW w:w="720" w:type="dxa"/>
            <w:tcBorders>
              <w:top w:val="single" w:sz="4" w:space="0" w:color="auto"/>
              <w:left w:val="single" w:sz="4" w:space="0" w:color="auto"/>
            </w:tcBorders>
            <w:shd w:val="clear" w:color="auto" w:fill="auto"/>
          </w:tcPr>
          <w:p w14:paraId="4506B03B" w14:textId="77777777" w:rsidR="00EC1C40" w:rsidRDefault="00EC1C40">
            <w:pPr>
              <w:framePr w:w="10272" w:h="14573" w:wrap="none" w:vAnchor="page" w:hAnchor="page" w:x="831" w:y="1565"/>
              <w:rPr>
                <w:sz w:val="10"/>
                <w:szCs w:val="10"/>
              </w:rPr>
            </w:pPr>
          </w:p>
        </w:tc>
        <w:tc>
          <w:tcPr>
            <w:tcW w:w="715" w:type="dxa"/>
            <w:tcBorders>
              <w:top w:val="single" w:sz="4" w:space="0" w:color="auto"/>
              <w:left w:val="single" w:sz="4" w:space="0" w:color="auto"/>
            </w:tcBorders>
            <w:shd w:val="clear" w:color="auto" w:fill="auto"/>
          </w:tcPr>
          <w:p w14:paraId="2CA3B428" w14:textId="77777777" w:rsidR="00EC1C40" w:rsidRDefault="00EC1C40">
            <w:pPr>
              <w:framePr w:w="10272" w:h="14573" w:wrap="none" w:vAnchor="page" w:hAnchor="page" w:x="831" w:y="1565"/>
              <w:rPr>
                <w:sz w:val="10"/>
                <w:szCs w:val="10"/>
              </w:rPr>
            </w:pPr>
          </w:p>
        </w:tc>
        <w:tc>
          <w:tcPr>
            <w:tcW w:w="3451" w:type="dxa"/>
            <w:tcBorders>
              <w:top w:val="single" w:sz="4" w:space="0" w:color="auto"/>
              <w:left w:val="single" w:sz="4" w:space="0" w:color="auto"/>
              <w:right w:val="single" w:sz="4" w:space="0" w:color="auto"/>
            </w:tcBorders>
            <w:shd w:val="clear" w:color="auto" w:fill="auto"/>
          </w:tcPr>
          <w:p w14:paraId="1F432B84" w14:textId="77777777" w:rsidR="00EC1C40" w:rsidRDefault="00EC1C40">
            <w:pPr>
              <w:framePr w:w="10272" w:h="14573" w:wrap="none" w:vAnchor="page" w:hAnchor="page" w:x="831" w:y="1565"/>
              <w:rPr>
                <w:sz w:val="10"/>
                <w:szCs w:val="10"/>
              </w:rPr>
            </w:pPr>
          </w:p>
        </w:tc>
      </w:tr>
      <w:tr w:rsidR="00EC1C40" w14:paraId="1B1AC6B5" w14:textId="77777777">
        <w:tblPrEx>
          <w:tblCellMar>
            <w:top w:w="0" w:type="dxa"/>
            <w:bottom w:w="0" w:type="dxa"/>
          </w:tblCellMar>
        </w:tblPrEx>
        <w:trPr>
          <w:trHeight w:hRule="exact" w:val="187"/>
        </w:trPr>
        <w:tc>
          <w:tcPr>
            <w:tcW w:w="1085" w:type="dxa"/>
            <w:tcBorders>
              <w:top w:val="single" w:sz="4" w:space="0" w:color="auto"/>
              <w:left w:val="single" w:sz="4" w:space="0" w:color="auto"/>
            </w:tcBorders>
            <w:shd w:val="clear" w:color="auto" w:fill="auto"/>
            <w:vAlign w:val="bottom"/>
          </w:tcPr>
          <w:p w14:paraId="7F2F0510" w14:textId="77777777" w:rsidR="00EC1C40" w:rsidRDefault="00000000">
            <w:pPr>
              <w:pStyle w:val="Jin0"/>
              <w:framePr w:w="10272" w:h="14573" w:wrap="none" w:vAnchor="page" w:hAnchor="page" w:x="831" w:y="1565"/>
              <w:spacing w:after="0"/>
              <w:ind w:firstLine="200"/>
              <w:rPr>
                <w:sz w:val="13"/>
                <w:szCs w:val="13"/>
              </w:rPr>
            </w:pPr>
            <w:r>
              <w:rPr>
                <w:rFonts w:ascii="Arial" w:eastAsia="Arial" w:hAnsi="Arial" w:cs="Arial"/>
                <w:sz w:val="13"/>
                <w:szCs w:val="13"/>
              </w:rPr>
              <w:t>2.2.6.4.207</w:t>
            </w:r>
          </w:p>
        </w:tc>
        <w:tc>
          <w:tcPr>
            <w:tcW w:w="4301" w:type="dxa"/>
            <w:tcBorders>
              <w:top w:val="single" w:sz="4" w:space="0" w:color="auto"/>
              <w:left w:val="single" w:sz="4" w:space="0" w:color="auto"/>
            </w:tcBorders>
            <w:shd w:val="clear" w:color="auto" w:fill="auto"/>
            <w:vAlign w:val="bottom"/>
          </w:tcPr>
          <w:p w14:paraId="49E223D5" w14:textId="77777777" w:rsidR="00EC1C40" w:rsidRDefault="00000000">
            <w:pPr>
              <w:pStyle w:val="Jin0"/>
              <w:framePr w:w="10272" w:h="14573" w:wrap="none" w:vAnchor="page" w:hAnchor="page" w:x="831" w:y="1565"/>
              <w:spacing w:after="0"/>
              <w:ind w:firstLine="200"/>
              <w:rPr>
                <w:sz w:val="13"/>
                <w:szCs w:val="13"/>
              </w:rPr>
            </w:pPr>
            <w:r>
              <w:rPr>
                <w:rFonts w:ascii="Arial" w:eastAsia="Arial" w:hAnsi="Arial" w:cs="Arial"/>
                <w:sz w:val="13"/>
                <w:szCs w:val="13"/>
              </w:rPr>
              <w:t>SO.207 Splašková kanalizační přípojka hotel</w:t>
            </w:r>
          </w:p>
        </w:tc>
        <w:tc>
          <w:tcPr>
            <w:tcW w:w="720" w:type="dxa"/>
            <w:tcBorders>
              <w:top w:val="single" w:sz="4" w:space="0" w:color="auto"/>
              <w:left w:val="single" w:sz="4" w:space="0" w:color="auto"/>
            </w:tcBorders>
            <w:shd w:val="clear" w:color="auto" w:fill="auto"/>
          </w:tcPr>
          <w:p w14:paraId="03858750" w14:textId="77777777" w:rsidR="00EC1C40" w:rsidRDefault="00EC1C40">
            <w:pPr>
              <w:framePr w:w="10272" w:h="14573" w:wrap="none" w:vAnchor="page" w:hAnchor="page" w:x="831" w:y="1565"/>
              <w:rPr>
                <w:sz w:val="10"/>
                <w:szCs w:val="10"/>
              </w:rPr>
            </w:pPr>
          </w:p>
        </w:tc>
        <w:tc>
          <w:tcPr>
            <w:tcW w:w="715" w:type="dxa"/>
            <w:tcBorders>
              <w:top w:val="single" w:sz="4" w:space="0" w:color="auto"/>
              <w:left w:val="single" w:sz="4" w:space="0" w:color="auto"/>
            </w:tcBorders>
            <w:shd w:val="clear" w:color="auto" w:fill="auto"/>
          </w:tcPr>
          <w:p w14:paraId="34A4AEE0" w14:textId="77777777" w:rsidR="00EC1C40" w:rsidRDefault="00EC1C40">
            <w:pPr>
              <w:framePr w:w="10272" w:h="14573" w:wrap="none" w:vAnchor="page" w:hAnchor="page" w:x="831" w:y="1565"/>
              <w:rPr>
                <w:sz w:val="10"/>
                <w:szCs w:val="10"/>
              </w:rPr>
            </w:pPr>
          </w:p>
        </w:tc>
        <w:tc>
          <w:tcPr>
            <w:tcW w:w="3451" w:type="dxa"/>
            <w:tcBorders>
              <w:top w:val="single" w:sz="4" w:space="0" w:color="auto"/>
              <w:left w:val="single" w:sz="4" w:space="0" w:color="auto"/>
              <w:right w:val="single" w:sz="4" w:space="0" w:color="auto"/>
            </w:tcBorders>
            <w:shd w:val="clear" w:color="auto" w:fill="auto"/>
          </w:tcPr>
          <w:p w14:paraId="2CD5A4AA" w14:textId="77777777" w:rsidR="00EC1C40" w:rsidRDefault="00EC1C40">
            <w:pPr>
              <w:framePr w:w="10272" w:h="14573" w:wrap="none" w:vAnchor="page" w:hAnchor="page" w:x="831" w:y="1565"/>
              <w:rPr>
                <w:sz w:val="10"/>
                <w:szCs w:val="10"/>
              </w:rPr>
            </w:pPr>
          </w:p>
        </w:tc>
      </w:tr>
      <w:tr w:rsidR="00EC1C40" w14:paraId="622012C9" w14:textId="77777777">
        <w:tblPrEx>
          <w:tblCellMar>
            <w:top w:w="0" w:type="dxa"/>
            <w:bottom w:w="0" w:type="dxa"/>
          </w:tblCellMar>
        </w:tblPrEx>
        <w:trPr>
          <w:trHeight w:hRule="exact" w:val="187"/>
        </w:trPr>
        <w:tc>
          <w:tcPr>
            <w:tcW w:w="1085" w:type="dxa"/>
            <w:tcBorders>
              <w:top w:val="single" w:sz="4" w:space="0" w:color="auto"/>
              <w:left w:val="single" w:sz="4" w:space="0" w:color="auto"/>
            </w:tcBorders>
            <w:shd w:val="clear" w:color="auto" w:fill="auto"/>
            <w:vAlign w:val="bottom"/>
          </w:tcPr>
          <w:p w14:paraId="6D45C307" w14:textId="77777777" w:rsidR="00EC1C40" w:rsidRDefault="00000000">
            <w:pPr>
              <w:pStyle w:val="Jin0"/>
              <w:framePr w:w="10272" w:h="14573" w:wrap="none" w:vAnchor="page" w:hAnchor="page" w:x="831" w:y="1565"/>
              <w:spacing w:after="0"/>
              <w:ind w:firstLine="200"/>
              <w:rPr>
                <w:sz w:val="13"/>
                <w:szCs w:val="13"/>
              </w:rPr>
            </w:pPr>
            <w:r>
              <w:rPr>
                <w:rFonts w:ascii="Arial" w:eastAsia="Arial" w:hAnsi="Arial" w:cs="Arial"/>
                <w:sz w:val="13"/>
                <w:szCs w:val="13"/>
              </w:rPr>
              <w:t>2.2.6.4.208</w:t>
            </w:r>
          </w:p>
        </w:tc>
        <w:tc>
          <w:tcPr>
            <w:tcW w:w="4301" w:type="dxa"/>
            <w:tcBorders>
              <w:top w:val="single" w:sz="4" w:space="0" w:color="auto"/>
              <w:left w:val="single" w:sz="4" w:space="0" w:color="auto"/>
            </w:tcBorders>
            <w:shd w:val="clear" w:color="auto" w:fill="auto"/>
            <w:vAlign w:val="bottom"/>
          </w:tcPr>
          <w:p w14:paraId="2857C301" w14:textId="77777777" w:rsidR="00EC1C40" w:rsidRDefault="00000000">
            <w:pPr>
              <w:pStyle w:val="Jin0"/>
              <w:framePr w:w="10272" w:h="14573" w:wrap="none" w:vAnchor="page" w:hAnchor="page" w:x="831" w:y="1565"/>
              <w:spacing w:after="0"/>
              <w:ind w:firstLine="200"/>
              <w:rPr>
                <w:sz w:val="13"/>
                <w:szCs w:val="13"/>
              </w:rPr>
            </w:pPr>
            <w:r>
              <w:rPr>
                <w:rFonts w:ascii="Arial" w:eastAsia="Arial" w:hAnsi="Arial" w:cs="Arial"/>
                <w:sz w:val="13"/>
                <w:szCs w:val="13"/>
              </w:rPr>
              <w:t xml:space="preserve">SO.208 Splašková kanalizační přípojka </w:t>
            </w:r>
            <w:r>
              <w:rPr>
                <w:rFonts w:ascii="Arial" w:eastAsia="Arial" w:hAnsi="Arial" w:cs="Arial"/>
                <w:sz w:val="13"/>
                <w:szCs w:val="13"/>
                <w:lang w:val="en-US" w:eastAsia="en-US" w:bidi="en-US"/>
              </w:rPr>
              <w:t>parking</w:t>
            </w:r>
          </w:p>
        </w:tc>
        <w:tc>
          <w:tcPr>
            <w:tcW w:w="720" w:type="dxa"/>
            <w:tcBorders>
              <w:top w:val="single" w:sz="4" w:space="0" w:color="auto"/>
              <w:left w:val="single" w:sz="4" w:space="0" w:color="auto"/>
            </w:tcBorders>
            <w:shd w:val="clear" w:color="auto" w:fill="auto"/>
          </w:tcPr>
          <w:p w14:paraId="49E0C0B9" w14:textId="77777777" w:rsidR="00EC1C40" w:rsidRDefault="00EC1C40">
            <w:pPr>
              <w:framePr w:w="10272" w:h="14573" w:wrap="none" w:vAnchor="page" w:hAnchor="page" w:x="831" w:y="1565"/>
              <w:rPr>
                <w:sz w:val="10"/>
                <w:szCs w:val="10"/>
              </w:rPr>
            </w:pPr>
          </w:p>
        </w:tc>
        <w:tc>
          <w:tcPr>
            <w:tcW w:w="715" w:type="dxa"/>
            <w:tcBorders>
              <w:top w:val="single" w:sz="4" w:space="0" w:color="auto"/>
              <w:left w:val="single" w:sz="4" w:space="0" w:color="auto"/>
            </w:tcBorders>
            <w:shd w:val="clear" w:color="auto" w:fill="auto"/>
          </w:tcPr>
          <w:p w14:paraId="4E4E5E5C" w14:textId="77777777" w:rsidR="00EC1C40" w:rsidRDefault="00EC1C40">
            <w:pPr>
              <w:framePr w:w="10272" w:h="14573" w:wrap="none" w:vAnchor="page" w:hAnchor="page" w:x="831" w:y="1565"/>
              <w:rPr>
                <w:sz w:val="10"/>
                <w:szCs w:val="10"/>
              </w:rPr>
            </w:pPr>
          </w:p>
        </w:tc>
        <w:tc>
          <w:tcPr>
            <w:tcW w:w="3451" w:type="dxa"/>
            <w:tcBorders>
              <w:top w:val="single" w:sz="4" w:space="0" w:color="auto"/>
              <w:left w:val="single" w:sz="4" w:space="0" w:color="auto"/>
              <w:right w:val="single" w:sz="4" w:space="0" w:color="auto"/>
            </w:tcBorders>
            <w:shd w:val="clear" w:color="auto" w:fill="auto"/>
          </w:tcPr>
          <w:p w14:paraId="2F86D181" w14:textId="77777777" w:rsidR="00EC1C40" w:rsidRDefault="00EC1C40">
            <w:pPr>
              <w:framePr w:w="10272" w:h="14573" w:wrap="none" w:vAnchor="page" w:hAnchor="page" w:x="831" w:y="1565"/>
              <w:rPr>
                <w:sz w:val="10"/>
                <w:szCs w:val="10"/>
              </w:rPr>
            </w:pPr>
          </w:p>
        </w:tc>
      </w:tr>
      <w:tr w:rsidR="00EC1C40" w14:paraId="78C922BD" w14:textId="77777777">
        <w:tblPrEx>
          <w:tblCellMar>
            <w:top w:w="0" w:type="dxa"/>
            <w:bottom w:w="0" w:type="dxa"/>
          </w:tblCellMar>
        </w:tblPrEx>
        <w:trPr>
          <w:trHeight w:hRule="exact" w:val="187"/>
        </w:trPr>
        <w:tc>
          <w:tcPr>
            <w:tcW w:w="1085" w:type="dxa"/>
            <w:tcBorders>
              <w:top w:val="single" w:sz="4" w:space="0" w:color="auto"/>
              <w:left w:val="single" w:sz="4" w:space="0" w:color="auto"/>
            </w:tcBorders>
            <w:shd w:val="clear" w:color="auto" w:fill="auto"/>
            <w:vAlign w:val="bottom"/>
          </w:tcPr>
          <w:p w14:paraId="037D8975" w14:textId="77777777" w:rsidR="00EC1C40" w:rsidRDefault="00000000">
            <w:pPr>
              <w:pStyle w:val="Jin0"/>
              <w:framePr w:w="10272" w:h="14573" w:wrap="none" w:vAnchor="page" w:hAnchor="page" w:x="831" w:y="1565"/>
              <w:spacing w:after="0"/>
              <w:ind w:firstLine="200"/>
              <w:rPr>
                <w:sz w:val="13"/>
                <w:szCs w:val="13"/>
              </w:rPr>
            </w:pPr>
            <w:r>
              <w:rPr>
                <w:rFonts w:ascii="Arial" w:eastAsia="Arial" w:hAnsi="Arial" w:cs="Arial"/>
                <w:sz w:val="13"/>
                <w:szCs w:val="13"/>
              </w:rPr>
              <w:t>2.2.6.4.209</w:t>
            </w:r>
          </w:p>
        </w:tc>
        <w:tc>
          <w:tcPr>
            <w:tcW w:w="4301" w:type="dxa"/>
            <w:tcBorders>
              <w:top w:val="single" w:sz="4" w:space="0" w:color="auto"/>
              <w:left w:val="single" w:sz="4" w:space="0" w:color="auto"/>
            </w:tcBorders>
            <w:shd w:val="clear" w:color="auto" w:fill="auto"/>
            <w:vAlign w:val="bottom"/>
          </w:tcPr>
          <w:p w14:paraId="020EF838" w14:textId="77777777" w:rsidR="00EC1C40" w:rsidRDefault="00000000">
            <w:pPr>
              <w:pStyle w:val="Jin0"/>
              <w:framePr w:w="10272" w:h="14573" w:wrap="none" w:vAnchor="page" w:hAnchor="page" w:x="831" w:y="1565"/>
              <w:spacing w:after="0"/>
              <w:ind w:firstLine="200"/>
              <w:rPr>
                <w:sz w:val="13"/>
                <w:szCs w:val="13"/>
              </w:rPr>
            </w:pPr>
            <w:r>
              <w:rPr>
                <w:rFonts w:ascii="Arial" w:eastAsia="Arial" w:hAnsi="Arial" w:cs="Arial"/>
                <w:sz w:val="13"/>
                <w:szCs w:val="13"/>
              </w:rPr>
              <w:t xml:space="preserve">SO.209 Splašková kanalizační přípojka </w:t>
            </w:r>
            <w:proofErr w:type="spellStart"/>
            <w:r>
              <w:rPr>
                <w:rFonts w:ascii="Arial" w:eastAsia="Arial" w:hAnsi="Arial" w:cs="Arial"/>
                <w:sz w:val="13"/>
                <w:szCs w:val="13"/>
              </w:rPr>
              <w:t>poz</w:t>
            </w:r>
            <w:proofErr w:type="spellEnd"/>
            <w:r>
              <w:rPr>
                <w:rFonts w:ascii="Arial" w:eastAsia="Arial" w:hAnsi="Arial" w:cs="Arial"/>
                <w:sz w:val="13"/>
                <w:szCs w:val="13"/>
              </w:rPr>
              <w:t>. 3680/3</w:t>
            </w:r>
          </w:p>
        </w:tc>
        <w:tc>
          <w:tcPr>
            <w:tcW w:w="720" w:type="dxa"/>
            <w:tcBorders>
              <w:top w:val="single" w:sz="4" w:space="0" w:color="auto"/>
              <w:left w:val="single" w:sz="4" w:space="0" w:color="auto"/>
            </w:tcBorders>
            <w:shd w:val="clear" w:color="auto" w:fill="auto"/>
          </w:tcPr>
          <w:p w14:paraId="13551DFD" w14:textId="77777777" w:rsidR="00EC1C40" w:rsidRDefault="00EC1C40">
            <w:pPr>
              <w:framePr w:w="10272" w:h="14573" w:wrap="none" w:vAnchor="page" w:hAnchor="page" w:x="831" w:y="1565"/>
              <w:rPr>
                <w:sz w:val="10"/>
                <w:szCs w:val="10"/>
              </w:rPr>
            </w:pPr>
          </w:p>
        </w:tc>
        <w:tc>
          <w:tcPr>
            <w:tcW w:w="715" w:type="dxa"/>
            <w:tcBorders>
              <w:top w:val="single" w:sz="4" w:space="0" w:color="auto"/>
              <w:left w:val="single" w:sz="4" w:space="0" w:color="auto"/>
            </w:tcBorders>
            <w:shd w:val="clear" w:color="auto" w:fill="auto"/>
          </w:tcPr>
          <w:p w14:paraId="436C3BBE" w14:textId="77777777" w:rsidR="00EC1C40" w:rsidRDefault="00EC1C40">
            <w:pPr>
              <w:framePr w:w="10272" w:h="14573" w:wrap="none" w:vAnchor="page" w:hAnchor="page" w:x="831" w:y="1565"/>
              <w:rPr>
                <w:sz w:val="10"/>
                <w:szCs w:val="10"/>
              </w:rPr>
            </w:pPr>
          </w:p>
        </w:tc>
        <w:tc>
          <w:tcPr>
            <w:tcW w:w="3451" w:type="dxa"/>
            <w:tcBorders>
              <w:top w:val="single" w:sz="4" w:space="0" w:color="auto"/>
              <w:left w:val="single" w:sz="4" w:space="0" w:color="auto"/>
              <w:right w:val="single" w:sz="4" w:space="0" w:color="auto"/>
            </w:tcBorders>
            <w:shd w:val="clear" w:color="auto" w:fill="auto"/>
          </w:tcPr>
          <w:p w14:paraId="2A3CC7C9" w14:textId="77777777" w:rsidR="00EC1C40" w:rsidRDefault="00EC1C40">
            <w:pPr>
              <w:framePr w:w="10272" w:h="14573" w:wrap="none" w:vAnchor="page" w:hAnchor="page" w:x="831" w:y="1565"/>
              <w:rPr>
                <w:sz w:val="10"/>
                <w:szCs w:val="10"/>
              </w:rPr>
            </w:pPr>
          </w:p>
        </w:tc>
      </w:tr>
      <w:tr w:rsidR="00EC1C40" w14:paraId="0E188455" w14:textId="77777777">
        <w:tblPrEx>
          <w:tblCellMar>
            <w:top w:w="0" w:type="dxa"/>
            <w:bottom w:w="0" w:type="dxa"/>
          </w:tblCellMar>
        </w:tblPrEx>
        <w:trPr>
          <w:trHeight w:hRule="exact" w:val="187"/>
        </w:trPr>
        <w:tc>
          <w:tcPr>
            <w:tcW w:w="1085" w:type="dxa"/>
            <w:tcBorders>
              <w:top w:val="single" w:sz="4" w:space="0" w:color="auto"/>
              <w:left w:val="single" w:sz="4" w:space="0" w:color="auto"/>
            </w:tcBorders>
            <w:shd w:val="clear" w:color="auto" w:fill="auto"/>
            <w:vAlign w:val="bottom"/>
          </w:tcPr>
          <w:p w14:paraId="574699C1" w14:textId="77777777" w:rsidR="00EC1C40" w:rsidRDefault="00000000">
            <w:pPr>
              <w:pStyle w:val="Jin0"/>
              <w:framePr w:w="10272" w:h="14573" w:wrap="none" w:vAnchor="page" w:hAnchor="page" w:x="831" w:y="1565"/>
              <w:spacing w:after="0"/>
              <w:ind w:firstLine="200"/>
              <w:rPr>
                <w:sz w:val="13"/>
                <w:szCs w:val="13"/>
              </w:rPr>
            </w:pPr>
            <w:r>
              <w:rPr>
                <w:rFonts w:ascii="Arial" w:eastAsia="Arial" w:hAnsi="Arial" w:cs="Arial"/>
                <w:sz w:val="13"/>
                <w:szCs w:val="13"/>
              </w:rPr>
              <w:t>2.2.6.4.210</w:t>
            </w:r>
          </w:p>
        </w:tc>
        <w:tc>
          <w:tcPr>
            <w:tcW w:w="4301" w:type="dxa"/>
            <w:tcBorders>
              <w:top w:val="single" w:sz="4" w:space="0" w:color="auto"/>
              <w:left w:val="single" w:sz="4" w:space="0" w:color="auto"/>
            </w:tcBorders>
            <w:shd w:val="clear" w:color="auto" w:fill="auto"/>
            <w:vAlign w:val="bottom"/>
          </w:tcPr>
          <w:p w14:paraId="4A856CEF" w14:textId="77777777" w:rsidR="00EC1C40" w:rsidRDefault="00000000">
            <w:pPr>
              <w:pStyle w:val="Jin0"/>
              <w:framePr w:w="10272" w:h="14573" w:wrap="none" w:vAnchor="page" w:hAnchor="page" w:x="831" w:y="1565"/>
              <w:spacing w:after="0"/>
              <w:ind w:firstLine="200"/>
              <w:rPr>
                <w:sz w:val="13"/>
                <w:szCs w:val="13"/>
              </w:rPr>
            </w:pPr>
            <w:r>
              <w:rPr>
                <w:rFonts w:ascii="Arial" w:eastAsia="Arial" w:hAnsi="Arial" w:cs="Arial"/>
                <w:sz w:val="13"/>
                <w:szCs w:val="13"/>
              </w:rPr>
              <w:t>SO.210 Splašková kanalizační přípojka objektu správy parku</w:t>
            </w:r>
          </w:p>
        </w:tc>
        <w:tc>
          <w:tcPr>
            <w:tcW w:w="720" w:type="dxa"/>
            <w:tcBorders>
              <w:top w:val="single" w:sz="4" w:space="0" w:color="auto"/>
              <w:left w:val="single" w:sz="4" w:space="0" w:color="auto"/>
            </w:tcBorders>
            <w:shd w:val="clear" w:color="auto" w:fill="auto"/>
          </w:tcPr>
          <w:p w14:paraId="7BB0F545" w14:textId="77777777" w:rsidR="00EC1C40" w:rsidRDefault="00EC1C40">
            <w:pPr>
              <w:framePr w:w="10272" w:h="14573" w:wrap="none" w:vAnchor="page" w:hAnchor="page" w:x="831" w:y="1565"/>
              <w:rPr>
                <w:sz w:val="10"/>
                <w:szCs w:val="10"/>
              </w:rPr>
            </w:pPr>
          </w:p>
        </w:tc>
        <w:tc>
          <w:tcPr>
            <w:tcW w:w="715" w:type="dxa"/>
            <w:tcBorders>
              <w:top w:val="single" w:sz="4" w:space="0" w:color="auto"/>
              <w:left w:val="single" w:sz="4" w:space="0" w:color="auto"/>
            </w:tcBorders>
            <w:shd w:val="clear" w:color="auto" w:fill="auto"/>
          </w:tcPr>
          <w:p w14:paraId="4EBE6036" w14:textId="77777777" w:rsidR="00EC1C40" w:rsidRDefault="00EC1C40">
            <w:pPr>
              <w:framePr w:w="10272" w:h="14573" w:wrap="none" w:vAnchor="page" w:hAnchor="page" w:x="831" w:y="1565"/>
              <w:rPr>
                <w:sz w:val="10"/>
                <w:szCs w:val="10"/>
              </w:rPr>
            </w:pPr>
          </w:p>
        </w:tc>
        <w:tc>
          <w:tcPr>
            <w:tcW w:w="3451" w:type="dxa"/>
            <w:tcBorders>
              <w:top w:val="single" w:sz="4" w:space="0" w:color="auto"/>
              <w:left w:val="single" w:sz="4" w:space="0" w:color="auto"/>
              <w:right w:val="single" w:sz="4" w:space="0" w:color="auto"/>
            </w:tcBorders>
            <w:shd w:val="clear" w:color="auto" w:fill="auto"/>
          </w:tcPr>
          <w:p w14:paraId="787DD31A" w14:textId="77777777" w:rsidR="00EC1C40" w:rsidRDefault="00EC1C40">
            <w:pPr>
              <w:framePr w:w="10272" w:h="14573" w:wrap="none" w:vAnchor="page" w:hAnchor="page" w:x="831" w:y="1565"/>
              <w:rPr>
                <w:sz w:val="10"/>
                <w:szCs w:val="10"/>
              </w:rPr>
            </w:pPr>
          </w:p>
        </w:tc>
      </w:tr>
      <w:tr w:rsidR="00EC1C40" w14:paraId="7ABE534F" w14:textId="77777777">
        <w:tblPrEx>
          <w:tblCellMar>
            <w:top w:w="0" w:type="dxa"/>
            <w:bottom w:w="0" w:type="dxa"/>
          </w:tblCellMar>
        </w:tblPrEx>
        <w:trPr>
          <w:trHeight w:hRule="exact" w:val="187"/>
        </w:trPr>
        <w:tc>
          <w:tcPr>
            <w:tcW w:w="1085" w:type="dxa"/>
            <w:tcBorders>
              <w:top w:val="single" w:sz="4" w:space="0" w:color="auto"/>
              <w:left w:val="single" w:sz="4" w:space="0" w:color="auto"/>
            </w:tcBorders>
            <w:shd w:val="clear" w:color="auto" w:fill="auto"/>
            <w:vAlign w:val="bottom"/>
          </w:tcPr>
          <w:p w14:paraId="5D997C55" w14:textId="77777777" w:rsidR="00EC1C40" w:rsidRDefault="00000000">
            <w:pPr>
              <w:pStyle w:val="Jin0"/>
              <w:framePr w:w="10272" w:h="14573" w:wrap="none" w:vAnchor="page" w:hAnchor="page" w:x="831" w:y="1565"/>
              <w:spacing w:after="0"/>
              <w:ind w:firstLine="200"/>
              <w:rPr>
                <w:sz w:val="13"/>
                <w:szCs w:val="13"/>
              </w:rPr>
            </w:pPr>
            <w:r>
              <w:rPr>
                <w:rFonts w:ascii="Arial" w:eastAsia="Arial" w:hAnsi="Arial" w:cs="Arial"/>
                <w:sz w:val="13"/>
                <w:szCs w:val="13"/>
              </w:rPr>
              <w:t>2.2.6.4.220</w:t>
            </w:r>
          </w:p>
        </w:tc>
        <w:tc>
          <w:tcPr>
            <w:tcW w:w="4301" w:type="dxa"/>
            <w:tcBorders>
              <w:top w:val="single" w:sz="4" w:space="0" w:color="auto"/>
              <w:left w:val="single" w:sz="4" w:space="0" w:color="auto"/>
            </w:tcBorders>
            <w:shd w:val="clear" w:color="auto" w:fill="auto"/>
            <w:vAlign w:val="bottom"/>
          </w:tcPr>
          <w:p w14:paraId="64439F58" w14:textId="77777777" w:rsidR="00EC1C40" w:rsidRDefault="00000000">
            <w:pPr>
              <w:pStyle w:val="Jin0"/>
              <w:framePr w:w="10272" w:h="14573" w:wrap="none" w:vAnchor="page" w:hAnchor="page" w:x="831" w:y="1565"/>
              <w:spacing w:after="0"/>
              <w:ind w:firstLine="200"/>
              <w:rPr>
                <w:sz w:val="13"/>
                <w:szCs w:val="13"/>
              </w:rPr>
            </w:pPr>
            <w:r>
              <w:rPr>
                <w:rFonts w:ascii="Arial" w:eastAsia="Arial" w:hAnsi="Arial" w:cs="Arial"/>
                <w:sz w:val="13"/>
                <w:szCs w:val="13"/>
              </w:rPr>
              <w:t>SO.220 Nádrž splachování</w:t>
            </w:r>
          </w:p>
        </w:tc>
        <w:tc>
          <w:tcPr>
            <w:tcW w:w="720" w:type="dxa"/>
            <w:tcBorders>
              <w:top w:val="single" w:sz="4" w:space="0" w:color="auto"/>
              <w:left w:val="single" w:sz="4" w:space="0" w:color="auto"/>
            </w:tcBorders>
            <w:shd w:val="clear" w:color="auto" w:fill="auto"/>
          </w:tcPr>
          <w:p w14:paraId="1144E457" w14:textId="77777777" w:rsidR="00EC1C40" w:rsidRDefault="00EC1C40">
            <w:pPr>
              <w:framePr w:w="10272" w:h="14573" w:wrap="none" w:vAnchor="page" w:hAnchor="page" w:x="831" w:y="1565"/>
              <w:rPr>
                <w:sz w:val="10"/>
                <w:szCs w:val="10"/>
              </w:rPr>
            </w:pPr>
          </w:p>
        </w:tc>
        <w:tc>
          <w:tcPr>
            <w:tcW w:w="715" w:type="dxa"/>
            <w:tcBorders>
              <w:top w:val="single" w:sz="4" w:space="0" w:color="auto"/>
              <w:left w:val="single" w:sz="4" w:space="0" w:color="auto"/>
            </w:tcBorders>
            <w:shd w:val="clear" w:color="auto" w:fill="auto"/>
          </w:tcPr>
          <w:p w14:paraId="1AF88A44" w14:textId="77777777" w:rsidR="00EC1C40" w:rsidRDefault="00EC1C40">
            <w:pPr>
              <w:framePr w:w="10272" w:h="14573" w:wrap="none" w:vAnchor="page" w:hAnchor="page" w:x="831" w:y="1565"/>
              <w:rPr>
                <w:sz w:val="10"/>
                <w:szCs w:val="10"/>
              </w:rPr>
            </w:pPr>
          </w:p>
        </w:tc>
        <w:tc>
          <w:tcPr>
            <w:tcW w:w="3451" w:type="dxa"/>
            <w:tcBorders>
              <w:top w:val="single" w:sz="4" w:space="0" w:color="auto"/>
              <w:left w:val="single" w:sz="4" w:space="0" w:color="auto"/>
              <w:right w:val="single" w:sz="4" w:space="0" w:color="auto"/>
            </w:tcBorders>
            <w:shd w:val="clear" w:color="auto" w:fill="auto"/>
          </w:tcPr>
          <w:p w14:paraId="4BDD1012" w14:textId="77777777" w:rsidR="00EC1C40" w:rsidRDefault="00EC1C40">
            <w:pPr>
              <w:framePr w:w="10272" w:h="14573" w:wrap="none" w:vAnchor="page" w:hAnchor="page" w:x="831" w:y="1565"/>
              <w:rPr>
                <w:sz w:val="10"/>
                <w:szCs w:val="10"/>
              </w:rPr>
            </w:pPr>
          </w:p>
        </w:tc>
      </w:tr>
      <w:tr w:rsidR="00EC1C40" w14:paraId="69429C7D" w14:textId="77777777">
        <w:tblPrEx>
          <w:tblCellMar>
            <w:top w:w="0" w:type="dxa"/>
            <w:bottom w:w="0" w:type="dxa"/>
          </w:tblCellMar>
        </w:tblPrEx>
        <w:trPr>
          <w:trHeight w:hRule="exact" w:val="182"/>
        </w:trPr>
        <w:tc>
          <w:tcPr>
            <w:tcW w:w="1085" w:type="dxa"/>
            <w:tcBorders>
              <w:top w:val="single" w:sz="4" w:space="0" w:color="auto"/>
              <w:left w:val="single" w:sz="4" w:space="0" w:color="auto"/>
            </w:tcBorders>
            <w:shd w:val="clear" w:color="auto" w:fill="auto"/>
          </w:tcPr>
          <w:p w14:paraId="728EF68E" w14:textId="77777777" w:rsidR="00EC1C40" w:rsidRDefault="00000000">
            <w:pPr>
              <w:pStyle w:val="Jin0"/>
              <w:framePr w:w="10272" w:h="14573" w:wrap="none" w:vAnchor="page" w:hAnchor="page" w:x="831" w:y="1565"/>
              <w:spacing w:after="0"/>
              <w:jc w:val="center"/>
              <w:rPr>
                <w:sz w:val="13"/>
                <w:szCs w:val="13"/>
              </w:rPr>
            </w:pPr>
            <w:r>
              <w:rPr>
                <w:rFonts w:ascii="Arial" w:eastAsia="Arial" w:hAnsi="Arial" w:cs="Arial"/>
                <w:sz w:val="13"/>
                <w:szCs w:val="13"/>
              </w:rPr>
              <w:t>2.2.6.4.221</w:t>
            </w:r>
          </w:p>
        </w:tc>
        <w:tc>
          <w:tcPr>
            <w:tcW w:w="4301" w:type="dxa"/>
            <w:tcBorders>
              <w:top w:val="single" w:sz="4" w:space="0" w:color="auto"/>
              <w:left w:val="single" w:sz="4" w:space="0" w:color="auto"/>
            </w:tcBorders>
            <w:shd w:val="clear" w:color="auto" w:fill="auto"/>
          </w:tcPr>
          <w:p w14:paraId="7195A556" w14:textId="77777777" w:rsidR="00EC1C40" w:rsidRDefault="00000000">
            <w:pPr>
              <w:pStyle w:val="Jin0"/>
              <w:framePr w:w="10272" w:h="14573" w:wrap="none" w:vAnchor="page" w:hAnchor="page" w:x="831" w:y="1565"/>
              <w:spacing w:after="0"/>
              <w:ind w:firstLine="200"/>
              <w:rPr>
                <w:sz w:val="13"/>
                <w:szCs w:val="13"/>
              </w:rPr>
            </w:pPr>
            <w:r>
              <w:rPr>
                <w:rFonts w:ascii="Arial" w:eastAsia="Arial" w:hAnsi="Arial" w:cs="Arial"/>
                <w:sz w:val="13"/>
                <w:szCs w:val="13"/>
              </w:rPr>
              <w:t>SO.221 Nádrž zálivka</w:t>
            </w:r>
          </w:p>
        </w:tc>
        <w:tc>
          <w:tcPr>
            <w:tcW w:w="720" w:type="dxa"/>
            <w:tcBorders>
              <w:top w:val="single" w:sz="4" w:space="0" w:color="auto"/>
              <w:left w:val="single" w:sz="4" w:space="0" w:color="auto"/>
            </w:tcBorders>
            <w:shd w:val="clear" w:color="auto" w:fill="auto"/>
          </w:tcPr>
          <w:p w14:paraId="14F4C8E9" w14:textId="77777777" w:rsidR="00EC1C40" w:rsidRDefault="00EC1C40">
            <w:pPr>
              <w:framePr w:w="10272" w:h="14573" w:wrap="none" w:vAnchor="page" w:hAnchor="page" w:x="831" w:y="1565"/>
              <w:rPr>
                <w:sz w:val="10"/>
                <w:szCs w:val="10"/>
              </w:rPr>
            </w:pPr>
          </w:p>
        </w:tc>
        <w:tc>
          <w:tcPr>
            <w:tcW w:w="715" w:type="dxa"/>
            <w:tcBorders>
              <w:top w:val="single" w:sz="4" w:space="0" w:color="auto"/>
              <w:left w:val="single" w:sz="4" w:space="0" w:color="auto"/>
            </w:tcBorders>
            <w:shd w:val="clear" w:color="auto" w:fill="auto"/>
          </w:tcPr>
          <w:p w14:paraId="0DCC3F15" w14:textId="77777777" w:rsidR="00EC1C40" w:rsidRDefault="00EC1C40">
            <w:pPr>
              <w:framePr w:w="10272" w:h="14573" w:wrap="none" w:vAnchor="page" w:hAnchor="page" w:x="831" w:y="1565"/>
              <w:rPr>
                <w:sz w:val="10"/>
                <w:szCs w:val="10"/>
              </w:rPr>
            </w:pPr>
          </w:p>
        </w:tc>
        <w:tc>
          <w:tcPr>
            <w:tcW w:w="3451" w:type="dxa"/>
            <w:tcBorders>
              <w:top w:val="single" w:sz="4" w:space="0" w:color="auto"/>
              <w:left w:val="single" w:sz="4" w:space="0" w:color="auto"/>
              <w:right w:val="single" w:sz="4" w:space="0" w:color="auto"/>
            </w:tcBorders>
            <w:shd w:val="clear" w:color="auto" w:fill="auto"/>
          </w:tcPr>
          <w:p w14:paraId="6F9CB116" w14:textId="77777777" w:rsidR="00EC1C40" w:rsidRDefault="00EC1C40">
            <w:pPr>
              <w:framePr w:w="10272" w:h="14573" w:wrap="none" w:vAnchor="page" w:hAnchor="page" w:x="831" w:y="1565"/>
              <w:rPr>
                <w:sz w:val="10"/>
                <w:szCs w:val="10"/>
              </w:rPr>
            </w:pPr>
          </w:p>
        </w:tc>
      </w:tr>
      <w:tr w:rsidR="00EC1C40" w14:paraId="6EBDE7E7" w14:textId="77777777">
        <w:tblPrEx>
          <w:tblCellMar>
            <w:top w:w="0" w:type="dxa"/>
            <w:bottom w:w="0" w:type="dxa"/>
          </w:tblCellMar>
        </w:tblPrEx>
        <w:trPr>
          <w:trHeight w:hRule="exact" w:val="187"/>
        </w:trPr>
        <w:tc>
          <w:tcPr>
            <w:tcW w:w="1085" w:type="dxa"/>
            <w:tcBorders>
              <w:top w:val="single" w:sz="4" w:space="0" w:color="auto"/>
              <w:left w:val="single" w:sz="4" w:space="0" w:color="auto"/>
            </w:tcBorders>
            <w:shd w:val="clear" w:color="auto" w:fill="auto"/>
            <w:vAlign w:val="bottom"/>
          </w:tcPr>
          <w:p w14:paraId="3B7A5F39" w14:textId="77777777" w:rsidR="00EC1C40" w:rsidRDefault="00000000">
            <w:pPr>
              <w:pStyle w:val="Jin0"/>
              <w:framePr w:w="10272" w:h="14573" w:wrap="none" w:vAnchor="page" w:hAnchor="page" w:x="831" w:y="1565"/>
              <w:spacing w:after="0"/>
              <w:jc w:val="center"/>
              <w:rPr>
                <w:sz w:val="13"/>
                <w:szCs w:val="13"/>
              </w:rPr>
            </w:pPr>
            <w:r>
              <w:rPr>
                <w:rFonts w:ascii="Arial" w:eastAsia="Arial" w:hAnsi="Arial" w:cs="Arial"/>
                <w:sz w:val="13"/>
                <w:szCs w:val="13"/>
              </w:rPr>
              <w:t>2.2.6.4.222</w:t>
            </w:r>
          </w:p>
        </w:tc>
        <w:tc>
          <w:tcPr>
            <w:tcW w:w="4301" w:type="dxa"/>
            <w:tcBorders>
              <w:top w:val="single" w:sz="4" w:space="0" w:color="auto"/>
              <w:left w:val="single" w:sz="4" w:space="0" w:color="auto"/>
            </w:tcBorders>
            <w:shd w:val="clear" w:color="auto" w:fill="auto"/>
            <w:vAlign w:val="bottom"/>
          </w:tcPr>
          <w:p w14:paraId="60A3D231" w14:textId="77777777" w:rsidR="00EC1C40" w:rsidRDefault="00000000">
            <w:pPr>
              <w:pStyle w:val="Jin0"/>
              <w:framePr w:w="10272" w:h="14573" w:wrap="none" w:vAnchor="page" w:hAnchor="page" w:x="831" w:y="1565"/>
              <w:spacing w:after="0"/>
              <w:ind w:firstLine="200"/>
              <w:rPr>
                <w:sz w:val="13"/>
                <w:szCs w:val="13"/>
              </w:rPr>
            </w:pPr>
            <w:r>
              <w:rPr>
                <w:rFonts w:ascii="Arial" w:eastAsia="Arial" w:hAnsi="Arial" w:cs="Arial"/>
                <w:sz w:val="13"/>
                <w:szCs w:val="13"/>
              </w:rPr>
              <w:t>SO.222 Dešťová kanalizace aréna</w:t>
            </w:r>
          </w:p>
        </w:tc>
        <w:tc>
          <w:tcPr>
            <w:tcW w:w="720" w:type="dxa"/>
            <w:tcBorders>
              <w:top w:val="single" w:sz="4" w:space="0" w:color="auto"/>
              <w:left w:val="single" w:sz="4" w:space="0" w:color="auto"/>
            </w:tcBorders>
            <w:shd w:val="clear" w:color="auto" w:fill="auto"/>
          </w:tcPr>
          <w:p w14:paraId="07C37C65" w14:textId="77777777" w:rsidR="00EC1C40" w:rsidRDefault="00EC1C40">
            <w:pPr>
              <w:framePr w:w="10272" w:h="14573" w:wrap="none" w:vAnchor="page" w:hAnchor="page" w:x="831" w:y="1565"/>
              <w:rPr>
                <w:sz w:val="10"/>
                <w:szCs w:val="10"/>
              </w:rPr>
            </w:pPr>
          </w:p>
        </w:tc>
        <w:tc>
          <w:tcPr>
            <w:tcW w:w="715" w:type="dxa"/>
            <w:tcBorders>
              <w:top w:val="single" w:sz="4" w:space="0" w:color="auto"/>
              <w:left w:val="single" w:sz="4" w:space="0" w:color="auto"/>
            </w:tcBorders>
            <w:shd w:val="clear" w:color="auto" w:fill="auto"/>
          </w:tcPr>
          <w:p w14:paraId="7187D2F4" w14:textId="77777777" w:rsidR="00EC1C40" w:rsidRDefault="00EC1C40">
            <w:pPr>
              <w:framePr w:w="10272" w:h="14573" w:wrap="none" w:vAnchor="page" w:hAnchor="page" w:x="831" w:y="1565"/>
              <w:rPr>
                <w:sz w:val="10"/>
                <w:szCs w:val="10"/>
              </w:rPr>
            </w:pPr>
          </w:p>
        </w:tc>
        <w:tc>
          <w:tcPr>
            <w:tcW w:w="3451" w:type="dxa"/>
            <w:tcBorders>
              <w:top w:val="single" w:sz="4" w:space="0" w:color="auto"/>
              <w:left w:val="single" w:sz="4" w:space="0" w:color="auto"/>
              <w:right w:val="single" w:sz="4" w:space="0" w:color="auto"/>
            </w:tcBorders>
            <w:shd w:val="clear" w:color="auto" w:fill="auto"/>
          </w:tcPr>
          <w:p w14:paraId="02B4D78D" w14:textId="77777777" w:rsidR="00EC1C40" w:rsidRDefault="00EC1C40">
            <w:pPr>
              <w:framePr w:w="10272" w:h="14573" w:wrap="none" w:vAnchor="page" w:hAnchor="page" w:x="831" w:y="1565"/>
              <w:rPr>
                <w:sz w:val="10"/>
                <w:szCs w:val="10"/>
              </w:rPr>
            </w:pPr>
          </w:p>
        </w:tc>
      </w:tr>
      <w:tr w:rsidR="00EC1C40" w14:paraId="7434EE4F" w14:textId="77777777">
        <w:tblPrEx>
          <w:tblCellMar>
            <w:top w:w="0" w:type="dxa"/>
            <w:bottom w:w="0" w:type="dxa"/>
          </w:tblCellMar>
        </w:tblPrEx>
        <w:trPr>
          <w:trHeight w:hRule="exact" w:val="187"/>
        </w:trPr>
        <w:tc>
          <w:tcPr>
            <w:tcW w:w="1085" w:type="dxa"/>
            <w:tcBorders>
              <w:top w:val="single" w:sz="4" w:space="0" w:color="auto"/>
              <w:left w:val="single" w:sz="4" w:space="0" w:color="auto"/>
            </w:tcBorders>
            <w:shd w:val="clear" w:color="auto" w:fill="auto"/>
            <w:vAlign w:val="bottom"/>
          </w:tcPr>
          <w:p w14:paraId="06768528" w14:textId="77777777" w:rsidR="00EC1C40" w:rsidRDefault="00000000">
            <w:pPr>
              <w:pStyle w:val="Jin0"/>
              <w:framePr w:w="10272" w:h="14573" w:wrap="none" w:vAnchor="page" w:hAnchor="page" w:x="831" w:y="1565"/>
              <w:spacing w:after="0"/>
              <w:jc w:val="center"/>
              <w:rPr>
                <w:sz w:val="13"/>
                <w:szCs w:val="13"/>
              </w:rPr>
            </w:pPr>
            <w:r>
              <w:rPr>
                <w:rFonts w:ascii="Arial" w:eastAsia="Arial" w:hAnsi="Arial" w:cs="Arial"/>
                <w:sz w:val="13"/>
                <w:szCs w:val="13"/>
              </w:rPr>
              <w:t>2.2.6.4.223</w:t>
            </w:r>
          </w:p>
        </w:tc>
        <w:tc>
          <w:tcPr>
            <w:tcW w:w="4301" w:type="dxa"/>
            <w:tcBorders>
              <w:top w:val="single" w:sz="4" w:space="0" w:color="auto"/>
              <w:left w:val="single" w:sz="4" w:space="0" w:color="auto"/>
            </w:tcBorders>
            <w:shd w:val="clear" w:color="auto" w:fill="auto"/>
            <w:vAlign w:val="bottom"/>
          </w:tcPr>
          <w:p w14:paraId="0BDEF9DF" w14:textId="77777777" w:rsidR="00EC1C40" w:rsidRDefault="00000000">
            <w:pPr>
              <w:pStyle w:val="Jin0"/>
              <w:framePr w:w="10272" w:h="14573" w:wrap="none" w:vAnchor="page" w:hAnchor="page" w:x="831" w:y="1565"/>
              <w:spacing w:after="0"/>
              <w:ind w:firstLine="200"/>
              <w:rPr>
                <w:sz w:val="13"/>
                <w:szCs w:val="13"/>
              </w:rPr>
            </w:pPr>
            <w:r>
              <w:rPr>
                <w:rFonts w:ascii="Arial" w:eastAsia="Arial" w:hAnsi="Arial" w:cs="Arial"/>
                <w:sz w:val="13"/>
                <w:szCs w:val="13"/>
              </w:rPr>
              <w:t>SO.223 Dešťová kanalizace areál</w:t>
            </w:r>
          </w:p>
        </w:tc>
        <w:tc>
          <w:tcPr>
            <w:tcW w:w="720" w:type="dxa"/>
            <w:tcBorders>
              <w:top w:val="single" w:sz="4" w:space="0" w:color="auto"/>
              <w:left w:val="single" w:sz="4" w:space="0" w:color="auto"/>
            </w:tcBorders>
            <w:shd w:val="clear" w:color="auto" w:fill="auto"/>
          </w:tcPr>
          <w:p w14:paraId="0424852E" w14:textId="77777777" w:rsidR="00EC1C40" w:rsidRDefault="00EC1C40">
            <w:pPr>
              <w:framePr w:w="10272" w:h="14573" w:wrap="none" w:vAnchor="page" w:hAnchor="page" w:x="831" w:y="1565"/>
              <w:rPr>
                <w:sz w:val="10"/>
                <w:szCs w:val="10"/>
              </w:rPr>
            </w:pPr>
          </w:p>
        </w:tc>
        <w:tc>
          <w:tcPr>
            <w:tcW w:w="715" w:type="dxa"/>
            <w:tcBorders>
              <w:top w:val="single" w:sz="4" w:space="0" w:color="auto"/>
              <w:left w:val="single" w:sz="4" w:space="0" w:color="auto"/>
            </w:tcBorders>
            <w:shd w:val="clear" w:color="auto" w:fill="auto"/>
          </w:tcPr>
          <w:p w14:paraId="0815ECC9" w14:textId="77777777" w:rsidR="00EC1C40" w:rsidRDefault="00EC1C40">
            <w:pPr>
              <w:framePr w:w="10272" w:h="14573" w:wrap="none" w:vAnchor="page" w:hAnchor="page" w:x="831" w:y="1565"/>
              <w:rPr>
                <w:sz w:val="10"/>
                <w:szCs w:val="10"/>
              </w:rPr>
            </w:pPr>
          </w:p>
        </w:tc>
        <w:tc>
          <w:tcPr>
            <w:tcW w:w="3451" w:type="dxa"/>
            <w:tcBorders>
              <w:top w:val="single" w:sz="4" w:space="0" w:color="auto"/>
              <w:left w:val="single" w:sz="4" w:space="0" w:color="auto"/>
              <w:right w:val="single" w:sz="4" w:space="0" w:color="auto"/>
            </w:tcBorders>
            <w:shd w:val="clear" w:color="auto" w:fill="auto"/>
          </w:tcPr>
          <w:p w14:paraId="4C29A1E7" w14:textId="77777777" w:rsidR="00EC1C40" w:rsidRDefault="00EC1C40">
            <w:pPr>
              <w:framePr w:w="10272" w:h="14573" w:wrap="none" w:vAnchor="page" w:hAnchor="page" w:x="831" w:y="1565"/>
              <w:rPr>
                <w:sz w:val="10"/>
                <w:szCs w:val="10"/>
              </w:rPr>
            </w:pPr>
          </w:p>
        </w:tc>
      </w:tr>
      <w:tr w:rsidR="00EC1C40" w14:paraId="73AE01E8" w14:textId="77777777">
        <w:tblPrEx>
          <w:tblCellMar>
            <w:top w:w="0" w:type="dxa"/>
            <w:bottom w:w="0" w:type="dxa"/>
          </w:tblCellMar>
        </w:tblPrEx>
        <w:trPr>
          <w:trHeight w:hRule="exact" w:val="187"/>
        </w:trPr>
        <w:tc>
          <w:tcPr>
            <w:tcW w:w="1085" w:type="dxa"/>
            <w:tcBorders>
              <w:top w:val="single" w:sz="4" w:space="0" w:color="auto"/>
              <w:left w:val="single" w:sz="4" w:space="0" w:color="auto"/>
            </w:tcBorders>
            <w:shd w:val="clear" w:color="auto" w:fill="auto"/>
            <w:vAlign w:val="bottom"/>
          </w:tcPr>
          <w:p w14:paraId="2DA75346" w14:textId="77777777" w:rsidR="00EC1C40" w:rsidRDefault="00000000">
            <w:pPr>
              <w:pStyle w:val="Jin0"/>
              <w:framePr w:w="10272" w:h="14573" w:wrap="none" w:vAnchor="page" w:hAnchor="page" w:x="831" w:y="1565"/>
              <w:spacing w:after="0"/>
              <w:ind w:firstLine="200"/>
              <w:rPr>
                <w:sz w:val="13"/>
                <w:szCs w:val="13"/>
              </w:rPr>
            </w:pPr>
            <w:r>
              <w:rPr>
                <w:rFonts w:ascii="Arial" w:eastAsia="Arial" w:hAnsi="Arial" w:cs="Arial"/>
                <w:sz w:val="13"/>
                <w:szCs w:val="13"/>
              </w:rPr>
              <w:t>2.2.6.4.224</w:t>
            </w:r>
          </w:p>
        </w:tc>
        <w:tc>
          <w:tcPr>
            <w:tcW w:w="4301" w:type="dxa"/>
            <w:tcBorders>
              <w:top w:val="single" w:sz="4" w:space="0" w:color="auto"/>
              <w:left w:val="single" w:sz="4" w:space="0" w:color="auto"/>
            </w:tcBorders>
            <w:shd w:val="clear" w:color="auto" w:fill="auto"/>
            <w:vAlign w:val="bottom"/>
          </w:tcPr>
          <w:p w14:paraId="0732609A" w14:textId="77777777" w:rsidR="00EC1C40" w:rsidRDefault="00000000">
            <w:pPr>
              <w:pStyle w:val="Jin0"/>
              <w:framePr w:w="10272" w:h="14573" w:wrap="none" w:vAnchor="page" w:hAnchor="page" w:x="831" w:y="1565"/>
              <w:spacing w:after="0"/>
              <w:ind w:firstLine="200"/>
              <w:rPr>
                <w:sz w:val="13"/>
                <w:szCs w:val="13"/>
              </w:rPr>
            </w:pPr>
            <w:r>
              <w:rPr>
                <w:rFonts w:ascii="Arial" w:eastAsia="Arial" w:hAnsi="Arial" w:cs="Arial"/>
                <w:sz w:val="13"/>
                <w:szCs w:val="13"/>
              </w:rPr>
              <w:t>SO.224 Odtok do jezírka</w:t>
            </w:r>
          </w:p>
        </w:tc>
        <w:tc>
          <w:tcPr>
            <w:tcW w:w="720" w:type="dxa"/>
            <w:tcBorders>
              <w:top w:val="single" w:sz="4" w:space="0" w:color="auto"/>
              <w:left w:val="single" w:sz="4" w:space="0" w:color="auto"/>
            </w:tcBorders>
            <w:shd w:val="clear" w:color="auto" w:fill="auto"/>
          </w:tcPr>
          <w:p w14:paraId="32B0A1F4" w14:textId="77777777" w:rsidR="00EC1C40" w:rsidRDefault="00EC1C40">
            <w:pPr>
              <w:framePr w:w="10272" w:h="14573" w:wrap="none" w:vAnchor="page" w:hAnchor="page" w:x="831" w:y="1565"/>
              <w:rPr>
                <w:sz w:val="10"/>
                <w:szCs w:val="10"/>
              </w:rPr>
            </w:pPr>
          </w:p>
        </w:tc>
        <w:tc>
          <w:tcPr>
            <w:tcW w:w="715" w:type="dxa"/>
            <w:tcBorders>
              <w:top w:val="single" w:sz="4" w:space="0" w:color="auto"/>
              <w:left w:val="single" w:sz="4" w:space="0" w:color="auto"/>
            </w:tcBorders>
            <w:shd w:val="clear" w:color="auto" w:fill="auto"/>
          </w:tcPr>
          <w:p w14:paraId="3D41D559" w14:textId="77777777" w:rsidR="00EC1C40" w:rsidRDefault="00EC1C40">
            <w:pPr>
              <w:framePr w:w="10272" w:h="14573" w:wrap="none" w:vAnchor="page" w:hAnchor="page" w:x="831" w:y="1565"/>
              <w:rPr>
                <w:sz w:val="10"/>
                <w:szCs w:val="10"/>
              </w:rPr>
            </w:pPr>
          </w:p>
        </w:tc>
        <w:tc>
          <w:tcPr>
            <w:tcW w:w="3451" w:type="dxa"/>
            <w:tcBorders>
              <w:top w:val="single" w:sz="4" w:space="0" w:color="auto"/>
              <w:left w:val="single" w:sz="4" w:space="0" w:color="auto"/>
              <w:right w:val="single" w:sz="4" w:space="0" w:color="auto"/>
            </w:tcBorders>
            <w:shd w:val="clear" w:color="auto" w:fill="auto"/>
          </w:tcPr>
          <w:p w14:paraId="21A28AA8" w14:textId="77777777" w:rsidR="00EC1C40" w:rsidRDefault="00EC1C40">
            <w:pPr>
              <w:framePr w:w="10272" w:h="14573" w:wrap="none" w:vAnchor="page" w:hAnchor="page" w:x="831" w:y="1565"/>
              <w:rPr>
                <w:sz w:val="10"/>
                <w:szCs w:val="10"/>
              </w:rPr>
            </w:pPr>
          </w:p>
        </w:tc>
      </w:tr>
      <w:tr w:rsidR="00EC1C40" w14:paraId="774CE4B8" w14:textId="77777777">
        <w:tblPrEx>
          <w:tblCellMar>
            <w:top w:w="0" w:type="dxa"/>
            <w:bottom w:w="0" w:type="dxa"/>
          </w:tblCellMar>
        </w:tblPrEx>
        <w:trPr>
          <w:trHeight w:hRule="exact" w:val="187"/>
        </w:trPr>
        <w:tc>
          <w:tcPr>
            <w:tcW w:w="1085" w:type="dxa"/>
            <w:tcBorders>
              <w:top w:val="single" w:sz="4" w:space="0" w:color="auto"/>
              <w:left w:val="single" w:sz="4" w:space="0" w:color="auto"/>
            </w:tcBorders>
            <w:shd w:val="clear" w:color="auto" w:fill="auto"/>
            <w:vAlign w:val="bottom"/>
          </w:tcPr>
          <w:p w14:paraId="758C07EE" w14:textId="77777777" w:rsidR="00EC1C40" w:rsidRDefault="00000000">
            <w:pPr>
              <w:pStyle w:val="Jin0"/>
              <w:framePr w:w="10272" w:h="14573" w:wrap="none" w:vAnchor="page" w:hAnchor="page" w:x="831" w:y="1565"/>
              <w:spacing w:after="0"/>
              <w:ind w:firstLine="200"/>
              <w:rPr>
                <w:sz w:val="13"/>
                <w:szCs w:val="13"/>
              </w:rPr>
            </w:pPr>
            <w:r>
              <w:rPr>
                <w:rFonts w:ascii="Arial" w:eastAsia="Arial" w:hAnsi="Arial" w:cs="Arial"/>
                <w:sz w:val="13"/>
                <w:szCs w:val="13"/>
              </w:rPr>
              <w:t>2.2.4.4.224</w:t>
            </w:r>
          </w:p>
        </w:tc>
        <w:tc>
          <w:tcPr>
            <w:tcW w:w="4301" w:type="dxa"/>
            <w:tcBorders>
              <w:top w:val="single" w:sz="4" w:space="0" w:color="auto"/>
              <w:left w:val="single" w:sz="4" w:space="0" w:color="auto"/>
            </w:tcBorders>
            <w:shd w:val="clear" w:color="auto" w:fill="auto"/>
            <w:vAlign w:val="bottom"/>
          </w:tcPr>
          <w:p w14:paraId="18192FF9" w14:textId="77777777" w:rsidR="00EC1C40" w:rsidRDefault="00000000">
            <w:pPr>
              <w:pStyle w:val="Jin0"/>
              <w:framePr w:w="10272" w:h="14573" w:wrap="none" w:vAnchor="page" w:hAnchor="page" w:x="831" w:y="1565"/>
              <w:spacing w:after="0"/>
              <w:ind w:firstLine="200"/>
              <w:rPr>
                <w:sz w:val="13"/>
                <w:szCs w:val="13"/>
              </w:rPr>
            </w:pPr>
            <w:r>
              <w:rPr>
                <w:rFonts w:ascii="Arial" w:eastAsia="Arial" w:hAnsi="Arial" w:cs="Arial"/>
                <w:sz w:val="13"/>
                <w:szCs w:val="13"/>
              </w:rPr>
              <w:t>SO.225 Jezírko a přepad do vodoteče</w:t>
            </w:r>
          </w:p>
        </w:tc>
        <w:tc>
          <w:tcPr>
            <w:tcW w:w="720" w:type="dxa"/>
            <w:tcBorders>
              <w:top w:val="single" w:sz="4" w:space="0" w:color="auto"/>
              <w:left w:val="single" w:sz="4" w:space="0" w:color="auto"/>
            </w:tcBorders>
            <w:shd w:val="clear" w:color="auto" w:fill="auto"/>
          </w:tcPr>
          <w:p w14:paraId="19521656" w14:textId="77777777" w:rsidR="00EC1C40" w:rsidRDefault="00EC1C40">
            <w:pPr>
              <w:framePr w:w="10272" w:h="14573" w:wrap="none" w:vAnchor="page" w:hAnchor="page" w:x="831" w:y="1565"/>
              <w:rPr>
                <w:sz w:val="10"/>
                <w:szCs w:val="10"/>
              </w:rPr>
            </w:pPr>
          </w:p>
        </w:tc>
        <w:tc>
          <w:tcPr>
            <w:tcW w:w="715" w:type="dxa"/>
            <w:tcBorders>
              <w:top w:val="single" w:sz="4" w:space="0" w:color="auto"/>
              <w:left w:val="single" w:sz="4" w:space="0" w:color="auto"/>
            </w:tcBorders>
            <w:shd w:val="clear" w:color="auto" w:fill="auto"/>
          </w:tcPr>
          <w:p w14:paraId="7D2FA187" w14:textId="77777777" w:rsidR="00EC1C40" w:rsidRDefault="00EC1C40">
            <w:pPr>
              <w:framePr w:w="10272" w:h="14573" w:wrap="none" w:vAnchor="page" w:hAnchor="page" w:x="831" w:y="1565"/>
              <w:rPr>
                <w:sz w:val="10"/>
                <w:szCs w:val="10"/>
              </w:rPr>
            </w:pPr>
          </w:p>
        </w:tc>
        <w:tc>
          <w:tcPr>
            <w:tcW w:w="3451" w:type="dxa"/>
            <w:tcBorders>
              <w:top w:val="single" w:sz="4" w:space="0" w:color="auto"/>
              <w:left w:val="single" w:sz="4" w:space="0" w:color="auto"/>
              <w:right w:val="single" w:sz="4" w:space="0" w:color="auto"/>
            </w:tcBorders>
            <w:shd w:val="clear" w:color="auto" w:fill="auto"/>
          </w:tcPr>
          <w:p w14:paraId="2754B267" w14:textId="77777777" w:rsidR="00EC1C40" w:rsidRDefault="00EC1C40">
            <w:pPr>
              <w:framePr w:w="10272" w:h="14573" w:wrap="none" w:vAnchor="page" w:hAnchor="page" w:x="831" w:y="1565"/>
              <w:rPr>
                <w:sz w:val="10"/>
                <w:szCs w:val="10"/>
              </w:rPr>
            </w:pPr>
          </w:p>
        </w:tc>
      </w:tr>
      <w:tr w:rsidR="00EC1C40" w14:paraId="0B8CCBBB" w14:textId="77777777">
        <w:tblPrEx>
          <w:tblCellMar>
            <w:top w:w="0" w:type="dxa"/>
            <w:bottom w:w="0" w:type="dxa"/>
          </w:tblCellMar>
        </w:tblPrEx>
        <w:trPr>
          <w:trHeight w:hRule="exact" w:val="187"/>
        </w:trPr>
        <w:tc>
          <w:tcPr>
            <w:tcW w:w="1085" w:type="dxa"/>
            <w:tcBorders>
              <w:top w:val="single" w:sz="4" w:space="0" w:color="auto"/>
              <w:left w:val="single" w:sz="4" w:space="0" w:color="auto"/>
            </w:tcBorders>
            <w:shd w:val="clear" w:color="auto" w:fill="F5EA02"/>
            <w:vAlign w:val="bottom"/>
          </w:tcPr>
          <w:p w14:paraId="5BEF55BC" w14:textId="77777777" w:rsidR="00EC1C40" w:rsidRDefault="00000000">
            <w:pPr>
              <w:pStyle w:val="Jin0"/>
              <w:framePr w:w="10272" w:h="14573" w:wrap="none" w:vAnchor="page" w:hAnchor="page" w:x="831" w:y="1565"/>
              <w:spacing w:after="0"/>
              <w:jc w:val="center"/>
              <w:rPr>
                <w:sz w:val="13"/>
                <w:szCs w:val="13"/>
              </w:rPr>
            </w:pPr>
            <w:r>
              <w:rPr>
                <w:rFonts w:ascii="Arial" w:eastAsia="Arial" w:hAnsi="Arial" w:cs="Arial"/>
                <w:b/>
                <w:bCs/>
                <w:sz w:val="13"/>
                <w:szCs w:val="13"/>
              </w:rPr>
              <w:t>2.2.6.4.226</w:t>
            </w:r>
          </w:p>
        </w:tc>
        <w:tc>
          <w:tcPr>
            <w:tcW w:w="4301" w:type="dxa"/>
            <w:tcBorders>
              <w:top w:val="single" w:sz="4" w:space="0" w:color="auto"/>
              <w:left w:val="single" w:sz="4" w:space="0" w:color="auto"/>
            </w:tcBorders>
            <w:shd w:val="clear" w:color="auto" w:fill="F5EA02"/>
            <w:vAlign w:val="bottom"/>
          </w:tcPr>
          <w:p w14:paraId="07B906E9" w14:textId="77777777" w:rsidR="00EC1C40" w:rsidRDefault="00000000">
            <w:pPr>
              <w:pStyle w:val="Jin0"/>
              <w:framePr w:w="10272" w:h="14573" w:wrap="none" w:vAnchor="page" w:hAnchor="page" w:x="831" w:y="1565"/>
              <w:spacing w:after="0"/>
              <w:ind w:firstLine="200"/>
              <w:rPr>
                <w:sz w:val="13"/>
                <w:szCs w:val="13"/>
              </w:rPr>
            </w:pPr>
            <w:r>
              <w:rPr>
                <w:rFonts w:ascii="Arial" w:eastAsia="Arial" w:hAnsi="Arial" w:cs="Arial"/>
                <w:b/>
                <w:bCs/>
                <w:sz w:val="13"/>
                <w:szCs w:val="13"/>
              </w:rPr>
              <w:t>SO.226 Dešťové přípojky areál</w:t>
            </w:r>
          </w:p>
        </w:tc>
        <w:tc>
          <w:tcPr>
            <w:tcW w:w="720" w:type="dxa"/>
            <w:tcBorders>
              <w:top w:val="single" w:sz="4" w:space="0" w:color="auto"/>
              <w:left w:val="single" w:sz="4" w:space="0" w:color="auto"/>
            </w:tcBorders>
            <w:shd w:val="clear" w:color="auto" w:fill="auto"/>
          </w:tcPr>
          <w:p w14:paraId="604AC48D" w14:textId="77777777" w:rsidR="00EC1C40" w:rsidRDefault="00EC1C40">
            <w:pPr>
              <w:framePr w:w="10272" w:h="14573" w:wrap="none" w:vAnchor="page" w:hAnchor="page" w:x="831" w:y="1565"/>
              <w:rPr>
                <w:sz w:val="10"/>
                <w:szCs w:val="10"/>
              </w:rPr>
            </w:pPr>
          </w:p>
        </w:tc>
        <w:tc>
          <w:tcPr>
            <w:tcW w:w="715" w:type="dxa"/>
            <w:tcBorders>
              <w:top w:val="single" w:sz="4" w:space="0" w:color="auto"/>
              <w:left w:val="single" w:sz="4" w:space="0" w:color="auto"/>
            </w:tcBorders>
            <w:shd w:val="clear" w:color="auto" w:fill="F6EDD1"/>
          </w:tcPr>
          <w:p w14:paraId="2F633FFF" w14:textId="77777777" w:rsidR="00EC1C40" w:rsidRDefault="00EC1C40">
            <w:pPr>
              <w:framePr w:w="10272" w:h="14573" w:wrap="none" w:vAnchor="page" w:hAnchor="page" w:x="831" w:y="1565"/>
              <w:rPr>
                <w:sz w:val="10"/>
                <w:szCs w:val="10"/>
              </w:rPr>
            </w:pPr>
          </w:p>
        </w:tc>
        <w:tc>
          <w:tcPr>
            <w:tcW w:w="3451" w:type="dxa"/>
            <w:tcBorders>
              <w:top w:val="single" w:sz="4" w:space="0" w:color="auto"/>
              <w:left w:val="single" w:sz="4" w:space="0" w:color="auto"/>
              <w:right w:val="single" w:sz="4" w:space="0" w:color="auto"/>
            </w:tcBorders>
            <w:shd w:val="clear" w:color="auto" w:fill="auto"/>
            <w:vAlign w:val="bottom"/>
          </w:tcPr>
          <w:p w14:paraId="0D9AED43" w14:textId="77777777" w:rsidR="00EC1C40" w:rsidRDefault="00000000">
            <w:pPr>
              <w:pStyle w:val="Jin0"/>
              <w:framePr w:w="10272" w:h="14573" w:wrap="none" w:vAnchor="page" w:hAnchor="page" w:x="831" w:y="1565"/>
              <w:spacing w:after="0"/>
              <w:rPr>
                <w:sz w:val="11"/>
                <w:szCs w:val="11"/>
              </w:rPr>
            </w:pPr>
            <w:r>
              <w:rPr>
                <w:sz w:val="11"/>
                <w:szCs w:val="11"/>
              </w:rPr>
              <w:t>v rozsahu souvisejícím s převáděnými komunikacemi</w:t>
            </w:r>
          </w:p>
        </w:tc>
      </w:tr>
      <w:tr w:rsidR="00EC1C40" w14:paraId="39B3BBCC" w14:textId="77777777">
        <w:tblPrEx>
          <w:tblCellMar>
            <w:top w:w="0" w:type="dxa"/>
            <w:bottom w:w="0" w:type="dxa"/>
          </w:tblCellMar>
        </w:tblPrEx>
        <w:trPr>
          <w:trHeight w:hRule="exact" w:val="187"/>
        </w:trPr>
        <w:tc>
          <w:tcPr>
            <w:tcW w:w="1085" w:type="dxa"/>
            <w:tcBorders>
              <w:top w:val="single" w:sz="4" w:space="0" w:color="auto"/>
              <w:left w:val="single" w:sz="4" w:space="0" w:color="auto"/>
            </w:tcBorders>
            <w:shd w:val="clear" w:color="auto" w:fill="F5EA02"/>
            <w:vAlign w:val="bottom"/>
          </w:tcPr>
          <w:p w14:paraId="337074BD" w14:textId="77777777" w:rsidR="00EC1C40" w:rsidRDefault="00000000">
            <w:pPr>
              <w:pStyle w:val="Jin0"/>
              <w:framePr w:w="10272" w:h="14573" w:wrap="none" w:vAnchor="page" w:hAnchor="page" w:x="831" w:y="1565"/>
              <w:spacing w:after="0"/>
              <w:ind w:firstLine="200"/>
              <w:rPr>
                <w:sz w:val="13"/>
                <w:szCs w:val="13"/>
              </w:rPr>
            </w:pPr>
            <w:r>
              <w:rPr>
                <w:rFonts w:ascii="Arial" w:eastAsia="Arial" w:hAnsi="Arial" w:cs="Arial"/>
                <w:b/>
                <w:bCs/>
                <w:sz w:val="13"/>
                <w:szCs w:val="13"/>
              </w:rPr>
              <w:t>2.2.6.4.230</w:t>
            </w:r>
          </w:p>
        </w:tc>
        <w:tc>
          <w:tcPr>
            <w:tcW w:w="4301" w:type="dxa"/>
            <w:tcBorders>
              <w:top w:val="single" w:sz="4" w:space="0" w:color="auto"/>
              <w:left w:val="single" w:sz="4" w:space="0" w:color="auto"/>
            </w:tcBorders>
            <w:shd w:val="clear" w:color="auto" w:fill="F5EA02"/>
            <w:vAlign w:val="bottom"/>
          </w:tcPr>
          <w:p w14:paraId="7C3B4C26" w14:textId="77777777" w:rsidR="00EC1C40" w:rsidRDefault="00000000">
            <w:pPr>
              <w:pStyle w:val="Jin0"/>
              <w:framePr w:w="10272" w:h="14573" w:wrap="none" w:vAnchor="page" w:hAnchor="page" w:x="831" w:y="1565"/>
              <w:spacing w:after="0"/>
              <w:ind w:firstLine="200"/>
              <w:rPr>
                <w:sz w:val="13"/>
                <w:szCs w:val="13"/>
              </w:rPr>
            </w:pPr>
            <w:r>
              <w:rPr>
                <w:rFonts w:ascii="Arial" w:eastAsia="Arial" w:hAnsi="Arial" w:cs="Arial"/>
                <w:b/>
                <w:bCs/>
                <w:sz w:val="13"/>
                <w:szCs w:val="13"/>
              </w:rPr>
              <w:t>SO.230 Vodovodní řady</w:t>
            </w:r>
          </w:p>
        </w:tc>
        <w:tc>
          <w:tcPr>
            <w:tcW w:w="720" w:type="dxa"/>
            <w:tcBorders>
              <w:top w:val="single" w:sz="4" w:space="0" w:color="auto"/>
              <w:left w:val="single" w:sz="4" w:space="0" w:color="auto"/>
            </w:tcBorders>
            <w:shd w:val="clear" w:color="auto" w:fill="F0B9B4"/>
          </w:tcPr>
          <w:p w14:paraId="09E557AD" w14:textId="77777777" w:rsidR="00EC1C40" w:rsidRDefault="00EC1C40">
            <w:pPr>
              <w:framePr w:w="10272" w:h="14573" w:wrap="none" w:vAnchor="page" w:hAnchor="page" w:x="831" w:y="1565"/>
              <w:rPr>
                <w:sz w:val="10"/>
                <w:szCs w:val="10"/>
              </w:rPr>
            </w:pPr>
          </w:p>
        </w:tc>
        <w:tc>
          <w:tcPr>
            <w:tcW w:w="715" w:type="dxa"/>
            <w:tcBorders>
              <w:top w:val="single" w:sz="4" w:space="0" w:color="auto"/>
              <w:left w:val="single" w:sz="4" w:space="0" w:color="auto"/>
            </w:tcBorders>
            <w:shd w:val="clear" w:color="auto" w:fill="auto"/>
          </w:tcPr>
          <w:p w14:paraId="3E6143B7" w14:textId="77777777" w:rsidR="00EC1C40" w:rsidRDefault="00EC1C40">
            <w:pPr>
              <w:framePr w:w="10272" w:h="14573" w:wrap="none" w:vAnchor="page" w:hAnchor="page" w:x="831" w:y="1565"/>
              <w:rPr>
                <w:sz w:val="10"/>
                <w:szCs w:val="10"/>
              </w:rPr>
            </w:pPr>
          </w:p>
        </w:tc>
        <w:tc>
          <w:tcPr>
            <w:tcW w:w="3451" w:type="dxa"/>
            <w:tcBorders>
              <w:top w:val="single" w:sz="4" w:space="0" w:color="auto"/>
              <w:left w:val="single" w:sz="4" w:space="0" w:color="auto"/>
              <w:right w:val="single" w:sz="4" w:space="0" w:color="auto"/>
            </w:tcBorders>
            <w:shd w:val="clear" w:color="auto" w:fill="auto"/>
            <w:vAlign w:val="bottom"/>
          </w:tcPr>
          <w:p w14:paraId="346FA257" w14:textId="77777777" w:rsidR="00EC1C40" w:rsidRDefault="00000000">
            <w:pPr>
              <w:pStyle w:val="Jin0"/>
              <w:framePr w:w="10272" w:h="14573" w:wrap="none" w:vAnchor="page" w:hAnchor="page" w:x="831" w:y="1565"/>
              <w:spacing w:after="0"/>
              <w:rPr>
                <w:sz w:val="11"/>
                <w:szCs w:val="11"/>
              </w:rPr>
            </w:pPr>
            <w:r>
              <w:rPr>
                <w:sz w:val="11"/>
                <w:szCs w:val="11"/>
              </w:rPr>
              <w:t>odsouhlaseno VAK PCE</w:t>
            </w:r>
          </w:p>
        </w:tc>
      </w:tr>
      <w:tr w:rsidR="00EC1C40" w14:paraId="654B78C2" w14:textId="77777777">
        <w:tblPrEx>
          <w:tblCellMar>
            <w:top w:w="0" w:type="dxa"/>
            <w:bottom w:w="0" w:type="dxa"/>
          </w:tblCellMar>
        </w:tblPrEx>
        <w:trPr>
          <w:trHeight w:hRule="exact" w:val="187"/>
        </w:trPr>
        <w:tc>
          <w:tcPr>
            <w:tcW w:w="1085" w:type="dxa"/>
            <w:tcBorders>
              <w:top w:val="single" w:sz="4" w:space="0" w:color="auto"/>
              <w:left w:val="single" w:sz="4" w:space="0" w:color="auto"/>
            </w:tcBorders>
            <w:shd w:val="clear" w:color="auto" w:fill="auto"/>
            <w:vAlign w:val="bottom"/>
          </w:tcPr>
          <w:p w14:paraId="3F3852EE" w14:textId="77777777" w:rsidR="00EC1C40" w:rsidRDefault="00000000">
            <w:pPr>
              <w:pStyle w:val="Jin0"/>
              <w:framePr w:w="10272" w:h="14573" w:wrap="none" w:vAnchor="page" w:hAnchor="page" w:x="831" w:y="1565"/>
              <w:spacing w:after="0"/>
              <w:ind w:firstLine="200"/>
              <w:rPr>
                <w:sz w:val="13"/>
                <w:szCs w:val="13"/>
              </w:rPr>
            </w:pPr>
            <w:r>
              <w:rPr>
                <w:rFonts w:ascii="Arial" w:eastAsia="Arial" w:hAnsi="Arial" w:cs="Arial"/>
                <w:sz w:val="13"/>
                <w:szCs w:val="13"/>
              </w:rPr>
              <w:t>2.2.6.4.231</w:t>
            </w:r>
          </w:p>
        </w:tc>
        <w:tc>
          <w:tcPr>
            <w:tcW w:w="4301" w:type="dxa"/>
            <w:tcBorders>
              <w:top w:val="single" w:sz="4" w:space="0" w:color="auto"/>
              <w:left w:val="single" w:sz="4" w:space="0" w:color="auto"/>
            </w:tcBorders>
            <w:shd w:val="clear" w:color="auto" w:fill="auto"/>
            <w:vAlign w:val="bottom"/>
          </w:tcPr>
          <w:p w14:paraId="6ED25BC9" w14:textId="77777777" w:rsidR="00EC1C40" w:rsidRDefault="00000000">
            <w:pPr>
              <w:pStyle w:val="Jin0"/>
              <w:framePr w:w="10272" w:h="14573" w:wrap="none" w:vAnchor="page" w:hAnchor="page" w:x="831" w:y="1565"/>
              <w:spacing w:after="0"/>
              <w:ind w:firstLine="200"/>
              <w:rPr>
                <w:sz w:val="13"/>
                <w:szCs w:val="13"/>
              </w:rPr>
            </w:pPr>
            <w:r>
              <w:rPr>
                <w:rFonts w:ascii="Arial" w:eastAsia="Arial" w:hAnsi="Arial" w:cs="Arial"/>
                <w:sz w:val="13"/>
                <w:szCs w:val="13"/>
              </w:rPr>
              <w:t>SO.231 Vodovodní přípojka aréna</w:t>
            </w:r>
          </w:p>
        </w:tc>
        <w:tc>
          <w:tcPr>
            <w:tcW w:w="720" w:type="dxa"/>
            <w:tcBorders>
              <w:top w:val="single" w:sz="4" w:space="0" w:color="auto"/>
              <w:left w:val="single" w:sz="4" w:space="0" w:color="auto"/>
            </w:tcBorders>
            <w:shd w:val="clear" w:color="auto" w:fill="auto"/>
          </w:tcPr>
          <w:p w14:paraId="17181A5E" w14:textId="77777777" w:rsidR="00EC1C40" w:rsidRDefault="00EC1C40">
            <w:pPr>
              <w:framePr w:w="10272" w:h="14573" w:wrap="none" w:vAnchor="page" w:hAnchor="page" w:x="831" w:y="1565"/>
              <w:rPr>
                <w:sz w:val="10"/>
                <w:szCs w:val="10"/>
              </w:rPr>
            </w:pPr>
          </w:p>
        </w:tc>
        <w:tc>
          <w:tcPr>
            <w:tcW w:w="715" w:type="dxa"/>
            <w:tcBorders>
              <w:top w:val="single" w:sz="4" w:space="0" w:color="auto"/>
              <w:left w:val="single" w:sz="4" w:space="0" w:color="auto"/>
            </w:tcBorders>
            <w:shd w:val="clear" w:color="auto" w:fill="auto"/>
          </w:tcPr>
          <w:p w14:paraId="12B854CE" w14:textId="77777777" w:rsidR="00EC1C40" w:rsidRDefault="00EC1C40">
            <w:pPr>
              <w:framePr w:w="10272" w:h="14573" w:wrap="none" w:vAnchor="page" w:hAnchor="page" w:x="831" w:y="1565"/>
              <w:rPr>
                <w:sz w:val="10"/>
                <w:szCs w:val="10"/>
              </w:rPr>
            </w:pPr>
          </w:p>
        </w:tc>
        <w:tc>
          <w:tcPr>
            <w:tcW w:w="3451" w:type="dxa"/>
            <w:tcBorders>
              <w:top w:val="single" w:sz="4" w:space="0" w:color="auto"/>
              <w:left w:val="single" w:sz="4" w:space="0" w:color="auto"/>
              <w:right w:val="single" w:sz="4" w:space="0" w:color="auto"/>
            </w:tcBorders>
            <w:shd w:val="clear" w:color="auto" w:fill="auto"/>
          </w:tcPr>
          <w:p w14:paraId="449A0F58" w14:textId="77777777" w:rsidR="00EC1C40" w:rsidRDefault="00EC1C40">
            <w:pPr>
              <w:framePr w:w="10272" w:h="14573" w:wrap="none" w:vAnchor="page" w:hAnchor="page" w:x="831" w:y="1565"/>
              <w:rPr>
                <w:sz w:val="10"/>
                <w:szCs w:val="10"/>
              </w:rPr>
            </w:pPr>
          </w:p>
        </w:tc>
      </w:tr>
      <w:tr w:rsidR="00EC1C40" w14:paraId="1751B3E7" w14:textId="77777777">
        <w:tblPrEx>
          <w:tblCellMar>
            <w:top w:w="0" w:type="dxa"/>
            <w:bottom w:w="0" w:type="dxa"/>
          </w:tblCellMar>
        </w:tblPrEx>
        <w:trPr>
          <w:trHeight w:hRule="exact" w:val="187"/>
        </w:trPr>
        <w:tc>
          <w:tcPr>
            <w:tcW w:w="1085" w:type="dxa"/>
            <w:tcBorders>
              <w:top w:val="single" w:sz="4" w:space="0" w:color="auto"/>
              <w:left w:val="single" w:sz="4" w:space="0" w:color="auto"/>
            </w:tcBorders>
            <w:shd w:val="clear" w:color="auto" w:fill="auto"/>
            <w:vAlign w:val="bottom"/>
          </w:tcPr>
          <w:p w14:paraId="1B64A9DB" w14:textId="77777777" w:rsidR="00EC1C40" w:rsidRDefault="00000000">
            <w:pPr>
              <w:pStyle w:val="Jin0"/>
              <w:framePr w:w="10272" w:h="14573" w:wrap="none" w:vAnchor="page" w:hAnchor="page" w:x="831" w:y="1565"/>
              <w:spacing w:after="0"/>
              <w:jc w:val="center"/>
              <w:rPr>
                <w:sz w:val="13"/>
                <w:szCs w:val="13"/>
              </w:rPr>
            </w:pPr>
            <w:r>
              <w:rPr>
                <w:rFonts w:ascii="Arial" w:eastAsia="Arial" w:hAnsi="Arial" w:cs="Arial"/>
                <w:sz w:val="13"/>
                <w:szCs w:val="13"/>
              </w:rPr>
              <w:t>2.2.6.4.232</w:t>
            </w:r>
          </w:p>
        </w:tc>
        <w:tc>
          <w:tcPr>
            <w:tcW w:w="4301" w:type="dxa"/>
            <w:tcBorders>
              <w:top w:val="single" w:sz="4" w:space="0" w:color="auto"/>
              <w:left w:val="single" w:sz="4" w:space="0" w:color="auto"/>
            </w:tcBorders>
            <w:shd w:val="clear" w:color="auto" w:fill="auto"/>
            <w:vAlign w:val="bottom"/>
          </w:tcPr>
          <w:p w14:paraId="7FD5084D" w14:textId="77777777" w:rsidR="00EC1C40" w:rsidRDefault="00000000">
            <w:pPr>
              <w:pStyle w:val="Jin0"/>
              <w:framePr w:w="10272" w:h="14573" w:wrap="none" w:vAnchor="page" w:hAnchor="page" w:x="831" w:y="1565"/>
              <w:spacing w:after="0"/>
              <w:ind w:firstLine="200"/>
              <w:rPr>
                <w:sz w:val="13"/>
                <w:szCs w:val="13"/>
              </w:rPr>
            </w:pPr>
            <w:r>
              <w:rPr>
                <w:rFonts w:ascii="Arial" w:eastAsia="Arial" w:hAnsi="Arial" w:cs="Arial"/>
                <w:sz w:val="13"/>
                <w:szCs w:val="13"/>
              </w:rPr>
              <w:t>SO.232 Vodovodní přípojka malá hala</w:t>
            </w:r>
          </w:p>
        </w:tc>
        <w:tc>
          <w:tcPr>
            <w:tcW w:w="720" w:type="dxa"/>
            <w:tcBorders>
              <w:top w:val="single" w:sz="4" w:space="0" w:color="auto"/>
              <w:left w:val="single" w:sz="4" w:space="0" w:color="auto"/>
            </w:tcBorders>
            <w:shd w:val="clear" w:color="auto" w:fill="auto"/>
          </w:tcPr>
          <w:p w14:paraId="2AAC78B2" w14:textId="77777777" w:rsidR="00EC1C40" w:rsidRDefault="00EC1C40">
            <w:pPr>
              <w:framePr w:w="10272" w:h="14573" w:wrap="none" w:vAnchor="page" w:hAnchor="page" w:x="831" w:y="1565"/>
              <w:rPr>
                <w:sz w:val="10"/>
                <w:szCs w:val="10"/>
              </w:rPr>
            </w:pPr>
          </w:p>
        </w:tc>
        <w:tc>
          <w:tcPr>
            <w:tcW w:w="715" w:type="dxa"/>
            <w:tcBorders>
              <w:top w:val="single" w:sz="4" w:space="0" w:color="auto"/>
              <w:left w:val="single" w:sz="4" w:space="0" w:color="auto"/>
            </w:tcBorders>
            <w:shd w:val="clear" w:color="auto" w:fill="auto"/>
          </w:tcPr>
          <w:p w14:paraId="359F0EEB" w14:textId="77777777" w:rsidR="00EC1C40" w:rsidRDefault="00EC1C40">
            <w:pPr>
              <w:framePr w:w="10272" w:h="14573" w:wrap="none" w:vAnchor="page" w:hAnchor="page" w:x="831" w:y="1565"/>
              <w:rPr>
                <w:sz w:val="10"/>
                <w:szCs w:val="10"/>
              </w:rPr>
            </w:pPr>
          </w:p>
        </w:tc>
        <w:tc>
          <w:tcPr>
            <w:tcW w:w="3451" w:type="dxa"/>
            <w:tcBorders>
              <w:top w:val="single" w:sz="4" w:space="0" w:color="auto"/>
              <w:left w:val="single" w:sz="4" w:space="0" w:color="auto"/>
              <w:right w:val="single" w:sz="4" w:space="0" w:color="auto"/>
            </w:tcBorders>
            <w:shd w:val="clear" w:color="auto" w:fill="auto"/>
          </w:tcPr>
          <w:p w14:paraId="320C2770" w14:textId="77777777" w:rsidR="00EC1C40" w:rsidRDefault="00EC1C40">
            <w:pPr>
              <w:framePr w:w="10272" w:h="14573" w:wrap="none" w:vAnchor="page" w:hAnchor="page" w:x="831" w:y="1565"/>
              <w:rPr>
                <w:sz w:val="10"/>
                <w:szCs w:val="10"/>
              </w:rPr>
            </w:pPr>
          </w:p>
        </w:tc>
      </w:tr>
      <w:tr w:rsidR="00EC1C40" w14:paraId="5738159B" w14:textId="77777777">
        <w:tblPrEx>
          <w:tblCellMar>
            <w:top w:w="0" w:type="dxa"/>
            <w:bottom w:w="0" w:type="dxa"/>
          </w:tblCellMar>
        </w:tblPrEx>
        <w:trPr>
          <w:trHeight w:hRule="exact" w:val="182"/>
        </w:trPr>
        <w:tc>
          <w:tcPr>
            <w:tcW w:w="1085" w:type="dxa"/>
            <w:tcBorders>
              <w:top w:val="single" w:sz="4" w:space="0" w:color="auto"/>
              <w:left w:val="single" w:sz="4" w:space="0" w:color="auto"/>
            </w:tcBorders>
            <w:shd w:val="clear" w:color="auto" w:fill="auto"/>
            <w:vAlign w:val="bottom"/>
          </w:tcPr>
          <w:p w14:paraId="346F71F2" w14:textId="77777777" w:rsidR="00EC1C40" w:rsidRDefault="00000000">
            <w:pPr>
              <w:pStyle w:val="Jin0"/>
              <w:framePr w:w="10272" w:h="14573" w:wrap="none" w:vAnchor="page" w:hAnchor="page" w:x="831" w:y="1565"/>
              <w:spacing w:after="0"/>
              <w:jc w:val="center"/>
              <w:rPr>
                <w:sz w:val="13"/>
                <w:szCs w:val="13"/>
              </w:rPr>
            </w:pPr>
            <w:r>
              <w:rPr>
                <w:rFonts w:ascii="Arial" w:eastAsia="Arial" w:hAnsi="Arial" w:cs="Arial"/>
                <w:sz w:val="13"/>
                <w:szCs w:val="13"/>
              </w:rPr>
              <w:t>2.2.6.4.233</w:t>
            </w:r>
          </w:p>
        </w:tc>
        <w:tc>
          <w:tcPr>
            <w:tcW w:w="4301" w:type="dxa"/>
            <w:tcBorders>
              <w:top w:val="single" w:sz="4" w:space="0" w:color="auto"/>
              <w:left w:val="single" w:sz="4" w:space="0" w:color="auto"/>
            </w:tcBorders>
            <w:shd w:val="clear" w:color="auto" w:fill="auto"/>
            <w:vAlign w:val="bottom"/>
          </w:tcPr>
          <w:p w14:paraId="32732044" w14:textId="77777777" w:rsidR="00EC1C40" w:rsidRDefault="00000000">
            <w:pPr>
              <w:pStyle w:val="Jin0"/>
              <w:framePr w:w="10272" w:h="14573" w:wrap="none" w:vAnchor="page" w:hAnchor="page" w:x="831" w:y="1565"/>
              <w:spacing w:after="0"/>
              <w:ind w:firstLine="200"/>
              <w:rPr>
                <w:sz w:val="13"/>
                <w:szCs w:val="13"/>
              </w:rPr>
            </w:pPr>
            <w:r>
              <w:rPr>
                <w:rFonts w:ascii="Arial" w:eastAsia="Arial" w:hAnsi="Arial" w:cs="Arial"/>
                <w:sz w:val="13"/>
                <w:szCs w:val="13"/>
              </w:rPr>
              <w:t>SO.233 Vodovodní přípojka hotel</w:t>
            </w:r>
          </w:p>
        </w:tc>
        <w:tc>
          <w:tcPr>
            <w:tcW w:w="720" w:type="dxa"/>
            <w:tcBorders>
              <w:top w:val="single" w:sz="4" w:space="0" w:color="auto"/>
              <w:left w:val="single" w:sz="4" w:space="0" w:color="auto"/>
            </w:tcBorders>
            <w:shd w:val="clear" w:color="auto" w:fill="auto"/>
          </w:tcPr>
          <w:p w14:paraId="05A991E5" w14:textId="77777777" w:rsidR="00EC1C40" w:rsidRDefault="00EC1C40">
            <w:pPr>
              <w:framePr w:w="10272" w:h="14573" w:wrap="none" w:vAnchor="page" w:hAnchor="page" w:x="831" w:y="1565"/>
              <w:rPr>
                <w:sz w:val="10"/>
                <w:szCs w:val="10"/>
              </w:rPr>
            </w:pPr>
          </w:p>
        </w:tc>
        <w:tc>
          <w:tcPr>
            <w:tcW w:w="715" w:type="dxa"/>
            <w:tcBorders>
              <w:top w:val="single" w:sz="4" w:space="0" w:color="auto"/>
              <w:left w:val="single" w:sz="4" w:space="0" w:color="auto"/>
            </w:tcBorders>
            <w:shd w:val="clear" w:color="auto" w:fill="auto"/>
          </w:tcPr>
          <w:p w14:paraId="554EB2B7" w14:textId="77777777" w:rsidR="00EC1C40" w:rsidRDefault="00EC1C40">
            <w:pPr>
              <w:framePr w:w="10272" w:h="14573" w:wrap="none" w:vAnchor="page" w:hAnchor="page" w:x="831" w:y="1565"/>
              <w:rPr>
                <w:sz w:val="10"/>
                <w:szCs w:val="10"/>
              </w:rPr>
            </w:pPr>
          </w:p>
        </w:tc>
        <w:tc>
          <w:tcPr>
            <w:tcW w:w="3451" w:type="dxa"/>
            <w:tcBorders>
              <w:top w:val="single" w:sz="4" w:space="0" w:color="auto"/>
              <w:left w:val="single" w:sz="4" w:space="0" w:color="auto"/>
              <w:right w:val="single" w:sz="4" w:space="0" w:color="auto"/>
            </w:tcBorders>
            <w:shd w:val="clear" w:color="auto" w:fill="auto"/>
          </w:tcPr>
          <w:p w14:paraId="472AFCFB" w14:textId="77777777" w:rsidR="00EC1C40" w:rsidRDefault="00EC1C40">
            <w:pPr>
              <w:framePr w:w="10272" w:h="14573" w:wrap="none" w:vAnchor="page" w:hAnchor="page" w:x="831" w:y="1565"/>
              <w:rPr>
                <w:sz w:val="10"/>
                <w:szCs w:val="10"/>
              </w:rPr>
            </w:pPr>
          </w:p>
        </w:tc>
      </w:tr>
      <w:tr w:rsidR="00EC1C40" w14:paraId="48F85A23" w14:textId="77777777">
        <w:tblPrEx>
          <w:tblCellMar>
            <w:top w:w="0" w:type="dxa"/>
            <w:bottom w:w="0" w:type="dxa"/>
          </w:tblCellMar>
        </w:tblPrEx>
        <w:trPr>
          <w:trHeight w:hRule="exact" w:val="187"/>
        </w:trPr>
        <w:tc>
          <w:tcPr>
            <w:tcW w:w="1085" w:type="dxa"/>
            <w:tcBorders>
              <w:top w:val="single" w:sz="4" w:space="0" w:color="auto"/>
              <w:left w:val="single" w:sz="4" w:space="0" w:color="auto"/>
            </w:tcBorders>
            <w:shd w:val="clear" w:color="auto" w:fill="auto"/>
            <w:vAlign w:val="bottom"/>
          </w:tcPr>
          <w:p w14:paraId="1DA1AEC8" w14:textId="77777777" w:rsidR="00EC1C40" w:rsidRDefault="00000000">
            <w:pPr>
              <w:pStyle w:val="Jin0"/>
              <w:framePr w:w="10272" w:h="14573" w:wrap="none" w:vAnchor="page" w:hAnchor="page" w:x="831" w:y="1565"/>
              <w:spacing w:after="0"/>
              <w:jc w:val="center"/>
              <w:rPr>
                <w:sz w:val="13"/>
                <w:szCs w:val="13"/>
              </w:rPr>
            </w:pPr>
            <w:r>
              <w:rPr>
                <w:rFonts w:ascii="Arial" w:eastAsia="Arial" w:hAnsi="Arial" w:cs="Arial"/>
                <w:sz w:val="13"/>
                <w:szCs w:val="13"/>
              </w:rPr>
              <w:t>2.2.6.4.234</w:t>
            </w:r>
          </w:p>
        </w:tc>
        <w:tc>
          <w:tcPr>
            <w:tcW w:w="4301" w:type="dxa"/>
            <w:tcBorders>
              <w:top w:val="single" w:sz="4" w:space="0" w:color="auto"/>
              <w:left w:val="single" w:sz="4" w:space="0" w:color="auto"/>
            </w:tcBorders>
            <w:shd w:val="clear" w:color="auto" w:fill="auto"/>
            <w:vAlign w:val="bottom"/>
          </w:tcPr>
          <w:p w14:paraId="5EBAEF78" w14:textId="77777777" w:rsidR="00EC1C40" w:rsidRDefault="00000000">
            <w:pPr>
              <w:pStyle w:val="Jin0"/>
              <w:framePr w:w="10272" w:h="14573" w:wrap="none" w:vAnchor="page" w:hAnchor="page" w:x="831" w:y="1565"/>
              <w:spacing w:after="0"/>
              <w:ind w:firstLine="200"/>
              <w:rPr>
                <w:sz w:val="13"/>
                <w:szCs w:val="13"/>
              </w:rPr>
            </w:pPr>
            <w:r>
              <w:rPr>
                <w:rFonts w:ascii="Arial" w:eastAsia="Arial" w:hAnsi="Arial" w:cs="Arial"/>
                <w:sz w:val="13"/>
                <w:szCs w:val="13"/>
              </w:rPr>
              <w:t xml:space="preserve">SO.234 Vodovodní přípojka </w:t>
            </w:r>
            <w:r>
              <w:rPr>
                <w:rFonts w:ascii="Arial" w:eastAsia="Arial" w:hAnsi="Arial" w:cs="Arial"/>
                <w:sz w:val="13"/>
                <w:szCs w:val="13"/>
                <w:lang w:val="en-US" w:eastAsia="en-US" w:bidi="en-US"/>
              </w:rPr>
              <w:t>parking</w:t>
            </w:r>
          </w:p>
        </w:tc>
        <w:tc>
          <w:tcPr>
            <w:tcW w:w="720" w:type="dxa"/>
            <w:tcBorders>
              <w:top w:val="single" w:sz="4" w:space="0" w:color="auto"/>
              <w:left w:val="single" w:sz="4" w:space="0" w:color="auto"/>
            </w:tcBorders>
            <w:shd w:val="clear" w:color="auto" w:fill="auto"/>
          </w:tcPr>
          <w:p w14:paraId="4481AD01" w14:textId="77777777" w:rsidR="00EC1C40" w:rsidRDefault="00EC1C40">
            <w:pPr>
              <w:framePr w:w="10272" w:h="14573" w:wrap="none" w:vAnchor="page" w:hAnchor="page" w:x="831" w:y="1565"/>
              <w:rPr>
                <w:sz w:val="10"/>
                <w:szCs w:val="10"/>
              </w:rPr>
            </w:pPr>
          </w:p>
        </w:tc>
        <w:tc>
          <w:tcPr>
            <w:tcW w:w="715" w:type="dxa"/>
            <w:tcBorders>
              <w:top w:val="single" w:sz="4" w:space="0" w:color="auto"/>
              <w:left w:val="single" w:sz="4" w:space="0" w:color="auto"/>
            </w:tcBorders>
            <w:shd w:val="clear" w:color="auto" w:fill="auto"/>
          </w:tcPr>
          <w:p w14:paraId="3DD6D41C" w14:textId="77777777" w:rsidR="00EC1C40" w:rsidRDefault="00EC1C40">
            <w:pPr>
              <w:framePr w:w="10272" w:h="14573" w:wrap="none" w:vAnchor="page" w:hAnchor="page" w:x="831" w:y="1565"/>
              <w:rPr>
                <w:sz w:val="10"/>
                <w:szCs w:val="10"/>
              </w:rPr>
            </w:pPr>
          </w:p>
        </w:tc>
        <w:tc>
          <w:tcPr>
            <w:tcW w:w="3451" w:type="dxa"/>
            <w:tcBorders>
              <w:top w:val="single" w:sz="4" w:space="0" w:color="auto"/>
              <w:left w:val="single" w:sz="4" w:space="0" w:color="auto"/>
              <w:right w:val="single" w:sz="4" w:space="0" w:color="auto"/>
            </w:tcBorders>
            <w:shd w:val="clear" w:color="auto" w:fill="auto"/>
          </w:tcPr>
          <w:p w14:paraId="7593FA5B" w14:textId="77777777" w:rsidR="00EC1C40" w:rsidRDefault="00EC1C40">
            <w:pPr>
              <w:framePr w:w="10272" w:h="14573" w:wrap="none" w:vAnchor="page" w:hAnchor="page" w:x="831" w:y="1565"/>
              <w:rPr>
                <w:sz w:val="10"/>
                <w:szCs w:val="10"/>
              </w:rPr>
            </w:pPr>
          </w:p>
        </w:tc>
      </w:tr>
      <w:tr w:rsidR="00EC1C40" w14:paraId="2683C08B" w14:textId="77777777">
        <w:tblPrEx>
          <w:tblCellMar>
            <w:top w:w="0" w:type="dxa"/>
            <w:bottom w:w="0" w:type="dxa"/>
          </w:tblCellMar>
        </w:tblPrEx>
        <w:trPr>
          <w:trHeight w:hRule="exact" w:val="187"/>
        </w:trPr>
        <w:tc>
          <w:tcPr>
            <w:tcW w:w="1085" w:type="dxa"/>
            <w:tcBorders>
              <w:top w:val="single" w:sz="4" w:space="0" w:color="auto"/>
              <w:left w:val="single" w:sz="4" w:space="0" w:color="auto"/>
            </w:tcBorders>
            <w:shd w:val="clear" w:color="auto" w:fill="auto"/>
            <w:vAlign w:val="bottom"/>
          </w:tcPr>
          <w:p w14:paraId="7AA6CBE6" w14:textId="77777777" w:rsidR="00EC1C40" w:rsidRDefault="00000000">
            <w:pPr>
              <w:pStyle w:val="Jin0"/>
              <w:framePr w:w="10272" w:h="14573" w:wrap="none" w:vAnchor="page" w:hAnchor="page" w:x="831" w:y="1565"/>
              <w:spacing w:after="0"/>
              <w:ind w:firstLine="200"/>
              <w:rPr>
                <w:sz w:val="13"/>
                <w:szCs w:val="13"/>
              </w:rPr>
            </w:pPr>
            <w:r>
              <w:rPr>
                <w:rFonts w:ascii="Arial" w:eastAsia="Arial" w:hAnsi="Arial" w:cs="Arial"/>
                <w:sz w:val="13"/>
                <w:szCs w:val="13"/>
              </w:rPr>
              <w:t>2.2.6.4.235</w:t>
            </w:r>
          </w:p>
        </w:tc>
        <w:tc>
          <w:tcPr>
            <w:tcW w:w="4301" w:type="dxa"/>
            <w:tcBorders>
              <w:top w:val="single" w:sz="4" w:space="0" w:color="auto"/>
              <w:left w:val="single" w:sz="4" w:space="0" w:color="auto"/>
            </w:tcBorders>
            <w:shd w:val="clear" w:color="auto" w:fill="auto"/>
            <w:vAlign w:val="bottom"/>
          </w:tcPr>
          <w:p w14:paraId="6BE938ED" w14:textId="77777777" w:rsidR="00EC1C40" w:rsidRDefault="00000000">
            <w:pPr>
              <w:pStyle w:val="Jin0"/>
              <w:framePr w:w="10272" w:h="14573" w:wrap="none" w:vAnchor="page" w:hAnchor="page" w:x="831" w:y="1565"/>
              <w:spacing w:after="0"/>
              <w:ind w:firstLine="200"/>
              <w:rPr>
                <w:sz w:val="13"/>
                <w:szCs w:val="13"/>
              </w:rPr>
            </w:pPr>
            <w:r>
              <w:rPr>
                <w:rFonts w:ascii="Arial" w:eastAsia="Arial" w:hAnsi="Arial" w:cs="Arial"/>
                <w:sz w:val="13"/>
                <w:szCs w:val="13"/>
              </w:rPr>
              <w:t xml:space="preserve">SO.235 Vodovodní přípojka </w:t>
            </w:r>
            <w:r>
              <w:rPr>
                <w:rFonts w:ascii="Arial" w:eastAsia="Arial" w:hAnsi="Arial" w:cs="Arial"/>
                <w:sz w:val="13"/>
                <w:szCs w:val="13"/>
                <w:lang w:val="en-US" w:eastAsia="en-US" w:bidi="en-US"/>
              </w:rPr>
              <w:t>showroom</w:t>
            </w:r>
          </w:p>
        </w:tc>
        <w:tc>
          <w:tcPr>
            <w:tcW w:w="720" w:type="dxa"/>
            <w:tcBorders>
              <w:top w:val="single" w:sz="4" w:space="0" w:color="auto"/>
              <w:left w:val="single" w:sz="4" w:space="0" w:color="auto"/>
            </w:tcBorders>
            <w:shd w:val="clear" w:color="auto" w:fill="auto"/>
          </w:tcPr>
          <w:p w14:paraId="6D39DE65" w14:textId="77777777" w:rsidR="00EC1C40" w:rsidRDefault="00EC1C40">
            <w:pPr>
              <w:framePr w:w="10272" w:h="14573" w:wrap="none" w:vAnchor="page" w:hAnchor="page" w:x="831" w:y="1565"/>
              <w:rPr>
                <w:sz w:val="10"/>
                <w:szCs w:val="10"/>
              </w:rPr>
            </w:pPr>
          </w:p>
        </w:tc>
        <w:tc>
          <w:tcPr>
            <w:tcW w:w="715" w:type="dxa"/>
            <w:tcBorders>
              <w:top w:val="single" w:sz="4" w:space="0" w:color="auto"/>
              <w:left w:val="single" w:sz="4" w:space="0" w:color="auto"/>
            </w:tcBorders>
            <w:shd w:val="clear" w:color="auto" w:fill="auto"/>
          </w:tcPr>
          <w:p w14:paraId="6015C419" w14:textId="77777777" w:rsidR="00EC1C40" w:rsidRDefault="00EC1C40">
            <w:pPr>
              <w:framePr w:w="10272" w:h="14573" w:wrap="none" w:vAnchor="page" w:hAnchor="page" w:x="831" w:y="1565"/>
              <w:rPr>
                <w:sz w:val="10"/>
                <w:szCs w:val="10"/>
              </w:rPr>
            </w:pPr>
          </w:p>
        </w:tc>
        <w:tc>
          <w:tcPr>
            <w:tcW w:w="3451" w:type="dxa"/>
            <w:tcBorders>
              <w:top w:val="single" w:sz="4" w:space="0" w:color="auto"/>
              <w:left w:val="single" w:sz="4" w:space="0" w:color="auto"/>
              <w:right w:val="single" w:sz="4" w:space="0" w:color="auto"/>
            </w:tcBorders>
            <w:shd w:val="clear" w:color="auto" w:fill="auto"/>
          </w:tcPr>
          <w:p w14:paraId="3E10D337" w14:textId="77777777" w:rsidR="00EC1C40" w:rsidRDefault="00EC1C40">
            <w:pPr>
              <w:framePr w:w="10272" w:h="14573" w:wrap="none" w:vAnchor="page" w:hAnchor="page" w:x="831" w:y="1565"/>
              <w:rPr>
                <w:sz w:val="10"/>
                <w:szCs w:val="10"/>
              </w:rPr>
            </w:pPr>
          </w:p>
        </w:tc>
      </w:tr>
      <w:tr w:rsidR="00EC1C40" w14:paraId="03B84E0D" w14:textId="77777777">
        <w:tblPrEx>
          <w:tblCellMar>
            <w:top w:w="0" w:type="dxa"/>
            <w:bottom w:w="0" w:type="dxa"/>
          </w:tblCellMar>
        </w:tblPrEx>
        <w:trPr>
          <w:trHeight w:hRule="exact" w:val="187"/>
        </w:trPr>
        <w:tc>
          <w:tcPr>
            <w:tcW w:w="1085" w:type="dxa"/>
            <w:tcBorders>
              <w:top w:val="single" w:sz="4" w:space="0" w:color="auto"/>
              <w:left w:val="single" w:sz="4" w:space="0" w:color="auto"/>
            </w:tcBorders>
            <w:shd w:val="clear" w:color="auto" w:fill="auto"/>
            <w:vAlign w:val="bottom"/>
          </w:tcPr>
          <w:p w14:paraId="277E6CFD" w14:textId="77777777" w:rsidR="00EC1C40" w:rsidRDefault="00000000">
            <w:pPr>
              <w:pStyle w:val="Jin0"/>
              <w:framePr w:w="10272" w:h="14573" w:wrap="none" w:vAnchor="page" w:hAnchor="page" w:x="831" w:y="1565"/>
              <w:spacing w:after="0"/>
              <w:ind w:firstLine="200"/>
              <w:rPr>
                <w:sz w:val="13"/>
                <w:szCs w:val="13"/>
              </w:rPr>
            </w:pPr>
            <w:r>
              <w:rPr>
                <w:rFonts w:ascii="Arial" w:eastAsia="Arial" w:hAnsi="Arial" w:cs="Arial"/>
                <w:sz w:val="13"/>
                <w:szCs w:val="13"/>
              </w:rPr>
              <w:t>2.2.6.4.236</w:t>
            </w:r>
          </w:p>
        </w:tc>
        <w:tc>
          <w:tcPr>
            <w:tcW w:w="4301" w:type="dxa"/>
            <w:tcBorders>
              <w:top w:val="single" w:sz="4" w:space="0" w:color="auto"/>
              <w:left w:val="single" w:sz="4" w:space="0" w:color="auto"/>
            </w:tcBorders>
            <w:shd w:val="clear" w:color="auto" w:fill="auto"/>
            <w:vAlign w:val="bottom"/>
          </w:tcPr>
          <w:p w14:paraId="3827ED3E" w14:textId="77777777" w:rsidR="00EC1C40" w:rsidRDefault="00000000">
            <w:pPr>
              <w:pStyle w:val="Jin0"/>
              <w:framePr w:w="10272" w:h="14573" w:wrap="none" w:vAnchor="page" w:hAnchor="page" w:x="831" w:y="1565"/>
              <w:spacing w:after="0"/>
              <w:ind w:firstLine="200"/>
              <w:rPr>
                <w:sz w:val="13"/>
                <w:szCs w:val="13"/>
              </w:rPr>
            </w:pPr>
            <w:r>
              <w:rPr>
                <w:rFonts w:ascii="Arial" w:eastAsia="Arial" w:hAnsi="Arial" w:cs="Arial"/>
                <w:sz w:val="13"/>
                <w:szCs w:val="13"/>
              </w:rPr>
              <w:t>SO.236 Vodovodní přípojka objektu správy parku</w:t>
            </w:r>
          </w:p>
        </w:tc>
        <w:tc>
          <w:tcPr>
            <w:tcW w:w="720" w:type="dxa"/>
            <w:tcBorders>
              <w:top w:val="single" w:sz="4" w:space="0" w:color="auto"/>
              <w:left w:val="single" w:sz="4" w:space="0" w:color="auto"/>
            </w:tcBorders>
            <w:shd w:val="clear" w:color="auto" w:fill="auto"/>
          </w:tcPr>
          <w:p w14:paraId="6EC53A5D" w14:textId="77777777" w:rsidR="00EC1C40" w:rsidRDefault="00EC1C40">
            <w:pPr>
              <w:framePr w:w="10272" w:h="14573" w:wrap="none" w:vAnchor="page" w:hAnchor="page" w:x="831" w:y="1565"/>
              <w:rPr>
                <w:sz w:val="10"/>
                <w:szCs w:val="10"/>
              </w:rPr>
            </w:pPr>
          </w:p>
        </w:tc>
        <w:tc>
          <w:tcPr>
            <w:tcW w:w="715" w:type="dxa"/>
            <w:tcBorders>
              <w:top w:val="single" w:sz="4" w:space="0" w:color="auto"/>
              <w:left w:val="single" w:sz="4" w:space="0" w:color="auto"/>
            </w:tcBorders>
            <w:shd w:val="clear" w:color="auto" w:fill="auto"/>
          </w:tcPr>
          <w:p w14:paraId="1F5CEFA2" w14:textId="77777777" w:rsidR="00EC1C40" w:rsidRDefault="00EC1C40">
            <w:pPr>
              <w:framePr w:w="10272" w:h="14573" w:wrap="none" w:vAnchor="page" w:hAnchor="page" w:x="831" w:y="1565"/>
              <w:rPr>
                <w:sz w:val="10"/>
                <w:szCs w:val="10"/>
              </w:rPr>
            </w:pPr>
          </w:p>
        </w:tc>
        <w:tc>
          <w:tcPr>
            <w:tcW w:w="3451" w:type="dxa"/>
            <w:tcBorders>
              <w:top w:val="single" w:sz="4" w:space="0" w:color="auto"/>
              <w:left w:val="single" w:sz="4" w:space="0" w:color="auto"/>
              <w:right w:val="single" w:sz="4" w:space="0" w:color="auto"/>
            </w:tcBorders>
            <w:shd w:val="clear" w:color="auto" w:fill="auto"/>
          </w:tcPr>
          <w:p w14:paraId="4B61D86B" w14:textId="77777777" w:rsidR="00EC1C40" w:rsidRDefault="00EC1C40">
            <w:pPr>
              <w:framePr w:w="10272" w:h="14573" w:wrap="none" w:vAnchor="page" w:hAnchor="page" w:x="831" w:y="1565"/>
              <w:rPr>
                <w:sz w:val="10"/>
                <w:szCs w:val="10"/>
              </w:rPr>
            </w:pPr>
          </w:p>
        </w:tc>
      </w:tr>
      <w:tr w:rsidR="00EC1C40" w14:paraId="3A62E9EB" w14:textId="77777777">
        <w:tblPrEx>
          <w:tblCellMar>
            <w:top w:w="0" w:type="dxa"/>
            <w:bottom w:w="0" w:type="dxa"/>
          </w:tblCellMar>
        </w:tblPrEx>
        <w:trPr>
          <w:trHeight w:hRule="exact" w:val="187"/>
        </w:trPr>
        <w:tc>
          <w:tcPr>
            <w:tcW w:w="1085" w:type="dxa"/>
            <w:tcBorders>
              <w:top w:val="single" w:sz="4" w:space="0" w:color="auto"/>
              <w:left w:val="single" w:sz="4" w:space="0" w:color="auto"/>
            </w:tcBorders>
            <w:shd w:val="clear" w:color="auto" w:fill="auto"/>
            <w:vAlign w:val="bottom"/>
          </w:tcPr>
          <w:p w14:paraId="5096FFA5" w14:textId="77777777" w:rsidR="00EC1C40" w:rsidRDefault="00000000">
            <w:pPr>
              <w:pStyle w:val="Jin0"/>
              <w:framePr w:w="10272" w:h="14573" w:wrap="none" w:vAnchor="page" w:hAnchor="page" w:x="831" w:y="1565"/>
              <w:spacing w:after="0"/>
              <w:ind w:firstLine="200"/>
              <w:rPr>
                <w:sz w:val="13"/>
                <w:szCs w:val="13"/>
              </w:rPr>
            </w:pPr>
            <w:r>
              <w:rPr>
                <w:rFonts w:ascii="Arial" w:eastAsia="Arial" w:hAnsi="Arial" w:cs="Arial"/>
                <w:sz w:val="13"/>
                <w:szCs w:val="13"/>
              </w:rPr>
              <w:t>2.2.6.4.237</w:t>
            </w:r>
          </w:p>
        </w:tc>
        <w:tc>
          <w:tcPr>
            <w:tcW w:w="4301" w:type="dxa"/>
            <w:tcBorders>
              <w:top w:val="single" w:sz="4" w:space="0" w:color="auto"/>
              <w:left w:val="single" w:sz="4" w:space="0" w:color="auto"/>
            </w:tcBorders>
            <w:shd w:val="clear" w:color="auto" w:fill="auto"/>
            <w:vAlign w:val="bottom"/>
          </w:tcPr>
          <w:p w14:paraId="4BDA3C40" w14:textId="77777777" w:rsidR="00EC1C40" w:rsidRDefault="00000000">
            <w:pPr>
              <w:pStyle w:val="Jin0"/>
              <w:framePr w:w="10272" w:h="14573" w:wrap="none" w:vAnchor="page" w:hAnchor="page" w:x="831" w:y="1565"/>
              <w:spacing w:after="0"/>
              <w:ind w:firstLine="200"/>
              <w:rPr>
                <w:sz w:val="13"/>
                <w:szCs w:val="13"/>
              </w:rPr>
            </w:pPr>
            <w:r>
              <w:rPr>
                <w:rFonts w:ascii="Arial" w:eastAsia="Arial" w:hAnsi="Arial" w:cs="Arial"/>
                <w:sz w:val="13"/>
                <w:szCs w:val="13"/>
              </w:rPr>
              <w:t>SO.237 Vodovodní přípojka nádrž zálivka</w:t>
            </w:r>
          </w:p>
        </w:tc>
        <w:tc>
          <w:tcPr>
            <w:tcW w:w="720" w:type="dxa"/>
            <w:tcBorders>
              <w:top w:val="single" w:sz="4" w:space="0" w:color="auto"/>
              <w:left w:val="single" w:sz="4" w:space="0" w:color="auto"/>
            </w:tcBorders>
            <w:shd w:val="clear" w:color="auto" w:fill="auto"/>
          </w:tcPr>
          <w:p w14:paraId="0E463EE4" w14:textId="77777777" w:rsidR="00EC1C40" w:rsidRDefault="00EC1C40">
            <w:pPr>
              <w:framePr w:w="10272" w:h="14573" w:wrap="none" w:vAnchor="page" w:hAnchor="page" w:x="831" w:y="1565"/>
              <w:rPr>
                <w:sz w:val="10"/>
                <w:szCs w:val="10"/>
              </w:rPr>
            </w:pPr>
          </w:p>
        </w:tc>
        <w:tc>
          <w:tcPr>
            <w:tcW w:w="715" w:type="dxa"/>
            <w:tcBorders>
              <w:top w:val="single" w:sz="4" w:space="0" w:color="auto"/>
              <w:left w:val="single" w:sz="4" w:space="0" w:color="auto"/>
            </w:tcBorders>
            <w:shd w:val="clear" w:color="auto" w:fill="auto"/>
          </w:tcPr>
          <w:p w14:paraId="37E769ED" w14:textId="77777777" w:rsidR="00EC1C40" w:rsidRDefault="00EC1C40">
            <w:pPr>
              <w:framePr w:w="10272" w:h="14573" w:wrap="none" w:vAnchor="page" w:hAnchor="page" w:x="831" w:y="1565"/>
              <w:rPr>
                <w:sz w:val="10"/>
                <w:szCs w:val="10"/>
              </w:rPr>
            </w:pPr>
          </w:p>
        </w:tc>
        <w:tc>
          <w:tcPr>
            <w:tcW w:w="3451" w:type="dxa"/>
            <w:tcBorders>
              <w:top w:val="single" w:sz="4" w:space="0" w:color="auto"/>
              <w:left w:val="single" w:sz="4" w:space="0" w:color="auto"/>
              <w:right w:val="single" w:sz="4" w:space="0" w:color="auto"/>
            </w:tcBorders>
            <w:shd w:val="clear" w:color="auto" w:fill="auto"/>
          </w:tcPr>
          <w:p w14:paraId="43D76C4F" w14:textId="77777777" w:rsidR="00EC1C40" w:rsidRDefault="00EC1C40">
            <w:pPr>
              <w:framePr w:w="10272" w:h="14573" w:wrap="none" w:vAnchor="page" w:hAnchor="page" w:x="831" w:y="1565"/>
              <w:rPr>
                <w:sz w:val="10"/>
                <w:szCs w:val="10"/>
              </w:rPr>
            </w:pPr>
          </w:p>
        </w:tc>
      </w:tr>
      <w:tr w:rsidR="00EC1C40" w14:paraId="4E209CCC" w14:textId="77777777">
        <w:tblPrEx>
          <w:tblCellMar>
            <w:top w:w="0" w:type="dxa"/>
            <w:bottom w:w="0" w:type="dxa"/>
          </w:tblCellMar>
        </w:tblPrEx>
        <w:trPr>
          <w:trHeight w:hRule="exact" w:val="187"/>
        </w:trPr>
        <w:tc>
          <w:tcPr>
            <w:tcW w:w="1085" w:type="dxa"/>
            <w:tcBorders>
              <w:top w:val="single" w:sz="4" w:space="0" w:color="auto"/>
              <w:left w:val="single" w:sz="4" w:space="0" w:color="auto"/>
            </w:tcBorders>
            <w:shd w:val="clear" w:color="auto" w:fill="auto"/>
            <w:vAlign w:val="bottom"/>
          </w:tcPr>
          <w:p w14:paraId="7FB4A054" w14:textId="77777777" w:rsidR="00EC1C40" w:rsidRDefault="00000000">
            <w:pPr>
              <w:pStyle w:val="Jin0"/>
              <w:framePr w:w="10272" w:h="14573" w:wrap="none" w:vAnchor="page" w:hAnchor="page" w:x="831" w:y="1565"/>
              <w:spacing w:after="0"/>
              <w:ind w:firstLine="200"/>
              <w:rPr>
                <w:sz w:val="13"/>
                <w:szCs w:val="13"/>
              </w:rPr>
            </w:pPr>
            <w:r>
              <w:rPr>
                <w:rFonts w:ascii="Arial" w:eastAsia="Arial" w:hAnsi="Arial" w:cs="Arial"/>
                <w:sz w:val="13"/>
                <w:szCs w:val="13"/>
              </w:rPr>
              <w:t>2.2.6.4.238</w:t>
            </w:r>
          </w:p>
        </w:tc>
        <w:tc>
          <w:tcPr>
            <w:tcW w:w="4301" w:type="dxa"/>
            <w:tcBorders>
              <w:top w:val="single" w:sz="4" w:space="0" w:color="auto"/>
              <w:left w:val="single" w:sz="4" w:space="0" w:color="auto"/>
            </w:tcBorders>
            <w:shd w:val="clear" w:color="auto" w:fill="auto"/>
            <w:vAlign w:val="bottom"/>
          </w:tcPr>
          <w:p w14:paraId="4F77AD0D" w14:textId="77777777" w:rsidR="00EC1C40" w:rsidRDefault="00000000">
            <w:pPr>
              <w:pStyle w:val="Jin0"/>
              <w:framePr w:w="10272" w:h="14573" w:wrap="none" w:vAnchor="page" w:hAnchor="page" w:x="831" w:y="1565"/>
              <w:spacing w:after="0"/>
              <w:ind w:firstLine="200"/>
              <w:rPr>
                <w:sz w:val="13"/>
                <w:szCs w:val="13"/>
              </w:rPr>
            </w:pPr>
            <w:r>
              <w:rPr>
                <w:rFonts w:ascii="Arial" w:eastAsia="Arial" w:hAnsi="Arial" w:cs="Arial"/>
                <w:sz w:val="13"/>
                <w:szCs w:val="13"/>
              </w:rPr>
              <w:t>SO.238 Vodovodní přípojka k transformovně ČEZ</w:t>
            </w:r>
          </w:p>
        </w:tc>
        <w:tc>
          <w:tcPr>
            <w:tcW w:w="720" w:type="dxa"/>
            <w:tcBorders>
              <w:top w:val="single" w:sz="4" w:space="0" w:color="auto"/>
              <w:left w:val="single" w:sz="4" w:space="0" w:color="auto"/>
            </w:tcBorders>
            <w:shd w:val="clear" w:color="auto" w:fill="auto"/>
          </w:tcPr>
          <w:p w14:paraId="3D36B359" w14:textId="77777777" w:rsidR="00EC1C40" w:rsidRDefault="00EC1C40">
            <w:pPr>
              <w:framePr w:w="10272" w:h="14573" w:wrap="none" w:vAnchor="page" w:hAnchor="page" w:x="831" w:y="1565"/>
              <w:rPr>
                <w:sz w:val="10"/>
                <w:szCs w:val="10"/>
              </w:rPr>
            </w:pPr>
          </w:p>
        </w:tc>
        <w:tc>
          <w:tcPr>
            <w:tcW w:w="715" w:type="dxa"/>
            <w:tcBorders>
              <w:top w:val="single" w:sz="4" w:space="0" w:color="auto"/>
              <w:left w:val="single" w:sz="4" w:space="0" w:color="auto"/>
            </w:tcBorders>
            <w:shd w:val="clear" w:color="auto" w:fill="auto"/>
          </w:tcPr>
          <w:p w14:paraId="768B3F2F" w14:textId="77777777" w:rsidR="00EC1C40" w:rsidRDefault="00EC1C40">
            <w:pPr>
              <w:framePr w:w="10272" w:h="14573" w:wrap="none" w:vAnchor="page" w:hAnchor="page" w:x="831" w:y="1565"/>
              <w:rPr>
                <w:sz w:val="10"/>
                <w:szCs w:val="10"/>
              </w:rPr>
            </w:pPr>
          </w:p>
        </w:tc>
        <w:tc>
          <w:tcPr>
            <w:tcW w:w="3451" w:type="dxa"/>
            <w:tcBorders>
              <w:top w:val="single" w:sz="4" w:space="0" w:color="auto"/>
              <w:left w:val="single" w:sz="4" w:space="0" w:color="auto"/>
              <w:right w:val="single" w:sz="4" w:space="0" w:color="auto"/>
            </w:tcBorders>
            <w:shd w:val="clear" w:color="auto" w:fill="auto"/>
          </w:tcPr>
          <w:p w14:paraId="5703F6D1" w14:textId="77777777" w:rsidR="00EC1C40" w:rsidRDefault="00EC1C40">
            <w:pPr>
              <w:framePr w:w="10272" w:h="14573" w:wrap="none" w:vAnchor="page" w:hAnchor="page" w:x="831" w:y="1565"/>
              <w:rPr>
                <w:sz w:val="10"/>
                <w:szCs w:val="10"/>
              </w:rPr>
            </w:pPr>
          </w:p>
        </w:tc>
      </w:tr>
      <w:tr w:rsidR="00EC1C40" w14:paraId="1E5A639F" w14:textId="77777777">
        <w:tblPrEx>
          <w:tblCellMar>
            <w:top w:w="0" w:type="dxa"/>
            <w:bottom w:w="0" w:type="dxa"/>
          </w:tblCellMar>
        </w:tblPrEx>
        <w:trPr>
          <w:trHeight w:hRule="exact" w:val="187"/>
        </w:trPr>
        <w:tc>
          <w:tcPr>
            <w:tcW w:w="1085" w:type="dxa"/>
            <w:tcBorders>
              <w:top w:val="single" w:sz="4" w:space="0" w:color="auto"/>
              <w:left w:val="single" w:sz="4" w:space="0" w:color="auto"/>
            </w:tcBorders>
            <w:shd w:val="clear" w:color="auto" w:fill="auto"/>
            <w:vAlign w:val="bottom"/>
          </w:tcPr>
          <w:p w14:paraId="542C1506" w14:textId="77777777" w:rsidR="00EC1C40" w:rsidRDefault="00000000">
            <w:pPr>
              <w:pStyle w:val="Jin0"/>
              <w:framePr w:w="10272" w:h="14573" w:wrap="none" w:vAnchor="page" w:hAnchor="page" w:x="831" w:y="1565"/>
              <w:spacing w:after="0"/>
              <w:ind w:firstLine="200"/>
              <w:rPr>
                <w:sz w:val="13"/>
                <w:szCs w:val="13"/>
              </w:rPr>
            </w:pPr>
            <w:r>
              <w:rPr>
                <w:rFonts w:ascii="Arial" w:eastAsia="Arial" w:hAnsi="Arial" w:cs="Arial"/>
                <w:sz w:val="13"/>
                <w:szCs w:val="13"/>
              </w:rPr>
              <w:t>2.2.6.4.239</w:t>
            </w:r>
          </w:p>
        </w:tc>
        <w:tc>
          <w:tcPr>
            <w:tcW w:w="4301" w:type="dxa"/>
            <w:tcBorders>
              <w:top w:val="single" w:sz="4" w:space="0" w:color="auto"/>
              <w:left w:val="single" w:sz="4" w:space="0" w:color="auto"/>
            </w:tcBorders>
            <w:shd w:val="clear" w:color="auto" w:fill="auto"/>
            <w:vAlign w:val="bottom"/>
          </w:tcPr>
          <w:p w14:paraId="3A2F7BFE" w14:textId="77777777" w:rsidR="00EC1C40" w:rsidRDefault="00000000">
            <w:pPr>
              <w:pStyle w:val="Jin0"/>
              <w:framePr w:w="10272" w:h="14573" w:wrap="none" w:vAnchor="page" w:hAnchor="page" w:x="831" w:y="1565"/>
              <w:spacing w:after="0"/>
              <w:ind w:firstLine="200"/>
              <w:rPr>
                <w:sz w:val="13"/>
                <w:szCs w:val="13"/>
              </w:rPr>
            </w:pPr>
            <w:r>
              <w:rPr>
                <w:rFonts w:ascii="Arial" w:eastAsia="Arial" w:hAnsi="Arial" w:cs="Arial"/>
                <w:sz w:val="13"/>
                <w:szCs w:val="13"/>
              </w:rPr>
              <w:t>SO.239 Vodovodní přípojka pozemku 3680/3</w:t>
            </w:r>
          </w:p>
        </w:tc>
        <w:tc>
          <w:tcPr>
            <w:tcW w:w="720" w:type="dxa"/>
            <w:tcBorders>
              <w:top w:val="single" w:sz="4" w:space="0" w:color="auto"/>
              <w:left w:val="single" w:sz="4" w:space="0" w:color="auto"/>
            </w:tcBorders>
            <w:shd w:val="clear" w:color="auto" w:fill="auto"/>
          </w:tcPr>
          <w:p w14:paraId="4AB49FEE" w14:textId="77777777" w:rsidR="00EC1C40" w:rsidRDefault="00EC1C40">
            <w:pPr>
              <w:framePr w:w="10272" w:h="14573" w:wrap="none" w:vAnchor="page" w:hAnchor="page" w:x="831" w:y="1565"/>
              <w:rPr>
                <w:sz w:val="10"/>
                <w:szCs w:val="10"/>
              </w:rPr>
            </w:pPr>
          </w:p>
        </w:tc>
        <w:tc>
          <w:tcPr>
            <w:tcW w:w="715" w:type="dxa"/>
            <w:tcBorders>
              <w:top w:val="single" w:sz="4" w:space="0" w:color="auto"/>
              <w:left w:val="single" w:sz="4" w:space="0" w:color="auto"/>
            </w:tcBorders>
            <w:shd w:val="clear" w:color="auto" w:fill="auto"/>
          </w:tcPr>
          <w:p w14:paraId="0E685371" w14:textId="77777777" w:rsidR="00EC1C40" w:rsidRDefault="00EC1C40">
            <w:pPr>
              <w:framePr w:w="10272" w:h="14573" w:wrap="none" w:vAnchor="page" w:hAnchor="page" w:x="831" w:y="1565"/>
              <w:rPr>
                <w:sz w:val="10"/>
                <w:szCs w:val="10"/>
              </w:rPr>
            </w:pPr>
          </w:p>
        </w:tc>
        <w:tc>
          <w:tcPr>
            <w:tcW w:w="3451" w:type="dxa"/>
            <w:tcBorders>
              <w:top w:val="single" w:sz="4" w:space="0" w:color="auto"/>
              <w:left w:val="single" w:sz="4" w:space="0" w:color="auto"/>
              <w:right w:val="single" w:sz="4" w:space="0" w:color="auto"/>
            </w:tcBorders>
            <w:shd w:val="clear" w:color="auto" w:fill="auto"/>
          </w:tcPr>
          <w:p w14:paraId="5355D1B1" w14:textId="77777777" w:rsidR="00EC1C40" w:rsidRDefault="00EC1C40">
            <w:pPr>
              <w:framePr w:w="10272" w:h="14573" w:wrap="none" w:vAnchor="page" w:hAnchor="page" w:x="831" w:y="1565"/>
              <w:rPr>
                <w:sz w:val="10"/>
                <w:szCs w:val="10"/>
              </w:rPr>
            </w:pPr>
          </w:p>
        </w:tc>
      </w:tr>
      <w:tr w:rsidR="00EC1C40" w14:paraId="0156FF1A" w14:textId="77777777">
        <w:tblPrEx>
          <w:tblCellMar>
            <w:top w:w="0" w:type="dxa"/>
            <w:bottom w:w="0" w:type="dxa"/>
          </w:tblCellMar>
        </w:tblPrEx>
        <w:trPr>
          <w:trHeight w:hRule="exact" w:val="187"/>
        </w:trPr>
        <w:tc>
          <w:tcPr>
            <w:tcW w:w="1085" w:type="dxa"/>
            <w:tcBorders>
              <w:top w:val="single" w:sz="4" w:space="0" w:color="auto"/>
              <w:left w:val="single" w:sz="4" w:space="0" w:color="auto"/>
            </w:tcBorders>
            <w:shd w:val="clear" w:color="auto" w:fill="auto"/>
            <w:vAlign w:val="bottom"/>
          </w:tcPr>
          <w:p w14:paraId="0CAC88F5" w14:textId="77777777" w:rsidR="00EC1C40" w:rsidRDefault="00000000">
            <w:pPr>
              <w:pStyle w:val="Jin0"/>
              <w:framePr w:w="10272" w:h="14573" w:wrap="none" w:vAnchor="page" w:hAnchor="page" w:x="831" w:y="1565"/>
              <w:spacing w:after="0"/>
              <w:jc w:val="center"/>
              <w:rPr>
                <w:sz w:val="13"/>
                <w:szCs w:val="13"/>
              </w:rPr>
            </w:pPr>
            <w:r>
              <w:rPr>
                <w:rFonts w:ascii="Arial" w:eastAsia="Arial" w:hAnsi="Arial" w:cs="Arial"/>
                <w:sz w:val="13"/>
                <w:szCs w:val="13"/>
              </w:rPr>
              <w:t>2.2.6.4.240</w:t>
            </w:r>
          </w:p>
        </w:tc>
        <w:tc>
          <w:tcPr>
            <w:tcW w:w="4301" w:type="dxa"/>
            <w:tcBorders>
              <w:top w:val="single" w:sz="4" w:space="0" w:color="auto"/>
              <w:left w:val="single" w:sz="4" w:space="0" w:color="auto"/>
            </w:tcBorders>
            <w:shd w:val="clear" w:color="auto" w:fill="auto"/>
            <w:vAlign w:val="bottom"/>
          </w:tcPr>
          <w:p w14:paraId="520EC956" w14:textId="77777777" w:rsidR="00EC1C40" w:rsidRDefault="00000000">
            <w:pPr>
              <w:pStyle w:val="Jin0"/>
              <w:framePr w:w="10272" w:h="14573" w:wrap="none" w:vAnchor="page" w:hAnchor="page" w:x="831" w:y="1565"/>
              <w:spacing w:after="0"/>
              <w:ind w:firstLine="200"/>
              <w:rPr>
                <w:sz w:val="13"/>
                <w:szCs w:val="13"/>
              </w:rPr>
            </w:pPr>
            <w:r>
              <w:rPr>
                <w:rFonts w:ascii="Arial" w:eastAsia="Arial" w:hAnsi="Arial" w:cs="Arial"/>
                <w:sz w:val="13"/>
                <w:szCs w:val="13"/>
              </w:rPr>
              <w:t>SO.240 Vodovodní přípojka nádrže SHZ</w:t>
            </w:r>
          </w:p>
        </w:tc>
        <w:tc>
          <w:tcPr>
            <w:tcW w:w="720" w:type="dxa"/>
            <w:tcBorders>
              <w:top w:val="single" w:sz="4" w:space="0" w:color="auto"/>
              <w:left w:val="single" w:sz="4" w:space="0" w:color="auto"/>
            </w:tcBorders>
            <w:shd w:val="clear" w:color="auto" w:fill="auto"/>
          </w:tcPr>
          <w:p w14:paraId="1C4EDA23" w14:textId="77777777" w:rsidR="00EC1C40" w:rsidRDefault="00EC1C40">
            <w:pPr>
              <w:framePr w:w="10272" w:h="14573" w:wrap="none" w:vAnchor="page" w:hAnchor="page" w:x="831" w:y="1565"/>
              <w:rPr>
                <w:sz w:val="10"/>
                <w:szCs w:val="10"/>
              </w:rPr>
            </w:pPr>
          </w:p>
        </w:tc>
        <w:tc>
          <w:tcPr>
            <w:tcW w:w="715" w:type="dxa"/>
            <w:tcBorders>
              <w:top w:val="single" w:sz="4" w:space="0" w:color="auto"/>
              <w:left w:val="single" w:sz="4" w:space="0" w:color="auto"/>
            </w:tcBorders>
            <w:shd w:val="clear" w:color="auto" w:fill="auto"/>
          </w:tcPr>
          <w:p w14:paraId="181327CA" w14:textId="77777777" w:rsidR="00EC1C40" w:rsidRDefault="00EC1C40">
            <w:pPr>
              <w:framePr w:w="10272" w:h="14573" w:wrap="none" w:vAnchor="page" w:hAnchor="page" w:x="831" w:y="1565"/>
              <w:rPr>
                <w:sz w:val="10"/>
                <w:szCs w:val="10"/>
              </w:rPr>
            </w:pPr>
          </w:p>
        </w:tc>
        <w:tc>
          <w:tcPr>
            <w:tcW w:w="3451" w:type="dxa"/>
            <w:tcBorders>
              <w:top w:val="single" w:sz="4" w:space="0" w:color="auto"/>
              <w:left w:val="single" w:sz="4" w:space="0" w:color="auto"/>
              <w:right w:val="single" w:sz="4" w:space="0" w:color="auto"/>
            </w:tcBorders>
            <w:shd w:val="clear" w:color="auto" w:fill="auto"/>
          </w:tcPr>
          <w:p w14:paraId="31EA3744" w14:textId="77777777" w:rsidR="00EC1C40" w:rsidRDefault="00EC1C40">
            <w:pPr>
              <w:framePr w:w="10272" w:h="14573" w:wrap="none" w:vAnchor="page" w:hAnchor="page" w:x="831" w:y="1565"/>
              <w:rPr>
                <w:sz w:val="10"/>
                <w:szCs w:val="10"/>
              </w:rPr>
            </w:pPr>
          </w:p>
        </w:tc>
      </w:tr>
      <w:tr w:rsidR="00EC1C40" w14:paraId="6F4CAF10" w14:textId="77777777">
        <w:tblPrEx>
          <w:tblCellMar>
            <w:top w:w="0" w:type="dxa"/>
            <w:bottom w:w="0" w:type="dxa"/>
          </w:tblCellMar>
        </w:tblPrEx>
        <w:trPr>
          <w:trHeight w:hRule="exact" w:val="182"/>
        </w:trPr>
        <w:tc>
          <w:tcPr>
            <w:tcW w:w="1085" w:type="dxa"/>
            <w:tcBorders>
              <w:top w:val="single" w:sz="4" w:space="0" w:color="auto"/>
              <w:left w:val="single" w:sz="4" w:space="0" w:color="auto"/>
            </w:tcBorders>
            <w:shd w:val="clear" w:color="auto" w:fill="auto"/>
            <w:vAlign w:val="bottom"/>
          </w:tcPr>
          <w:p w14:paraId="0185424B" w14:textId="77777777" w:rsidR="00EC1C40" w:rsidRDefault="00000000">
            <w:pPr>
              <w:pStyle w:val="Jin0"/>
              <w:framePr w:w="10272" w:h="14573" w:wrap="none" w:vAnchor="page" w:hAnchor="page" w:x="831" w:y="1565"/>
              <w:spacing w:after="0"/>
              <w:jc w:val="center"/>
              <w:rPr>
                <w:sz w:val="13"/>
                <w:szCs w:val="13"/>
              </w:rPr>
            </w:pPr>
            <w:r>
              <w:rPr>
                <w:rFonts w:ascii="Arial" w:eastAsia="Arial" w:hAnsi="Arial" w:cs="Arial"/>
                <w:sz w:val="13"/>
                <w:szCs w:val="13"/>
              </w:rPr>
              <w:t>2.2.6.4.241</w:t>
            </w:r>
          </w:p>
        </w:tc>
        <w:tc>
          <w:tcPr>
            <w:tcW w:w="4301" w:type="dxa"/>
            <w:tcBorders>
              <w:top w:val="single" w:sz="4" w:space="0" w:color="auto"/>
              <w:left w:val="single" w:sz="4" w:space="0" w:color="auto"/>
            </w:tcBorders>
            <w:shd w:val="clear" w:color="auto" w:fill="auto"/>
            <w:vAlign w:val="bottom"/>
          </w:tcPr>
          <w:p w14:paraId="704CF369" w14:textId="77777777" w:rsidR="00EC1C40" w:rsidRDefault="00000000">
            <w:pPr>
              <w:pStyle w:val="Jin0"/>
              <w:framePr w:w="10272" w:h="14573" w:wrap="none" w:vAnchor="page" w:hAnchor="page" w:x="831" w:y="1565"/>
              <w:spacing w:after="0"/>
              <w:ind w:firstLine="200"/>
              <w:rPr>
                <w:sz w:val="13"/>
                <w:szCs w:val="13"/>
              </w:rPr>
            </w:pPr>
            <w:r>
              <w:rPr>
                <w:rFonts w:ascii="Arial" w:eastAsia="Arial" w:hAnsi="Arial" w:cs="Arial"/>
                <w:sz w:val="13"/>
                <w:szCs w:val="13"/>
              </w:rPr>
              <w:t>SO.241 Vodovodní přípojka pneuservis</w:t>
            </w:r>
          </w:p>
        </w:tc>
        <w:tc>
          <w:tcPr>
            <w:tcW w:w="720" w:type="dxa"/>
            <w:tcBorders>
              <w:top w:val="single" w:sz="4" w:space="0" w:color="auto"/>
              <w:left w:val="single" w:sz="4" w:space="0" w:color="auto"/>
            </w:tcBorders>
            <w:shd w:val="clear" w:color="auto" w:fill="auto"/>
          </w:tcPr>
          <w:p w14:paraId="53230960" w14:textId="77777777" w:rsidR="00EC1C40" w:rsidRDefault="00EC1C40">
            <w:pPr>
              <w:framePr w:w="10272" w:h="14573" w:wrap="none" w:vAnchor="page" w:hAnchor="page" w:x="831" w:y="1565"/>
              <w:rPr>
                <w:sz w:val="10"/>
                <w:szCs w:val="10"/>
              </w:rPr>
            </w:pPr>
          </w:p>
        </w:tc>
        <w:tc>
          <w:tcPr>
            <w:tcW w:w="715" w:type="dxa"/>
            <w:tcBorders>
              <w:top w:val="single" w:sz="4" w:space="0" w:color="auto"/>
              <w:left w:val="single" w:sz="4" w:space="0" w:color="auto"/>
            </w:tcBorders>
            <w:shd w:val="clear" w:color="auto" w:fill="auto"/>
          </w:tcPr>
          <w:p w14:paraId="022B8DB5" w14:textId="77777777" w:rsidR="00EC1C40" w:rsidRDefault="00EC1C40">
            <w:pPr>
              <w:framePr w:w="10272" w:h="14573" w:wrap="none" w:vAnchor="page" w:hAnchor="page" w:x="831" w:y="1565"/>
              <w:rPr>
                <w:sz w:val="10"/>
                <w:szCs w:val="10"/>
              </w:rPr>
            </w:pPr>
          </w:p>
        </w:tc>
        <w:tc>
          <w:tcPr>
            <w:tcW w:w="3451" w:type="dxa"/>
            <w:tcBorders>
              <w:top w:val="single" w:sz="4" w:space="0" w:color="auto"/>
              <w:left w:val="single" w:sz="4" w:space="0" w:color="auto"/>
              <w:right w:val="single" w:sz="4" w:space="0" w:color="auto"/>
            </w:tcBorders>
            <w:shd w:val="clear" w:color="auto" w:fill="auto"/>
          </w:tcPr>
          <w:p w14:paraId="5BE80675" w14:textId="77777777" w:rsidR="00EC1C40" w:rsidRDefault="00EC1C40">
            <w:pPr>
              <w:framePr w:w="10272" w:h="14573" w:wrap="none" w:vAnchor="page" w:hAnchor="page" w:x="831" w:y="1565"/>
              <w:rPr>
                <w:sz w:val="10"/>
                <w:szCs w:val="10"/>
              </w:rPr>
            </w:pPr>
          </w:p>
        </w:tc>
      </w:tr>
      <w:tr w:rsidR="00EC1C40" w14:paraId="591D83C2" w14:textId="77777777">
        <w:tblPrEx>
          <w:tblCellMar>
            <w:top w:w="0" w:type="dxa"/>
            <w:bottom w:w="0" w:type="dxa"/>
          </w:tblCellMar>
        </w:tblPrEx>
        <w:trPr>
          <w:trHeight w:hRule="exact" w:val="187"/>
        </w:trPr>
        <w:tc>
          <w:tcPr>
            <w:tcW w:w="1085" w:type="dxa"/>
            <w:tcBorders>
              <w:top w:val="single" w:sz="4" w:space="0" w:color="auto"/>
              <w:left w:val="single" w:sz="4" w:space="0" w:color="auto"/>
            </w:tcBorders>
            <w:shd w:val="clear" w:color="auto" w:fill="auto"/>
            <w:vAlign w:val="bottom"/>
          </w:tcPr>
          <w:p w14:paraId="6BE4F39E" w14:textId="77777777" w:rsidR="00EC1C40" w:rsidRDefault="00000000">
            <w:pPr>
              <w:pStyle w:val="Jin0"/>
              <w:framePr w:w="10272" w:h="14573" w:wrap="none" w:vAnchor="page" w:hAnchor="page" w:x="831" w:y="1565"/>
              <w:spacing w:after="0"/>
              <w:jc w:val="center"/>
              <w:rPr>
                <w:sz w:val="13"/>
                <w:szCs w:val="13"/>
              </w:rPr>
            </w:pPr>
            <w:r>
              <w:rPr>
                <w:rFonts w:ascii="Arial" w:eastAsia="Arial" w:hAnsi="Arial" w:cs="Arial"/>
                <w:sz w:val="13"/>
                <w:szCs w:val="13"/>
              </w:rPr>
              <w:t>2.2.6.4.300</w:t>
            </w:r>
          </w:p>
        </w:tc>
        <w:tc>
          <w:tcPr>
            <w:tcW w:w="4301" w:type="dxa"/>
            <w:tcBorders>
              <w:top w:val="single" w:sz="4" w:space="0" w:color="auto"/>
              <w:left w:val="single" w:sz="4" w:space="0" w:color="auto"/>
            </w:tcBorders>
            <w:shd w:val="clear" w:color="auto" w:fill="auto"/>
            <w:vAlign w:val="bottom"/>
          </w:tcPr>
          <w:p w14:paraId="4962E983" w14:textId="77777777" w:rsidR="00EC1C40" w:rsidRDefault="00000000">
            <w:pPr>
              <w:pStyle w:val="Jin0"/>
              <w:framePr w:w="10272" w:h="14573" w:wrap="none" w:vAnchor="page" w:hAnchor="page" w:x="831" w:y="1565"/>
              <w:spacing w:after="0"/>
              <w:ind w:firstLine="200"/>
              <w:rPr>
                <w:sz w:val="13"/>
                <w:szCs w:val="13"/>
              </w:rPr>
            </w:pPr>
            <w:r>
              <w:rPr>
                <w:rFonts w:ascii="Arial" w:eastAsia="Arial" w:hAnsi="Arial" w:cs="Arial"/>
                <w:sz w:val="13"/>
                <w:szCs w:val="13"/>
              </w:rPr>
              <w:t>SO.300 Areálové rozvody VN - LDS</w:t>
            </w:r>
          </w:p>
        </w:tc>
        <w:tc>
          <w:tcPr>
            <w:tcW w:w="720" w:type="dxa"/>
            <w:tcBorders>
              <w:top w:val="single" w:sz="4" w:space="0" w:color="auto"/>
              <w:left w:val="single" w:sz="4" w:space="0" w:color="auto"/>
            </w:tcBorders>
            <w:shd w:val="clear" w:color="auto" w:fill="auto"/>
          </w:tcPr>
          <w:p w14:paraId="72A51CD4" w14:textId="77777777" w:rsidR="00EC1C40" w:rsidRDefault="00EC1C40">
            <w:pPr>
              <w:framePr w:w="10272" w:h="14573" w:wrap="none" w:vAnchor="page" w:hAnchor="page" w:x="831" w:y="1565"/>
              <w:rPr>
                <w:sz w:val="10"/>
                <w:szCs w:val="10"/>
              </w:rPr>
            </w:pPr>
          </w:p>
        </w:tc>
        <w:tc>
          <w:tcPr>
            <w:tcW w:w="715" w:type="dxa"/>
            <w:tcBorders>
              <w:top w:val="single" w:sz="4" w:space="0" w:color="auto"/>
              <w:left w:val="single" w:sz="4" w:space="0" w:color="auto"/>
            </w:tcBorders>
            <w:shd w:val="clear" w:color="auto" w:fill="auto"/>
          </w:tcPr>
          <w:p w14:paraId="434FF3D7" w14:textId="77777777" w:rsidR="00EC1C40" w:rsidRDefault="00EC1C40">
            <w:pPr>
              <w:framePr w:w="10272" w:h="14573" w:wrap="none" w:vAnchor="page" w:hAnchor="page" w:x="831" w:y="1565"/>
              <w:rPr>
                <w:sz w:val="10"/>
                <w:szCs w:val="10"/>
              </w:rPr>
            </w:pPr>
          </w:p>
        </w:tc>
        <w:tc>
          <w:tcPr>
            <w:tcW w:w="3451" w:type="dxa"/>
            <w:tcBorders>
              <w:top w:val="single" w:sz="4" w:space="0" w:color="auto"/>
              <w:left w:val="single" w:sz="4" w:space="0" w:color="auto"/>
              <w:right w:val="single" w:sz="4" w:space="0" w:color="auto"/>
            </w:tcBorders>
            <w:shd w:val="clear" w:color="auto" w:fill="auto"/>
          </w:tcPr>
          <w:p w14:paraId="6D4A5EA3" w14:textId="77777777" w:rsidR="00EC1C40" w:rsidRDefault="00EC1C40">
            <w:pPr>
              <w:framePr w:w="10272" w:h="14573" w:wrap="none" w:vAnchor="page" w:hAnchor="page" w:x="831" w:y="1565"/>
              <w:rPr>
                <w:sz w:val="10"/>
                <w:szCs w:val="10"/>
              </w:rPr>
            </w:pPr>
          </w:p>
        </w:tc>
      </w:tr>
      <w:tr w:rsidR="00EC1C40" w14:paraId="56F0033A" w14:textId="77777777">
        <w:tblPrEx>
          <w:tblCellMar>
            <w:top w:w="0" w:type="dxa"/>
            <w:bottom w:w="0" w:type="dxa"/>
          </w:tblCellMar>
        </w:tblPrEx>
        <w:trPr>
          <w:trHeight w:hRule="exact" w:val="187"/>
        </w:trPr>
        <w:tc>
          <w:tcPr>
            <w:tcW w:w="1085" w:type="dxa"/>
            <w:tcBorders>
              <w:top w:val="single" w:sz="4" w:space="0" w:color="auto"/>
              <w:left w:val="single" w:sz="4" w:space="0" w:color="auto"/>
            </w:tcBorders>
            <w:shd w:val="clear" w:color="auto" w:fill="auto"/>
            <w:vAlign w:val="bottom"/>
          </w:tcPr>
          <w:p w14:paraId="5C547CB8" w14:textId="77777777" w:rsidR="00EC1C40" w:rsidRDefault="00000000">
            <w:pPr>
              <w:pStyle w:val="Jin0"/>
              <w:framePr w:w="10272" w:h="14573" w:wrap="none" w:vAnchor="page" w:hAnchor="page" w:x="831" w:y="1565"/>
              <w:spacing w:after="0"/>
              <w:ind w:firstLine="200"/>
              <w:rPr>
                <w:sz w:val="13"/>
                <w:szCs w:val="13"/>
              </w:rPr>
            </w:pPr>
            <w:r>
              <w:rPr>
                <w:rFonts w:ascii="Arial" w:eastAsia="Arial" w:hAnsi="Arial" w:cs="Arial"/>
                <w:sz w:val="13"/>
                <w:szCs w:val="13"/>
              </w:rPr>
              <w:t>2.2.6.4.301</w:t>
            </w:r>
          </w:p>
        </w:tc>
        <w:tc>
          <w:tcPr>
            <w:tcW w:w="4301" w:type="dxa"/>
            <w:tcBorders>
              <w:top w:val="single" w:sz="4" w:space="0" w:color="auto"/>
              <w:left w:val="single" w:sz="4" w:space="0" w:color="auto"/>
            </w:tcBorders>
            <w:shd w:val="clear" w:color="auto" w:fill="auto"/>
            <w:vAlign w:val="bottom"/>
          </w:tcPr>
          <w:p w14:paraId="3041977B" w14:textId="77777777" w:rsidR="00EC1C40" w:rsidRDefault="00000000">
            <w:pPr>
              <w:pStyle w:val="Jin0"/>
              <w:framePr w:w="10272" w:h="14573" w:wrap="none" w:vAnchor="page" w:hAnchor="page" w:x="831" w:y="1565"/>
              <w:spacing w:after="0"/>
              <w:ind w:firstLine="200"/>
              <w:rPr>
                <w:sz w:val="13"/>
                <w:szCs w:val="13"/>
              </w:rPr>
            </w:pPr>
            <w:r>
              <w:rPr>
                <w:rFonts w:ascii="Arial" w:eastAsia="Arial" w:hAnsi="Arial" w:cs="Arial"/>
                <w:sz w:val="13"/>
                <w:szCs w:val="13"/>
              </w:rPr>
              <w:t>SO.301 Areálové rozvody NN</w:t>
            </w:r>
          </w:p>
        </w:tc>
        <w:tc>
          <w:tcPr>
            <w:tcW w:w="720" w:type="dxa"/>
            <w:tcBorders>
              <w:top w:val="single" w:sz="4" w:space="0" w:color="auto"/>
              <w:left w:val="single" w:sz="4" w:space="0" w:color="auto"/>
            </w:tcBorders>
            <w:shd w:val="clear" w:color="auto" w:fill="auto"/>
          </w:tcPr>
          <w:p w14:paraId="5F5D0E17" w14:textId="77777777" w:rsidR="00EC1C40" w:rsidRDefault="00EC1C40">
            <w:pPr>
              <w:framePr w:w="10272" w:h="14573" w:wrap="none" w:vAnchor="page" w:hAnchor="page" w:x="831" w:y="1565"/>
              <w:rPr>
                <w:sz w:val="10"/>
                <w:szCs w:val="10"/>
              </w:rPr>
            </w:pPr>
          </w:p>
        </w:tc>
        <w:tc>
          <w:tcPr>
            <w:tcW w:w="715" w:type="dxa"/>
            <w:tcBorders>
              <w:top w:val="single" w:sz="4" w:space="0" w:color="auto"/>
              <w:left w:val="single" w:sz="4" w:space="0" w:color="auto"/>
            </w:tcBorders>
            <w:shd w:val="clear" w:color="auto" w:fill="auto"/>
          </w:tcPr>
          <w:p w14:paraId="0FF28258" w14:textId="77777777" w:rsidR="00EC1C40" w:rsidRDefault="00EC1C40">
            <w:pPr>
              <w:framePr w:w="10272" w:h="14573" w:wrap="none" w:vAnchor="page" w:hAnchor="page" w:x="831" w:y="1565"/>
              <w:rPr>
                <w:sz w:val="10"/>
                <w:szCs w:val="10"/>
              </w:rPr>
            </w:pPr>
          </w:p>
        </w:tc>
        <w:tc>
          <w:tcPr>
            <w:tcW w:w="3451" w:type="dxa"/>
            <w:tcBorders>
              <w:top w:val="single" w:sz="4" w:space="0" w:color="auto"/>
              <w:left w:val="single" w:sz="4" w:space="0" w:color="auto"/>
              <w:right w:val="single" w:sz="4" w:space="0" w:color="auto"/>
            </w:tcBorders>
            <w:shd w:val="clear" w:color="auto" w:fill="auto"/>
          </w:tcPr>
          <w:p w14:paraId="657F125A" w14:textId="77777777" w:rsidR="00EC1C40" w:rsidRDefault="00EC1C40">
            <w:pPr>
              <w:framePr w:w="10272" w:h="14573" w:wrap="none" w:vAnchor="page" w:hAnchor="page" w:x="831" w:y="1565"/>
              <w:rPr>
                <w:sz w:val="10"/>
                <w:szCs w:val="10"/>
              </w:rPr>
            </w:pPr>
          </w:p>
        </w:tc>
      </w:tr>
      <w:tr w:rsidR="00EC1C40" w14:paraId="7D63CD22" w14:textId="77777777">
        <w:tblPrEx>
          <w:tblCellMar>
            <w:top w:w="0" w:type="dxa"/>
            <w:bottom w:w="0" w:type="dxa"/>
          </w:tblCellMar>
        </w:tblPrEx>
        <w:trPr>
          <w:trHeight w:hRule="exact" w:val="187"/>
        </w:trPr>
        <w:tc>
          <w:tcPr>
            <w:tcW w:w="1085" w:type="dxa"/>
            <w:tcBorders>
              <w:top w:val="single" w:sz="4" w:space="0" w:color="auto"/>
              <w:left w:val="single" w:sz="4" w:space="0" w:color="auto"/>
            </w:tcBorders>
            <w:shd w:val="clear" w:color="auto" w:fill="auto"/>
            <w:vAlign w:val="bottom"/>
          </w:tcPr>
          <w:p w14:paraId="50B89D90" w14:textId="77777777" w:rsidR="00EC1C40" w:rsidRDefault="00000000">
            <w:pPr>
              <w:pStyle w:val="Jin0"/>
              <w:framePr w:w="10272" w:h="14573" w:wrap="none" w:vAnchor="page" w:hAnchor="page" w:x="831" w:y="1565"/>
              <w:spacing w:after="0"/>
              <w:ind w:firstLine="200"/>
              <w:rPr>
                <w:sz w:val="13"/>
                <w:szCs w:val="13"/>
              </w:rPr>
            </w:pPr>
            <w:r>
              <w:rPr>
                <w:rFonts w:ascii="Arial" w:eastAsia="Arial" w:hAnsi="Arial" w:cs="Arial"/>
                <w:sz w:val="13"/>
                <w:szCs w:val="13"/>
              </w:rPr>
              <w:t>2.2.6.4.310</w:t>
            </w:r>
          </w:p>
        </w:tc>
        <w:tc>
          <w:tcPr>
            <w:tcW w:w="4301" w:type="dxa"/>
            <w:tcBorders>
              <w:top w:val="single" w:sz="4" w:space="0" w:color="auto"/>
              <w:left w:val="single" w:sz="4" w:space="0" w:color="auto"/>
            </w:tcBorders>
            <w:shd w:val="clear" w:color="auto" w:fill="auto"/>
            <w:vAlign w:val="bottom"/>
          </w:tcPr>
          <w:p w14:paraId="558180D1" w14:textId="77777777" w:rsidR="00EC1C40" w:rsidRDefault="00000000">
            <w:pPr>
              <w:pStyle w:val="Jin0"/>
              <w:framePr w:w="10272" w:h="14573" w:wrap="none" w:vAnchor="page" w:hAnchor="page" w:x="831" w:y="1565"/>
              <w:spacing w:after="0"/>
              <w:ind w:firstLine="200"/>
              <w:rPr>
                <w:sz w:val="13"/>
                <w:szCs w:val="13"/>
              </w:rPr>
            </w:pPr>
            <w:r>
              <w:rPr>
                <w:rFonts w:ascii="Arial" w:eastAsia="Arial" w:hAnsi="Arial" w:cs="Arial"/>
                <w:sz w:val="13"/>
                <w:szCs w:val="13"/>
              </w:rPr>
              <w:t>SO.310 Areálové osvětlení</w:t>
            </w:r>
          </w:p>
        </w:tc>
        <w:tc>
          <w:tcPr>
            <w:tcW w:w="720" w:type="dxa"/>
            <w:tcBorders>
              <w:top w:val="single" w:sz="4" w:space="0" w:color="auto"/>
              <w:left w:val="single" w:sz="4" w:space="0" w:color="auto"/>
            </w:tcBorders>
            <w:shd w:val="clear" w:color="auto" w:fill="auto"/>
          </w:tcPr>
          <w:p w14:paraId="6437B428" w14:textId="77777777" w:rsidR="00EC1C40" w:rsidRDefault="00EC1C40">
            <w:pPr>
              <w:framePr w:w="10272" w:h="14573" w:wrap="none" w:vAnchor="page" w:hAnchor="page" w:x="831" w:y="1565"/>
              <w:rPr>
                <w:sz w:val="10"/>
                <w:szCs w:val="10"/>
              </w:rPr>
            </w:pPr>
          </w:p>
        </w:tc>
        <w:tc>
          <w:tcPr>
            <w:tcW w:w="715" w:type="dxa"/>
            <w:tcBorders>
              <w:top w:val="single" w:sz="4" w:space="0" w:color="auto"/>
              <w:left w:val="single" w:sz="4" w:space="0" w:color="auto"/>
            </w:tcBorders>
            <w:shd w:val="clear" w:color="auto" w:fill="auto"/>
          </w:tcPr>
          <w:p w14:paraId="48074164" w14:textId="77777777" w:rsidR="00EC1C40" w:rsidRDefault="00EC1C40">
            <w:pPr>
              <w:framePr w:w="10272" w:h="14573" w:wrap="none" w:vAnchor="page" w:hAnchor="page" w:x="831" w:y="1565"/>
              <w:rPr>
                <w:sz w:val="10"/>
                <w:szCs w:val="10"/>
              </w:rPr>
            </w:pPr>
          </w:p>
        </w:tc>
        <w:tc>
          <w:tcPr>
            <w:tcW w:w="3451" w:type="dxa"/>
            <w:tcBorders>
              <w:top w:val="single" w:sz="4" w:space="0" w:color="auto"/>
              <w:left w:val="single" w:sz="4" w:space="0" w:color="auto"/>
              <w:right w:val="single" w:sz="4" w:space="0" w:color="auto"/>
            </w:tcBorders>
            <w:shd w:val="clear" w:color="auto" w:fill="auto"/>
          </w:tcPr>
          <w:p w14:paraId="59647184" w14:textId="77777777" w:rsidR="00EC1C40" w:rsidRDefault="00EC1C40">
            <w:pPr>
              <w:framePr w:w="10272" w:h="14573" w:wrap="none" w:vAnchor="page" w:hAnchor="page" w:x="831" w:y="1565"/>
              <w:rPr>
                <w:sz w:val="10"/>
                <w:szCs w:val="10"/>
              </w:rPr>
            </w:pPr>
          </w:p>
        </w:tc>
      </w:tr>
      <w:tr w:rsidR="00EC1C40" w14:paraId="3DD1EFF0" w14:textId="77777777">
        <w:tblPrEx>
          <w:tblCellMar>
            <w:top w:w="0" w:type="dxa"/>
            <w:bottom w:w="0" w:type="dxa"/>
          </w:tblCellMar>
        </w:tblPrEx>
        <w:trPr>
          <w:trHeight w:hRule="exact" w:val="187"/>
        </w:trPr>
        <w:tc>
          <w:tcPr>
            <w:tcW w:w="1085" w:type="dxa"/>
            <w:tcBorders>
              <w:top w:val="single" w:sz="4" w:space="0" w:color="auto"/>
              <w:left w:val="single" w:sz="4" w:space="0" w:color="auto"/>
            </w:tcBorders>
            <w:shd w:val="clear" w:color="auto" w:fill="F5EA02"/>
            <w:vAlign w:val="bottom"/>
          </w:tcPr>
          <w:p w14:paraId="78C19F0A" w14:textId="77777777" w:rsidR="00EC1C40" w:rsidRDefault="00000000">
            <w:pPr>
              <w:pStyle w:val="Jin0"/>
              <w:framePr w:w="10272" w:h="14573" w:wrap="none" w:vAnchor="page" w:hAnchor="page" w:x="831" w:y="1565"/>
              <w:spacing w:after="0"/>
              <w:jc w:val="center"/>
              <w:rPr>
                <w:sz w:val="13"/>
                <w:szCs w:val="13"/>
              </w:rPr>
            </w:pPr>
            <w:r>
              <w:rPr>
                <w:rFonts w:ascii="Arial" w:eastAsia="Arial" w:hAnsi="Arial" w:cs="Arial"/>
                <w:b/>
                <w:bCs/>
                <w:sz w:val="13"/>
                <w:szCs w:val="13"/>
              </w:rPr>
              <w:t>2.2.6.4.311</w:t>
            </w:r>
          </w:p>
        </w:tc>
        <w:tc>
          <w:tcPr>
            <w:tcW w:w="4301" w:type="dxa"/>
            <w:tcBorders>
              <w:top w:val="single" w:sz="4" w:space="0" w:color="auto"/>
              <w:left w:val="single" w:sz="4" w:space="0" w:color="auto"/>
            </w:tcBorders>
            <w:shd w:val="clear" w:color="auto" w:fill="F5EA02"/>
            <w:vAlign w:val="bottom"/>
          </w:tcPr>
          <w:p w14:paraId="36FF2F0E" w14:textId="77777777" w:rsidR="00EC1C40" w:rsidRDefault="00000000">
            <w:pPr>
              <w:pStyle w:val="Jin0"/>
              <w:framePr w:w="10272" w:h="14573" w:wrap="none" w:vAnchor="page" w:hAnchor="page" w:x="831" w:y="1565"/>
              <w:spacing w:after="0"/>
              <w:ind w:firstLine="200"/>
              <w:rPr>
                <w:sz w:val="13"/>
                <w:szCs w:val="13"/>
              </w:rPr>
            </w:pPr>
            <w:r>
              <w:rPr>
                <w:rFonts w:ascii="Arial" w:eastAsia="Arial" w:hAnsi="Arial" w:cs="Arial"/>
                <w:b/>
                <w:bCs/>
                <w:sz w:val="13"/>
                <w:szCs w:val="13"/>
              </w:rPr>
              <w:t>SO.311 Veřejné osvětlení</w:t>
            </w:r>
          </w:p>
        </w:tc>
        <w:tc>
          <w:tcPr>
            <w:tcW w:w="720" w:type="dxa"/>
            <w:tcBorders>
              <w:top w:val="single" w:sz="4" w:space="0" w:color="auto"/>
              <w:left w:val="single" w:sz="4" w:space="0" w:color="auto"/>
            </w:tcBorders>
            <w:shd w:val="clear" w:color="auto" w:fill="F0B9B4"/>
          </w:tcPr>
          <w:p w14:paraId="76BCFFA1" w14:textId="77777777" w:rsidR="00EC1C40" w:rsidRDefault="00EC1C40">
            <w:pPr>
              <w:framePr w:w="10272" w:h="14573" w:wrap="none" w:vAnchor="page" w:hAnchor="page" w:x="831" w:y="1565"/>
              <w:rPr>
                <w:sz w:val="10"/>
                <w:szCs w:val="10"/>
              </w:rPr>
            </w:pPr>
          </w:p>
        </w:tc>
        <w:tc>
          <w:tcPr>
            <w:tcW w:w="715" w:type="dxa"/>
            <w:tcBorders>
              <w:top w:val="single" w:sz="4" w:space="0" w:color="auto"/>
              <w:left w:val="single" w:sz="4" w:space="0" w:color="auto"/>
            </w:tcBorders>
            <w:shd w:val="clear" w:color="auto" w:fill="auto"/>
          </w:tcPr>
          <w:p w14:paraId="4BA7B1A2" w14:textId="77777777" w:rsidR="00EC1C40" w:rsidRDefault="00EC1C40">
            <w:pPr>
              <w:framePr w:w="10272" w:h="14573" w:wrap="none" w:vAnchor="page" w:hAnchor="page" w:x="831" w:y="1565"/>
              <w:rPr>
                <w:sz w:val="10"/>
                <w:szCs w:val="10"/>
              </w:rPr>
            </w:pPr>
          </w:p>
        </w:tc>
        <w:tc>
          <w:tcPr>
            <w:tcW w:w="3451" w:type="dxa"/>
            <w:tcBorders>
              <w:top w:val="single" w:sz="4" w:space="0" w:color="auto"/>
              <w:left w:val="single" w:sz="4" w:space="0" w:color="auto"/>
              <w:right w:val="single" w:sz="4" w:space="0" w:color="auto"/>
            </w:tcBorders>
            <w:shd w:val="clear" w:color="auto" w:fill="auto"/>
          </w:tcPr>
          <w:p w14:paraId="7B566E49" w14:textId="77777777" w:rsidR="00EC1C40" w:rsidRDefault="00EC1C40">
            <w:pPr>
              <w:framePr w:w="10272" w:h="14573" w:wrap="none" w:vAnchor="page" w:hAnchor="page" w:x="831" w:y="1565"/>
              <w:rPr>
                <w:sz w:val="10"/>
                <w:szCs w:val="10"/>
              </w:rPr>
            </w:pPr>
          </w:p>
        </w:tc>
      </w:tr>
      <w:tr w:rsidR="00EC1C40" w14:paraId="3EAAB920" w14:textId="77777777">
        <w:tblPrEx>
          <w:tblCellMar>
            <w:top w:w="0" w:type="dxa"/>
            <w:bottom w:w="0" w:type="dxa"/>
          </w:tblCellMar>
        </w:tblPrEx>
        <w:trPr>
          <w:trHeight w:hRule="exact" w:val="187"/>
        </w:trPr>
        <w:tc>
          <w:tcPr>
            <w:tcW w:w="1085" w:type="dxa"/>
            <w:tcBorders>
              <w:top w:val="single" w:sz="4" w:space="0" w:color="auto"/>
              <w:left w:val="single" w:sz="4" w:space="0" w:color="auto"/>
            </w:tcBorders>
            <w:shd w:val="clear" w:color="auto" w:fill="auto"/>
            <w:vAlign w:val="bottom"/>
          </w:tcPr>
          <w:p w14:paraId="39EEA91F" w14:textId="77777777" w:rsidR="00EC1C40" w:rsidRDefault="00000000">
            <w:pPr>
              <w:pStyle w:val="Jin0"/>
              <w:framePr w:w="10272" w:h="14573" w:wrap="none" w:vAnchor="page" w:hAnchor="page" w:x="831" w:y="1565"/>
              <w:spacing w:after="0"/>
              <w:ind w:firstLine="200"/>
              <w:rPr>
                <w:sz w:val="13"/>
                <w:szCs w:val="13"/>
              </w:rPr>
            </w:pPr>
            <w:r>
              <w:rPr>
                <w:rFonts w:ascii="Arial" w:eastAsia="Arial" w:hAnsi="Arial" w:cs="Arial"/>
                <w:sz w:val="13"/>
                <w:szCs w:val="13"/>
              </w:rPr>
              <w:t>2.2.6.4.350</w:t>
            </w:r>
          </w:p>
        </w:tc>
        <w:tc>
          <w:tcPr>
            <w:tcW w:w="4301" w:type="dxa"/>
            <w:tcBorders>
              <w:top w:val="single" w:sz="4" w:space="0" w:color="auto"/>
              <w:left w:val="single" w:sz="4" w:space="0" w:color="auto"/>
            </w:tcBorders>
            <w:shd w:val="clear" w:color="auto" w:fill="auto"/>
            <w:vAlign w:val="bottom"/>
          </w:tcPr>
          <w:p w14:paraId="13DAE96C" w14:textId="77777777" w:rsidR="00EC1C40" w:rsidRDefault="00000000">
            <w:pPr>
              <w:pStyle w:val="Jin0"/>
              <w:framePr w:w="10272" w:h="14573" w:wrap="none" w:vAnchor="page" w:hAnchor="page" w:x="831" w:y="1565"/>
              <w:spacing w:after="0"/>
              <w:ind w:firstLine="200"/>
              <w:rPr>
                <w:sz w:val="13"/>
                <w:szCs w:val="13"/>
              </w:rPr>
            </w:pPr>
            <w:r>
              <w:rPr>
                <w:rFonts w:ascii="Arial" w:eastAsia="Arial" w:hAnsi="Arial" w:cs="Arial"/>
                <w:sz w:val="13"/>
                <w:szCs w:val="13"/>
              </w:rPr>
              <w:t>SO.350 Přípojka VN</w:t>
            </w:r>
          </w:p>
        </w:tc>
        <w:tc>
          <w:tcPr>
            <w:tcW w:w="720" w:type="dxa"/>
            <w:tcBorders>
              <w:top w:val="single" w:sz="4" w:space="0" w:color="auto"/>
              <w:left w:val="single" w:sz="4" w:space="0" w:color="auto"/>
            </w:tcBorders>
            <w:shd w:val="clear" w:color="auto" w:fill="auto"/>
          </w:tcPr>
          <w:p w14:paraId="5039A1EF" w14:textId="77777777" w:rsidR="00EC1C40" w:rsidRDefault="00EC1C40">
            <w:pPr>
              <w:framePr w:w="10272" w:h="14573" w:wrap="none" w:vAnchor="page" w:hAnchor="page" w:x="831" w:y="1565"/>
              <w:rPr>
                <w:sz w:val="10"/>
                <w:szCs w:val="10"/>
              </w:rPr>
            </w:pPr>
          </w:p>
        </w:tc>
        <w:tc>
          <w:tcPr>
            <w:tcW w:w="715" w:type="dxa"/>
            <w:tcBorders>
              <w:top w:val="single" w:sz="4" w:space="0" w:color="auto"/>
              <w:left w:val="single" w:sz="4" w:space="0" w:color="auto"/>
            </w:tcBorders>
            <w:shd w:val="clear" w:color="auto" w:fill="auto"/>
          </w:tcPr>
          <w:p w14:paraId="4E063586" w14:textId="77777777" w:rsidR="00EC1C40" w:rsidRDefault="00EC1C40">
            <w:pPr>
              <w:framePr w:w="10272" w:h="14573" w:wrap="none" w:vAnchor="page" w:hAnchor="page" w:x="831" w:y="1565"/>
              <w:rPr>
                <w:sz w:val="10"/>
                <w:szCs w:val="10"/>
              </w:rPr>
            </w:pPr>
          </w:p>
        </w:tc>
        <w:tc>
          <w:tcPr>
            <w:tcW w:w="3451" w:type="dxa"/>
            <w:tcBorders>
              <w:top w:val="single" w:sz="4" w:space="0" w:color="auto"/>
              <w:left w:val="single" w:sz="4" w:space="0" w:color="auto"/>
              <w:right w:val="single" w:sz="4" w:space="0" w:color="auto"/>
            </w:tcBorders>
            <w:shd w:val="clear" w:color="auto" w:fill="auto"/>
          </w:tcPr>
          <w:p w14:paraId="5F403E81" w14:textId="77777777" w:rsidR="00EC1C40" w:rsidRDefault="00EC1C40">
            <w:pPr>
              <w:framePr w:w="10272" w:h="14573" w:wrap="none" w:vAnchor="page" w:hAnchor="page" w:x="831" w:y="1565"/>
              <w:rPr>
                <w:sz w:val="10"/>
                <w:szCs w:val="10"/>
              </w:rPr>
            </w:pPr>
          </w:p>
        </w:tc>
      </w:tr>
      <w:tr w:rsidR="00EC1C40" w14:paraId="2C9D36F0" w14:textId="77777777">
        <w:tblPrEx>
          <w:tblCellMar>
            <w:top w:w="0" w:type="dxa"/>
            <w:bottom w:w="0" w:type="dxa"/>
          </w:tblCellMar>
        </w:tblPrEx>
        <w:trPr>
          <w:trHeight w:hRule="exact" w:val="187"/>
        </w:trPr>
        <w:tc>
          <w:tcPr>
            <w:tcW w:w="1085" w:type="dxa"/>
            <w:tcBorders>
              <w:top w:val="single" w:sz="4" w:space="0" w:color="auto"/>
              <w:left w:val="single" w:sz="4" w:space="0" w:color="auto"/>
            </w:tcBorders>
            <w:shd w:val="clear" w:color="auto" w:fill="auto"/>
            <w:vAlign w:val="bottom"/>
          </w:tcPr>
          <w:p w14:paraId="368CC76F" w14:textId="77777777" w:rsidR="00EC1C40" w:rsidRDefault="00000000">
            <w:pPr>
              <w:pStyle w:val="Jin0"/>
              <w:framePr w:w="10272" w:h="14573" w:wrap="none" w:vAnchor="page" w:hAnchor="page" w:x="831" w:y="1565"/>
              <w:spacing w:after="0"/>
              <w:ind w:firstLine="200"/>
              <w:rPr>
                <w:sz w:val="13"/>
                <w:szCs w:val="13"/>
              </w:rPr>
            </w:pPr>
            <w:r>
              <w:rPr>
                <w:rFonts w:ascii="Arial" w:eastAsia="Arial" w:hAnsi="Arial" w:cs="Arial"/>
                <w:sz w:val="13"/>
                <w:szCs w:val="13"/>
              </w:rPr>
              <w:t>2.2.6.4.360</w:t>
            </w:r>
          </w:p>
        </w:tc>
        <w:tc>
          <w:tcPr>
            <w:tcW w:w="4301" w:type="dxa"/>
            <w:tcBorders>
              <w:top w:val="single" w:sz="4" w:space="0" w:color="auto"/>
              <w:left w:val="single" w:sz="4" w:space="0" w:color="auto"/>
            </w:tcBorders>
            <w:shd w:val="clear" w:color="auto" w:fill="auto"/>
            <w:vAlign w:val="bottom"/>
          </w:tcPr>
          <w:p w14:paraId="51CBB9C0" w14:textId="77777777" w:rsidR="00EC1C40" w:rsidRDefault="00000000">
            <w:pPr>
              <w:pStyle w:val="Jin0"/>
              <w:framePr w:w="10272" w:h="14573" w:wrap="none" w:vAnchor="page" w:hAnchor="page" w:x="831" w:y="1565"/>
              <w:spacing w:after="0"/>
              <w:ind w:firstLine="200"/>
              <w:rPr>
                <w:sz w:val="13"/>
                <w:szCs w:val="13"/>
              </w:rPr>
            </w:pPr>
            <w:r>
              <w:rPr>
                <w:rFonts w:ascii="Arial" w:eastAsia="Arial" w:hAnsi="Arial" w:cs="Arial"/>
                <w:sz w:val="13"/>
                <w:szCs w:val="13"/>
              </w:rPr>
              <w:t>SO.360 Přeložka VN a NN u mostu přes horkovod</w:t>
            </w:r>
          </w:p>
        </w:tc>
        <w:tc>
          <w:tcPr>
            <w:tcW w:w="720" w:type="dxa"/>
            <w:tcBorders>
              <w:top w:val="single" w:sz="4" w:space="0" w:color="auto"/>
              <w:left w:val="single" w:sz="4" w:space="0" w:color="auto"/>
            </w:tcBorders>
            <w:shd w:val="clear" w:color="auto" w:fill="auto"/>
          </w:tcPr>
          <w:p w14:paraId="0FA1DF15" w14:textId="77777777" w:rsidR="00EC1C40" w:rsidRDefault="00EC1C40">
            <w:pPr>
              <w:framePr w:w="10272" w:h="14573" w:wrap="none" w:vAnchor="page" w:hAnchor="page" w:x="831" w:y="1565"/>
              <w:rPr>
                <w:sz w:val="10"/>
                <w:szCs w:val="10"/>
              </w:rPr>
            </w:pPr>
          </w:p>
        </w:tc>
        <w:tc>
          <w:tcPr>
            <w:tcW w:w="715" w:type="dxa"/>
            <w:tcBorders>
              <w:top w:val="single" w:sz="4" w:space="0" w:color="auto"/>
              <w:left w:val="single" w:sz="4" w:space="0" w:color="auto"/>
            </w:tcBorders>
            <w:shd w:val="clear" w:color="auto" w:fill="auto"/>
          </w:tcPr>
          <w:p w14:paraId="4FF7E46C" w14:textId="77777777" w:rsidR="00EC1C40" w:rsidRDefault="00EC1C40">
            <w:pPr>
              <w:framePr w:w="10272" w:h="14573" w:wrap="none" w:vAnchor="page" w:hAnchor="page" w:x="831" w:y="1565"/>
              <w:rPr>
                <w:sz w:val="10"/>
                <w:szCs w:val="10"/>
              </w:rPr>
            </w:pPr>
          </w:p>
        </w:tc>
        <w:tc>
          <w:tcPr>
            <w:tcW w:w="3451" w:type="dxa"/>
            <w:tcBorders>
              <w:top w:val="single" w:sz="4" w:space="0" w:color="auto"/>
              <w:left w:val="single" w:sz="4" w:space="0" w:color="auto"/>
              <w:right w:val="single" w:sz="4" w:space="0" w:color="auto"/>
            </w:tcBorders>
            <w:shd w:val="clear" w:color="auto" w:fill="auto"/>
          </w:tcPr>
          <w:p w14:paraId="7402DB1F" w14:textId="77777777" w:rsidR="00EC1C40" w:rsidRDefault="00EC1C40">
            <w:pPr>
              <w:framePr w:w="10272" w:h="14573" w:wrap="none" w:vAnchor="page" w:hAnchor="page" w:x="831" w:y="1565"/>
              <w:rPr>
                <w:sz w:val="10"/>
                <w:szCs w:val="10"/>
              </w:rPr>
            </w:pPr>
          </w:p>
        </w:tc>
      </w:tr>
      <w:tr w:rsidR="00EC1C40" w14:paraId="354D9CF7" w14:textId="77777777">
        <w:tblPrEx>
          <w:tblCellMar>
            <w:top w:w="0" w:type="dxa"/>
            <w:bottom w:w="0" w:type="dxa"/>
          </w:tblCellMar>
        </w:tblPrEx>
        <w:trPr>
          <w:trHeight w:hRule="exact" w:val="182"/>
        </w:trPr>
        <w:tc>
          <w:tcPr>
            <w:tcW w:w="1085" w:type="dxa"/>
            <w:tcBorders>
              <w:top w:val="single" w:sz="4" w:space="0" w:color="auto"/>
              <w:left w:val="single" w:sz="4" w:space="0" w:color="auto"/>
            </w:tcBorders>
            <w:shd w:val="clear" w:color="auto" w:fill="auto"/>
            <w:vAlign w:val="bottom"/>
          </w:tcPr>
          <w:p w14:paraId="265166A3" w14:textId="77777777" w:rsidR="00EC1C40" w:rsidRDefault="00000000">
            <w:pPr>
              <w:pStyle w:val="Jin0"/>
              <w:framePr w:w="10272" w:h="14573" w:wrap="none" w:vAnchor="page" w:hAnchor="page" w:x="831" w:y="1565"/>
              <w:spacing w:after="0"/>
              <w:jc w:val="center"/>
              <w:rPr>
                <w:sz w:val="13"/>
                <w:szCs w:val="13"/>
              </w:rPr>
            </w:pPr>
            <w:r>
              <w:rPr>
                <w:rFonts w:ascii="Arial" w:eastAsia="Arial" w:hAnsi="Arial" w:cs="Arial"/>
                <w:sz w:val="13"/>
                <w:szCs w:val="13"/>
              </w:rPr>
              <w:t>2.2.6.4.400</w:t>
            </w:r>
          </w:p>
        </w:tc>
        <w:tc>
          <w:tcPr>
            <w:tcW w:w="4301" w:type="dxa"/>
            <w:tcBorders>
              <w:top w:val="single" w:sz="4" w:space="0" w:color="auto"/>
              <w:left w:val="single" w:sz="4" w:space="0" w:color="auto"/>
            </w:tcBorders>
            <w:shd w:val="clear" w:color="auto" w:fill="auto"/>
            <w:vAlign w:val="bottom"/>
          </w:tcPr>
          <w:p w14:paraId="1BDB3FB4" w14:textId="77777777" w:rsidR="00EC1C40" w:rsidRDefault="00000000">
            <w:pPr>
              <w:pStyle w:val="Jin0"/>
              <w:framePr w:w="10272" w:h="14573" w:wrap="none" w:vAnchor="page" w:hAnchor="page" w:x="831" w:y="1565"/>
              <w:spacing w:after="0"/>
              <w:ind w:firstLine="200"/>
              <w:rPr>
                <w:sz w:val="13"/>
                <w:szCs w:val="13"/>
              </w:rPr>
            </w:pPr>
            <w:r>
              <w:rPr>
                <w:rFonts w:ascii="Arial" w:eastAsia="Arial" w:hAnsi="Arial" w:cs="Arial"/>
                <w:sz w:val="13"/>
                <w:szCs w:val="13"/>
              </w:rPr>
              <w:t>SO.400 Areálové sdělovací technologické rozvody</w:t>
            </w:r>
          </w:p>
        </w:tc>
        <w:tc>
          <w:tcPr>
            <w:tcW w:w="720" w:type="dxa"/>
            <w:tcBorders>
              <w:top w:val="single" w:sz="4" w:space="0" w:color="auto"/>
              <w:left w:val="single" w:sz="4" w:space="0" w:color="auto"/>
            </w:tcBorders>
            <w:shd w:val="clear" w:color="auto" w:fill="auto"/>
          </w:tcPr>
          <w:p w14:paraId="4527909E" w14:textId="77777777" w:rsidR="00EC1C40" w:rsidRDefault="00EC1C40">
            <w:pPr>
              <w:framePr w:w="10272" w:h="14573" w:wrap="none" w:vAnchor="page" w:hAnchor="page" w:x="831" w:y="1565"/>
              <w:rPr>
                <w:sz w:val="10"/>
                <w:szCs w:val="10"/>
              </w:rPr>
            </w:pPr>
          </w:p>
        </w:tc>
        <w:tc>
          <w:tcPr>
            <w:tcW w:w="715" w:type="dxa"/>
            <w:tcBorders>
              <w:top w:val="single" w:sz="4" w:space="0" w:color="auto"/>
              <w:left w:val="single" w:sz="4" w:space="0" w:color="auto"/>
            </w:tcBorders>
            <w:shd w:val="clear" w:color="auto" w:fill="auto"/>
          </w:tcPr>
          <w:p w14:paraId="19E3C808" w14:textId="77777777" w:rsidR="00EC1C40" w:rsidRDefault="00EC1C40">
            <w:pPr>
              <w:framePr w:w="10272" w:h="14573" w:wrap="none" w:vAnchor="page" w:hAnchor="page" w:x="831" w:y="1565"/>
              <w:rPr>
                <w:sz w:val="10"/>
                <w:szCs w:val="10"/>
              </w:rPr>
            </w:pPr>
          </w:p>
        </w:tc>
        <w:tc>
          <w:tcPr>
            <w:tcW w:w="3451" w:type="dxa"/>
            <w:tcBorders>
              <w:top w:val="single" w:sz="4" w:space="0" w:color="auto"/>
              <w:left w:val="single" w:sz="4" w:space="0" w:color="auto"/>
              <w:right w:val="single" w:sz="4" w:space="0" w:color="auto"/>
            </w:tcBorders>
            <w:shd w:val="clear" w:color="auto" w:fill="auto"/>
          </w:tcPr>
          <w:p w14:paraId="527D8B16" w14:textId="77777777" w:rsidR="00EC1C40" w:rsidRDefault="00EC1C40">
            <w:pPr>
              <w:framePr w:w="10272" w:h="14573" w:wrap="none" w:vAnchor="page" w:hAnchor="page" w:x="831" w:y="1565"/>
              <w:rPr>
                <w:sz w:val="10"/>
                <w:szCs w:val="10"/>
              </w:rPr>
            </w:pPr>
          </w:p>
        </w:tc>
      </w:tr>
      <w:tr w:rsidR="00EC1C40" w14:paraId="47C1CAB8" w14:textId="77777777">
        <w:tblPrEx>
          <w:tblCellMar>
            <w:top w:w="0" w:type="dxa"/>
            <w:bottom w:w="0" w:type="dxa"/>
          </w:tblCellMar>
        </w:tblPrEx>
        <w:trPr>
          <w:trHeight w:hRule="exact" w:val="187"/>
        </w:trPr>
        <w:tc>
          <w:tcPr>
            <w:tcW w:w="1085" w:type="dxa"/>
            <w:tcBorders>
              <w:top w:val="single" w:sz="4" w:space="0" w:color="auto"/>
              <w:left w:val="single" w:sz="4" w:space="0" w:color="auto"/>
            </w:tcBorders>
            <w:shd w:val="clear" w:color="auto" w:fill="auto"/>
            <w:vAlign w:val="bottom"/>
          </w:tcPr>
          <w:p w14:paraId="7D8B7EA0" w14:textId="77777777" w:rsidR="00EC1C40" w:rsidRDefault="00000000">
            <w:pPr>
              <w:pStyle w:val="Jin0"/>
              <w:framePr w:w="10272" w:h="14573" w:wrap="none" w:vAnchor="page" w:hAnchor="page" w:x="831" w:y="1565"/>
              <w:spacing w:after="0"/>
              <w:jc w:val="center"/>
              <w:rPr>
                <w:sz w:val="13"/>
                <w:szCs w:val="13"/>
              </w:rPr>
            </w:pPr>
            <w:r>
              <w:rPr>
                <w:rFonts w:ascii="Arial" w:eastAsia="Arial" w:hAnsi="Arial" w:cs="Arial"/>
                <w:sz w:val="13"/>
                <w:szCs w:val="13"/>
              </w:rPr>
              <w:t>2.2.6.4.401</w:t>
            </w:r>
          </w:p>
        </w:tc>
        <w:tc>
          <w:tcPr>
            <w:tcW w:w="4301" w:type="dxa"/>
            <w:tcBorders>
              <w:top w:val="single" w:sz="4" w:space="0" w:color="auto"/>
              <w:left w:val="single" w:sz="4" w:space="0" w:color="auto"/>
            </w:tcBorders>
            <w:shd w:val="clear" w:color="auto" w:fill="auto"/>
            <w:vAlign w:val="bottom"/>
          </w:tcPr>
          <w:p w14:paraId="6B85CA97" w14:textId="77777777" w:rsidR="00EC1C40" w:rsidRDefault="00000000">
            <w:pPr>
              <w:pStyle w:val="Jin0"/>
              <w:framePr w:w="10272" w:h="14573" w:wrap="none" w:vAnchor="page" w:hAnchor="page" w:x="831" w:y="1565"/>
              <w:spacing w:after="0"/>
              <w:ind w:firstLine="200"/>
              <w:rPr>
                <w:sz w:val="13"/>
                <w:szCs w:val="13"/>
              </w:rPr>
            </w:pPr>
            <w:r>
              <w:rPr>
                <w:rFonts w:ascii="Arial" w:eastAsia="Arial" w:hAnsi="Arial" w:cs="Arial"/>
                <w:sz w:val="13"/>
                <w:szCs w:val="13"/>
              </w:rPr>
              <w:t>SO.401 Areálové komunikační rozvody</w:t>
            </w:r>
          </w:p>
        </w:tc>
        <w:tc>
          <w:tcPr>
            <w:tcW w:w="720" w:type="dxa"/>
            <w:tcBorders>
              <w:top w:val="single" w:sz="4" w:space="0" w:color="auto"/>
              <w:left w:val="single" w:sz="4" w:space="0" w:color="auto"/>
            </w:tcBorders>
            <w:shd w:val="clear" w:color="auto" w:fill="auto"/>
          </w:tcPr>
          <w:p w14:paraId="06B9F679" w14:textId="77777777" w:rsidR="00EC1C40" w:rsidRDefault="00EC1C40">
            <w:pPr>
              <w:framePr w:w="10272" w:h="14573" w:wrap="none" w:vAnchor="page" w:hAnchor="page" w:x="831" w:y="1565"/>
              <w:rPr>
                <w:sz w:val="10"/>
                <w:szCs w:val="10"/>
              </w:rPr>
            </w:pPr>
          </w:p>
        </w:tc>
        <w:tc>
          <w:tcPr>
            <w:tcW w:w="715" w:type="dxa"/>
            <w:tcBorders>
              <w:top w:val="single" w:sz="4" w:space="0" w:color="auto"/>
              <w:left w:val="single" w:sz="4" w:space="0" w:color="auto"/>
            </w:tcBorders>
            <w:shd w:val="clear" w:color="auto" w:fill="auto"/>
          </w:tcPr>
          <w:p w14:paraId="27313DED" w14:textId="77777777" w:rsidR="00EC1C40" w:rsidRDefault="00EC1C40">
            <w:pPr>
              <w:framePr w:w="10272" w:h="14573" w:wrap="none" w:vAnchor="page" w:hAnchor="page" w:x="831" w:y="1565"/>
              <w:rPr>
                <w:sz w:val="10"/>
                <w:szCs w:val="10"/>
              </w:rPr>
            </w:pPr>
          </w:p>
        </w:tc>
        <w:tc>
          <w:tcPr>
            <w:tcW w:w="3451" w:type="dxa"/>
            <w:tcBorders>
              <w:top w:val="single" w:sz="4" w:space="0" w:color="auto"/>
              <w:left w:val="single" w:sz="4" w:space="0" w:color="auto"/>
              <w:right w:val="single" w:sz="4" w:space="0" w:color="auto"/>
            </w:tcBorders>
            <w:shd w:val="clear" w:color="auto" w:fill="auto"/>
          </w:tcPr>
          <w:p w14:paraId="272168E4" w14:textId="77777777" w:rsidR="00EC1C40" w:rsidRDefault="00EC1C40">
            <w:pPr>
              <w:framePr w:w="10272" w:h="14573" w:wrap="none" w:vAnchor="page" w:hAnchor="page" w:x="831" w:y="1565"/>
              <w:rPr>
                <w:sz w:val="10"/>
                <w:szCs w:val="10"/>
              </w:rPr>
            </w:pPr>
          </w:p>
        </w:tc>
      </w:tr>
      <w:tr w:rsidR="00EC1C40" w14:paraId="4012C135" w14:textId="77777777">
        <w:tblPrEx>
          <w:tblCellMar>
            <w:top w:w="0" w:type="dxa"/>
            <w:bottom w:w="0" w:type="dxa"/>
          </w:tblCellMar>
        </w:tblPrEx>
        <w:trPr>
          <w:trHeight w:hRule="exact" w:val="187"/>
        </w:trPr>
        <w:tc>
          <w:tcPr>
            <w:tcW w:w="1085" w:type="dxa"/>
            <w:tcBorders>
              <w:top w:val="single" w:sz="4" w:space="0" w:color="auto"/>
              <w:left w:val="single" w:sz="4" w:space="0" w:color="auto"/>
            </w:tcBorders>
            <w:shd w:val="clear" w:color="auto" w:fill="auto"/>
            <w:vAlign w:val="bottom"/>
          </w:tcPr>
          <w:p w14:paraId="708AD127" w14:textId="77777777" w:rsidR="00EC1C40" w:rsidRDefault="00000000">
            <w:pPr>
              <w:pStyle w:val="Jin0"/>
              <w:framePr w:w="10272" w:h="14573" w:wrap="none" w:vAnchor="page" w:hAnchor="page" w:x="831" w:y="1565"/>
              <w:spacing w:after="0"/>
              <w:jc w:val="center"/>
              <w:rPr>
                <w:sz w:val="13"/>
                <w:szCs w:val="13"/>
              </w:rPr>
            </w:pPr>
            <w:r>
              <w:rPr>
                <w:rFonts w:ascii="Arial" w:eastAsia="Arial" w:hAnsi="Arial" w:cs="Arial"/>
                <w:sz w:val="13"/>
                <w:szCs w:val="13"/>
              </w:rPr>
              <w:t>2.2.6.4.410</w:t>
            </w:r>
          </w:p>
        </w:tc>
        <w:tc>
          <w:tcPr>
            <w:tcW w:w="4301" w:type="dxa"/>
            <w:tcBorders>
              <w:top w:val="single" w:sz="4" w:space="0" w:color="auto"/>
              <w:left w:val="single" w:sz="4" w:space="0" w:color="auto"/>
            </w:tcBorders>
            <w:shd w:val="clear" w:color="auto" w:fill="auto"/>
            <w:vAlign w:val="bottom"/>
          </w:tcPr>
          <w:p w14:paraId="1886BCFB" w14:textId="77777777" w:rsidR="00EC1C40" w:rsidRDefault="00000000">
            <w:pPr>
              <w:pStyle w:val="Jin0"/>
              <w:framePr w:w="10272" w:h="14573" w:wrap="none" w:vAnchor="page" w:hAnchor="page" w:x="831" w:y="1565"/>
              <w:spacing w:after="0"/>
              <w:ind w:firstLine="200"/>
              <w:rPr>
                <w:sz w:val="13"/>
                <w:szCs w:val="13"/>
              </w:rPr>
            </w:pPr>
            <w:r>
              <w:rPr>
                <w:rFonts w:ascii="Arial" w:eastAsia="Arial" w:hAnsi="Arial" w:cs="Arial"/>
                <w:sz w:val="13"/>
                <w:szCs w:val="13"/>
              </w:rPr>
              <w:t>SO.410 Přípojka Operátor 1</w:t>
            </w:r>
          </w:p>
        </w:tc>
        <w:tc>
          <w:tcPr>
            <w:tcW w:w="720" w:type="dxa"/>
            <w:tcBorders>
              <w:top w:val="single" w:sz="4" w:space="0" w:color="auto"/>
              <w:left w:val="single" w:sz="4" w:space="0" w:color="auto"/>
            </w:tcBorders>
            <w:shd w:val="clear" w:color="auto" w:fill="auto"/>
          </w:tcPr>
          <w:p w14:paraId="040CADBF" w14:textId="77777777" w:rsidR="00EC1C40" w:rsidRDefault="00EC1C40">
            <w:pPr>
              <w:framePr w:w="10272" w:h="14573" w:wrap="none" w:vAnchor="page" w:hAnchor="page" w:x="831" w:y="1565"/>
              <w:rPr>
                <w:sz w:val="10"/>
                <w:szCs w:val="10"/>
              </w:rPr>
            </w:pPr>
          </w:p>
        </w:tc>
        <w:tc>
          <w:tcPr>
            <w:tcW w:w="715" w:type="dxa"/>
            <w:tcBorders>
              <w:top w:val="single" w:sz="4" w:space="0" w:color="auto"/>
              <w:left w:val="single" w:sz="4" w:space="0" w:color="auto"/>
            </w:tcBorders>
            <w:shd w:val="clear" w:color="auto" w:fill="auto"/>
          </w:tcPr>
          <w:p w14:paraId="75723394" w14:textId="77777777" w:rsidR="00EC1C40" w:rsidRDefault="00EC1C40">
            <w:pPr>
              <w:framePr w:w="10272" w:h="14573" w:wrap="none" w:vAnchor="page" w:hAnchor="page" w:x="831" w:y="1565"/>
              <w:rPr>
                <w:sz w:val="10"/>
                <w:szCs w:val="10"/>
              </w:rPr>
            </w:pPr>
          </w:p>
        </w:tc>
        <w:tc>
          <w:tcPr>
            <w:tcW w:w="3451" w:type="dxa"/>
            <w:tcBorders>
              <w:top w:val="single" w:sz="4" w:space="0" w:color="auto"/>
              <w:left w:val="single" w:sz="4" w:space="0" w:color="auto"/>
              <w:right w:val="single" w:sz="4" w:space="0" w:color="auto"/>
            </w:tcBorders>
            <w:shd w:val="clear" w:color="auto" w:fill="auto"/>
          </w:tcPr>
          <w:p w14:paraId="3931A1A3" w14:textId="77777777" w:rsidR="00EC1C40" w:rsidRDefault="00EC1C40">
            <w:pPr>
              <w:framePr w:w="10272" w:h="14573" w:wrap="none" w:vAnchor="page" w:hAnchor="page" w:x="831" w:y="1565"/>
              <w:rPr>
                <w:sz w:val="10"/>
                <w:szCs w:val="10"/>
              </w:rPr>
            </w:pPr>
          </w:p>
        </w:tc>
      </w:tr>
      <w:tr w:rsidR="00EC1C40" w14:paraId="6B251EBE" w14:textId="77777777">
        <w:tblPrEx>
          <w:tblCellMar>
            <w:top w:w="0" w:type="dxa"/>
            <w:bottom w:w="0" w:type="dxa"/>
          </w:tblCellMar>
        </w:tblPrEx>
        <w:trPr>
          <w:trHeight w:hRule="exact" w:val="187"/>
        </w:trPr>
        <w:tc>
          <w:tcPr>
            <w:tcW w:w="1085" w:type="dxa"/>
            <w:tcBorders>
              <w:top w:val="single" w:sz="4" w:space="0" w:color="auto"/>
              <w:left w:val="single" w:sz="4" w:space="0" w:color="auto"/>
            </w:tcBorders>
            <w:shd w:val="clear" w:color="auto" w:fill="auto"/>
            <w:vAlign w:val="bottom"/>
          </w:tcPr>
          <w:p w14:paraId="2A8AE3AC" w14:textId="77777777" w:rsidR="00EC1C40" w:rsidRDefault="00000000">
            <w:pPr>
              <w:pStyle w:val="Jin0"/>
              <w:framePr w:w="10272" w:h="14573" w:wrap="none" w:vAnchor="page" w:hAnchor="page" w:x="831" w:y="1565"/>
              <w:spacing w:after="0"/>
              <w:jc w:val="center"/>
              <w:rPr>
                <w:sz w:val="13"/>
                <w:szCs w:val="13"/>
              </w:rPr>
            </w:pPr>
            <w:r>
              <w:rPr>
                <w:rFonts w:ascii="Arial" w:eastAsia="Arial" w:hAnsi="Arial" w:cs="Arial"/>
                <w:sz w:val="13"/>
                <w:szCs w:val="13"/>
              </w:rPr>
              <w:t>2.2.6.4.411</w:t>
            </w:r>
          </w:p>
        </w:tc>
        <w:tc>
          <w:tcPr>
            <w:tcW w:w="4301" w:type="dxa"/>
            <w:tcBorders>
              <w:top w:val="single" w:sz="4" w:space="0" w:color="auto"/>
              <w:left w:val="single" w:sz="4" w:space="0" w:color="auto"/>
            </w:tcBorders>
            <w:shd w:val="clear" w:color="auto" w:fill="auto"/>
            <w:vAlign w:val="bottom"/>
          </w:tcPr>
          <w:p w14:paraId="2D4D1A06" w14:textId="77777777" w:rsidR="00EC1C40" w:rsidRDefault="00000000">
            <w:pPr>
              <w:pStyle w:val="Jin0"/>
              <w:framePr w:w="10272" w:h="14573" w:wrap="none" w:vAnchor="page" w:hAnchor="page" w:x="831" w:y="1565"/>
              <w:spacing w:after="0"/>
              <w:ind w:firstLine="200"/>
              <w:rPr>
                <w:sz w:val="13"/>
                <w:szCs w:val="13"/>
              </w:rPr>
            </w:pPr>
            <w:r>
              <w:rPr>
                <w:rFonts w:ascii="Arial" w:eastAsia="Arial" w:hAnsi="Arial" w:cs="Arial"/>
                <w:sz w:val="13"/>
                <w:szCs w:val="13"/>
              </w:rPr>
              <w:t>SO.411 Přípojka Operátor 2</w:t>
            </w:r>
          </w:p>
        </w:tc>
        <w:tc>
          <w:tcPr>
            <w:tcW w:w="720" w:type="dxa"/>
            <w:tcBorders>
              <w:top w:val="single" w:sz="4" w:space="0" w:color="auto"/>
              <w:left w:val="single" w:sz="4" w:space="0" w:color="auto"/>
            </w:tcBorders>
            <w:shd w:val="clear" w:color="auto" w:fill="auto"/>
          </w:tcPr>
          <w:p w14:paraId="01EC182C" w14:textId="77777777" w:rsidR="00EC1C40" w:rsidRDefault="00EC1C40">
            <w:pPr>
              <w:framePr w:w="10272" w:h="14573" w:wrap="none" w:vAnchor="page" w:hAnchor="page" w:x="831" w:y="1565"/>
              <w:rPr>
                <w:sz w:val="10"/>
                <w:szCs w:val="10"/>
              </w:rPr>
            </w:pPr>
          </w:p>
        </w:tc>
        <w:tc>
          <w:tcPr>
            <w:tcW w:w="715" w:type="dxa"/>
            <w:tcBorders>
              <w:top w:val="single" w:sz="4" w:space="0" w:color="auto"/>
              <w:left w:val="single" w:sz="4" w:space="0" w:color="auto"/>
            </w:tcBorders>
            <w:shd w:val="clear" w:color="auto" w:fill="auto"/>
          </w:tcPr>
          <w:p w14:paraId="5968081B" w14:textId="77777777" w:rsidR="00EC1C40" w:rsidRDefault="00EC1C40">
            <w:pPr>
              <w:framePr w:w="10272" w:h="14573" w:wrap="none" w:vAnchor="page" w:hAnchor="page" w:x="831" w:y="1565"/>
              <w:rPr>
                <w:sz w:val="10"/>
                <w:szCs w:val="10"/>
              </w:rPr>
            </w:pPr>
          </w:p>
        </w:tc>
        <w:tc>
          <w:tcPr>
            <w:tcW w:w="3451" w:type="dxa"/>
            <w:tcBorders>
              <w:top w:val="single" w:sz="4" w:space="0" w:color="auto"/>
              <w:left w:val="single" w:sz="4" w:space="0" w:color="auto"/>
              <w:right w:val="single" w:sz="4" w:space="0" w:color="auto"/>
            </w:tcBorders>
            <w:shd w:val="clear" w:color="auto" w:fill="auto"/>
          </w:tcPr>
          <w:p w14:paraId="070BCF87" w14:textId="77777777" w:rsidR="00EC1C40" w:rsidRDefault="00EC1C40">
            <w:pPr>
              <w:framePr w:w="10272" w:h="14573" w:wrap="none" w:vAnchor="page" w:hAnchor="page" w:x="831" w:y="1565"/>
              <w:rPr>
                <w:sz w:val="10"/>
                <w:szCs w:val="10"/>
              </w:rPr>
            </w:pPr>
          </w:p>
        </w:tc>
      </w:tr>
      <w:tr w:rsidR="00EC1C40" w14:paraId="70697009" w14:textId="77777777">
        <w:tblPrEx>
          <w:tblCellMar>
            <w:top w:w="0" w:type="dxa"/>
            <w:bottom w:w="0" w:type="dxa"/>
          </w:tblCellMar>
        </w:tblPrEx>
        <w:trPr>
          <w:trHeight w:hRule="exact" w:val="187"/>
        </w:trPr>
        <w:tc>
          <w:tcPr>
            <w:tcW w:w="1085" w:type="dxa"/>
            <w:tcBorders>
              <w:top w:val="single" w:sz="4" w:space="0" w:color="auto"/>
              <w:left w:val="single" w:sz="4" w:space="0" w:color="auto"/>
            </w:tcBorders>
            <w:shd w:val="clear" w:color="auto" w:fill="auto"/>
            <w:vAlign w:val="bottom"/>
          </w:tcPr>
          <w:p w14:paraId="0A1961C7" w14:textId="77777777" w:rsidR="00EC1C40" w:rsidRDefault="00000000">
            <w:pPr>
              <w:pStyle w:val="Jin0"/>
              <w:framePr w:w="10272" w:h="14573" w:wrap="none" w:vAnchor="page" w:hAnchor="page" w:x="831" w:y="1565"/>
              <w:spacing w:after="0"/>
              <w:ind w:firstLine="200"/>
              <w:rPr>
                <w:sz w:val="13"/>
                <w:szCs w:val="13"/>
              </w:rPr>
            </w:pPr>
            <w:r>
              <w:rPr>
                <w:rFonts w:ascii="Arial" w:eastAsia="Arial" w:hAnsi="Arial" w:cs="Arial"/>
                <w:sz w:val="13"/>
                <w:szCs w:val="13"/>
              </w:rPr>
              <w:t>2.2.6.4.420</w:t>
            </w:r>
          </w:p>
        </w:tc>
        <w:tc>
          <w:tcPr>
            <w:tcW w:w="4301" w:type="dxa"/>
            <w:tcBorders>
              <w:top w:val="single" w:sz="4" w:space="0" w:color="auto"/>
              <w:left w:val="single" w:sz="4" w:space="0" w:color="auto"/>
            </w:tcBorders>
            <w:shd w:val="clear" w:color="auto" w:fill="auto"/>
            <w:vAlign w:val="bottom"/>
          </w:tcPr>
          <w:p w14:paraId="0AC8C16C" w14:textId="77777777" w:rsidR="00EC1C40" w:rsidRDefault="00000000">
            <w:pPr>
              <w:pStyle w:val="Jin0"/>
              <w:framePr w:w="10272" w:h="14573" w:wrap="none" w:vAnchor="page" w:hAnchor="page" w:x="831" w:y="1565"/>
              <w:spacing w:after="0"/>
              <w:ind w:firstLine="200"/>
              <w:rPr>
                <w:sz w:val="13"/>
                <w:szCs w:val="13"/>
              </w:rPr>
            </w:pPr>
            <w:r>
              <w:rPr>
                <w:rFonts w:ascii="Arial" w:eastAsia="Arial" w:hAnsi="Arial" w:cs="Arial"/>
                <w:sz w:val="13"/>
                <w:szCs w:val="13"/>
              </w:rPr>
              <w:t>SO.420 Přeložka SEK u mostu přes horkovod</w:t>
            </w:r>
          </w:p>
        </w:tc>
        <w:tc>
          <w:tcPr>
            <w:tcW w:w="720" w:type="dxa"/>
            <w:tcBorders>
              <w:top w:val="single" w:sz="4" w:space="0" w:color="auto"/>
              <w:left w:val="single" w:sz="4" w:space="0" w:color="auto"/>
            </w:tcBorders>
            <w:shd w:val="clear" w:color="auto" w:fill="auto"/>
          </w:tcPr>
          <w:p w14:paraId="52B11391" w14:textId="77777777" w:rsidR="00EC1C40" w:rsidRDefault="00EC1C40">
            <w:pPr>
              <w:framePr w:w="10272" w:h="14573" w:wrap="none" w:vAnchor="page" w:hAnchor="page" w:x="831" w:y="1565"/>
              <w:rPr>
                <w:sz w:val="10"/>
                <w:szCs w:val="10"/>
              </w:rPr>
            </w:pPr>
          </w:p>
        </w:tc>
        <w:tc>
          <w:tcPr>
            <w:tcW w:w="715" w:type="dxa"/>
            <w:tcBorders>
              <w:top w:val="single" w:sz="4" w:space="0" w:color="auto"/>
              <w:left w:val="single" w:sz="4" w:space="0" w:color="auto"/>
            </w:tcBorders>
            <w:shd w:val="clear" w:color="auto" w:fill="auto"/>
          </w:tcPr>
          <w:p w14:paraId="6E487884" w14:textId="77777777" w:rsidR="00EC1C40" w:rsidRDefault="00EC1C40">
            <w:pPr>
              <w:framePr w:w="10272" w:h="14573" w:wrap="none" w:vAnchor="page" w:hAnchor="page" w:x="831" w:y="1565"/>
              <w:rPr>
                <w:sz w:val="10"/>
                <w:szCs w:val="10"/>
              </w:rPr>
            </w:pPr>
          </w:p>
        </w:tc>
        <w:tc>
          <w:tcPr>
            <w:tcW w:w="3451" w:type="dxa"/>
            <w:tcBorders>
              <w:top w:val="single" w:sz="4" w:space="0" w:color="auto"/>
              <w:left w:val="single" w:sz="4" w:space="0" w:color="auto"/>
              <w:right w:val="single" w:sz="4" w:space="0" w:color="auto"/>
            </w:tcBorders>
            <w:shd w:val="clear" w:color="auto" w:fill="auto"/>
          </w:tcPr>
          <w:p w14:paraId="6D444DCC" w14:textId="77777777" w:rsidR="00EC1C40" w:rsidRDefault="00EC1C40">
            <w:pPr>
              <w:framePr w:w="10272" w:h="14573" w:wrap="none" w:vAnchor="page" w:hAnchor="page" w:x="831" w:y="1565"/>
              <w:rPr>
                <w:sz w:val="10"/>
                <w:szCs w:val="10"/>
              </w:rPr>
            </w:pPr>
          </w:p>
        </w:tc>
      </w:tr>
      <w:tr w:rsidR="00EC1C40" w14:paraId="5568851C" w14:textId="77777777">
        <w:tblPrEx>
          <w:tblCellMar>
            <w:top w:w="0" w:type="dxa"/>
            <w:bottom w:w="0" w:type="dxa"/>
          </w:tblCellMar>
        </w:tblPrEx>
        <w:trPr>
          <w:trHeight w:hRule="exact" w:val="187"/>
        </w:trPr>
        <w:tc>
          <w:tcPr>
            <w:tcW w:w="1085" w:type="dxa"/>
            <w:tcBorders>
              <w:top w:val="single" w:sz="4" w:space="0" w:color="auto"/>
              <w:left w:val="single" w:sz="4" w:space="0" w:color="auto"/>
            </w:tcBorders>
            <w:shd w:val="clear" w:color="auto" w:fill="auto"/>
            <w:vAlign w:val="bottom"/>
          </w:tcPr>
          <w:p w14:paraId="17FBFCE3" w14:textId="77777777" w:rsidR="00EC1C40" w:rsidRDefault="00000000">
            <w:pPr>
              <w:pStyle w:val="Jin0"/>
              <w:framePr w:w="10272" w:h="14573" w:wrap="none" w:vAnchor="page" w:hAnchor="page" w:x="831" w:y="1565"/>
              <w:spacing w:after="0"/>
              <w:ind w:firstLine="200"/>
              <w:rPr>
                <w:sz w:val="13"/>
                <w:szCs w:val="13"/>
              </w:rPr>
            </w:pPr>
            <w:r>
              <w:rPr>
                <w:rFonts w:ascii="Arial" w:eastAsia="Arial" w:hAnsi="Arial" w:cs="Arial"/>
                <w:sz w:val="13"/>
                <w:szCs w:val="13"/>
              </w:rPr>
              <w:t>2.2.6.4.430</w:t>
            </w:r>
          </w:p>
        </w:tc>
        <w:tc>
          <w:tcPr>
            <w:tcW w:w="4301" w:type="dxa"/>
            <w:tcBorders>
              <w:top w:val="single" w:sz="4" w:space="0" w:color="auto"/>
              <w:left w:val="single" w:sz="4" w:space="0" w:color="auto"/>
            </w:tcBorders>
            <w:shd w:val="clear" w:color="auto" w:fill="auto"/>
            <w:vAlign w:val="bottom"/>
          </w:tcPr>
          <w:p w14:paraId="39214E6E" w14:textId="77777777" w:rsidR="00EC1C40" w:rsidRDefault="00000000">
            <w:pPr>
              <w:pStyle w:val="Jin0"/>
              <w:framePr w:w="10272" w:h="14573" w:wrap="none" w:vAnchor="page" w:hAnchor="page" w:x="831" w:y="1565"/>
              <w:spacing w:after="0"/>
              <w:ind w:firstLine="200"/>
              <w:rPr>
                <w:sz w:val="13"/>
                <w:szCs w:val="13"/>
              </w:rPr>
            </w:pPr>
            <w:r>
              <w:rPr>
                <w:rFonts w:ascii="Arial" w:eastAsia="Arial" w:hAnsi="Arial" w:cs="Arial"/>
                <w:sz w:val="13"/>
                <w:szCs w:val="13"/>
              </w:rPr>
              <w:t>SO.430 Venkovní ozvučení</w:t>
            </w:r>
          </w:p>
        </w:tc>
        <w:tc>
          <w:tcPr>
            <w:tcW w:w="720" w:type="dxa"/>
            <w:tcBorders>
              <w:top w:val="single" w:sz="4" w:space="0" w:color="auto"/>
              <w:left w:val="single" w:sz="4" w:space="0" w:color="auto"/>
            </w:tcBorders>
            <w:shd w:val="clear" w:color="auto" w:fill="auto"/>
          </w:tcPr>
          <w:p w14:paraId="4DCAB41E" w14:textId="77777777" w:rsidR="00EC1C40" w:rsidRDefault="00EC1C40">
            <w:pPr>
              <w:framePr w:w="10272" w:h="14573" w:wrap="none" w:vAnchor="page" w:hAnchor="page" w:x="831" w:y="1565"/>
              <w:rPr>
                <w:sz w:val="10"/>
                <w:szCs w:val="10"/>
              </w:rPr>
            </w:pPr>
          </w:p>
        </w:tc>
        <w:tc>
          <w:tcPr>
            <w:tcW w:w="715" w:type="dxa"/>
            <w:tcBorders>
              <w:top w:val="single" w:sz="4" w:space="0" w:color="auto"/>
              <w:left w:val="single" w:sz="4" w:space="0" w:color="auto"/>
            </w:tcBorders>
            <w:shd w:val="clear" w:color="auto" w:fill="auto"/>
          </w:tcPr>
          <w:p w14:paraId="746CBAC9" w14:textId="77777777" w:rsidR="00EC1C40" w:rsidRDefault="00EC1C40">
            <w:pPr>
              <w:framePr w:w="10272" w:h="14573" w:wrap="none" w:vAnchor="page" w:hAnchor="page" w:x="831" w:y="1565"/>
              <w:rPr>
                <w:sz w:val="10"/>
                <w:szCs w:val="10"/>
              </w:rPr>
            </w:pPr>
          </w:p>
        </w:tc>
        <w:tc>
          <w:tcPr>
            <w:tcW w:w="3451" w:type="dxa"/>
            <w:tcBorders>
              <w:top w:val="single" w:sz="4" w:space="0" w:color="auto"/>
              <w:left w:val="single" w:sz="4" w:space="0" w:color="auto"/>
              <w:right w:val="single" w:sz="4" w:space="0" w:color="auto"/>
            </w:tcBorders>
            <w:shd w:val="clear" w:color="auto" w:fill="auto"/>
          </w:tcPr>
          <w:p w14:paraId="0A46B3B3" w14:textId="77777777" w:rsidR="00EC1C40" w:rsidRDefault="00EC1C40">
            <w:pPr>
              <w:framePr w:w="10272" w:h="14573" w:wrap="none" w:vAnchor="page" w:hAnchor="page" w:x="831" w:y="1565"/>
              <w:rPr>
                <w:sz w:val="10"/>
                <w:szCs w:val="10"/>
              </w:rPr>
            </w:pPr>
          </w:p>
        </w:tc>
      </w:tr>
      <w:tr w:rsidR="00EC1C40" w14:paraId="6CF5786A" w14:textId="77777777">
        <w:tblPrEx>
          <w:tblCellMar>
            <w:top w:w="0" w:type="dxa"/>
            <w:bottom w:w="0" w:type="dxa"/>
          </w:tblCellMar>
        </w:tblPrEx>
        <w:trPr>
          <w:trHeight w:hRule="exact" w:val="187"/>
        </w:trPr>
        <w:tc>
          <w:tcPr>
            <w:tcW w:w="1085" w:type="dxa"/>
            <w:tcBorders>
              <w:top w:val="single" w:sz="4" w:space="0" w:color="auto"/>
              <w:left w:val="single" w:sz="4" w:space="0" w:color="auto"/>
            </w:tcBorders>
            <w:shd w:val="clear" w:color="auto" w:fill="F5EA02"/>
            <w:vAlign w:val="bottom"/>
          </w:tcPr>
          <w:p w14:paraId="25C76E06" w14:textId="77777777" w:rsidR="00EC1C40" w:rsidRDefault="00000000">
            <w:pPr>
              <w:pStyle w:val="Jin0"/>
              <w:framePr w:w="10272" w:h="14573" w:wrap="none" w:vAnchor="page" w:hAnchor="page" w:x="831" w:y="1565"/>
              <w:spacing w:after="0"/>
              <w:ind w:firstLine="200"/>
              <w:rPr>
                <w:sz w:val="13"/>
                <w:szCs w:val="13"/>
              </w:rPr>
            </w:pPr>
            <w:r>
              <w:rPr>
                <w:rFonts w:ascii="Arial" w:eastAsia="Arial" w:hAnsi="Arial" w:cs="Arial"/>
                <w:b/>
                <w:bCs/>
                <w:sz w:val="13"/>
                <w:szCs w:val="13"/>
              </w:rPr>
              <w:t>2.2.3.1.451</w:t>
            </w:r>
          </w:p>
        </w:tc>
        <w:tc>
          <w:tcPr>
            <w:tcW w:w="4301" w:type="dxa"/>
            <w:tcBorders>
              <w:top w:val="single" w:sz="4" w:space="0" w:color="auto"/>
              <w:left w:val="single" w:sz="4" w:space="0" w:color="auto"/>
            </w:tcBorders>
            <w:shd w:val="clear" w:color="auto" w:fill="F5EA02"/>
            <w:vAlign w:val="bottom"/>
          </w:tcPr>
          <w:p w14:paraId="6ED49067" w14:textId="77777777" w:rsidR="00EC1C40" w:rsidRDefault="00000000">
            <w:pPr>
              <w:pStyle w:val="Jin0"/>
              <w:framePr w:w="10272" w:h="14573" w:wrap="none" w:vAnchor="page" w:hAnchor="page" w:x="831" w:y="1565"/>
              <w:spacing w:after="0"/>
              <w:ind w:firstLine="200"/>
              <w:rPr>
                <w:sz w:val="13"/>
                <w:szCs w:val="13"/>
              </w:rPr>
            </w:pPr>
            <w:r>
              <w:rPr>
                <w:rFonts w:ascii="Arial" w:eastAsia="Arial" w:hAnsi="Arial" w:cs="Arial"/>
                <w:b/>
                <w:bCs/>
                <w:sz w:val="13"/>
                <w:szCs w:val="13"/>
              </w:rPr>
              <w:t>SO.451 SSZ křižovatka uvnitř lokality</w:t>
            </w:r>
          </w:p>
        </w:tc>
        <w:tc>
          <w:tcPr>
            <w:tcW w:w="720" w:type="dxa"/>
            <w:tcBorders>
              <w:top w:val="single" w:sz="4" w:space="0" w:color="auto"/>
              <w:left w:val="single" w:sz="4" w:space="0" w:color="auto"/>
            </w:tcBorders>
            <w:shd w:val="clear" w:color="auto" w:fill="F0B9B4"/>
          </w:tcPr>
          <w:p w14:paraId="6BB4B068" w14:textId="77777777" w:rsidR="00EC1C40" w:rsidRDefault="00EC1C40">
            <w:pPr>
              <w:framePr w:w="10272" w:h="14573" w:wrap="none" w:vAnchor="page" w:hAnchor="page" w:x="831" w:y="1565"/>
              <w:rPr>
                <w:sz w:val="10"/>
                <w:szCs w:val="10"/>
              </w:rPr>
            </w:pPr>
          </w:p>
        </w:tc>
        <w:tc>
          <w:tcPr>
            <w:tcW w:w="715" w:type="dxa"/>
            <w:tcBorders>
              <w:top w:val="single" w:sz="4" w:space="0" w:color="auto"/>
              <w:left w:val="single" w:sz="4" w:space="0" w:color="auto"/>
            </w:tcBorders>
            <w:shd w:val="clear" w:color="auto" w:fill="auto"/>
          </w:tcPr>
          <w:p w14:paraId="0DE082B1" w14:textId="77777777" w:rsidR="00EC1C40" w:rsidRDefault="00EC1C40">
            <w:pPr>
              <w:framePr w:w="10272" w:h="14573" w:wrap="none" w:vAnchor="page" w:hAnchor="page" w:x="831" w:y="1565"/>
              <w:rPr>
                <w:sz w:val="10"/>
                <w:szCs w:val="10"/>
              </w:rPr>
            </w:pPr>
          </w:p>
        </w:tc>
        <w:tc>
          <w:tcPr>
            <w:tcW w:w="3451" w:type="dxa"/>
            <w:tcBorders>
              <w:top w:val="single" w:sz="4" w:space="0" w:color="auto"/>
              <w:left w:val="single" w:sz="4" w:space="0" w:color="auto"/>
              <w:right w:val="single" w:sz="4" w:space="0" w:color="auto"/>
            </w:tcBorders>
            <w:shd w:val="clear" w:color="auto" w:fill="auto"/>
            <w:vAlign w:val="bottom"/>
          </w:tcPr>
          <w:p w14:paraId="79026BFB" w14:textId="77777777" w:rsidR="00EC1C40" w:rsidRDefault="00000000">
            <w:pPr>
              <w:pStyle w:val="Jin0"/>
              <w:framePr w:w="10272" w:h="14573" w:wrap="none" w:vAnchor="page" w:hAnchor="page" w:x="831" w:y="1565"/>
              <w:spacing w:after="0"/>
              <w:rPr>
                <w:sz w:val="11"/>
                <w:szCs w:val="11"/>
              </w:rPr>
            </w:pPr>
            <w:r>
              <w:rPr>
                <w:sz w:val="11"/>
                <w:szCs w:val="11"/>
              </w:rPr>
              <w:t>součást Páteřní komunikace I</w:t>
            </w:r>
          </w:p>
        </w:tc>
      </w:tr>
      <w:tr w:rsidR="00EC1C40" w14:paraId="646D32E8" w14:textId="77777777">
        <w:tblPrEx>
          <w:tblCellMar>
            <w:top w:w="0" w:type="dxa"/>
            <w:bottom w:w="0" w:type="dxa"/>
          </w:tblCellMar>
        </w:tblPrEx>
        <w:trPr>
          <w:trHeight w:hRule="exact" w:val="187"/>
        </w:trPr>
        <w:tc>
          <w:tcPr>
            <w:tcW w:w="1085" w:type="dxa"/>
            <w:tcBorders>
              <w:top w:val="single" w:sz="4" w:space="0" w:color="auto"/>
              <w:left w:val="single" w:sz="4" w:space="0" w:color="auto"/>
            </w:tcBorders>
            <w:shd w:val="clear" w:color="auto" w:fill="F5EA02"/>
            <w:vAlign w:val="bottom"/>
          </w:tcPr>
          <w:p w14:paraId="20195AA5" w14:textId="77777777" w:rsidR="00EC1C40" w:rsidRDefault="00000000">
            <w:pPr>
              <w:pStyle w:val="Jin0"/>
              <w:framePr w:w="10272" w:h="14573" w:wrap="none" w:vAnchor="page" w:hAnchor="page" w:x="831" w:y="1565"/>
              <w:spacing w:after="0"/>
              <w:ind w:firstLine="200"/>
              <w:rPr>
                <w:sz w:val="13"/>
                <w:szCs w:val="13"/>
              </w:rPr>
            </w:pPr>
            <w:r>
              <w:rPr>
                <w:rFonts w:ascii="Arial" w:eastAsia="Arial" w:hAnsi="Arial" w:cs="Arial"/>
                <w:b/>
                <w:bCs/>
                <w:sz w:val="13"/>
                <w:szCs w:val="13"/>
              </w:rPr>
              <w:t>2.2.3.1.452</w:t>
            </w:r>
          </w:p>
        </w:tc>
        <w:tc>
          <w:tcPr>
            <w:tcW w:w="4301" w:type="dxa"/>
            <w:tcBorders>
              <w:top w:val="single" w:sz="4" w:space="0" w:color="auto"/>
              <w:left w:val="single" w:sz="4" w:space="0" w:color="auto"/>
            </w:tcBorders>
            <w:shd w:val="clear" w:color="auto" w:fill="F5EA02"/>
            <w:vAlign w:val="bottom"/>
          </w:tcPr>
          <w:p w14:paraId="07B72138" w14:textId="77777777" w:rsidR="00EC1C40" w:rsidRDefault="00000000">
            <w:pPr>
              <w:pStyle w:val="Jin0"/>
              <w:framePr w:w="10272" w:h="14573" w:wrap="none" w:vAnchor="page" w:hAnchor="page" w:x="831" w:y="1565"/>
              <w:spacing w:after="0"/>
              <w:ind w:firstLine="200"/>
              <w:rPr>
                <w:sz w:val="13"/>
                <w:szCs w:val="13"/>
              </w:rPr>
            </w:pPr>
            <w:r>
              <w:rPr>
                <w:rFonts w:ascii="Arial" w:eastAsia="Arial" w:hAnsi="Arial" w:cs="Arial"/>
                <w:b/>
                <w:bCs/>
                <w:sz w:val="13"/>
                <w:szCs w:val="13"/>
              </w:rPr>
              <w:t>SO.452 Sdělovací kabel mezi křižovatky řízenými SSZ</w:t>
            </w:r>
          </w:p>
        </w:tc>
        <w:tc>
          <w:tcPr>
            <w:tcW w:w="720" w:type="dxa"/>
            <w:tcBorders>
              <w:top w:val="single" w:sz="4" w:space="0" w:color="auto"/>
              <w:left w:val="single" w:sz="4" w:space="0" w:color="auto"/>
            </w:tcBorders>
            <w:shd w:val="clear" w:color="auto" w:fill="F0B9B4"/>
          </w:tcPr>
          <w:p w14:paraId="17821A71" w14:textId="77777777" w:rsidR="00EC1C40" w:rsidRDefault="00EC1C40">
            <w:pPr>
              <w:framePr w:w="10272" w:h="14573" w:wrap="none" w:vAnchor="page" w:hAnchor="page" w:x="831" w:y="1565"/>
              <w:rPr>
                <w:sz w:val="10"/>
                <w:szCs w:val="10"/>
              </w:rPr>
            </w:pPr>
          </w:p>
        </w:tc>
        <w:tc>
          <w:tcPr>
            <w:tcW w:w="715" w:type="dxa"/>
            <w:tcBorders>
              <w:top w:val="single" w:sz="4" w:space="0" w:color="auto"/>
              <w:left w:val="single" w:sz="4" w:space="0" w:color="auto"/>
            </w:tcBorders>
            <w:shd w:val="clear" w:color="auto" w:fill="auto"/>
          </w:tcPr>
          <w:p w14:paraId="753D2442" w14:textId="77777777" w:rsidR="00EC1C40" w:rsidRDefault="00EC1C40">
            <w:pPr>
              <w:framePr w:w="10272" w:h="14573" w:wrap="none" w:vAnchor="page" w:hAnchor="page" w:x="831" w:y="1565"/>
              <w:rPr>
                <w:sz w:val="10"/>
                <w:szCs w:val="10"/>
              </w:rPr>
            </w:pPr>
          </w:p>
        </w:tc>
        <w:tc>
          <w:tcPr>
            <w:tcW w:w="3451" w:type="dxa"/>
            <w:tcBorders>
              <w:top w:val="single" w:sz="4" w:space="0" w:color="auto"/>
              <w:left w:val="single" w:sz="4" w:space="0" w:color="auto"/>
              <w:right w:val="single" w:sz="4" w:space="0" w:color="auto"/>
            </w:tcBorders>
            <w:shd w:val="clear" w:color="auto" w:fill="auto"/>
            <w:vAlign w:val="bottom"/>
          </w:tcPr>
          <w:p w14:paraId="45A4F58E" w14:textId="77777777" w:rsidR="00EC1C40" w:rsidRDefault="00000000">
            <w:pPr>
              <w:pStyle w:val="Jin0"/>
              <w:framePr w:w="10272" w:h="14573" w:wrap="none" w:vAnchor="page" w:hAnchor="page" w:x="831" w:y="1565"/>
              <w:spacing w:after="0"/>
              <w:rPr>
                <w:sz w:val="11"/>
                <w:szCs w:val="11"/>
              </w:rPr>
            </w:pPr>
            <w:r>
              <w:rPr>
                <w:sz w:val="11"/>
                <w:szCs w:val="11"/>
              </w:rPr>
              <w:t>součást Páteřní komunikace I</w:t>
            </w:r>
          </w:p>
        </w:tc>
      </w:tr>
      <w:tr w:rsidR="00EC1C40" w14:paraId="2AEA1706" w14:textId="77777777">
        <w:tblPrEx>
          <w:tblCellMar>
            <w:top w:w="0" w:type="dxa"/>
            <w:bottom w:w="0" w:type="dxa"/>
          </w:tblCellMar>
        </w:tblPrEx>
        <w:trPr>
          <w:trHeight w:hRule="exact" w:val="187"/>
        </w:trPr>
        <w:tc>
          <w:tcPr>
            <w:tcW w:w="1085" w:type="dxa"/>
            <w:tcBorders>
              <w:top w:val="single" w:sz="4" w:space="0" w:color="auto"/>
              <w:left w:val="single" w:sz="4" w:space="0" w:color="auto"/>
            </w:tcBorders>
            <w:shd w:val="clear" w:color="auto" w:fill="auto"/>
            <w:vAlign w:val="bottom"/>
          </w:tcPr>
          <w:p w14:paraId="4C46E4D1" w14:textId="77777777" w:rsidR="00EC1C40" w:rsidRDefault="00000000">
            <w:pPr>
              <w:pStyle w:val="Jin0"/>
              <w:framePr w:w="10272" w:h="14573" w:wrap="none" w:vAnchor="page" w:hAnchor="page" w:x="831" w:y="1565"/>
              <w:spacing w:after="0"/>
              <w:jc w:val="center"/>
              <w:rPr>
                <w:sz w:val="13"/>
                <w:szCs w:val="13"/>
              </w:rPr>
            </w:pPr>
            <w:r>
              <w:rPr>
                <w:rFonts w:ascii="Arial" w:eastAsia="Arial" w:hAnsi="Arial" w:cs="Arial"/>
                <w:sz w:val="13"/>
                <w:szCs w:val="13"/>
              </w:rPr>
              <w:t>2.2.6.4.500</w:t>
            </w:r>
          </w:p>
        </w:tc>
        <w:tc>
          <w:tcPr>
            <w:tcW w:w="4301" w:type="dxa"/>
            <w:tcBorders>
              <w:top w:val="single" w:sz="4" w:space="0" w:color="auto"/>
              <w:left w:val="single" w:sz="4" w:space="0" w:color="auto"/>
            </w:tcBorders>
            <w:shd w:val="clear" w:color="auto" w:fill="auto"/>
            <w:vAlign w:val="bottom"/>
          </w:tcPr>
          <w:p w14:paraId="56C50D67" w14:textId="77777777" w:rsidR="00EC1C40" w:rsidRDefault="00000000">
            <w:pPr>
              <w:pStyle w:val="Jin0"/>
              <w:framePr w:w="10272" w:h="14573" w:wrap="none" w:vAnchor="page" w:hAnchor="page" w:x="831" w:y="1565"/>
              <w:spacing w:after="0"/>
              <w:ind w:firstLine="200"/>
              <w:rPr>
                <w:sz w:val="13"/>
                <w:szCs w:val="13"/>
              </w:rPr>
            </w:pPr>
            <w:r>
              <w:rPr>
                <w:rFonts w:ascii="Arial" w:eastAsia="Arial" w:hAnsi="Arial" w:cs="Arial"/>
                <w:sz w:val="13"/>
                <w:szCs w:val="13"/>
              </w:rPr>
              <w:t>SO.500 Horkovod - přípojka</w:t>
            </w:r>
          </w:p>
        </w:tc>
        <w:tc>
          <w:tcPr>
            <w:tcW w:w="720" w:type="dxa"/>
            <w:tcBorders>
              <w:top w:val="single" w:sz="4" w:space="0" w:color="auto"/>
              <w:left w:val="single" w:sz="4" w:space="0" w:color="auto"/>
            </w:tcBorders>
            <w:shd w:val="clear" w:color="auto" w:fill="auto"/>
          </w:tcPr>
          <w:p w14:paraId="609FFC56" w14:textId="77777777" w:rsidR="00EC1C40" w:rsidRDefault="00EC1C40">
            <w:pPr>
              <w:framePr w:w="10272" w:h="14573" w:wrap="none" w:vAnchor="page" w:hAnchor="page" w:x="831" w:y="1565"/>
              <w:rPr>
                <w:sz w:val="10"/>
                <w:szCs w:val="10"/>
              </w:rPr>
            </w:pPr>
          </w:p>
        </w:tc>
        <w:tc>
          <w:tcPr>
            <w:tcW w:w="715" w:type="dxa"/>
            <w:tcBorders>
              <w:top w:val="single" w:sz="4" w:space="0" w:color="auto"/>
              <w:left w:val="single" w:sz="4" w:space="0" w:color="auto"/>
            </w:tcBorders>
            <w:shd w:val="clear" w:color="auto" w:fill="auto"/>
          </w:tcPr>
          <w:p w14:paraId="74A059DD" w14:textId="77777777" w:rsidR="00EC1C40" w:rsidRDefault="00EC1C40">
            <w:pPr>
              <w:framePr w:w="10272" w:h="14573" w:wrap="none" w:vAnchor="page" w:hAnchor="page" w:x="831" w:y="1565"/>
              <w:rPr>
                <w:sz w:val="10"/>
                <w:szCs w:val="10"/>
              </w:rPr>
            </w:pPr>
          </w:p>
        </w:tc>
        <w:tc>
          <w:tcPr>
            <w:tcW w:w="3451" w:type="dxa"/>
            <w:tcBorders>
              <w:top w:val="single" w:sz="4" w:space="0" w:color="auto"/>
              <w:left w:val="single" w:sz="4" w:space="0" w:color="auto"/>
              <w:right w:val="single" w:sz="4" w:space="0" w:color="auto"/>
            </w:tcBorders>
            <w:shd w:val="clear" w:color="auto" w:fill="auto"/>
          </w:tcPr>
          <w:p w14:paraId="46A45F55" w14:textId="77777777" w:rsidR="00EC1C40" w:rsidRDefault="00EC1C40">
            <w:pPr>
              <w:framePr w:w="10272" w:h="14573" w:wrap="none" w:vAnchor="page" w:hAnchor="page" w:x="831" w:y="1565"/>
              <w:rPr>
                <w:sz w:val="10"/>
                <w:szCs w:val="10"/>
              </w:rPr>
            </w:pPr>
          </w:p>
        </w:tc>
      </w:tr>
      <w:tr w:rsidR="00EC1C40" w14:paraId="428E55DB" w14:textId="77777777">
        <w:tblPrEx>
          <w:tblCellMar>
            <w:top w:w="0" w:type="dxa"/>
            <w:bottom w:w="0" w:type="dxa"/>
          </w:tblCellMar>
        </w:tblPrEx>
        <w:trPr>
          <w:trHeight w:hRule="exact" w:val="182"/>
        </w:trPr>
        <w:tc>
          <w:tcPr>
            <w:tcW w:w="1085" w:type="dxa"/>
            <w:tcBorders>
              <w:top w:val="single" w:sz="4" w:space="0" w:color="auto"/>
              <w:left w:val="single" w:sz="4" w:space="0" w:color="auto"/>
            </w:tcBorders>
            <w:shd w:val="clear" w:color="auto" w:fill="auto"/>
            <w:vAlign w:val="bottom"/>
          </w:tcPr>
          <w:p w14:paraId="7181FE2B" w14:textId="77777777" w:rsidR="00EC1C40" w:rsidRDefault="00000000">
            <w:pPr>
              <w:pStyle w:val="Jin0"/>
              <w:framePr w:w="10272" w:h="14573" w:wrap="none" w:vAnchor="page" w:hAnchor="page" w:x="831" w:y="1565"/>
              <w:spacing w:after="0"/>
              <w:jc w:val="center"/>
              <w:rPr>
                <w:sz w:val="13"/>
                <w:szCs w:val="13"/>
              </w:rPr>
            </w:pPr>
            <w:r>
              <w:rPr>
                <w:rFonts w:ascii="Arial" w:eastAsia="Arial" w:hAnsi="Arial" w:cs="Arial"/>
                <w:sz w:val="13"/>
                <w:szCs w:val="13"/>
              </w:rPr>
              <w:t>2.2.6.4.550</w:t>
            </w:r>
          </w:p>
        </w:tc>
        <w:tc>
          <w:tcPr>
            <w:tcW w:w="4301" w:type="dxa"/>
            <w:tcBorders>
              <w:top w:val="single" w:sz="4" w:space="0" w:color="auto"/>
              <w:left w:val="single" w:sz="4" w:space="0" w:color="auto"/>
            </w:tcBorders>
            <w:shd w:val="clear" w:color="auto" w:fill="auto"/>
            <w:vAlign w:val="bottom"/>
          </w:tcPr>
          <w:p w14:paraId="2300B248" w14:textId="77777777" w:rsidR="00EC1C40" w:rsidRDefault="00000000">
            <w:pPr>
              <w:pStyle w:val="Jin0"/>
              <w:framePr w:w="10272" w:h="14573" w:wrap="none" w:vAnchor="page" w:hAnchor="page" w:x="831" w:y="1565"/>
              <w:spacing w:after="0"/>
              <w:ind w:firstLine="200"/>
              <w:rPr>
                <w:sz w:val="13"/>
                <w:szCs w:val="13"/>
              </w:rPr>
            </w:pPr>
            <w:r>
              <w:rPr>
                <w:rFonts w:ascii="Arial" w:eastAsia="Arial" w:hAnsi="Arial" w:cs="Arial"/>
                <w:sz w:val="13"/>
                <w:szCs w:val="13"/>
              </w:rPr>
              <w:t>SO.550 Horkovod - předávací stanice</w:t>
            </w:r>
          </w:p>
        </w:tc>
        <w:tc>
          <w:tcPr>
            <w:tcW w:w="720" w:type="dxa"/>
            <w:tcBorders>
              <w:top w:val="single" w:sz="4" w:space="0" w:color="auto"/>
              <w:left w:val="single" w:sz="4" w:space="0" w:color="auto"/>
            </w:tcBorders>
            <w:shd w:val="clear" w:color="auto" w:fill="auto"/>
          </w:tcPr>
          <w:p w14:paraId="6CC434F8" w14:textId="77777777" w:rsidR="00EC1C40" w:rsidRDefault="00EC1C40">
            <w:pPr>
              <w:framePr w:w="10272" w:h="14573" w:wrap="none" w:vAnchor="page" w:hAnchor="page" w:x="831" w:y="1565"/>
              <w:rPr>
                <w:sz w:val="10"/>
                <w:szCs w:val="10"/>
              </w:rPr>
            </w:pPr>
          </w:p>
        </w:tc>
        <w:tc>
          <w:tcPr>
            <w:tcW w:w="715" w:type="dxa"/>
            <w:tcBorders>
              <w:top w:val="single" w:sz="4" w:space="0" w:color="auto"/>
              <w:left w:val="single" w:sz="4" w:space="0" w:color="auto"/>
            </w:tcBorders>
            <w:shd w:val="clear" w:color="auto" w:fill="auto"/>
          </w:tcPr>
          <w:p w14:paraId="3E30EC81" w14:textId="77777777" w:rsidR="00EC1C40" w:rsidRDefault="00EC1C40">
            <w:pPr>
              <w:framePr w:w="10272" w:h="14573" w:wrap="none" w:vAnchor="page" w:hAnchor="page" w:x="831" w:y="1565"/>
              <w:rPr>
                <w:sz w:val="10"/>
                <w:szCs w:val="10"/>
              </w:rPr>
            </w:pPr>
          </w:p>
        </w:tc>
        <w:tc>
          <w:tcPr>
            <w:tcW w:w="3451" w:type="dxa"/>
            <w:tcBorders>
              <w:top w:val="single" w:sz="4" w:space="0" w:color="auto"/>
              <w:left w:val="single" w:sz="4" w:space="0" w:color="auto"/>
              <w:right w:val="single" w:sz="4" w:space="0" w:color="auto"/>
            </w:tcBorders>
            <w:shd w:val="clear" w:color="auto" w:fill="auto"/>
          </w:tcPr>
          <w:p w14:paraId="75EDE59B" w14:textId="77777777" w:rsidR="00EC1C40" w:rsidRDefault="00EC1C40">
            <w:pPr>
              <w:framePr w:w="10272" w:h="14573" w:wrap="none" w:vAnchor="page" w:hAnchor="page" w:x="831" w:y="1565"/>
              <w:rPr>
                <w:sz w:val="10"/>
                <w:szCs w:val="10"/>
              </w:rPr>
            </w:pPr>
          </w:p>
        </w:tc>
      </w:tr>
      <w:tr w:rsidR="00EC1C40" w14:paraId="40849137" w14:textId="77777777">
        <w:tblPrEx>
          <w:tblCellMar>
            <w:top w:w="0" w:type="dxa"/>
            <w:bottom w:w="0" w:type="dxa"/>
          </w:tblCellMar>
        </w:tblPrEx>
        <w:trPr>
          <w:trHeight w:hRule="exact" w:val="187"/>
        </w:trPr>
        <w:tc>
          <w:tcPr>
            <w:tcW w:w="1085" w:type="dxa"/>
            <w:tcBorders>
              <w:top w:val="single" w:sz="4" w:space="0" w:color="auto"/>
              <w:left w:val="single" w:sz="4" w:space="0" w:color="auto"/>
            </w:tcBorders>
            <w:shd w:val="clear" w:color="auto" w:fill="F5EA02"/>
            <w:vAlign w:val="bottom"/>
          </w:tcPr>
          <w:p w14:paraId="698097C9" w14:textId="77777777" w:rsidR="00EC1C40" w:rsidRDefault="00000000">
            <w:pPr>
              <w:pStyle w:val="Jin0"/>
              <w:framePr w:w="10272" w:h="14573" w:wrap="none" w:vAnchor="page" w:hAnchor="page" w:x="831" w:y="1565"/>
              <w:spacing w:after="0"/>
              <w:ind w:firstLine="200"/>
              <w:rPr>
                <w:sz w:val="13"/>
                <w:szCs w:val="13"/>
              </w:rPr>
            </w:pPr>
            <w:r>
              <w:rPr>
                <w:rFonts w:ascii="Arial" w:eastAsia="Arial" w:hAnsi="Arial" w:cs="Arial"/>
                <w:b/>
                <w:bCs/>
                <w:sz w:val="13"/>
                <w:szCs w:val="13"/>
              </w:rPr>
              <w:t>2.2.7.4.600</w:t>
            </w:r>
          </w:p>
        </w:tc>
        <w:tc>
          <w:tcPr>
            <w:tcW w:w="4301" w:type="dxa"/>
            <w:tcBorders>
              <w:top w:val="single" w:sz="4" w:space="0" w:color="auto"/>
              <w:left w:val="single" w:sz="4" w:space="0" w:color="auto"/>
            </w:tcBorders>
            <w:shd w:val="clear" w:color="auto" w:fill="F5EA02"/>
            <w:vAlign w:val="bottom"/>
          </w:tcPr>
          <w:p w14:paraId="054BE313" w14:textId="77777777" w:rsidR="00EC1C40" w:rsidRDefault="00000000">
            <w:pPr>
              <w:pStyle w:val="Jin0"/>
              <w:framePr w:w="10272" w:h="14573" w:wrap="none" w:vAnchor="page" w:hAnchor="page" w:x="831" w:y="1565"/>
              <w:spacing w:after="0"/>
              <w:ind w:firstLine="200"/>
              <w:rPr>
                <w:sz w:val="13"/>
                <w:szCs w:val="13"/>
              </w:rPr>
            </w:pPr>
            <w:r>
              <w:rPr>
                <w:rFonts w:ascii="Arial" w:eastAsia="Arial" w:hAnsi="Arial" w:cs="Arial"/>
                <w:b/>
                <w:bCs/>
                <w:sz w:val="13"/>
                <w:szCs w:val="13"/>
              </w:rPr>
              <w:t>SO.600 Krajinářská architektura - aréna</w:t>
            </w:r>
          </w:p>
        </w:tc>
        <w:tc>
          <w:tcPr>
            <w:tcW w:w="720" w:type="dxa"/>
            <w:tcBorders>
              <w:top w:val="single" w:sz="4" w:space="0" w:color="auto"/>
              <w:left w:val="single" w:sz="4" w:space="0" w:color="auto"/>
            </w:tcBorders>
            <w:shd w:val="clear" w:color="auto" w:fill="auto"/>
          </w:tcPr>
          <w:p w14:paraId="4B52F657" w14:textId="77777777" w:rsidR="00EC1C40" w:rsidRDefault="00EC1C40">
            <w:pPr>
              <w:framePr w:w="10272" w:h="14573" w:wrap="none" w:vAnchor="page" w:hAnchor="page" w:x="831" w:y="1565"/>
              <w:rPr>
                <w:sz w:val="10"/>
                <w:szCs w:val="10"/>
              </w:rPr>
            </w:pPr>
          </w:p>
        </w:tc>
        <w:tc>
          <w:tcPr>
            <w:tcW w:w="715" w:type="dxa"/>
            <w:tcBorders>
              <w:top w:val="single" w:sz="4" w:space="0" w:color="auto"/>
              <w:left w:val="single" w:sz="4" w:space="0" w:color="auto"/>
            </w:tcBorders>
            <w:shd w:val="clear" w:color="auto" w:fill="F6EDD1"/>
          </w:tcPr>
          <w:p w14:paraId="48C1486A" w14:textId="77777777" w:rsidR="00EC1C40" w:rsidRDefault="00EC1C40">
            <w:pPr>
              <w:framePr w:w="10272" w:h="14573" w:wrap="none" w:vAnchor="page" w:hAnchor="page" w:x="831" w:y="1565"/>
              <w:rPr>
                <w:sz w:val="10"/>
                <w:szCs w:val="10"/>
              </w:rPr>
            </w:pPr>
          </w:p>
        </w:tc>
        <w:tc>
          <w:tcPr>
            <w:tcW w:w="3451" w:type="dxa"/>
            <w:tcBorders>
              <w:top w:val="single" w:sz="4" w:space="0" w:color="auto"/>
              <w:left w:val="single" w:sz="4" w:space="0" w:color="auto"/>
              <w:right w:val="single" w:sz="4" w:space="0" w:color="auto"/>
            </w:tcBorders>
            <w:shd w:val="clear" w:color="auto" w:fill="auto"/>
            <w:vAlign w:val="bottom"/>
          </w:tcPr>
          <w:p w14:paraId="3A03D80F" w14:textId="77777777" w:rsidR="00EC1C40" w:rsidRDefault="00000000">
            <w:pPr>
              <w:pStyle w:val="Jin0"/>
              <w:framePr w:w="10272" w:h="14573" w:wrap="none" w:vAnchor="page" w:hAnchor="page" w:x="831" w:y="1565"/>
              <w:spacing w:after="0"/>
              <w:rPr>
                <w:sz w:val="11"/>
                <w:szCs w:val="11"/>
              </w:rPr>
            </w:pPr>
            <w:r>
              <w:rPr>
                <w:sz w:val="11"/>
                <w:szCs w:val="11"/>
              </w:rPr>
              <w:t>v rozsahu souvisejícím s převáděnými komunikacemi</w:t>
            </w:r>
          </w:p>
        </w:tc>
      </w:tr>
      <w:tr w:rsidR="00EC1C40" w14:paraId="272E9852" w14:textId="77777777">
        <w:tblPrEx>
          <w:tblCellMar>
            <w:top w:w="0" w:type="dxa"/>
            <w:bottom w:w="0" w:type="dxa"/>
          </w:tblCellMar>
        </w:tblPrEx>
        <w:trPr>
          <w:trHeight w:hRule="exact" w:val="187"/>
        </w:trPr>
        <w:tc>
          <w:tcPr>
            <w:tcW w:w="1085" w:type="dxa"/>
            <w:tcBorders>
              <w:top w:val="single" w:sz="4" w:space="0" w:color="auto"/>
              <w:left w:val="single" w:sz="4" w:space="0" w:color="auto"/>
            </w:tcBorders>
            <w:shd w:val="clear" w:color="auto" w:fill="auto"/>
            <w:vAlign w:val="bottom"/>
          </w:tcPr>
          <w:p w14:paraId="38C3B5AF" w14:textId="77777777" w:rsidR="00EC1C40" w:rsidRDefault="00000000">
            <w:pPr>
              <w:pStyle w:val="Jin0"/>
              <w:framePr w:w="10272" w:h="14573" w:wrap="none" w:vAnchor="page" w:hAnchor="page" w:x="831" w:y="1565"/>
              <w:spacing w:after="0"/>
              <w:ind w:firstLine="200"/>
              <w:rPr>
                <w:sz w:val="13"/>
                <w:szCs w:val="13"/>
              </w:rPr>
            </w:pPr>
            <w:r>
              <w:rPr>
                <w:rFonts w:ascii="Arial" w:eastAsia="Arial" w:hAnsi="Arial" w:cs="Arial"/>
                <w:sz w:val="13"/>
                <w:szCs w:val="13"/>
              </w:rPr>
              <w:t>2.2.7.4.601</w:t>
            </w:r>
          </w:p>
        </w:tc>
        <w:tc>
          <w:tcPr>
            <w:tcW w:w="4301" w:type="dxa"/>
            <w:tcBorders>
              <w:top w:val="single" w:sz="4" w:space="0" w:color="auto"/>
              <w:left w:val="single" w:sz="4" w:space="0" w:color="auto"/>
            </w:tcBorders>
            <w:shd w:val="clear" w:color="auto" w:fill="auto"/>
            <w:vAlign w:val="bottom"/>
          </w:tcPr>
          <w:p w14:paraId="471DD816" w14:textId="77777777" w:rsidR="00EC1C40" w:rsidRDefault="00000000">
            <w:pPr>
              <w:pStyle w:val="Jin0"/>
              <w:framePr w:w="10272" w:h="14573" w:wrap="none" w:vAnchor="page" w:hAnchor="page" w:x="831" w:y="1565"/>
              <w:spacing w:after="0"/>
              <w:ind w:firstLine="200"/>
              <w:rPr>
                <w:sz w:val="13"/>
                <w:szCs w:val="13"/>
              </w:rPr>
            </w:pPr>
            <w:r>
              <w:rPr>
                <w:rFonts w:ascii="Arial" w:eastAsia="Arial" w:hAnsi="Arial" w:cs="Arial"/>
                <w:sz w:val="13"/>
                <w:szCs w:val="13"/>
              </w:rPr>
              <w:t>SO.601 Krajinářská architektura - střechy</w:t>
            </w:r>
          </w:p>
        </w:tc>
        <w:tc>
          <w:tcPr>
            <w:tcW w:w="720" w:type="dxa"/>
            <w:tcBorders>
              <w:top w:val="single" w:sz="4" w:space="0" w:color="auto"/>
              <w:left w:val="single" w:sz="4" w:space="0" w:color="auto"/>
            </w:tcBorders>
            <w:shd w:val="clear" w:color="auto" w:fill="auto"/>
          </w:tcPr>
          <w:p w14:paraId="5EF791D7" w14:textId="77777777" w:rsidR="00EC1C40" w:rsidRDefault="00EC1C40">
            <w:pPr>
              <w:framePr w:w="10272" w:h="14573" w:wrap="none" w:vAnchor="page" w:hAnchor="page" w:x="831" w:y="1565"/>
              <w:rPr>
                <w:sz w:val="10"/>
                <w:szCs w:val="10"/>
              </w:rPr>
            </w:pPr>
          </w:p>
        </w:tc>
        <w:tc>
          <w:tcPr>
            <w:tcW w:w="715" w:type="dxa"/>
            <w:tcBorders>
              <w:top w:val="single" w:sz="4" w:space="0" w:color="auto"/>
              <w:left w:val="single" w:sz="4" w:space="0" w:color="auto"/>
            </w:tcBorders>
            <w:shd w:val="clear" w:color="auto" w:fill="auto"/>
          </w:tcPr>
          <w:p w14:paraId="5AA2DABE" w14:textId="77777777" w:rsidR="00EC1C40" w:rsidRDefault="00EC1C40">
            <w:pPr>
              <w:framePr w:w="10272" w:h="14573" w:wrap="none" w:vAnchor="page" w:hAnchor="page" w:x="831" w:y="1565"/>
              <w:rPr>
                <w:sz w:val="10"/>
                <w:szCs w:val="10"/>
              </w:rPr>
            </w:pPr>
          </w:p>
        </w:tc>
        <w:tc>
          <w:tcPr>
            <w:tcW w:w="3451" w:type="dxa"/>
            <w:tcBorders>
              <w:top w:val="single" w:sz="4" w:space="0" w:color="auto"/>
              <w:left w:val="single" w:sz="4" w:space="0" w:color="auto"/>
              <w:right w:val="single" w:sz="4" w:space="0" w:color="auto"/>
            </w:tcBorders>
            <w:shd w:val="clear" w:color="auto" w:fill="auto"/>
          </w:tcPr>
          <w:p w14:paraId="34AE8B9B" w14:textId="77777777" w:rsidR="00EC1C40" w:rsidRDefault="00EC1C40">
            <w:pPr>
              <w:framePr w:w="10272" w:h="14573" w:wrap="none" w:vAnchor="page" w:hAnchor="page" w:x="831" w:y="1565"/>
              <w:rPr>
                <w:sz w:val="10"/>
                <w:szCs w:val="10"/>
              </w:rPr>
            </w:pPr>
          </w:p>
        </w:tc>
      </w:tr>
      <w:tr w:rsidR="00EC1C40" w14:paraId="3E44119D" w14:textId="77777777">
        <w:tblPrEx>
          <w:tblCellMar>
            <w:top w:w="0" w:type="dxa"/>
            <w:bottom w:w="0" w:type="dxa"/>
          </w:tblCellMar>
        </w:tblPrEx>
        <w:trPr>
          <w:trHeight w:hRule="exact" w:val="187"/>
        </w:trPr>
        <w:tc>
          <w:tcPr>
            <w:tcW w:w="1085" w:type="dxa"/>
            <w:tcBorders>
              <w:top w:val="single" w:sz="4" w:space="0" w:color="auto"/>
              <w:left w:val="single" w:sz="4" w:space="0" w:color="auto"/>
            </w:tcBorders>
            <w:shd w:val="clear" w:color="auto" w:fill="auto"/>
            <w:vAlign w:val="bottom"/>
          </w:tcPr>
          <w:p w14:paraId="4196418E" w14:textId="77777777" w:rsidR="00EC1C40" w:rsidRDefault="00000000">
            <w:pPr>
              <w:pStyle w:val="Jin0"/>
              <w:framePr w:w="10272" w:h="14573" w:wrap="none" w:vAnchor="page" w:hAnchor="page" w:x="831" w:y="1565"/>
              <w:spacing w:after="0"/>
              <w:ind w:firstLine="200"/>
              <w:rPr>
                <w:sz w:val="13"/>
                <w:szCs w:val="13"/>
              </w:rPr>
            </w:pPr>
            <w:r>
              <w:rPr>
                <w:rFonts w:ascii="Arial" w:eastAsia="Arial" w:hAnsi="Arial" w:cs="Arial"/>
                <w:sz w:val="13"/>
                <w:szCs w:val="13"/>
              </w:rPr>
              <w:t>2.2.7.4.602</w:t>
            </w:r>
          </w:p>
        </w:tc>
        <w:tc>
          <w:tcPr>
            <w:tcW w:w="4301" w:type="dxa"/>
            <w:tcBorders>
              <w:top w:val="single" w:sz="4" w:space="0" w:color="auto"/>
              <w:left w:val="single" w:sz="4" w:space="0" w:color="auto"/>
            </w:tcBorders>
            <w:shd w:val="clear" w:color="auto" w:fill="auto"/>
            <w:vAlign w:val="bottom"/>
          </w:tcPr>
          <w:p w14:paraId="3C5DAE2B" w14:textId="77777777" w:rsidR="00EC1C40" w:rsidRDefault="00000000">
            <w:pPr>
              <w:pStyle w:val="Jin0"/>
              <w:framePr w:w="10272" w:h="14573" w:wrap="none" w:vAnchor="page" w:hAnchor="page" w:x="831" w:y="1565"/>
              <w:spacing w:after="0"/>
              <w:ind w:firstLine="200"/>
              <w:rPr>
                <w:sz w:val="13"/>
                <w:szCs w:val="13"/>
              </w:rPr>
            </w:pPr>
            <w:r>
              <w:rPr>
                <w:rFonts w:ascii="Arial" w:eastAsia="Arial" w:hAnsi="Arial" w:cs="Arial"/>
                <w:sz w:val="13"/>
                <w:szCs w:val="13"/>
              </w:rPr>
              <w:t>SO.602 Krajinářská architektura - park</w:t>
            </w:r>
          </w:p>
        </w:tc>
        <w:tc>
          <w:tcPr>
            <w:tcW w:w="720" w:type="dxa"/>
            <w:tcBorders>
              <w:top w:val="single" w:sz="4" w:space="0" w:color="auto"/>
              <w:left w:val="single" w:sz="4" w:space="0" w:color="auto"/>
            </w:tcBorders>
            <w:shd w:val="clear" w:color="auto" w:fill="auto"/>
          </w:tcPr>
          <w:p w14:paraId="70EF6955" w14:textId="77777777" w:rsidR="00EC1C40" w:rsidRDefault="00EC1C40">
            <w:pPr>
              <w:framePr w:w="10272" w:h="14573" w:wrap="none" w:vAnchor="page" w:hAnchor="page" w:x="831" w:y="1565"/>
              <w:rPr>
                <w:sz w:val="10"/>
                <w:szCs w:val="10"/>
              </w:rPr>
            </w:pPr>
          </w:p>
        </w:tc>
        <w:tc>
          <w:tcPr>
            <w:tcW w:w="715" w:type="dxa"/>
            <w:tcBorders>
              <w:top w:val="single" w:sz="4" w:space="0" w:color="auto"/>
              <w:left w:val="single" w:sz="4" w:space="0" w:color="auto"/>
            </w:tcBorders>
            <w:shd w:val="clear" w:color="auto" w:fill="auto"/>
          </w:tcPr>
          <w:p w14:paraId="2BA8C72F" w14:textId="77777777" w:rsidR="00EC1C40" w:rsidRDefault="00EC1C40">
            <w:pPr>
              <w:framePr w:w="10272" w:h="14573" w:wrap="none" w:vAnchor="page" w:hAnchor="page" w:x="831" w:y="1565"/>
              <w:rPr>
                <w:sz w:val="10"/>
                <w:szCs w:val="10"/>
              </w:rPr>
            </w:pPr>
          </w:p>
        </w:tc>
        <w:tc>
          <w:tcPr>
            <w:tcW w:w="3451" w:type="dxa"/>
            <w:tcBorders>
              <w:top w:val="single" w:sz="4" w:space="0" w:color="auto"/>
              <w:left w:val="single" w:sz="4" w:space="0" w:color="auto"/>
              <w:right w:val="single" w:sz="4" w:space="0" w:color="auto"/>
            </w:tcBorders>
            <w:shd w:val="clear" w:color="auto" w:fill="auto"/>
          </w:tcPr>
          <w:p w14:paraId="04EE1FBC" w14:textId="77777777" w:rsidR="00EC1C40" w:rsidRDefault="00EC1C40">
            <w:pPr>
              <w:framePr w:w="10272" w:h="14573" w:wrap="none" w:vAnchor="page" w:hAnchor="page" w:x="831" w:y="1565"/>
              <w:rPr>
                <w:sz w:val="10"/>
                <w:szCs w:val="10"/>
              </w:rPr>
            </w:pPr>
          </w:p>
        </w:tc>
      </w:tr>
      <w:tr w:rsidR="00EC1C40" w14:paraId="5C096A36" w14:textId="77777777">
        <w:tblPrEx>
          <w:tblCellMar>
            <w:top w:w="0" w:type="dxa"/>
            <w:bottom w:w="0" w:type="dxa"/>
          </w:tblCellMar>
        </w:tblPrEx>
        <w:trPr>
          <w:trHeight w:hRule="exact" w:val="187"/>
        </w:trPr>
        <w:tc>
          <w:tcPr>
            <w:tcW w:w="1085" w:type="dxa"/>
            <w:tcBorders>
              <w:top w:val="single" w:sz="4" w:space="0" w:color="auto"/>
              <w:left w:val="single" w:sz="4" w:space="0" w:color="auto"/>
            </w:tcBorders>
            <w:shd w:val="clear" w:color="auto" w:fill="auto"/>
            <w:vAlign w:val="bottom"/>
          </w:tcPr>
          <w:p w14:paraId="54649537" w14:textId="77777777" w:rsidR="00EC1C40" w:rsidRDefault="00000000">
            <w:pPr>
              <w:pStyle w:val="Jin0"/>
              <w:framePr w:w="10272" w:h="14573" w:wrap="none" w:vAnchor="page" w:hAnchor="page" w:x="831" w:y="1565"/>
              <w:spacing w:after="0"/>
              <w:ind w:firstLine="200"/>
              <w:rPr>
                <w:sz w:val="13"/>
                <w:szCs w:val="13"/>
              </w:rPr>
            </w:pPr>
            <w:r>
              <w:rPr>
                <w:rFonts w:ascii="Arial" w:eastAsia="Arial" w:hAnsi="Arial" w:cs="Arial"/>
                <w:sz w:val="13"/>
                <w:szCs w:val="13"/>
              </w:rPr>
              <w:t>2.2.7.4.603</w:t>
            </w:r>
          </w:p>
        </w:tc>
        <w:tc>
          <w:tcPr>
            <w:tcW w:w="4301" w:type="dxa"/>
            <w:tcBorders>
              <w:top w:val="single" w:sz="4" w:space="0" w:color="auto"/>
              <w:left w:val="single" w:sz="4" w:space="0" w:color="auto"/>
            </w:tcBorders>
            <w:shd w:val="clear" w:color="auto" w:fill="auto"/>
            <w:vAlign w:val="bottom"/>
          </w:tcPr>
          <w:p w14:paraId="31BD4F60" w14:textId="77777777" w:rsidR="00EC1C40" w:rsidRDefault="00000000">
            <w:pPr>
              <w:pStyle w:val="Jin0"/>
              <w:framePr w:w="10272" w:h="14573" w:wrap="none" w:vAnchor="page" w:hAnchor="page" w:x="831" w:y="1565"/>
              <w:spacing w:after="0"/>
              <w:ind w:firstLine="200"/>
              <w:rPr>
                <w:sz w:val="13"/>
                <w:szCs w:val="13"/>
              </w:rPr>
            </w:pPr>
            <w:r>
              <w:rPr>
                <w:rFonts w:ascii="Arial" w:eastAsia="Arial" w:hAnsi="Arial" w:cs="Arial"/>
                <w:sz w:val="13"/>
                <w:szCs w:val="13"/>
              </w:rPr>
              <w:t>SO.603 Krajinářská architektura - kácení</w:t>
            </w:r>
          </w:p>
        </w:tc>
        <w:tc>
          <w:tcPr>
            <w:tcW w:w="720" w:type="dxa"/>
            <w:tcBorders>
              <w:top w:val="single" w:sz="4" w:space="0" w:color="auto"/>
              <w:left w:val="single" w:sz="4" w:space="0" w:color="auto"/>
            </w:tcBorders>
            <w:shd w:val="clear" w:color="auto" w:fill="auto"/>
          </w:tcPr>
          <w:p w14:paraId="469ADB09" w14:textId="77777777" w:rsidR="00EC1C40" w:rsidRDefault="00EC1C40">
            <w:pPr>
              <w:framePr w:w="10272" w:h="14573" w:wrap="none" w:vAnchor="page" w:hAnchor="page" w:x="831" w:y="1565"/>
              <w:rPr>
                <w:sz w:val="10"/>
                <w:szCs w:val="10"/>
              </w:rPr>
            </w:pPr>
          </w:p>
        </w:tc>
        <w:tc>
          <w:tcPr>
            <w:tcW w:w="715" w:type="dxa"/>
            <w:tcBorders>
              <w:top w:val="single" w:sz="4" w:space="0" w:color="auto"/>
              <w:left w:val="single" w:sz="4" w:space="0" w:color="auto"/>
            </w:tcBorders>
            <w:shd w:val="clear" w:color="auto" w:fill="auto"/>
          </w:tcPr>
          <w:p w14:paraId="3DD1B4D9" w14:textId="77777777" w:rsidR="00EC1C40" w:rsidRDefault="00EC1C40">
            <w:pPr>
              <w:framePr w:w="10272" w:h="14573" w:wrap="none" w:vAnchor="page" w:hAnchor="page" w:x="831" w:y="1565"/>
              <w:rPr>
                <w:sz w:val="10"/>
                <w:szCs w:val="10"/>
              </w:rPr>
            </w:pPr>
          </w:p>
        </w:tc>
        <w:tc>
          <w:tcPr>
            <w:tcW w:w="3451" w:type="dxa"/>
            <w:tcBorders>
              <w:top w:val="single" w:sz="4" w:space="0" w:color="auto"/>
              <w:left w:val="single" w:sz="4" w:space="0" w:color="auto"/>
              <w:right w:val="single" w:sz="4" w:space="0" w:color="auto"/>
            </w:tcBorders>
            <w:shd w:val="clear" w:color="auto" w:fill="auto"/>
          </w:tcPr>
          <w:p w14:paraId="3113B4BC" w14:textId="77777777" w:rsidR="00EC1C40" w:rsidRDefault="00EC1C40">
            <w:pPr>
              <w:framePr w:w="10272" w:h="14573" w:wrap="none" w:vAnchor="page" w:hAnchor="page" w:x="831" w:y="1565"/>
              <w:rPr>
                <w:sz w:val="10"/>
                <w:szCs w:val="10"/>
              </w:rPr>
            </w:pPr>
          </w:p>
        </w:tc>
      </w:tr>
      <w:tr w:rsidR="00EC1C40" w14:paraId="58D73639" w14:textId="77777777">
        <w:tblPrEx>
          <w:tblCellMar>
            <w:top w:w="0" w:type="dxa"/>
            <w:bottom w:w="0" w:type="dxa"/>
          </w:tblCellMar>
        </w:tblPrEx>
        <w:trPr>
          <w:trHeight w:hRule="exact" w:val="187"/>
        </w:trPr>
        <w:tc>
          <w:tcPr>
            <w:tcW w:w="1085" w:type="dxa"/>
            <w:tcBorders>
              <w:top w:val="single" w:sz="4" w:space="0" w:color="auto"/>
              <w:left w:val="single" w:sz="4" w:space="0" w:color="auto"/>
            </w:tcBorders>
            <w:shd w:val="clear" w:color="auto" w:fill="auto"/>
            <w:vAlign w:val="bottom"/>
          </w:tcPr>
          <w:p w14:paraId="703C7241" w14:textId="77777777" w:rsidR="00EC1C40" w:rsidRDefault="00000000">
            <w:pPr>
              <w:pStyle w:val="Jin0"/>
              <w:framePr w:w="10272" w:h="14573" w:wrap="none" w:vAnchor="page" w:hAnchor="page" w:x="831" w:y="1565"/>
              <w:spacing w:after="0"/>
              <w:ind w:firstLine="200"/>
              <w:rPr>
                <w:sz w:val="13"/>
                <w:szCs w:val="13"/>
              </w:rPr>
            </w:pPr>
            <w:r>
              <w:rPr>
                <w:rFonts w:ascii="Arial" w:eastAsia="Arial" w:hAnsi="Arial" w:cs="Arial"/>
                <w:sz w:val="13"/>
                <w:szCs w:val="13"/>
              </w:rPr>
              <w:t>2.2.6.4.700</w:t>
            </w:r>
          </w:p>
        </w:tc>
        <w:tc>
          <w:tcPr>
            <w:tcW w:w="4301" w:type="dxa"/>
            <w:tcBorders>
              <w:top w:val="single" w:sz="4" w:space="0" w:color="auto"/>
              <w:left w:val="single" w:sz="4" w:space="0" w:color="auto"/>
            </w:tcBorders>
            <w:shd w:val="clear" w:color="auto" w:fill="auto"/>
            <w:vAlign w:val="bottom"/>
          </w:tcPr>
          <w:p w14:paraId="59F8233E" w14:textId="77777777" w:rsidR="00EC1C40" w:rsidRDefault="00000000">
            <w:pPr>
              <w:pStyle w:val="Jin0"/>
              <w:framePr w:w="10272" w:h="14573" w:wrap="none" w:vAnchor="page" w:hAnchor="page" w:x="831" w:y="1565"/>
              <w:spacing w:after="0"/>
              <w:ind w:firstLine="200"/>
              <w:rPr>
                <w:sz w:val="13"/>
                <w:szCs w:val="13"/>
              </w:rPr>
            </w:pPr>
            <w:r>
              <w:rPr>
                <w:rFonts w:ascii="Arial" w:eastAsia="Arial" w:hAnsi="Arial" w:cs="Arial"/>
                <w:sz w:val="13"/>
                <w:szCs w:val="13"/>
              </w:rPr>
              <w:t>SO.700 Venkovní rozvody SHZ</w:t>
            </w:r>
          </w:p>
        </w:tc>
        <w:tc>
          <w:tcPr>
            <w:tcW w:w="720" w:type="dxa"/>
            <w:tcBorders>
              <w:top w:val="single" w:sz="4" w:space="0" w:color="auto"/>
              <w:left w:val="single" w:sz="4" w:space="0" w:color="auto"/>
            </w:tcBorders>
            <w:shd w:val="clear" w:color="auto" w:fill="auto"/>
          </w:tcPr>
          <w:p w14:paraId="1F6CF6A3" w14:textId="77777777" w:rsidR="00EC1C40" w:rsidRDefault="00EC1C40">
            <w:pPr>
              <w:framePr w:w="10272" w:h="14573" w:wrap="none" w:vAnchor="page" w:hAnchor="page" w:x="831" w:y="1565"/>
              <w:rPr>
                <w:sz w:val="10"/>
                <w:szCs w:val="10"/>
              </w:rPr>
            </w:pPr>
          </w:p>
        </w:tc>
        <w:tc>
          <w:tcPr>
            <w:tcW w:w="715" w:type="dxa"/>
            <w:tcBorders>
              <w:top w:val="single" w:sz="4" w:space="0" w:color="auto"/>
              <w:left w:val="single" w:sz="4" w:space="0" w:color="auto"/>
            </w:tcBorders>
            <w:shd w:val="clear" w:color="auto" w:fill="auto"/>
          </w:tcPr>
          <w:p w14:paraId="323EA162" w14:textId="77777777" w:rsidR="00EC1C40" w:rsidRDefault="00EC1C40">
            <w:pPr>
              <w:framePr w:w="10272" w:h="14573" w:wrap="none" w:vAnchor="page" w:hAnchor="page" w:x="831" w:y="1565"/>
              <w:rPr>
                <w:sz w:val="10"/>
                <w:szCs w:val="10"/>
              </w:rPr>
            </w:pPr>
          </w:p>
        </w:tc>
        <w:tc>
          <w:tcPr>
            <w:tcW w:w="3451" w:type="dxa"/>
            <w:tcBorders>
              <w:top w:val="single" w:sz="4" w:space="0" w:color="auto"/>
              <w:left w:val="single" w:sz="4" w:space="0" w:color="auto"/>
              <w:right w:val="single" w:sz="4" w:space="0" w:color="auto"/>
            </w:tcBorders>
            <w:shd w:val="clear" w:color="auto" w:fill="auto"/>
          </w:tcPr>
          <w:p w14:paraId="27C20219" w14:textId="77777777" w:rsidR="00EC1C40" w:rsidRDefault="00EC1C40">
            <w:pPr>
              <w:framePr w:w="10272" w:h="14573" w:wrap="none" w:vAnchor="page" w:hAnchor="page" w:x="831" w:y="1565"/>
              <w:rPr>
                <w:sz w:val="10"/>
                <w:szCs w:val="10"/>
              </w:rPr>
            </w:pPr>
          </w:p>
        </w:tc>
      </w:tr>
      <w:tr w:rsidR="00EC1C40" w14:paraId="4CCA6623" w14:textId="77777777">
        <w:tblPrEx>
          <w:tblCellMar>
            <w:top w:w="0" w:type="dxa"/>
            <w:bottom w:w="0" w:type="dxa"/>
          </w:tblCellMar>
        </w:tblPrEx>
        <w:trPr>
          <w:trHeight w:hRule="exact" w:val="187"/>
        </w:trPr>
        <w:tc>
          <w:tcPr>
            <w:tcW w:w="1085" w:type="dxa"/>
            <w:tcBorders>
              <w:top w:val="single" w:sz="4" w:space="0" w:color="auto"/>
              <w:left w:val="single" w:sz="4" w:space="0" w:color="auto"/>
            </w:tcBorders>
            <w:shd w:val="clear" w:color="auto" w:fill="auto"/>
            <w:vAlign w:val="bottom"/>
          </w:tcPr>
          <w:p w14:paraId="53480AF0" w14:textId="77777777" w:rsidR="00EC1C40" w:rsidRDefault="00000000">
            <w:pPr>
              <w:pStyle w:val="Jin0"/>
              <w:framePr w:w="10272" w:h="14573" w:wrap="none" w:vAnchor="page" w:hAnchor="page" w:x="831" w:y="1565"/>
              <w:spacing w:after="0"/>
              <w:ind w:firstLine="200"/>
              <w:rPr>
                <w:sz w:val="13"/>
                <w:szCs w:val="13"/>
              </w:rPr>
            </w:pPr>
            <w:r>
              <w:rPr>
                <w:rFonts w:ascii="Arial" w:eastAsia="Arial" w:hAnsi="Arial" w:cs="Arial"/>
                <w:sz w:val="13"/>
                <w:szCs w:val="13"/>
              </w:rPr>
              <w:t>2.2.6.4.800</w:t>
            </w:r>
          </w:p>
        </w:tc>
        <w:tc>
          <w:tcPr>
            <w:tcW w:w="4301" w:type="dxa"/>
            <w:tcBorders>
              <w:top w:val="single" w:sz="4" w:space="0" w:color="auto"/>
              <w:left w:val="single" w:sz="4" w:space="0" w:color="auto"/>
            </w:tcBorders>
            <w:shd w:val="clear" w:color="auto" w:fill="auto"/>
            <w:vAlign w:val="bottom"/>
          </w:tcPr>
          <w:p w14:paraId="0DD8780D" w14:textId="77777777" w:rsidR="00EC1C40" w:rsidRDefault="00000000">
            <w:pPr>
              <w:pStyle w:val="Jin0"/>
              <w:framePr w:w="10272" w:h="14573" w:wrap="none" w:vAnchor="page" w:hAnchor="page" w:x="831" w:y="1565"/>
              <w:spacing w:after="0"/>
              <w:ind w:firstLine="200"/>
              <w:rPr>
                <w:sz w:val="13"/>
                <w:szCs w:val="13"/>
              </w:rPr>
            </w:pPr>
            <w:r>
              <w:rPr>
                <w:rFonts w:ascii="Arial" w:eastAsia="Arial" w:hAnsi="Arial" w:cs="Arial"/>
                <w:sz w:val="13"/>
                <w:szCs w:val="13"/>
              </w:rPr>
              <w:t>SO.800 Venkovní RTCH</w:t>
            </w:r>
          </w:p>
        </w:tc>
        <w:tc>
          <w:tcPr>
            <w:tcW w:w="720" w:type="dxa"/>
            <w:tcBorders>
              <w:top w:val="single" w:sz="4" w:space="0" w:color="auto"/>
              <w:left w:val="single" w:sz="4" w:space="0" w:color="auto"/>
            </w:tcBorders>
            <w:shd w:val="clear" w:color="auto" w:fill="auto"/>
          </w:tcPr>
          <w:p w14:paraId="44823C8D" w14:textId="77777777" w:rsidR="00EC1C40" w:rsidRDefault="00EC1C40">
            <w:pPr>
              <w:framePr w:w="10272" w:h="14573" w:wrap="none" w:vAnchor="page" w:hAnchor="page" w:x="831" w:y="1565"/>
              <w:rPr>
                <w:sz w:val="10"/>
                <w:szCs w:val="10"/>
              </w:rPr>
            </w:pPr>
          </w:p>
        </w:tc>
        <w:tc>
          <w:tcPr>
            <w:tcW w:w="715" w:type="dxa"/>
            <w:tcBorders>
              <w:top w:val="single" w:sz="4" w:space="0" w:color="auto"/>
              <w:left w:val="single" w:sz="4" w:space="0" w:color="auto"/>
            </w:tcBorders>
            <w:shd w:val="clear" w:color="auto" w:fill="auto"/>
          </w:tcPr>
          <w:p w14:paraId="5359BF0B" w14:textId="77777777" w:rsidR="00EC1C40" w:rsidRDefault="00EC1C40">
            <w:pPr>
              <w:framePr w:w="10272" w:h="14573" w:wrap="none" w:vAnchor="page" w:hAnchor="page" w:x="831" w:y="1565"/>
              <w:rPr>
                <w:sz w:val="10"/>
                <w:szCs w:val="10"/>
              </w:rPr>
            </w:pPr>
          </w:p>
        </w:tc>
        <w:tc>
          <w:tcPr>
            <w:tcW w:w="3451" w:type="dxa"/>
            <w:tcBorders>
              <w:top w:val="single" w:sz="4" w:space="0" w:color="auto"/>
              <w:left w:val="single" w:sz="4" w:space="0" w:color="auto"/>
              <w:right w:val="single" w:sz="4" w:space="0" w:color="auto"/>
            </w:tcBorders>
            <w:shd w:val="clear" w:color="auto" w:fill="auto"/>
          </w:tcPr>
          <w:p w14:paraId="3502F053" w14:textId="77777777" w:rsidR="00EC1C40" w:rsidRDefault="00EC1C40">
            <w:pPr>
              <w:framePr w:w="10272" w:h="14573" w:wrap="none" w:vAnchor="page" w:hAnchor="page" w:x="831" w:y="1565"/>
              <w:rPr>
                <w:sz w:val="10"/>
                <w:szCs w:val="10"/>
              </w:rPr>
            </w:pPr>
          </w:p>
        </w:tc>
      </w:tr>
      <w:tr w:rsidR="00EC1C40" w14:paraId="7D78D328" w14:textId="77777777">
        <w:tblPrEx>
          <w:tblCellMar>
            <w:top w:w="0" w:type="dxa"/>
            <w:bottom w:w="0" w:type="dxa"/>
          </w:tblCellMar>
        </w:tblPrEx>
        <w:trPr>
          <w:trHeight w:hRule="exact" w:val="187"/>
        </w:trPr>
        <w:tc>
          <w:tcPr>
            <w:tcW w:w="1085" w:type="dxa"/>
            <w:tcBorders>
              <w:top w:val="single" w:sz="4" w:space="0" w:color="auto"/>
              <w:left w:val="single" w:sz="4" w:space="0" w:color="auto"/>
            </w:tcBorders>
            <w:shd w:val="clear" w:color="auto" w:fill="auto"/>
            <w:vAlign w:val="bottom"/>
          </w:tcPr>
          <w:p w14:paraId="0BBD1938" w14:textId="77777777" w:rsidR="00EC1C40" w:rsidRDefault="00000000">
            <w:pPr>
              <w:pStyle w:val="Jin0"/>
              <w:framePr w:w="10272" w:h="14573" w:wrap="none" w:vAnchor="page" w:hAnchor="page" w:x="831" w:y="1565"/>
              <w:spacing w:after="0"/>
              <w:jc w:val="center"/>
              <w:rPr>
                <w:sz w:val="13"/>
                <w:szCs w:val="13"/>
              </w:rPr>
            </w:pPr>
            <w:r>
              <w:rPr>
                <w:rFonts w:ascii="Arial" w:eastAsia="Arial" w:hAnsi="Arial" w:cs="Arial"/>
                <w:sz w:val="13"/>
                <w:szCs w:val="13"/>
              </w:rPr>
              <w:t>2.2.1.4.900</w:t>
            </w:r>
          </w:p>
        </w:tc>
        <w:tc>
          <w:tcPr>
            <w:tcW w:w="4301" w:type="dxa"/>
            <w:tcBorders>
              <w:top w:val="single" w:sz="4" w:space="0" w:color="auto"/>
              <w:left w:val="single" w:sz="4" w:space="0" w:color="auto"/>
            </w:tcBorders>
            <w:shd w:val="clear" w:color="auto" w:fill="auto"/>
            <w:vAlign w:val="bottom"/>
          </w:tcPr>
          <w:p w14:paraId="707D3E46" w14:textId="77777777" w:rsidR="00EC1C40" w:rsidRDefault="00000000">
            <w:pPr>
              <w:pStyle w:val="Jin0"/>
              <w:framePr w:w="10272" w:h="14573" w:wrap="none" w:vAnchor="page" w:hAnchor="page" w:x="831" w:y="1565"/>
              <w:spacing w:after="0"/>
              <w:ind w:firstLine="200"/>
              <w:rPr>
                <w:sz w:val="13"/>
                <w:szCs w:val="13"/>
              </w:rPr>
            </w:pPr>
            <w:r>
              <w:rPr>
                <w:rFonts w:ascii="Arial" w:eastAsia="Arial" w:hAnsi="Arial" w:cs="Arial"/>
                <w:sz w:val="13"/>
                <w:szCs w:val="13"/>
              </w:rPr>
              <w:t>SO.900 Zásady organizace výstavby (ZOV)</w:t>
            </w:r>
          </w:p>
        </w:tc>
        <w:tc>
          <w:tcPr>
            <w:tcW w:w="720" w:type="dxa"/>
            <w:tcBorders>
              <w:top w:val="single" w:sz="4" w:space="0" w:color="auto"/>
              <w:left w:val="single" w:sz="4" w:space="0" w:color="auto"/>
            </w:tcBorders>
            <w:shd w:val="clear" w:color="auto" w:fill="auto"/>
          </w:tcPr>
          <w:p w14:paraId="0FCB07D5" w14:textId="77777777" w:rsidR="00EC1C40" w:rsidRDefault="00EC1C40">
            <w:pPr>
              <w:framePr w:w="10272" w:h="14573" w:wrap="none" w:vAnchor="page" w:hAnchor="page" w:x="831" w:y="1565"/>
              <w:rPr>
                <w:sz w:val="10"/>
                <w:szCs w:val="10"/>
              </w:rPr>
            </w:pPr>
          </w:p>
        </w:tc>
        <w:tc>
          <w:tcPr>
            <w:tcW w:w="715" w:type="dxa"/>
            <w:tcBorders>
              <w:top w:val="single" w:sz="4" w:space="0" w:color="auto"/>
              <w:left w:val="single" w:sz="4" w:space="0" w:color="auto"/>
            </w:tcBorders>
            <w:shd w:val="clear" w:color="auto" w:fill="auto"/>
          </w:tcPr>
          <w:p w14:paraId="7AF8285A" w14:textId="77777777" w:rsidR="00EC1C40" w:rsidRDefault="00EC1C40">
            <w:pPr>
              <w:framePr w:w="10272" w:h="14573" w:wrap="none" w:vAnchor="page" w:hAnchor="page" w:x="831" w:y="1565"/>
              <w:rPr>
                <w:sz w:val="10"/>
                <w:szCs w:val="10"/>
              </w:rPr>
            </w:pPr>
          </w:p>
        </w:tc>
        <w:tc>
          <w:tcPr>
            <w:tcW w:w="3451" w:type="dxa"/>
            <w:tcBorders>
              <w:top w:val="single" w:sz="4" w:space="0" w:color="auto"/>
              <w:left w:val="single" w:sz="4" w:space="0" w:color="auto"/>
              <w:right w:val="single" w:sz="4" w:space="0" w:color="auto"/>
            </w:tcBorders>
            <w:shd w:val="clear" w:color="auto" w:fill="auto"/>
          </w:tcPr>
          <w:p w14:paraId="1D310AD2" w14:textId="77777777" w:rsidR="00EC1C40" w:rsidRDefault="00EC1C40">
            <w:pPr>
              <w:framePr w:w="10272" w:h="14573" w:wrap="none" w:vAnchor="page" w:hAnchor="page" w:x="831" w:y="1565"/>
              <w:rPr>
                <w:sz w:val="10"/>
                <w:szCs w:val="10"/>
              </w:rPr>
            </w:pPr>
          </w:p>
        </w:tc>
      </w:tr>
      <w:tr w:rsidR="00EC1C40" w14:paraId="55BA1A3E" w14:textId="77777777">
        <w:tblPrEx>
          <w:tblCellMar>
            <w:top w:w="0" w:type="dxa"/>
            <w:bottom w:w="0" w:type="dxa"/>
          </w:tblCellMar>
        </w:tblPrEx>
        <w:trPr>
          <w:trHeight w:hRule="exact" w:val="182"/>
        </w:trPr>
        <w:tc>
          <w:tcPr>
            <w:tcW w:w="1085" w:type="dxa"/>
            <w:tcBorders>
              <w:top w:val="single" w:sz="4" w:space="0" w:color="auto"/>
              <w:left w:val="single" w:sz="4" w:space="0" w:color="auto"/>
            </w:tcBorders>
            <w:shd w:val="clear" w:color="auto" w:fill="auto"/>
          </w:tcPr>
          <w:p w14:paraId="1F49A091" w14:textId="77777777" w:rsidR="00EC1C40" w:rsidRDefault="00000000">
            <w:pPr>
              <w:pStyle w:val="Jin0"/>
              <w:framePr w:w="10272" w:h="14573" w:wrap="none" w:vAnchor="page" w:hAnchor="page" w:x="831" w:y="1565"/>
              <w:spacing w:after="0"/>
              <w:jc w:val="center"/>
              <w:rPr>
                <w:sz w:val="13"/>
                <w:szCs w:val="13"/>
              </w:rPr>
            </w:pPr>
            <w:r>
              <w:rPr>
                <w:rFonts w:ascii="Arial" w:eastAsia="Arial" w:hAnsi="Arial" w:cs="Arial"/>
                <w:sz w:val="13"/>
                <w:szCs w:val="13"/>
              </w:rPr>
              <w:t>2.2.1.4.920</w:t>
            </w:r>
          </w:p>
        </w:tc>
        <w:tc>
          <w:tcPr>
            <w:tcW w:w="4301" w:type="dxa"/>
            <w:tcBorders>
              <w:top w:val="single" w:sz="4" w:space="0" w:color="auto"/>
              <w:left w:val="single" w:sz="4" w:space="0" w:color="auto"/>
            </w:tcBorders>
            <w:shd w:val="clear" w:color="auto" w:fill="auto"/>
          </w:tcPr>
          <w:p w14:paraId="66A1980A" w14:textId="77777777" w:rsidR="00EC1C40" w:rsidRDefault="00000000">
            <w:pPr>
              <w:pStyle w:val="Jin0"/>
              <w:framePr w:w="10272" w:h="14573" w:wrap="none" w:vAnchor="page" w:hAnchor="page" w:x="831" w:y="1565"/>
              <w:spacing w:after="0"/>
              <w:ind w:firstLine="200"/>
              <w:rPr>
                <w:sz w:val="13"/>
                <w:szCs w:val="13"/>
              </w:rPr>
            </w:pPr>
            <w:r>
              <w:rPr>
                <w:rFonts w:ascii="Arial" w:eastAsia="Arial" w:hAnsi="Arial" w:cs="Arial"/>
                <w:sz w:val="13"/>
                <w:szCs w:val="13"/>
              </w:rPr>
              <w:t>SO.920 Dočasná vodovodní přeložka k transformovně ČEZ</w:t>
            </w:r>
          </w:p>
        </w:tc>
        <w:tc>
          <w:tcPr>
            <w:tcW w:w="720" w:type="dxa"/>
            <w:tcBorders>
              <w:top w:val="single" w:sz="4" w:space="0" w:color="auto"/>
              <w:left w:val="single" w:sz="4" w:space="0" w:color="auto"/>
            </w:tcBorders>
            <w:shd w:val="clear" w:color="auto" w:fill="auto"/>
          </w:tcPr>
          <w:p w14:paraId="6052AEC4" w14:textId="77777777" w:rsidR="00EC1C40" w:rsidRDefault="00EC1C40">
            <w:pPr>
              <w:framePr w:w="10272" w:h="14573" w:wrap="none" w:vAnchor="page" w:hAnchor="page" w:x="831" w:y="1565"/>
              <w:rPr>
                <w:sz w:val="10"/>
                <w:szCs w:val="10"/>
              </w:rPr>
            </w:pPr>
          </w:p>
        </w:tc>
        <w:tc>
          <w:tcPr>
            <w:tcW w:w="715" w:type="dxa"/>
            <w:tcBorders>
              <w:top w:val="single" w:sz="4" w:space="0" w:color="auto"/>
              <w:left w:val="single" w:sz="4" w:space="0" w:color="auto"/>
            </w:tcBorders>
            <w:shd w:val="clear" w:color="auto" w:fill="auto"/>
          </w:tcPr>
          <w:p w14:paraId="5F078E10" w14:textId="77777777" w:rsidR="00EC1C40" w:rsidRDefault="00EC1C40">
            <w:pPr>
              <w:framePr w:w="10272" w:h="14573" w:wrap="none" w:vAnchor="page" w:hAnchor="page" w:x="831" w:y="1565"/>
              <w:rPr>
                <w:sz w:val="10"/>
                <w:szCs w:val="10"/>
              </w:rPr>
            </w:pPr>
          </w:p>
        </w:tc>
        <w:tc>
          <w:tcPr>
            <w:tcW w:w="3451" w:type="dxa"/>
            <w:tcBorders>
              <w:top w:val="single" w:sz="4" w:space="0" w:color="auto"/>
              <w:left w:val="single" w:sz="4" w:space="0" w:color="auto"/>
              <w:right w:val="single" w:sz="4" w:space="0" w:color="auto"/>
            </w:tcBorders>
            <w:shd w:val="clear" w:color="auto" w:fill="auto"/>
          </w:tcPr>
          <w:p w14:paraId="3FE1D521" w14:textId="77777777" w:rsidR="00EC1C40" w:rsidRDefault="00EC1C40">
            <w:pPr>
              <w:framePr w:w="10272" w:h="14573" w:wrap="none" w:vAnchor="page" w:hAnchor="page" w:x="831" w:y="1565"/>
              <w:rPr>
                <w:sz w:val="10"/>
                <w:szCs w:val="10"/>
              </w:rPr>
            </w:pPr>
          </w:p>
        </w:tc>
      </w:tr>
      <w:tr w:rsidR="00EC1C40" w14:paraId="4D7782CB" w14:textId="77777777">
        <w:tblPrEx>
          <w:tblCellMar>
            <w:top w:w="0" w:type="dxa"/>
            <w:bottom w:w="0" w:type="dxa"/>
          </w:tblCellMar>
        </w:tblPrEx>
        <w:trPr>
          <w:trHeight w:hRule="exact" w:val="187"/>
        </w:trPr>
        <w:tc>
          <w:tcPr>
            <w:tcW w:w="1085" w:type="dxa"/>
            <w:tcBorders>
              <w:top w:val="single" w:sz="4" w:space="0" w:color="auto"/>
              <w:left w:val="single" w:sz="4" w:space="0" w:color="auto"/>
            </w:tcBorders>
            <w:shd w:val="clear" w:color="auto" w:fill="auto"/>
            <w:vAlign w:val="bottom"/>
          </w:tcPr>
          <w:p w14:paraId="5F8DB2C2" w14:textId="77777777" w:rsidR="00EC1C40" w:rsidRDefault="00000000">
            <w:pPr>
              <w:pStyle w:val="Jin0"/>
              <w:framePr w:w="10272" w:h="14573" w:wrap="none" w:vAnchor="page" w:hAnchor="page" w:x="831" w:y="1565"/>
              <w:spacing w:after="0"/>
              <w:jc w:val="center"/>
              <w:rPr>
                <w:sz w:val="13"/>
                <w:szCs w:val="13"/>
              </w:rPr>
            </w:pPr>
            <w:r>
              <w:rPr>
                <w:rFonts w:ascii="Arial" w:eastAsia="Arial" w:hAnsi="Arial" w:cs="Arial"/>
                <w:sz w:val="13"/>
                <w:szCs w:val="13"/>
              </w:rPr>
              <w:t>2.2.1.4.921</w:t>
            </w:r>
          </w:p>
        </w:tc>
        <w:tc>
          <w:tcPr>
            <w:tcW w:w="4301" w:type="dxa"/>
            <w:tcBorders>
              <w:top w:val="single" w:sz="4" w:space="0" w:color="auto"/>
              <w:left w:val="single" w:sz="4" w:space="0" w:color="auto"/>
            </w:tcBorders>
            <w:shd w:val="clear" w:color="auto" w:fill="auto"/>
            <w:vAlign w:val="bottom"/>
          </w:tcPr>
          <w:p w14:paraId="5A0FAE71" w14:textId="77777777" w:rsidR="00EC1C40" w:rsidRDefault="00000000">
            <w:pPr>
              <w:pStyle w:val="Jin0"/>
              <w:framePr w:w="10272" w:h="14573" w:wrap="none" w:vAnchor="page" w:hAnchor="page" w:x="831" w:y="1565"/>
              <w:spacing w:after="0"/>
              <w:ind w:firstLine="200"/>
              <w:rPr>
                <w:sz w:val="13"/>
                <w:szCs w:val="13"/>
              </w:rPr>
            </w:pPr>
            <w:r>
              <w:rPr>
                <w:rFonts w:ascii="Arial" w:eastAsia="Arial" w:hAnsi="Arial" w:cs="Arial"/>
                <w:sz w:val="13"/>
                <w:szCs w:val="13"/>
              </w:rPr>
              <w:t>SO.921 Dočasná vodovodní přípojka zařízení staveniště</w:t>
            </w:r>
          </w:p>
        </w:tc>
        <w:tc>
          <w:tcPr>
            <w:tcW w:w="720" w:type="dxa"/>
            <w:tcBorders>
              <w:top w:val="single" w:sz="4" w:space="0" w:color="auto"/>
              <w:left w:val="single" w:sz="4" w:space="0" w:color="auto"/>
            </w:tcBorders>
            <w:shd w:val="clear" w:color="auto" w:fill="auto"/>
          </w:tcPr>
          <w:p w14:paraId="26A40975" w14:textId="77777777" w:rsidR="00EC1C40" w:rsidRDefault="00EC1C40">
            <w:pPr>
              <w:framePr w:w="10272" w:h="14573" w:wrap="none" w:vAnchor="page" w:hAnchor="page" w:x="831" w:y="1565"/>
              <w:rPr>
                <w:sz w:val="10"/>
                <w:szCs w:val="10"/>
              </w:rPr>
            </w:pPr>
          </w:p>
        </w:tc>
        <w:tc>
          <w:tcPr>
            <w:tcW w:w="715" w:type="dxa"/>
            <w:tcBorders>
              <w:top w:val="single" w:sz="4" w:space="0" w:color="auto"/>
              <w:left w:val="single" w:sz="4" w:space="0" w:color="auto"/>
            </w:tcBorders>
            <w:shd w:val="clear" w:color="auto" w:fill="auto"/>
          </w:tcPr>
          <w:p w14:paraId="7E0B9043" w14:textId="77777777" w:rsidR="00EC1C40" w:rsidRDefault="00EC1C40">
            <w:pPr>
              <w:framePr w:w="10272" w:h="14573" w:wrap="none" w:vAnchor="page" w:hAnchor="page" w:x="831" w:y="1565"/>
              <w:rPr>
                <w:sz w:val="10"/>
                <w:szCs w:val="10"/>
              </w:rPr>
            </w:pPr>
          </w:p>
        </w:tc>
        <w:tc>
          <w:tcPr>
            <w:tcW w:w="3451" w:type="dxa"/>
            <w:tcBorders>
              <w:top w:val="single" w:sz="4" w:space="0" w:color="auto"/>
              <w:left w:val="single" w:sz="4" w:space="0" w:color="auto"/>
              <w:right w:val="single" w:sz="4" w:space="0" w:color="auto"/>
            </w:tcBorders>
            <w:shd w:val="clear" w:color="auto" w:fill="auto"/>
          </w:tcPr>
          <w:p w14:paraId="1CAA547A" w14:textId="77777777" w:rsidR="00EC1C40" w:rsidRDefault="00EC1C40">
            <w:pPr>
              <w:framePr w:w="10272" w:h="14573" w:wrap="none" w:vAnchor="page" w:hAnchor="page" w:x="831" w:y="1565"/>
              <w:rPr>
                <w:sz w:val="10"/>
                <w:szCs w:val="10"/>
              </w:rPr>
            </w:pPr>
          </w:p>
        </w:tc>
      </w:tr>
      <w:tr w:rsidR="00EC1C40" w14:paraId="76210370" w14:textId="77777777">
        <w:tblPrEx>
          <w:tblCellMar>
            <w:top w:w="0" w:type="dxa"/>
            <w:bottom w:w="0" w:type="dxa"/>
          </w:tblCellMar>
        </w:tblPrEx>
        <w:trPr>
          <w:trHeight w:hRule="exact" w:val="211"/>
        </w:trPr>
        <w:tc>
          <w:tcPr>
            <w:tcW w:w="1085" w:type="dxa"/>
            <w:tcBorders>
              <w:top w:val="single" w:sz="4" w:space="0" w:color="auto"/>
              <w:left w:val="single" w:sz="4" w:space="0" w:color="auto"/>
              <w:bottom w:val="single" w:sz="4" w:space="0" w:color="auto"/>
            </w:tcBorders>
            <w:shd w:val="clear" w:color="auto" w:fill="auto"/>
            <w:vAlign w:val="bottom"/>
          </w:tcPr>
          <w:p w14:paraId="7CE1819B" w14:textId="77777777" w:rsidR="00EC1C40" w:rsidRDefault="00000000">
            <w:pPr>
              <w:pStyle w:val="Jin0"/>
              <w:framePr w:w="10272" w:h="14573" w:wrap="none" w:vAnchor="page" w:hAnchor="page" w:x="831" w:y="1565"/>
              <w:spacing w:after="0"/>
              <w:ind w:firstLine="200"/>
              <w:rPr>
                <w:sz w:val="13"/>
                <w:szCs w:val="13"/>
              </w:rPr>
            </w:pPr>
            <w:r>
              <w:rPr>
                <w:rFonts w:ascii="Arial" w:eastAsia="Arial" w:hAnsi="Arial" w:cs="Arial"/>
                <w:sz w:val="13"/>
                <w:szCs w:val="13"/>
              </w:rPr>
              <w:t>2.2.1.4.922</w:t>
            </w:r>
          </w:p>
        </w:tc>
        <w:tc>
          <w:tcPr>
            <w:tcW w:w="4301" w:type="dxa"/>
            <w:tcBorders>
              <w:top w:val="single" w:sz="4" w:space="0" w:color="auto"/>
              <w:left w:val="single" w:sz="4" w:space="0" w:color="auto"/>
              <w:bottom w:val="single" w:sz="4" w:space="0" w:color="auto"/>
            </w:tcBorders>
            <w:shd w:val="clear" w:color="auto" w:fill="auto"/>
            <w:vAlign w:val="bottom"/>
          </w:tcPr>
          <w:p w14:paraId="72360BAB" w14:textId="77777777" w:rsidR="00EC1C40" w:rsidRDefault="00000000">
            <w:pPr>
              <w:pStyle w:val="Jin0"/>
              <w:framePr w:w="10272" w:h="14573" w:wrap="none" w:vAnchor="page" w:hAnchor="page" w:x="831" w:y="1565"/>
              <w:spacing w:after="0"/>
              <w:ind w:firstLine="200"/>
              <w:rPr>
                <w:sz w:val="13"/>
                <w:szCs w:val="13"/>
              </w:rPr>
            </w:pPr>
            <w:r>
              <w:rPr>
                <w:rFonts w:ascii="Arial" w:eastAsia="Arial" w:hAnsi="Arial" w:cs="Arial"/>
                <w:sz w:val="13"/>
                <w:szCs w:val="13"/>
              </w:rPr>
              <w:t>SO.922 Dočasná kanalizační přípojka zařízení staveniště</w:t>
            </w:r>
          </w:p>
        </w:tc>
        <w:tc>
          <w:tcPr>
            <w:tcW w:w="720" w:type="dxa"/>
            <w:tcBorders>
              <w:top w:val="single" w:sz="4" w:space="0" w:color="auto"/>
              <w:left w:val="single" w:sz="4" w:space="0" w:color="auto"/>
              <w:bottom w:val="single" w:sz="4" w:space="0" w:color="auto"/>
            </w:tcBorders>
            <w:shd w:val="clear" w:color="auto" w:fill="auto"/>
          </w:tcPr>
          <w:p w14:paraId="1E6AA2C6" w14:textId="77777777" w:rsidR="00EC1C40" w:rsidRDefault="00EC1C40">
            <w:pPr>
              <w:framePr w:w="10272" w:h="14573" w:wrap="none" w:vAnchor="page" w:hAnchor="page" w:x="831" w:y="1565"/>
              <w:rPr>
                <w:sz w:val="10"/>
                <w:szCs w:val="10"/>
              </w:rPr>
            </w:pPr>
          </w:p>
        </w:tc>
        <w:tc>
          <w:tcPr>
            <w:tcW w:w="715" w:type="dxa"/>
            <w:tcBorders>
              <w:top w:val="single" w:sz="4" w:space="0" w:color="auto"/>
              <w:left w:val="single" w:sz="4" w:space="0" w:color="auto"/>
              <w:bottom w:val="single" w:sz="4" w:space="0" w:color="auto"/>
            </w:tcBorders>
            <w:shd w:val="clear" w:color="auto" w:fill="auto"/>
          </w:tcPr>
          <w:p w14:paraId="7BF33EF2" w14:textId="77777777" w:rsidR="00EC1C40" w:rsidRDefault="00EC1C40">
            <w:pPr>
              <w:framePr w:w="10272" w:h="14573" w:wrap="none" w:vAnchor="page" w:hAnchor="page" w:x="831" w:y="1565"/>
              <w:rPr>
                <w:sz w:val="10"/>
                <w:szCs w:val="10"/>
              </w:rPr>
            </w:pPr>
          </w:p>
        </w:tc>
        <w:tc>
          <w:tcPr>
            <w:tcW w:w="3451" w:type="dxa"/>
            <w:tcBorders>
              <w:top w:val="single" w:sz="4" w:space="0" w:color="auto"/>
              <w:left w:val="single" w:sz="4" w:space="0" w:color="auto"/>
              <w:bottom w:val="single" w:sz="4" w:space="0" w:color="auto"/>
              <w:right w:val="single" w:sz="4" w:space="0" w:color="auto"/>
            </w:tcBorders>
            <w:shd w:val="clear" w:color="auto" w:fill="auto"/>
          </w:tcPr>
          <w:p w14:paraId="3DC2D2E2" w14:textId="77777777" w:rsidR="00EC1C40" w:rsidRDefault="00EC1C40">
            <w:pPr>
              <w:framePr w:w="10272" w:h="14573" w:wrap="none" w:vAnchor="page" w:hAnchor="page" w:x="831" w:y="1565"/>
              <w:rPr>
                <w:sz w:val="10"/>
                <w:szCs w:val="10"/>
              </w:rPr>
            </w:pPr>
          </w:p>
        </w:tc>
      </w:tr>
    </w:tbl>
    <w:p w14:paraId="6B8DC9A2"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397D460F" w14:textId="77777777" w:rsidR="00EC1C40" w:rsidRDefault="00EC1C40">
      <w:pPr>
        <w:spacing w:line="1" w:lineRule="exact"/>
      </w:pPr>
    </w:p>
    <w:p w14:paraId="15F5912F" w14:textId="77777777" w:rsidR="00EC1C40" w:rsidRDefault="00000000">
      <w:pPr>
        <w:pStyle w:val="Zkladntext80"/>
        <w:framePr w:w="10272" w:h="638" w:hRule="exact" w:wrap="none" w:vAnchor="page" w:hAnchor="page" w:x="831" w:y="5079"/>
        <w:rPr>
          <w:sz w:val="50"/>
          <w:szCs w:val="50"/>
        </w:rPr>
      </w:pPr>
      <w:r>
        <w:t>Příloh</w:t>
      </w:r>
      <w:r>
        <w:rPr>
          <w:rFonts w:ascii="Calibri" w:eastAsia="Calibri" w:hAnsi="Calibri" w:cs="Calibri"/>
          <w:b/>
          <w:bCs/>
          <w:smallCaps/>
          <w:sz w:val="50"/>
          <w:szCs w:val="50"/>
        </w:rPr>
        <w:t>a</w:t>
      </w:r>
      <w:r>
        <w:t xml:space="preserve"> č. </w:t>
      </w:r>
      <w:r>
        <w:rPr>
          <w:rFonts w:ascii="Calibri" w:eastAsia="Calibri" w:hAnsi="Calibri" w:cs="Calibri"/>
          <w:b/>
          <w:bCs/>
          <w:smallCaps/>
          <w:sz w:val="50"/>
          <w:szCs w:val="50"/>
        </w:rPr>
        <w:t>19</w:t>
      </w:r>
    </w:p>
    <w:p w14:paraId="08CF627D"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1702018C" w14:textId="77777777" w:rsidR="00EC1C40" w:rsidRDefault="00EC1C40">
      <w:pPr>
        <w:spacing w:line="1" w:lineRule="exact"/>
      </w:pPr>
    </w:p>
    <w:p w14:paraId="43020AD0" w14:textId="77777777" w:rsidR="00EC1C40" w:rsidRDefault="00000000">
      <w:pPr>
        <w:pStyle w:val="Titulekobrzku0"/>
        <w:framePr w:wrap="none" w:vAnchor="page" w:hAnchor="page" w:x="10887" w:y="4910"/>
        <w:jc w:val="both"/>
      </w:pPr>
      <w:r>
        <w:rPr>
          <w:b w:val="0"/>
          <w:bCs w:val="0"/>
          <w:color w:val="010102"/>
        </w:rPr>
        <w:t>komunikace města</w:t>
      </w:r>
    </w:p>
    <w:p w14:paraId="406594D2" w14:textId="77777777" w:rsidR="00EC1C40" w:rsidRDefault="00000000">
      <w:pPr>
        <w:pStyle w:val="Titulekobrzku0"/>
        <w:framePr w:wrap="none" w:vAnchor="page" w:hAnchor="page" w:x="10882" w:y="5030"/>
        <w:jc w:val="both"/>
      </w:pPr>
      <w:r>
        <w:rPr>
          <w:b w:val="0"/>
          <w:bCs w:val="0"/>
          <w:color w:val="010102"/>
        </w:rPr>
        <w:t>areál MHAP</w:t>
      </w:r>
    </w:p>
    <w:p w14:paraId="140B0C2A" w14:textId="77777777" w:rsidR="00EC1C40" w:rsidRDefault="00000000">
      <w:pPr>
        <w:pStyle w:val="Titulekobrzku0"/>
        <w:framePr w:wrap="none" w:vAnchor="page" w:hAnchor="page" w:x="10887" w:y="5154"/>
      </w:pPr>
      <w:r>
        <w:rPr>
          <w:b w:val="0"/>
          <w:bCs w:val="0"/>
          <w:color w:val="010102"/>
        </w:rPr>
        <w:t>platforma MHAP</w:t>
      </w:r>
    </w:p>
    <w:p w14:paraId="06DE72DD" w14:textId="77777777" w:rsidR="00EC1C40" w:rsidRDefault="00000000">
      <w:pPr>
        <w:pStyle w:val="Titulekobrzku0"/>
        <w:framePr w:wrap="none" w:vAnchor="page" w:hAnchor="page" w:x="3711" w:y="5366"/>
      </w:pPr>
      <w:r>
        <w:rPr>
          <w:b w:val="0"/>
          <w:bCs w:val="0"/>
          <w:color w:val="010102"/>
        </w:rPr>
        <w:t>průjezd</w:t>
      </w:r>
    </w:p>
    <w:p w14:paraId="1EE94654" w14:textId="77777777" w:rsidR="00EC1C40" w:rsidRDefault="00000000">
      <w:pPr>
        <w:pStyle w:val="Titulekobrzku0"/>
        <w:framePr w:wrap="none" w:vAnchor="page" w:hAnchor="page" w:x="7129" w:y="6124"/>
        <w:jc w:val="both"/>
      </w:pPr>
      <w:r>
        <w:rPr>
          <w:b w:val="0"/>
          <w:bCs w:val="0"/>
          <w:color w:val="010102"/>
        </w:rPr>
        <w:t>P kamiony</w:t>
      </w:r>
    </w:p>
    <w:p w14:paraId="763BC746" w14:textId="77777777" w:rsidR="00EC1C40" w:rsidRDefault="00000000">
      <w:pPr>
        <w:pStyle w:val="Titulekobrzku0"/>
        <w:framePr w:wrap="none" w:vAnchor="page" w:hAnchor="page" w:x="7508" w:y="6657"/>
        <w:jc w:val="both"/>
      </w:pPr>
      <w:r>
        <w:rPr>
          <w:b w:val="0"/>
          <w:bCs w:val="0"/>
          <w:color w:val="010102"/>
        </w:rPr>
        <w:t>trafostanice</w:t>
      </w:r>
    </w:p>
    <w:p w14:paraId="6E58C28F" w14:textId="77777777" w:rsidR="00EC1C40" w:rsidRDefault="00000000">
      <w:pPr>
        <w:pStyle w:val="Titulekobrzku0"/>
        <w:framePr w:wrap="none" w:vAnchor="page" w:hAnchor="page" w:x="9231" w:y="7799"/>
        <w:jc w:val="both"/>
      </w:pPr>
      <w:r>
        <w:rPr>
          <w:b w:val="0"/>
          <w:bCs w:val="0"/>
          <w:color w:val="010102"/>
        </w:rPr>
        <w:t>louka</w:t>
      </w:r>
    </w:p>
    <w:p w14:paraId="5E2CEB26" w14:textId="77777777" w:rsidR="00EC1C40" w:rsidRDefault="00000000">
      <w:pPr>
        <w:pStyle w:val="Titulekobrzku0"/>
        <w:framePr w:wrap="none" w:vAnchor="page" w:hAnchor="page" w:x="9908" w:y="8039"/>
        <w:jc w:val="both"/>
      </w:pPr>
      <w:proofErr w:type="spellStart"/>
      <w:r>
        <w:rPr>
          <w:b w:val="0"/>
          <w:bCs w:val="0"/>
          <w:color w:val="918F90"/>
        </w:rPr>
        <w:t>IM</w:t>
      </w:r>
      <w:r>
        <w:rPr>
          <w:b w:val="0"/>
          <w:bCs w:val="0"/>
          <w:color w:val="010102"/>
        </w:rPr>
        <w:t>objek</w:t>
      </w:r>
      <w:proofErr w:type="spellEnd"/>
    </w:p>
    <w:p w14:paraId="7C45ECBD" w14:textId="77777777" w:rsidR="00EC1C40" w:rsidRDefault="00000000">
      <w:pPr>
        <w:pStyle w:val="Titulekobrzku0"/>
        <w:framePr w:wrap="none" w:vAnchor="page" w:hAnchor="page" w:x="8401" w:y="8807"/>
        <w:jc w:val="both"/>
      </w:pPr>
      <w:r>
        <w:rPr>
          <w:b w:val="0"/>
          <w:bCs w:val="0"/>
        </w:rPr>
        <w:t xml:space="preserve">| </w:t>
      </w:r>
      <w:r>
        <w:rPr>
          <w:b w:val="0"/>
          <w:bCs w:val="0"/>
          <w:color w:val="010102"/>
        </w:rPr>
        <w:t>)</w:t>
      </w:r>
      <w:proofErr w:type="spellStart"/>
      <w:r>
        <w:rPr>
          <w:b w:val="0"/>
          <w:bCs w:val="0"/>
          <w:color w:val="010102"/>
          <w:u w:val="single"/>
        </w:rPr>
        <w:t>o</w:t>
      </w:r>
      <w:r>
        <w:rPr>
          <w:b w:val="0"/>
          <w:bCs w:val="0"/>
          <w:u w:val="single"/>
        </w:rPr>
        <w:t>H</w:t>
      </w:r>
      <w:proofErr w:type="spellEnd"/>
    </w:p>
    <w:p w14:paraId="219809FF" w14:textId="77777777" w:rsidR="00EC1C40" w:rsidRDefault="00000000">
      <w:pPr>
        <w:pStyle w:val="Titulekobrzku0"/>
        <w:framePr w:w="228" w:h="341" w:hRule="exact" w:wrap="none" w:vAnchor="page" w:hAnchor="page" w:x="7513" w:y="8838"/>
        <w:jc w:val="right"/>
        <w:rPr>
          <w:sz w:val="26"/>
          <w:szCs w:val="26"/>
        </w:rPr>
      </w:pPr>
      <w:r>
        <w:rPr>
          <w:rFonts w:ascii="Calibri" w:eastAsia="Calibri" w:hAnsi="Calibri" w:cs="Calibri"/>
          <w:color w:val="010102"/>
          <w:w w:val="80"/>
          <w:sz w:val="26"/>
          <w:szCs w:val="26"/>
        </w:rPr>
        <w:t>H</w:t>
      </w:r>
    </w:p>
    <w:p w14:paraId="60C42E83" w14:textId="77777777" w:rsidR="00EC1C40" w:rsidRDefault="00000000">
      <w:pPr>
        <w:pStyle w:val="Titulekobrzku0"/>
        <w:framePr w:wrap="none" w:vAnchor="page" w:hAnchor="page" w:x="4647" w:y="9086"/>
      </w:pPr>
      <w:r>
        <w:rPr>
          <w:b w:val="0"/>
          <w:bCs w:val="0"/>
          <w:color w:val="010102"/>
        </w:rPr>
        <w:t>vlajky</w:t>
      </w:r>
    </w:p>
    <w:p w14:paraId="61393E3D" w14:textId="77777777" w:rsidR="00EC1C40" w:rsidRDefault="00000000">
      <w:pPr>
        <w:pStyle w:val="Titulekobrzku0"/>
        <w:framePr w:wrap="none" w:vAnchor="page" w:hAnchor="page" w:x="5953" w:y="9614"/>
        <w:jc w:val="both"/>
      </w:pPr>
      <w:r>
        <w:rPr>
          <w:b w:val="0"/>
          <w:bCs w:val="0"/>
          <w:color w:val="010102"/>
        </w:rPr>
        <w:t>závora</w:t>
      </w:r>
    </w:p>
    <w:p w14:paraId="6C15A484" w14:textId="77777777" w:rsidR="00EC1C40" w:rsidRDefault="00000000">
      <w:pPr>
        <w:pStyle w:val="Titulekobrzku0"/>
        <w:framePr w:wrap="none" w:vAnchor="page" w:hAnchor="page" w:x="9509" w:y="9671"/>
        <w:jc w:val="both"/>
      </w:pPr>
      <w:r>
        <w:rPr>
          <w:b w:val="0"/>
          <w:bCs w:val="0"/>
          <w:color w:val="010102"/>
        </w:rPr>
        <w:t>louka</w:t>
      </w:r>
    </w:p>
    <w:p w14:paraId="15554D8C" w14:textId="77777777" w:rsidR="00EC1C40" w:rsidRDefault="00000000">
      <w:pPr>
        <w:pStyle w:val="Titulekobrzku0"/>
        <w:framePr w:wrap="none" w:vAnchor="page" w:hAnchor="page" w:x="5626" w:y="10002"/>
        <w:rPr>
          <w:sz w:val="14"/>
          <w:szCs w:val="14"/>
        </w:rPr>
      </w:pPr>
      <w:r>
        <w:rPr>
          <w:b w:val="0"/>
          <w:bCs w:val="0"/>
          <w:color w:val="768355"/>
          <w:sz w:val="14"/>
          <w:szCs w:val="14"/>
          <w:u w:val="single"/>
        </w:rPr>
        <w:t xml:space="preserve">u 11111 11111 </w:t>
      </w:r>
      <w:proofErr w:type="spellStart"/>
      <w:r>
        <w:rPr>
          <w:b w:val="0"/>
          <w:bCs w:val="0"/>
          <w:i/>
          <w:iCs/>
          <w:color w:val="768355"/>
          <w:sz w:val="14"/>
          <w:szCs w:val="14"/>
          <w:u w:val="single"/>
        </w:rPr>
        <w:t>rr</w:t>
      </w:r>
      <w:proofErr w:type="spellEnd"/>
    </w:p>
    <w:p w14:paraId="048CB56D" w14:textId="77777777" w:rsidR="00EC1C40" w:rsidRDefault="00000000">
      <w:pPr>
        <w:pStyle w:val="Titulekobrzku0"/>
        <w:framePr w:wrap="none" w:vAnchor="page" w:hAnchor="page" w:x="1364" w:y="10187"/>
        <w:rPr>
          <w:sz w:val="44"/>
          <w:szCs w:val="44"/>
        </w:rPr>
      </w:pPr>
      <w:r>
        <w:rPr>
          <w:rFonts w:ascii="Calibri" w:eastAsia="Calibri" w:hAnsi="Calibri" w:cs="Calibri"/>
          <w:b w:val="0"/>
          <w:bCs w:val="0"/>
          <w:color w:val="768355"/>
          <w:sz w:val="44"/>
          <w:szCs w:val="44"/>
        </w:rPr>
        <w:t>□ □□</w:t>
      </w:r>
    </w:p>
    <w:p w14:paraId="2518C79A" w14:textId="77777777" w:rsidR="00EC1C40" w:rsidRDefault="00000000">
      <w:pPr>
        <w:pStyle w:val="Titulekobrzku0"/>
        <w:framePr w:wrap="none" w:vAnchor="page" w:hAnchor="page" w:x="8444" w:y="10410"/>
      </w:pPr>
      <w:r>
        <w:rPr>
          <w:b w:val="0"/>
          <w:bCs w:val="0"/>
          <w:color w:val="010102"/>
        </w:rPr>
        <w:t>potok</w:t>
      </w:r>
    </w:p>
    <w:p w14:paraId="42AE30D8" w14:textId="77777777" w:rsidR="00EC1C40" w:rsidRDefault="00000000">
      <w:pPr>
        <w:pStyle w:val="Titulekobrzku0"/>
        <w:framePr w:wrap="none" w:vAnchor="page" w:hAnchor="page" w:x="8213" w:y="10602"/>
      </w:pPr>
      <w:r>
        <w:rPr>
          <w:b w:val="0"/>
          <w:bCs w:val="0"/>
          <w:color w:val="010102"/>
        </w:rPr>
        <w:t>m</w:t>
      </w:r>
    </w:p>
    <w:p w14:paraId="2F949667" w14:textId="77777777" w:rsidR="00EC1C40" w:rsidRDefault="00000000">
      <w:pPr>
        <w:pStyle w:val="Titulekobrzku0"/>
        <w:framePr w:wrap="none" w:vAnchor="page" w:hAnchor="page" w:x="7330" w:y="10722"/>
      </w:pPr>
      <w:r>
        <w:rPr>
          <w:b w:val="0"/>
          <w:bCs w:val="0"/>
          <w:color w:val="010102"/>
        </w:rPr>
        <w:t>zásobován(</w:t>
      </w:r>
    </w:p>
    <w:p w14:paraId="725AAF47" w14:textId="77777777" w:rsidR="00EC1C40" w:rsidRDefault="00000000">
      <w:pPr>
        <w:pStyle w:val="Titulekobrzku0"/>
        <w:framePr w:wrap="none" w:vAnchor="page" w:hAnchor="page" w:x="1186" w:y="10871"/>
        <w:rPr>
          <w:sz w:val="30"/>
          <w:szCs w:val="30"/>
        </w:rPr>
      </w:pPr>
      <w:r>
        <w:rPr>
          <w:b w:val="0"/>
          <w:bCs w:val="0"/>
          <w:color w:val="768355"/>
          <w:sz w:val="30"/>
          <w:szCs w:val="30"/>
        </w:rPr>
        <w:t>□ □ □ □</w:t>
      </w:r>
    </w:p>
    <w:p w14:paraId="1C032A09" w14:textId="77777777" w:rsidR="00EC1C40" w:rsidRDefault="00000000">
      <w:pPr>
        <w:pStyle w:val="Titulekobrzku0"/>
        <w:framePr w:wrap="none" w:vAnchor="page" w:hAnchor="page" w:x="1282" w:y="11596"/>
        <w:rPr>
          <w:sz w:val="30"/>
          <w:szCs w:val="30"/>
        </w:rPr>
      </w:pPr>
      <w:r>
        <w:rPr>
          <w:b w:val="0"/>
          <w:bCs w:val="0"/>
          <w:color w:val="768355"/>
          <w:sz w:val="30"/>
          <w:szCs w:val="30"/>
        </w:rPr>
        <w:t>□ □ □ □</w:t>
      </w:r>
    </w:p>
    <w:p w14:paraId="40705CD5" w14:textId="77777777" w:rsidR="00EC1C40" w:rsidRDefault="00000000">
      <w:pPr>
        <w:pStyle w:val="Titulekobrzku0"/>
        <w:framePr w:w="350" w:h="175" w:hRule="exact" w:wrap="none" w:vAnchor="page" w:hAnchor="page" w:x="7268" w:y="11822"/>
        <w:spacing w:line="170" w:lineRule="auto"/>
      </w:pPr>
      <w:r>
        <w:rPr>
          <w:b w:val="0"/>
          <w:bCs w:val="0"/>
          <w:color w:val="010102"/>
        </w:rPr>
        <w:t>řízená křižovatka</w:t>
      </w:r>
    </w:p>
    <w:p w14:paraId="31A62EBF" w14:textId="77777777" w:rsidR="00EC1C40" w:rsidRDefault="00000000">
      <w:pPr>
        <w:pStyle w:val="Titulekobrzku0"/>
        <w:framePr w:w="350" w:h="173" w:hRule="exact" w:wrap="none" w:vAnchor="page" w:hAnchor="page" w:x="11002" w:y="10012"/>
        <w:spacing w:line="170" w:lineRule="auto"/>
        <w:jc w:val="both"/>
      </w:pPr>
      <w:r>
        <w:rPr>
          <w:b w:val="0"/>
          <w:bCs w:val="0"/>
          <w:color w:val="010102"/>
        </w:rPr>
        <w:t>řízená křižovatka</w:t>
      </w:r>
    </w:p>
    <w:p w14:paraId="4F5C2748" w14:textId="77777777" w:rsidR="00EC1C40" w:rsidRDefault="00000000">
      <w:pPr>
        <w:pStyle w:val="Titulekobrzku0"/>
        <w:framePr w:w="437" w:h="173" w:hRule="exact" w:wrap="none" w:vAnchor="page" w:hAnchor="page" w:x="9140" w:y="8538"/>
        <w:spacing w:line="170" w:lineRule="auto"/>
        <w:jc w:val="both"/>
      </w:pPr>
      <w:r>
        <w:rPr>
          <w:b w:val="0"/>
          <w:bCs w:val="0"/>
          <w:color w:val="010102"/>
        </w:rPr>
        <w:t>vodní plocha 1400 m2</w:t>
      </w:r>
    </w:p>
    <w:p w14:paraId="1D5BE374" w14:textId="77777777" w:rsidR="00EC1C40" w:rsidRDefault="00000000">
      <w:pPr>
        <w:pStyle w:val="Titulekobrzku0"/>
        <w:framePr w:w="377" w:h="168" w:hRule="exact" w:wrap="none" w:vAnchor="page" w:hAnchor="page" w:x="5792" w:y="8711"/>
        <w:spacing w:line="182" w:lineRule="auto"/>
        <w:jc w:val="both"/>
      </w:pPr>
      <w:r>
        <w:rPr>
          <w:b w:val="0"/>
          <w:bCs w:val="0"/>
          <w:color w:val="010102"/>
        </w:rPr>
        <w:t>vstup aréna koncert</w:t>
      </w:r>
    </w:p>
    <w:p w14:paraId="69319B00" w14:textId="77777777" w:rsidR="00EC1C40" w:rsidRDefault="00000000">
      <w:pPr>
        <w:pStyle w:val="Jin0"/>
        <w:framePr w:wrap="none" w:vAnchor="page" w:hAnchor="page" w:x="380" w:y="12407"/>
        <w:spacing w:after="0"/>
        <w:rPr>
          <w:sz w:val="14"/>
          <w:szCs w:val="14"/>
        </w:rPr>
      </w:pPr>
      <w:r>
        <w:rPr>
          <w:rFonts w:ascii="Arial" w:eastAsia="Arial" w:hAnsi="Arial" w:cs="Arial"/>
          <w:b/>
          <w:bCs/>
          <w:sz w:val="14"/>
          <w:szCs w:val="14"/>
        </w:rPr>
        <w:t>SITUACE - KOMUNIKACE</w:t>
      </w:r>
    </w:p>
    <w:p w14:paraId="2F14423E" w14:textId="77777777" w:rsidR="00EC1C40" w:rsidRDefault="00000000">
      <w:pPr>
        <w:pStyle w:val="Zkladntext90"/>
        <w:framePr w:wrap="none" w:vAnchor="page" w:hAnchor="page" w:x="4201" w:y="12407"/>
        <w:jc w:val="both"/>
      </w:pPr>
      <w:r>
        <w:rPr>
          <w:b w:val="0"/>
          <w:bCs w:val="0"/>
          <w:color w:val="010102"/>
        </w:rPr>
        <w:t>měřítko 1 : 1 750</w:t>
      </w:r>
    </w:p>
    <w:p w14:paraId="373E05F0" w14:textId="77777777" w:rsidR="00EC1C40" w:rsidRDefault="00000000">
      <w:pPr>
        <w:pStyle w:val="Zkladntext90"/>
        <w:framePr w:w="394" w:h="264" w:hRule="exact" w:wrap="none" w:vAnchor="page" w:hAnchor="page" w:x="5319" w:y="12297"/>
        <w:spacing w:line="300" w:lineRule="auto"/>
      </w:pPr>
      <w:r>
        <w:rPr>
          <w:b w:val="0"/>
          <w:bCs w:val="0"/>
          <w:color w:val="231E20"/>
        </w:rPr>
        <w:t>DATUM 08/2025</w:t>
      </w:r>
    </w:p>
    <w:p w14:paraId="6176919E" w14:textId="77777777" w:rsidR="00EC1C40" w:rsidRDefault="00000000">
      <w:pPr>
        <w:pStyle w:val="Zkladntext90"/>
        <w:framePr w:w="1114" w:h="322" w:hRule="exact" w:wrap="none" w:vAnchor="page" w:hAnchor="page" w:x="6740" w:y="12297"/>
        <w:spacing w:line="257" w:lineRule="auto"/>
      </w:pPr>
      <w:r>
        <w:rPr>
          <w:b w:val="0"/>
          <w:bCs w:val="0"/>
          <w:color w:val="010102"/>
        </w:rPr>
        <w:t>PROJEKT</w:t>
      </w:r>
    </w:p>
    <w:p w14:paraId="1CBD348A" w14:textId="77777777" w:rsidR="00EC1C40" w:rsidRDefault="00000000">
      <w:pPr>
        <w:pStyle w:val="Zkladntext90"/>
        <w:framePr w:w="1114" w:h="322" w:hRule="exact" w:wrap="none" w:vAnchor="page" w:hAnchor="page" w:x="6740" w:y="12297"/>
        <w:spacing w:line="257" w:lineRule="auto"/>
      </w:pPr>
      <w:r>
        <w:rPr>
          <w:b w:val="0"/>
          <w:bCs w:val="0"/>
          <w:color w:val="231E20"/>
        </w:rPr>
        <w:t>Multifunkční hokejová aréna v Pardubicích</w:t>
      </w:r>
    </w:p>
    <w:p w14:paraId="21955951" w14:textId="77777777" w:rsidR="00EC1C40" w:rsidRDefault="00000000">
      <w:pPr>
        <w:pStyle w:val="Zkladntext90"/>
        <w:framePr w:w="864" w:h="259" w:hRule="exact" w:wrap="none" w:vAnchor="page" w:hAnchor="page" w:x="8381" w:y="12278"/>
      </w:pPr>
      <w:r>
        <w:rPr>
          <w:b w:val="0"/>
          <w:bCs w:val="0"/>
          <w:color w:val="231E20"/>
        </w:rPr>
        <w:t>FÁZE</w:t>
      </w:r>
    </w:p>
    <w:p w14:paraId="79904154" w14:textId="77777777" w:rsidR="00EC1C40" w:rsidRDefault="00000000">
      <w:pPr>
        <w:pStyle w:val="Zkladntext90"/>
        <w:framePr w:w="864" w:h="259" w:hRule="exact" w:wrap="none" w:vAnchor="page" w:hAnchor="page" w:x="8381" w:y="12278"/>
        <w:jc w:val="both"/>
      </w:pPr>
      <w:r>
        <w:rPr>
          <w:b w:val="0"/>
          <w:bCs w:val="0"/>
          <w:color w:val="231E20"/>
        </w:rPr>
        <w:t>dokumentace záměru</w:t>
      </w:r>
    </w:p>
    <w:p w14:paraId="2E27299B" w14:textId="77777777" w:rsidR="00EC1C40" w:rsidRDefault="00000000">
      <w:pPr>
        <w:pStyle w:val="Nadpis20"/>
        <w:framePr w:wrap="none" w:vAnchor="page" w:hAnchor="page" w:x="10733" w:y="12189"/>
      </w:pPr>
      <w:bookmarkStart w:id="147" w:name="bookmark296"/>
      <w:proofErr w:type="spellStart"/>
      <w:r>
        <w:t>ovri</w:t>
      </w:r>
      <w:bookmarkEnd w:id="147"/>
      <w:proofErr w:type="spellEnd"/>
    </w:p>
    <w:p w14:paraId="2F73DCFA" w14:textId="77777777" w:rsidR="00EC1C40" w:rsidRDefault="00000000">
      <w:pPr>
        <w:spacing w:line="1" w:lineRule="exact"/>
        <w:sectPr w:rsidR="00EC1C40">
          <w:pgSz w:w="12148" w:h="17375"/>
          <w:pgMar w:top="360" w:right="360" w:bottom="360" w:left="360" w:header="0" w:footer="3" w:gutter="0"/>
          <w:cols w:space="720"/>
          <w:noEndnote/>
          <w:docGrid w:linePitch="360"/>
        </w:sectPr>
      </w:pPr>
      <w:r>
        <w:rPr>
          <w:noProof/>
        </w:rPr>
        <w:drawing>
          <wp:anchor distT="0" distB="0" distL="0" distR="0" simplePos="0" relativeHeight="251727360" behindDoc="1" locked="0" layoutInCell="1" allowOverlap="1" wp14:anchorId="02141E50" wp14:editId="58DB883A">
            <wp:simplePos x="0" y="0"/>
            <wp:positionH relativeFrom="page">
              <wp:posOffset>255905</wp:posOffset>
            </wp:positionH>
            <wp:positionV relativeFrom="page">
              <wp:posOffset>3025775</wp:posOffset>
            </wp:positionV>
            <wp:extent cx="7199630" cy="4712335"/>
            <wp:effectExtent l="0" t="0" r="0" b="0"/>
            <wp:wrapNone/>
            <wp:docPr id="191" name="Shape 191"/>
            <wp:cNvGraphicFramePr/>
            <a:graphic xmlns:a="http://schemas.openxmlformats.org/drawingml/2006/main">
              <a:graphicData uri="http://schemas.openxmlformats.org/drawingml/2006/picture">
                <pic:pic xmlns:pic="http://schemas.openxmlformats.org/drawingml/2006/picture">
                  <pic:nvPicPr>
                    <pic:cNvPr id="192" name="Picture box 192"/>
                    <pic:cNvPicPr/>
                  </pic:nvPicPr>
                  <pic:blipFill>
                    <a:blip r:embed="rId59"/>
                    <a:stretch/>
                  </pic:blipFill>
                  <pic:spPr>
                    <a:xfrm>
                      <a:off x="0" y="0"/>
                      <a:ext cx="7199630" cy="4712335"/>
                    </a:xfrm>
                    <a:prstGeom prst="rect">
                      <a:avLst/>
                    </a:prstGeom>
                  </pic:spPr>
                </pic:pic>
              </a:graphicData>
            </a:graphic>
          </wp:anchor>
        </w:drawing>
      </w:r>
    </w:p>
    <w:p w14:paraId="0AF1291B" w14:textId="77777777" w:rsidR="00EC1C40" w:rsidRDefault="00EC1C40">
      <w:pPr>
        <w:spacing w:line="1" w:lineRule="exact"/>
      </w:pPr>
    </w:p>
    <w:p w14:paraId="60C2B2D2" w14:textId="77777777" w:rsidR="00EC1C40" w:rsidRDefault="00000000">
      <w:pPr>
        <w:pStyle w:val="Zkladntext80"/>
        <w:framePr w:w="9134" w:h="638" w:hRule="exact" w:wrap="none" w:vAnchor="page" w:hAnchor="page" w:x="1513" w:y="5079"/>
        <w:rPr>
          <w:sz w:val="50"/>
          <w:szCs w:val="50"/>
        </w:rPr>
      </w:pPr>
      <w:r>
        <w:t>Příloh</w:t>
      </w:r>
      <w:r>
        <w:rPr>
          <w:rFonts w:ascii="Calibri" w:eastAsia="Calibri" w:hAnsi="Calibri" w:cs="Calibri"/>
          <w:b/>
          <w:bCs/>
          <w:smallCaps/>
          <w:sz w:val="50"/>
          <w:szCs w:val="50"/>
        </w:rPr>
        <w:t>a</w:t>
      </w:r>
      <w:r>
        <w:t xml:space="preserve"> č. </w:t>
      </w:r>
      <w:r>
        <w:rPr>
          <w:rFonts w:ascii="Calibri" w:eastAsia="Calibri" w:hAnsi="Calibri" w:cs="Calibri"/>
          <w:b/>
          <w:bCs/>
          <w:smallCaps/>
          <w:sz w:val="50"/>
          <w:szCs w:val="50"/>
        </w:rPr>
        <w:t>20</w:t>
      </w:r>
    </w:p>
    <w:p w14:paraId="2852FD1B"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12C4ADFB" w14:textId="77777777" w:rsidR="00EC1C40" w:rsidRDefault="00EC1C40">
      <w:pPr>
        <w:spacing w:line="1" w:lineRule="exact"/>
      </w:pPr>
    </w:p>
    <w:p w14:paraId="1E53405D" w14:textId="77777777" w:rsidR="00EC1C40" w:rsidRDefault="00000000">
      <w:pPr>
        <w:pStyle w:val="Zhlavnebozpat0"/>
        <w:framePr w:wrap="none" w:vAnchor="page" w:hAnchor="page" w:x="8054" w:y="1012"/>
        <w:rPr>
          <w:sz w:val="17"/>
          <w:szCs w:val="17"/>
        </w:rPr>
      </w:pPr>
      <w:r>
        <w:rPr>
          <w:rFonts w:ascii="Arial" w:eastAsia="Arial" w:hAnsi="Arial" w:cs="Arial"/>
          <w:sz w:val="17"/>
          <w:szCs w:val="17"/>
          <w:u w:val="single"/>
        </w:rPr>
        <w:t>Příloha č. 20</w:t>
      </w:r>
      <w:r>
        <w:rPr>
          <w:rFonts w:ascii="Arial" w:eastAsia="Arial" w:hAnsi="Arial" w:cs="Arial"/>
          <w:sz w:val="17"/>
          <w:szCs w:val="17"/>
        </w:rPr>
        <w:t xml:space="preserve"> Plánovací smlouvy</w:t>
      </w:r>
    </w:p>
    <w:p w14:paraId="7AD902E1" w14:textId="77777777" w:rsidR="00EC1C40" w:rsidRDefault="00000000">
      <w:pPr>
        <w:pStyle w:val="Nadpis30"/>
        <w:framePr w:w="9134" w:h="13920" w:hRule="exact" w:wrap="none" w:vAnchor="page" w:hAnchor="page" w:x="1512" w:y="1684"/>
        <w:spacing w:after="100" w:line="240" w:lineRule="auto"/>
      </w:pPr>
      <w:bookmarkStart w:id="148" w:name="bookmark298"/>
      <w:r>
        <w:t>Dohoda o mlčenlivosti</w:t>
      </w:r>
      <w:bookmarkEnd w:id="148"/>
    </w:p>
    <w:p w14:paraId="72505C6F" w14:textId="77777777" w:rsidR="00EC1C40" w:rsidRDefault="00000000">
      <w:pPr>
        <w:pStyle w:val="Zkladntext100"/>
        <w:framePr w:w="9134" w:h="13920" w:hRule="exact" w:wrap="none" w:vAnchor="page" w:hAnchor="page" w:x="1512" w:y="1684"/>
        <w:spacing w:after="100"/>
        <w:ind w:left="0" w:firstLine="0"/>
        <w:jc w:val="both"/>
      </w:pPr>
      <w:r>
        <w:rPr>
          <w:b/>
          <w:bCs/>
        </w:rPr>
        <w:t>Tuto dohodu o mlčenlivosti uzavírají v souladu s příslušnými ustanoveními zákona č. 89/2012 Sb., občanský zákoník, ve znění pozdějších předpisů (dále jen „Občanský zákoník“ ), níže uvedeného dne, měsíce a roku následující smluvní strany (dále jen „Dohoda“):</w:t>
      </w:r>
    </w:p>
    <w:p w14:paraId="0FF70158" w14:textId="77777777" w:rsidR="00EC1C40" w:rsidRDefault="00000000">
      <w:pPr>
        <w:pStyle w:val="Zkladntext100"/>
        <w:framePr w:w="9134" w:h="13920" w:hRule="exact" w:wrap="none" w:vAnchor="page" w:hAnchor="page" w:x="1512" w:y="1684"/>
        <w:numPr>
          <w:ilvl w:val="0"/>
          <w:numId w:val="107"/>
        </w:numPr>
        <w:tabs>
          <w:tab w:val="left" w:pos="562"/>
        </w:tabs>
        <w:spacing w:after="100"/>
        <w:ind w:left="580" w:hanging="580"/>
        <w:jc w:val="both"/>
      </w:pPr>
      <w:r>
        <w:rPr>
          <w:b/>
          <w:bCs/>
        </w:rPr>
        <w:t>MHAP s.r.o.</w:t>
      </w:r>
      <w:r>
        <w:t xml:space="preserve">, IČ: 175 44 611, se sídlem Olbrachtova 1980/5, Krč, 140 00 Praha 4, zapsaná v obchodním rejstříku vedeném Městským soudem v Praze pod </w:t>
      </w:r>
      <w:proofErr w:type="spellStart"/>
      <w:r>
        <w:t>sp</w:t>
      </w:r>
      <w:proofErr w:type="spellEnd"/>
      <w:r>
        <w:t>. zn. C 372943, zastoupená panem Petrem Dědkem, jednatelem</w:t>
      </w:r>
    </w:p>
    <w:p w14:paraId="11FB398E" w14:textId="77777777" w:rsidR="00EC1C40" w:rsidRDefault="00000000">
      <w:pPr>
        <w:pStyle w:val="Zkladntext100"/>
        <w:framePr w:w="9134" w:h="13920" w:hRule="exact" w:wrap="none" w:vAnchor="page" w:hAnchor="page" w:x="1512" w:y="1684"/>
        <w:spacing w:after="220"/>
        <w:ind w:left="0" w:firstLine="580"/>
      </w:pPr>
      <w:r>
        <w:t>(dále jen „</w:t>
      </w:r>
      <w:r>
        <w:rPr>
          <w:b/>
          <w:bCs/>
        </w:rPr>
        <w:t>Investor</w:t>
      </w:r>
      <w:r>
        <w:t>“)</w:t>
      </w:r>
    </w:p>
    <w:p w14:paraId="6DDBB2FB" w14:textId="77777777" w:rsidR="00EC1C40" w:rsidRDefault="00000000">
      <w:pPr>
        <w:pStyle w:val="Zkladntext100"/>
        <w:framePr w:w="9134" w:h="13920" w:hRule="exact" w:wrap="none" w:vAnchor="page" w:hAnchor="page" w:x="1512" w:y="1684"/>
        <w:spacing w:after="220"/>
        <w:ind w:left="0" w:firstLine="580"/>
      </w:pPr>
      <w:r>
        <w:t>a</w:t>
      </w:r>
    </w:p>
    <w:p w14:paraId="206E4271" w14:textId="77777777" w:rsidR="00EC1C40" w:rsidRDefault="00000000">
      <w:pPr>
        <w:pStyle w:val="Zkladntext100"/>
        <w:framePr w:w="9134" w:h="13920" w:hRule="exact" w:wrap="none" w:vAnchor="page" w:hAnchor="page" w:x="1512" w:y="1684"/>
        <w:numPr>
          <w:ilvl w:val="0"/>
          <w:numId w:val="107"/>
        </w:numPr>
        <w:tabs>
          <w:tab w:val="left" w:pos="562"/>
          <w:tab w:val="left" w:pos="566"/>
        </w:tabs>
        <w:spacing w:after="100"/>
        <w:ind w:left="0" w:firstLine="0"/>
      </w:pPr>
      <w:r>
        <w:rPr>
          <w:b/>
          <w:bCs/>
        </w:rPr>
        <w:t>[•]</w:t>
      </w:r>
      <w:r>
        <w:t xml:space="preserve">, </w:t>
      </w:r>
      <w:proofErr w:type="spellStart"/>
      <w:r>
        <w:t>nar</w:t>
      </w:r>
      <w:proofErr w:type="spellEnd"/>
      <w:r>
        <w:t>- [•], bytem [•]</w:t>
      </w:r>
    </w:p>
    <w:p w14:paraId="40F7BB3F" w14:textId="77777777" w:rsidR="00EC1C40" w:rsidRDefault="00000000">
      <w:pPr>
        <w:pStyle w:val="Zkladntext100"/>
        <w:framePr w:w="9134" w:h="13920" w:hRule="exact" w:wrap="none" w:vAnchor="page" w:hAnchor="page" w:x="1512" w:y="1684"/>
        <w:spacing w:after="140"/>
        <w:ind w:left="0" w:firstLine="580"/>
      </w:pPr>
      <w:r>
        <w:t>(dále jen „</w:t>
      </w:r>
      <w:r>
        <w:rPr>
          <w:b/>
          <w:bCs/>
        </w:rPr>
        <w:t>Kontrolující osoba</w:t>
      </w:r>
      <w:r>
        <w:t>“)</w:t>
      </w:r>
    </w:p>
    <w:p w14:paraId="7AD743B0" w14:textId="77777777" w:rsidR="00EC1C40" w:rsidRDefault="00000000">
      <w:pPr>
        <w:pStyle w:val="Zkladntext100"/>
        <w:framePr w:w="9134" w:h="13920" w:hRule="exact" w:wrap="none" w:vAnchor="page" w:hAnchor="page" w:x="1512" w:y="1684"/>
        <w:spacing w:after="100"/>
        <w:ind w:left="580" w:firstLine="0"/>
        <w:jc w:val="both"/>
      </w:pPr>
      <w:r>
        <w:t>(Investor a Kontrolující osoba dále společně jako „</w:t>
      </w:r>
      <w:r>
        <w:rPr>
          <w:b/>
          <w:bCs/>
        </w:rPr>
        <w:t>Smluvní strany</w:t>
      </w:r>
      <w:r>
        <w:t>“ a jednotlivě jen „</w:t>
      </w:r>
      <w:r>
        <w:rPr>
          <w:b/>
          <w:bCs/>
        </w:rPr>
        <w:t>Smluvní strana</w:t>
      </w:r>
      <w:r>
        <w:t>“).</w:t>
      </w:r>
    </w:p>
    <w:p w14:paraId="2F4CB50B" w14:textId="77777777" w:rsidR="00EC1C40" w:rsidRDefault="00000000">
      <w:pPr>
        <w:pStyle w:val="Nadpis60"/>
        <w:framePr w:w="9134" w:h="13920" w:hRule="exact" w:wrap="none" w:vAnchor="page" w:hAnchor="page" w:x="1512" w:y="1684"/>
      </w:pPr>
      <w:bookmarkStart w:id="149" w:name="bookmark300"/>
      <w:r>
        <w:t>VZHLEDEM K TOMU, ŽE:</w:t>
      </w:r>
      <w:bookmarkEnd w:id="149"/>
    </w:p>
    <w:p w14:paraId="2CCA3573" w14:textId="77777777" w:rsidR="00EC1C40" w:rsidRDefault="00000000">
      <w:pPr>
        <w:pStyle w:val="Zkladntext100"/>
        <w:framePr w:w="9134" w:h="13920" w:hRule="exact" w:wrap="none" w:vAnchor="page" w:hAnchor="page" w:x="1512" w:y="1684"/>
        <w:numPr>
          <w:ilvl w:val="0"/>
          <w:numId w:val="108"/>
        </w:numPr>
        <w:tabs>
          <w:tab w:val="left" w:pos="562"/>
        </w:tabs>
        <w:spacing w:after="100"/>
        <w:ind w:left="580" w:hanging="580"/>
        <w:jc w:val="both"/>
      </w:pPr>
      <w:r>
        <w:t>Investor a Statutární město Pardubice, IČ: 002 74 046, se sídlem Pernštýnské náměstí č.p. 1, 530 21 Pardubice (dále jen „</w:t>
      </w:r>
      <w:r>
        <w:rPr>
          <w:b/>
          <w:bCs/>
        </w:rPr>
        <w:t>SMP</w:t>
      </w:r>
      <w:r>
        <w:t>“), uzavřeli dne [•] plánovací smlouvu (dále jen „</w:t>
      </w:r>
      <w:r>
        <w:rPr>
          <w:b/>
          <w:bCs/>
        </w:rPr>
        <w:t>Plánovací smlouva</w:t>
      </w:r>
      <w:r>
        <w:t xml:space="preserve">“), jejímž předmětem je spolupráce Investora a SMP při realizaci Investičního záměru </w:t>
      </w:r>
      <w:r>
        <w:rPr>
          <w:i/>
          <w:iCs/>
        </w:rPr>
        <w:t>(jak je tento pojem definován v Plánovací smlouvě)</w:t>
      </w:r>
      <w:r>
        <w:t>;</w:t>
      </w:r>
    </w:p>
    <w:p w14:paraId="64713712" w14:textId="77777777" w:rsidR="00EC1C40" w:rsidRDefault="00000000">
      <w:pPr>
        <w:pStyle w:val="Zkladntext100"/>
        <w:framePr w:w="9134" w:h="13920" w:hRule="exact" w:wrap="none" w:vAnchor="page" w:hAnchor="page" w:x="1512" w:y="1684"/>
        <w:numPr>
          <w:ilvl w:val="0"/>
          <w:numId w:val="108"/>
        </w:numPr>
        <w:tabs>
          <w:tab w:val="left" w:pos="562"/>
        </w:tabs>
        <w:spacing w:after="100"/>
        <w:ind w:left="580" w:hanging="580"/>
        <w:jc w:val="both"/>
      </w:pPr>
      <w:r>
        <w:t>SMP si v rámci Plánovací smlouvy vyhradilo možnost kontrolovat realizaci Investičního záměru, a to výhradně v rozsahu a za podmínek stanovených v Plánovací smlouvě, přičemž jednou z podmínek pro umožnění této kontroly je i uzavření této Dohody mezi Investorem a Kontrolující osobou;</w:t>
      </w:r>
    </w:p>
    <w:p w14:paraId="665A9384" w14:textId="77777777" w:rsidR="00EC1C40" w:rsidRDefault="00000000">
      <w:pPr>
        <w:pStyle w:val="Zkladntext100"/>
        <w:framePr w:w="9134" w:h="13920" w:hRule="exact" w:wrap="none" w:vAnchor="page" w:hAnchor="page" w:x="1512" w:y="1684"/>
        <w:numPr>
          <w:ilvl w:val="0"/>
          <w:numId w:val="108"/>
        </w:numPr>
        <w:tabs>
          <w:tab w:val="left" w:pos="562"/>
        </w:tabs>
        <w:spacing w:after="100"/>
        <w:ind w:left="0" w:firstLine="0"/>
      </w:pPr>
      <w:r>
        <w:t>Tato Dohoda je uzavírána v souladu s čl. 4.8. a čl. 7.14. Plánovací smlouvy;</w:t>
      </w:r>
    </w:p>
    <w:p w14:paraId="3BDA10F6" w14:textId="77777777" w:rsidR="00EC1C40" w:rsidRDefault="00000000">
      <w:pPr>
        <w:pStyle w:val="Zkladntext100"/>
        <w:framePr w:w="9134" w:h="13920" w:hRule="exact" w:wrap="none" w:vAnchor="page" w:hAnchor="page" w:x="1512" w:y="1684"/>
        <w:spacing w:after="100"/>
        <w:ind w:left="0" w:firstLine="0"/>
      </w:pPr>
      <w:r>
        <w:rPr>
          <w:b/>
          <w:bCs/>
        </w:rPr>
        <w:t>SE SMLUVNÍ STRANY DOHODLY NÁSLEDOVNĚ:</w:t>
      </w:r>
    </w:p>
    <w:p w14:paraId="37C97752" w14:textId="77777777" w:rsidR="00EC1C40" w:rsidRDefault="00000000">
      <w:pPr>
        <w:pStyle w:val="Nadpis60"/>
        <w:framePr w:w="9134" w:h="13920" w:hRule="exact" w:wrap="none" w:vAnchor="page" w:hAnchor="page" w:x="1512" w:y="1684"/>
        <w:numPr>
          <w:ilvl w:val="0"/>
          <w:numId w:val="109"/>
        </w:numPr>
        <w:tabs>
          <w:tab w:val="left" w:pos="562"/>
        </w:tabs>
      </w:pPr>
      <w:bookmarkStart w:id="150" w:name="bookmark302"/>
      <w:r>
        <w:t>Účel Dohody</w:t>
      </w:r>
      <w:bookmarkEnd w:id="150"/>
    </w:p>
    <w:p w14:paraId="46F36958" w14:textId="77777777" w:rsidR="00EC1C40" w:rsidRDefault="00000000">
      <w:pPr>
        <w:pStyle w:val="Zkladntext100"/>
        <w:framePr w:w="9134" w:h="13920" w:hRule="exact" w:wrap="none" w:vAnchor="page" w:hAnchor="page" w:x="1512" w:y="1684"/>
        <w:numPr>
          <w:ilvl w:val="1"/>
          <w:numId w:val="109"/>
        </w:numPr>
        <w:tabs>
          <w:tab w:val="left" w:pos="562"/>
        </w:tabs>
        <w:spacing w:after="100"/>
        <w:ind w:left="580" w:hanging="580"/>
        <w:jc w:val="both"/>
      </w:pPr>
      <w:r>
        <w:t xml:space="preserve">Účelem této Dohody je chránit důvěrné informace Investora a jiné oprávněné zájmy Investora, zejména týkající se výstavby Investičního záměru, ke kterým získá Kontrolující osoba přístup v souvislosti s kontrolou plnění podmínek stanovených Plánovací smlouvou pro realizaci Investičního záměru, Související infrastruktury a Nepeněžního plnění </w:t>
      </w:r>
      <w:r>
        <w:rPr>
          <w:i/>
          <w:iCs/>
        </w:rPr>
        <w:t>(jak jsou tyto pojmy blíže definovány v Plánovací smlouvě)</w:t>
      </w:r>
      <w:r>
        <w:t xml:space="preserve"> (dále jen „</w:t>
      </w:r>
      <w:r>
        <w:rPr>
          <w:b/>
          <w:bCs/>
        </w:rPr>
        <w:t>Kontrola</w:t>
      </w:r>
      <w:r>
        <w:t>“).</w:t>
      </w:r>
    </w:p>
    <w:p w14:paraId="031D25AC" w14:textId="77777777" w:rsidR="00EC1C40" w:rsidRDefault="00000000">
      <w:pPr>
        <w:pStyle w:val="Nadpis60"/>
        <w:framePr w:w="9134" w:h="13920" w:hRule="exact" w:wrap="none" w:vAnchor="page" w:hAnchor="page" w:x="1512" w:y="1684"/>
        <w:numPr>
          <w:ilvl w:val="0"/>
          <w:numId w:val="109"/>
        </w:numPr>
        <w:tabs>
          <w:tab w:val="left" w:pos="562"/>
        </w:tabs>
      </w:pPr>
      <w:bookmarkStart w:id="151" w:name="bookmark304"/>
      <w:r>
        <w:t>Důvěrné informace</w:t>
      </w:r>
      <w:bookmarkEnd w:id="151"/>
    </w:p>
    <w:p w14:paraId="103ADCA7" w14:textId="77777777" w:rsidR="00EC1C40" w:rsidRDefault="00000000">
      <w:pPr>
        <w:pStyle w:val="Zkladntext100"/>
        <w:framePr w:w="9134" w:h="13920" w:hRule="exact" w:wrap="none" w:vAnchor="page" w:hAnchor="page" w:x="1512" w:y="1684"/>
        <w:numPr>
          <w:ilvl w:val="1"/>
          <w:numId w:val="109"/>
        </w:numPr>
        <w:tabs>
          <w:tab w:val="left" w:pos="562"/>
        </w:tabs>
        <w:spacing w:after="100"/>
        <w:ind w:left="580" w:hanging="580"/>
        <w:jc w:val="both"/>
      </w:pPr>
      <w:r>
        <w:t xml:space="preserve">Za důvěrné informace se pro účely této Dohody považují veškeré informace, skutečnosti a podklady (v jakékoli formě), které nejsou běžně veřejně dostupné a se kterými se Kontrolující osoba seznámí či které obdrží či ke kterým získá přístup v souvislosti s výkonem práv dle této Dohody, zejména v souvislosti s Kontrolou, a to včetně jakýchkoli Záznamů </w:t>
      </w:r>
      <w:r>
        <w:rPr>
          <w:i/>
          <w:iCs/>
        </w:rPr>
        <w:t>(jak je tento pojem definován níže)</w:t>
      </w:r>
      <w:r>
        <w:t xml:space="preserve"> (dále jen „</w:t>
      </w:r>
      <w:r>
        <w:rPr>
          <w:b/>
          <w:bCs/>
        </w:rPr>
        <w:t>Důvěrné informace</w:t>
      </w:r>
      <w:r>
        <w:t>“).</w:t>
      </w:r>
    </w:p>
    <w:p w14:paraId="3D2FA9BE" w14:textId="77777777" w:rsidR="00EC1C40" w:rsidRDefault="00000000">
      <w:pPr>
        <w:pStyle w:val="Zkladntext100"/>
        <w:framePr w:w="9134" w:h="13920" w:hRule="exact" w:wrap="none" w:vAnchor="page" w:hAnchor="page" w:x="1512" w:y="1684"/>
        <w:numPr>
          <w:ilvl w:val="1"/>
          <w:numId w:val="109"/>
        </w:numPr>
        <w:tabs>
          <w:tab w:val="left" w:pos="562"/>
        </w:tabs>
        <w:spacing w:after="100"/>
        <w:ind w:left="580" w:hanging="580"/>
        <w:jc w:val="both"/>
      </w:pPr>
      <w:r>
        <w:t>Kontrolující osoba je povinna o Důvěrných informacích zachovávat mlčenlivost a nikomu je nesdělovat, ledaže tato Dohoda stanoví v čl. 3 výslovně jinak.</w:t>
      </w:r>
    </w:p>
    <w:p w14:paraId="688FBBE8" w14:textId="77777777" w:rsidR="00EC1C40" w:rsidRDefault="00000000">
      <w:pPr>
        <w:pStyle w:val="Nadpis60"/>
        <w:framePr w:w="9134" w:h="13920" w:hRule="exact" w:wrap="none" w:vAnchor="page" w:hAnchor="page" w:x="1512" w:y="1684"/>
        <w:numPr>
          <w:ilvl w:val="0"/>
          <w:numId w:val="109"/>
        </w:numPr>
        <w:tabs>
          <w:tab w:val="left" w:pos="562"/>
        </w:tabs>
      </w:pPr>
      <w:bookmarkStart w:id="152" w:name="bookmark306"/>
      <w:r>
        <w:t>Zákaz pořizování Záznamů a proces pořízení Záznamů v rámci Kontroly</w:t>
      </w:r>
      <w:bookmarkEnd w:id="152"/>
    </w:p>
    <w:p w14:paraId="6D28A3F9" w14:textId="77777777" w:rsidR="00EC1C40" w:rsidRDefault="00000000">
      <w:pPr>
        <w:pStyle w:val="Zkladntext100"/>
        <w:framePr w:w="9134" w:h="13920" w:hRule="exact" w:wrap="none" w:vAnchor="page" w:hAnchor="page" w:x="1512" w:y="1684"/>
        <w:numPr>
          <w:ilvl w:val="1"/>
          <w:numId w:val="109"/>
        </w:numPr>
        <w:tabs>
          <w:tab w:val="left" w:pos="562"/>
        </w:tabs>
        <w:spacing w:after="0"/>
        <w:ind w:left="580" w:hanging="580"/>
        <w:jc w:val="both"/>
      </w:pPr>
      <w:r>
        <w:t>Kontrolující osoba se zavazuje, že na staveništi Investičního záměru (dále jen „</w:t>
      </w:r>
      <w:r>
        <w:rPr>
          <w:b/>
          <w:bCs/>
        </w:rPr>
        <w:t>Staveniště</w:t>
      </w:r>
      <w:r>
        <w:t xml:space="preserve">“) nebude, není-li v této Dohodě stanoveno jinak, pořizovat žádné záznamy, a to zejména fotografie, videozáznamy, audionahrávky, </w:t>
      </w:r>
      <w:proofErr w:type="spellStart"/>
      <w:r>
        <w:t>livestreamy</w:t>
      </w:r>
      <w:proofErr w:type="spellEnd"/>
      <w:r>
        <w:t>, kopie dokumentů, výpisky, náčrty či</w:t>
      </w:r>
    </w:p>
    <w:p w14:paraId="4B27687D" w14:textId="77777777" w:rsidR="00EC1C40" w:rsidRDefault="00000000">
      <w:pPr>
        <w:pStyle w:val="Zhlavnebozpat0"/>
        <w:framePr w:wrap="none" w:vAnchor="page" w:hAnchor="page" w:x="5923" w:y="15940"/>
        <w:rPr>
          <w:sz w:val="17"/>
          <w:szCs w:val="17"/>
        </w:rPr>
      </w:pPr>
      <w:r>
        <w:rPr>
          <w:rFonts w:ascii="Arial" w:eastAsia="Arial" w:hAnsi="Arial" w:cs="Arial"/>
          <w:color w:val="231E20"/>
          <w:sz w:val="17"/>
          <w:szCs w:val="17"/>
        </w:rPr>
        <w:t>1/4</w:t>
      </w:r>
    </w:p>
    <w:p w14:paraId="41E065F1"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58B3A2EB" w14:textId="77777777" w:rsidR="00EC1C40" w:rsidRDefault="00EC1C40">
      <w:pPr>
        <w:spacing w:line="1" w:lineRule="exact"/>
      </w:pPr>
    </w:p>
    <w:p w14:paraId="7E7DFF70" w14:textId="77777777" w:rsidR="00EC1C40" w:rsidRDefault="00000000">
      <w:pPr>
        <w:pStyle w:val="Zkladntext100"/>
        <w:framePr w:w="9120" w:h="14016" w:hRule="exact" w:wrap="none" w:vAnchor="page" w:hAnchor="page" w:x="1519" w:y="1684"/>
        <w:spacing w:after="100"/>
        <w:ind w:left="580" w:firstLine="0"/>
        <w:jc w:val="both"/>
      </w:pPr>
      <w:r>
        <w:t>jakékoli jiné zachycení skutečností týkající se staveniště, Investičního záměru a/nebo jakékoli stavební činnosti či osob vyskytujících se na staveništi, včetně záznamů pořízených mobilním telefonem nebo jiným zařízením, a to včetně autonomních systémů (např. drony nebo obdobnými zařízeními) (dále jen „</w:t>
      </w:r>
      <w:r>
        <w:rPr>
          <w:b/>
          <w:bCs/>
        </w:rPr>
        <w:t>Záznamy</w:t>
      </w:r>
      <w:r>
        <w:t>“).</w:t>
      </w:r>
    </w:p>
    <w:p w14:paraId="42BD655F" w14:textId="77777777" w:rsidR="00EC1C40" w:rsidRDefault="00000000">
      <w:pPr>
        <w:pStyle w:val="Zkladntext100"/>
        <w:framePr w:w="9120" w:h="14016" w:hRule="exact" w:wrap="none" w:vAnchor="page" w:hAnchor="page" w:x="1519" w:y="1684"/>
        <w:numPr>
          <w:ilvl w:val="1"/>
          <w:numId w:val="109"/>
        </w:numPr>
        <w:tabs>
          <w:tab w:val="left" w:pos="576"/>
        </w:tabs>
        <w:spacing w:after="100"/>
        <w:ind w:left="580" w:hanging="580"/>
        <w:jc w:val="both"/>
      </w:pPr>
      <w:r>
        <w:t>Kontrolující osoba je povinna před vstupem na Staveniště odevzdat přítomnému zástupci Investora veškerá zařízení, kterými je možné pořizovat Záznamy, zejména, nikoli však výlučně, mobilní telefony, tablety, fotoaparáty, videokamery, notebooky, drony, chytré hodinky, chytré brýle, diktafony, zařízení obsahující mikrofon apod., které má Kontrolující osoba u sebe (dále jen „</w:t>
      </w:r>
      <w:r>
        <w:rPr>
          <w:b/>
          <w:bCs/>
        </w:rPr>
        <w:t>Zařízení</w:t>
      </w:r>
      <w:r>
        <w:t>“). Zařízení budou Kontrolující osobě vrácena po skončení Kontroly při opuštění Staveniště.</w:t>
      </w:r>
    </w:p>
    <w:p w14:paraId="76E6C6C0" w14:textId="77777777" w:rsidR="00EC1C40" w:rsidRDefault="00000000">
      <w:pPr>
        <w:pStyle w:val="Zkladntext100"/>
        <w:framePr w:w="9120" w:h="14016" w:hRule="exact" w:wrap="none" w:vAnchor="page" w:hAnchor="page" w:x="1519" w:y="1684"/>
        <w:numPr>
          <w:ilvl w:val="1"/>
          <w:numId w:val="109"/>
        </w:numPr>
        <w:tabs>
          <w:tab w:val="left" w:pos="576"/>
        </w:tabs>
        <w:spacing w:after="100"/>
        <w:ind w:left="580" w:hanging="580"/>
        <w:jc w:val="both"/>
      </w:pPr>
      <w:r>
        <w:t>Smluvní strany sjednávají následující podmínky pro pořízení Záznamů při provádění Kontroly na Staveništi:</w:t>
      </w:r>
    </w:p>
    <w:p w14:paraId="0E639A68" w14:textId="77777777" w:rsidR="00EC1C40" w:rsidRDefault="00000000">
      <w:pPr>
        <w:pStyle w:val="Zkladntext100"/>
        <w:framePr w:w="9120" w:h="14016" w:hRule="exact" w:wrap="none" w:vAnchor="page" w:hAnchor="page" w:x="1519" w:y="1684"/>
        <w:numPr>
          <w:ilvl w:val="2"/>
          <w:numId w:val="109"/>
        </w:numPr>
        <w:tabs>
          <w:tab w:val="left" w:pos="1295"/>
        </w:tabs>
        <w:spacing w:after="100"/>
        <w:ind w:left="1280" w:hanging="700"/>
        <w:jc w:val="both"/>
      </w:pPr>
      <w:r>
        <w:t>při zahájení Kontroly přítomný zástupce Investora předá Kontrolující osobě jeden (1) fotoaparát nebo jiné záznamové zařízení určené Investorem (dále jen „</w:t>
      </w:r>
      <w:r>
        <w:rPr>
          <w:b/>
          <w:bCs/>
        </w:rPr>
        <w:t>Povolené Zařízení</w:t>
      </w:r>
      <w:r>
        <w:t>“). Pokud Investor nepředá Kontrolující osobě Povolené zařízení, je Kontrolující osoba oprávněna použít po účely pořízení Záznamů své vlastní záznamové zařízení;</w:t>
      </w:r>
    </w:p>
    <w:p w14:paraId="1E273591" w14:textId="77777777" w:rsidR="00EC1C40" w:rsidRDefault="00000000">
      <w:pPr>
        <w:pStyle w:val="Zkladntext100"/>
        <w:framePr w:w="9120" w:h="14016" w:hRule="exact" w:wrap="none" w:vAnchor="page" w:hAnchor="page" w:x="1519" w:y="1684"/>
        <w:numPr>
          <w:ilvl w:val="2"/>
          <w:numId w:val="109"/>
        </w:numPr>
        <w:tabs>
          <w:tab w:val="left" w:pos="1295"/>
        </w:tabs>
        <w:spacing w:after="100"/>
        <w:ind w:left="1280" w:hanging="700"/>
        <w:jc w:val="both"/>
      </w:pPr>
      <w:r>
        <w:t xml:space="preserve">V průběhu provádění Kontroly na Staveništi je Kontrolující osoba povinna obracet se na zástupce Investora a informovat ho o pořízení jakýchkoli Záznamů; Kontrolující osoba může v průběhu Kontroly pořizovat Záznamy prostřednictvím Povoleného zařízení za předpokladu, že jejich pořízení je nezbytně nutné pro účely prováděné Kontroly, a to výhradně v rozsahu týkajícím se dodržení Základních parametrů Investičních záměru, realizace Adaptačních opatření a/nebo realizace Nepeněžního plnění a Související infrastruktury </w:t>
      </w:r>
      <w:r>
        <w:rPr>
          <w:i/>
          <w:iCs/>
        </w:rPr>
        <w:t>(jak jsou tyto pojmy definovány v Plánovací smlouvě)</w:t>
      </w:r>
      <w:r>
        <w:t xml:space="preserve"> a v souvislosti s realizací Nepeněžního plnění provádět kontrolu v rozsahu a za podmínek dle čl. 2.10.5 Dohody o úpravě vztahů </w:t>
      </w:r>
      <w:r>
        <w:rPr>
          <w:i/>
          <w:iCs/>
        </w:rPr>
        <w:t>(jak je tento pojem definován v Plánovací smlouvě)</w:t>
      </w:r>
      <w:r>
        <w:t>, a to vše výhradně prostřednictvím Povoleného zařízení;</w:t>
      </w:r>
    </w:p>
    <w:p w14:paraId="613EAE7A" w14:textId="77777777" w:rsidR="00EC1C40" w:rsidRDefault="00000000">
      <w:pPr>
        <w:pStyle w:val="Zkladntext100"/>
        <w:framePr w:w="9120" w:h="14016" w:hRule="exact" w:wrap="none" w:vAnchor="page" w:hAnchor="page" w:x="1519" w:y="1684"/>
        <w:numPr>
          <w:ilvl w:val="2"/>
          <w:numId w:val="109"/>
        </w:numPr>
        <w:tabs>
          <w:tab w:val="left" w:pos="1295"/>
        </w:tabs>
        <w:spacing w:after="100"/>
        <w:ind w:left="1280" w:hanging="700"/>
        <w:jc w:val="both"/>
      </w:pPr>
      <w:r>
        <w:t>po skončení Kontroly je Kontrolující osoba povinna před opuštěním Staveniště předat Povolené Zařízení zpět přítomnému zástupci Investora;</w:t>
      </w:r>
    </w:p>
    <w:p w14:paraId="3CB85E01" w14:textId="77777777" w:rsidR="00EC1C40" w:rsidRDefault="00000000">
      <w:pPr>
        <w:pStyle w:val="Zkladntext100"/>
        <w:framePr w:w="9120" w:h="14016" w:hRule="exact" w:wrap="none" w:vAnchor="page" w:hAnchor="page" w:x="1519" w:y="1684"/>
        <w:numPr>
          <w:ilvl w:val="2"/>
          <w:numId w:val="109"/>
        </w:numPr>
        <w:tabs>
          <w:tab w:val="left" w:pos="1295"/>
        </w:tabs>
        <w:spacing w:after="100"/>
        <w:ind w:left="1280" w:hanging="700"/>
        <w:jc w:val="both"/>
      </w:pPr>
      <w:r>
        <w:t>Záznamy pořízené Kontrolující osobou prostřednictvím Povoleného Zařízení v průběhu Kontroly budou Investorem řádně zaevidovány, označeny příslušným datem a budou uloženy na předem specifikované úložiště, jehož zřízení zajistí SMP (dále jen „</w:t>
      </w:r>
      <w:r>
        <w:rPr>
          <w:b/>
          <w:bCs/>
        </w:rPr>
        <w:t>Uložiště</w:t>
      </w:r>
      <w:r>
        <w:t>“), a to bez zbytečného odkladu po skončení Kontroly. SMP zpřístupní Uložiště Investorovi a umožní mu nahrávat Záznamy pořízené prostřednictvím Povoleného Zařízení na Uložiště;</w:t>
      </w:r>
    </w:p>
    <w:p w14:paraId="07FB247C" w14:textId="77777777" w:rsidR="00EC1C40" w:rsidRDefault="00000000">
      <w:pPr>
        <w:pStyle w:val="Zkladntext100"/>
        <w:framePr w:w="9120" w:h="14016" w:hRule="exact" w:wrap="none" w:vAnchor="page" w:hAnchor="page" w:x="1519" w:y="1684"/>
        <w:numPr>
          <w:ilvl w:val="2"/>
          <w:numId w:val="109"/>
        </w:numPr>
        <w:tabs>
          <w:tab w:val="left" w:pos="1295"/>
        </w:tabs>
        <w:spacing w:after="0"/>
        <w:ind w:left="1280" w:hanging="700"/>
        <w:jc w:val="both"/>
      </w:pPr>
      <w:r>
        <w:t>Kontrolující osoba se zavazuje zajistit (ve smyslu § 1769 věta druhá Občanského zákoníku), že v rámci SMP budou Záznamy uložené na Uložišti zpřístupněny výhradně (i) členům rady SMP, kteří byli ze strany SMP seznámeni s podmínkami této Dohody a kteří budou dodržovat povinnost mlčenlivosti při nakládání se Záznamy (tj. tyto Záznamy dále nijak nezpřístupní třetím osobám, ani je nepublikují) a další povinnosti dle čl. 7.14 Plánovací smlouvy, a (</w:t>
      </w:r>
      <w:proofErr w:type="spellStart"/>
      <w:r>
        <w:t>ii</w:t>
      </w:r>
      <w:proofErr w:type="spellEnd"/>
      <w:r>
        <w:t>) odborným poradcům SMP, kteří jsou vázáni povinností mlčenlivosti ve stejném či větším rozsahu něž Kontrolující osoba dle této Dohody, a (</w:t>
      </w:r>
      <w:proofErr w:type="spellStart"/>
      <w:r>
        <w:t>iii</w:t>
      </w:r>
      <w:proofErr w:type="spellEnd"/>
      <w:r>
        <w:t xml:space="preserve">) Kontrolující osobě a dalším kontrolujícím osobám SMP, se kterými má Investor uzavřenu stejnou dohodu o mlčenlivosti jako je tato Dohoda, a to výhradně pro účely kontroly dodržení Základních parametrů Investičních záměru, realizace Adaptačních opatření a/nebo realizace Nepeněžního plnění a Související infrastruktury </w:t>
      </w:r>
      <w:r>
        <w:rPr>
          <w:i/>
          <w:iCs/>
        </w:rPr>
        <w:t>(jak jsou tyto pojmy definovány v Plánovací smlouvě)</w:t>
      </w:r>
      <w:r>
        <w:t>. Prokázání splnění podmínek dle bodu (i) Investorovi je podmínkou pro nahrání Záznamů pořízených prostřednictvím Povoleného Zařízení na Uložiště; SMP prokáže splnění tohoto předpokladu předložením podepsaného prohlášení členů rady SMP, kterým členové rady prohlásí, že byli seznámeni a</w:t>
      </w:r>
    </w:p>
    <w:p w14:paraId="48B34D89" w14:textId="77777777" w:rsidR="00EC1C40" w:rsidRDefault="00000000">
      <w:pPr>
        <w:pStyle w:val="Zhlavnebozpat0"/>
        <w:framePr w:wrap="none" w:vAnchor="page" w:hAnchor="page" w:x="5911" w:y="15935"/>
        <w:rPr>
          <w:sz w:val="17"/>
          <w:szCs w:val="17"/>
        </w:rPr>
      </w:pPr>
      <w:r>
        <w:rPr>
          <w:rFonts w:ascii="Arial" w:eastAsia="Arial" w:hAnsi="Arial" w:cs="Arial"/>
          <w:color w:val="231E20"/>
          <w:sz w:val="17"/>
          <w:szCs w:val="17"/>
        </w:rPr>
        <w:t>2/4</w:t>
      </w:r>
    </w:p>
    <w:p w14:paraId="21B26C38"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54EE65F4" w14:textId="77777777" w:rsidR="00EC1C40" w:rsidRDefault="00EC1C40">
      <w:pPr>
        <w:spacing w:line="1" w:lineRule="exact"/>
      </w:pPr>
    </w:p>
    <w:p w14:paraId="58CA11AA" w14:textId="77777777" w:rsidR="00EC1C40" w:rsidRDefault="00000000">
      <w:pPr>
        <w:pStyle w:val="Zkladntext100"/>
        <w:framePr w:w="9120" w:h="13661" w:hRule="exact" w:wrap="none" w:vAnchor="page" w:hAnchor="page" w:x="1519" w:y="1684"/>
        <w:spacing w:after="120"/>
        <w:ind w:left="1280" w:firstLine="0"/>
        <w:jc w:val="both"/>
      </w:pPr>
      <w:r>
        <w:t>podmínkami této Dohody a budou je respektovat. Záznamy nesmí být (ani v rámci SMP) publikovány ve smyslu čl. 4.2 této Dohody.</w:t>
      </w:r>
    </w:p>
    <w:p w14:paraId="5B14804C" w14:textId="77777777" w:rsidR="00EC1C40" w:rsidRDefault="00000000">
      <w:pPr>
        <w:pStyle w:val="Zkladntext100"/>
        <w:framePr w:w="9120" w:h="13661" w:hRule="exact" w:wrap="none" w:vAnchor="page" w:hAnchor="page" w:x="1519" w:y="1684"/>
        <w:numPr>
          <w:ilvl w:val="1"/>
          <w:numId w:val="109"/>
        </w:numPr>
        <w:tabs>
          <w:tab w:val="left" w:pos="567"/>
        </w:tabs>
        <w:spacing w:after="120"/>
        <w:ind w:left="580" w:hanging="580"/>
        <w:jc w:val="both"/>
      </w:pPr>
      <w:r>
        <w:t>V případě porušení podmínek stanovených v této Dohodě ohledně nakládání s Důvěrnými informacemi či Záznamy je Investor oprávněn (i) požadovat vymazání příslušných Záznamů ze Zařízení a Kontrolující osoba je povinna Záznamy v takovém případě okamžitě vymazat ze Zařízení, jakož i (</w:t>
      </w:r>
      <w:proofErr w:type="spellStart"/>
      <w:r>
        <w:t>ii</w:t>
      </w:r>
      <w:proofErr w:type="spellEnd"/>
      <w:r>
        <w:t>) smazat Záznamy uložené na Uložišti.</w:t>
      </w:r>
    </w:p>
    <w:p w14:paraId="3C8ABFC6" w14:textId="77777777" w:rsidR="00EC1C40" w:rsidRDefault="00000000">
      <w:pPr>
        <w:pStyle w:val="Zkladntext100"/>
        <w:framePr w:w="9120" w:h="13661" w:hRule="exact" w:wrap="none" w:vAnchor="page" w:hAnchor="page" w:x="1519" w:y="1684"/>
        <w:numPr>
          <w:ilvl w:val="1"/>
          <w:numId w:val="109"/>
        </w:numPr>
        <w:tabs>
          <w:tab w:val="left" w:pos="567"/>
        </w:tabs>
        <w:spacing w:after="120"/>
        <w:ind w:left="580" w:hanging="580"/>
        <w:jc w:val="both"/>
      </w:pPr>
      <w:r>
        <w:t>Smluvní strany si jsou vědomy, že dle čl. 4.8. a 7.14. Plánovací smlouvy se Kontroly mohou účastnit za SMP též další kontrolující osoby SMP (nad rámec Kontrolující osoby), přičemž s těmito dalšími kontrolujícími osobami SMP bude mít Investor uzavřenu stejnou dohodu o mlčenlivosti, jako je tato Dohoda. Pokud by se Kontroly účastnilo více kontrolujících osob SMP současně, si Smluvní strany potvrzují a sjednávají, že povinnost Investora předat Kontrolující osobě Povolené Zařízení je splněna též tehdy, pokud Povolené Zařízení bude předáno jiné z přítomných kontrolujících osob SMP.</w:t>
      </w:r>
    </w:p>
    <w:p w14:paraId="31EBD271" w14:textId="77777777" w:rsidR="00EC1C40" w:rsidRDefault="00000000">
      <w:pPr>
        <w:pStyle w:val="Nadpis60"/>
        <w:framePr w:w="9120" w:h="13661" w:hRule="exact" w:wrap="none" w:vAnchor="page" w:hAnchor="page" w:x="1519" w:y="1684"/>
        <w:numPr>
          <w:ilvl w:val="0"/>
          <w:numId w:val="109"/>
        </w:numPr>
        <w:tabs>
          <w:tab w:val="left" w:pos="567"/>
        </w:tabs>
        <w:spacing w:after="120"/>
        <w:jc w:val="both"/>
      </w:pPr>
      <w:bookmarkStart w:id="153" w:name="bookmark308"/>
      <w:r>
        <w:t>Zákaz publikace a zákaz zveřejnění Záznamů</w:t>
      </w:r>
      <w:bookmarkEnd w:id="153"/>
    </w:p>
    <w:p w14:paraId="3EF505C7" w14:textId="77777777" w:rsidR="00EC1C40" w:rsidRDefault="00000000">
      <w:pPr>
        <w:pStyle w:val="Zkladntext100"/>
        <w:framePr w:w="9120" w:h="13661" w:hRule="exact" w:wrap="none" w:vAnchor="page" w:hAnchor="page" w:x="1519" w:y="1684"/>
        <w:numPr>
          <w:ilvl w:val="1"/>
          <w:numId w:val="109"/>
        </w:numPr>
        <w:tabs>
          <w:tab w:val="left" w:pos="567"/>
        </w:tabs>
        <w:spacing w:after="120"/>
        <w:ind w:left="580" w:hanging="580"/>
        <w:jc w:val="both"/>
      </w:pPr>
      <w:r>
        <w:t>Kontrolující osoba se výslovně zavazuje, že žádné Důvěrné informace ani Záznamy nebude publikovat ani jinak zpřístupňovat třetím osobám (dále jen „</w:t>
      </w:r>
      <w:r>
        <w:rPr>
          <w:b/>
          <w:bCs/>
        </w:rPr>
        <w:t>Publikace</w:t>
      </w:r>
      <w:r>
        <w:t>“), a to s výjimkou předání Záznamů členům rady SMP a/nebo odborným poradcům SMP za podmínek stanovených v čl. 3.3.5 této Dohody. Kontrolující osoba se zavazuje zajistit (ve smyslu § 1769 věta druhá Občanského zákoníku), že zákaz Publikace bude v plném rozsahu dodržován i ze strany všech představitelů SMP a odborných poradců SMP, kterým Kontrolující osoba předá Záznamy dle čl. 3.3.5 této Dohody. V případě, kdy orgán veřejné moci v souladu s právními předpisy uloží SMP povinnost poskytnout Záznamy, je SMP oprávněno v takovém případě v nezbytném rozsahu tyto Záznamy orgánu veřejné moci poskytnout.</w:t>
      </w:r>
    </w:p>
    <w:p w14:paraId="58EB7D21" w14:textId="77777777" w:rsidR="00EC1C40" w:rsidRDefault="00000000">
      <w:pPr>
        <w:pStyle w:val="Zkladntext100"/>
        <w:framePr w:w="9120" w:h="13661" w:hRule="exact" w:wrap="none" w:vAnchor="page" w:hAnchor="page" w:x="1519" w:y="1684"/>
        <w:numPr>
          <w:ilvl w:val="1"/>
          <w:numId w:val="109"/>
        </w:numPr>
        <w:tabs>
          <w:tab w:val="left" w:pos="567"/>
        </w:tabs>
        <w:spacing w:after="120"/>
        <w:ind w:left="580" w:hanging="580"/>
        <w:jc w:val="both"/>
      </w:pPr>
      <w:r>
        <w:t>Za Publikaci se považuje zejména, nikoli však výlučně, sdílení, odeslání, nahrání na cloudové či jiné uložiště, sdílení přes sociální sítě, messenger, e-mail, interní portály třetích osob, veřejné i neveřejné skupiny či jakékoli jiné zpřístupnění Záznamů neoprávněným osobám či veřejnosti.</w:t>
      </w:r>
    </w:p>
    <w:p w14:paraId="5D2C5306" w14:textId="77777777" w:rsidR="00EC1C40" w:rsidRDefault="00000000">
      <w:pPr>
        <w:pStyle w:val="Zkladntext100"/>
        <w:framePr w:w="9120" w:h="13661" w:hRule="exact" w:wrap="none" w:vAnchor="page" w:hAnchor="page" w:x="1519" w:y="1684"/>
        <w:numPr>
          <w:ilvl w:val="1"/>
          <w:numId w:val="109"/>
        </w:numPr>
        <w:tabs>
          <w:tab w:val="left" w:pos="567"/>
        </w:tabs>
        <w:spacing w:after="120"/>
        <w:ind w:left="0" w:firstLine="0"/>
        <w:jc w:val="both"/>
      </w:pPr>
      <w:r>
        <w:t>Kontrolující osoba se zavazuje zdržet se i nepřímého zveřejnění (skrze odkazy, třetí osoby apod.).</w:t>
      </w:r>
    </w:p>
    <w:p w14:paraId="0879E693" w14:textId="77777777" w:rsidR="00EC1C40" w:rsidRDefault="00000000">
      <w:pPr>
        <w:pStyle w:val="Zkladntext100"/>
        <w:framePr w:w="9120" w:h="13661" w:hRule="exact" w:wrap="none" w:vAnchor="page" w:hAnchor="page" w:x="1519" w:y="1684"/>
        <w:numPr>
          <w:ilvl w:val="1"/>
          <w:numId w:val="109"/>
        </w:numPr>
        <w:tabs>
          <w:tab w:val="left" w:pos="567"/>
        </w:tabs>
        <w:spacing w:after="120"/>
        <w:ind w:left="580" w:hanging="580"/>
        <w:jc w:val="both"/>
      </w:pPr>
      <w:r>
        <w:t>Investor prohlašuje, že veškeré Záznamy považuje za obchodní tajemství (s ohledem na strategickou hodnotu a legitimní zájem na ochraně bezpečnosti v průběhu výstavby Investičního záměru).</w:t>
      </w:r>
    </w:p>
    <w:p w14:paraId="478F3D44" w14:textId="77777777" w:rsidR="00EC1C40" w:rsidRDefault="00000000">
      <w:pPr>
        <w:pStyle w:val="Nadpis60"/>
        <w:framePr w:w="9120" w:h="13661" w:hRule="exact" w:wrap="none" w:vAnchor="page" w:hAnchor="page" w:x="1519" w:y="1684"/>
        <w:numPr>
          <w:ilvl w:val="0"/>
          <w:numId w:val="109"/>
        </w:numPr>
        <w:tabs>
          <w:tab w:val="left" w:pos="566"/>
          <w:tab w:val="left" w:pos="567"/>
        </w:tabs>
        <w:spacing w:after="120"/>
        <w:jc w:val="both"/>
      </w:pPr>
      <w:bookmarkStart w:id="154" w:name="bookmark310"/>
      <w:r>
        <w:t>Dodržování režimu na Staveništi</w:t>
      </w:r>
      <w:bookmarkEnd w:id="154"/>
    </w:p>
    <w:p w14:paraId="5D2E2574" w14:textId="77777777" w:rsidR="00EC1C40" w:rsidRDefault="00000000">
      <w:pPr>
        <w:pStyle w:val="Zkladntext100"/>
        <w:framePr w:w="9120" w:h="13661" w:hRule="exact" w:wrap="none" w:vAnchor="page" w:hAnchor="page" w:x="1519" w:y="1684"/>
        <w:numPr>
          <w:ilvl w:val="1"/>
          <w:numId w:val="109"/>
        </w:numPr>
        <w:tabs>
          <w:tab w:val="left" w:pos="567"/>
        </w:tabs>
        <w:spacing w:after="120"/>
        <w:ind w:left="580" w:hanging="580"/>
        <w:jc w:val="both"/>
      </w:pPr>
      <w:r>
        <w:t xml:space="preserve">Kontrolující osoba je povinna před vstupem na Staveniště a po celou dobu přítomnosti na Staveništi dodržovat všechny podmínky stanovené Investorem (zástupci Investora) a/nebo zhotoviteli Investičního záměru </w:t>
      </w:r>
      <w:r>
        <w:rPr>
          <w:i/>
          <w:iCs/>
        </w:rPr>
        <w:t>(jak jsou tyto pojmy definovány v Plánovací smlouvě)</w:t>
      </w:r>
      <w:r>
        <w:t xml:space="preserve"> pro pohyb a působení na Staveništi, včetně bezpečnostních a organizačních pravidel, a podepsat veškeré formuláře či jiné dokumenty požadované Investorem či dodavateli (subdodavateli) požadované pro vstup na Staveniště (např. BOZP, poučení, evidenci návštěv apod.).</w:t>
      </w:r>
    </w:p>
    <w:p w14:paraId="4E5FC57B" w14:textId="77777777" w:rsidR="00EC1C40" w:rsidRDefault="00000000">
      <w:pPr>
        <w:pStyle w:val="Zkladntext100"/>
        <w:framePr w:w="9120" w:h="13661" w:hRule="exact" w:wrap="none" w:vAnchor="page" w:hAnchor="page" w:x="1519" w:y="1684"/>
        <w:numPr>
          <w:ilvl w:val="1"/>
          <w:numId w:val="109"/>
        </w:numPr>
        <w:tabs>
          <w:tab w:val="left" w:pos="567"/>
        </w:tabs>
        <w:spacing w:after="120"/>
        <w:ind w:left="580" w:hanging="580"/>
        <w:jc w:val="both"/>
      </w:pPr>
      <w:r>
        <w:t>Investor je oprávněn Kontrolující osobu v případě porušení této Dohody a/nebo podmínek dle čl. 5.1. této Dohody okamžitě vykázat ze Staveniště. V takovém případě je Kontrolující osoba bezprostředně opustit Staveniště.</w:t>
      </w:r>
    </w:p>
    <w:p w14:paraId="4B27E091" w14:textId="77777777" w:rsidR="00EC1C40" w:rsidRDefault="00000000">
      <w:pPr>
        <w:pStyle w:val="Nadpis60"/>
        <w:framePr w:w="9120" w:h="13661" w:hRule="exact" w:wrap="none" w:vAnchor="page" w:hAnchor="page" w:x="1519" w:y="1684"/>
        <w:numPr>
          <w:ilvl w:val="0"/>
          <w:numId w:val="109"/>
        </w:numPr>
        <w:tabs>
          <w:tab w:val="left" w:pos="567"/>
        </w:tabs>
        <w:spacing w:after="120"/>
        <w:jc w:val="both"/>
      </w:pPr>
      <w:bookmarkStart w:id="155" w:name="bookmark312"/>
      <w:r>
        <w:t>Závěrečná ustanovení</w:t>
      </w:r>
      <w:bookmarkEnd w:id="155"/>
    </w:p>
    <w:p w14:paraId="53DEEF32" w14:textId="77777777" w:rsidR="00EC1C40" w:rsidRDefault="00000000">
      <w:pPr>
        <w:pStyle w:val="Zkladntext100"/>
        <w:framePr w:w="9120" w:h="13661" w:hRule="exact" w:wrap="none" w:vAnchor="page" w:hAnchor="page" w:x="1519" w:y="1684"/>
        <w:numPr>
          <w:ilvl w:val="1"/>
          <w:numId w:val="109"/>
        </w:numPr>
        <w:tabs>
          <w:tab w:val="left" w:pos="567"/>
        </w:tabs>
        <w:spacing w:after="120"/>
        <w:ind w:left="0" w:firstLine="0"/>
        <w:jc w:val="both"/>
      </w:pPr>
      <w:r>
        <w:t>Tato Dohoda se řídí právním řádem České republiky.</w:t>
      </w:r>
    </w:p>
    <w:p w14:paraId="2A8B26CF" w14:textId="77777777" w:rsidR="00EC1C40" w:rsidRDefault="00000000">
      <w:pPr>
        <w:pStyle w:val="Zkladntext100"/>
        <w:framePr w:w="9120" w:h="13661" w:hRule="exact" w:wrap="none" w:vAnchor="page" w:hAnchor="page" w:x="1519" w:y="1684"/>
        <w:numPr>
          <w:ilvl w:val="1"/>
          <w:numId w:val="109"/>
        </w:numPr>
        <w:tabs>
          <w:tab w:val="left" w:pos="567"/>
        </w:tabs>
        <w:spacing w:after="0"/>
        <w:ind w:left="580" w:hanging="580"/>
        <w:jc w:val="both"/>
      </w:pPr>
      <w:r>
        <w:t>Tato Dohoda se uzavírá na dobu určitou, a to na dobu od uzavření této Dohody do okamžiku uplynutí patnácti (15) let ode dne nabytí právní moci kolaudačního rozhodnutí Investičního záměru (celého Investičního záměru).</w:t>
      </w:r>
    </w:p>
    <w:p w14:paraId="375C9E47" w14:textId="77777777" w:rsidR="00EC1C40" w:rsidRDefault="00000000">
      <w:pPr>
        <w:pStyle w:val="Zhlavnebozpat0"/>
        <w:framePr w:wrap="none" w:vAnchor="page" w:hAnchor="page" w:x="5916" w:y="15935"/>
        <w:rPr>
          <w:sz w:val="17"/>
          <w:szCs w:val="17"/>
        </w:rPr>
      </w:pPr>
      <w:r>
        <w:rPr>
          <w:rFonts w:ascii="Arial" w:eastAsia="Arial" w:hAnsi="Arial" w:cs="Arial"/>
          <w:color w:val="231E20"/>
          <w:sz w:val="17"/>
          <w:szCs w:val="17"/>
        </w:rPr>
        <w:t>3/4</w:t>
      </w:r>
    </w:p>
    <w:p w14:paraId="7730E3C7"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299F4F44" w14:textId="77777777" w:rsidR="00EC1C40" w:rsidRDefault="00EC1C40">
      <w:pPr>
        <w:spacing w:line="1" w:lineRule="exact"/>
      </w:pPr>
    </w:p>
    <w:p w14:paraId="5FB0B4D9" w14:textId="77777777" w:rsidR="00EC1C40" w:rsidRDefault="00000000">
      <w:pPr>
        <w:pStyle w:val="Zkladntext100"/>
        <w:framePr w:w="9120" w:h="1872" w:hRule="exact" w:wrap="none" w:vAnchor="page" w:hAnchor="page" w:x="1519" w:y="1684"/>
        <w:numPr>
          <w:ilvl w:val="1"/>
          <w:numId w:val="109"/>
        </w:numPr>
        <w:tabs>
          <w:tab w:val="left" w:pos="557"/>
        </w:tabs>
        <w:spacing w:after="120"/>
        <w:ind w:left="580" w:hanging="580"/>
      </w:pPr>
      <w:r>
        <w:t>Tato Dohoda je vyhotovena ve dvou (2) vyhotoveních v českém jazyce, přičemž každá Smluvní strana obdrží po jednom (1) vyhotovení.</w:t>
      </w:r>
    </w:p>
    <w:p w14:paraId="1916DE2C" w14:textId="77777777" w:rsidR="00EC1C40" w:rsidRDefault="00000000">
      <w:pPr>
        <w:pStyle w:val="Zkladntext100"/>
        <w:framePr w:w="9120" w:h="1872" w:hRule="exact" w:wrap="none" w:vAnchor="page" w:hAnchor="page" w:x="1519" w:y="1684"/>
        <w:numPr>
          <w:ilvl w:val="1"/>
          <w:numId w:val="109"/>
        </w:numPr>
        <w:tabs>
          <w:tab w:val="left" w:pos="557"/>
        </w:tabs>
        <w:spacing w:after="120"/>
        <w:ind w:left="0" w:firstLine="0"/>
        <w:jc w:val="both"/>
      </w:pPr>
      <w:r>
        <w:t>Tato Dohoda nabývá platnosti a účinnosti jejím podpisem poslední ze Smluvních stran.</w:t>
      </w:r>
    </w:p>
    <w:p w14:paraId="1D5602B2" w14:textId="77777777" w:rsidR="00EC1C40" w:rsidRDefault="00000000">
      <w:pPr>
        <w:pStyle w:val="Zkladntext100"/>
        <w:framePr w:w="9120" w:h="1872" w:hRule="exact" w:wrap="none" w:vAnchor="page" w:hAnchor="page" w:x="1519" w:y="1684"/>
        <w:spacing w:after="0"/>
        <w:ind w:left="0" w:firstLine="0"/>
        <w:jc w:val="both"/>
      </w:pPr>
      <w:r>
        <w:rPr>
          <w:i/>
          <w:iCs/>
        </w:rPr>
        <w:t>NA DŮKAZ TOHO Smluvní strany prohlašují, že s obsahem této Dohody souhlasí, rozumí jí a zavazují se k jejímu plnění, připojují své podpisy a prohlašují, že tato Dohoda byla uzavřena podle jejich svobodné a vážné vůle prosté tísně, zejména tísně finanční.</w:t>
      </w:r>
    </w:p>
    <w:p w14:paraId="07B22FCC" w14:textId="77777777" w:rsidR="00EC1C40" w:rsidRDefault="00000000">
      <w:pPr>
        <w:pStyle w:val="Zkladntext100"/>
        <w:framePr w:wrap="none" w:vAnchor="page" w:hAnchor="page" w:x="1519" w:y="3758"/>
        <w:spacing w:after="0"/>
        <w:ind w:left="106" w:firstLine="0"/>
      </w:pPr>
      <w:r>
        <w:t>V [•] dne [•]</w:t>
      </w:r>
    </w:p>
    <w:p w14:paraId="59E06360" w14:textId="77777777" w:rsidR="00EC1C40" w:rsidRDefault="00000000">
      <w:pPr>
        <w:pStyle w:val="Zkladntext100"/>
        <w:framePr w:wrap="none" w:vAnchor="page" w:hAnchor="page" w:x="7010" w:y="3758"/>
        <w:spacing w:after="0"/>
        <w:ind w:left="0" w:firstLine="0"/>
      </w:pPr>
      <w:r>
        <w:t>V [•] dne [•]</w:t>
      </w:r>
    </w:p>
    <w:p w14:paraId="1051318B" w14:textId="77777777" w:rsidR="00EC1C40" w:rsidRDefault="00000000">
      <w:pPr>
        <w:pStyle w:val="Zkladntext100"/>
        <w:framePr w:w="1128" w:h="826" w:hRule="exact" w:wrap="none" w:vAnchor="page" w:hAnchor="page" w:x="2930" w:y="4799"/>
        <w:pBdr>
          <w:top w:val="single" w:sz="4" w:space="0" w:color="auto"/>
        </w:pBdr>
        <w:spacing w:after="0"/>
        <w:ind w:left="0" w:right="5" w:firstLine="0"/>
        <w:jc w:val="center"/>
      </w:pPr>
      <w:r>
        <w:rPr>
          <w:b/>
          <w:bCs/>
        </w:rPr>
        <w:t>MHAP s.r.o.</w:t>
      </w:r>
      <w:r>
        <w:rPr>
          <w:b/>
          <w:bCs/>
        </w:rPr>
        <w:br/>
      </w:r>
      <w:r>
        <w:t>Petr Dědek</w:t>
      </w:r>
      <w:r>
        <w:br/>
        <w:t>jednatel</w:t>
      </w:r>
    </w:p>
    <w:p w14:paraId="15E668E8" w14:textId="77777777" w:rsidR="00EC1C40" w:rsidRDefault="00000000">
      <w:pPr>
        <w:pStyle w:val="Nadpis60"/>
        <w:framePr w:w="9120" w:h="792" w:hRule="exact" w:wrap="none" w:vAnchor="page" w:hAnchor="page" w:x="1519" w:y="4828"/>
        <w:pBdr>
          <w:top w:val="single" w:sz="4" w:space="0" w:color="auto"/>
        </w:pBdr>
        <w:spacing w:after="0"/>
        <w:ind w:left="6542" w:right="941"/>
        <w:jc w:val="center"/>
      </w:pPr>
      <w:bookmarkStart w:id="156" w:name="bookmark314"/>
      <w:r>
        <w:t>[•]</w:t>
      </w:r>
      <w:bookmarkEnd w:id="156"/>
    </w:p>
    <w:p w14:paraId="435343BA" w14:textId="77777777" w:rsidR="00EC1C40" w:rsidRDefault="00000000">
      <w:pPr>
        <w:pStyle w:val="Zkladntext100"/>
        <w:framePr w:w="9120" w:h="792" w:hRule="exact" w:wrap="none" w:vAnchor="page" w:hAnchor="page" w:x="1519" w:y="4828"/>
        <w:spacing w:after="0" w:line="230" w:lineRule="auto"/>
        <w:ind w:left="6542" w:right="941" w:firstLine="0"/>
        <w:jc w:val="center"/>
      </w:pPr>
      <w:r>
        <w:t>[•]</w:t>
      </w:r>
    </w:p>
    <w:p w14:paraId="6C5A204B" w14:textId="77777777" w:rsidR="00EC1C40" w:rsidRDefault="00000000">
      <w:pPr>
        <w:pStyle w:val="Zkladntext100"/>
        <w:framePr w:w="9120" w:h="792" w:hRule="exact" w:wrap="none" w:vAnchor="page" w:hAnchor="page" w:x="1519" w:y="4828"/>
        <w:spacing w:after="0" w:line="206" w:lineRule="auto"/>
        <w:ind w:left="6542" w:right="941" w:firstLine="0"/>
        <w:jc w:val="center"/>
      </w:pPr>
      <w:r>
        <w:t>Kontrolující osoba</w:t>
      </w:r>
    </w:p>
    <w:p w14:paraId="5895C266" w14:textId="77777777" w:rsidR="00EC1C40" w:rsidRDefault="00000000">
      <w:pPr>
        <w:pStyle w:val="Zhlavnebozpat0"/>
        <w:framePr w:wrap="none" w:vAnchor="page" w:hAnchor="page" w:x="5911" w:y="15935"/>
        <w:rPr>
          <w:sz w:val="17"/>
          <w:szCs w:val="17"/>
        </w:rPr>
      </w:pPr>
      <w:r>
        <w:rPr>
          <w:rFonts w:ascii="Arial" w:eastAsia="Arial" w:hAnsi="Arial" w:cs="Arial"/>
          <w:color w:val="231E20"/>
          <w:sz w:val="17"/>
          <w:szCs w:val="17"/>
        </w:rPr>
        <w:t>4/4</w:t>
      </w:r>
    </w:p>
    <w:p w14:paraId="044FA54A"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7E84C060" w14:textId="77777777" w:rsidR="00EC1C40" w:rsidRDefault="00EC1C40">
      <w:pPr>
        <w:spacing w:line="1" w:lineRule="exact"/>
      </w:pPr>
    </w:p>
    <w:p w14:paraId="45D5216E" w14:textId="77777777" w:rsidR="00EC1C40" w:rsidRDefault="00000000">
      <w:pPr>
        <w:pStyle w:val="Zkladntext80"/>
        <w:framePr w:w="9120" w:h="638" w:hRule="exact" w:wrap="none" w:vAnchor="page" w:hAnchor="page" w:x="1517" w:y="5079"/>
        <w:rPr>
          <w:sz w:val="50"/>
          <w:szCs w:val="50"/>
        </w:rPr>
      </w:pPr>
      <w:r>
        <w:t>Příloh</w:t>
      </w:r>
      <w:r>
        <w:rPr>
          <w:rFonts w:ascii="Calibri" w:eastAsia="Calibri" w:hAnsi="Calibri" w:cs="Calibri"/>
          <w:b/>
          <w:bCs/>
          <w:smallCaps/>
          <w:sz w:val="50"/>
          <w:szCs w:val="50"/>
        </w:rPr>
        <w:t>a</w:t>
      </w:r>
      <w:r>
        <w:t xml:space="preserve"> č. </w:t>
      </w:r>
      <w:r>
        <w:rPr>
          <w:rFonts w:ascii="Calibri" w:eastAsia="Calibri" w:hAnsi="Calibri" w:cs="Calibri"/>
          <w:b/>
          <w:bCs/>
          <w:smallCaps/>
          <w:sz w:val="50"/>
          <w:szCs w:val="50"/>
        </w:rPr>
        <w:t>21</w:t>
      </w:r>
    </w:p>
    <w:p w14:paraId="1C704ADC"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1AF4A1DB" w14:textId="77777777" w:rsidR="00EC1C40" w:rsidRDefault="00EC1C40">
      <w:pPr>
        <w:spacing w:line="1" w:lineRule="exact"/>
      </w:pPr>
    </w:p>
    <w:p w14:paraId="35F2106C" w14:textId="77777777" w:rsidR="00EC1C40" w:rsidRDefault="00000000">
      <w:pPr>
        <w:pStyle w:val="Zkladntext90"/>
        <w:framePr w:wrap="none" w:vAnchor="page" w:hAnchor="page" w:x="4297" w:y="5386"/>
      </w:pPr>
      <w:r>
        <w:rPr>
          <w:color w:val="6ACBDC"/>
        </w:rPr>
        <w:t>3682</w:t>
      </w:r>
    </w:p>
    <w:p w14:paraId="226CCC1D" w14:textId="77777777" w:rsidR="00EC1C40" w:rsidRDefault="00EC1C40">
      <w:pPr>
        <w:framePr w:wrap="none" w:vAnchor="page" w:hAnchor="page" w:x="8487" w:y="5405"/>
      </w:pPr>
    </w:p>
    <w:p w14:paraId="42DF35F3" w14:textId="77777777" w:rsidR="00EC1C40" w:rsidRDefault="00000000">
      <w:pPr>
        <w:pStyle w:val="Titulekobrzku0"/>
        <w:framePr w:wrap="none" w:vAnchor="page" w:hAnchor="page" w:x="2626" w:y="5372"/>
      </w:pPr>
      <w:r>
        <w:rPr>
          <w:color w:val="6ACBDC"/>
        </w:rPr>
        <w:t>&lt;—</w:t>
      </w:r>
    </w:p>
    <w:p w14:paraId="082574B6" w14:textId="77777777" w:rsidR="00EC1C40" w:rsidRDefault="00000000">
      <w:pPr>
        <w:pStyle w:val="Titulekobrzku0"/>
        <w:framePr w:wrap="none" w:vAnchor="page" w:hAnchor="page" w:x="3289" w:y="5458"/>
        <w:rPr>
          <w:sz w:val="14"/>
          <w:szCs w:val="14"/>
        </w:rPr>
      </w:pPr>
      <w:r>
        <w:rPr>
          <w:b w:val="0"/>
          <w:bCs w:val="0"/>
          <w:color w:val="6ACBDC"/>
          <w:sz w:val="14"/>
          <w:szCs w:val="14"/>
        </w:rPr>
        <w:t xml:space="preserve">PARDU </w:t>
      </w:r>
      <w:r>
        <w:rPr>
          <w:b w:val="0"/>
          <w:bCs w:val="0"/>
          <w:color w:val="6ACBDC"/>
          <w:sz w:val="14"/>
          <w:szCs w:val="14"/>
          <w:lang w:val="en-US" w:eastAsia="en-US" w:bidi="en-US"/>
        </w:rPr>
        <w:t xml:space="preserve">HI </w:t>
      </w:r>
      <w:r>
        <w:rPr>
          <w:b w:val="0"/>
          <w:bCs w:val="0"/>
          <w:color w:val="6ACBDC"/>
          <w:sz w:val="14"/>
          <w:szCs w:val="14"/>
        </w:rPr>
        <w:t>KE</w:t>
      </w:r>
    </w:p>
    <w:p w14:paraId="1FFB1DE5" w14:textId="77777777" w:rsidR="00EC1C40" w:rsidRDefault="00000000">
      <w:pPr>
        <w:pStyle w:val="Titulekobrzku0"/>
        <w:framePr w:wrap="none" w:vAnchor="page" w:hAnchor="page" w:x="1863" w:y="5482"/>
      </w:pPr>
      <w:r>
        <w:rPr>
          <w:color w:val="6ACBDC"/>
        </w:rPr>
        <w:t>10697</w:t>
      </w:r>
    </w:p>
    <w:p w14:paraId="7FB6A15F" w14:textId="77777777" w:rsidR="00EC1C40" w:rsidRDefault="00000000">
      <w:pPr>
        <w:pStyle w:val="Titulekobrzku0"/>
        <w:framePr w:wrap="none" w:vAnchor="page" w:hAnchor="page" w:x="380" w:y="5602"/>
        <w:jc w:val="both"/>
      </w:pPr>
      <w:r>
        <w:rPr>
          <w:color w:val="6ACBDC"/>
        </w:rPr>
        <w:t>5162/7</w:t>
      </w:r>
    </w:p>
    <w:p w14:paraId="1C59A8C8" w14:textId="77777777" w:rsidR="00EC1C40" w:rsidRDefault="00000000">
      <w:pPr>
        <w:pStyle w:val="Titulekobrzku0"/>
        <w:framePr w:wrap="none" w:vAnchor="page" w:hAnchor="page" w:x="3457" w:y="5626"/>
        <w:jc w:val="both"/>
      </w:pPr>
      <w:r>
        <w:rPr>
          <w:color w:val="6ACBDC"/>
        </w:rPr>
        <w:t>3680/5</w:t>
      </w:r>
    </w:p>
    <w:p w14:paraId="36ACD075" w14:textId="77777777" w:rsidR="00EC1C40" w:rsidRDefault="00000000">
      <w:pPr>
        <w:pStyle w:val="Titulekobrzku0"/>
        <w:framePr w:wrap="none" w:vAnchor="page" w:hAnchor="page" w:x="1767" w:y="5655"/>
      </w:pPr>
      <w:r>
        <w:rPr>
          <w:color w:val="6ACBDC"/>
        </w:rPr>
        <w:t>4274</w:t>
      </w:r>
    </w:p>
    <w:p w14:paraId="1EC5DD24" w14:textId="77777777" w:rsidR="00EC1C40" w:rsidRDefault="00000000">
      <w:pPr>
        <w:pStyle w:val="Titulekobrzku0"/>
        <w:framePr w:wrap="none" w:vAnchor="page" w:hAnchor="page" w:x="7973" w:y="5708"/>
        <w:jc w:val="both"/>
      </w:pPr>
      <w:r>
        <w:rPr>
          <w:color w:val="6ACBDC"/>
        </w:rPr>
        <w:t>4303/2</w:t>
      </w:r>
    </w:p>
    <w:p w14:paraId="27C1703E" w14:textId="77777777" w:rsidR="00EC1C40" w:rsidRDefault="00000000">
      <w:pPr>
        <w:pStyle w:val="Titulekobrzku0"/>
        <w:framePr w:wrap="none" w:vAnchor="page" w:hAnchor="page" w:x="6721" w:y="5736"/>
        <w:jc w:val="both"/>
      </w:pPr>
      <w:r>
        <w:rPr>
          <w:color w:val="6ACBDC"/>
        </w:rPr>
        <w:t>323/1</w:t>
      </w:r>
    </w:p>
    <w:p w14:paraId="42FBBCE9" w14:textId="77777777" w:rsidR="00EC1C40" w:rsidRDefault="00000000">
      <w:pPr>
        <w:pStyle w:val="Titulekobrzku0"/>
        <w:framePr w:wrap="none" w:vAnchor="page" w:hAnchor="page" w:x="7575" w:y="5775"/>
        <w:jc w:val="both"/>
      </w:pPr>
      <w:r>
        <w:rPr>
          <w:color w:val="6ACBDC"/>
        </w:rPr>
        <w:t>4348/1</w:t>
      </w:r>
    </w:p>
    <w:p w14:paraId="4E8B0DEF" w14:textId="77777777" w:rsidR="00EC1C40" w:rsidRDefault="00000000">
      <w:pPr>
        <w:pStyle w:val="Titulekobrzku0"/>
        <w:framePr w:w="101" w:h="101" w:hRule="exact" w:wrap="none" w:vAnchor="page" w:hAnchor="page" w:x="5938" w:y="5818"/>
        <w:jc w:val="right"/>
      </w:pPr>
      <w:r>
        <w:rPr>
          <w:color w:val="6ACBDC"/>
        </w:rPr>
        <w:t>330/2</w:t>
      </w:r>
    </w:p>
    <w:p w14:paraId="47A27B1E" w14:textId="77777777" w:rsidR="00EC1C40" w:rsidRDefault="00000000">
      <w:pPr>
        <w:pStyle w:val="Titulekobrzku0"/>
        <w:framePr w:wrap="none" w:vAnchor="page" w:hAnchor="page" w:x="903" w:y="5871"/>
      </w:pPr>
      <w:r>
        <w:rPr>
          <w:color w:val="6ACBDC"/>
        </w:rPr>
        <w:t>5162/8</w:t>
      </w:r>
    </w:p>
    <w:p w14:paraId="3F59F9F3" w14:textId="77777777" w:rsidR="00EC1C40" w:rsidRDefault="00000000">
      <w:pPr>
        <w:pStyle w:val="Titulekobrzku0"/>
        <w:framePr w:wrap="none" w:vAnchor="page" w:hAnchor="page" w:x="1114" w:y="5924"/>
      </w:pPr>
      <w:r>
        <w:rPr>
          <w:color w:val="6ACBDC"/>
        </w:rPr>
        <w:t>5162/11</w:t>
      </w:r>
    </w:p>
    <w:p w14:paraId="79D6C720" w14:textId="77777777" w:rsidR="00EC1C40" w:rsidRDefault="00000000">
      <w:pPr>
        <w:pStyle w:val="Titulekobrzku0"/>
        <w:framePr w:wrap="none" w:vAnchor="page" w:hAnchor="page" w:x="548" w:y="5924"/>
      </w:pPr>
      <w:r>
        <w:rPr>
          <w:color w:val="6ACBDC"/>
        </w:rPr>
        <w:t>520/6</w:t>
      </w:r>
    </w:p>
    <w:p w14:paraId="3FA20D63" w14:textId="77777777" w:rsidR="00EC1C40" w:rsidRDefault="00000000">
      <w:pPr>
        <w:pStyle w:val="Titulekobrzku0"/>
        <w:framePr w:wrap="none" w:vAnchor="page" w:hAnchor="page" w:x="5986" w:y="5957"/>
        <w:jc w:val="both"/>
        <w:rPr>
          <w:sz w:val="20"/>
          <w:szCs w:val="20"/>
        </w:rPr>
      </w:pPr>
      <w:r>
        <w:rPr>
          <w:i/>
          <w:iCs/>
          <w:color w:val="6ACBDC"/>
          <w:sz w:val="20"/>
          <w:szCs w:val="20"/>
        </w:rPr>
        <w:t>3&gt;o/</w:t>
      </w:r>
    </w:p>
    <w:p w14:paraId="46E8650F" w14:textId="77777777" w:rsidR="00EC1C40" w:rsidRDefault="00000000">
      <w:pPr>
        <w:pStyle w:val="Titulekobrzku0"/>
        <w:framePr w:w="101" w:h="115" w:hRule="exact" w:wrap="none" w:vAnchor="page" w:hAnchor="page" w:x="6245" w:y="5957"/>
        <w:jc w:val="right"/>
      </w:pPr>
      <w:r>
        <w:rPr>
          <w:color w:val="6ACBDC"/>
        </w:rPr>
        <w:t>330/3</w:t>
      </w:r>
    </w:p>
    <w:p w14:paraId="5C79BEF9" w14:textId="77777777" w:rsidR="00EC1C40" w:rsidRDefault="00000000">
      <w:pPr>
        <w:pStyle w:val="Titulekobrzku0"/>
        <w:framePr w:wrap="none" w:vAnchor="page" w:hAnchor="page" w:x="5079" w:y="5957"/>
      </w:pPr>
      <w:r>
        <w:rPr>
          <w:color w:val="6ACBDC"/>
        </w:rPr>
        <w:t>375/2</w:t>
      </w:r>
    </w:p>
    <w:p w14:paraId="45A03E15" w14:textId="77777777" w:rsidR="00EC1C40" w:rsidRDefault="00000000">
      <w:pPr>
        <w:pStyle w:val="Titulekobrzku0"/>
        <w:framePr w:wrap="none" w:vAnchor="page" w:hAnchor="page" w:x="3010" w:y="5991"/>
      </w:pPr>
      <w:r>
        <w:rPr>
          <w:color w:val="6ACBDC"/>
        </w:rPr>
        <w:t>&lt;28/</w:t>
      </w:r>
    </w:p>
    <w:p w14:paraId="2F7A8D7D" w14:textId="77777777" w:rsidR="00EC1C40" w:rsidRDefault="00000000">
      <w:pPr>
        <w:pStyle w:val="Titulekobrzku0"/>
        <w:framePr w:wrap="none" w:vAnchor="page" w:hAnchor="page" w:x="1743" w:y="6077"/>
        <w:jc w:val="both"/>
      </w:pPr>
      <w:r>
        <w:rPr>
          <w:color w:val="6ACBDC"/>
        </w:rPr>
        <w:t>5162/14</w:t>
      </w:r>
    </w:p>
    <w:p w14:paraId="0B92B06E" w14:textId="77777777" w:rsidR="00EC1C40" w:rsidRDefault="00000000">
      <w:pPr>
        <w:pStyle w:val="Titulekobrzku0"/>
        <w:framePr w:w="101" w:h="110" w:hRule="exact" w:wrap="none" w:vAnchor="page" w:hAnchor="page" w:x="5689" w:y="6077"/>
        <w:jc w:val="right"/>
      </w:pPr>
      <w:r>
        <w:rPr>
          <w:color w:val="6ACBDC"/>
        </w:rPr>
        <w:t>375/4</w:t>
      </w:r>
    </w:p>
    <w:p w14:paraId="15873265" w14:textId="77777777" w:rsidR="00EC1C40" w:rsidRDefault="00000000">
      <w:pPr>
        <w:pStyle w:val="Titulekobrzku0"/>
        <w:framePr w:wrap="none" w:vAnchor="page" w:hAnchor="page" w:x="4013" w:y="6077"/>
      </w:pPr>
      <w:r>
        <w:rPr>
          <w:color w:val="6ACBDC"/>
        </w:rPr>
        <w:t>3684/5</w:t>
      </w:r>
    </w:p>
    <w:p w14:paraId="7EA51CA3" w14:textId="77777777" w:rsidR="00EC1C40" w:rsidRDefault="00000000">
      <w:pPr>
        <w:pStyle w:val="Titulekobrzku0"/>
        <w:framePr w:wrap="none" w:vAnchor="page" w:hAnchor="page" w:x="3452" w:y="6116"/>
      </w:pPr>
      <w:r>
        <w:rPr>
          <w:color w:val="6ACBDC"/>
        </w:rPr>
        <w:t>3680/4</w:t>
      </w:r>
    </w:p>
    <w:p w14:paraId="1F489227" w14:textId="77777777" w:rsidR="00EC1C40" w:rsidRDefault="00000000">
      <w:pPr>
        <w:pStyle w:val="Titulekobrzku0"/>
        <w:framePr w:wrap="none" w:vAnchor="page" w:hAnchor="page" w:x="2357" w:y="6192"/>
        <w:jc w:val="both"/>
      </w:pPr>
      <w:r>
        <w:rPr>
          <w:color w:val="6ACBDC"/>
        </w:rPr>
        <w:t>.</w:t>
      </w:r>
      <w:proofErr w:type="spellStart"/>
      <w:r>
        <w:rPr>
          <w:color w:val="6ACBDC"/>
        </w:rPr>
        <w:t>Uí</w:t>
      </w:r>
      <w:proofErr w:type="spellEnd"/>
      <w:r>
        <w:rPr>
          <w:color w:val="6ACBDC"/>
        </w:rPr>
        <w:t>/lr</w:t>
      </w:r>
    </w:p>
    <w:p w14:paraId="3E1B9C3D" w14:textId="77777777" w:rsidR="00EC1C40" w:rsidRDefault="00000000">
      <w:pPr>
        <w:pStyle w:val="Titulekobrzku0"/>
        <w:framePr w:w="101" w:h="101" w:hRule="exact" w:wrap="none" w:vAnchor="page" w:hAnchor="page" w:x="6149" w:y="6192"/>
        <w:jc w:val="right"/>
      </w:pPr>
      <w:r>
        <w:rPr>
          <w:color w:val="6ACBDC"/>
        </w:rPr>
        <w:t>375/5</w:t>
      </w:r>
    </w:p>
    <w:p w14:paraId="4445A13C" w14:textId="77777777" w:rsidR="00EC1C40" w:rsidRDefault="00000000">
      <w:pPr>
        <w:pStyle w:val="Titulekobrzku0"/>
        <w:framePr w:wrap="none" w:vAnchor="page" w:hAnchor="page" w:x="7412" w:y="6236"/>
        <w:jc w:val="both"/>
      </w:pPr>
      <w:r>
        <w:rPr>
          <w:color w:val="6ACBDC"/>
        </w:rPr>
        <w:t>4348/2</w:t>
      </w:r>
    </w:p>
    <w:p w14:paraId="3E4742CE" w14:textId="77777777" w:rsidR="00EC1C40" w:rsidRDefault="00000000">
      <w:pPr>
        <w:pStyle w:val="Titulekobrzku0"/>
        <w:framePr w:wrap="none" w:vAnchor="page" w:hAnchor="page" w:x="1757" w:y="6236"/>
      </w:pPr>
      <w:r>
        <w:rPr>
          <w:color w:val="6ACBDC"/>
        </w:rPr>
        <w:t>5162/12</w:t>
      </w:r>
    </w:p>
    <w:p w14:paraId="4EDAA1AA" w14:textId="77777777" w:rsidR="00EC1C40" w:rsidRDefault="00000000">
      <w:pPr>
        <w:pStyle w:val="Titulekobrzku0"/>
        <w:framePr w:wrap="none" w:vAnchor="page" w:hAnchor="page" w:x="4321" w:y="6269"/>
      </w:pPr>
      <w:r>
        <w:rPr>
          <w:color w:val="6ACBDC"/>
        </w:rPr>
        <w:t>5162/65</w:t>
      </w:r>
    </w:p>
    <w:p w14:paraId="3478E5E1" w14:textId="77777777" w:rsidR="00EC1C40" w:rsidRDefault="00000000">
      <w:pPr>
        <w:pStyle w:val="Titulekobrzku0"/>
        <w:framePr w:wrap="none" w:vAnchor="page" w:hAnchor="page" w:x="5641" w:y="6274"/>
      </w:pPr>
      <w:r>
        <w:rPr>
          <w:color w:val="6ACBDC"/>
        </w:rPr>
        <w:t>102/6</w:t>
      </w:r>
    </w:p>
    <w:p w14:paraId="1D17AA87" w14:textId="77777777" w:rsidR="00EC1C40" w:rsidRDefault="00000000">
      <w:pPr>
        <w:pStyle w:val="Titulekobrzku0"/>
        <w:framePr w:wrap="none" w:vAnchor="page" w:hAnchor="page" w:x="6855" w:y="6298"/>
        <w:jc w:val="both"/>
      </w:pPr>
      <w:r>
        <w:rPr>
          <w:color w:val="6ACBDC"/>
        </w:rPr>
        <w:t>1026/14</w:t>
      </w:r>
    </w:p>
    <w:p w14:paraId="2FF5C2F4" w14:textId="77777777" w:rsidR="00EC1C40" w:rsidRDefault="00000000">
      <w:pPr>
        <w:pStyle w:val="Titulekobrzku0"/>
        <w:framePr w:wrap="none" w:vAnchor="page" w:hAnchor="page" w:x="8866" w:y="6298"/>
        <w:jc w:val="both"/>
      </w:pPr>
      <w:r>
        <w:rPr>
          <w:color w:val="6ACBDC"/>
        </w:rPr>
        <w:t>4305/1</w:t>
      </w:r>
    </w:p>
    <w:p w14:paraId="0244D02E" w14:textId="77777777" w:rsidR="00EC1C40" w:rsidRDefault="00000000">
      <w:pPr>
        <w:pStyle w:val="Titulekobrzku0"/>
        <w:framePr w:wrap="none" w:vAnchor="page" w:hAnchor="page" w:x="8458" w:y="6317"/>
        <w:jc w:val="both"/>
      </w:pPr>
      <w:r>
        <w:rPr>
          <w:color w:val="6ACBDC"/>
        </w:rPr>
        <w:t>4304/1</w:t>
      </w:r>
    </w:p>
    <w:p w14:paraId="24F31768" w14:textId="77777777" w:rsidR="00EC1C40" w:rsidRDefault="00000000">
      <w:pPr>
        <w:pStyle w:val="Titulekobrzku0"/>
        <w:framePr w:wrap="none" w:vAnchor="page" w:hAnchor="page" w:x="4738" w:y="6322"/>
      </w:pPr>
      <w:r>
        <w:rPr>
          <w:color w:val="6ACBDC"/>
        </w:rPr>
        <w:t>1026/2</w:t>
      </w:r>
    </w:p>
    <w:p w14:paraId="1CD5A815" w14:textId="77777777" w:rsidR="00EC1C40" w:rsidRDefault="00000000">
      <w:pPr>
        <w:pStyle w:val="Titulekobrzku0"/>
        <w:framePr w:wrap="none" w:vAnchor="page" w:hAnchor="page" w:x="893" w:y="6360"/>
        <w:rPr>
          <w:sz w:val="20"/>
          <w:szCs w:val="20"/>
        </w:rPr>
      </w:pPr>
      <w:r>
        <w:rPr>
          <w:i/>
          <w:iCs/>
          <w:sz w:val="20"/>
          <w:szCs w:val="20"/>
        </w:rPr>
        <w:t>~a</w:t>
      </w:r>
    </w:p>
    <w:p w14:paraId="4B9DFA0E" w14:textId="77777777" w:rsidR="00EC1C40" w:rsidRDefault="00000000">
      <w:pPr>
        <w:pStyle w:val="Titulekobrzku0"/>
        <w:framePr w:wrap="none" w:vAnchor="page" w:hAnchor="page" w:x="9322" w:y="6384"/>
        <w:jc w:val="both"/>
      </w:pPr>
      <w:r>
        <w:rPr>
          <w:color w:val="6ACBDC"/>
        </w:rPr>
        <w:t>4306/1</w:t>
      </w:r>
    </w:p>
    <w:p w14:paraId="068ECF6B" w14:textId="77777777" w:rsidR="00EC1C40" w:rsidRDefault="00000000">
      <w:pPr>
        <w:pStyle w:val="Titulekobrzku0"/>
        <w:framePr w:wrap="none" w:vAnchor="page" w:hAnchor="page" w:x="6721" w:y="6423"/>
        <w:jc w:val="both"/>
      </w:pPr>
      <w:r>
        <w:rPr>
          <w:color w:val="6ACBDC"/>
        </w:rPr>
        <w:t>10&lt;/X</w:t>
      </w:r>
    </w:p>
    <w:p w14:paraId="2FB7F7AA" w14:textId="77777777" w:rsidR="00EC1C40" w:rsidRDefault="00000000">
      <w:pPr>
        <w:pStyle w:val="Titulekobrzku0"/>
        <w:framePr w:wrap="none" w:vAnchor="page" w:hAnchor="page" w:x="2521" w:y="6423"/>
        <w:jc w:val="both"/>
      </w:pPr>
      <w:r>
        <w:rPr>
          <w:color w:val="6ACBDC"/>
        </w:rPr>
        <w:t>5162/21</w:t>
      </w:r>
    </w:p>
    <w:p w14:paraId="3FA50CA6" w14:textId="77777777" w:rsidR="00EC1C40" w:rsidRDefault="00000000">
      <w:pPr>
        <w:pStyle w:val="Titulekobrzku0"/>
        <w:framePr w:wrap="none" w:vAnchor="page" w:hAnchor="page" w:x="5602" w:y="6452"/>
        <w:jc w:val="both"/>
      </w:pPr>
      <w:r>
        <w:rPr>
          <w:color w:val="6ACBDC"/>
        </w:rPr>
        <w:t>1026/5</w:t>
      </w:r>
    </w:p>
    <w:p w14:paraId="39E3189E" w14:textId="77777777" w:rsidR="00EC1C40" w:rsidRDefault="00000000">
      <w:pPr>
        <w:pStyle w:val="Titulekobrzku0"/>
        <w:framePr w:wrap="none" w:vAnchor="page" w:hAnchor="page" w:x="3116" w:y="6476"/>
      </w:pPr>
      <w:r>
        <w:rPr>
          <w:b w:val="0"/>
          <w:bCs w:val="0"/>
          <w:color w:val="6ACBDC"/>
        </w:rPr>
        <w:t>5162/53</w:t>
      </w:r>
    </w:p>
    <w:p w14:paraId="583436D8" w14:textId="77777777" w:rsidR="00EC1C40" w:rsidRDefault="00000000">
      <w:pPr>
        <w:pStyle w:val="Titulekobrzku0"/>
        <w:framePr w:wrap="none" w:vAnchor="page" w:hAnchor="page" w:x="7945" w:y="6504"/>
        <w:jc w:val="both"/>
      </w:pPr>
      <w:r>
        <w:rPr>
          <w:color w:val="6ACBDC"/>
        </w:rPr>
        <w:t>4303/1</w:t>
      </w:r>
    </w:p>
    <w:p w14:paraId="6628E751" w14:textId="77777777" w:rsidR="00EC1C40" w:rsidRDefault="00000000">
      <w:pPr>
        <w:pStyle w:val="Titulekobrzku0"/>
        <w:framePr w:wrap="none" w:vAnchor="page" w:hAnchor="page" w:x="5050" w:y="6509"/>
        <w:jc w:val="both"/>
      </w:pPr>
      <w:r>
        <w:rPr>
          <w:color w:val="6ACBDC"/>
        </w:rPr>
        <w:t>1026/3</w:t>
      </w:r>
    </w:p>
    <w:p w14:paraId="4A3EE904" w14:textId="77777777" w:rsidR="00EC1C40" w:rsidRDefault="00000000">
      <w:pPr>
        <w:pStyle w:val="Titulekobrzku0"/>
        <w:framePr w:wrap="none" w:vAnchor="page" w:hAnchor="page" w:x="2933" w:y="6514"/>
      </w:pPr>
      <w:r>
        <w:rPr>
          <w:color w:val="6ACBDC"/>
        </w:rPr>
        <w:t>5162/49</w:t>
      </w:r>
    </w:p>
    <w:p w14:paraId="6A7E0914" w14:textId="77777777" w:rsidR="00EC1C40" w:rsidRDefault="00000000">
      <w:pPr>
        <w:pStyle w:val="Titulekobrzku0"/>
        <w:framePr w:wrap="none" w:vAnchor="page" w:hAnchor="page" w:x="2151" w:y="6567"/>
        <w:jc w:val="both"/>
      </w:pPr>
      <w:r>
        <w:rPr>
          <w:color w:val="6ACBDC"/>
        </w:rPr>
        <w:t>5162/13</w:t>
      </w:r>
    </w:p>
    <w:p w14:paraId="002F412D" w14:textId="77777777" w:rsidR="00EC1C40" w:rsidRDefault="00000000">
      <w:pPr>
        <w:pStyle w:val="Titulekobrzku0"/>
        <w:framePr w:wrap="none" w:vAnchor="page" w:hAnchor="page" w:x="7229" w:y="6591"/>
        <w:jc w:val="both"/>
      </w:pPr>
      <w:r>
        <w:rPr>
          <w:color w:val="6ACBDC"/>
        </w:rPr>
        <w:t>5168/19</w:t>
      </w:r>
    </w:p>
    <w:p w14:paraId="2FE406F5" w14:textId="77777777" w:rsidR="00EC1C40" w:rsidRDefault="00000000">
      <w:pPr>
        <w:pStyle w:val="Titulekobrzku0"/>
        <w:framePr w:wrap="none" w:vAnchor="page" w:hAnchor="page" w:x="6812" w:y="6663"/>
      </w:pPr>
      <w:r>
        <w:rPr>
          <w:b w:val="0"/>
          <w:bCs w:val="0"/>
          <w:color w:val="6ACBDC"/>
        </w:rPr>
        <w:t>5168/8</w:t>
      </w:r>
    </w:p>
    <w:p w14:paraId="59EBB3E7" w14:textId="77777777" w:rsidR="00EC1C40" w:rsidRDefault="00000000">
      <w:pPr>
        <w:pStyle w:val="Titulekobrzku0"/>
        <w:framePr w:wrap="none" w:vAnchor="page" w:hAnchor="page" w:x="1321" w:y="6672"/>
      </w:pPr>
      <w:r>
        <w:rPr>
          <w:color w:val="6ACBDC"/>
        </w:rPr>
        <w:t>4297/7</w:t>
      </w:r>
    </w:p>
    <w:p w14:paraId="42619769" w14:textId="77777777" w:rsidR="00EC1C40" w:rsidRDefault="00000000">
      <w:pPr>
        <w:pStyle w:val="Titulekobrzku0"/>
        <w:framePr w:wrap="none" w:vAnchor="page" w:hAnchor="page" w:x="5977" w:y="6672"/>
        <w:jc w:val="both"/>
      </w:pPr>
      <w:r>
        <w:rPr>
          <w:color w:val="6ACBDC"/>
        </w:rPr>
        <w:t>5168/2</w:t>
      </w:r>
    </w:p>
    <w:p w14:paraId="34FA5F9A" w14:textId="77777777" w:rsidR="00EC1C40" w:rsidRDefault="00000000">
      <w:pPr>
        <w:pStyle w:val="Titulekobrzku0"/>
        <w:framePr w:wrap="none" w:vAnchor="page" w:hAnchor="page" w:x="6337" w:y="6701"/>
        <w:jc w:val="both"/>
      </w:pPr>
      <w:r>
        <w:rPr>
          <w:color w:val="6ACBDC"/>
        </w:rPr>
        <w:t>5168/3</w:t>
      </w:r>
    </w:p>
    <w:p w14:paraId="0432633A" w14:textId="77777777" w:rsidR="00EC1C40" w:rsidRDefault="00000000">
      <w:pPr>
        <w:pStyle w:val="Titulekobrzku0"/>
        <w:framePr w:wrap="none" w:vAnchor="page" w:hAnchor="page" w:x="7580" w:y="6701"/>
        <w:jc w:val="both"/>
      </w:pPr>
      <w:r>
        <w:rPr>
          <w:color w:val="6ACBDC"/>
        </w:rPr>
        <w:t>4348/4</w:t>
      </w:r>
    </w:p>
    <w:p w14:paraId="1C15581A" w14:textId="77777777" w:rsidR="00EC1C40" w:rsidRDefault="00000000">
      <w:pPr>
        <w:pStyle w:val="Titulekobrzku0"/>
        <w:framePr w:w="96" w:h="115" w:hRule="exact" w:wrap="none" w:vAnchor="page" w:hAnchor="page" w:x="6999" w:y="6740"/>
        <w:ind w:right="15"/>
        <w:jc w:val="right"/>
      </w:pPr>
      <w:r>
        <w:rPr>
          <w:b w:val="0"/>
          <w:bCs w:val="0"/>
          <w:color w:val="6ACBDC"/>
        </w:rPr>
        <w:t>5168/14</w:t>
      </w:r>
    </w:p>
    <w:p w14:paraId="79E1A17A" w14:textId="77777777" w:rsidR="00EC1C40" w:rsidRDefault="00000000">
      <w:pPr>
        <w:pStyle w:val="Titulekobrzku0"/>
        <w:framePr w:wrap="none" w:vAnchor="page" w:hAnchor="page" w:x="3025" w:y="6754"/>
      </w:pPr>
      <w:r>
        <w:rPr>
          <w:b w:val="0"/>
          <w:bCs w:val="0"/>
          <w:color w:val="6ACBDC"/>
        </w:rPr>
        <w:t>5162/54</w:t>
      </w:r>
    </w:p>
    <w:p w14:paraId="5FFCC2D3" w14:textId="77777777" w:rsidR="00EC1C40" w:rsidRDefault="00000000">
      <w:pPr>
        <w:pStyle w:val="Titulekobrzku0"/>
        <w:framePr w:wrap="none" w:vAnchor="page" w:hAnchor="page" w:x="4767" w:y="6754"/>
        <w:jc w:val="both"/>
      </w:pPr>
      <w:r>
        <w:rPr>
          <w:color w:val="6ACBDC"/>
        </w:rPr>
        <w:t>375/6</w:t>
      </w:r>
    </w:p>
    <w:p w14:paraId="7ECAFC14" w14:textId="77777777" w:rsidR="00EC1C40" w:rsidRDefault="00000000">
      <w:pPr>
        <w:pStyle w:val="Titulekobrzku0"/>
        <w:framePr w:wrap="none" w:vAnchor="page" w:hAnchor="page" w:x="6697" w:y="6754"/>
        <w:jc w:val="both"/>
      </w:pPr>
      <w:r>
        <w:rPr>
          <w:color w:val="6ACBDC"/>
        </w:rPr>
        <w:t>5168/6</w:t>
      </w:r>
    </w:p>
    <w:p w14:paraId="4C358CE4" w14:textId="77777777" w:rsidR="00EC1C40" w:rsidRDefault="00000000">
      <w:pPr>
        <w:pStyle w:val="Titulekobrzku0"/>
        <w:framePr w:wrap="none" w:vAnchor="page" w:hAnchor="page" w:x="5813" w:y="6759"/>
        <w:jc w:val="both"/>
      </w:pPr>
      <w:r>
        <w:rPr>
          <w:color w:val="6ACBDC"/>
        </w:rPr>
        <w:t>5168/1</w:t>
      </w:r>
    </w:p>
    <w:p w14:paraId="3D6AE9F5" w14:textId="77777777" w:rsidR="00EC1C40" w:rsidRDefault="00000000">
      <w:pPr>
        <w:pStyle w:val="Titulekobrzku0"/>
        <w:framePr w:wrap="none" w:vAnchor="page" w:hAnchor="page" w:x="3197" w:y="6759"/>
      </w:pPr>
      <w:r>
        <w:rPr>
          <w:color w:val="6ACBDC"/>
        </w:rPr>
        <w:t>5'6/25</w:t>
      </w:r>
    </w:p>
    <w:p w14:paraId="499E41C2" w14:textId="77777777" w:rsidR="00EC1C40" w:rsidRDefault="00000000">
      <w:pPr>
        <w:pStyle w:val="Titulekobrzku0"/>
        <w:framePr w:wrap="none" w:vAnchor="page" w:hAnchor="page" w:x="4945" w:y="6792"/>
        <w:jc w:val="both"/>
      </w:pPr>
      <w:r>
        <w:rPr>
          <w:color w:val="6ACBDC"/>
        </w:rPr>
        <w:t>937/3</w:t>
      </w:r>
    </w:p>
    <w:p w14:paraId="574D7C94" w14:textId="77777777" w:rsidR="00EC1C40" w:rsidRDefault="00000000">
      <w:pPr>
        <w:pStyle w:val="Titulekobrzku0"/>
        <w:framePr w:wrap="none" w:vAnchor="page" w:hAnchor="page" w:x="2799" w:y="6912"/>
      </w:pPr>
      <w:r>
        <w:rPr>
          <w:color w:val="6ACBDC"/>
        </w:rPr>
        <w:t>15&lt;i</w:t>
      </w:r>
    </w:p>
    <w:p w14:paraId="52B11015" w14:textId="77777777" w:rsidR="00EC1C40" w:rsidRDefault="00000000">
      <w:pPr>
        <w:pStyle w:val="Titulekobrzku0"/>
        <w:framePr w:wrap="none" w:vAnchor="page" w:hAnchor="page" w:x="1229" w:y="6912"/>
      </w:pPr>
      <w:r>
        <w:rPr>
          <w:b w:val="0"/>
          <w:bCs w:val="0"/>
          <w:color w:val="6ACBDC"/>
        </w:rPr>
        <w:t>4237/5</w:t>
      </w:r>
    </w:p>
    <w:p w14:paraId="6DC2D90E" w14:textId="77777777" w:rsidR="00EC1C40" w:rsidRDefault="00000000">
      <w:pPr>
        <w:pStyle w:val="Titulekobrzku0"/>
        <w:framePr w:wrap="none" w:vAnchor="page" w:hAnchor="page" w:x="6543" w:y="6922"/>
        <w:jc w:val="both"/>
      </w:pPr>
      <w:r>
        <w:rPr>
          <w:color w:val="6ACBDC"/>
        </w:rPr>
        <w:t>5168/4</w:t>
      </w:r>
    </w:p>
    <w:p w14:paraId="670DEFB6" w14:textId="77777777" w:rsidR="00EC1C40" w:rsidRDefault="00000000">
      <w:pPr>
        <w:pStyle w:val="Titulekobrzku0"/>
        <w:framePr w:wrap="none" w:vAnchor="page" w:hAnchor="page" w:x="879" w:y="6932"/>
        <w:jc w:val="both"/>
      </w:pPr>
      <w:r>
        <w:rPr>
          <w:color w:val="6ACBDC"/>
        </w:rPr>
        <w:t>4292/1</w:t>
      </w:r>
    </w:p>
    <w:p w14:paraId="1CB1FC40" w14:textId="77777777" w:rsidR="00EC1C40" w:rsidRDefault="00000000">
      <w:pPr>
        <w:pStyle w:val="Titulekobrzku0"/>
        <w:framePr w:wrap="none" w:vAnchor="page" w:hAnchor="page" w:x="6922" w:y="6946"/>
        <w:jc w:val="both"/>
      </w:pPr>
      <w:r>
        <w:rPr>
          <w:color w:val="6ACBDC"/>
        </w:rPr>
        <w:t>5168/31</w:t>
      </w:r>
    </w:p>
    <w:p w14:paraId="7326E2A3" w14:textId="77777777" w:rsidR="00EC1C40" w:rsidRDefault="00000000">
      <w:pPr>
        <w:pStyle w:val="Titulekobrzku0"/>
        <w:framePr w:wrap="none" w:vAnchor="page" w:hAnchor="page" w:x="7330" w:y="6951"/>
        <w:jc w:val="both"/>
      </w:pPr>
      <w:r>
        <w:rPr>
          <w:color w:val="6ACBDC"/>
        </w:rPr>
        <w:t>5168/22</w:t>
      </w:r>
    </w:p>
    <w:p w14:paraId="35D17AAE" w14:textId="77777777" w:rsidR="00EC1C40" w:rsidRDefault="00000000">
      <w:pPr>
        <w:pStyle w:val="Titulekobrzku0"/>
        <w:framePr w:wrap="none" w:vAnchor="page" w:hAnchor="page" w:x="2137" w:y="7008"/>
        <w:jc w:val="both"/>
      </w:pPr>
      <w:r>
        <w:rPr>
          <w:color w:val="6ACBDC"/>
        </w:rPr>
        <w:t>3648/1</w:t>
      </w:r>
    </w:p>
    <w:p w14:paraId="405C3B9B" w14:textId="77777777" w:rsidR="00EC1C40" w:rsidRDefault="00000000">
      <w:pPr>
        <w:pStyle w:val="Titulekobrzku0"/>
        <w:framePr w:wrap="none" w:vAnchor="page" w:hAnchor="page" w:x="3687" w:y="7008"/>
        <w:jc w:val="both"/>
      </w:pPr>
      <w:r>
        <w:rPr>
          <w:color w:val="6ACBDC"/>
        </w:rPr>
        <w:t>3684/1</w:t>
      </w:r>
    </w:p>
    <w:p w14:paraId="2D676D58" w14:textId="77777777" w:rsidR="00EC1C40" w:rsidRDefault="00000000">
      <w:pPr>
        <w:pStyle w:val="Titulekobrzku0"/>
        <w:framePr w:wrap="none" w:vAnchor="page" w:hAnchor="page" w:x="1618" w:y="7071"/>
        <w:jc w:val="both"/>
      </w:pPr>
      <w:r>
        <w:rPr>
          <w:color w:val="6ACBDC"/>
        </w:rPr>
        <w:t>4297/1</w:t>
      </w:r>
    </w:p>
    <w:p w14:paraId="73DAA01C" w14:textId="77777777" w:rsidR="00EC1C40" w:rsidRDefault="00000000">
      <w:pPr>
        <w:pStyle w:val="Titulekobrzku0"/>
        <w:framePr w:wrap="none" w:vAnchor="page" w:hAnchor="page" w:x="442" w:y="7104"/>
        <w:jc w:val="both"/>
      </w:pPr>
      <w:r>
        <w:rPr>
          <w:color w:val="6ACBDC"/>
        </w:rPr>
        <w:t>4291</w:t>
      </w:r>
    </w:p>
    <w:p w14:paraId="253D3587" w14:textId="77777777" w:rsidR="00EC1C40" w:rsidRDefault="00000000">
      <w:pPr>
        <w:pStyle w:val="Titulekobrzku0"/>
        <w:framePr w:wrap="none" w:vAnchor="page" w:hAnchor="page" w:x="7493" w:y="7104"/>
        <w:jc w:val="both"/>
      </w:pPr>
      <w:r>
        <w:rPr>
          <w:color w:val="6ACBDC"/>
        </w:rPr>
        <w:t>5168/42</w:t>
      </w:r>
    </w:p>
    <w:p w14:paraId="383B507D" w14:textId="77777777" w:rsidR="00EC1C40" w:rsidRDefault="00000000">
      <w:pPr>
        <w:pStyle w:val="Titulekobrzku0"/>
        <w:framePr w:wrap="none" w:vAnchor="page" w:hAnchor="page" w:x="7781" w:y="7162"/>
        <w:jc w:val="both"/>
      </w:pPr>
      <w:r>
        <w:rPr>
          <w:color w:val="6ACBDC"/>
        </w:rPr>
        <w:t>5168/43</w:t>
      </w:r>
    </w:p>
    <w:p w14:paraId="568B9A15" w14:textId="77777777" w:rsidR="00EC1C40" w:rsidRDefault="00000000">
      <w:pPr>
        <w:pStyle w:val="Titulekobrzku0"/>
        <w:framePr w:wrap="none" w:vAnchor="page" w:hAnchor="page" w:x="3135" w:y="7191"/>
      </w:pPr>
      <w:r>
        <w:rPr>
          <w:color w:val="6ACBDC"/>
        </w:rPr>
        <w:t>3680/3</w:t>
      </w:r>
    </w:p>
    <w:p w14:paraId="44A30D31" w14:textId="77777777" w:rsidR="00EC1C40" w:rsidRDefault="00000000">
      <w:pPr>
        <w:pStyle w:val="Titulekobrzku0"/>
        <w:framePr w:wrap="none" w:vAnchor="page" w:hAnchor="page" w:x="6409" w:y="7200"/>
        <w:jc w:val="both"/>
      </w:pPr>
      <w:r>
        <w:rPr>
          <w:color w:val="6ACBDC"/>
        </w:rPr>
        <w:t>1-2-1</w:t>
      </w:r>
    </w:p>
    <w:p w14:paraId="3E3DEA6A" w14:textId="77777777" w:rsidR="00EC1C40" w:rsidRDefault="00000000">
      <w:pPr>
        <w:pStyle w:val="Titulekobrzku0"/>
        <w:framePr w:wrap="none" w:vAnchor="page" w:hAnchor="page" w:x="1287" w:y="7272"/>
      </w:pPr>
      <w:r>
        <w:rPr>
          <w:color w:val="6ACBDC"/>
        </w:rPr>
        <w:t>4237/6</w:t>
      </w:r>
    </w:p>
    <w:p w14:paraId="6856C7A3" w14:textId="77777777" w:rsidR="00EC1C40" w:rsidRDefault="00000000">
      <w:pPr>
        <w:pStyle w:val="Titulekobrzku0"/>
        <w:framePr w:wrap="none" w:vAnchor="page" w:hAnchor="page" w:x="8881" w:y="7349"/>
        <w:jc w:val="both"/>
      </w:pPr>
      <w:r>
        <w:rPr>
          <w:color w:val="6ACBDC"/>
        </w:rPr>
        <w:t>4308</w:t>
      </w:r>
    </w:p>
    <w:p w14:paraId="64359DF7" w14:textId="77777777" w:rsidR="00EC1C40" w:rsidRDefault="00000000">
      <w:pPr>
        <w:pStyle w:val="Titulekobrzku0"/>
        <w:framePr w:wrap="none" w:vAnchor="page" w:hAnchor="page" w:x="980" w:y="7354"/>
      </w:pPr>
      <w:r>
        <w:rPr>
          <w:color w:val="6ACBDC"/>
        </w:rPr>
        <w:t>4292/2</w:t>
      </w:r>
    </w:p>
    <w:p w14:paraId="77FA0031" w14:textId="77777777" w:rsidR="00EC1C40" w:rsidRDefault="00000000">
      <w:pPr>
        <w:pStyle w:val="Titulekobrzku0"/>
        <w:framePr w:wrap="none" w:vAnchor="page" w:hAnchor="page" w:x="1181" w:y="7431"/>
        <w:jc w:val="both"/>
      </w:pPr>
      <w:r>
        <w:rPr>
          <w:color w:val="6ACBDC"/>
        </w:rPr>
        <w:t>4292/6</w:t>
      </w:r>
    </w:p>
    <w:p w14:paraId="4CE6547B" w14:textId="77777777" w:rsidR="00EC1C40" w:rsidRDefault="00000000">
      <w:pPr>
        <w:pStyle w:val="Titulekobrzku0"/>
        <w:framePr w:wrap="none" w:vAnchor="page" w:hAnchor="page" w:x="2597" w:y="7474"/>
      </w:pPr>
      <w:r>
        <w:rPr>
          <w:color w:val="6ACBDC"/>
        </w:rPr>
        <w:t>3505</w:t>
      </w:r>
    </w:p>
    <w:p w14:paraId="3B43D61D" w14:textId="77777777" w:rsidR="00EC1C40" w:rsidRDefault="00000000">
      <w:pPr>
        <w:pStyle w:val="Titulekobrzku0"/>
        <w:framePr w:wrap="none" w:vAnchor="page" w:hAnchor="page" w:x="965" w:y="7594"/>
        <w:jc w:val="both"/>
      </w:pPr>
      <w:r>
        <w:rPr>
          <w:color w:val="6ACBDC"/>
        </w:rPr>
        <w:t>4292/7</w:t>
      </w:r>
    </w:p>
    <w:p w14:paraId="3479F1CD" w14:textId="77777777" w:rsidR="00EC1C40" w:rsidRDefault="00000000">
      <w:pPr>
        <w:pStyle w:val="Titulekobrzku0"/>
        <w:framePr w:wrap="none" w:vAnchor="page" w:hAnchor="page" w:x="6677" w:y="7628"/>
        <w:jc w:val="both"/>
      </w:pPr>
      <w:r>
        <w:rPr>
          <w:color w:val="6ACBDC"/>
        </w:rPr>
        <w:t>3698/8</w:t>
      </w:r>
    </w:p>
    <w:p w14:paraId="453E0217" w14:textId="77777777" w:rsidR="00EC1C40" w:rsidRDefault="00000000">
      <w:pPr>
        <w:pStyle w:val="Titulekobrzku0"/>
        <w:framePr w:wrap="none" w:vAnchor="page" w:hAnchor="page" w:x="3337" w:y="7704"/>
        <w:jc w:val="both"/>
      </w:pPr>
      <w:r>
        <w:rPr>
          <w:color w:val="EC1C23"/>
        </w:rPr>
        <w:t>■4300</w:t>
      </w:r>
    </w:p>
    <w:p w14:paraId="76E3042B" w14:textId="77777777" w:rsidR="00EC1C40" w:rsidRDefault="00000000">
      <w:pPr>
        <w:pStyle w:val="Titulekobrzku0"/>
        <w:framePr w:wrap="none" w:vAnchor="page" w:hAnchor="page" w:x="826" w:y="7748"/>
      </w:pPr>
      <w:r>
        <w:rPr>
          <w:color w:val="6ACBDC"/>
        </w:rPr>
        <w:t>4292/8</w:t>
      </w:r>
    </w:p>
    <w:p w14:paraId="7E23E153" w14:textId="77777777" w:rsidR="00EC1C40" w:rsidRDefault="00000000">
      <w:pPr>
        <w:pStyle w:val="Titulekobrzku0"/>
        <w:framePr w:wrap="none" w:vAnchor="page" w:hAnchor="page" w:x="1767" w:y="7944"/>
      </w:pPr>
      <w:r>
        <w:rPr>
          <w:color w:val="6ACBDC"/>
        </w:rPr>
        <w:t>3652</w:t>
      </w:r>
    </w:p>
    <w:p w14:paraId="41882929" w14:textId="77777777" w:rsidR="00EC1C40" w:rsidRDefault="00000000">
      <w:pPr>
        <w:pStyle w:val="Titulekobrzku0"/>
        <w:framePr w:wrap="none" w:vAnchor="page" w:hAnchor="page" w:x="5108" w:y="7944"/>
      </w:pPr>
      <w:r>
        <w:rPr>
          <w:color w:val="6ACBDC"/>
        </w:rPr>
        <w:t>4360/7</w:t>
      </w:r>
    </w:p>
    <w:p w14:paraId="1F9FD50D" w14:textId="77777777" w:rsidR="00EC1C40" w:rsidRDefault="00000000">
      <w:pPr>
        <w:pStyle w:val="Titulekobrzku0"/>
        <w:framePr w:wrap="none" w:vAnchor="page" w:hAnchor="page" w:x="3097" w:y="7973"/>
      </w:pPr>
      <w:r>
        <w:rPr>
          <w:color w:val="6ACBDC"/>
        </w:rPr>
        <w:t>4282/1</w:t>
      </w:r>
    </w:p>
    <w:p w14:paraId="51BD0E51" w14:textId="77777777" w:rsidR="00EC1C40" w:rsidRDefault="00000000">
      <w:pPr>
        <w:pStyle w:val="Titulekobrzku0"/>
        <w:framePr w:wrap="none" w:vAnchor="page" w:hAnchor="page" w:x="682" w:y="8050"/>
      </w:pPr>
      <w:r>
        <w:rPr>
          <w:color w:val="6ACBDC"/>
        </w:rPr>
        <w:t>10770</w:t>
      </w:r>
    </w:p>
    <w:p w14:paraId="5CDB14E9" w14:textId="77777777" w:rsidR="00EC1C40" w:rsidRDefault="00000000">
      <w:pPr>
        <w:pStyle w:val="Titulekobrzku0"/>
        <w:framePr w:wrap="none" w:vAnchor="page" w:hAnchor="page" w:x="889" w:y="8194"/>
      </w:pPr>
      <w:r>
        <w:rPr>
          <w:color w:val="6ACBDC"/>
        </w:rPr>
        <w:t>4288/2</w:t>
      </w:r>
    </w:p>
    <w:p w14:paraId="5BBE2687" w14:textId="77777777" w:rsidR="00EC1C40" w:rsidRDefault="00000000">
      <w:pPr>
        <w:pStyle w:val="Titulekobrzku0"/>
        <w:framePr w:w="101" w:h="101" w:hRule="exact" w:wrap="none" w:vAnchor="page" w:hAnchor="page" w:x="6361" w:y="8280"/>
        <w:jc w:val="right"/>
      </w:pPr>
      <w:r>
        <w:rPr>
          <w:color w:val="6ACBDC"/>
        </w:rPr>
        <w:t>9279</w:t>
      </w:r>
    </w:p>
    <w:p w14:paraId="28D8FADC" w14:textId="77777777" w:rsidR="00EC1C40" w:rsidRDefault="00000000">
      <w:pPr>
        <w:pStyle w:val="Titulekobrzku0"/>
        <w:framePr w:wrap="none" w:vAnchor="page" w:hAnchor="page" w:x="1402" w:y="8386"/>
        <w:jc w:val="both"/>
      </w:pPr>
      <w:r>
        <w:rPr>
          <w:color w:val="6ACBDC"/>
        </w:rPr>
        <w:t>365/</w:t>
      </w:r>
    </w:p>
    <w:p w14:paraId="271CA064" w14:textId="77777777" w:rsidR="00EC1C40" w:rsidRDefault="00000000">
      <w:pPr>
        <w:pStyle w:val="Titulekobrzku0"/>
        <w:framePr w:wrap="none" w:vAnchor="page" w:hAnchor="page" w:x="3092" w:y="8386"/>
      </w:pPr>
      <w:r>
        <w:rPr>
          <w:color w:val="6ACBDC"/>
        </w:rPr>
        <w:t>4282/2</w:t>
      </w:r>
    </w:p>
    <w:p w14:paraId="1041E756" w14:textId="77777777" w:rsidR="00EC1C40" w:rsidRDefault="00000000">
      <w:pPr>
        <w:pStyle w:val="Titulekobrzku0"/>
        <w:framePr w:wrap="none" w:vAnchor="page" w:hAnchor="page" w:x="7345" w:y="8391"/>
        <w:jc w:val="both"/>
      </w:pPr>
      <w:r>
        <w:rPr>
          <w:color w:val="6ACBDC"/>
        </w:rPr>
        <w:t>1574/9</w:t>
      </w:r>
    </w:p>
    <w:p w14:paraId="4B547AE6" w14:textId="77777777" w:rsidR="00EC1C40" w:rsidRDefault="00000000">
      <w:pPr>
        <w:pStyle w:val="Titulekobrzku0"/>
        <w:framePr w:wrap="none" w:vAnchor="page" w:hAnchor="page" w:x="2746" w:y="8415"/>
        <w:jc w:val="both"/>
      </w:pPr>
      <w:r>
        <w:rPr>
          <w:color w:val="6ACBDC"/>
        </w:rPr>
        <w:t>4281/2</w:t>
      </w:r>
    </w:p>
    <w:p w14:paraId="02FBAD4A" w14:textId="77777777" w:rsidR="00EC1C40" w:rsidRDefault="00000000">
      <w:pPr>
        <w:pStyle w:val="Titulekobrzku0"/>
        <w:framePr w:wrap="none" w:vAnchor="page" w:hAnchor="page" w:x="1100" w:y="8463"/>
        <w:jc w:val="both"/>
      </w:pPr>
      <w:r>
        <w:rPr>
          <w:color w:val="EC1C23"/>
        </w:rPr>
        <w:t>3615/1</w:t>
      </w:r>
    </w:p>
    <w:p w14:paraId="0C339A4C" w14:textId="77777777" w:rsidR="00EC1C40" w:rsidRDefault="00000000">
      <w:pPr>
        <w:pStyle w:val="Titulekobrzku0"/>
        <w:framePr w:wrap="none" w:vAnchor="page" w:hAnchor="page" w:x="4052" w:y="8602"/>
        <w:jc w:val="both"/>
      </w:pPr>
      <w:r>
        <w:rPr>
          <w:color w:val="6ACBDC"/>
        </w:rPr>
        <w:t>4381</w:t>
      </w:r>
    </w:p>
    <w:p w14:paraId="32B301BF" w14:textId="77777777" w:rsidR="00EC1C40" w:rsidRDefault="00000000">
      <w:pPr>
        <w:pStyle w:val="Titulekobrzku0"/>
        <w:framePr w:wrap="none" w:vAnchor="page" w:hAnchor="page" w:x="3634" w:y="8703"/>
      </w:pPr>
      <w:r>
        <w:rPr>
          <w:color w:val="6ACBDC"/>
        </w:rPr>
        <w:t>4382/2</w:t>
      </w:r>
    </w:p>
    <w:p w14:paraId="1856C656" w14:textId="77777777" w:rsidR="00EC1C40" w:rsidRDefault="00000000">
      <w:pPr>
        <w:pStyle w:val="Titulekobrzku0"/>
        <w:framePr w:w="91" w:h="96" w:hRule="exact" w:wrap="none" w:vAnchor="page" w:hAnchor="page" w:x="7383" w:y="8736"/>
        <w:ind w:right="15"/>
        <w:jc w:val="right"/>
      </w:pPr>
      <w:r>
        <w:rPr>
          <w:color w:val="6ACBDC"/>
        </w:rPr>
        <w:t>15-0</w:t>
      </w:r>
    </w:p>
    <w:p w14:paraId="5403802F" w14:textId="77777777" w:rsidR="00EC1C40" w:rsidRDefault="00000000">
      <w:pPr>
        <w:pStyle w:val="Titulekobrzku0"/>
        <w:framePr w:wrap="none" w:vAnchor="page" w:hAnchor="page" w:x="1916" w:y="8736"/>
      </w:pPr>
      <w:r>
        <w:rPr>
          <w:color w:val="6ACBDC"/>
        </w:rPr>
        <w:t>&lt;863</w:t>
      </w:r>
    </w:p>
    <w:p w14:paraId="25597057" w14:textId="77777777" w:rsidR="00EC1C40" w:rsidRDefault="00000000">
      <w:pPr>
        <w:pStyle w:val="Titulekobrzku0"/>
        <w:framePr w:wrap="none" w:vAnchor="page" w:hAnchor="page" w:x="2511" w:y="8736"/>
        <w:jc w:val="both"/>
      </w:pPr>
      <w:r>
        <w:rPr>
          <w:color w:val="6ACBDC"/>
        </w:rPr>
        <w:t>4285/1</w:t>
      </w:r>
    </w:p>
    <w:p w14:paraId="733792EB" w14:textId="77777777" w:rsidR="00EC1C40" w:rsidRDefault="00000000">
      <w:pPr>
        <w:pStyle w:val="Titulekobrzku0"/>
        <w:framePr w:wrap="none" w:vAnchor="page" w:hAnchor="page" w:x="3015" w:y="8837"/>
      </w:pPr>
      <w:r>
        <w:rPr>
          <w:color w:val="6ACBDC"/>
        </w:rPr>
        <w:t>4283</w:t>
      </w:r>
    </w:p>
    <w:p w14:paraId="360C2EFE" w14:textId="77777777" w:rsidR="00EC1C40" w:rsidRDefault="00000000">
      <w:pPr>
        <w:pStyle w:val="Titulekobrzku0"/>
        <w:framePr w:wrap="none" w:vAnchor="page" w:hAnchor="page" w:x="394" w:y="8847"/>
      </w:pPr>
      <w:r>
        <w:rPr>
          <w:color w:val="6ACBDC"/>
        </w:rPr>
        <w:t>66&lt;/9</w:t>
      </w:r>
    </w:p>
    <w:p w14:paraId="0C73963A" w14:textId="77777777" w:rsidR="00EC1C40" w:rsidRDefault="00000000">
      <w:pPr>
        <w:pStyle w:val="Titulekobrzku0"/>
        <w:framePr w:wrap="none" w:vAnchor="page" w:hAnchor="page" w:x="1359" w:y="8847"/>
        <w:jc w:val="both"/>
      </w:pPr>
      <w:r>
        <w:rPr>
          <w:color w:val="6ACBDC"/>
        </w:rPr>
        <w:t>3685</w:t>
      </w:r>
    </w:p>
    <w:p w14:paraId="4956DB47" w14:textId="77777777" w:rsidR="00EC1C40" w:rsidRDefault="00000000">
      <w:pPr>
        <w:pStyle w:val="Titulekobrzku0"/>
        <w:framePr w:wrap="none" w:vAnchor="page" w:hAnchor="page" w:x="2324" w:y="8943"/>
      </w:pPr>
      <w:r>
        <w:rPr>
          <w:color w:val="6ACBDC"/>
        </w:rPr>
        <w:t>4321/5</w:t>
      </w:r>
    </w:p>
    <w:p w14:paraId="24271314" w14:textId="77777777" w:rsidR="00EC1C40" w:rsidRDefault="00000000">
      <w:pPr>
        <w:pStyle w:val="Titulekobrzku0"/>
        <w:framePr w:wrap="none" w:vAnchor="page" w:hAnchor="page" w:x="6759" w:y="8957"/>
        <w:jc w:val="both"/>
      </w:pPr>
      <w:r>
        <w:rPr>
          <w:color w:val="6ACBDC"/>
        </w:rPr>
        <w:t>1572/7</w:t>
      </w:r>
    </w:p>
    <w:p w14:paraId="0A13A968" w14:textId="77777777" w:rsidR="00EC1C40" w:rsidRDefault="00000000">
      <w:pPr>
        <w:pStyle w:val="Titulekobrzku0"/>
        <w:framePr w:wrap="none" w:vAnchor="page" w:hAnchor="page" w:x="8823" w:y="8976"/>
        <w:jc w:val="both"/>
      </w:pPr>
      <w:r>
        <w:rPr>
          <w:color w:val="6ACBDC"/>
        </w:rPr>
        <w:t>5168/&lt;5</w:t>
      </w:r>
    </w:p>
    <w:p w14:paraId="2F56A4AB" w14:textId="77777777" w:rsidR="00EC1C40" w:rsidRDefault="00000000">
      <w:pPr>
        <w:pStyle w:val="Titulekobrzku0"/>
        <w:framePr w:wrap="none" w:vAnchor="page" w:hAnchor="page" w:x="543" w:y="8986"/>
      </w:pPr>
      <w:r>
        <w:rPr>
          <w:color w:val="6ACBDC"/>
        </w:rPr>
        <w:t>3613</w:t>
      </w:r>
    </w:p>
    <w:p w14:paraId="29F7FC34" w14:textId="77777777" w:rsidR="00EC1C40" w:rsidRDefault="00000000">
      <w:pPr>
        <w:pStyle w:val="Titulekobrzku0"/>
        <w:framePr w:wrap="none" w:vAnchor="page" w:hAnchor="page" w:x="2689" w:y="9096"/>
      </w:pPr>
      <w:r>
        <w:rPr>
          <w:color w:val="6ACBDC"/>
        </w:rPr>
        <w:t>&lt;853</w:t>
      </w:r>
    </w:p>
    <w:p w14:paraId="299326B1" w14:textId="77777777" w:rsidR="00EC1C40" w:rsidRDefault="00000000">
      <w:pPr>
        <w:pStyle w:val="Titulekobrzku0"/>
        <w:framePr w:wrap="none" w:vAnchor="page" w:hAnchor="page" w:x="6937" w:y="9096"/>
        <w:jc w:val="both"/>
      </w:pPr>
      <w:r>
        <w:rPr>
          <w:color w:val="6ACBDC"/>
        </w:rPr>
        <w:t>'15-1</w:t>
      </w:r>
    </w:p>
    <w:p w14:paraId="0D4018F0" w14:textId="77777777" w:rsidR="00EC1C40" w:rsidRDefault="00000000">
      <w:pPr>
        <w:pStyle w:val="Titulekobrzku0"/>
        <w:framePr w:wrap="none" w:vAnchor="page" w:hAnchor="page" w:x="1378" w:y="9125"/>
      </w:pPr>
      <w:r>
        <w:rPr>
          <w:color w:val="6ACBDC"/>
        </w:rPr>
        <w:t>&lt;323/5</w:t>
      </w:r>
    </w:p>
    <w:p w14:paraId="6F097159" w14:textId="77777777" w:rsidR="00EC1C40" w:rsidRDefault="00000000">
      <w:pPr>
        <w:pStyle w:val="Titulekobrzku0"/>
        <w:framePr w:wrap="none" w:vAnchor="page" w:hAnchor="page" w:x="4930" w:y="9125"/>
      </w:pPr>
      <w:r>
        <w:rPr>
          <w:color w:val="6ACBDC"/>
        </w:rPr>
        <w:t>&lt;360/6</w:t>
      </w:r>
    </w:p>
    <w:p w14:paraId="584E4C15" w14:textId="77777777" w:rsidR="00EC1C40" w:rsidRDefault="00000000">
      <w:pPr>
        <w:pStyle w:val="Titulekobrzku0"/>
        <w:framePr w:wrap="none" w:vAnchor="page" w:hAnchor="page" w:x="1748" w:y="9178"/>
      </w:pPr>
      <w:r>
        <w:rPr>
          <w:color w:val="6ACBDC"/>
        </w:rPr>
        <w:t>11062</w:t>
      </w:r>
    </w:p>
    <w:p w14:paraId="4EC99912" w14:textId="77777777" w:rsidR="00EC1C40" w:rsidRDefault="00000000">
      <w:pPr>
        <w:pStyle w:val="Titulekobrzku0"/>
        <w:framePr w:wrap="none" w:vAnchor="page" w:hAnchor="page" w:x="3725" w:y="9178"/>
      </w:pPr>
      <w:r>
        <w:rPr>
          <w:color w:val="6ACBDC"/>
        </w:rPr>
        <w:t>&lt;382/5</w:t>
      </w:r>
    </w:p>
    <w:p w14:paraId="27022068" w14:textId="77777777" w:rsidR="00EC1C40" w:rsidRDefault="00000000">
      <w:pPr>
        <w:pStyle w:val="Titulekobrzku0"/>
        <w:framePr w:w="106" w:h="115" w:hRule="exact" w:wrap="none" w:vAnchor="page" w:hAnchor="page" w:x="6029" w:y="9178"/>
        <w:ind w:right="5"/>
        <w:jc w:val="right"/>
      </w:pPr>
      <w:r>
        <w:rPr>
          <w:color w:val="6ACBDC"/>
        </w:rPr>
        <w:t>435-1</w:t>
      </w:r>
    </w:p>
    <w:p w14:paraId="17A1F998" w14:textId="77777777" w:rsidR="00EC1C40" w:rsidRDefault="00000000">
      <w:pPr>
        <w:pStyle w:val="Titulekobrzku0"/>
        <w:framePr w:wrap="none" w:vAnchor="page" w:hAnchor="page" w:x="2396" w:y="9216"/>
        <w:jc w:val="both"/>
      </w:pPr>
      <w:r>
        <w:rPr>
          <w:color w:val="6ACBDC"/>
        </w:rPr>
        <w:t>&lt;321/1</w:t>
      </w:r>
    </w:p>
    <w:p w14:paraId="3BF0FE75" w14:textId="77777777" w:rsidR="00EC1C40" w:rsidRDefault="00000000">
      <w:pPr>
        <w:pStyle w:val="Titulekobrzku0"/>
        <w:framePr w:wrap="none" w:vAnchor="page" w:hAnchor="page" w:x="2698" w:y="9216"/>
      </w:pPr>
      <w:r>
        <w:rPr>
          <w:color w:val="6ACBDC"/>
        </w:rPr>
        <w:t>&lt;31</w:t>
      </w:r>
    </w:p>
    <w:p w14:paraId="275E97DC" w14:textId="77777777" w:rsidR="00EC1C40" w:rsidRDefault="00000000">
      <w:pPr>
        <w:pStyle w:val="Titulekobrzku0"/>
        <w:framePr w:wrap="none" w:vAnchor="page" w:hAnchor="page" w:x="341" w:y="9394"/>
        <w:jc w:val="both"/>
      </w:pPr>
      <w:r>
        <w:rPr>
          <w:color w:val="6ACBDC"/>
        </w:rPr>
        <w:t>1«6</w:t>
      </w:r>
    </w:p>
    <w:p w14:paraId="72F4A617" w14:textId="77777777" w:rsidR="00EC1C40" w:rsidRDefault="00000000">
      <w:pPr>
        <w:pStyle w:val="Titulekobrzku0"/>
        <w:framePr w:wrap="none" w:vAnchor="page" w:hAnchor="page" w:x="3015" w:y="9399"/>
      </w:pPr>
      <w:r>
        <w:rPr>
          <w:color w:val="6ACBDC"/>
        </w:rPr>
        <w:t>&lt;320</w:t>
      </w:r>
    </w:p>
    <w:p w14:paraId="2E94B206" w14:textId="77777777" w:rsidR="00EC1C40" w:rsidRDefault="00000000">
      <w:pPr>
        <w:pStyle w:val="Titulekobrzku0"/>
        <w:framePr w:wrap="none" w:vAnchor="page" w:hAnchor="page" w:x="7037" w:y="9432"/>
        <w:jc w:val="both"/>
      </w:pPr>
      <w:r>
        <w:rPr>
          <w:color w:val="6ACBDC"/>
        </w:rPr>
        <w:t>157&lt;/10</w:t>
      </w:r>
    </w:p>
    <w:p w14:paraId="197E58CA" w14:textId="77777777" w:rsidR="00EC1C40" w:rsidRDefault="00000000">
      <w:pPr>
        <w:pStyle w:val="Titulekobrzku0"/>
        <w:framePr w:wrap="none" w:vAnchor="page" w:hAnchor="page" w:x="4325" w:y="9442"/>
      </w:pPr>
      <w:r>
        <w:rPr>
          <w:color w:val="6ACBDC"/>
        </w:rPr>
        <w:t>&lt;383/1</w:t>
      </w:r>
    </w:p>
    <w:p w14:paraId="1F20F13C" w14:textId="77777777" w:rsidR="00EC1C40" w:rsidRDefault="00000000">
      <w:pPr>
        <w:pStyle w:val="Titulekobrzku0"/>
        <w:framePr w:wrap="none" w:vAnchor="page" w:hAnchor="page" w:x="5813" w:y="9442"/>
        <w:jc w:val="both"/>
      </w:pPr>
      <w:r>
        <w:rPr>
          <w:color w:val="6ACBDC"/>
        </w:rPr>
        <w:t>1579/6</w:t>
      </w:r>
    </w:p>
    <w:p w14:paraId="4DD358F2" w14:textId="77777777" w:rsidR="00EC1C40" w:rsidRDefault="00000000">
      <w:pPr>
        <w:pStyle w:val="Titulekobrzku0"/>
        <w:framePr w:wrap="none" w:vAnchor="page" w:hAnchor="page" w:x="6817" w:y="9509"/>
        <w:ind w:right="5"/>
        <w:jc w:val="both"/>
      </w:pPr>
      <w:r>
        <w:rPr>
          <w:color w:val="6ACBDC"/>
        </w:rPr>
        <w:t>1572/10</w:t>
      </w:r>
    </w:p>
    <w:p w14:paraId="40082710" w14:textId="77777777" w:rsidR="00EC1C40" w:rsidRDefault="00000000">
      <w:pPr>
        <w:pStyle w:val="Titulekobrzku0"/>
        <w:framePr w:w="115" w:h="86" w:hRule="exact" w:wrap="none" w:vAnchor="page" w:hAnchor="page" w:x="5223" w:y="9562"/>
        <w:jc w:val="right"/>
      </w:pPr>
      <w:r>
        <w:rPr>
          <w:color w:val="6ACBDC"/>
        </w:rPr>
        <w:t>&lt;360/5</w:t>
      </w:r>
    </w:p>
    <w:p w14:paraId="13CF60EA" w14:textId="77777777" w:rsidR="00EC1C40" w:rsidRDefault="00000000">
      <w:pPr>
        <w:pStyle w:val="Titulekobrzku0"/>
        <w:framePr w:wrap="none" w:vAnchor="page" w:hAnchor="page" w:x="389" w:y="9562"/>
      </w:pPr>
      <w:r>
        <w:rPr>
          <w:color w:val="6ACBDC"/>
        </w:rPr>
        <w:t>162</w:t>
      </w:r>
    </w:p>
    <w:p w14:paraId="15C5AB28" w14:textId="77777777" w:rsidR="00EC1C40" w:rsidRDefault="00000000">
      <w:pPr>
        <w:pStyle w:val="Titulekobrzku0"/>
        <w:framePr w:wrap="none" w:vAnchor="page" w:hAnchor="page" w:x="6442" w:y="9596"/>
        <w:jc w:val="both"/>
      </w:pPr>
      <w:r>
        <w:rPr>
          <w:color w:val="6ACBDC"/>
        </w:rPr>
        <w:t>1579/5</w:t>
      </w:r>
    </w:p>
    <w:p w14:paraId="5B43CF35" w14:textId="77777777" w:rsidR="00EC1C40" w:rsidRDefault="00000000">
      <w:pPr>
        <w:pStyle w:val="Titulekobrzku0"/>
        <w:framePr w:wrap="none" w:vAnchor="page" w:hAnchor="page" w:x="4642" w:y="9629"/>
      </w:pPr>
      <w:r>
        <w:rPr>
          <w:b w:val="0"/>
          <w:bCs w:val="0"/>
          <w:color w:val="6ACBDC"/>
        </w:rPr>
        <w:t>-'</w:t>
      </w:r>
    </w:p>
    <w:p w14:paraId="53710E80" w14:textId="77777777" w:rsidR="00EC1C40" w:rsidRDefault="00000000">
      <w:pPr>
        <w:pStyle w:val="Titulekobrzku0"/>
        <w:framePr w:wrap="none" w:vAnchor="page" w:hAnchor="page" w:x="3658" w:y="9653"/>
      </w:pPr>
      <w:r>
        <w:rPr>
          <w:color w:val="6ACBDC"/>
        </w:rPr>
        <w:t>&lt;382/6</w:t>
      </w:r>
    </w:p>
    <w:p w14:paraId="33463412" w14:textId="77777777" w:rsidR="00EC1C40" w:rsidRDefault="00000000">
      <w:pPr>
        <w:pStyle w:val="Titulekobrzku0"/>
        <w:framePr w:wrap="none" w:vAnchor="page" w:hAnchor="page" w:x="8117" w:y="9653"/>
        <w:ind w:right="15"/>
        <w:jc w:val="both"/>
      </w:pPr>
      <w:r>
        <w:rPr>
          <w:color w:val="6ACBDC"/>
        </w:rPr>
        <w:t>1563/13</w:t>
      </w:r>
    </w:p>
    <w:p w14:paraId="27485BC6" w14:textId="77777777" w:rsidR="00EC1C40" w:rsidRDefault="00000000">
      <w:pPr>
        <w:pStyle w:val="Titulekobrzku0"/>
        <w:framePr w:wrap="none" w:vAnchor="page" w:hAnchor="page" w:x="4282" w:y="9711"/>
        <w:jc w:val="both"/>
      </w:pPr>
      <w:r>
        <w:rPr>
          <w:color w:val="6ACBDC"/>
        </w:rPr>
        <w:t>&lt;383/3</w:t>
      </w:r>
    </w:p>
    <w:p w14:paraId="1DF58E7A" w14:textId="77777777" w:rsidR="00EC1C40" w:rsidRDefault="00000000">
      <w:pPr>
        <w:pStyle w:val="Titulekobrzku0"/>
        <w:framePr w:w="115" w:h="110" w:hRule="exact" w:wrap="none" w:vAnchor="page" w:hAnchor="page" w:x="4997" w:y="9792"/>
        <w:jc w:val="center"/>
      </w:pPr>
      <w:r>
        <w:rPr>
          <w:color w:val="6ACBDC"/>
        </w:rPr>
        <w:t>&lt;360/&lt;</w:t>
      </w:r>
    </w:p>
    <w:p w14:paraId="7067A619" w14:textId="77777777" w:rsidR="00EC1C40" w:rsidRDefault="00000000">
      <w:pPr>
        <w:pStyle w:val="Titulekobrzku0"/>
        <w:framePr w:wrap="none" w:vAnchor="page" w:hAnchor="page" w:x="4657" w:y="9792"/>
        <w:jc w:val="both"/>
      </w:pPr>
      <w:r>
        <w:rPr>
          <w:color w:val="6ACBDC"/>
        </w:rPr>
        <w:t>&lt;38&lt;/2</w:t>
      </w:r>
    </w:p>
    <w:p w14:paraId="535C0DBC" w14:textId="77777777" w:rsidR="00EC1C40" w:rsidRDefault="00000000">
      <w:pPr>
        <w:pStyle w:val="Titulekobrzku0"/>
        <w:framePr w:wrap="none" w:vAnchor="page" w:hAnchor="page" w:x="2746" w:y="9812"/>
      </w:pPr>
      <w:r>
        <w:rPr>
          <w:color w:val="6ACBDC"/>
        </w:rPr>
        <w:t>&lt;3-2</w:t>
      </w:r>
    </w:p>
    <w:p w14:paraId="0D87BA7E" w14:textId="77777777" w:rsidR="00EC1C40" w:rsidRDefault="00000000">
      <w:pPr>
        <w:pStyle w:val="Titulekobrzku0"/>
        <w:framePr w:wrap="none" w:vAnchor="page" w:hAnchor="page" w:x="994" w:y="9908"/>
      </w:pPr>
      <w:r>
        <w:rPr>
          <w:color w:val="6ACBDC"/>
        </w:rPr>
        <w:t>3609</w:t>
      </w:r>
    </w:p>
    <w:p w14:paraId="2B0A3B68" w14:textId="77777777" w:rsidR="00EC1C40" w:rsidRDefault="00000000">
      <w:pPr>
        <w:pStyle w:val="Titulekobrzku0"/>
        <w:framePr w:wrap="none" w:vAnchor="page" w:hAnchor="page" w:x="6255" w:y="9908"/>
        <w:jc w:val="both"/>
      </w:pPr>
      <w:r>
        <w:rPr>
          <w:color w:val="6ACBDC"/>
        </w:rPr>
        <w:t>157-/&lt;</w:t>
      </w:r>
    </w:p>
    <w:p w14:paraId="4295D122" w14:textId="77777777" w:rsidR="00EC1C40" w:rsidRDefault="00000000">
      <w:pPr>
        <w:pStyle w:val="Titulekobrzku0"/>
        <w:framePr w:wrap="none" w:vAnchor="page" w:hAnchor="page" w:x="3879" w:y="9927"/>
      </w:pPr>
      <w:r>
        <w:rPr>
          <w:color w:val="6ACBDC"/>
        </w:rPr>
        <w:t>&lt;385/2</w:t>
      </w:r>
    </w:p>
    <w:p w14:paraId="0884E2B7" w14:textId="77777777" w:rsidR="00EC1C40" w:rsidRDefault="00000000">
      <w:pPr>
        <w:pStyle w:val="Titulekobrzku0"/>
        <w:framePr w:wrap="none" w:vAnchor="page" w:hAnchor="page" w:x="3121" w:y="9927"/>
      </w:pPr>
      <w:r>
        <w:rPr>
          <w:color w:val="6ACBDC"/>
        </w:rPr>
        <w:t>3523</w:t>
      </w:r>
    </w:p>
    <w:p w14:paraId="6CFA4664" w14:textId="77777777" w:rsidR="00EC1C40" w:rsidRDefault="00000000">
      <w:pPr>
        <w:pStyle w:val="Titulekobrzku0"/>
        <w:framePr w:wrap="none" w:vAnchor="page" w:hAnchor="page" w:x="4431" w:y="9941"/>
        <w:ind w:right="9"/>
        <w:jc w:val="both"/>
      </w:pPr>
      <w:r>
        <w:rPr>
          <w:color w:val="6ACBDC"/>
        </w:rPr>
        <w:t>&lt;38&lt;/1</w:t>
      </w:r>
    </w:p>
    <w:p w14:paraId="586B6835" w14:textId="77777777" w:rsidR="00EC1C40" w:rsidRDefault="00000000">
      <w:pPr>
        <w:pStyle w:val="Titulekobrzku0"/>
        <w:framePr w:wrap="none" w:vAnchor="page" w:hAnchor="page" w:x="2175" w:y="9984"/>
        <w:jc w:val="both"/>
      </w:pPr>
      <w:r>
        <w:rPr>
          <w:color w:val="6ACBDC"/>
        </w:rPr>
        <w:t>d&lt;382 .</w:t>
      </w:r>
    </w:p>
    <w:p w14:paraId="2B899917" w14:textId="77777777" w:rsidR="00EC1C40" w:rsidRDefault="00000000">
      <w:pPr>
        <w:pStyle w:val="Titulekobrzku0"/>
        <w:framePr w:wrap="none" w:vAnchor="page" w:hAnchor="page" w:x="6860" w:y="9994"/>
        <w:jc w:val="both"/>
      </w:pPr>
      <w:r>
        <w:rPr>
          <w:color w:val="6ACBDC"/>
        </w:rPr>
        <w:t>158&lt;/12</w:t>
      </w:r>
    </w:p>
    <w:p w14:paraId="58C2C70B" w14:textId="77777777" w:rsidR="00EC1C40" w:rsidRDefault="00000000">
      <w:pPr>
        <w:pStyle w:val="Titulekobrzku0"/>
        <w:framePr w:wrap="none" w:vAnchor="page" w:hAnchor="page" w:x="6068" w:y="10042"/>
        <w:jc w:val="both"/>
      </w:pPr>
      <w:r>
        <w:rPr>
          <w:color w:val="6ACBDC"/>
        </w:rPr>
        <w:t>1158/3</w:t>
      </w:r>
    </w:p>
    <w:p w14:paraId="435AD9F9" w14:textId="77777777" w:rsidR="00EC1C40" w:rsidRDefault="00000000">
      <w:pPr>
        <w:pStyle w:val="Titulekobrzku0"/>
        <w:framePr w:wrap="none" w:vAnchor="page" w:hAnchor="page" w:x="9423" w:y="10080"/>
        <w:jc w:val="both"/>
      </w:pPr>
      <w:r>
        <w:rPr>
          <w:color w:val="6ACBDC"/>
        </w:rPr>
        <w:t>2566*</w:t>
      </w:r>
    </w:p>
    <w:p w14:paraId="0F68EB4B" w14:textId="77777777" w:rsidR="00EC1C40" w:rsidRDefault="00000000">
      <w:pPr>
        <w:pStyle w:val="Titulekobrzku0"/>
        <w:framePr w:wrap="none" w:vAnchor="page" w:hAnchor="page" w:x="5309" w:y="10090"/>
        <w:jc w:val="both"/>
      </w:pPr>
      <w:r>
        <w:rPr>
          <w:color w:val="6ACBDC"/>
        </w:rPr>
        <w:t>157-/3</w:t>
      </w:r>
    </w:p>
    <w:p w14:paraId="47175AD0" w14:textId="77777777" w:rsidR="00EC1C40" w:rsidRDefault="00000000">
      <w:pPr>
        <w:pStyle w:val="Titulekobrzku0"/>
        <w:framePr w:wrap="none" w:vAnchor="page" w:hAnchor="page" w:x="3860" w:y="10210"/>
        <w:jc w:val="both"/>
      </w:pPr>
      <w:r>
        <w:rPr>
          <w:color w:val="6ACBDC"/>
        </w:rPr>
        <w:t>&lt;385/1</w:t>
      </w:r>
    </w:p>
    <w:p w14:paraId="6603AABD" w14:textId="77777777" w:rsidR="00EC1C40" w:rsidRDefault="00000000">
      <w:pPr>
        <w:pStyle w:val="Titulekobrzku0"/>
        <w:framePr w:wrap="none" w:vAnchor="page" w:hAnchor="page" w:x="5799" w:y="10210"/>
        <w:jc w:val="both"/>
      </w:pPr>
      <w:r>
        <w:rPr>
          <w:color w:val="6ACBDC"/>
        </w:rPr>
        <w:t>1582/6</w:t>
      </w:r>
    </w:p>
    <w:p w14:paraId="35B9F1F2" w14:textId="77777777" w:rsidR="00EC1C40" w:rsidRDefault="00000000">
      <w:pPr>
        <w:pStyle w:val="Titulekobrzku0"/>
        <w:framePr w:wrap="none" w:vAnchor="page" w:hAnchor="page" w:x="797" w:y="10210"/>
      </w:pPr>
      <w:r>
        <w:rPr>
          <w:color w:val="6ACBDC"/>
        </w:rPr>
        <w:t>3608</w:t>
      </w:r>
    </w:p>
    <w:p w14:paraId="3983B039" w14:textId="77777777" w:rsidR="00EC1C40" w:rsidRDefault="00000000">
      <w:pPr>
        <w:pStyle w:val="Titulekobrzku0"/>
        <w:framePr w:wrap="none" w:vAnchor="page" w:hAnchor="page" w:x="3245" w:y="10224"/>
      </w:pPr>
      <w:r>
        <w:rPr>
          <w:color w:val="6ACBDC"/>
        </w:rPr>
        <w:t>352&lt;</w:t>
      </w:r>
    </w:p>
    <w:p w14:paraId="0C0C5659" w14:textId="77777777" w:rsidR="00EC1C40" w:rsidRDefault="00000000">
      <w:pPr>
        <w:pStyle w:val="Titulekobrzku0"/>
        <w:framePr w:wrap="none" w:vAnchor="page" w:hAnchor="page" w:x="6697" w:y="10344"/>
        <w:jc w:val="both"/>
      </w:pPr>
      <w:r>
        <w:rPr>
          <w:color w:val="6ACBDC"/>
        </w:rPr>
        <w:t>158&lt;/8</w:t>
      </w:r>
    </w:p>
    <w:p w14:paraId="50594D6D" w14:textId="77777777" w:rsidR="00EC1C40" w:rsidRDefault="00000000">
      <w:pPr>
        <w:pStyle w:val="Titulekobrzku0"/>
        <w:framePr w:wrap="none" w:vAnchor="page" w:hAnchor="page" w:x="2804" w:y="10368"/>
      </w:pPr>
      <w:r>
        <w:rPr>
          <w:color w:val="6ACBDC"/>
        </w:rPr>
        <w:t>-03 6</w:t>
      </w:r>
    </w:p>
    <w:p w14:paraId="0CFC382D" w14:textId="77777777" w:rsidR="00EC1C40" w:rsidRDefault="00000000">
      <w:pPr>
        <w:pStyle w:val="Titulekobrzku0"/>
        <w:framePr w:wrap="none" w:vAnchor="page" w:hAnchor="page" w:x="1114" w:y="10469"/>
        <w:jc w:val="both"/>
      </w:pPr>
      <w:r>
        <w:rPr>
          <w:color w:val="6ACBDC"/>
        </w:rPr>
        <w:t>&lt;312/1</w:t>
      </w:r>
    </w:p>
    <w:p w14:paraId="4303C733" w14:textId="77777777" w:rsidR="00EC1C40" w:rsidRDefault="00000000">
      <w:pPr>
        <w:pStyle w:val="Titulekobrzku0"/>
        <w:framePr w:wrap="none" w:vAnchor="page" w:hAnchor="page" w:x="4066" w:y="10512"/>
      </w:pPr>
      <w:r>
        <w:rPr>
          <w:color w:val="6ACBDC"/>
        </w:rPr>
        <w:t>&lt;385/3</w:t>
      </w:r>
    </w:p>
    <w:p w14:paraId="02FDD9DB" w14:textId="77777777" w:rsidR="00EC1C40" w:rsidRDefault="00000000">
      <w:pPr>
        <w:pStyle w:val="Titulekobrzku0"/>
        <w:framePr w:wrap="none" w:vAnchor="page" w:hAnchor="page" w:x="2861" w:y="10551"/>
      </w:pPr>
      <w:r>
        <w:rPr>
          <w:color w:val="6ACBDC"/>
        </w:rPr>
        <w:t>"B</w:t>
      </w:r>
    </w:p>
    <w:p w14:paraId="5F9B505E" w14:textId="77777777" w:rsidR="00EC1C40" w:rsidRDefault="00000000">
      <w:pPr>
        <w:pStyle w:val="Titulekobrzku0"/>
        <w:framePr w:wrap="none" w:vAnchor="page" w:hAnchor="page" w:x="3351" w:y="10551"/>
      </w:pPr>
      <w:r>
        <w:rPr>
          <w:color w:val="6ACBDC"/>
        </w:rPr>
        <w:t>&lt;387</w:t>
      </w:r>
    </w:p>
    <w:p w14:paraId="64670DA0" w14:textId="77777777" w:rsidR="00EC1C40" w:rsidRDefault="00000000">
      <w:pPr>
        <w:pStyle w:val="Titulekobrzku0"/>
        <w:framePr w:wrap="none" w:vAnchor="page" w:hAnchor="page" w:x="7028" w:y="10623"/>
        <w:jc w:val="both"/>
      </w:pPr>
      <w:r>
        <w:rPr>
          <w:color w:val="6ACBDC"/>
        </w:rPr>
        <w:t>157&lt;/13</w:t>
      </w:r>
    </w:p>
    <w:p w14:paraId="60829E0C" w14:textId="77777777" w:rsidR="00EC1C40" w:rsidRDefault="00000000">
      <w:pPr>
        <w:pStyle w:val="Titulekobrzku0"/>
        <w:framePr w:wrap="none" w:vAnchor="page" w:hAnchor="page" w:x="716" w:y="10628"/>
      </w:pPr>
      <w:r>
        <w:rPr>
          <w:color w:val="6ACBDC"/>
        </w:rPr>
        <w:t>3605</w:t>
      </w:r>
    </w:p>
    <w:p w14:paraId="0DF613EB" w14:textId="77777777" w:rsidR="00EC1C40" w:rsidRDefault="00000000">
      <w:pPr>
        <w:pStyle w:val="Titulekobrzku0"/>
        <w:framePr w:wrap="none" w:vAnchor="page" w:hAnchor="page" w:x="2876" w:y="10661"/>
      </w:pPr>
      <w:r>
        <w:rPr>
          <w:color w:val="6ACBDC"/>
        </w:rPr>
        <w:t>11(5</w:t>
      </w:r>
    </w:p>
    <w:p w14:paraId="3466E4E1" w14:textId="77777777" w:rsidR="00EC1C40" w:rsidRDefault="00000000">
      <w:pPr>
        <w:pStyle w:val="Titulekobrzku0"/>
        <w:framePr w:wrap="none" w:vAnchor="page" w:hAnchor="page" w:x="817" w:y="10796"/>
      </w:pPr>
      <w:r>
        <w:rPr>
          <w:color w:val="6ACBDC"/>
        </w:rPr>
        <w:t>36&lt;</w:t>
      </w:r>
    </w:p>
    <w:p w14:paraId="6A6762A7" w14:textId="77777777" w:rsidR="00EC1C40" w:rsidRDefault="00000000">
      <w:pPr>
        <w:pStyle w:val="Titulekobrzku0"/>
        <w:framePr w:wrap="none" w:vAnchor="page" w:hAnchor="page" w:x="2693" w:y="10805"/>
      </w:pPr>
      <w:r>
        <w:rPr>
          <w:color w:val="6ACBDC"/>
        </w:rPr>
        <w:t>&lt;317/6</w:t>
      </w:r>
    </w:p>
    <w:p w14:paraId="1B40957C" w14:textId="77777777" w:rsidR="00EC1C40" w:rsidRDefault="00000000">
      <w:pPr>
        <w:pStyle w:val="Titulekobrzku0"/>
        <w:framePr w:wrap="none" w:vAnchor="page" w:hAnchor="page" w:x="5324" w:y="10829"/>
        <w:jc w:val="both"/>
      </w:pPr>
      <w:r>
        <w:rPr>
          <w:color w:val="6ACBDC"/>
        </w:rPr>
        <w:t>1582/5</w:t>
      </w:r>
    </w:p>
    <w:p w14:paraId="17B37058" w14:textId="77777777" w:rsidR="00EC1C40" w:rsidRDefault="00000000">
      <w:pPr>
        <w:pStyle w:val="Titulekobrzku0"/>
        <w:framePr w:wrap="none" w:vAnchor="page" w:hAnchor="page" w:x="3481" w:y="10920"/>
      </w:pPr>
      <w:r>
        <w:rPr>
          <w:color w:val="6ACBDC"/>
        </w:rPr>
        <w:t>&lt;388</w:t>
      </w:r>
    </w:p>
    <w:p w14:paraId="59E99F95" w14:textId="77777777" w:rsidR="00EC1C40" w:rsidRDefault="00000000">
      <w:pPr>
        <w:pStyle w:val="Titulekobrzku0"/>
        <w:framePr w:wrap="none" w:vAnchor="page" w:hAnchor="page" w:x="2909" w:y="10949"/>
      </w:pPr>
      <w:r>
        <w:rPr>
          <w:color w:val="6ACBDC"/>
        </w:rPr>
        <w:t>110-</w:t>
      </w:r>
    </w:p>
    <w:p w14:paraId="729BF922" w14:textId="77777777" w:rsidR="00EC1C40" w:rsidRDefault="00000000">
      <w:pPr>
        <w:pStyle w:val="Titulekobrzku0"/>
        <w:framePr w:wrap="none" w:vAnchor="page" w:hAnchor="page" w:x="255" w:y="10954"/>
      </w:pPr>
      <w:r>
        <w:rPr>
          <w:color w:val="6ACBDC"/>
        </w:rPr>
        <w:t>160</w:t>
      </w:r>
    </w:p>
    <w:p w14:paraId="64B17DAB" w14:textId="77777777" w:rsidR="00EC1C40" w:rsidRDefault="00000000">
      <w:pPr>
        <w:pStyle w:val="Titulekobrzku0"/>
        <w:framePr w:wrap="none" w:vAnchor="page" w:hAnchor="page" w:x="7623" w:y="11055"/>
      </w:pPr>
      <w:r>
        <w:rPr>
          <w:color w:val="6ACBDC"/>
        </w:rPr>
        <w:t>15—1</w:t>
      </w:r>
    </w:p>
    <w:p w14:paraId="082EEDC1" w14:textId="77777777" w:rsidR="00EC1C40" w:rsidRDefault="00000000">
      <w:pPr>
        <w:pStyle w:val="Titulekobrzku0"/>
        <w:framePr w:wrap="none" w:vAnchor="page" w:hAnchor="page" w:x="6461" w:y="11074"/>
        <w:jc w:val="both"/>
      </w:pPr>
      <w:r>
        <w:rPr>
          <w:color w:val="6ACBDC"/>
        </w:rPr>
        <w:t>1582/3</w:t>
      </w:r>
    </w:p>
    <w:p w14:paraId="0B63B66B" w14:textId="77777777" w:rsidR="00EC1C40" w:rsidRDefault="00000000">
      <w:pPr>
        <w:pStyle w:val="Titulekobrzku0"/>
        <w:framePr w:wrap="none" w:vAnchor="page" w:hAnchor="page" w:x="2919" w:y="11093"/>
      </w:pPr>
      <w:r>
        <w:rPr>
          <w:color w:val="6ACBDC"/>
        </w:rPr>
        <w:t>110-</w:t>
      </w:r>
    </w:p>
    <w:p w14:paraId="0B59EE48" w14:textId="77777777" w:rsidR="00EC1C40" w:rsidRDefault="00000000">
      <w:pPr>
        <w:pStyle w:val="Titulekobrzku0"/>
        <w:framePr w:wrap="none" w:vAnchor="page" w:hAnchor="page" w:x="241" w:y="11156"/>
        <w:jc w:val="both"/>
      </w:pPr>
      <w:r>
        <w:rPr>
          <w:color w:val="6ACBDC"/>
        </w:rPr>
        <w:t>■ (</w:t>
      </w:r>
    </w:p>
    <w:p w14:paraId="1416F79B" w14:textId="77777777" w:rsidR="00EC1C40" w:rsidRDefault="00000000">
      <w:pPr>
        <w:pStyle w:val="Titulekobrzku0"/>
        <w:framePr w:wrap="none" w:vAnchor="page" w:hAnchor="page" w:x="7124" w:y="11156"/>
        <w:jc w:val="both"/>
      </w:pPr>
      <w:r>
        <w:rPr>
          <w:color w:val="6ACBDC"/>
        </w:rPr>
        <w:t>157&lt;/1&lt;</w:t>
      </w:r>
    </w:p>
    <w:p w14:paraId="5025B8AB" w14:textId="77777777" w:rsidR="00EC1C40" w:rsidRDefault="00000000">
      <w:pPr>
        <w:pStyle w:val="Titulekobrzku0"/>
        <w:framePr w:wrap="none" w:vAnchor="page" w:hAnchor="page" w:x="903" w:y="11160"/>
      </w:pPr>
      <w:r>
        <w:rPr>
          <w:color w:val="6ACBDC"/>
        </w:rPr>
        <w:t>36031</w:t>
      </w:r>
    </w:p>
    <w:p w14:paraId="522A5D46" w14:textId="77777777" w:rsidR="00EC1C40" w:rsidRDefault="00000000">
      <w:pPr>
        <w:pStyle w:val="Titulekobrzku0"/>
        <w:framePr w:wrap="none" w:vAnchor="page" w:hAnchor="page" w:x="687" w:y="11199"/>
      </w:pPr>
      <w:r>
        <w:rPr>
          <w:color w:val="6ACBDC"/>
        </w:rPr>
        <w:t>51</w:t>
      </w:r>
    </w:p>
    <w:p w14:paraId="3E492883" w14:textId="77777777" w:rsidR="00EC1C40" w:rsidRDefault="00000000">
      <w:pPr>
        <w:pStyle w:val="Titulekobrzku0"/>
        <w:framePr w:wrap="none" w:vAnchor="page" w:hAnchor="page" w:x="2938" w:y="11261"/>
      </w:pPr>
      <w:r>
        <w:rPr>
          <w:color w:val="6ACBDC"/>
        </w:rPr>
        <w:t>1104</w:t>
      </w:r>
    </w:p>
    <w:p w14:paraId="17A3FA84" w14:textId="77777777" w:rsidR="00EC1C40" w:rsidRDefault="00000000">
      <w:pPr>
        <w:pStyle w:val="Titulekobrzku0"/>
        <w:framePr w:wrap="none" w:vAnchor="page" w:hAnchor="page" w:x="9015" w:y="11295"/>
        <w:jc w:val="both"/>
      </w:pPr>
      <w:r>
        <w:rPr>
          <w:color w:val="6ACBDC"/>
        </w:rPr>
        <w:t>1550/1</w:t>
      </w:r>
    </w:p>
    <w:p w14:paraId="08CE5407" w14:textId="77777777" w:rsidR="00EC1C40" w:rsidRDefault="00000000">
      <w:pPr>
        <w:pStyle w:val="Titulekobrzku0"/>
        <w:framePr w:wrap="none" w:vAnchor="page" w:hAnchor="page" w:x="236" w:y="11295"/>
        <w:jc w:val="both"/>
      </w:pPr>
      <w:r>
        <w:rPr>
          <w:color w:val="6ACBDC"/>
        </w:rPr>
        <w:t>3K</w:t>
      </w:r>
    </w:p>
    <w:p w14:paraId="6E7A3B40" w14:textId="77777777" w:rsidR="00EC1C40" w:rsidRDefault="00000000">
      <w:pPr>
        <w:pStyle w:val="Titulekobrzku0"/>
        <w:framePr w:wrap="none" w:vAnchor="page" w:hAnchor="page" w:x="6821" w:y="11338"/>
        <w:jc w:val="both"/>
      </w:pPr>
      <w:r>
        <w:rPr>
          <w:color w:val="6ACBDC"/>
        </w:rPr>
        <w:t>158&lt;/-</w:t>
      </w:r>
    </w:p>
    <w:p w14:paraId="623FF49E" w14:textId="77777777" w:rsidR="00EC1C40" w:rsidRDefault="00000000">
      <w:pPr>
        <w:pStyle w:val="Titulekobrzku0"/>
        <w:framePr w:wrap="none" w:vAnchor="page" w:hAnchor="page" w:x="2957" w:y="11405"/>
      </w:pPr>
      <w:r>
        <w:rPr>
          <w:color w:val="6ACBDC"/>
        </w:rPr>
        <w:t>1104</w:t>
      </w:r>
    </w:p>
    <w:p w14:paraId="4A9840AB" w14:textId="77777777" w:rsidR="00EC1C40" w:rsidRDefault="00000000">
      <w:pPr>
        <w:pStyle w:val="Titulekobrzku0"/>
        <w:framePr w:wrap="none" w:vAnchor="page" w:hAnchor="page" w:x="1268" w:y="11520"/>
      </w:pPr>
      <w:r>
        <w:rPr>
          <w:color w:val="6ACBDC"/>
        </w:rPr>
        <w:t>3603/5</w:t>
      </w:r>
    </w:p>
    <w:p w14:paraId="4DF5AFD8" w14:textId="77777777" w:rsidR="00EC1C40" w:rsidRDefault="00000000">
      <w:pPr>
        <w:pStyle w:val="Titulekobrzku0"/>
        <w:framePr w:wrap="none" w:vAnchor="page" w:hAnchor="page" w:x="7815" w:y="11549"/>
        <w:jc w:val="both"/>
      </w:pPr>
      <w:r>
        <w:rPr>
          <w:color w:val="6ACBDC"/>
        </w:rPr>
        <w:t>1557/8</w:t>
      </w:r>
    </w:p>
    <w:p w14:paraId="6567D57F" w14:textId="77777777" w:rsidR="00EC1C40" w:rsidRDefault="00000000">
      <w:pPr>
        <w:pStyle w:val="Titulekobrzku0"/>
        <w:framePr w:wrap="none" w:vAnchor="page" w:hAnchor="page" w:x="8473" w:y="11559"/>
        <w:jc w:val="both"/>
      </w:pPr>
      <w:r>
        <w:rPr>
          <w:color w:val="6ACBDC"/>
        </w:rPr>
        <w:t>155-/1</w:t>
      </w:r>
    </w:p>
    <w:p w14:paraId="5B7655C8" w14:textId="77777777" w:rsidR="00EC1C40" w:rsidRDefault="00000000">
      <w:pPr>
        <w:pStyle w:val="Titulekobrzku0"/>
        <w:framePr w:wrap="none" w:vAnchor="page" w:hAnchor="page" w:x="7253" w:y="11669"/>
        <w:jc w:val="both"/>
      </w:pPr>
      <w:r>
        <w:rPr>
          <w:color w:val="6ACBDC"/>
        </w:rPr>
        <w:t>158&lt;/7</w:t>
      </w:r>
    </w:p>
    <w:p w14:paraId="65C5C208" w14:textId="77777777" w:rsidR="00EC1C40" w:rsidRDefault="00000000">
      <w:pPr>
        <w:pStyle w:val="Titulekobrzku0"/>
        <w:framePr w:wrap="none" w:vAnchor="page" w:hAnchor="page" w:x="850" w:y="11708"/>
      </w:pPr>
      <w:r>
        <w:rPr>
          <w:color w:val="6ACBDC"/>
        </w:rPr>
        <w:t>1009</w:t>
      </w:r>
    </w:p>
    <w:p w14:paraId="6EB187B8" w14:textId="77777777" w:rsidR="00EC1C40" w:rsidRDefault="00000000">
      <w:pPr>
        <w:pStyle w:val="Titulekobrzku0"/>
        <w:framePr w:wrap="none" w:vAnchor="page" w:hAnchor="page" w:x="1013" w:y="11789"/>
      </w:pPr>
      <w:r>
        <w:rPr>
          <w:color w:val="6ACBDC"/>
        </w:rPr>
        <w:t>35-2/16</w:t>
      </w:r>
    </w:p>
    <w:p w14:paraId="2BB07D61" w14:textId="77777777" w:rsidR="00EC1C40" w:rsidRDefault="00000000">
      <w:pPr>
        <w:pStyle w:val="Titulekobrzku0"/>
        <w:framePr w:wrap="none" w:vAnchor="page" w:hAnchor="page" w:x="327" w:y="11789"/>
        <w:jc w:val="both"/>
      </w:pPr>
      <w:r>
        <w:rPr>
          <w:color w:val="6ACBDC"/>
        </w:rPr>
        <w:t>35-6</w:t>
      </w:r>
    </w:p>
    <w:p w14:paraId="2CC6BC7E" w14:textId="77777777" w:rsidR="00EC1C40" w:rsidRDefault="00000000">
      <w:pPr>
        <w:pStyle w:val="Titulekobrzku0"/>
        <w:framePr w:w="154" w:h="149" w:hRule="exact" w:wrap="none" w:vAnchor="page" w:hAnchor="page" w:x="1013" w:y="11520"/>
      </w:pPr>
      <w:r>
        <w:rPr>
          <w:color w:val="6ACBDC"/>
        </w:rPr>
        <w:t>35--/2</w:t>
      </w:r>
    </w:p>
    <w:p w14:paraId="5F3A07D6" w14:textId="77777777" w:rsidR="00EC1C40" w:rsidRDefault="00000000">
      <w:pPr>
        <w:pStyle w:val="Titulekobrzku0"/>
        <w:framePr w:w="154" w:h="149" w:hRule="exact" w:wrap="none" w:vAnchor="page" w:hAnchor="page" w:x="1013" w:y="11520"/>
      </w:pPr>
      <w:r>
        <w:rPr>
          <w:color w:val="6ACBDC"/>
        </w:rPr>
        <w:t>-</w:t>
      </w:r>
      <w:proofErr w:type="spellStart"/>
      <w:r>
        <w:rPr>
          <w:color w:val="6ACBDC"/>
        </w:rPr>
        <w:t>zZ</w:t>
      </w:r>
      <w:proofErr w:type="spellEnd"/>
      <w:r>
        <w:rPr>
          <w:color w:val="6ACBDC"/>
        </w:rPr>
        <w:t>” 1</w:t>
      </w:r>
    </w:p>
    <w:p w14:paraId="504B8351" w14:textId="77777777" w:rsidR="00EC1C40" w:rsidRDefault="00000000">
      <w:pPr>
        <w:pStyle w:val="Titulekobrzku0"/>
        <w:framePr w:w="139" w:h="182" w:hRule="exact" w:wrap="none" w:vAnchor="page" w:hAnchor="page" w:x="2180" w:y="9442"/>
      </w:pPr>
      <w:r>
        <w:rPr>
          <w:color w:val="6ACBDC"/>
        </w:rPr>
        <w:t>&lt;322/3</w:t>
      </w:r>
    </w:p>
    <w:p w14:paraId="7BF9ADD0" w14:textId="77777777" w:rsidR="00EC1C40" w:rsidRDefault="00000000">
      <w:pPr>
        <w:pStyle w:val="Titulekobrzku0"/>
        <w:framePr w:w="139" w:h="182" w:hRule="exact" w:wrap="none" w:vAnchor="page" w:hAnchor="page" w:x="2180" w:y="9442"/>
        <w:spacing w:line="199" w:lineRule="auto"/>
      </w:pPr>
      <w:r>
        <w:rPr>
          <w:color w:val="6ACBDC"/>
        </w:rPr>
        <w:t>, 02?</w:t>
      </w:r>
    </w:p>
    <w:p w14:paraId="348DFA47" w14:textId="77777777" w:rsidR="00EC1C40" w:rsidRDefault="00000000">
      <w:pPr>
        <w:pStyle w:val="Titulekobrzku0"/>
        <w:framePr w:w="101" w:h="173" w:hRule="exact" w:wrap="none" w:vAnchor="page" w:hAnchor="page" w:x="1772" w:y="5818"/>
      </w:pPr>
      <w:r>
        <w:rPr>
          <w:color w:val="6ACBDC"/>
        </w:rPr>
        <w:t>&lt;275</w:t>
      </w:r>
    </w:p>
    <w:p w14:paraId="45C7370E" w14:textId="77777777" w:rsidR="00EC1C40" w:rsidRDefault="00000000">
      <w:pPr>
        <w:pStyle w:val="Titulekobrzku0"/>
        <w:framePr w:w="101" w:h="173" w:hRule="exact" w:wrap="none" w:vAnchor="page" w:hAnchor="page" w:x="1772" w:y="5818"/>
        <w:spacing w:line="211" w:lineRule="auto"/>
      </w:pPr>
      <w:r>
        <w:rPr>
          <w:color w:val="6ACBDC"/>
        </w:rPr>
        <w:t>&lt;276</w:t>
      </w:r>
    </w:p>
    <w:p w14:paraId="0697F5F2" w14:textId="77777777" w:rsidR="00EC1C40" w:rsidRDefault="00000000">
      <w:pPr>
        <w:pStyle w:val="Titulekobrzku0"/>
        <w:framePr w:w="341" w:h="547" w:hRule="exact" w:wrap="none" w:vAnchor="page" w:hAnchor="page" w:x="3620" w:y="6269"/>
      </w:pPr>
      <w:r>
        <w:rPr>
          <w:color w:val="EC1C23"/>
        </w:rPr>
        <w:t>5207/15</w:t>
      </w:r>
    </w:p>
    <w:p w14:paraId="0EC300EF" w14:textId="77777777" w:rsidR="00EC1C40" w:rsidRDefault="00000000">
      <w:pPr>
        <w:pStyle w:val="Titulekobrzku0"/>
        <w:framePr w:w="341" w:h="547" w:hRule="exact" w:wrap="none" w:vAnchor="page" w:hAnchor="page" w:x="3620" w:y="6269"/>
      </w:pPr>
      <w:r>
        <w:rPr>
          <w:color w:val="EC1C23"/>
        </w:rPr>
        <w:t>368&lt;6 —</w:t>
      </w:r>
    </w:p>
    <w:p w14:paraId="6A079741" w14:textId="77777777" w:rsidR="00EC1C40" w:rsidRDefault="00000000">
      <w:pPr>
        <w:pStyle w:val="Titulekobrzku0"/>
        <w:framePr w:w="341" w:h="547" w:hRule="exact" w:wrap="none" w:vAnchor="page" w:hAnchor="page" w:x="3620" w:y="6269"/>
      </w:pPr>
      <w:r>
        <w:rPr>
          <w:color w:val="EC1C23"/>
        </w:rPr>
        <w:t>5207/1&lt; -&gt;</w:t>
      </w:r>
    </w:p>
    <w:p w14:paraId="40428EED" w14:textId="77777777" w:rsidR="00EC1C40" w:rsidRDefault="00000000">
      <w:pPr>
        <w:pStyle w:val="Titulekobrzku0"/>
        <w:framePr w:w="341" w:h="547" w:hRule="exact" w:wrap="none" w:vAnchor="page" w:hAnchor="page" w:x="3620" w:y="6269"/>
      </w:pPr>
      <w:r>
        <w:rPr>
          <w:color w:val="EC1C23"/>
        </w:rPr>
        <w:t xml:space="preserve">368*7 </w:t>
      </w:r>
      <w:r>
        <w:rPr>
          <w:b w:val="0"/>
          <w:bCs w:val="0"/>
          <w:color w:val="6ACBDC"/>
          <w:vertAlign w:val="superscript"/>
        </w:rPr>
        <w:t>562</w:t>
      </w:r>
    </w:p>
    <w:p w14:paraId="5471ECAB" w14:textId="77777777" w:rsidR="00EC1C40" w:rsidRDefault="00000000">
      <w:pPr>
        <w:pStyle w:val="Titulekobrzku0"/>
        <w:framePr w:w="341" w:h="547" w:hRule="exact" w:wrap="none" w:vAnchor="page" w:hAnchor="page" w:x="3620" w:y="6269"/>
      </w:pPr>
      <w:r>
        <w:rPr>
          <w:color w:val="EC1C23"/>
        </w:rPr>
        <w:t>5207/13 ■x''</w:t>
      </w:r>
    </w:p>
    <w:p w14:paraId="31913C68" w14:textId="77777777" w:rsidR="00EC1C40" w:rsidRDefault="00000000">
      <w:pPr>
        <w:pStyle w:val="Titulekobrzku0"/>
        <w:framePr w:w="120" w:h="163" w:hRule="exact" w:wrap="none" w:vAnchor="page" w:hAnchor="page" w:x="6701" w:y="6192"/>
      </w:pPr>
      <w:r>
        <w:rPr>
          <w:color w:val="6ACBDC"/>
        </w:rPr>
        <w:t>1026/15</w:t>
      </w:r>
    </w:p>
    <w:p w14:paraId="2BC724EB" w14:textId="77777777" w:rsidR="00EC1C40" w:rsidRDefault="00000000">
      <w:pPr>
        <w:pStyle w:val="Titulekobrzku0"/>
        <w:framePr w:w="120" w:h="163" w:hRule="exact" w:wrap="none" w:vAnchor="page" w:hAnchor="page" w:x="6701" w:y="6192"/>
        <w:spacing w:line="226" w:lineRule="auto"/>
      </w:pPr>
      <w:r>
        <w:rPr>
          <w:color w:val="6ACBDC"/>
        </w:rPr>
        <w:t>323/2</w:t>
      </w:r>
    </w:p>
    <w:p w14:paraId="11E01B9F" w14:textId="77777777" w:rsidR="00EC1C40" w:rsidRDefault="00000000">
      <w:pPr>
        <w:pStyle w:val="Titulekobrzku0"/>
        <w:framePr w:w="235" w:h="341" w:hRule="exact" w:wrap="none" w:vAnchor="page" w:hAnchor="page" w:x="7273" w:y="7829"/>
      </w:pPr>
      <w:r>
        <w:rPr>
          <w:color w:val="EC1C23"/>
        </w:rPr>
        <w:t>5207/16</w:t>
      </w:r>
    </w:p>
    <w:p w14:paraId="5D906AD7" w14:textId="77777777" w:rsidR="00EC1C40" w:rsidRDefault="00000000">
      <w:pPr>
        <w:pStyle w:val="Titulekobrzku0"/>
        <w:framePr w:w="235" w:h="341" w:hRule="exact" w:wrap="none" w:vAnchor="page" w:hAnchor="page" w:x="7273" w:y="7829"/>
      </w:pPr>
      <w:r>
        <w:rPr>
          <w:color w:val="EC1C23"/>
        </w:rPr>
        <w:t>1575</w:t>
      </w:r>
    </w:p>
    <w:p w14:paraId="085FB045" w14:textId="77777777" w:rsidR="00EC1C40" w:rsidRDefault="00000000">
      <w:pPr>
        <w:pStyle w:val="Titulekobrzku0"/>
        <w:framePr w:w="235" w:h="341" w:hRule="exact" w:wrap="none" w:vAnchor="page" w:hAnchor="page" w:x="7273" w:y="7829"/>
      </w:pPr>
      <w:r>
        <w:rPr>
          <w:color w:val="EC1C23"/>
        </w:rPr>
        <w:t>2678/1 1.</w:t>
      </w:r>
    </w:p>
    <w:p w14:paraId="59FA0BB3" w14:textId="77777777" w:rsidR="00EC1C40" w:rsidRDefault="00000000">
      <w:pPr>
        <w:pStyle w:val="Titulekobrzku0"/>
        <w:framePr w:w="130" w:h="216" w:hRule="exact" w:wrap="none" w:vAnchor="page" w:hAnchor="page" w:x="735" w:y="10373"/>
      </w:pPr>
      <w:r>
        <w:rPr>
          <w:color w:val="6ACBDC"/>
        </w:rPr>
        <w:t>■■</w:t>
      </w:r>
    </w:p>
    <w:p w14:paraId="689FBA8D" w14:textId="77777777" w:rsidR="00EC1C40" w:rsidRDefault="00000000">
      <w:pPr>
        <w:pStyle w:val="Titulekobrzku0"/>
        <w:framePr w:w="130" w:h="216" w:hRule="exact" w:wrap="none" w:vAnchor="page" w:hAnchor="page" w:x="735" w:y="10373"/>
      </w:pPr>
      <w:r>
        <w:rPr>
          <w:color w:val="6ACBDC"/>
        </w:rPr>
        <w:t>■6</w:t>
      </w:r>
    </w:p>
    <w:p w14:paraId="52C49BF9" w14:textId="77777777" w:rsidR="00EC1C40" w:rsidRDefault="00000000">
      <w:pPr>
        <w:pStyle w:val="Titulekobrzku0"/>
        <w:framePr w:w="158" w:h="125" w:hRule="exact" w:wrap="none" w:vAnchor="page" w:hAnchor="page" w:x="1580" w:y="9264"/>
      </w:pPr>
      <w:r>
        <w:rPr>
          <w:color w:val="6ACBDC"/>
        </w:rPr>
        <w:t>110l&lt;\</w:t>
      </w:r>
    </w:p>
    <w:p w14:paraId="5BA076BF" w14:textId="77777777" w:rsidR="00EC1C40" w:rsidRDefault="00000000">
      <w:pPr>
        <w:pStyle w:val="Titulekobrzku0"/>
        <w:framePr w:w="158" w:h="125" w:hRule="exact" w:wrap="none" w:vAnchor="page" w:hAnchor="page" w:x="1580" w:y="9264"/>
        <w:spacing w:line="180" w:lineRule="auto"/>
      </w:pPr>
      <w:r>
        <w:rPr>
          <w:color w:val="6ACBDC"/>
        </w:rPr>
        <w:t>110- /</w:t>
      </w:r>
    </w:p>
    <w:p w14:paraId="35F86EAE" w14:textId="77777777" w:rsidR="00EC1C40" w:rsidRDefault="00000000">
      <w:pPr>
        <w:pStyle w:val="Titulekobrzku0"/>
        <w:framePr w:w="158" w:h="158" w:hRule="exact" w:wrap="none" w:vAnchor="page" w:hAnchor="page" w:x="2420" w:y="9927"/>
      </w:pPr>
      <w:r>
        <w:rPr>
          <w:color w:val="6ACBDC"/>
        </w:rPr>
        <w:t>n-i',</w:t>
      </w:r>
    </w:p>
    <w:p w14:paraId="16BAD544" w14:textId="77777777" w:rsidR="00EC1C40" w:rsidRDefault="00000000">
      <w:pPr>
        <w:pStyle w:val="Titulekobrzku0"/>
        <w:framePr w:w="158" w:h="158" w:hRule="exact" w:wrap="none" w:vAnchor="page" w:hAnchor="page" w:x="2420" w:y="9927"/>
        <w:spacing w:line="180" w:lineRule="auto"/>
        <w:rPr>
          <w:sz w:val="20"/>
          <w:szCs w:val="20"/>
        </w:rPr>
      </w:pPr>
      <w:r>
        <w:rPr>
          <w:color w:val="6ACBDC"/>
        </w:rPr>
        <w:t xml:space="preserve">1105 </w:t>
      </w:r>
      <w:r>
        <w:rPr>
          <w:i/>
          <w:iCs/>
          <w:color w:val="6ACBDC"/>
          <w:sz w:val="20"/>
          <w:szCs w:val="20"/>
        </w:rPr>
        <w:t>Z</w:t>
      </w:r>
      <w:r>
        <w:rPr>
          <w:i/>
          <w:iCs/>
          <w:color w:val="6ACBDC"/>
          <w:sz w:val="20"/>
          <w:szCs w:val="20"/>
          <w:vertAlign w:val="superscript"/>
        </w:rPr>
        <w:t>1</w:t>
      </w:r>
    </w:p>
    <w:p w14:paraId="18945331" w14:textId="77777777" w:rsidR="00EC1C40" w:rsidRDefault="00000000">
      <w:pPr>
        <w:pStyle w:val="Titulekobrzku0"/>
        <w:framePr w:w="130" w:h="187" w:hRule="exact" w:wrap="none" w:vAnchor="page" w:hAnchor="page" w:x="1234" w:y="6375"/>
      </w:pPr>
      <w:r>
        <w:rPr>
          <w:color w:val="6ACBDC"/>
        </w:rPr>
        <w:t>11553</w:t>
      </w:r>
    </w:p>
    <w:p w14:paraId="0D484F34" w14:textId="77777777" w:rsidR="00EC1C40" w:rsidRDefault="00000000">
      <w:pPr>
        <w:pStyle w:val="Titulekobrzku0"/>
        <w:framePr w:w="130" w:h="187" w:hRule="exact" w:wrap="none" w:vAnchor="page" w:hAnchor="page" w:x="1234" w:y="6375"/>
      </w:pPr>
      <w:r>
        <w:rPr>
          <w:color w:val="6ACBDC"/>
        </w:rPr>
        <w:t>&lt;237/&lt;</w:t>
      </w:r>
    </w:p>
    <w:p w14:paraId="2A132D8C" w14:textId="77777777" w:rsidR="00EC1C40" w:rsidRDefault="00000000">
      <w:pPr>
        <w:pStyle w:val="Titulekobrzku0"/>
        <w:framePr w:w="125" w:h="245" w:hRule="exact" w:wrap="none" w:vAnchor="page" w:hAnchor="page" w:x="7205" w:y="7162"/>
      </w:pPr>
      <w:r>
        <w:rPr>
          <w:b w:val="0"/>
          <w:bCs w:val="0"/>
          <w:color w:val="6ACBDC"/>
        </w:rPr>
        <w:t>—2</w:t>
      </w:r>
    </w:p>
    <w:p w14:paraId="3CC71B6B" w14:textId="77777777" w:rsidR="00EC1C40" w:rsidRDefault="00000000">
      <w:pPr>
        <w:pStyle w:val="Titulekobrzku0"/>
        <w:framePr w:w="125" w:h="245" w:hRule="exact" w:wrap="none" w:vAnchor="page" w:hAnchor="page" w:x="7205" w:y="7162"/>
        <w:jc w:val="both"/>
      </w:pPr>
      <w:r>
        <w:rPr>
          <w:b w:val="0"/>
          <w:bCs w:val="0"/>
          <w:color w:val="6ACBDC"/>
        </w:rPr>
        <w:t>5168/&lt;1</w:t>
      </w:r>
    </w:p>
    <w:p w14:paraId="3D739D41" w14:textId="77777777" w:rsidR="00EC1C40" w:rsidRDefault="00000000">
      <w:pPr>
        <w:pStyle w:val="Titulekobrzku0"/>
        <w:framePr w:w="125" w:h="245" w:hRule="exact" w:wrap="none" w:vAnchor="page" w:hAnchor="page" w:x="7205" w:y="7162"/>
        <w:spacing w:line="180" w:lineRule="auto"/>
        <w:jc w:val="both"/>
      </w:pPr>
      <w:r>
        <w:rPr>
          <w:color w:val="6ACBDC"/>
        </w:rPr>
        <w:t>5168/&lt;0</w:t>
      </w:r>
    </w:p>
    <w:p w14:paraId="1764A819" w14:textId="77777777" w:rsidR="00EC1C40" w:rsidRDefault="00000000">
      <w:pPr>
        <w:pStyle w:val="Titulekobrzku0"/>
        <w:framePr w:w="173" w:h="235" w:hRule="exact" w:wrap="none" w:vAnchor="page" w:hAnchor="page" w:x="2804" w:y="6658"/>
      </w:pPr>
      <w:r>
        <w:rPr>
          <w:color w:val="6ACBDC"/>
        </w:rPr>
        <w:t>^516s</w:t>
      </w:r>
      <w:r>
        <w:rPr>
          <w:color w:val="6ACBDC"/>
          <w:vertAlign w:val="subscript"/>
        </w:rPr>
        <w:t>:</w:t>
      </w:r>
      <w:r>
        <w:rPr>
          <w:color w:val="6ACBDC"/>
        </w:rPr>
        <w:t>8^</w:t>
      </w:r>
    </w:p>
    <w:p w14:paraId="0B9186A0" w14:textId="77777777" w:rsidR="00EC1C40" w:rsidRDefault="00000000">
      <w:pPr>
        <w:pStyle w:val="Titulekobrzku0"/>
        <w:framePr w:w="173" w:h="235" w:hRule="exact" w:wrap="none" w:vAnchor="page" w:hAnchor="page" w:x="2804" w:y="6658"/>
        <w:spacing w:line="180" w:lineRule="auto"/>
      </w:pPr>
      <w:r>
        <w:rPr>
          <w:color w:val="6ACBDC"/>
        </w:rPr>
        <w:t>0l?--</w:t>
      </w:r>
    </w:p>
    <w:p w14:paraId="68E65CCC" w14:textId="77777777" w:rsidR="00EC1C40" w:rsidRDefault="00000000">
      <w:pPr>
        <w:pStyle w:val="Titulekobrzku0"/>
        <w:framePr w:w="173" w:h="235" w:hRule="exact" w:wrap="none" w:vAnchor="page" w:hAnchor="page" w:x="2804" w:y="6658"/>
        <w:spacing w:line="180" w:lineRule="auto"/>
      </w:pPr>
      <w:r>
        <w:rPr>
          <w:b w:val="0"/>
          <w:bCs w:val="0"/>
          <w:color w:val="6ACBDC"/>
        </w:rPr>
        <w:t>'(■•?</w:t>
      </w:r>
    </w:p>
    <w:p w14:paraId="6882F28C" w14:textId="77777777" w:rsidR="00EC1C40" w:rsidRDefault="00000000">
      <w:pPr>
        <w:pStyle w:val="Titulekobrzku0"/>
        <w:framePr w:w="288" w:h="211" w:hRule="exact" w:wrap="none" w:vAnchor="page" w:hAnchor="page" w:x="1172" w:y="7983"/>
      </w:pPr>
      <w:r>
        <w:rPr>
          <w:color w:val="EC1C23"/>
        </w:rPr>
        <w:t>5162/27</w:t>
      </w:r>
    </w:p>
    <w:p w14:paraId="029FC90B" w14:textId="77777777" w:rsidR="00EC1C40" w:rsidRDefault="00000000">
      <w:pPr>
        <w:pStyle w:val="Titulekobrzku0"/>
        <w:framePr w:w="288" w:h="211" w:hRule="exact" w:wrap="none" w:vAnchor="page" w:hAnchor="page" w:x="1172" w:y="7983"/>
      </w:pPr>
      <w:r>
        <w:rPr>
          <w:color w:val="EC1C23"/>
        </w:rPr>
        <w:t>3615/2 -</w:t>
      </w:r>
    </w:p>
    <w:p w14:paraId="46F058DA" w14:textId="77777777" w:rsidR="00EC1C40" w:rsidRDefault="00000000">
      <w:pPr>
        <w:pStyle w:val="Titulekobrzku0"/>
        <w:framePr w:w="211" w:h="240" w:hRule="exact" w:wrap="none" w:vAnchor="page" w:hAnchor="page" w:x="7052" w:y="6668"/>
        <w:jc w:val="right"/>
      </w:pPr>
      <w:r>
        <w:rPr>
          <w:b w:val="0"/>
          <w:bCs w:val="0"/>
          <w:color w:val="6ACBDC"/>
        </w:rPr>
        <w:t>5168/20</w:t>
      </w:r>
    </w:p>
    <w:p w14:paraId="0D8D8356" w14:textId="77777777" w:rsidR="00EC1C40" w:rsidRDefault="00000000">
      <w:pPr>
        <w:pStyle w:val="Titulekobrzku0"/>
        <w:framePr w:w="211" w:h="240" w:hRule="exact" w:wrap="none" w:vAnchor="page" w:hAnchor="page" w:x="7052" w:y="6668"/>
        <w:tabs>
          <w:tab w:val="left" w:pos="96"/>
        </w:tabs>
        <w:spacing w:line="187" w:lineRule="auto"/>
        <w:jc w:val="right"/>
      </w:pPr>
      <w:r>
        <w:rPr>
          <w:b w:val="0"/>
          <w:bCs w:val="0"/>
          <w:color w:val="6ACBDC"/>
        </w:rPr>
        <w:t>8/1&lt;</w:t>
      </w:r>
      <w:r>
        <w:rPr>
          <w:b w:val="0"/>
          <w:bCs w:val="0"/>
          <w:color w:val="6ACBDC"/>
        </w:rPr>
        <w:tab/>
      </w:r>
      <w:r>
        <w:rPr>
          <w:color w:val="6ACBDC"/>
        </w:rPr>
        <w:t>5168/21</w:t>
      </w:r>
    </w:p>
    <w:p w14:paraId="08F42016" w14:textId="77777777" w:rsidR="00EC1C40" w:rsidRDefault="00000000">
      <w:pPr>
        <w:pStyle w:val="Titulekobrzku0"/>
        <w:framePr w:w="211" w:h="240" w:hRule="exact" w:wrap="none" w:vAnchor="page" w:hAnchor="page" w:x="7052" w:y="6668"/>
        <w:spacing w:line="180" w:lineRule="auto"/>
        <w:jc w:val="right"/>
      </w:pPr>
      <w:r>
        <w:rPr>
          <w:color w:val="6ACBDC"/>
        </w:rPr>
        <w:t>5168/26</w:t>
      </w:r>
    </w:p>
    <w:p w14:paraId="187F950E" w14:textId="77777777" w:rsidR="00EC1C40" w:rsidRDefault="00000000">
      <w:pPr>
        <w:pStyle w:val="Titulekobrzku0"/>
        <w:framePr w:w="221" w:h="168" w:hRule="exact" w:wrap="none" w:vAnchor="page" w:hAnchor="page" w:x="653" w:y="9135"/>
      </w:pPr>
      <w:r>
        <w:rPr>
          <w:color w:val="6ACBDC"/>
        </w:rPr>
        <w:t>9-6</w:t>
      </w:r>
    </w:p>
    <w:p w14:paraId="7186023D" w14:textId="77777777" w:rsidR="00EC1C40" w:rsidRDefault="00000000">
      <w:pPr>
        <w:pStyle w:val="Titulekobrzku0"/>
        <w:framePr w:w="221" w:h="168" w:hRule="exact" w:wrap="none" w:vAnchor="page" w:hAnchor="page" w:x="653" w:y="9135"/>
        <w:spacing w:line="180" w:lineRule="auto"/>
        <w:jc w:val="center"/>
      </w:pPr>
      <w:r>
        <w:rPr>
          <w:color w:val="6ACBDC"/>
        </w:rPr>
        <w:t>3612/2</w:t>
      </w:r>
    </w:p>
    <w:p w14:paraId="3D10DB4A" w14:textId="77777777" w:rsidR="00EC1C40" w:rsidRDefault="00000000">
      <w:pPr>
        <w:pStyle w:val="Titulekobrzku0"/>
        <w:framePr w:wrap="none" w:vAnchor="page" w:hAnchor="page" w:x="4321" w:y="5626"/>
        <w:tabs>
          <w:tab w:val="left" w:pos="302"/>
        </w:tabs>
      </w:pPr>
      <w:r>
        <w:rPr>
          <w:color w:val="6ACBDC"/>
        </w:rPr>
        <w:t>3683</w:t>
      </w:r>
      <w:r>
        <w:rPr>
          <w:color w:val="6ACBDC"/>
        </w:rPr>
        <w:tab/>
        <w:t>5316</w:t>
      </w:r>
    </w:p>
    <w:p w14:paraId="4AB98CE9" w14:textId="77777777" w:rsidR="00EC1C40" w:rsidRDefault="00000000">
      <w:pPr>
        <w:pStyle w:val="Titulekobrzku0"/>
        <w:framePr w:w="326" w:h="197" w:hRule="exact" w:wrap="none" w:vAnchor="page" w:hAnchor="page" w:x="197" w:y="11472"/>
        <w:tabs>
          <w:tab w:val="left" w:pos="149"/>
        </w:tabs>
        <w:spacing w:line="0" w:lineRule="atLeast"/>
        <w:ind w:firstLine="180"/>
      </w:pPr>
      <w:r>
        <w:rPr>
          <w:color w:val="6ACBDC"/>
        </w:rPr>
        <w:t>'A?“</w:t>
      </w:r>
      <w:r>
        <w:rPr>
          <w:color w:val="6ACBDC"/>
          <w:vertAlign w:val="superscript"/>
        </w:rPr>
        <w:t xml:space="preserve">1 </w:t>
      </w:r>
      <w:r>
        <w:rPr>
          <w:color w:val="6ACBDC"/>
        </w:rPr>
        <w:t xml:space="preserve">358 </w:t>
      </w:r>
      <w:r>
        <w:rPr>
          <w:color w:val="6ACBDC"/>
          <w:u w:val="single"/>
        </w:rPr>
        <w:t>— "</w:t>
      </w:r>
      <w:r>
        <w:rPr>
          <w:color w:val="6ACBDC"/>
          <w:u w:val="single"/>
        </w:rPr>
        <w:tab/>
        <w:t>3-7</w:t>
      </w:r>
    </w:p>
    <w:p w14:paraId="4B5F971E" w14:textId="77777777" w:rsidR="00EC1C40" w:rsidRDefault="00000000">
      <w:pPr>
        <w:pStyle w:val="Titulekobrzku0"/>
        <w:framePr w:w="326" w:h="197" w:hRule="exact" w:wrap="none" w:vAnchor="page" w:hAnchor="page" w:x="197" w:y="11472"/>
        <w:tabs>
          <w:tab w:val="left" w:pos="173"/>
        </w:tabs>
        <w:spacing w:line="180" w:lineRule="auto"/>
        <w:jc w:val="center"/>
      </w:pPr>
      <w:r>
        <w:rPr>
          <w:color w:val="6ACBDC"/>
          <w:u w:val="single"/>
        </w:rPr>
        <w:t>359</w:t>
      </w:r>
      <w:r>
        <w:rPr>
          <w:color w:val="6ACBDC"/>
        </w:rPr>
        <w:t>/3</w:t>
      </w:r>
      <w:r>
        <w:rPr>
          <w:color w:val="6ACBDC"/>
        </w:rPr>
        <w:tab/>
        <w:t>-d</w:t>
      </w:r>
    </w:p>
    <w:p w14:paraId="2D3536E3" w14:textId="77777777" w:rsidR="00EC1C40" w:rsidRDefault="00000000">
      <w:pPr>
        <w:pStyle w:val="Titulekobrzku0"/>
        <w:framePr w:w="326" w:h="197" w:hRule="exact" w:wrap="none" w:vAnchor="page" w:hAnchor="page" w:x="197" w:y="11472"/>
        <w:spacing w:line="0" w:lineRule="atLeast"/>
        <w:ind w:left="220" w:hanging="220"/>
      </w:pPr>
      <w:r>
        <w:rPr>
          <w:color w:val="6ACBDC"/>
        </w:rPr>
        <w:t>I-—— ■— 3—9</w:t>
      </w:r>
    </w:p>
    <w:p w14:paraId="6D8765E6" w14:textId="77777777" w:rsidR="00EC1C40" w:rsidRDefault="00000000">
      <w:pPr>
        <w:pStyle w:val="Titulekobrzku0"/>
        <w:framePr w:wrap="none" w:vAnchor="page" w:hAnchor="page" w:x="2228" w:y="8607"/>
      </w:pPr>
      <w:r>
        <w:rPr>
          <w:color w:val="EC1C23"/>
        </w:rPr>
        <w:t>3618/1</w:t>
      </w:r>
    </w:p>
    <w:p w14:paraId="7E5D14AC" w14:textId="77777777" w:rsidR="00EC1C40" w:rsidRDefault="00000000">
      <w:pPr>
        <w:pStyle w:val="Titulekobrzku0"/>
        <w:framePr w:w="216" w:h="178" w:hRule="exact" w:wrap="none" w:vAnchor="page" w:hAnchor="page" w:x="2199" w:y="10104"/>
        <w:spacing w:line="125" w:lineRule="auto"/>
        <w:jc w:val="both"/>
        <w:rPr>
          <w:sz w:val="20"/>
          <w:szCs w:val="20"/>
        </w:rPr>
      </w:pPr>
      <w:r>
        <w:rPr>
          <w:color w:val="6ACBDC"/>
        </w:rPr>
        <w:t xml:space="preserve">1107'' -\n08 / 110- </w:t>
      </w:r>
      <w:r>
        <w:rPr>
          <w:i/>
          <w:iCs/>
          <w:color w:val="6ACBDC"/>
          <w:sz w:val="20"/>
          <w:szCs w:val="20"/>
        </w:rPr>
        <w:t>z'</w:t>
      </w:r>
    </w:p>
    <w:p w14:paraId="53EF0EE2" w14:textId="77777777" w:rsidR="00EC1C40" w:rsidRDefault="00000000">
      <w:pPr>
        <w:pStyle w:val="Titulekobrzku0"/>
        <w:framePr w:w="302" w:h="317" w:hRule="exact" w:wrap="none" w:vAnchor="page" w:hAnchor="page" w:x="6845" w:y="7104"/>
      </w:pPr>
      <w:r>
        <w:rPr>
          <w:color w:val="6ACBDC"/>
        </w:rPr>
        <w:t>5168/32</w:t>
      </w:r>
    </w:p>
    <w:p w14:paraId="151ACC72" w14:textId="77777777" w:rsidR="00EC1C40" w:rsidRDefault="00000000">
      <w:pPr>
        <w:pStyle w:val="Titulekobrzku0"/>
        <w:framePr w:w="302" w:h="317" w:hRule="exact" w:wrap="none" w:vAnchor="page" w:hAnchor="page" w:x="6845" w:y="7104"/>
        <w:jc w:val="center"/>
      </w:pPr>
      <w:r>
        <w:rPr>
          <w:color w:val="6ACBDC"/>
        </w:rPr>
        <w:t>\ 516/</w:t>
      </w:r>
      <w:proofErr w:type="spellStart"/>
      <w:r>
        <w:rPr>
          <w:color w:val="6ACBDC"/>
        </w:rPr>
        <w:t>sl</w:t>
      </w:r>
      <w:proofErr w:type="spellEnd"/>
      <w:r>
        <w:rPr>
          <w:color w:val="6ACBDC"/>
        </w:rPr>
        <w:t>''“</w:t>
      </w:r>
    </w:p>
    <w:p w14:paraId="4021EACF" w14:textId="77777777" w:rsidR="00EC1C40" w:rsidRDefault="00000000">
      <w:pPr>
        <w:pStyle w:val="Titulekobrzku0"/>
        <w:framePr w:w="302" w:h="317" w:hRule="exact" w:wrap="none" w:vAnchor="page" w:hAnchor="page" w:x="6845" w:y="7104"/>
        <w:jc w:val="center"/>
      </w:pPr>
      <w:r>
        <w:rPr>
          <w:b w:val="0"/>
          <w:bCs w:val="0"/>
          <w:color w:val="6ACBDC"/>
        </w:rPr>
        <w:t>5168/35</w:t>
      </w:r>
    </w:p>
    <w:p w14:paraId="7039E648" w14:textId="77777777" w:rsidR="00EC1C40" w:rsidRDefault="00000000">
      <w:pPr>
        <w:pStyle w:val="Titulekobrzku0"/>
        <w:framePr w:w="173" w:h="163" w:hRule="exact" w:wrap="none" w:vAnchor="page" w:hAnchor="page" w:x="6874" w:y="6423"/>
        <w:jc w:val="center"/>
      </w:pPr>
      <w:r>
        <w:rPr>
          <w:b w:val="0"/>
          <w:bCs w:val="0"/>
          <w:color w:val="6ACBDC"/>
        </w:rPr>
        <w:t>5168/16</w:t>
      </w:r>
    </w:p>
    <w:p w14:paraId="78444540" w14:textId="77777777" w:rsidR="00EC1C40" w:rsidRDefault="00000000">
      <w:pPr>
        <w:pStyle w:val="Titulekobrzku0"/>
        <w:framePr w:w="173" w:h="163" w:hRule="exact" w:wrap="none" w:vAnchor="page" w:hAnchor="page" w:x="6874" w:y="6423"/>
        <w:tabs>
          <w:tab w:val="left" w:pos="115"/>
        </w:tabs>
      </w:pPr>
      <w:r>
        <w:rPr>
          <w:color w:val="6ACBDC"/>
        </w:rPr>
        <w:t>A’-l</w:t>
      </w:r>
      <w:r>
        <w:rPr>
          <w:color w:val="6ACBDC"/>
        </w:rPr>
        <w:tab/>
        <w:t>&lt;3&lt;/</w:t>
      </w:r>
      <w:r>
        <w:rPr>
          <w:b w:val="0"/>
          <w:bCs w:val="0"/>
          <w:color w:val="6ACBDC"/>
          <w:vertAlign w:val="subscript"/>
        </w:rPr>
        <w:t>r</w:t>
      </w:r>
    </w:p>
    <w:p w14:paraId="6E219412" w14:textId="77777777" w:rsidR="00EC1C40" w:rsidRDefault="00000000">
      <w:pPr>
        <w:pStyle w:val="Titulekobrzku0"/>
        <w:framePr w:w="274" w:h="168" w:hRule="exact" w:wrap="none" w:vAnchor="page" w:hAnchor="page" w:x="2079" w:y="8429"/>
      </w:pPr>
      <w:r>
        <w:rPr>
          <w:color w:val="6ACBDC"/>
        </w:rPr>
        <w:t>Z &lt;,&lt;•/</w:t>
      </w:r>
    </w:p>
    <w:p w14:paraId="193A5F11" w14:textId="77777777" w:rsidR="00EC1C40" w:rsidRDefault="00000000">
      <w:pPr>
        <w:pStyle w:val="Titulekobrzku0"/>
        <w:framePr w:w="274" w:h="168" w:hRule="exact" w:wrap="none" w:vAnchor="page" w:hAnchor="page" w:x="2079" w:y="8429"/>
        <w:spacing w:line="180" w:lineRule="auto"/>
      </w:pPr>
      <w:r>
        <w:rPr>
          <w:color w:val="6ACBDC"/>
        </w:rPr>
        <w:t>&lt;286/&lt;</w:t>
      </w:r>
    </w:p>
    <w:p w14:paraId="6F5DD1A2" w14:textId="77777777" w:rsidR="00EC1C40" w:rsidRDefault="00000000">
      <w:pPr>
        <w:pStyle w:val="Titulekobrzku0"/>
        <w:framePr w:w="293" w:h="226" w:hRule="exact" w:wrap="none" w:vAnchor="page" w:hAnchor="page" w:x="3183" w:y="6514"/>
        <w:spacing w:after="40"/>
        <w:ind w:firstLine="200"/>
      </w:pPr>
      <w:r>
        <w:rPr>
          <w:color w:val="6ACBDC"/>
        </w:rPr>
        <w:t>5162/57</w:t>
      </w:r>
    </w:p>
    <w:p w14:paraId="7D403879" w14:textId="77777777" w:rsidR="00EC1C40" w:rsidRDefault="00000000">
      <w:pPr>
        <w:pStyle w:val="Titulekobrzku0"/>
        <w:framePr w:w="293" w:h="226" w:hRule="exact" w:wrap="none" w:vAnchor="page" w:hAnchor="page" w:x="3183" w:y="6514"/>
        <w:jc w:val="center"/>
      </w:pPr>
      <w:r>
        <w:rPr>
          <w:color w:val="EC1C23"/>
        </w:rPr>
        <w:t>5207/12 -&lt;</w:t>
      </w:r>
    </w:p>
    <w:p w14:paraId="23C36748" w14:textId="77777777" w:rsidR="00EC1C40" w:rsidRDefault="00000000">
      <w:pPr>
        <w:pStyle w:val="Titulekobrzku0"/>
        <w:framePr w:w="274" w:h="278" w:hRule="exact" w:wrap="none" w:vAnchor="page" w:hAnchor="page" w:x="6140" w:y="6375"/>
        <w:jc w:val="right"/>
      </w:pPr>
      <w:r>
        <w:rPr>
          <w:color w:val="6ACBDC"/>
        </w:rPr>
        <w:t>1026/8</w:t>
      </w:r>
    </w:p>
    <w:p w14:paraId="1A5DE93C" w14:textId="77777777" w:rsidR="00EC1C40" w:rsidRDefault="00000000">
      <w:pPr>
        <w:pStyle w:val="Titulekobrzku0"/>
        <w:framePr w:w="274" w:h="278" w:hRule="exact" w:wrap="none" w:vAnchor="page" w:hAnchor="page" w:x="6140" w:y="6375"/>
        <w:spacing w:line="211" w:lineRule="auto"/>
      </w:pPr>
      <w:r>
        <w:rPr>
          <w:color w:val="6ACBDC"/>
        </w:rPr>
        <w:t>1026/7</w:t>
      </w:r>
    </w:p>
    <w:p w14:paraId="1FC95F7E" w14:textId="77777777" w:rsidR="00EC1C40" w:rsidRDefault="00000000">
      <w:pPr>
        <w:pStyle w:val="Titulekobrzku0"/>
        <w:framePr w:w="274" w:h="278" w:hRule="exact" w:wrap="none" w:vAnchor="page" w:hAnchor="page" w:x="6140" w:y="6375"/>
      </w:pPr>
      <w:r>
        <w:rPr>
          <w:color w:val="6ACBDC"/>
        </w:rPr>
        <w:t>1026/-</w:t>
      </w:r>
    </w:p>
    <w:p w14:paraId="0B611D33" w14:textId="77777777" w:rsidR="00EC1C40" w:rsidRDefault="00000000">
      <w:pPr>
        <w:pStyle w:val="Titulekobrzku0"/>
        <w:framePr w:w="413" w:h="106" w:hRule="exact" w:wrap="none" w:vAnchor="page" w:hAnchor="page" w:x="4354" w:y="6552"/>
        <w:jc w:val="center"/>
      </w:pPr>
      <w:r>
        <w:rPr>
          <w:color w:val="6ACBDC"/>
        </w:rPr>
        <w:t>1026/1</w:t>
      </w:r>
    </w:p>
    <w:p w14:paraId="27A9D863" w14:textId="77777777" w:rsidR="00EC1C40" w:rsidRDefault="00000000">
      <w:pPr>
        <w:pStyle w:val="Titulekobrzku0"/>
        <w:framePr w:w="413" w:h="106" w:hRule="exact" w:wrap="none" w:vAnchor="page" w:hAnchor="page" w:x="4354" w:y="6552"/>
        <w:spacing w:line="180" w:lineRule="auto"/>
      </w:pPr>
      <w:r>
        <w:rPr>
          <w:color w:val="6ACBDC"/>
        </w:rPr>
        <w:t>5162/6&lt;</w:t>
      </w:r>
    </w:p>
    <w:p w14:paraId="39DF23E9" w14:textId="77777777" w:rsidR="00EC1C40" w:rsidRDefault="00000000">
      <w:pPr>
        <w:pStyle w:val="Titulekobrzku0"/>
        <w:framePr w:w="192" w:h="187" w:hRule="exact" w:wrap="none" w:vAnchor="page" w:hAnchor="page" w:x="1781" w:y="6476"/>
      </w:pPr>
      <w:r>
        <w:rPr>
          <w:color w:val="6ACBDC"/>
        </w:rPr>
        <w:t>5207/11</w:t>
      </w:r>
    </w:p>
    <w:p w14:paraId="4071623C" w14:textId="77777777" w:rsidR="00EC1C40" w:rsidRDefault="00000000">
      <w:pPr>
        <w:pStyle w:val="Titulekobrzku0"/>
        <w:framePr w:w="192" w:h="187" w:hRule="exact" w:wrap="none" w:vAnchor="page" w:hAnchor="page" w:x="1781" w:y="6476"/>
        <w:jc w:val="center"/>
      </w:pPr>
      <w:r>
        <w:rPr>
          <w:color w:val="6ACBDC"/>
        </w:rPr>
        <w:t>&lt;2-7/2</w:t>
      </w:r>
    </w:p>
    <w:p w14:paraId="58D2614D" w14:textId="77777777" w:rsidR="00EC1C40" w:rsidRDefault="00000000">
      <w:pPr>
        <w:pStyle w:val="Titulekobrzku0"/>
        <w:framePr w:w="182" w:h="130" w:hRule="exact" w:wrap="none" w:vAnchor="page" w:hAnchor="page" w:x="7004" w:y="6567"/>
        <w:ind w:right="19"/>
        <w:jc w:val="right"/>
      </w:pPr>
      <w:r>
        <w:rPr>
          <w:color w:val="6ACBDC"/>
        </w:rPr>
        <w:t>&lt;3&lt;8/8</w:t>
      </w:r>
    </w:p>
    <w:p w14:paraId="19EBA815" w14:textId="77777777" w:rsidR="00EC1C40" w:rsidRDefault="00000000">
      <w:pPr>
        <w:pStyle w:val="Titulekobrzku0"/>
        <w:framePr w:w="182" w:h="130" w:hRule="exact" w:wrap="none" w:vAnchor="page" w:hAnchor="page" w:x="7004" w:y="6567"/>
        <w:tabs>
          <w:tab w:val="left" w:pos="96"/>
        </w:tabs>
        <w:spacing w:line="180" w:lineRule="auto"/>
        <w:ind w:right="19"/>
        <w:jc w:val="right"/>
      </w:pPr>
      <w:r>
        <w:rPr>
          <w:color w:val="6ACBDC"/>
        </w:rPr>
        <w:t>96-</w:t>
      </w:r>
      <w:r>
        <w:rPr>
          <w:color w:val="6ACBDC"/>
        </w:rPr>
        <w:tab/>
        <w:t>--</w:t>
      </w:r>
    </w:p>
    <w:p w14:paraId="009BF0B2" w14:textId="77777777" w:rsidR="00EC1C40" w:rsidRDefault="00000000">
      <w:pPr>
        <w:pStyle w:val="Titulekobrzku0"/>
        <w:framePr w:w="336" w:h="451" w:hRule="exact" w:wrap="none" w:vAnchor="page" w:hAnchor="page" w:x="2516" w:y="8074"/>
      </w:pPr>
      <w:r>
        <w:rPr>
          <w:color w:val="6ACBDC"/>
        </w:rPr>
        <w:t>&lt;8 65 ^</w:t>
      </w:r>
      <w:r>
        <w:rPr>
          <w:color w:val="EC1C23"/>
        </w:rPr>
        <w:t>3619/1</w:t>
      </w:r>
    </w:p>
    <w:p w14:paraId="796D7F94" w14:textId="77777777" w:rsidR="00EC1C40" w:rsidRDefault="00000000">
      <w:pPr>
        <w:pStyle w:val="Titulekobrzku0"/>
        <w:framePr w:w="336" w:h="451" w:hRule="exact" w:wrap="none" w:vAnchor="page" w:hAnchor="page" w:x="2516" w:y="8074"/>
        <w:ind w:firstLine="140"/>
      </w:pPr>
      <w:r>
        <w:rPr>
          <w:color w:val="EC1C23"/>
        </w:rPr>
        <w:t>&lt;286«</w:t>
      </w:r>
    </w:p>
    <w:p w14:paraId="78C44354" w14:textId="77777777" w:rsidR="00EC1C40" w:rsidRDefault="00000000">
      <w:pPr>
        <w:pStyle w:val="Titulekobrzku0"/>
        <w:framePr w:w="336" w:h="451" w:hRule="exact" w:wrap="none" w:vAnchor="page" w:hAnchor="page" w:x="2516" w:y="8074"/>
        <w:ind w:firstLine="140"/>
      </w:pPr>
      <w:r>
        <w:rPr>
          <w:color w:val="EC1C23"/>
        </w:rPr>
        <w:t>&lt;286/1</w:t>
      </w:r>
    </w:p>
    <w:p w14:paraId="1C57EEEB" w14:textId="77777777" w:rsidR="00EC1C40" w:rsidRDefault="00000000">
      <w:pPr>
        <w:pStyle w:val="Titulekobrzku0"/>
        <w:framePr w:w="336" w:h="451" w:hRule="exact" w:wrap="none" w:vAnchor="page" w:hAnchor="page" w:x="2516" w:y="8074"/>
        <w:spacing w:line="211" w:lineRule="auto"/>
      </w:pPr>
      <w:r>
        <w:rPr>
          <w:color w:val="EC1C23"/>
        </w:rPr>
        <w:t>- &lt;323/5</w:t>
      </w:r>
    </w:p>
    <w:p w14:paraId="74757B85" w14:textId="77777777" w:rsidR="00EC1C40" w:rsidRDefault="00000000">
      <w:pPr>
        <w:pStyle w:val="Titulekobrzku0"/>
        <w:framePr w:w="336" w:h="451" w:hRule="exact" w:wrap="none" w:vAnchor="page" w:hAnchor="page" w:x="2516" w:y="8074"/>
        <w:spacing w:line="180" w:lineRule="auto"/>
        <w:ind w:firstLine="240"/>
      </w:pPr>
      <w:r>
        <w:rPr>
          <w:color w:val="6ACBDC"/>
        </w:rPr>
        <w:t>&lt;*92</w:t>
      </w:r>
    </w:p>
    <w:p w14:paraId="5A108876" w14:textId="77777777" w:rsidR="00EC1C40" w:rsidRDefault="00000000">
      <w:pPr>
        <w:pStyle w:val="Titulekobrzku0"/>
        <w:framePr w:w="245" w:h="230" w:hRule="exact" w:wrap="none" w:vAnchor="page" w:hAnchor="page" w:x="1330" w:y="7594"/>
      </w:pPr>
      <w:r>
        <w:rPr>
          <w:color w:val="6ACBDC"/>
        </w:rPr>
        <w:t>&lt;237/3</w:t>
      </w:r>
    </w:p>
    <w:p w14:paraId="47500D7B" w14:textId="77777777" w:rsidR="00EC1C40" w:rsidRDefault="00000000">
      <w:pPr>
        <w:pStyle w:val="Titulekobrzku0"/>
        <w:framePr w:w="245" w:h="230" w:hRule="exact" w:wrap="none" w:vAnchor="page" w:hAnchor="page" w:x="1330" w:y="7594"/>
        <w:ind w:firstLine="140"/>
      </w:pPr>
      <w:proofErr w:type="spellStart"/>
      <w:r>
        <w:rPr>
          <w:color w:val="6ACBDC"/>
        </w:rPr>
        <w:t>rz</w:t>
      </w:r>
      <w:proofErr w:type="spellEnd"/>
    </w:p>
    <w:p w14:paraId="6521EFC3" w14:textId="77777777" w:rsidR="00EC1C40" w:rsidRDefault="00000000">
      <w:pPr>
        <w:pStyle w:val="Titulekobrzku0"/>
        <w:framePr w:w="283" w:h="221" w:hRule="exact" w:wrap="none" w:vAnchor="page" w:hAnchor="page" w:x="961" w:y="8621"/>
      </w:pPr>
      <w:r>
        <w:rPr>
          <w:color w:val="6ACBDC"/>
        </w:rPr>
        <w:t>361&lt;</w:t>
      </w:r>
    </w:p>
    <w:p w14:paraId="61F80200" w14:textId="77777777" w:rsidR="00EC1C40" w:rsidRDefault="00000000">
      <w:pPr>
        <w:pStyle w:val="Titulekobrzku0"/>
        <w:framePr w:w="283" w:h="221" w:hRule="exact" w:wrap="none" w:vAnchor="page" w:hAnchor="page" w:x="961" w:y="8621"/>
      </w:pPr>
      <w:r>
        <w:rPr>
          <w:color w:val="EC1C23"/>
        </w:rPr>
        <w:t>/3618.5</w:t>
      </w:r>
    </w:p>
    <w:p w14:paraId="0271A500" w14:textId="77777777" w:rsidR="00EC1C40" w:rsidRDefault="00000000">
      <w:pPr>
        <w:pStyle w:val="Zkladntext90"/>
        <w:framePr w:w="9120" w:h="240" w:hRule="exact" w:wrap="none" w:vAnchor="page" w:hAnchor="page" w:x="2703" w:y="7599"/>
        <w:ind w:left="7060"/>
      </w:pPr>
      <w:r>
        <w:rPr>
          <w:b w:val="0"/>
          <w:bCs w:val="0"/>
        </w:rPr>
        <w:t>LEGENDA</w:t>
      </w:r>
    </w:p>
    <w:p w14:paraId="5CD3B329" w14:textId="77777777" w:rsidR="00EC1C40" w:rsidRDefault="00000000">
      <w:pPr>
        <w:pStyle w:val="Zkladntext90"/>
        <w:framePr w:w="9120" w:h="240" w:hRule="exact" w:wrap="none" w:vAnchor="page" w:hAnchor="page" w:x="2703" w:y="7599"/>
        <w:spacing w:line="180" w:lineRule="auto"/>
        <w:ind w:left="7060" w:right="1373"/>
        <w:jc w:val="center"/>
      </w:pPr>
      <w:r>
        <w:rPr>
          <w:b w:val="0"/>
          <w:bCs w:val="0"/>
          <w:color w:val="231E20"/>
        </w:rPr>
        <w:t>HRANCE66ARCELDLJEKN</w:t>
      </w:r>
    </w:p>
    <w:p w14:paraId="408D14A6" w14:textId="77777777" w:rsidR="00EC1C40" w:rsidRDefault="00000000">
      <w:pPr>
        <w:pStyle w:val="Zkladntext90"/>
        <w:framePr w:w="9120" w:h="240" w:hRule="exact" w:wrap="none" w:vAnchor="page" w:hAnchor="page" w:x="2703" w:y="7599"/>
        <w:spacing w:line="180" w:lineRule="auto"/>
        <w:ind w:left="7060" w:right="1373"/>
        <w:jc w:val="center"/>
      </w:pPr>
      <w:r>
        <w:rPr>
          <w:b w:val="0"/>
          <w:bCs w:val="0"/>
          <w:color w:val="6ACBDC"/>
        </w:rPr>
        <w:t xml:space="preserve">3&lt;63/27 </w:t>
      </w:r>
      <w:r>
        <w:rPr>
          <w:b w:val="0"/>
          <w:bCs w:val="0"/>
          <w:color w:val="231E20"/>
        </w:rPr>
        <w:t>PARCELNÍČÍSLA</w:t>
      </w:r>
    </w:p>
    <w:p w14:paraId="7F5DEC3B" w14:textId="77777777" w:rsidR="00EC1C40" w:rsidRDefault="00000000">
      <w:pPr>
        <w:pStyle w:val="Zkladntext90"/>
        <w:framePr w:w="9120" w:h="245" w:hRule="exact" w:wrap="none" w:vAnchor="page" w:hAnchor="page" w:x="2703" w:y="7992"/>
        <w:ind w:left="7060"/>
      </w:pPr>
      <w:r>
        <w:rPr>
          <w:b w:val="0"/>
          <w:bCs w:val="0"/>
          <w:color w:val="010102"/>
        </w:rPr>
        <w:t>LEGENDA VLASTNÍKŮ POZEMKŮ</w:t>
      </w:r>
    </w:p>
    <w:p w14:paraId="513CA205" w14:textId="77777777" w:rsidR="00EC1C40" w:rsidRDefault="00000000">
      <w:pPr>
        <w:pStyle w:val="Zkladntext90"/>
        <w:framePr w:w="9120" w:h="245" w:hRule="exact" w:wrap="none" w:vAnchor="page" w:hAnchor="page" w:x="2703" w:y="7992"/>
        <w:tabs>
          <w:tab w:val="left" w:pos="7242"/>
        </w:tabs>
        <w:ind w:left="7060" w:right="912"/>
        <w:jc w:val="center"/>
      </w:pPr>
      <w:r>
        <w:rPr>
          <w:b w:val="0"/>
          <w:bCs w:val="0"/>
          <w:color w:val="010102"/>
        </w:rPr>
        <w:t>1</w:t>
      </w:r>
      <w:r>
        <w:rPr>
          <w:b w:val="0"/>
          <w:bCs w:val="0"/>
          <w:color w:val="010102"/>
        </w:rPr>
        <w:tab/>
      </w:r>
      <w:proofErr w:type="spellStart"/>
      <w:r>
        <w:rPr>
          <w:b w:val="0"/>
          <w:bCs w:val="0"/>
          <w:color w:val="010102"/>
        </w:rPr>
        <w:t>Doťéné</w:t>
      </w:r>
      <w:proofErr w:type="spellEnd"/>
      <w:r>
        <w:rPr>
          <w:b w:val="0"/>
          <w:bCs w:val="0"/>
          <w:color w:val="010102"/>
        </w:rPr>
        <w:t xml:space="preserve"> pozemky </w:t>
      </w:r>
      <w:proofErr w:type="spellStart"/>
      <w:r>
        <w:rPr>
          <w:b w:val="0"/>
          <w:bCs w:val="0"/>
          <w:color w:val="010102"/>
        </w:rPr>
        <w:t>StaUárního</w:t>
      </w:r>
      <w:proofErr w:type="spellEnd"/>
      <w:r>
        <w:rPr>
          <w:b w:val="0"/>
          <w:bCs w:val="0"/>
          <w:color w:val="010102"/>
        </w:rPr>
        <w:t xml:space="preserve"> </w:t>
      </w:r>
      <w:proofErr w:type="spellStart"/>
      <w:r>
        <w:rPr>
          <w:b w:val="0"/>
          <w:bCs w:val="0"/>
          <w:color w:val="010102"/>
        </w:rPr>
        <w:t>měsS</w:t>
      </w:r>
      <w:proofErr w:type="spellEnd"/>
      <w:r>
        <w:rPr>
          <w:b w:val="0"/>
          <w:bCs w:val="0"/>
          <w:color w:val="010102"/>
        </w:rPr>
        <w:t xml:space="preserve"> </w:t>
      </w:r>
      <w:proofErr w:type="spellStart"/>
      <w:r>
        <w:rPr>
          <w:b w:val="0"/>
          <w:bCs w:val="0"/>
          <w:color w:val="010102"/>
        </w:rPr>
        <w:t>PadubCe</w:t>
      </w:r>
      <w:proofErr w:type="spellEnd"/>
    </w:p>
    <w:p w14:paraId="1E208D22" w14:textId="77777777" w:rsidR="00EC1C40" w:rsidRDefault="00000000">
      <w:pPr>
        <w:pStyle w:val="Zkladntext90"/>
        <w:framePr w:wrap="none" w:vAnchor="page" w:hAnchor="page" w:x="9778" w:y="8266"/>
        <w:jc w:val="both"/>
      </w:pPr>
      <w:r>
        <w:rPr>
          <w:color w:val="EC1C23"/>
        </w:rPr>
        <w:t>5207/16 —</w:t>
      </w:r>
      <w:proofErr w:type="spellStart"/>
      <w:r>
        <w:rPr>
          <w:b w:val="0"/>
          <w:bCs w:val="0"/>
          <w:color w:val="010102"/>
        </w:rPr>
        <w:t>Označr</w:t>
      </w:r>
      <w:proofErr w:type="spellEnd"/>
    </w:p>
    <w:p w14:paraId="61D319BB" w14:textId="77777777" w:rsidR="00EC1C40" w:rsidRDefault="00000000">
      <w:pPr>
        <w:pStyle w:val="Zkladntext90"/>
        <w:framePr w:wrap="none" w:vAnchor="page" w:hAnchor="page" w:x="10863" w:y="8280"/>
      </w:pPr>
      <w:r>
        <w:rPr>
          <w:b w:val="0"/>
          <w:bCs w:val="0"/>
          <w:color w:val="010102"/>
        </w:rPr>
        <w:t>sta Pardubice</w:t>
      </w:r>
    </w:p>
    <w:p w14:paraId="7A8F069A" w14:textId="77777777" w:rsidR="00EC1C40" w:rsidRDefault="00000000">
      <w:pPr>
        <w:pStyle w:val="Zkladntext90"/>
        <w:framePr w:w="9120" w:h="1666" w:hRule="exact" w:wrap="none" w:vAnchor="page" w:hAnchor="page" w:x="2703" w:y="8703"/>
        <w:tabs>
          <w:tab w:val="left" w:pos="7406"/>
          <w:tab w:val="left" w:pos="7949"/>
        </w:tabs>
        <w:spacing w:line="214" w:lineRule="auto"/>
        <w:ind w:left="7056"/>
      </w:pPr>
      <w:r>
        <w:rPr>
          <w:b w:val="0"/>
          <w:bCs w:val="0"/>
          <w:color w:val="010102"/>
        </w:rPr>
        <w:t>DOTČENÉ POZEMKY VE VLASTNICTVÍ STATUTÁRNÍHO MĚSTA PARDUBICE</w:t>
      </w:r>
      <w:r>
        <w:rPr>
          <w:b w:val="0"/>
          <w:bCs w:val="0"/>
          <w:color w:val="010102"/>
        </w:rPr>
        <w:br/>
      </w:r>
      <w:r>
        <w:rPr>
          <w:color w:val="010102"/>
        </w:rPr>
        <w:t xml:space="preserve">č. </w:t>
      </w:r>
      <w:proofErr w:type="spellStart"/>
      <w:r>
        <w:rPr>
          <w:color w:val="010102"/>
        </w:rPr>
        <w:t>parc</w:t>
      </w:r>
      <w:proofErr w:type="spellEnd"/>
      <w:r>
        <w:rPr>
          <w:color w:val="010102"/>
        </w:rPr>
        <w:t>.</w:t>
      </w:r>
      <w:r>
        <w:rPr>
          <w:color w:val="010102"/>
        </w:rPr>
        <w:tab/>
        <w:t>plocha parcely [m</w:t>
      </w:r>
      <w:r>
        <w:rPr>
          <w:b w:val="0"/>
          <w:bCs w:val="0"/>
          <w:color w:val="010102"/>
          <w:vertAlign w:val="superscript"/>
        </w:rPr>
        <w:t>2</w:t>
      </w:r>
      <w:r>
        <w:rPr>
          <w:color w:val="010102"/>
        </w:rPr>
        <w:t>]</w:t>
      </w:r>
      <w:r>
        <w:rPr>
          <w:color w:val="010102"/>
        </w:rPr>
        <w:tab/>
        <w:t>vyznačená plocha dotčení (šrafy) [m</w:t>
      </w:r>
      <w:r>
        <w:rPr>
          <w:b w:val="0"/>
          <w:bCs w:val="0"/>
          <w:color w:val="010102"/>
          <w:vertAlign w:val="superscript"/>
        </w:rPr>
        <w:t>2</w:t>
      </w:r>
      <w:r>
        <w:rPr>
          <w:color w:val="010102"/>
        </w:rPr>
        <w:t>]</w:t>
      </w:r>
    </w:p>
    <w:p w14:paraId="5BFD42D2" w14:textId="77777777" w:rsidR="00EC1C40" w:rsidRDefault="00000000">
      <w:pPr>
        <w:pStyle w:val="Obsah0"/>
        <w:framePr w:w="9120" w:h="1666" w:hRule="exact" w:wrap="none" w:vAnchor="page" w:hAnchor="page" w:x="2703" w:y="8703"/>
        <w:tabs>
          <w:tab w:val="right" w:pos="7707"/>
          <w:tab w:val="right" w:pos="8241"/>
        </w:tabs>
        <w:spacing w:line="214" w:lineRule="auto"/>
        <w:ind w:left="7056"/>
        <w:rPr>
          <w:sz w:val="8"/>
          <w:szCs w:val="8"/>
        </w:rPr>
      </w:pPr>
      <w:r>
        <w:rPr>
          <w:rFonts w:ascii="Arial" w:eastAsia="Arial" w:hAnsi="Arial" w:cs="Arial"/>
          <w:b/>
          <w:bCs/>
          <w:color w:val="EC1C23"/>
          <w:sz w:val="8"/>
          <w:szCs w:val="8"/>
        </w:rPr>
        <w:t>1575</w:t>
      </w:r>
      <w:r>
        <w:rPr>
          <w:rFonts w:ascii="Arial" w:eastAsia="Arial" w:hAnsi="Arial" w:cs="Arial"/>
          <w:b/>
          <w:bCs/>
          <w:color w:val="EC1C23"/>
          <w:sz w:val="8"/>
          <w:szCs w:val="8"/>
        </w:rPr>
        <w:tab/>
        <w:t>3817</w:t>
      </w:r>
      <w:r>
        <w:rPr>
          <w:rFonts w:ascii="Arial" w:eastAsia="Arial" w:hAnsi="Arial" w:cs="Arial"/>
          <w:b/>
          <w:bCs/>
          <w:color w:val="EC1C23"/>
          <w:sz w:val="8"/>
          <w:szCs w:val="8"/>
        </w:rPr>
        <w:tab/>
        <w:t>3817</w:t>
      </w:r>
    </w:p>
    <w:p w14:paraId="1DF95C51" w14:textId="77777777" w:rsidR="00EC1C40" w:rsidRDefault="00000000">
      <w:pPr>
        <w:pStyle w:val="Obsah0"/>
        <w:framePr w:w="9120" w:h="1666" w:hRule="exact" w:wrap="none" w:vAnchor="page" w:hAnchor="page" w:x="2703" w:y="8703"/>
        <w:tabs>
          <w:tab w:val="right" w:pos="7707"/>
          <w:tab w:val="right" w:pos="8241"/>
        </w:tabs>
        <w:spacing w:line="214" w:lineRule="auto"/>
        <w:ind w:left="7056"/>
        <w:jc w:val="both"/>
        <w:rPr>
          <w:sz w:val="8"/>
          <w:szCs w:val="8"/>
        </w:rPr>
      </w:pPr>
      <w:r>
        <w:rPr>
          <w:rFonts w:ascii="Arial" w:eastAsia="Arial" w:hAnsi="Arial" w:cs="Arial"/>
          <w:b/>
          <w:bCs/>
          <w:color w:val="EC1C23"/>
          <w:sz w:val="8"/>
          <w:szCs w:val="8"/>
        </w:rPr>
        <w:t>2678/1</w:t>
      </w:r>
      <w:r>
        <w:rPr>
          <w:rFonts w:ascii="Arial" w:eastAsia="Arial" w:hAnsi="Arial" w:cs="Arial"/>
          <w:b/>
          <w:bCs/>
          <w:color w:val="EC1C23"/>
          <w:sz w:val="8"/>
          <w:szCs w:val="8"/>
        </w:rPr>
        <w:tab/>
        <w:t>1&lt;8&lt;</w:t>
      </w:r>
      <w:r>
        <w:rPr>
          <w:rFonts w:ascii="Arial" w:eastAsia="Arial" w:hAnsi="Arial" w:cs="Arial"/>
          <w:b/>
          <w:bCs/>
          <w:color w:val="EC1C23"/>
          <w:sz w:val="8"/>
          <w:szCs w:val="8"/>
        </w:rPr>
        <w:tab/>
        <w:t>807</w:t>
      </w:r>
    </w:p>
    <w:p w14:paraId="025743BB" w14:textId="77777777" w:rsidR="00EC1C40" w:rsidRDefault="00000000">
      <w:pPr>
        <w:pStyle w:val="Obsah0"/>
        <w:framePr w:w="9120" w:h="1666" w:hRule="exact" w:wrap="none" w:vAnchor="page" w:hAnchor="page" w:x="2703" w:y="8703"/>
        <w:tabs>
          <w:tab w:val="right" w:pos="7707"/>
          <w:tab w:val="right" w:pos="8241"/>
        </w:tabs>
        <w:spacing w:line="214" w:lineRule="auto"/>
        <w:ind w:left="7056"/>
        <w:jc w:val="both"/>
        <w:rPr>
          <w:sz w:val="8"/>
          <w:szCs w:val="8"/>
        </w:rPr>
      </w:pPr>
      <w:r>
        <w:rPr>
          <w:rFonts w:ascii="Arial" w:eastAsia="Arial" w:hAnsi="Arial" w:cs="Arial"/>
          <w:b/>
          <w:bCs/>
          <w:color w:val="EC1C23"/>
          <w:sz w:val="8"/>
          <w:szCs w:val="8"/>
        </w:rPr>
        <w:t>3615/1</w:t>
      </w:r>
      <w:r>
        <w:rPr>
          <w:rFonts w:ascii="Arial" w:eastAsia="Arial" w:hAnsi="Arial" w:cs="Arial"/>
          <w:b/>
          <w:bCs/>
          <w:color w:val="EC1C23"/>
          <w:sz w:val="8"/>
          <w:szCs w:val="8"/>
        </w:rPr>
        <w:tab/>
        <w:t>&lt;10</w:t>
      </w:r>
      <w:r>
        <w:rPr>
          <w:rFonts w:ascii="Arial" w:eastAsia="Arial" w:hAnsi="Arial" w:cs="Arial"/>
          <w:b/>
          <w:bCs/>
          <w:color w:val="EC1C23"/>
          <w:sz w:val="8"/>
          <w:szCs w:val="8"/>
        </w:rPr>
        <w:tab/>
        <w:t>1-3</w:t>
      </w:r>
    </w:p>
    <w:p w14:paraId="68CE082A" w14:textId="77777777" w:rsidR="00EC1C40" w:rsidRDefault="00000000">
      <w:pPr>
        <w:pStyle w:val="Obsah0"/>
        <w:framePr w:w="9120" w:h="1666" w:hRule="exact" w:wrap="none" w:vAnchor="page" w:hAnchor="page" w:x="2703" w:y="8703"/>
        <w:tabs>
          <w:tab w:val="right" w:pos="7707"/>
          <w:tab w:val="right" w:pos="8241"/>
        </w:tabs>
        <w:spacing w:line="214" w:lineRule="auto"/>
        <w:ind w:left="7056"/>
        <w:jc w:val="both"/>
        <w:rPr>
          <w:sz w:val="8"/>
          <w:szCs w:val="8"/>
        </w:rPr>
      </w:pPr>
      <w:r>
        <w:rPr>
          <w:rFonts w:ascii="Arial" w:eastAsia="Arial" w:hAnsi="Arial" w:cs="Arial"/>
          <w:b/>
          <w:bCs/>
          <w:color w:val="EC1C23"/>
          <w:sz w:val="8"/>
          <w:szCs w:val="8"/>
        </w:rPr>
        <w:t>3615/2</w:t>
      </w:r>
      <w:r>
        <w:rPr>
          <w:rFonts w:ascii="Arial" w:eastAsia="Arial" w:hAnsi="Arial" w:cs="Arial"/>
          <w:b/>
          <w:bCs/>
          <w:color w:val="EC1C23"/>
          <w:sz w:val="8"/>
          <w:szCs w:val="8"/>
        </w:rPr>
        <w:tab/>
        <w:t>2352</w:t>
      </w:r>
      <w:r>
        <w:rPr>
          <w:rFonts w:ascii="Arial" w:eastAsia="Arial" w:hAnsi="Arial" w:cs="Arial"/>
          <w:b/>
          <w:bCs/>
          <w:color w:val="EC1C23"/>
          <w:sz w:val="8"/>
          <w:szCs w:val="8"/>
        </w:rPr>
        <w:tab/>
        <w:t>1121</w:t>
      </w:r>
    </w:p>
    <w:p w14:paraId="431C2C0B" w14:textId="77777777" w:rsidR="00EC1C40" w:rsidRDefault="00000000">
      <w:pPr>
        <w:pStyle w:val="Obsah0"/>
        <w:framePr w:w="9120" w:h="1666" w:hRule="exact" w:wrap="none" w:vAnchor="page" w:hAnchor="page" w:x="2703" w:y="8703"/>
        <w:tabs>
          <w:tab w:val="right" w:pos="7707"/>
          <w:tab w:val="right" w:pos="8241"/>
        </w:tabs>
        <w:spacing w:line="214" w:lineRule="auto"/>
        <w:ind w:left="7056"/>
        <w:jc w:val="both"/>
        <w:rPr>
          <w:sz w:val="8"/>
          <w:szCs w:val="8"/>
        </w:rPr>
      </w:pPr>
      <w:r>
        <w:rPr>
          <w:rFonts w:ascii="Arial" w:eastAsia="Arial" w:hAnsi="Arial" w:cs="Arial"/>
          <w:b/>
          <w:bCs/>
          <w:color w:val="EC1C23"/>
          <w:sz w:val="8"/>
          <w:szCs w:val="8"/>
        </w:rPr>
        <w:t>3618/&lt;</w:t>
      </w:r>
      <w:r>
        <w:rPr>
          <w:rFonts w:ascii="Arial" w:eastAsia="Arial" w:hAnsi="Arial" w:cs="Arial"/>
          <w:b/>
          <w:bCs/>
          <w:color w:val="EC1C23"/>
          <w:sz w:val="8"/>
          <w:szCs w:val="8"/>
        </w:rPr>
        <w:tab/>
        <w:t>2&lt;</w:t>
      </w:r>
      <w:r>
        <w:rPr>
          <w:rFonts w:ascii="Arial" w:eastAsia="Arial" w:hAnsi="Arial" w:cs="Arial"/>
          <w:b/>
          <w:bCs/>
          <w:color w:val="EC1C23"/>
          <w:sz w:val="8"/>
          <w:szCs w:val="8"/>
        </w:rPr>
        <w:tab/>
        <w:t>2&lt;</w:t>
      </w:r>
    </w:p>
    <w:p w14:paraId="2AD28B59" w14:textId="77777777" w:rsidR="00EC1C40" w:rsidRDefault="00000000">
      <w:pPr>
        <w:pStyle w:val="Obsah0"/>
        <w:framePr w:w="9120" w:h="1666" w:hRule="exact" w:wrap="none" w:vAnchor="page" w:hAnchor="page" w:x="2703" w:y="8703"/>
        <w:tabs>
          <w:tab w:val="right" w:pos="7707"/>
          <w:tab w:val="right" w:pos="8241"/>
        </w:tabs>
        <w:spacing w:line="214" w:lineRule="auto"/>
        <w:ind w:left="7056"/>
        <w:jc w:val="both"/>
        <w:rPr>
          <w:sz w:val="8"/>
          <w:szCs w:val="8"/>
        </w:rPr>
      </w:pPr>
      <w:r>
        <w:rPr>
          <w:rFonts w:ascii="Arial" w:eastAsia="Arial" w:hAnsi="Arial" w:cs="Arial"/>
          <w:b/>
          <w:bCs/>
          <w:color w:val="EC1C23"/>
          <w:sz w:val="8"/>
          <w:szCs w:val="8"/>
        </w:rPr>
        <w:t>3618/5</w:t>
      </w:r>
      <w:r>
        <w:rPr>
          <w:rFonts w:ascii="Arial" w:eastAsia="Arial" w:hAnsi="Arial" w:cs="Arial"/>
          <w:b/>
          <w:bCs/>
          <w:color w:val="EC1C23"/>
          <w:sz w:val="8"/>
          <w:szCs w:val="8"/>
        </w:rPr>
        <w:tab/>
        <w:t>&lt;878</w:t>
      </w:r>
      <w:r>
        <w:rPr>
          <w:rFonts w:ascii="Arial" w:eastAsia="Arial" w:hAnsi="Arial" w:cs="Arial"/>
          <w:b/>
          <w:bCs/>
          <w:color w:val="EC1C23"/>
          <w:sz w:val="8"/>
          <w:szCs w:val="8"/>
        </w:rPr>
        <w:tab/>
        <w:t>16-6</w:t>
      </w:r>
    </w:p>
    <w:p w14:paraId="6A3897A4" w14:textId="77777777" w:rsidR="00EC1C40" w:rsidRDefault="00000000">
      <w:pPr>
        <w:pStyle w:val="Obsah0"/>
        <w:framePr w:w="9120" w:h="1666" w:hRule="exact" w:wrap="none" w:vAnchor="page" w:hAnchor="page" w:x="2703" w:y="8703"/>
        <w:tabs>
          <w:tab w:val="right" w:pos="7707"/>
          <w:tab w:val="right" w:pos="8241"/>
        </w:tabs>
        <w:spacing w:line="214" w:lineRule="auto"/>
        <w:ind w:left="7056"/>
        <w:jc w:val="both"/>
        <w:rPr>
          <w:sz w:val="8"/>
          <w:szCs w:val="8"/>
        </w:rPr>
      </w:pPr>
      <w:r>
        <w:rPr>
          <w:rFonts w:ascii="Arial" w:eastAsia="Arial" w:hAnsi="Arial" w:cs="Arial"/>
          <w:b/>
          <w:bCs/>
          <w:color w:val="EC1C23"/>
          <w:sz w:val="8"/>
          <w:szCs w:val="8"/>
        </w:rPr>
        <w:t>361-/1</w:t>
      </w:r>
      <w:r>
        <w:rPr>
          <w:rFonts w:ascii="Arial" w:eastAsia="Arial" w:hAnsi="Arial" w:cs="Arial"/>
          <w:b/>
          <w:bCs/>
          <w:color w:val="EC1C23"/>
          <w:sz w:val="8"/>
          <w:szCs w:val="8"/>
        </w:rPr>
        <w:tab/>
        <w:t>152-</w:t>
      </w:r>
      <w:r>
        <w:rPr>
          <w:rFonts w:ascii="Arial" w:eastAsia="Arial" w:hAnsi="Arial" w:cs="Arial"/>
          <w:b/>
          <w:bCs/>
          <w:color w:val="EC1C23"/>
          <w:sz w:val="8"/>
          <w:szCs w:val="8"/>
        </w:rPr>
        <w:tab/>
        <w:t>152-</w:t>
      </w:r>
    </w:p>
    <w:p w14:paraId="181E6544" w14:textId="77777777" w:rsidR="00EC1C40" w:rsidRDefault="00000000">
      <w:pPr>
        <w:pStyle w:val="Obsah0"/>
        <w:framePr w:w="9120" w:h="1666" w:hRule="exact" w:wrap="none" w:vAnchor="page" w:hAnchor="page" w:x="2703" w:y="8703"/>
        <w:tabs>
          <w:tab w:val="right" w:pos="7707"/>
          <w:tab w:val="right" w:pos="8241"/>
        </w:tabs>
        <w:spacing w:line="214" w:lineRule="auto"/>
        <w:ind w:left="7056"/>
        <w:jc w:val="both"/>
        <w:rPr>
          <w:sz w:val="8"/>
          <w:szCs w:val="8"/>
        </w:rPr>
      </w:pPr>
      <w:r>
        <w:rPr>
          <w:rFonts w:ascii="Arial" w:eastAsia="Arial" w:hAnsi="Arial" w:cs="Arial"/>
          <w:b/>
          <w:bCs/>
          <w:color w:val="EC1C23"/>
          <w:sz w:val="8"/>
          <w:szCs w:val="8"/>
        </w:rPr>
        <w:t>368&lt;/6</w:t>
      </w:r>
      <w:r>
        <w:rPr>
          <w:rFonts w:ascii="Arial" w:eastAsia="Arial" w:hAnsi="Arial" w:cs="Arial"/>
          <w:b/>
          <w:bCs/>
          <w:color w:val="EC1C23"/>
          <w:sz w:val="8"/>
          <w:szCs w:val="8"/>
        </w:rPr>
        <w:tab/>
        <w:t>11-</w:t>
      </w:r>
      <w:r>
        <w:rPr>
          <w:rFonts w:ascii="Arial" w:eastAsia="Arial" w:hAnsi="Arial" w:cs="Arial"/>
          <w:b/>
          <w:bCs/>
          <w:color w:val="EC1C23"/>
          <w:sz w:val="8"/>
          <w:szCs w:val="8"/>
        </w:rPr>
        <w:tab/>
        <w:t>11-</w:t>
      </w:r>
    </w:p>
    <w:p w14:paraId="611FB0C0" w14:textId="77777777" w:rsidR="00EC1C40" w:rsidRDefault="00000000">
      <w:pPr>
        <w:pStyle w:val="Obsah0"/>
        <w:framePr w:w="9120" w:h="1666" w:hRule="exact" w:wrap="none" w:vAnchor="page" w:hAnchor="page" w:x="2703" w:y="8703"/>
        <w:tabs>
          <w:tab w:val="right" w:pos="7707"/>
          <w:tab w:val="right" w:pos="8241"/>
        </w:tabs>
        <w:spacing w:line="214" w:lineRule="auto"/>
        <w:ind w:left="7056"/>
        <w:jc w:val="both"/>
        <w:rPr>
          <w:sz w:val="8"/>
          <w:szCs w:val="8"/>
        </w:rPr>
      </w:pPr>
      <w:r>
        <w:rPr>
          <w:rFonts w:ascii="Arial" w:eastAsia="Arial" w:hAnsi="Arial" w:cs="Arial"/>
          <w:b/>
          <w:bCs/>
          <w:color w:val="EC1C23"/>
          <w:sz w:val="8"/>
          <w:szCs w:val="8"/>
        </w:rPr>
        <w:t>368&lt;/7</w:t>
      </w:r>
      <w:r>
        <w:rPr>
          <w:rFonts w:ascii="Arial" w:eastAsia="Arial" w:hAnsi="Arial" w:cs="Arial"/>
          <w:b/>
          <w:bCs/>
          <w:color w:val="EC1C23"/>
          <w:sz w:val="8"/>
          <w:szCs w:val="8"/>
        </w:rPr>
        <w:tab/>
        <w:t>38</w:t>
      </w:r>
      <w:r>
        <w:rPr>
          <w:rFonts w:ascii="Arial" w:eastAsia="Arial" w:hAnsi="Arial" w:cs="Arial"/>
          <w:b/>
          <w:bCs/>
          <w:color w:val="EC1C23"/>
          <w:sz w:val="8"/>
          <w:szCs w:val="8"/>
        </w:rPr>
        <w:tab/>
        <w:t>38</w:t>
      </w:r>
    </w:p>
    <w:p w14:paraId="17CCA7CB" w14:textId="77777777" w:rsidR="00EC1C40" w:rsidRDefault="00000000">
      <w:pPr>
        <w:pStyle w:val="Obsah0"/>
        <w:framePr w:w="9120" w:h="1666" w:hRule="exact" w:wrap="none" w:vAnchor="page" w:hAnchor="page" w:x="2703" w:y="8703"/>
        <w:tabs>
          <w:tab w:val="right" w:pos="7707"/>
          <w:tab w:val="right" w:pos="8241"/>
        </w:tabs>
        <w:spacing w:line="214" w:lineRule="auto"/>
        <w:ind w:left="7056"/>
        <w:jc w:val="both"/>
        <w:rPr>
          <w:sz w:val="8"/>
          <w:szCs w:val="8"/>
        </w:rPr>
      </w:pPr>
      <w:r>
        <w:rPr>
          <w:rFonts w:ascii="Arial" w:eastAsia="Arial" w:hAnsi="Arial" w:cs="Arial"/>
          <w:b/>
          <w:bCs/>
          <w:color w:val="EC1C23"/>
          <w:sz w:val="8"/>
          <w:szCs w:val="8"/>
        </w:rPr>
        <w:t>&lt;286/1</w:t>
      </w:r>
      <w:r>
        <w:rPr>
          <w:rFonts w:ascii="Arial" w:eastAsia="Arial" w:hAnsi="Arial" w:cs="Arial"/>
          <w:b/>
          <w:bCs/>
          <w:color w:val="EC1C23"/>
          <w:sz w:val="8"/>
          <w:szCs w:val="8"/>
        </w:rPr>
        <w:tab/>
        <w:t>&lt;78</w:t>
      </w:r>
      <w:r>
        <w:rPr>
          <w:rFonts w:ascii="Arial" w:eastAsia="Arial" w:hAnsi="Arial" w:cs="Arial"/>
          <w:b/>
          <w:bCs/>
          <w:color w:val="EC1C23"/>
          <w:sz w:val="8"/>
          <w:szCs w:val="8"/>
        </w:rPr>
        <w:tab/>
        <w:t>63</w:t>
      </w:r>
    </w:p>
    <w:p w14:paraId="214DDBC2" w14:textId="77777777" w:rsidR="00EC1C40" w:rsidRDefault="00000000">
      <w:pPr>
        <w:pStyle w:val="Obsah0"/>
        <w:framePr w:w="9120" w:h="1666" w:hRule="exact" w:wrap="none" w:vAnchor="page" w:hAnchor="page" w:x="2703" w:y="8703"/>
        <w:tabs>
          <w:tab w:val="right" w:pos="7707"/>
          <w:tab w:val="right" w:pos="8241"/>
        </w:tabs>
        <w:spacing w:line="214" w:lineRule="auto"/>
        <w:ind w:left="7056"/>
        <w:jc w:val="both"/>
        <w:rPr>
          <w:sz w:val="8"/>
          <w:szCs w:val="8"/>
        </w:rPr>
      </w:pPr>
      <w:r>
        <w:rPr>
          <w:rFonts w:ascii="Arial" w:eastAsia="Arial" w:hAnsi="Arial" w:cs="Arial"/>
          <w:b/>
          <w:bCs/>
          <w:color w:val="EC1C23"/>
          <w:sz w:val="8"/>
          <w:szCs w:val="8"/>
        </w:rPr>
        <w:t>&lt;286/&lt;</w:t>
      </w:r>
      <w:r>
        <w:rPr>
          <w:rFonts w:ascii="Arial" w:eastAsia="Arial" w:hAnsi="Arial" w:cs="Arial"/>
          <w:b/>
          <w:bCs/>
          <w:color w:val="EC1C23"/>
          <w:sz w:val="8"/>
          <w:szCs w:val="8"/>
        </w:rPr>
        <w:tab/>
        <w:t>505</w:t>
      </w:r>
      <w:r>
        <w:rPr>
          <w:rFonts w:ascii="Arial" w:eastAsia="Arial" w:hAnsi="Arial" w:cs="Arial"/>
          <w:b/>
          <w:bCs/>
          <w:color w:val="EC1C23"/>
          <w:sz w:val="8"/>
          <w:szCs w:val="8"/>
        </w:rPr>
        <w:tab/>
        <w:t>&lt;7</w:t>
      </w:r>
    </w:p>
    <w:p w14:paraId="42F4601E" w14:textId="77777777" w:rsidR="00EC1C40" w:rsidRDefault="00000000">
      <w:pPr>
        <w:pStyle w:val="Obsah0"/>
        <w:framePr w:w="9120" w:h="1666" w:hRule="exact" w:wrap="none" w:vAnchor="page" w:hAnchor="page" w:x="2703" w:y="8703"/>
        <w:tabs>
          <w:tab w:val="right" w:pos="7707"/>
          <w:tab w:val="right" w:pos="8241"/>
        </w:tabs>
        <w:spacing w:line="214" w:lineRule="auto"/>
        <w:ind w:left="7056"/>
        <w:jc w:val="both"/>
        <w:rPr>
          <w:sz w:val="8"/>
          <w:szCs w:val="8"/>
        </w:rPr>
      </w:pPr>
      <w:r>
        <w:rPr>
          <w:rFonts w:ascii="Arial" w:eastAsia="Arial" w:hAnsi="Arial" w:cs="Arial"/>
          <w:b/>
          <w:bCs/>
          <w:color w:val="EC1C23"/>
          <w:sz w:val="8"/>
          <w:szCs w:val="8"/>
        </w:rPr>
        <w:t>&lt;300</w:t>
      </w:r>
      <w:r>
        <w:rPr>
          <w:rFonts w:ascii="Arial" w:eastAsia="Arial" w:hAnsi="Arial" w:cs="Arial"/>
          <w:b/>
          <w:bCs/>
          <w:color w:val="EC1C23"/>
          <w:sz w:val="8"/>
          <w:szCs w:val="8"/>
        </w:rPr>
        <w:tab/>
        <w:t>88</w:t>
      </w:r>
      <w:r>
        <w:rPr>
          <w:rFonts w:ascii="Arial" w:eastAsia="Arial" w:hAnsi="Arial" w:cs="Arial"/>
          <w:b/>
          <w:bCs/>
          <w:color w:val="EC1C23"/>
          <w:sz w:val="8"/>
          <w:szCs w:val="8"/>
        </w:rPr>
        <w:tab/>
        <w:t>88</w:t>
      </w:r>
    </w:p>
    <w:p w14:paraId="3418330B" w14:textId="77777777" w:rsidR="00EC1C40" w:rsidRDefault="00000000">
      <w:pPr>
        <w:pStyle w:val="Obsah0"/>
        <w:framePr w:w="9120" w:h="1666" w:hRule="exact" w:wrap="none" w:vAnchor="page" w:hAnchor="page" w:x="2703" w:y="8703"/>
        <w:tabs>
          <w:tab w:val="right" w:pos="7707"/>
          <w:tab w:val="right" w:pos="8241"/>
        </w:tabs>
        <w:spacing w:line="214" w:lineRule="auto"/>
        <w:ind w:left="7056"/>
        <w:jc w:val="both"/>
        <w:rPr>
          <w:sz w:val="8"/>
          <w:szCs w:val="8"/>
        </w:rPr>
      </w:pPr>
      <w:r>
        <w:rPr>
          <w:rFonts w:ascii="Arial" w:eastAsia="Arial" w:hAnsi="Arial" w:cs="Arial"/>
          <w:b/>
          <w:bCs/>
          <w:color w:val="EC1C23"/>
          <w:sz w:val="8"/>
          <w:szCs w:val="8"/>
        </w:rPr>
        <w:t>&lt;323/5</w:t>
      </w:r>
      <w:r>
        <w:rPr>
          <w:rFonts w:ascii="Arial" w:eastAsia="Arial" w:hAnsi="Arial" w:cs="Arial"/>
          <w:b/>
          <w:bCs/>
          <w:color w:val="EC1C23"/>
          <w:sz w:val="8"/>
          <w:szCs w:val="8"/>
        </w:rPr>
        <w:tab/>
        <w:t>515-</w:t>
      </w:r>
      <w:r>
        <w:rPr>
          <w:rFonts w:ascii="Arial" w:eastAsia="Arial" w:hAnsi="Arial" w:cs="Arial"/>
          <w:b/>
          <w:bCs/>
          <w:color w:val="EC1C23"/>
          <w:sz w:val="8"/>
          <w:szCs w:val="8"/>
        </w:rPr>
        <w:tab/>
        <w:t>5-2</w:t>
      </w:r>
    </w:p>
    <w:p w14:paraId="1F6B062A" w14:textId="77777777" w:rsidR="00EC1C40" w:rsidRDefault="00000000">
      <w:pPr>
        <w:pStyle w:val="Obsah0"/>
        <w:framePr w:w="9120" w:h="1666" w:hRule="exact" w:wrap="none" w:vAnchor="page" w:hAnchor="page" w:x="2703" w:y="8703"/>
        <w:tabs>
          <w:tab w:val="right" w:pos="7707"/>
          <w:tab w:val="right" w:pos="8241"/>
        </w:tabs>
        <w:spacing w:line="214" w:lineRule="auto"/>
        <w:ind w:left="7056"/>
        <w:jc w:val="both"/>
        <w:rPr>
          <w:sz w:val="8"/>
          <w:szCs w:val="8"/>
        </w:rPr>
      </w:pPr>
      <w:r>
        <w:rPr>
          <w:rFonts w:ascii="Arial" w:eastAsia="Arial" w:hAnsi="Arial" w:cs="Arial"/>
          <w:b/>
          <w:bCs/>
          <w:color w:val="EC1C23"/>
          <w:sz w:val="8"/>
          <w:szCs w:val="8"/>
        </w:rPr>
        <w:t>5162/27</w:t>
      </w:r>
      <w:r>
        <w:rPr>
          <w:rFonts w:ascii="Arial" w:eastAsia="Arial" w:hAnsi="Arial" w:cs="Arial"/>
          <w:b/>
          <w:bCs/>
          <w:color w:val="EC1C23"/>
          <w:sz w:val="8"/>
          <w:szCs w:val="8"/>
        </w:rPr>
        <w:tab/>
        <w:t>5&lt;8</w:t>
      </w:r>
      <w:r>
        <w:rPr>
          <w:rFonts w:ascii="Arial" w:eastAsia="Arial" w:hAnsi="Arial" w:cs="Arial"/>
          <w:b/>
          <w:bCs/>
          <w:color w:val="EC1C23"/>
          <w:sz w:val="8"/>
          <w:szCs w:val="8"/>
        </w:rPr>
        <w:tab/>
        <w:t>2</w:t>
      </w:r>
    </w:p>
    <w:p w14:paraId="67D83293" w14:textId="77777777" w:rsidR="00EC1C40" w:rsidRDefault="00000000">
      <w:pPr>
        <w:pStyle w:val="Obsah0"/>
        <w:framePr w:w="9120" w:h="1666" w:hRule="exact" w:wrap="none" w:vAnchor="page" w:hAnchor="page" w:x="2703" w:y="8703"/>
        <w:tabs>
          <w:tab w:val="right" w:pos="7709"/>
          <w:tab w:val="right" w:pos="8241"/>
          <w:tab w:val="right" w:pos="8241"/>
          <w:tab w:val="right" w:pos="8246"/>
        </w:tabs>
        <w:spacing w:line="214" w:lineRule="auto"/>
        <w:ind w:left="7056"/>
        <w:jc w:val="center"/>
        <w:rPr>
          <w:sz w:val="8"/>
          <w:szCs w:val="8"/>
        </w:rPr>
      </w:pPr>
      <w:r>
        <w:rPr>
          <w:rFonts w:ascii="Arial" w:eastAsia="Arial" w:hAnsi="Arial" w:cs="Arial"/>
          <w:b/>
          <w:bCs/>
          <w:color w:val="EC1C23"/>
          <w:sz w:val="8"/>
          <w:szCs w:val="8"/>
        </w:rPr>
        <w:t>5207/12</w:t>
      </w:r>
      <w:r>
        <w:rPr>
          <w:rFonts w:ascii="Arial" w:eastAsia="Arial" w:hAnsi="Arial" w:cs="Arial"/>
          <w:b/>
          <w:bCs/>
          <w:color w:val="EC1C23"/>
          <w:sz w:val="8"/>
          <w:szCs w:val="8"/>
        </w:rPr>
        <w:tab/>
        <w:t>11-</w:t>
      </w:r>
      <w:r>
        <w:rPr>
          <w:rFonts w:ascii="Arial" w:eastAsia="Arial" w:hAnsi="Arial" w:cs="Arial"/>
          <w:b/>
          <w:bCs/>
          <w:color w:val="EC1C23"/>
          <w:sz w:val="8"/>
          <w:szCs w:val="8"/>
        </w:rPr>
        <w:tab/>
      </w:r>
      <w:r>
        <w:rPr>
          <w:rFonts w:ascii="Arial" w:eastAsia="Arial" w:hAnsi="Arial" w:cs="Arial"/>
          <w:b/>
          <w:bCs/>
          <w:color w:val="EC1C23"/>
          <w:sz w:val="8"/>
          <w:szCs w:val="8"/>
          <w:lang w:val="en-US" w:eastAsia="en-US" w:bidi="en-US"/>
        </w:rPr>
        <w:t>11-</w:t>
      </w:r>
      <w:r>
        <w:rPr>
          <w:rFonts w:ascii="Arial" w:eastAsia="Arial" w:hAnsi="Arial" w:cs="Arial"/>
          <w:b/>
          <w:bCs/>
          <w:color w:val="EC1C23"/>
          <w:sz w:val="8"/>
          <w:szCs w:val="8"/>
          <w:lang w:val="en-US" w:eastAsia="en-US" w:bidi="en-US"/>
        </w:rPr>
        <w:br/>
        <w:t>5207/13</w:t>
      </w:r>
      <w:r>
        <w:rPr>
          <w:rFonts w:ascii="Arial" w:eastAsia="Arial" w:hAnsi="Arial" w:cs="Arial"/>
          <w:b/>
          <w:bCs/>
          <w:color w:val="EC1C23"/>
          <w:sz w:val="8"/>
          <w:szCs w:val="8"/>
        </w:rPr>
        <w:tab/>
        <w:t>28&lt;</w:t>
      </w:r>
      <w:r>
        <w:rPr>
          <w:rFonts w:ascii="Arial" w:eastAsia="Arial" w:hAnsi="Arial" w:cs="Arial"/>
          <w:b/>
          <w:bCs/>
          <w:color w:val="EC1C23"/>
          <w:sz w:val="8"/>
          <w:szCs w:val="8"/>
        </w:rPr>
        <w:tab/>
        <w:t>28&lt;</w:t>
      </w:r>
    </w:p>
    <w:p w14:paraId="6C192FE1" w14:textId="77777777" w:rsidR="00EC1C40" w:rsidRDefault="00000000">
      <w:pPr>
        <w:pStyle w:val="Obsah0"/>
        <w:framePr w:w="9120" w:h="1666" w:hRule="exact" w:wrap="none" w:vAnchor="page" w:hAnchor="page" w:x="2703" w:y="8703"/>
        <w:tabs>
          <w:tab w:val="right" w:pos="7707"/>
          <w:tab w:val="right" w:pos="8241"/>
        </w:tabs>
        <w:spacing w:line="214" w:lineRule="auto"/>
        <w:ind w:left="7056"/>
        <w:jc w:val="both"/>
        <w:rPr>
          <w:sz w:val="8"/>
          <w:szCs w:val="8"/>
        </w:rPr>
      </w:pPr>
      <w:r>
        <w:rPr>
          <w:rFonts w:ascii="Arial" w:eastAsia="Arial" w:hAnsi="Arial" w:cs="Arial"/>
          <w:b/>
          <w:bCs/>
          <w:color w:val="EC1C23"/>
          <w:sz w:val="8"/>
          <w:szCs w:val="8"/>
        </w:rPr>
        <w:t>5207/1&lt;</w:t>
      </w:r>
      <w:r>
        <w:rPr>
          <w:rFonts w:ascii="Arial" w:eastAsia="Arial" w:hAnsi="Arial" w:cs="Arial"/>
          <w:b/>
          <w:bCs/>
          <w:color w:val="EC1C23"/>
          <w:sz w:val="8"/>
          <w:szCs w:val="8"/>
        </w:rPr>
        <w:tab/>
        <w:t>22</w:t>
      </w:r>
      <w:r>
        <w:rPr>
          <w:rFonts w:ascii="Arial" w:eastAsia="Arial" w:hAnsi="Arial" w:cs="Arial"/>
          <w:b/>
          <w:bCs/>
          <w:color w:val="EC1C23"/>
          <w:sz w:val="8"/>
          <w:szCs w:val="8"/>
        </w:rPr>
        <w:tab/>
        <w:t>22</w:t>
      </w:r>
    </w:p>
    <w:p w14:paraId="1D4EBBF5" w14:textId="77777777" w:rsidR="00EC1C40" w:rsidRDefault="00000000">
      <w:pPr>
        <w:pStyle w:val="Obsah0"/>
        <w:framePr w:w="9120" w:h="1666" w:hRule="exact" w:wrap="none" w:vAnchor="page" w:hAnchor="page" w:x="2703" w:y="8703"/>
        <w:tabs>
          <w:tab w:val="right" w:pos="7707"/>
          <w:tab w:val="right" w:pos="8241"/>
        </w:tabs>
        <w:spacing w:line="214" w:lineRule="auto"/>
        <w:ind w:left="7056"/>
        <w:jc w:val="both"/>
        <w:rPr>
          <w:sz w:val="8"/>
          <w:szCs w:val="8"/>
        </w:rPr>
      </w:pPr>
      <w:r>
        <w:rPr>
          <w:rFonts w:ascii="Arial" w:eastAsia="Arial" w:hAnsi="Arial" w:cs="Arial"/>
          <w:b/>
          <w:bCs/>
          <w:color w:val="EC1C23"/>
          <w:sz w:val="8"/>
          <w:szCs w:val="8"/>
        </w:rPr>
        <w:t>5207/15</w:t>
      </w:r>
      <w:r>
        <w:rPr>
          <w:rFonts w:ascii="Arial" w:eastAsia="Arial" w:hAnsi="Arial" w:cs="Arial"/>
          <w:b/>
          <w:bCs/>
          <w:color w:val="EC1C23"/>
          <w:sz w:val="8"/>
          <w:szCs w:val="8"/>
        </w:rPr>
        <w:tab/>
        <w:t>281</w:t>
      </w:r>
      <w:r>
        <w:rPr>
          <w:rFonts w:ascii="Arial" w:eastAsia="Arial" w:hAnsi="Arial" w:cs="Arial"/>
          <w:b/>
          <w:bCs/>
          <w:color w:val="EC1C23"/>
          <w:sz w:val="8"/>
          <w:szCs w:val="8"/>
        </w:rPr>
        <w:tab/>
        <w:t>281</w:t>
      </w:r>
    </w:p>
    <w:p w14:paraId="708D6B29" w14:textId="77777777" w:rsidR="00EC1C40" w:rsidRDefault="00000000">
      <w:pPr>
        <w:pStyle w:val="Obsah0"/>
        <w:framePr w:w="9120" w:h="1666" w:hRule="exact" w:wrap="none" w:vAnchor="page" w:hAnchor="page" w:x="2703" w:y="8703"/>
        <w:tabs>
          <w:tab w:val="right" w:pos="7707"/>
          <w:tab w:val="right" w:pos="8241"/>
        </w:tabs>
        <w:spacing w:line="214" w:lineRule="auto"/>
        <w:ind w:left="7056"/>
        <w:jc w:val="both"/>
        <w:rPr>
          <w:sz w:val="8"/>
          <w:szCs w:val="8"/>
        </w:rPr>
      </w:pPr>
      <w:r>
        <w:rPr>
          <w:rFonts w:ascii="Arial" w:eastAsia="Arial" w:hAnsi="Arial" w:cs="Arial"/>
          <w:b/>
          <w:bCs/>
          <w:color w:val="EC1C23"/>
          <w:sz w:val="8"/>
          <w:szCs w:val="8"/>
        </w:rPr>
        <w:t>5207/16</w:t>
      </w:r>
      <w:r>
        <w:rPr>
          <w:rFonts w:ascii="Arial" w:eastAsia="Arial" w:hAnsi="Arial" w:cs="Arial"/>
          <w:b/>
          <w:bCs/>
          <w:color w:val="EC1C23"/>
          <w:sz w:val="8"/>
          <w:szCs w:val="8"/>
        </w:rPr>
        <w:tab/>
        <w:t>301-</w:t>
      </w:r>
      <w:r>
        <w:rPr>
          <w:rFonts w:ascii="Arial" w:eastAsia="Arial" w:hAnsi="Arial" w:cs="Arial"/>
          <w:b/>
          <w:bCs/>
          <w:color w:val="EC1C23"/>
          <w:sz w:val="8"/>
          <w:szCs w:val="8"/>
        </w:rPr>
        <w:tab/>
        <w:t>2&lt;55</w:t>
      </w:r>
    </w:p>
    <w:p w14:paraId="7C54F6D5" w14:textId="77777777" w:rsidR="00EC1C40" w:rsidRDefault="00000000">
      <w:pPr>
        <w:pStyle w:val="Jin0"/>
        <w:framePr w:w="9120" w:h="658" w:hRule="exact" w:wrap="none" w:vAnchor="page" w:hAnchor="page" w:x="2703" w:y="11295"/>
        <w:spacing w:after="0"/>
        <w:ind w:left="7036"/>
        <w:rPr>
          <w:sz w:val="10"/>
          <w:szCs w:val="10"/>
        </w:rPr>
      </w:pPr>
      <w:r>
        <w:rPr>
          <w:rFonts w:ascii="Arial" w:eastAsia="Arial" w:hAnsi="Arial" w:cs="Arial"/>
          <w:color w:val="010102"/>
          <w:sz w:val="10"/>
          <w:szCs w:val="10"/>
        </w:rPr>
        <w:t>MULTIFUNKČNÍ HOKEJOVÁ ARÉNA PARDUBICE</w:t>
      </w:r>
    </w:p>
    <w:p w14:paraId="628E3BCB" w14:textId="77777777" w:rsidR="00EC1C40" w:rsidRDefault="00000000">
      <w:pPr>
        <w:pStyle w:val="Jin0"/>
        <w:framePr w:w="9120" w:h="658" w:hRule="exact" w:wrap="none" w:vAnchor="page" w:hAnchor="page" w:x="2703" w:y="11295"/>
        <w:spacing w:after="0"/>
        <w:ind w:left="7036"/>
        <w:rPr>
          <w:sz w:val="14"/>
          <w:szCs w:val="14"/>
        </w:rPr>
      </w:pPr>
      <w:r>
        <w:rPr>
          <w:rFonts w:ascii="Arial" w:eastAsia="Arial" w:hAnsi="Arial" w:cs="Arial"/>
          <w:color w:val="010102"/>
          <w:sz w:val="14"/>
          <w:szCs w:val="14"/>
        </w:rPr>
        <w:t>SITUACE POZEMKŮ MĚSTA PARDUBICE</w:t>
      </w:r>
    </w:p>
    <w:p w14:paraId="0598C2AD" w14:textId="77777777" w:rsidR="00EC1C40" w:rsidRDefault="00000000">
      <w:pPr>
        <w:pStyle w:val="Zkladntext90"/>
        <w:framePr w:w="9120" w:h="658" w:hRule="exact" w:wrap="none" w:vAnchor="page" w:hAnchor="page" w:x="2703" w:y="11295"/>
        <w:ind w:left="7036"/>
      </w:pPr>
      <w:r>
        <w:rPr>
          <w:b w:val="0"/>
          <w:bCs w:val="0"/>
          <w:color w:val="010102"/>
        </w:rPr>
        <w:t>MĚŘÍTKO: 1:1000</w:t>
      </w:r>
    </w:p>
    <w:p w14:paraId="507117DA" w14:textId="77777777" w:rsidR="00EC1C40" w:rsidRDefault="00000000">
      <w:pPr>
        <w:pStyle w:val="Zkladntext90"/>
        <w:framePr w:w="9120" w:h="658" w:hRule="exact" w:wrap="none" w:vAnchor="page" w:hAnchor="page" w:x="2703" w:y="11295"/>
        <w:ind w:left="7036"/>
      </w:pPr>
      <w:r>
        <w:rPr>
          <w:b w:val="0"/>
          <w:bCs w:val="0"/>
          <w:color w:val="010102"/>
        </w:rPr>
        <w:t>DATUM: 07.05.2025</w:t>
      </w:r>
    </w:p>
    <w:p w14:paraId="1DACD818" w14:textId="77777777" w:rsidR="00EC1C40" w:rsidRDefault="00000000">
      <w:pPr>
        <w:spacing w:line="1" w:lineRule="exact"/>
        <w:sectPr w:rsidR="00EC1C40">
          <w:pgSz w:w="12148" w:h="17375"/>
          <w:pgMar w:top="360" w:right="360" w:bottom="360" w:left="360" w:header="0" w:footer="3" w:gutter="0"/>
          <w:cols w:space="720"/>
          <w:noEndnote/>
          <w:docGrid w:linePitch="360"/>
        </w:sectPr>
      </w:pPr>
      <w:r>
        <w:rPr>
          <w:noProof/>
        </w:rPr>
        <w:drawing>
          <wp:anchor distT="0" distB="0" distL="0" distR="0" simplePos="0" relativeHeight="251728384" behindDoc="1" locked="0" layoutInCell="1" allowOverlap="1" wp14:anchorId="7905F681" wp14:editId="74CEB71C">
            <wp:simplePos x="0" y="0"/>
            <wp:positionH relativeFrom="page">
              <wp:posOffset>109220</wp:posOffset>
            </wp:positionH>
            <wp:positionV relativeFrom="page">
              <wp:posOffset>3431540</wp:posOffset>
            </wp:positionV>
            <wp:extent cx="6010910" cy="4163695"/>
            <wp:effectExtent l="0" t="0" r="0" b="0"/>
            <wp:wrapNone/>
            <wp:docPr id="193" name="Shape 193"/>
            <wp:cNvGraphicFramePr/>
            <a:graphic xmlns:a="http://schemas.openxmlformats.org/drawingml/2006/main">
              <a:graphicData uri="http://schemas.openxmlformats.org/drawingml/2006/picture">
                <pic:pic xmlns:pic="http://schemas.openxmlformats.org/drawingml/2006/picture">
                  <pic:nvPicPr>
                    <pic:cNvPr id="194" name="Picture box 194"/>
                    <pic:cNvPicPr/>
                  </pic:nvPicPr>
                  <pic:blipFill>
                    <a:blip r:embed="rId60"/>
                    <a:stretch/>
                  </pic:blipFill>
                  <pic:spPr>
                    <a:xfrm>
                      <a:off x="0" y="0"/>
                      <a:ext cx="6010910" cy="4163695"/>
                    </a:xfrm>
                    <a:prstGeom prst="rect">
                      <a:avLst/>
                    </a:prstGeom>
                  </pic:spPr>
                </pic:pic>
              </a:graphicData>
            </a:graphic>
          </wp:anchor>
        </w:drawing>
      </w:r>
    </w:p>
    <w:p w14:paraId="0AEAD8A7" w14:textId="77777777" w:rsidR="00EC1C40" w:rsidRDefault="00EC1C40">
      <w:pPr>
        <w:spacing w:line="1" w:lineRule="exact"/>
      </w:pPr>
    </w:p>
    <w:p w14:paraId="6E864087" w14:textId="77777777" w:rsidR="00EC1C40" w:rsidRDefault="00000000">
      <w:pPr>
        <w:pStyle w:val="Zkladntext80"/>
        <w:framePr w:wrap="none" w:vAnchor="page" w:hAnchor="page" w:x="2703" w:y="5079"/>
        <w:ind w:left="2040"/>
        <w:jc w:val="left"/>
        <w:rPr>
          <w:sz w:val="50"/>
          <w:szCs w:val="50"/>
        </w:rPr>
      </w:pPr>
      <w:r>
        <w:t>Příloh</w:t>
      </w:r>
      <w:r>
        <w:rPr>
          <w:rFonts w:ascii="Calibri" w:eastAsia="Calibri" w:hAnsi="Calibri" w:cs="Calibri"/>
          <w:b/>
          <w:bCs/>
          <w:smallCaps/>
          <w:sz w:val="50"/>
          <w:szCs w:val="50"/>
        </w:rPr>
        <w:t>a</w:t>
      </w:r>
      <w:r>
        <w:t xml:space="preserve"> č. </w:t>
      </w:r>
      <w:r>
        <w:rPr>
          <w:rFonts w:ascii="Calibri" w:eastAsia="Calibri" w:hAnsi="Calibri" w:cs="Calibri"/>
          <w:b/>
          <w:bCs/>
          <w:smallCaps/>
          <w:sz w:val="50"/>
          <w:szCs w:val="50"/>
        </w:rPr>
        <w:t>22</w:t>
      </w:r>
    </w:p>
    <w:p w14:paraId="2F666E49"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07A1A816" w14:textId="77777777" w:rsidR="00EC1C40" w:rsidRDefault="00EC1C40">
      <w:pPr>
        <w:spacing w:line="1" w:lineRule="exact"/>
      </w:pPr>
    </w:p>
    <w:p w14:paraId="5FBA04FE" w14:textId="77777777" w:rsidR="00EC1C40" w:rsidRDefault="00000000">
      <w:pPr>
        <w:pStyle w:val="Zhlavnebozpat0"/>
        <w:framePr w:w="1003" w:h="240" w:hRule="exact" w:wrap="none" w:vAnchor="page" w:hAnchor="page" w:x="9628" w:y="999"/>
        <w:jc w:val="right"/>
      </w:pPr>
      <w:r>
        <w:rPr>
          <w:rFonts w:ascii="Arial" w:eastAsia="Arial" w:hAnsi="Arial" w:cs="Arial"/>
          <w:color w:val="231E20"/>
        </w:rPr>
        <w:t>V_0.../MO3</w:t>
      </w:r>
    </w:p>
    <w:p w14:paraId="7E5E7C88" w14:textId="77777777" w:rsidR="00EC1C40" w:rsidRDefault="00000000">
      <w:pPr>
        <w:pStyle w:val="Zkladntext110"/>
        <w:framePr w:w="9130" w:h="13387" w:hRule="exact" w:wrap="none" w:vAnchor="page" w:hAnchor="page" w:x="1516" w:y="1704"/>
        <w:spacing w:after="280" w:line="276" w:lineRule="auto"/>
      </w:pPr>
      <w:r>
        <w:rPr>
          <w:i w:val="0"/>
          <w:iCs w:val="0"/>
          <w:color w:val="231E20"/>
        </w:rPr>
        <w:t>Níže uvedeného dne, měsíce a roku uzavřely</w:t>
      </w:r>
    </w:p>
    <w:p w14:paraId="09DC5BB4" w14:textId="77777777" w:rsidR="00EC1C40" w:rsidRDefault="00000000">
      <w:pPr>
        <w:pStyle w:val="Nadpis60"/>
        <w:framePr w:w="9130" w:h="13387" w:hRule="exact" w:wrap="none" w:vAnchor="page" w:hAnchor="page" w:x="1516" w:y="1704"/>
        <w:spacing w:after="0" w:line="276" w:lineRule="auto"/>
        <w:rPr>
          <w:sz w:val="20"/>
          <w:szCs w:val="20"/>
        </w:rPr>
      </w:pPr>
      <w:bookmarkStart w:id="157" w:name="bookmark316"/>
      <w:r>
        <w:rPr>
          <w:rFonts w:ascii="Arial" w:eastAsia="Arial" w:hAnsi="Arial" w:cs="Arial"/>
          <w:sz w:val="20"/>
          <w:szCs w:val="20"/>
        </w:rPr>
        <w:t>statutární město Pardubice, IČO: 002 74 046</w:t>
      </w:r>
      <w:bookmarkEnd w:id="157"/>
    </w:p>
    <w:p w14:paraId="65B6CA40" w14:textId="77777777" w:rsidR="00EC1C40" w:rsidRDefault="00000000">
      <w:pPr>
        <w:pStyle w:val="Zkladntext110"/>
        <w:framePr w:w="9130" w:h="13387" w:hRule="exact" w:wrap="none" w:vAnchor="page" w:hAnchor="page" w:x="1516" w:y="1704"/>
        <w:spacing w:after="0" w:line="276" w:lineRule="auto"/>
      </w:pPr>
      <w:r>
        <w:rPr>
          <w:i w:val="0"/>
          <w:iCs w:val="0"/>
          <w:color w:val="231E20"/>
        </w:rPr>
        <w:t>se sídlem v Pardubicích, Pernštýnské nám. 1, PSČ 530 21</w:t>
      </w:r>
    </w:p>
    <w:p w14:paraId="3079EC7E" w14:textId="77777777" w:rsidR="00EC1C40" w:rsidRDefault="00000000">
      <w:pPr>
        <w:pStyle w:val="Zkladntext110"/>
        <w:framePr w:w="9130" w:h="13387" w:hRule="exact" w:wrap="none" w:vAnchor="page" w:hAnchor="page" w:x="1516" w:y="1704"/>
        <w:spacing w:after="280" w:line="276" w:lineRule="auto"/>
        <w:jc w:val="both"/>
      </w:pPr>
      <w:r>
        <w:rPr>
          <w:i w:val="0"/>
          <w:iCs w:val="0"/>
          <w:color w:val="231E20"/>
        </w:rPr>
        <w:t xml:space="preserve">zastoupené Ing. Miroslavem </w:t>
      </w:r>
      <w:proofErr w:type="spellStart"/>
      <w:r>
        <w:rPr>
          <w:i w:val="0"/>
          <w:iCs w:val="0"/>
          <w:color w:val="231E20"/>
        </w:rPr>
        <w:t>Macelou</w:t>
      </w:r>
      <w:proofErr w:type="spellEnd"/>
      <w:r>
        <w:rPr>
          <w:i w:val="0"/>
          <w:iCs w:val="0"/>
          <w:color w:val="231E20"/>
        </w:rPr>
        <w:t>, vedoucím oddělení pozemků a převodu nemovitostí Magistrátu města Pardubic, a to na základě čl. 10 odst. 1 a odst. 6 a čl. 12 směrnice č. 3/2026 Organizační řád v platném znění (</w:t>
      </w:r>
      <w:r>
        <w:rPr>
          <w:color w:val="231E20"/>
        </w:rPr>
        <w:t>dále jen půjčitel)</w:t>
      </w:r>
    </w:p>
    <w:p w14:paraId="50725F2F" w14:textId="77777777" w:rsidR="00EC1C40" w:rsidRDefault="00000000">
      <w:pPr>
        <w:pStyle w:val="Nadpis60"/>
        <w:framePr w:w="9130" w:h="13387" w:hRule="exact" w:wrap="none" w:vAnchor="page" w:hAnchor="page" w:x="1516" w:y="1704"/>
        <w:spacing w:after="340" w:line="276" w:lineRule="auto"/>
        <w:jc w:val="both"/>
        <w:rPr>
          <w:sz w:val="20"/>
          <w:szCs w:val="20"/>
        </w:rPr>
      </w:pPr>
      <w:bookmarkStart w:id="158" w:name="bookmark318"/>
      <w:r>
        <w:rPr>
          <w:rFonts w:ascii="Arial" w:eastAsia="Arial" w:hAnsi="Arial" w:cs="Arial"/>
          <w:sz w:val="20"/>
          <w:szCs w:val="20"/>
        </w:rPr>
        <w:t>a</w:t>
      </w:r>
      <w:bookmarkEnd w:id="158"/>
    </w:p>
    <w:p w14:paraId="4EBA7DDE" w14:textId="77777777" w:rsidR="00EC1C40" w:rsidRDefault="00000000">
      <w:pPr>
        <w:pStyle w:val="Zkladntext110"/>
        <w:framePr w:w="9130" w:h="13387" w:hRule="exact" w:wrap="none" w:vAnchor="page" w:hAnchor="page" w:x="1516" w:y="1704"/>
        <w:spacing w:after="0" w:line="276" w:lineRule="auto"/>
      </w:pPr>
      <w:r>
        <w:rPr>
          <w:b/>
          <w:bCs/>
          <w:i w:val="0"/>
          <w:iCs w:val="0"/>
          <w:color w:val="231E20"/>
        </w:rPr>
        <w:t xml:space="preserve">MHAP s.ro., </w:t>
      </w:r>
      <w:r>
        <w:rPr>
          <w:i w:val="0"/>
          <w:iCs w:val="0"/>
          <w:color w:val="231E20"/>
        </w:rPr>
        <w:t>se sídlem Olbrachtova 1980/5, Krč, 140 00 Praha 4</w:t>
      </w:r>
    </w:p>
    <w:p w14:paraId="637B87C9" w14:textId="77777777" w:rsidR="00EC1C40" w:rsidRDefault="00000000">
      <w:pPr>
        <w:pStyle w:val="Zkladntext110"/>
        <w:framePr w:w="9130" w:h="13387" w:hRule="exact" w:wrap="none" w:vAnchor="page" w:hAnchor="page" w:x="1516" w:y="1704"/>
        <w:spacing w:after="0" w:line="276" w:lineRule="auto"/>
      </w:pPr>
      <w:r>
        <w:rPr>
          <w:b/>
          <w:bCs/>
          <w:i w:val="0"/>
          <w:iCs w:val="0"/>
          <w:color w:val="231E20"/>
        </w:rPr>
        <w:t>IČO: 175 44 661</w:t>
      </w:r>
    </w:p>
    <w:p w14:paraId="15151791" w14:textId="77777777" w:rsidR="00EC1C40" w:rsidRDefault="00000000">
      <w:pPr>
        <w:pStyle w:val="Zkladntext110"/>
        <w:framePr w:w="9130" w:h="13387" w:hRule="exact" w:wrap="none" w:vAnchor="page" w:hAnchor="page" w:x="1516" w:y="1704"/>
        <w:spacing w:after="0" w:line="276" w:lineRule="auto"/>
      </w:pPr>
      <w:r>
        <w:rPr>
          <w:i w:val="0"/>
          <w:iCs w:val="0"/>
          <w:color w:val="231E20"/>
        </w:rPr>
        <w:t>zastoupená Petrem Dědkem, jednatelem</w:t>
      </w:r>
    </w:p>
    <w:p w14:paraId="6535DE94" w14:textId="77777777" w:rsidR="00EC1C40" w:rsidRDefault="00000000">
      <w:pPr>
        <w:pStyle w:val="Zkladntext110"/>
        <w:framePr w:w="9130" w:h="13387" w:hRule="exact" w:wrap="none" w:vAnchor="page" w:hAnchor="page" w:x="1516" w:y="1704"/>
        <w:spacing w:after="280" w:line="276" w:lineRule="auto"/>
      </w:pPr>
      <w:r>
        <w:rPr>
          <w:i w:val="0"/>
          <w:iCs w:val="0"/>
          <w:color w:val="231E20"/>
        </w:rPr>
        <w:t xml:space="preserve">zapsaná v obchodním rejstříku vedeném Městským soudem v Praze, oddíl C, vložka 372943 </w:t>
      </w:r>
      <w:r>
        <w:rPr>
          <w:color w:val="231E20"/>
        </w:rPr>
        <w:t>(dále jen vypůjčitel)</w:t>
      </w:r>
    </w:p>
    <w:p w14:paraId="5EA8C9DA" w14:textId="77777777" w:rsidR="00EC1C40" w:rsidRDefault="00000000">
      <w:pPr>
        <w:pStyle w:val="Zkladntext110"/>
        <w:framePr w:w="9130" w:h="13387" w:hRule="exact" w:wrap="none" w:vAnchor="page" w:hAnchor="page" w:x="1516" w:y="1704"/>
        <w:spacing w:after="0" w:line="276" w:lineRule="auto"/>
      </w:pPr>
      <w:r>
        <w:rPr>
          <w:i w:val="0"/>
          <w:iCs w:val="0"/>
          <w:color w:val="231E20"/>
        </w:rPr>
        <w:t>tuto</w:t>
      </w:r>
    </w:p>
    <w:p w14:paraId="0C54943A" w14:textId="77777777" w:rsidR="00EC1C40" w:rsidRDefault="00000000">
      <w:pPr>
        <w:pStyle w:val="Jin0"/>
        <w:framePr w:w="9130" w:h="13387" w:hRule="exact" w:wrap="none" w:vAnchor="page" w:hAnchor="page" w:x="1516" w:y="1704"/>
        <w:spacing w:after="0" w:line="233" w:lineRule="auto"/>
        <w:jc w:val="center"/>
        <w:rPr>
          <w:sz w:val="32"/>
          <w:szCs w:val="32"/>
        </w:rPr>
      </w:pPr>
      <w:r>
        <w:rPr>
          <w:rFonts w:ascii="Arial" w:eastAsia="Arial" w:hAnsi="Arial" w:cs="Arial"/>
          <w:b/>
          <w:bCs/>
          <w:sz w:val="32"/>
          <w:szCs w:val="32"/>
        </w:rPr>
        <w:t>smlouvu o výpůjčce</w:t>
      </w:r>
    </w:p>
    <w:p w14:paraId="23C73B5B" w14:textId="77777777" w:rsidR="00EC1C40" w:rsidRDefault="00000000">
      <w:pPr>
        <w:pStyle w:val="Zkladntext110"/>
        <w:framePr w:w="9130" w:h="13387" w:hRule="exact" w:wrap="none" w:vAnchor="page" w:hAnchor="page" w:x="1516" w:y="1704"/>
        <w:spacing w:after="280" w:line="276" w:lineRule="auto"/>
        <w:jc w:val="both"/>
      </w:pPr>
      <w:r>
        <w:rPr>
          <w:i w:val="0"/>
          <w:iCs w:val="0"/>
          <w:color w:val="231E20"/>
        </w:rPr>
        <w:t>v souladu s ustanovením § 2193 a násl. zákona č. 89/2012 Sb., občanský zákoník v platném znění</w:t>
      </w:r>
    </w:p>
    <w:p w14:paraId="2D3CD412" w14:textId="77777777" w:rsidR="00EC1C40" w:rsidRDefault="00EC1C40">
      <w:pPr>
        <w:pStyle w:val="Zkladntext110"/>
        <w:framePr w:w="9130" w:h="13387" w:hRule="exact" w:wrap="none" w:vAnchor="page" w:hAnchor="page" w:x="1516" w:y="1704"/>
        <w:numPr>
          <w:ilvl w:val="0"/>
          <w:numId w:val="110"/>
        </w:numPr>
        <w:spacing w:after="0" w:line="276" w:lineRule="auto"/>
        <w:jc w:val="center"/>
      </w:pPr>
    </w:p>
    <w:p w14:paraId="11A0915B" w14:textId="77777777" w:rsidR="00EC1C40" w:rsidRDefault="00000000">
      <w:pPr>
        <w:pStyle w:val="Nadpis60"/>
        <w:framePr w:w="9130" w:h="13387" w:hRule="exact" w:wrap="none" w:vAnchor="page" w:hAnchor="page" w:x="1516" w:y="1704"/>
        <w:spacing w:after="120" w:line="276" w:lineRule="auto"/>
        <w:jc w:val="center"/>
        <w:rPr>
          <w:sz w:val="20"/>
          <w:szCs w:val="20"/>
        </w:rPr>
      </w:pPr>
      <w:bookmarkStart w:id="159" w:name="bookmark320"/>
      <w:r>
        <w:rPr>
          <w:rFonts w:ascii="Arial" w:eastAsia="Arial" w:hAnsi="Arial" w:cs="Arial"/>
          <w:sz w:val="20"/>
          <w:szCs w:val="20"/>
        </w:rPr>
        <w:t>Prohlášení smluvních stran</w:t>
      </w:r>
      <w:bookmarkEnd w:id="159"/>
    </w:p>
    <w:p w14:paraId="57F5093A" w14:textId="77777777" w:rsidR="00EC1C40" w:rsidRDefault="00000000">
      <w:pPr>
        <w:pStyle w:val="Zkladntext110"/>
        <w:framePr w:w="9130" w:h="13387" w:hRule="exact" w:wrap="none" w:vAnchor="page" w:hAnchor="page" w:x="1516" w:y="1704"/>
        <w:numPr>
          <w:ilvl w:val="1"/>
          <w:numId w:val="111"/>
        </w:numPr>
        <w:tabs>
          <w:tab w:val="left" w:pos="571"/>
        </w:tabs>
        <w:spacing w:after="380" w:line="276" w:lineRule="auto"/>
        <w:ind w:left="580" w:hanging="580"/>
        <w:jc w:val="both"/>
      </w:pPr>
      <w:r>
        <w:rPr>
          <w:i w:val="0"/>
          <w:iCs w:val="0"/>
          <w:color w:val="231E20"/>
        </w:rPr>
        <w:t xml:space="preserve">Půjčitel prohlašuje, že je výlučným vlastníkem pozemků označených jako </w:t>
      </w:r>
      <w:proofErr w:type="spellStart"/>
      <w:r>
        <w:rPr>
          <w:i w:val="0"/>
          <w:iCs w:val="0"/>
          <w:color w:val="231E20"/>
        </w:rPr>
        <w:t>p.p.č</w:t>
      </w:r>
      <w:proofErr w:type="spellEnd"/>
      <w:r>
        <w:rPr>
          <w:i w:val="0"/>
          <w:iCs w:val="0"/>
          <w:color w:val="231E20"/>
        </w:rPr>
        <w:t xml:space="preserve">. 988/10, ostatní plocha - silnice, </w:t>
      </w:r>
      <w:proofErr w:type="spellStart"/>
      <w:r>
        <w:rPr>
          <w:i w:val="0"/>
          <w:iCs w:val="0"/>
          <w:color w:val="231E20"/>
        </w:rPr>
        <w:t>p.p.č</w:t>
      </w:r>
      <w:proofErr w:type="spellEnd"/>
      <w:r>
        <w:rPr>
          <w:i w:val="0"/>
          <w:iCs w:val="0"/>
          <w:color w:val="231E20"/>
        </w:rPr>
        <w:t xml:space="preserve">. 2720/29, ostatní plocha - silnice, </w:t>
      </w:r>
      <w:proofErr w:type="spellStart"/>
      <w:r>
        <w:rPr>
          <w:i w:val="0"/>
          <w:iCs w:val="0"/>
          <w:color w:val="231E20"/>
        </w:rPr>
        <w:t>p.p.č</w:t>
      </w:r>
      <w:proofErr w:type="spellEnd"/>
      <w:r>
        <w:rPr>
          <w:i w:val="0"/>
          <w:iCs w:val="0"/>
          <w:color w:val="231E20"/>
        </w:rPr>
        <w:t xml:space="preserve">. 5001, ostatní plocha - jiná plocha, </w:t>
      </w:r>
      <w:proofErr w:type="spellStart"/>
      <w:r>
        <w:rPr>
          <w:i w:val="0"/>
          <w:iCs w:val="0"/>
          <w:color w:val="231E20"/>
        </w:rPr>
        <w:t>p.p.č</w:t>
      </w:r>
      <w:proofErr w:type="spellEnd"/>
      <w:r>
        <w:rPr>
          <w:i w:val="0"/>
          <w:iCs w:val="0"/>
          <w:color w:val="231E20"/>
        </w:rPr>
        <w:t xml:space="preserve">. 5002, ostatní plocha - jiná plocha, </w:t>
      </w:r>
      <w:proofErr w:type="spellStart"/>
      <w:r>
        <w:rPr>
          <w:i w:val="0"/>
          <w:iCs w:val="0"/>
          <w:color w:val="231E20"/>
        </w:rPr>
        <w:t>p.p.č</w:t>
      </w:r>
      <w:proofErr w:type="spellEnd"/>
      <w:r>
        <w:rPr>
          <w:i w:val="0"/>
          <w:iCs w:val="0"/>
          <w:color w:val="231E20"/>
        </w:rPr>
        <w:t xml:space="preserve">. 5003, ostatní plocha - jiná plocha, </w:t>
      </w:r>
      <w:proofErr w:type="spellStart"/>
      <w:r>
        <w:rPr>
          <w:i w:val="0"/>
          <w:iCs w:val="0"/>
          <w:color w:val="231E20"/>
        </w:rPr>
        <w:t>p.p.č</w:t>
      </w:r>
      <w:proofErr w:type="spellEnd"/>
      <w:r>
        <w:rPr>
          <w:i w:val="0"/>
          <w:iCs w:val="0"/>
          <w:color w:val="231E20"/>
        </w:rPr>
        <w:t xml:space="preserve">. 988/11, ostatní plocha - jiná plocha, </w:t>
      </w:r>
      <w:proofErr w:type="spellStart"/>
      <w:r>
        <w:rPr>
          <w:i w:val="0"/>
          <w:iCs w:val="0"/>
          <w:color w:val="231E20"/>
        </w:rPr>
        <w:t>p.p.č</w:t>
      </w:r>
      <w:proofErr w:type="spellEnd"/>
      <w:r>
        <w:rPr>
          <w:i w:val="0"/>
          <w:iCs w:val="0"/>
          <w:color w:val="231E20"/>
        </w:rPr>
        <w:t xml:space="preserve">. 988/12, ostatní plocha - jiná plocha, </w:t>
      </w:r>
      <w:proofErr w:type="spellStart"/>
      <w:r>
        <w:rPr>
          <w:i w:val="0"/>
          <w:iCs w:val="0"/>
          <w:color w:val="231E20"/>
        </w:rPr>
        <w:t>p.p.č</w:t>
      </w:r>
      <w:proofErr w:type="spellEnd"/>
      <w:r>
        <w:rPr>
          <w:i w:val="0"/>
          <w:iCs w:val="0"/>
          <w:color w:val="231E20"/>
        </w:rPr>
        <w:t xml:space="preserve">. 988/16, ostatní plocha - jiná plocha, </w:t>
      </w:r>
      <w:proofErr w:type="spellStart"/>
      <w:r>
        <w:rPr>
          <w:i w:val="0"/>
          <w:iCs w:val="0"/>
          <w:color w:val="231E20"/>
        </w:rPr>
        <w:t>p.p.č</w:t>
      </w:r>
      <w:proofErr w:type="spellEnd"/>
      <w:r>
        <w:rPr>
          <w:i w:val="0"/>
          <w:iCs w:val="0"/>
          <w:color w:val="231E20"/>
        </w:rPr>
        <w:t xml:space="preserve">. 4066/11, ostatní plocha - ostatní komunikace, vše v </w:t>
      </w:r>
      <w:proofErr w:type="spellStart"/>
      <w:r>
        <w:rPr>
          <w:i w:val="0"/>
          <w:iCs w:val="0"/>
          <w:color w:val="231E20"/>
        </w:rPr>
        <w:t>k.ú</w:t>
      </w:r>
      <w:proofErr w:type="spellEnd"/>
      <w:r>
        <w:rPr>
          <w:i w:val="0"/>
          <w:iCs w:val="0"/>
          <w:color w:val="231E20"/>
        </w:rPr>
        <w:t>. Pardubice a v obci Pardubice.</w:t>
      </w:r>
    </w:p>
    <w:p w14:paraId="6E6FE69C" w14:textId="77777777" w:rsidR="00EC1C40" w:rsidRDefault="00EC1C40">
      <w:pPr>
        <w:pStyle w:val="Zkladntext110"/>
        <w:framePr w:w="9130" w:h="13387" w:hRule="exact" w:wrap="none" w:vAnchor="page" w:hAnchor="page" w:x="1516" w:y="1704"/>
        <w:numPr>
          <w:ilvl w:val="0"/>
          <w:numId w:val="110"/>
        </w:numPr>
        <w:spacing w:after="0" w:line="276" w:lineRule="auto"/>
        <w:jc w:val="center"/>
      </w:pPr>
    </w:p>
    <w:p w14:paraId="55EEE821" w14:textId="77777777" w:rsidR="00EC1C40" w:rsidRDefault="00000000">
      <w:pPr>
        <w:pStyle w:val="Nadpis60"/>
        <w:framePr w:w="9130" w:h="13387" w:hRule="exact" w:wrap="none" w:vAnchor="page" w:hAnchor="page" w:x="1516" w:y="1704"/>
        <w:spacing w:after="120" w:line="276" w:lineRule="auto"/>
        <w:jc w:val="center"/>
        <w:rPr>
          <w:sz w:val="20"/>
          <w:szCs w:val="20"/>
        </w:rPr>
      </w:pPr>
      <w:bookmarkStart w:id="160" w:name="bookmark322"/>
      <w:r>
        <w:rPr>
          <w:rFonts w:ascii="Arial" w:eastAsia="Arial" w:hAnsi="Arial" w:cs="Arial"/>
          <w:sz w:val="20"/>
          <w:szCs w:val="20"/>
        </w:rPr>
        <w:t>Předmět výpůjčky</w:t>
      </w:r>
      <w:bookmarkEnd w:id="160"/>
    </w:p>
    <w:p w14:paraId="494C24C3" w14:textId="77777777" w:rsidR="00EC1C40" w:rsidRDefault="00000000">
      <w:pPr>
        <w:pStyle w:val="Zkladntext110"/>
        <w:framePr w:w="9130" w:h="13387" w:hRule="exact" w:wrap="none" w:vAnchor="page" w:hAnchor="page" w:x="1516" w:y="1704"/>
        <w:numPr>
          <w:ilvl w:val="1"/>
          <w:numId w:val="112"/>
        </w:numPr>
        <w:tabs>
          <w:tab w:val="left" w:pos="571"/>
        </w:tabs>
        <w:spacing w:after="0" w:line="276" w:lineRule="auto"/>
        <w:ind w:left="580" w:hanging="580"/>
        <w:jc w:val="both"/>
      </w:pPr>
      <w:r>
        <w:rPr>
          <w:i w:val="0"/>
          <w:iCs w:val="0"/>
          <w:color w:val="231E20"/>
        </w:rPr>
        <w:t xml:space="preserve">Půjčitel přenechává vypůjčiteli bezplatně do výpůjčky k užívání pozemky označené jako </w:t>
      </w:r>
      <w:proofErr w:type="spellStart"/>
      <w:r>
        <w:rPr>
          <w:i w:val="0"/>
          <w:iCs w:val="0"/>
          <w:color w:val="231E20"/>
        </w:rPr>
        <w:t>p.p.č</w:t>
      </w:r>
      <w:proofErr w:type="spellEnd"/>
      <w:r>
        <w:rPr>
          <w:i w:val="0"/>
          <w:iCs w:val="0"/>
          <w:color w:val="231E20"/>
        </w:rPr>
        <w:t>. 988/10 o výměře 629 m</w:t>
      </w:r>
      <w:r>
        <w:rPr>
          <w:i w:val="0"/>
          <w:iCs w:val="0"/>
          <w:color w:val="231E20"/>
          <w:vertAlign w:val="superscript"/>
        </w:rPr>
        <w:t>2</w:t>
      </w:r>
      <w:r>
        <w:rPr>
          <w:i w:val="0"/>
          <w:iCs w:val="0"/>
          <w:color w:val="231E20"/>
        </w:rPr>
        <w:t xml:space="preserve">, </w:t>
      </w:r>
      <w:proofErr w:type="spellStart"/>
      <w:r>
        <w:rPr>
          <w:i w:val="0"/>
          <w:iCs w:val="0"/>
          <w:color w:val="231E20"/>
        </w:rPr>
        <w:t>p.p.č</w:t>
      </w:r>
      <w:proofErr w:type="spellEnd"/>
      <w:r>
        <w:rPr>
          <w:i w:val="0"/>
          <w:iCs w:val="0"/>
          <w:color w:val="231E20"/>
        </w:rPr>
        <w:t>. 2720/29 o výměře 170 m</w:t>
      </w:r>
      <w:r>
        <w:rPr>
          <w:i w:val="0"/>
          <w:iCs w:val="0"/>
          <w:color w:val="231E20"/>
          <w:vertAlign w:val="superscript"/>
        </w:rPr>
        <w:t>2</w:t>
      </w:r>
      <w:r>
        <w:rPr>
          <w:i w:val="0"/>
          <w:iCs w:val="0"/>
          <w:color w:val="231E20"/>
        </w:rPr>
        <w:t xml:space="preserve">, </w:t>
      </w:r>
      <w:proofErr w:type="spellStart"/>
      <w:r>
        <w:rPr>
          <w:i w:val="0"/>
          <w:iCs w:val="0"/>
          <w:color w:val="231E20"/>
        </w:rPr>
        <w:t>p.p.č</w:t>
      </w:r>
      <w:proofErr w:type="spellEnd"/>
      <w:r>
        <w:rPr>
          <w:i w:val="0"/>
          <w:iCs w:val="0"/>
          <w:color w:val="231E20"/>
        </w:rPr>
        <w:t>. 5001 o výměře 2.070 m</w:t>
      </w:r>
      <w:r>
        <w:rPr>
          <w:i w:val="0"/>
          <w:iCs w:val="0"/>
          <w:color w:val="231E20"/>
          <w:vertAlign w:val="superscript"/>
        </w:rPr>
        <w:t>2</w:t>
      </w:r>
      <w:r>
        <w:rPr>
          <w:i w:val="0"/>
          <w:iCs w:val="0"/>
          <w:color w:val="231E20"/>
        </w:rPr>
        <w:t xml:space="preserve">, </w:t>
      </w:r>
      <w:proofErr w:type="spellStart"/>
      <w:r>
        <w:rPr>
          <w:i w:val="0"/>
          <w:iCs w:val="0"/>
          <w:color w:val="231E20"/>
        </w:rPr>
        <w:t>p.p.č</w:t>
      </w:r>
      <w:proofErr w:type="spellEnd"/>
      <w:r>
        <w:rPr>
          <w:i w:val="0"/>
          <w:iCs w:val="0"/>
          <w:color w:val="231E20"/>
        </w:rPr>
        <w:t>. 5002 o výměře 303 m</w:t>
      </w:r>
      <w:r>
        <w:rPr>
          <w:i w:val="0"/>
          <w:iCs w:val="0"/>
          <w:color w:val="231E20"/>
          <w:vertAlign w:val="superscript"/>
        </w:rPr>
        <w:t>2</w:t>
      </w:r>
      <w:r>
        <w:rPr>
          <w:i w:val="0"/>
          <w:iCs w:val="0"/>
          <w:color w:val="231E20"/>
        </w:rPr>
        <w:t xml:space="preserve">, </w:t>
      </w:r>
      <w:proofErr w:type="spellStart"/>
      <w:r>
        <w:rPr>
          <w:i w:val="0"/>
          <w:iCs w:val="0"/>
          <w:color w:val="231E20"/>
        </w:rPr>
        <w:t>p.p.č</w:t>
      </w:r>
      <w:proofErr w:type="spellEnd"/>
      <w:r>
        <w:rPr>
          <w:i w:val="0"/>
          <w:iCs w:val="0"/>
          <w:color w:val="231E20"/>
        </w:rPr>
        <w:t>. 5003 o výměře 302 m</w:t>
      </w:r>
      <w:r>
        <w:rPr>
          <w:i w:val="0"/>
          <w:iCs w:val="0"/>
          <w:color w:val="231E20"/>
          <w:vertAlign w:val="superscript"/>
        </w:rPr>
        <w:t>2</w:t>
      </w:r>
      <w:r>
        <w:rPr>
          <w:i w:val="0"/>
          <w:iCs w:val="0"/>
          <w:color w:val="231E20"/>
        </w:rPr>
        <w:t xml:space="preserve"> a části pozemků označených jako </w:t>
      </w:r>
      <w:proofErr w:type="spellStart"/>
      <w:r>
        <w:rPr>
          <w:i w:val="0"/>
          <w:iCs w:val="0"/>
          <w:color w:val="231E20"/>
        </w:rPr>
        <w:t>p.p.č</w:t>
      </w:r>
      <w:proofErr w:type="spellEnd"/>
      <w:r>
        <w:rPr>
          <w:i w:val="0"/>
          <w:iCs w:val="0"/>
          <w:color w:val="231E20"/>
        </w:rPr>
        <w:t>. 988/11 o výměře 100 m</w:t>
      </w:r>
      <w:r>
        <w:rPr>
          <w:i w:val="0"/>
          <w:iCs w:val="0"/>
          <w:color w:val="231E20"/>
          <w:vertAlign w:val="superscript"/>
        </w:rPr>
        <w:t>2</w:t>
      </w:r>
      <w:r>
        <w:rPr>
          <w:i w:val="0"/>
          <w:iCs w:val="0"/>
          <w:color w:val="231E20"/>
        </w:rPr>
        <w:t xml:space="preserve">, </w:t>
      </w:r>
      <w:proofErr w:type="spellStart"/>
      <w:r>
        <w:rPr>
          <w:i w:val="0"/>
          <w:iCs w:val="0"/>
          <w:color w:val="231E20"/>
        </w:rPr>
        <w:t>p.p.č</w:t>
      </w:r>
      <w:proofErr w:type="spellEnd"/>
      <w:r>
        <w:rPr>
          <w:i w:val="0"/>
          <w:iCs w:val="0"/>
          <w:color w:val="231E20"/>
        </w:rPr>
        <w:t>. 988/12 o výměře 7.700 m</w:t>
      </w:r>
      <w:r>
        <w:rPr>
          <w:i w:val="0"/>
          <w:iCs w:val="0"/>
          <w:color w:val="231E20"/>
          <w:vertAlign w:val="superscript"/>
        </w:rPr>
        <w:t>2</w:t>
      </w:r>
      <w:r>
        <w:rPr>
          <w:i w:val="0"/>
          <w:iCs w:val="0"/>
          <w:color w:val="231E20"/>
        </w:rPr>
        <w:t xml:space="preserve">, </w:t>
      </w:r>
      <w:proofErr w:type="spellStart"/>
      <w:r>
        <w:rPr>
          <w:i w:val="0"/>
          <w:iCs w:val="0"/>
          <w:color w:val="231E20"/>
        </w:rPr>
        <w:t>p.p.č</w:t>
      </w:r>
      <w:proofErr w:type="spellEnd"/>
      <w:r>
        <w:rPr>
          <w:i w:val="0"/>
          <w:iCs w:val="0"/>
          <w:color w:val="231E20"/>
        </w:rPr>
        <w:t>. 988/16 o výměře 300 m</w:t>
      </w:r>
      <w:r>
        <w:rPr>
          <w:i w:val="0"/>
          <w:iCs w:val="0"/>
          <w:color w:val="231E20"/>
          <w:vertAlign w:val="superscript"/>
        </w:rPr>
        <w:t>2</w:t>
      </w:r>
      <w:r>
        <w:rPr>
          <w:i w:val="0"/>
          <w:iCs w:val="0"/>
          <w:color w:val="231E20"/>
        </w:rPr>
        <w:t xml:space="preserve">, </w:t>
      </w:r>
      <w:proofErr w:type="spellStart"/>
      <w:r>
        <w:rPr>
          <w:i w:val="0"/>
          <w:iCs w:val="0"/>
          <w:color w:val="231E20"/>
        </w:rPr>
        <w:t>p.p.č</w:t>
      </w:r>
      <w:proofErr w:type="spellEnd"/>
      <w:r>
        <w:rPr>
          <w:i w:val="0"/>
          <w:iCs w:val="0"/>
          <w:color w:val="231E20"/>
        </w:rPr>
        <w:t>. 4066/11 o výměře 400 m</w:t>
      </w:r>
      <w:r>
        <w:rPr>
          <w:i w:val="0"/>
          <w:iCs w:val="0"/>
          <w:color w:val="231E20"/>
          <w:vertAlign w:val="superscript"/>
        </w:rPr>
        <w:t>2</w:t>
      </w:r>
      <w:r>
        <w:rPr>
          <w:i w:val="0"/>
          <w:iCs w:val="0"/>
          <w:color w:val="231E20"/>
        </w:rPr>
        <w:t xml:space="preserve">, vše v </w:t>
      </w:r>
      <w:proofErr w:type="spellStart"/>
      <w:r>
        <w:rPr>
          <w:i w:val="0"/>
          <w:iCs w:val="0"/>
          <w:color w:val="231E20"/>
        </w:rPr>
        <w:t>k.ú</w:t>
      </w:r>
      <w:proofErr w:type="spellEnd"/>
      <w:r>
        <w:rPr>
          <w:i w:val="0"/>
          <w:iCs w:val="0"/>
          <w:color w:val="231E20"/>
        </w:rPr>
        <w:t>. Pardubice, a to tak, jak je zakresleno na snímku katastrální mapy, který je přílohou č. 1 této smlouvy (dále společně jen jako „předmět výpůjčky“), za účelem výstavby dopravního terminálu včetně související výstavby zpevněných ploch a další dopravní a technické infrastruktury, souvisejícího dopravního napojení s dopravním terminálem, jeho napojení na silnici I/36 a dále realizace dopravní a technické infrastruktury napojující parkovací dům Hůrka na silnici I/36, přičemž umístění dopravního terminálu je graficky vyznačeno v příloze č. 2 této smlouvy (dále jen „Stavba“). Činnostmi povolenými k realizaci na předmětu výpůjčky na základě této smlouvy jsou veškeré činnosti související se stavební realizací Stavby, včetně realizace přeložek sítí, přípravy staveniště, realizace veškerých přípravných prací, realizace technické a dopravní infrastruktury související se Stavbou, vlastní stavební práce a další činnosti, které jsou potřebné pro realizaci funkční Stavby.</w:t>
      </w:r>
    </w:p>
    <w:p w14:paraId="092B2077" w14:textId="77777777" w:rsidR="00EC1C40" w:rsidRDefault="00000000">
      <w:pPr>
        <w:pStyle w:val="Zhlavnebozpat0"/>
        <w:framePr w:wrap="none" w:vAnchor="page" w:hAnchor="page" w:x="5462" w:y="15956"/>
      </w:pPr>
      <w:r>
        <w:rPr>
          <w:rFonts w:ascii="Arial" w:eastAsia="Arial" w:hAnsi="Arial" w:cs="Arial"/>
          <w:color w:val="231E20"/>
        </w:rPr>
        <w:t xml:space="preserve">Stránka </w:t>
      </w:r>
      <w:r>
        <w:rPr>
          <w:rFonts w:ascii="Arial" w:eastAsia="Arial" w:hAnsi="Arial" w:cs="Arial"/>
          <w:b/>
          <w:bCs/>
          <w:color w:val="231E20"/>
        </w:rPr>
        <w:t xml:space="preserve">1 </w:t>
      </w:r>
      <w:r>
        <w:rPr>
          <w:rFonts w:ascii="Arial" w:eastAsia="Arial" w:hAnsi="Arial" w:cs="Arial"/>
          <w:color w:val="231E20"/>
        </w:rPr>
        <w:t xml:space="preserve">z </w:t>
      </w:r>
      <w:r>
        <w:rPr>
          <w:rFonts w:ascii="Arial" w:eastAsia="Arial" w:hAnsi="Arial" w:cs="Arial"/>
          <w:b/>
          <w:bCs/>
          <w:color w:val="231E20"/>
        </w:rPr>
        <w:t>10</w:t>
      </w:r>
    </w:p>
    <w:p w14:paraId="56891D9E"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65420C90" w14:textId="77777777" w:rsidR="00EC1C40" w:rsidRDefault="00EC1C40">
      <w:pPr>
        <w:spacing w:line="1" w:lineRule="exact"/>
      </w:pPr>
    </w:p>
    <w:p w14:paraId="31E8EC2C" w14:textId="77777777" w:rsidR="00EC1C40" w:rsidRDefault="00000000">
      <w:pPr>
        <w:pStyle w:val="Zhlavnebozpat0"/>
        <w:framePr w:w="1003" w:h="240" w:hRule="exact" w:wrap="none" w:vAnchor="page" w:hAnchor="page" w:x="9626" w:y="999"/>
        <w:jc w:val="right"/>
      </w:pPr>
      <w:r>
        <w:rPr>
          <w:rFonts w:ascii="Arial" w:eastAsia="Arial" w:hAnsi="Arial" w:cs="Arial"/>
          <w:color w:val="231E20"/>
        </w:rPr>
        <w:t>V_0.../MO3</w:t>
      </w:r>
    </w:p>
    <w:p w14:paraId="4FB91120" w14:textId="77777777" w:rsidR="00EC1C40" w:rsidRDefault="00000000">
      <w:pPr>
        <w:pStyle w:val="Zkladntext110"/>
        <w:framePr w:w="9125" w:h="6014" w:hRule="exact" w:wrap="none" w:vAnchor="page" w:hAnchor="page" w:x="1518" w:y="1704"/>
        <w:numPr>
          <w:ilvl w:val="1"/>
          <w:numId w:val="112"/>
        </w:numPr>
        <w:tabs>
          <w:tab w:val="left" w:pos="568"/>
        </w:tabs>
        <w:spacing w:line="276" w:lineRule="auto"/>
        <w:ind w:left="580" w:hanging="580"/>
        <w:jc w:val="both"/>
      </w:pPr>
      <w:r>
        <w:rPr>
          <w:i w:val="0"/>
          <w:iCs w:val="0"/>
          <w:color w:val="231E20"/>
        </w:rPr>
        <w:t xml:space="preserve">Vypůjčitel je povinen realizovat Stavbu v souladu s podmínkami a technickými parametry uvedenými v </w:t>
      </w:r>
      <w:r>
        <w:rPr>
          <w:color w:val="231E20"/>
        </w:rPr>
        <w:t>„Zásadách výstavby technické infrastruktury určené pro následný převod do majetku města“</w:t>
      </w:r>
      <w:r>
        <w:rPr>
          <w:i w:val="0"/>
          <w:iCs w:val="0"/>
          <w:color w:val="231E20"/>
        </w:rPr>
        <w:t xml:space="preserve"> v platném znění, tj. ve znění schváleném Zastupitelstvem města Pardubice usnesením č. Z/1260/2024 ze dne 27.5.2024 (dále jen „</w:t>
      </w:r>
      <w:r>
        <w:rPr>
          <w:b/>
          <w:bCs/>
          <w:i w:val="0"/>
          <w:iCs w:val="0"/>
          <w:color w:val="231E20"/>
        </w:rPr>
        <w:t>Zásady výstavby</w:t>
      </w:r>
      <w:r>
        <w:rPr>
          <w:i w:val="0"/>
          <w:iCs w:val="0"/>
          <w:color w:val="231E20"/>
        </w:rPr>
        <w:t>“), se kterými se vypůjčitel ke dni podpisu této smlouvy seznámil a podpisem smlouvy toto stvrzuje. Pro tuto smlouvu je určující znění Zásad výstavby platné ke dni uzavření smlouvy; případné budoucí změny, doplnění či nahrazení Zásad výstavby po tomto datu se pro účely této smlouvy nezohledňují.</w:t>
      </w:r>
    </w:p>
    <w:p w14:paraId="09D2DADC" w14:textId="77777777" w:rsidR="00EC1C40" w:rsidRDefault="00000000">
      <w:pPr>
        <w:pStyle w:val="Zkladntext110"/>
        <w:framePr w:w="9125" w:h="6014" w:hRule="exact" w:wrap="none" w:vAnchor="page" w:hAnchor="page" w:x="1518" w:y="1704"/>
        <w:numPr>
          <w:ilvl w:val="1"/>
          <w:numId w:val="112"/>
        </w:numPr>
        <w:tabs>
          <w:tab w:val="left" w:pos="568"/>
        </w:tabs>
        <w:spacing w:line="276" w:lineRule="auto"/>
        <w:ind w:left="580" w:hanging="580"/>
        <w:jc w:val="both"/>
      </w:pPr>
      <w:r>
        <w:rPr>
          <w:i w:val="0"/>
          <w:iCs w:val="0"/>
          <w:color w:val="231E20"/>
        </w:rPr>
        <w:t>Vypůjčitel prohlašuje, že je mu stav předmětu výpůjčky dobře znám, neboť si jej prohlédl před uzavřením této smlouvy a potvrzuje, že je ve stavu způsobilém k řádnému užívání podle této smlouvy.</w:t>
      </w:r>
    </w:p>
    <w:p w14:paraId="7922E26A" w14:textId="77777777" w:rsidR="00EC1C40" w:rsidRDefault="00000000">
      <w:pPr>
        <w:pStyle w:val="Zkladntext110"/>
        <w:framePr w:w="9125" w:h="6014" w:hRule="exact" w:wrap="none" w:vAnchor="page" w:hAnchor="page" w:x="1518" w:y="1704"/>
        <w:numPr>
          <w:ilvl w:val="1"/>
          <w:numId w:val="112"/>
        </w:numPr>
        <w:tabs>
          <w:tab w:val="left" w:pos="568"/>
        </w:tabs>
        <w:spacing w:line="276" w:lineRule="auto"/>
        <w:ind w:left="580" w:hanging="580"/>
        <w:jc w:val="both"/>
      </w:pPr>
      <w:r>
        <w:rPr>
          <w:i w:val="0"/>
          <w:iCs w:val="0"/>
          <w:color w:val="231E20"/>
        </w:rPr>
        <w:t>Smluvní strany spolu s touto smlouvou uzavírají plánovací smlouvu, jejímž předmětem je spolupráce smluvních stran při realizaci projektu „Multifunkční hokejové arény Pardubice“ (dále jen „</w:t>
      </w:r>
      <w:r>
        <w:rPr>
          <w:b/>
          <w:bCs/>
          <w:i w:val="0"/>
          <w:iCs w:val="0"/>
          <w:color w:val="231E20"/>
        </w:rPr>
        <w:t>Plánovací smlouva</w:t>
      </w:r>
      <w:r>
        <w:rPr>
          <w:i w:val="0"/>
          <w:iCs w:val="0"/>
          <w:color w:val="231E20"/>
        </w:rPr>
        <w:t>“). Plánovací smlouva upravuje mimo jiné i další práva a povinnosti smluvních stran souvisejících s předmětem této smlouvy, zejména závazky smluvních stran týkajících se výstavby parkovacího domu Hůrka (dále jen „</w:t>
      </w:r>
      <w:r>
        <w:rPr>
          <w:b/>
          <w:bCs/>
          <w:i w:val="0"/>
          <w:iCs w:val="0"/>
          <w:color w:val="231E20"/>
        </w:rPr>
        <w:t>Parkovací dům Hůrka</w:t>
      </w:r>
      <w:r>
        <w:rPr>
          <w:i w:val="0"/>
          <w:iCs w:val="0"/>
          <w:color w:val="231E20"/>
        </w:rPr>
        <w:t>“) a Stavby (Parkovací dům a Stavba dále společně jako „</w:t>
      </w:r>
      <w:r>
        <w:rPr>
          <w:b/>
          <w:bCs/>
          <w:i w:val="0"/>
          <w:iCs w:val="0"/>
          <w:color w:val="231E20"/>
        </w:rPr>
        <w:t>Dopravní záměr</w:t>
      </w:r>
      <w:r>
        <w:rPr>
          <w:i w:val="0"/>
          <w:iCs w:val="0"/>
          <w:color w:val="231E20"/>
        </w:rPr>
        <w:t>“) v lokalitě Hůrka a vytvoření předpokladů pro jejich realizaci.</w:t>
      </w:r>
    </w:p>
    <w:p w14:paraId="4A54FB10" w14:textId="77777777" w:rsidR="00EC1C40" w:rsidRDefault="00000000">
      <w:pPr>
        <w:pStyle w:val="Zkladntext110"/>
        <w:framePr w:w="9125" w:h="6014" w:hRule="exact" w:wrap="none" w:vAnchor="page" w:hAnchor="page" w:x="1518" w:y="1704"/>
        <w:numPr>
          <w:ilvl w:val="1"/>
          <w:numId w:val="112"/>
        </w:numPr>
        <w:tabs>
          <w:tab w:val="left" w:pos="568"/>
        </w:tabs>
        <w:spacing w:after="0" w:line="276" w:lineRule="auto"/>
        <w:ind w:left="580" w:hanging="580"/>
        <w:jc w:val="both"/>
      </w:pPr>
      <w:r>
        <w:rPr>
          <w:i w:val="0"/>
          <w:iCs w:val="0"/>
          <w:color w:val="231E20"/>
        </w:rPr>
        <w:t>Tato smlouva o výpůjčce slouží mimo jiné i jako podklad k řízení před stavebním úřadem pro účely vydání příslušného rozhodnutí pro předmětnou Stavbu. Půjčitel souhlasí s realizací Stavby na předmětu výpůjčky.</w:t>
      </w:r>
    </w:p>
    <w:p w14:paraId="393066B6" w14:textId="77777777" w:rsidR="00EC1C40" w:rsidRDefault="00EC1C40">
      <w:pPr>
        <w:pStyle w:val="Zkladntext110"/>
        <w:framePr w:w="9125" w:h="523" w:hRule="exact" w:wrap="none" w:vAnchor="page" w:hAnchor="page" w:x="1518" w:y="7824"/>
        <w:numPr>
          <w:ilvl w:val="0"/>
          <w:numId w:val="110"/>
        </w:numPr>
        <w:spacing w:after="0" w:line="240" w:lineRule="auto"/>
        <w:jc w:val="center"/>
      </w:pPr>
    </w:p>
    <w:p w14:paraId="10E11C0D" w14:textId="77777777" w:rsidR="00EC1C40" w:rsidRDefault="00000000">
      <w:pPr>
        <w:pStyle w:val="Nadpis60"/>
        <w:framePr w:w="9125" w:h="523" w:hRule="exact" w:wrap="none" w:vAnchor="page" w:hAnchor="page" w:x="1518" w:y="7824"/>
        <w:spacing w:after="0"/>
        <w:jc w:val="center"/>
        <w:rPr>
          <w:sz w:val="20"/>
          <w:szCs w:val="20"/>
        </w:rPr>
      </w:pPr>
      <w:bookmarkStart w:id="161" w:name="bookmark324"/>
      <w:r>
        <w:rPr>
          <w:rFonts w:ascii="Arial" w:eastAsia="Arial" w:hAnsi="Arial" w:cs="Arial"/>
          <w:sz w:val="20"/>
          <w:szCs w:val="20"/>
        </w:rPr>
        <w:t>Doba trvání výpůjčky</w:t>
      </w:r>
      <w:bookmarkEnd w:id="161"/>
    </w:p>
    <w:p w14:paraId="26FDE096" w14:textId="77777777" w:rsidR="00EC1C40" w:rsidRDefault="00000000">
      <w:pPr>
        <w:pStyle w:val="Zkladntext110"/>
        <w:framePr w:w="9125" w:h="3629" w:hRule="exact" w:wrap="none" w:vAnchor="page" w:hAnchor="page" w:x="1518" w:y="8477"/>
        <w:numPr>
          <w:ilvl w:val="1"/>
          <w:numId w:val="113"/>
        </w:numPr>
        <w:tabs>
          <w:tab w:val="left" w:pos="568"/>
        </w:tabs>
        <w:spacing w:after="0" w:line="276" w:lineRule="auto"/>
        <w:ind w:left="580" w:hanging="580"/>
        <w:jc w:val="both"/>
      </w:pPr>
      <w:r>
        <w:rPr>
          <w:i w:val="0"/>
          <w:iCs w:val="0"/>
          <w:color w:val="231E20"/>
        </w:rPr>
        <w:t xml:space="preserve">Výpůjčka se uzavírá na </w:t>
      </w:r>
      <w:r>
        <w:rPr>
          <w:b/>
          <w:bCs/>
          <w:i w:val="0"/>
          <w:iCs w:val="0"/>
          <w:color w:val="231E20"/>
          <w:u w:val="single"/>
        </w:rPr>
        <w:t>dobu určitou</w:t>
      </w:r>
      <w:r>
        <w:rPr>
          <w:i w:val="0"/>
          <w:iCs w:val="0"/>
          <w:color w:val="231E20"/>
        </w:rPr>
        <w:t xml:space="preserve">, </w:t>
      </w:r>
      <w:r>
        <w:rPr>
          <w:b/>
          <w:bCs/>
          <w:i w:val="0"/>
          <w:iCs w:val="0"/>
          <w:color w:val="231E20"/>
        </w:rPr>
        <w:t xml:space="preserve">a to do dne uzavření a nabytí účinnosti smlouvy o převodu vybudované Stavby </w:t>
      </w:r>
      <w:r>
        <w:rPr>
          <w:i w:val="0"/>
          <w:iCs w:val="0"/>
          <w:color w:val="231E20"/>
        </w:rPr>
        <w:t>z vlastnictví vypůjčitele do vlastnictví půjčitele v souladu s čl.</w:t>
      </w:r>
    </w:p>
    <w:p w14:paraId="749DA75E" w14:textId="77777777" w:rsidR="00EC1C40" w:rsidRDefault="00000000">
      <w:pPr>
        <w:pStyle w:val="Zkladntext110"/>
        <w:framePr w:w="9125" w:h="3629" w:hRule="exact" w:wrap="none" w:vAnchor="page" w:hAnchor="page" w:x="1518" w:y="8477"/>
        <w:numPr>
          <w:ilvl w:val="1"/>
          <w:numId w:val="114"/>
        </w:numPr>
        <w:tabs>
          <w:tab w:val="left" w:pos="1056"/>
        </w:tabs>
        <w:spacing w:line="276" w:lineRule="auto"/>
        <w:ind w:left="580"/>
        <w:jc w:val="both"/>
      </w:pPr>
      <w:r>
        <w:rPr>
          <w:i w:val="0"/>
          <w:iCs w:val="0"/>
          <w:color w:val="231E20"/>
        </w:rPr>
        <w:t xml:space="preserve">této smlouvy, případně </w:t>
      </w:r>
      <w:r>
        <w:rPr>
          <w:b/>
          <w:bCs/>
          <w:i w:val="0"/>
          <w:iCs w:val="0"/>
          <w:color w:val="231E20"/>
        </w:rPr>
        <w:t xml:space="preserve">do uplynutí 1 roku od vydání Kolaudačního rozhodnutí </w:t>
      </w:r>
      <w:r>
        <w:rPr>
          <w:i w:val="0"/>
          <w:iCs w:val="0"/>
          <w:color w:val="231E20"/>
        </w:rPr>
        <w:t xml:space="preserve">na Stavbu, a to podle toho, která z těchto událostí nastane dřív, </w:t>
      </w:r>
      <w:r>
        <w:rPr>
          <w:b/>
          <w:bCs/>
          <w:i w:val="0"/>
          <w:iCs w:val="0"/>
          <w:color w:val="231E20"/>
          <w:u w:val="single"/>
        </w:rPr>
        <w:t>nejdéle</w:t>
      </w:r>
      <w:r>
        <w:rPr>
          <w:b/>
          <w:bCs/>
          <w:i w:val="0"/>
          <w:iCs w:val="0"/>
          <w:color w:val="231E20"/>
        </w:rPr>
        <w:t xml:space="preserve"> však na dobu 15 let ode dne účinnosti této smlouvy</w:t>
      </w:r>
      <w:r>
        <w:rPr>
          <w:i w:val="0"/>
          <w:iCs w:val="0"/>
          <w:color w:val="231E20"/>
        </w:rPr>
        <w:t>.</w:t>
      </w:r>
    </w:p>
    <w:p w14:paraId="5F2AA8EC" w14:textId="77777777" w:rsidR="00EC1C40" w:rsidRDefault="00000000">
      <w:pPr>
        <w:pStyle w:val="Zkladntext110"/>
        <w:framePr w:w="9125" w:h="3629" w:hRule="exact" w:wrap="none" w:vAnchor="page" w:hAnchor="page" w:x="1518" w:y="8477"/>
        <w:numPr>
          <w:ilvl w:val="1"/>
          <w:numId w:val="113"/>
        </w:numPr>
        <w:tabs>
          <w:tab w:val="left" w:pos="568"/>
        </w:tabs>
        <w:spacing w:after="0" w:line="276" w:lineRule="auto"/>
        <w:ind w:left="580" w:hanging="580"/>
        <w:jc w:val="both"/>
      </w:pPr>
      <w:r>
        <w:rPr>
          <w:i w:val="0"/>
          <w:iCs w:val="0"/>
          <w:color w:val="231E20"/>
        </w:rPr>
        <w:t>Nebude-li vydáno povolení záměru Stavby ani do osmi (8) let od nabytí účinnosti této smlouvy, učiní smluvní strany kroky k tomu, aby výpůjčka dle této smlouvy byla transformována do nájmu; nájem bude určen jako nájem v místě a čase obvyklý, přičemž práva a povinnosti z této nájemní smlouvy budou v maximálním rozsahu odpovídat právům a povinnostem smluvních stran dle této smlouvy; užívání předmětu výpůjčky dle této smlouvy a užívání předmětu nájmu dle nájemní smlouvy na sebe musí bezprostředně navazovat, jinak nelze toto ustanovení použít. Smluvní strany učiní veškeré potřebné kroky za účelem uzavření nájemní smlouvy dle tohoto ustanovení.</w:t>
      </w:r>
    </w:p>
    <w:p w14:paraId="029F559B" w14:textId="77777777" w:rsidR="00EC1C40" w:rsidRDefault="00EC1C40">
      <w:pPr>
        <w:pStyle w:val="Zkladntext110"/>
        <w:framePr w:w="9125" w:h="523" w:hRule="exact" w:wrap="none" w:vAnchor="page" w:hAnchor="page" w:x="1518" w:y="12212"/>
        <w:numPr>
          <w:ilvl w:val="0"/>
          <w:numId w:val="110"/>
        </w:numPr>
        <w:spacing w:after="0" w:line="240" w:lineRule="auto"/>
        <w:jc w:val="center"/>
      </w:pPr>
    </w:p>
    <w:p w14:paraId="35A3D60E" w14:textId="77777777" w:rsidR="00EC1C40" w:rsidRDefault="00000000">
      <w:pPr>
        <w:pStyle w:val="Nadpis60"/>
        <w:framePr w:w="9125" w:h="523" w:hRule="exact" w:wrap="none" w:vAnchor="page" w:hAnchor="page" w:x="1518" w:y="12212"/>
        <w:spacing w:after="0"/>
        <w:jc w:val="center"/>
        <w:rPr>
          <w:sz w:val="20"/>
          <w:szCs w:val="20"/>
        </w:rPr>
      </w:pPr>
      <w:bookmarkStart w:id="162" w:name="bookmark326"/>
      <w:r>
        <w:rPr>
          <w:rFonts w:ascii="Arial" w:eastAsia="Arial" w:hAnsi="Arial" w:cs="Arial"/>
          <w:sz w:val="20"/>
          <w:szCs w:val="20"/>
        </w:rPr>
        <w:t>Závazky smluvních stran</w:t>
      </w:r>
      <w:bookmarkEnd w:id="162"/>
    </w:p>
    <w:p w14:paraId="69579A26" w14:textId="77777777" w:rsidR="00EC1C40" w:rsidRDefault="00000000">
      <w:pPr>
        <w:pStyle w:val="Zkladntext110"/>
        <w:framePr w:w="9125" w:h="2170" w:hRule="exact" w:wrap="none" w:vAnchor="page" w:hAnchor="page" w:x="1518" w:y="12864"/>
        <w:numPr>
          <w:ilvl w:val="1"/>
          <w:numId w:val="115"/>
        </w:numPr>
        <w:tabs>
          <w:tab w:val="left" w:pos="568"/>
        </w:tabs>
        <w:spacing w:after="0" w:line="276" w:lineRule="auto"/>
        <w:ind w:left="580" w:hanging="580"/>
        <w:jc w:val="both"/>
      </w:pPr>
      <w:r>
        <w:rPr>
          <w:i w:val="0"/>
          <w:iCs w:val="0"/>
          <w:color w:val="231E20"/>
        </w:rPr>
        <w:t xml:space="preserve">Vypůjčitel se zavazuje bez zbytečného odkladu, nejpozději </w:t>
      </w:r>
      <w:r>
        <w:rPr>
          <w:b/>
          <w:bCs/>
          <w:i w:val="0"/>
          <w:iCs w:val="0"/>
          <w:color w:val="231E20"/>
        </w:rPr>
        <w:t xml:space="preserve">však do 1 měsíce </w:t>
      </w:r>
      <w:r>
        <w:rPr>
          <w:i w:val="0"/>
          <w:iCs w:val="0"/>
          <w:color w:val="231E20"/>
        </w:rPr>
        <w:t xml:space="preserve">po nabytí právní moci kolaudačního souhlasu/rozhodnutí, popř. po vydání alternativního užívacího titulu na Stavbu (dále jenom </w:t>
      </w:r>
      <w:r>
        <w:rPr>
          <w:b/>
          <w:bCs/>
          <w:color w:val="231E20"/>
        </w:rPr>
        <w:t>„Kolaudační rozhodnutí“</w:t>
      </w:r>
      <w:r>
        <w:rPr>
          <w:i w:val="0"/>
          <w:iCs w:val="0"/>
          <w:color w:val="231E20"/>
        </w:rPr>
        <w:t xml:space="preserve">) doložit půjčiteli, a to konkrétně Odboru dopravy Magistrátu města Pardubic (dále jenom „Odbor dopravy </w:t>
      </w:r>
      <w:proofErr w:type="spellStart"/>
      <w:r>
        <w:rPr>
          <w:i w:val="0"/>
          <w:iCs w:val="0"/>
          <w:color w:val="231E20"/>
        </w:rPr>
        <w:t>MmP</w:t>
      </w:r>
      <w:proofErr w:type="spellEnd"/>
      <w:r>
        <w:rPr>
          <w:i w:val="0"/>
          <w:iCs w:val="0"/>
          <w:color w:val="231E20"/>
        </w:rPr>
        <w:t xml:space="preserve">“) </w:t>
      </w:r>
      <w:r>
        <w:rPr>
          <w:b/>
          <w:bCs/>
          <w:i w:val="0"/>
          <w:iCs w:val="0"/>
          <w:color w:val="231E20"/>
        </w:rPr>
        <w:t xml:space="preserve">Kolaudační rozhodnutí a další listiny v souladu s čl. IV </w:t>
      </w:r>
      <w:r>
        <w:rPr>
          <w:i w:val="0"/>
          <w:iCs w:val="0"/>
          <w:color w:val="231E20"/>
        </w:rPr>
        <w:t xml:space="preserve">Zásad výstavby. Vypůjčitel je v případě porušení této povinnosti, pokud toto porušení nenapraví ani v dodatečné lhůtě 10 dnů od doručení výzvy k nápravě vypůjčiteli, povinen uhradit půjčiteli smluvní pokutu ve </w:t>
      </w:r>
      <w:r>
        <w:rPr>
          <w:b/>
          <w:bCs/>
          <w:i w:val="0"/>
          <w:iCs w:val="0"/>
          <w:color w:val="231E20"/>
        </w:rPr>
        <w:t>výši 5.000,- Kč.</w:t>
      </w:r>
    </w:p>
    <w:p w14:paraId="60C18416" w14:textId="77777777" w:rsidR="00EC1C40" w:rsidRDefault="00000000">
      <w:pPr>
        <w:pStyle w:val="Zhlavnebozpat0"/>
        <w:framePr w:wrap="none" w:vAnchor="page" w:hAnchor="page" w:x="5459" w:y="15956"/>
      </w:pPr>
      <w:r>
        <w:rPr>
          <w:rFonts w:ascii="Arial" w:eastAsia="Arial" w:hAnsi="Arial" w:cs="Arial"/>
          <w:color w:val="231E20"/>
        </w:rPr>
        <w:t xml:space="preserve">Stránka </w:t>
      </w:r>
      <w:r>
        <w:rPr>
          <w:rFonts w:ascii="Arial" w:eastAsia="Arial" w:hAnsi="Arial" w:cs="Arial"/>
          <w:b/>
          <w:bCs/>
          <w:color w:val="231E20"/>
        </w:rPr>
        <w:t xml:space="preserve">2 </w:t>
      </w:r>
      <w:r>
        <w:rPr>
          <w:rFonts w:ascii="Arial" w:eastAsia="Arial" w:hAnsi="Arial" w:cs="Arial"/>
          <w:color w:val="231E20"/>
        </w:rPr>
        <w:t xml:space="preserve">z </w:t>
      </w:r>
      <w:r>
        <w:rPr>
          <w:rFonts w:ascii="Arial" w:eastAsia="Arial" w:hAnsi="Arial" w:cs="Arial"/>
          <w:b/>
          <w:bCs/>
          <w:color w:val="231E20"/>
        </w:rPr>
        <w:t>10</w:t>
      </w:r>
    </w:p>
    <w:p w14:paraId="7AF5297D"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2A459706" w14:textId="77777777" w:rsidR="00EC1C40" w:rsidRDefault="00EC1C40">
      <w:pPr>
        <w:spacing w:line="1" w:lineRule="exact"/>
      </w:pPr>
    </w:p>
    <w:p w14:paraId="4ABF8956" w14:textId="77777777" w:rsidR="00EC1C40" w:rsidRDefault="00000000">
      <w:pPr>
        <w:pStyle w:val="Zhlavnebozpat0"/>
        <w:framePr w:wrap="none" w:vAnchor="page" w:hAnchor="page" w:x="9623" w:y="999"/>
      </w:pPr>
      <w:r>
        <w:rPr>
          <w:rFonts w:ascii="Arial" w:eastAsia="Arial" w:hAnsi="Arial" w:cs="Arial"/>
          <w:color w:val="231E20"/>
        </w:rPr>
        <w:t>V_0.../MO3</w:t>
      </w:r>
    </w:p>
    <w:p w14:paraId="31047F03" w14:textId="77777777" w:rsidR="00EC1C40" w:rsidRDefault="00000000">
      <w:pPr>
        <w:pStyle w:val="Zkladntext110"/>
        <w:framePr w:w="9130" w:h="13838" w:hRule="exact" w:wrap="none" w:vAnchor="page" w:hAnchor="page" w:x="1516" w:y="1704"/>
        <w:numPr>
          <w:ilvl w:val="1"/>
          <w:numId w:val="115"/>
        </w:numPr>
        <w:tabs>
          <w:tab w:val="left" w:pos="562"/>
        </w:tabs>
        <w:spacing w:after="100" w:line="276" w:lineRule="auto"/>
        <w:ind w:left="580" w:hanging="580"/>
        <w:jc w:val="both"/>
      </w:pPr>
      <w:r>
        <w:rPr>
          <w:i w:val="0"/>
          <w:iCs w:val="0"/>
          <w:color w:val="231E20"/>
        </w:rPr>
        <w:t>Vypůjčitel se zavazuje převést bez zbytečného odkladu po nabytí právní moci Kolaudačního rozhodnutí, nejpozději však do 6 měsíců ode dne nabytí právní moci Kolaudačního rozhodnutí vybudovanou Stavbu do vlastnictví půjčitele</w:t>
      </w:r>
      <w:r>
        <w:rPr>
          <w:b/>
          <w:bCs/>
          <w:i w:val="0"/>
          <w:iCs w:val="0"/>
          <w:color w:val="231E20"/>
        </w:rPr>
        <w:t xml:space="preserve">, </w:t>
      </w:r>
      <w:r>
        <w:rPr>
          <w:i w:val="0"/>
          <w:iCs w:val="0"/>
          <w:color w:val="231E20"/>
        </w:rPr>
        <w:t xml:space="preserve">a to za kupní cenu </w:t>
      </w:r>
      <w:r>
        <w:rPr>
          <w:b/>
          <w:bCs/>
          <w:i w:val="0"/>
          <w:iCs w:val="0"/>
          <w:color w:val="231E20"/>
        </w:rPr>
        <w:t>1.000,- Kč (+ případné DPH)</w:t>
      </w:r>
      <w:r>
        <w:rPr>
          <w:i w:val="0"/>
          <w:iCs w:val="0"/>
          <w:color w:val="231E20"/>
        </w:rPr>
        <w:t xml:space="preserve">. Kupní smlouva </w:t>
      </w:r>
      <w:r>
        <w:rPr>
          <w:b/>
          <w:bCs/>
          <w:i w:val="0"/>
          <w:iCs w:val="0"/>
          <w:color w:val="231E20"/>
        </w:rPr>
        <w:t xml:space="preserve">bude uzavřena s Odborem dopravy </w:t>
      </w:r>
      <w:proofErr w:type="spellStart"/>
      <w:r>
        <w:rPr>
          <w:b/>
          <w:bCs/>
          <w:i w:val="0"/>
          <w:iCs w:val="0"/>
          <w:color w:val="231E20"/>
        </w:rPr>
        <w:t>MmP</w:t>
      </w:r>
      <w:proofErr w:type="spellEnd"/>
      <w:r>
        <w:rPr>
          <w:i w:val="0"/>
          <w:iCs w:val="0"/>
          <w:color w:val="231E20"/>
        </w:rPr>
        <w:t xml:space="preserve">. O předání a převzetí Stavby a předmětu výpůjčky bude vyhotoven písemný protokol, který vyhotoví Odbor dopravy </w:t>
      </w:r>
      <w:proofErr w:type="spellStart"/>
      <w:r>
        <w:rPr>
          <w:i w:val="0"/>
          <w:iCs w:val="0"/>
          <w:color w:val="231E20"/>
        </w:rPr>
        <w:t>MmP</w:t>
      </w:r>
      <w:proofErr w:type="spellEnd"/>
      <w:r>
        <w:rPr>
          <w:i w:val="0"/>
          <w:iCs w:val="0"/>
          <w:color w:val="231E20"/>
        </w:rPr>
        <w:t>. Kupní smlouvu nelze uzavřít dříve, než budou doloženy listiny vyžadované dle čl. 4.1. této smlouvy. Půjčitel se zavazuje kupní smlouvu s vypůjčitelem uzavřít bez zbytečného odkladu po právní moci Kolaudačního rozhodnutí a nabýt vlastnické právo ke Stavbě.</w:t>
      </w:r>
    </w:p>
    <w:p w14:paraId="1489569B" w14:textId="77777777" w:rsidR="00EC1C40" w:rsidRDefault="00000000">
      <w:pPr>
        <w:pStyle w:val="Zkladntext110"/>
        <w:framePr w:w="9130" w:h="13838" w:hRule="exact" w:wrap="none" w:vAnchor="page" w:hAnchor="page" w:x="1516" w:y="1704"/>
        <w:numPr>
          <w:ilvl w:val="1"/>
          <w:numId w:val="115"/>
        </w:numPr>
        <w:tabs>
          <w:tab w:val="left" w:pos="562"/>
        </w:tabs>
        <w:spacing w:after="100" w:line="276" w:lineRule="auto"/>
        <w:ind w:left="580" w:hanging="580"/>
        <w:jc w:val="both"/>
      </w:pPr>
      <w:r>
        <w:rPr>
          <w:i w:val="0"/>
          <w:iCs w:val="0"/>
          <w:color w:val="231E20"/>
        </w:rPr>
        <w:t>Smluvní strany jsou si vědomy, že výše uvedené podmínky nejsou závazkem s povahou smlouvy o smlouvě budoucí a veškeré budoucí majetkoprávní vypořádání podléhá předchozímu schválení v příslušných orgánech statutárního města Pardubice a bude probíhat v souladu se zákonem č. 128/2000 Sb., o obcích, ve znění pozdějších předpisů.</w:t>
      </w:r>
    </w:p>
    <w:p w14:paraId="73CC3AD8" w14:textId="77777777" w:rsidR="00EC1C40" w:rsidRDefault="00000000">
      <w:pPr>
        <w:pStyle w:val="Zkladntext110"/>
        <w:framePr w:w="9130" w:h="13838" w:hRule="exact" w:wrap="none" w:vAnchor="page" w:hAnchor="page" w:x="1516" w:y="1704"/>
        <w:numPr>
          <w:ilvl w:val="1"/>
          <w:numId w:val="115"/>
        </w:numPr>
        <w:tabs>
          <w:tab w:val="left" w:pos="562"/>
        </w:tabs>
        <w:spacing w:after="100" w:line="276" w:lineRule="auto"/>
        <w:ind w:left="580" w:hanging="580"/>
        <w:jc w:val="both"/>
      </w:pPr>
      <w:r>
        <w:rPr>
          <w:i w:val="0"/>
          <w:iCs w:val="0"/>
          <w:color w:val="231E20"/>
        </w:rPr>
        <w:t>Půjčitel se zavazuje po nabytí vlastnického práva ke Stavbě tuto Stavbu řádně provozovat, a to v souladu s jejím určením a funkcí. Provozování Stavby je výlučnou povinností půjčitele a vypůjčitel se na něm v žádném ohledu nepodílí.</w:t>
      </w:r>
    </w:p>
    <w:p w14:paraId="7CFA55B2" w14:textId="77777777" w:rsidR="00EC1C40" w:rsidRDefault="00000000">
      <w:pPr>
        <w:pStyle w:val="Zkladntext110"/>
        <w:framePr w:w="9130" w:h="13838" w:hRule="exact" w:wrap="none" w:vAnchor="page" w:hAnchor="page" w:x="1516" w:y="1704"/>
        <w:numPr>
          <w:ilvl w:val="1"/>
          <w:numId w:val="115"/>
        </w:numPr>
        <w:tabs>
          <w:tab w:val="left" w:pos="562"/>
        </w:tabs>
        <w:spacing w:after="100" w:line="276" w:lineRule="auto"/>
        <w:ind w:left="580" w:hanging="580"/>
        <w:jc w:val="both"/>
      </w:pPr>
      <w:r>
        <w:rPr>
          <w:i w:val="0"/>
          <w:iCs w:val="0"/>
          <w:color w:val="231E20"/>
        </w:rPr>
        <w:t xml:space="preserve">Vypůjčitel </w:t>
      </w:r>
      <w:r>
        <w:rPr>
          <w:b/>
          <w:bCs/>
          <w:i w:val="0"/>
          <w:iCs w:val="0"/>
          <w:color w:val="231E20"/>
        </w:rPr>
        <w:t xml:space="preserve">není oprávněn přenechat předmět výpůjčky </w:t>
      </w:r>
      <w:r>
        <w:rPr>
          <w:i w:val="0"/>
          <w:iCs w:val="0"/>
          <w:color w:val="231E20"/>
        </w:rPr>
        <w:t xml:space="preserve">do užívání bezplatně nebo za úhradu jiné právnické či fyzické osobě, ledaže se jedná o přenechání do užívání zhotoviteli (generálnímu zhotoviteli) Stavby či jeho </w:t>
      </w:r>
      <w:proofErr w:type="spellStart"/>
      <w:r>
        <w:rPr>
          <w:i w:val="0"/>
          <w:iCs w:val="0"/>
          <w:color w:val="231E20"/>
        </w:rPr>
        <w:t>subzhotovitelům</w:t>
      </w:r>
      <w:proofErr w:type="spellEnd"/>
      <w:r>
        <w:rPr>
          <w:i w:val="0"/>
          <w:iCs w:val="0"/>
          <w:color w:val="231E20"/>
        </w:rPr>
        <w:t xml:space="preserve"> za účelem realizace Stavby a/nebo pokud půjčitel s takovýmto užíváním vysloví souhlas.</w:t>
      </w:r>
    </w:p>
    <w:p w14:paraId="2AB676CA" w14:textId="77777777" w:rsidR="00EC1C40" w:rsidRDefault="00000000">
      <w:pPr>
        <w:pStyle w:val="Zkladntext110"/>
        <w:framePr w:w="9130" w:h="13838" w:hRule="exact" w:wrap="none" w:vAnchor="page" w:hAnchor="page" w:x="1516" w:y="1704"/>
        <w:numPr>
          <w:ilvl w:val="1"/>
          <w:numId w:val="115"/>
        </w:numPr>
        <w:tabs>
          <w:tab w:val="left" w:pos="562"/>
        </w:tabs>
        <w:spacing w:after="100" w:line="276" w:lineRule="auto"/>
        <w:jc w:val="both"/>
      </w:pPr>
      <w:r>
        <w:rPr>
          <w:i w:val="0"/>
          <w:iCs w:val="0"/>
          <w:color w:val="231E20"/>
        </w:rPr>
        <w:t>Vypůjčitel se dále zavazuje:</w:t>
      </w:r>
    </w:p>
    <w:p w14:paraId="34F7F73B" w14:textId="77777777" w:rsidR="00EC1C40" w:rsidRDefault="00000000">
      <w:pPr>
        <w:pStyle w:val="Zkladntext110"/>
        <w:framePr w:w="9130" w:h="13838" w:hRule="exact" w:wrap="none" w:vAnchor="page" w:hAnchor="page" w:x="1516" w:y="1704"/>
        <w:numPr>
          <w:ilvl w:val="2"/>
          <w:numId w:val="115"/>
        </w:numPr>
        <w:tabs>
          <w:tab w:val="left" w:pos="1300"/>
        </w:tabs>
        <w:spacing w:after="100" w:line="276" w:lineRule="auto"/>
        <w:ind w:left="1300" w:hanging="720"/>
        <w:jc w:val="both"/>
      </w:pPr>
      <w:r>
        <w:rPr>
          <w:i w:val="0"/>
          <w:iCs w:val="0"/>
          <w:color w:val="231E20"/>
        </w:rPr>
        <w:t>nejpozději do 5 let ode dne podpisu této smlouvy zahájit na příslušném stavebním úřadě řízení o povolení Stavby (řízení o povolení záměru),</w:t>
      </w:r>
    </w:p>
    <w:p w14:paraId="27D44FBA" w14:textId="77777777" w:rsidR="00EC1C40" w:rsidRDefault="00000000">
      <w:pPr>
        <w:pStyle w:val="Zkladntext110"/>
        <w:framePr w:w="9130" w:h="13838" w:hRule="exact" w:wrap="none" w:vAnchor="page" w:hAnchor="page" w:x="1516" w:y="1704"/>
        <w:numPr>
          <w:ilvl w:val="2"/>
          <w:numId w:val="115"/>
        </w:numPr>
        <w:tabs>
          <w:tab w:val="left" w:pos="1300"/>
        </w:tabs>
        <w:spacing w:after="100" w:line="276" w:lineRule="auto"/>
        <w:ind w:left="1300" w:hanging="720"/>
        <w:jc w:val="both"/>
      </w:pPr>
      <w:r>
        <w:rPr>
          <w:i w:val="0"/>
          <w:iCs w:val="0"/>
          <w:color w:val="231E20"/>
        </w:rPr>
        <w:t>doložit půjčiteli veškerá důležitá rozhodnutí příslušného stavebního úřadu týkající se předmětné Stavby vydání povolení záměru, zahájení řízení), a to bez zbytečného odkladu, nejpozději však do 2 měsíců po nabytí právní moci daného rozhodnutí,</w:t>
      </w:r>
    </w:p>
    <w:p w14:paraId="17035C61" w14:textId="77777777" w:rsidR="00EC1C40" w:rsidRDefault="00000000">
      <w:pPr>
        <w:pStyle w:val="Zkladntext110"/>
        <w:framePr w:w="9130" w:h="13838" w:hRule="exact" w:wrap="none" w:vAnchor="page" w:hAnchor="page" w:x="1516" w:y="1704"/>
        <w:numPr>
          <w:ilvl w:val="2"/>
          <w:numId w:val="115"/>
        </w:numPr>
        <w:tabs>
          <w:tab w:val="left" w:pos="1300"/>
        </w:tabs>
        <w:spacing w:after="100" w:line="276" w:lineRule="auto"/>
        <w:ind w:left="1300" w:hanging="720"/>
        <w:jc w:val="both"/>
      </w:pPr>
      <w:r>
        <w:rPr>
          <w:i w:val="0"/>
          <w:iCs w:val="0"/>
          <w:color w:val="231E20"/>
        </w:rPr>
        <w:t>udržovat předmět výpůjčky čistý, včetně odstraňování spadaného listí, sněhu a odpadků, tím není dotčena stavební činnosti po dobu realizace Stavby,</w:t>
      </w:r>
    </w:p>
    <w:p w14:paraId="76FBA57D" w14:textId="77777777" w:rsidR="00EC1C40" w:rsidRDefault="00000000">
      <w:pPr>
        <w:pStyle w:val="Zkladntext110"/>
        <w:framePr w:w="9130" w:h="13838" w:hRule="exact" w:wrap="none" w:vAnchor="page" w:hAnchor="page" w:x="1516" w:y="1704"/>
        <w:numPr>
          <w:ilvl w:val="2"/>
          <w:numId w:val="115"/>
        </w:numPr>
        <w:tabs>
          <w:tab w:val="left" w:pos="1300"/>
        </w:tabs>
        <w:spacing w:after="100" w:line="276" w:lineRule="auto"/>
        <w:ind w:left="1300" w:hanging="720"/>
        <w:jc w:val="both"/>
      </w:pPr>
      <w:r>
        <w:rPr>
          <w:i w:val="0"/>
          <w:iCs w:val="0"/>
          <w:color w:val="231E20"/>
        </w:rPr>
        <w:t xml:space="preserve">respektovat v rámci své stavební činnosti prováděné v souladu s touto smlouvou všechna omezení vyplývající z věcných práv váznoucích na předmětu výpůjčky, která jsou uvedena na LV č. 50001 pro </w:t>
      </w:r>
      <w:proofErr w:type="spellStart"/>
      <w:r>
        <w:rPr>
          <w:i w:val="0"/>
          <w:iCs w:val="0"/>
          <w:color w:val="231E20"/>
        </w:rPr>
        <w:t>k.ú</w:t>
      </w:r>
      <w:proofErr w:type="spellEnd"/>
      <w:r>
        <w:rPr>
          <w:i w:val="0"/>
          <w:iCs w:val="0"/>
          <w:color w:val="231E20"/>
        </w:rPr>
        <w:t>. Pardubice. Bez souhlasu oprávněných z věcných práv nemůže být do těchto práv zasaženo.</w:t>
      </w:r>
    </w:p>
    <w:p w14:paraId="2F08ABB7" w14:textId="77777777" w:rsidR="00EC1C40" w:rsidRDefault="00000000">
      <w:pPr>
        <w:pStyle w:val="Zkladntext110"/>
        <w:framePr w:w="9130" w:h="13838" w:hRule="exact" w:wrap="none" w:vAnchor="page" w:hAnchor="page" w:x="1516" w:y="1704"/>
        <w:numPr>
          <w:ilvl w:val="1"/>
          <w:numId w:val="115"/>
        </w:numPr>
        <w:tabs>
          <w:tab w:val="left" w:pos="562"/>
        </w:tabs>
        <w:spacing w:after="100" w:line="276" w:lineRule="auto"/>
        <w:ind w:left="580" w:hanging="580"/>
        <w:jc w:val="both"/>
      </w:pPr>
      <w:r>
        <w:rPr>
          <w:i w:val="0"/>
          <w:iCs w:val="0"/>
          <w:color w:val="231E20"/>
        </w:rPr>
        <w:t>Vypůjčitel je oprávněn užívat předmět výpůjčky pouze k účelu stanovenému v čl. II. této smlouvy, vycházejícího z jeho povahy a stavebního určení, aby nedocházelo k jeho poškození či nadměrnému opotřebení. Předmět výpůjčky nesmí být využíván k výrobě, manipulaci a skladování výbušnin, prudce hořlavých materiálů, jedů, drog; předmět výpůjčky nesmí být využíván k činnostem, které ohrožují či negativně působí na životní prostředí (prach, hluk či exhalace, apod.); tím není nijak dotčena stavební činnost za účelem realizace Stavby. Přičemž rozsah, intenzita a způsob provádění této stavební činnost nepřekročí obvyklou míru odpovídající charakteru a účelu realizace Stavby a budou prováděny v souladu s běžnými technickými a odbornými standardy.</w:t>
      </w:r>
    </w:p>
    <w:p w14:paraId="7AB05655" w14:textId="77777777" w:rsidR="00EC1C40" w:rsidRDefault="00000000">
      <w:pPr>
        <w:pStyle w:val="Zkladntext110"/>
        <w:framePr w:w="9130" w:h="13838" w:hRule="exact" w:wrap="none" w:vAnchor="page" w:hAnchor="page" w:x="1516" w:y="1704"/>
        <w:numPr>
          <w:ilvl w:val="1"/>
          <w:numId w:val="115"/>
        </w:numPr>
        <w:tabs>
          <w:tab w:val="left" w:pos="562"/>
        </w:tabs>
        <w:spacing w:after="0" w:line="276" w:lineRule="auto"/>
        <w:ind w:left="580" w:hanging="580"/>
        <w:jc w:val="both"/>
      </w:pPr>
      <w:r>
        <w:rPr>
          <w:i w:val="0"/>
          <w:iCs w:val="0"/>
          <w:color w:val="231E20"/>
        </w:rPr>
        <w:t xml:space="preserve">Vypůjčitel je povinen pod sankcí smluvní pokuty ve výši </w:t>
      </w:r>
      <w:r>
        <w:rPr>
          <w:b/>
          <w:bCs/>
          <w:i w:val="0"/>
          <w:iCs w:val="0"/>
          <w:color w:val="231E20"/>
        </w:rPr>
        <w:t xml:space="preserve">10.000,- Kč </w:t>
      </w:r>
      <w:r>
        <w:rPr>
          <w:i w:val="0"/>
          <w:iCs w:val="0"/>
          <w:color w:val="231E20"/>
        </w:rPr>
        <w:t>se zdržet všeho čímž by způsoboval nadměrné imise ve smyslu ustanovení § 1013 zákona č. 89/2012 Sb., občanský zákoník v platném znění, s výjimkou běžných imisí vzniklých v důsledku stavebních prací při realizaci Stavby a Parkovacího domu, a to pokud není dosaženo nápravy ani do 30 dnů od doručení výzvy k nápravě vypůjčiteli. Tím není dotčeno právo půjčitele na náhradu škody (nikoli však jiné újmy) ve výši převyšující smluvní pokutu.</w:t>
      </w:r>
    </w:p>
    <w:p w14:paraId="59ECE653" w14:textId="77777777" w:rsidR="00EC1C40" w:rsidRDefault="00000000">
      <w:pPr>
        <w:pStyle w:val="Zhlavnebozpat0"/>
        <w:framePr w:wrap="none" w:vAnchor="page" w:hAnchor="page" w:x="5457" w:y="15956"/>
      </w:pPr>
      <w:r>
        <w:rPr>
          <w:rFonts w:ascii="Arial" w:eastAsia="Arial" w:hAnsi="Arial" w:cs="Arial"/>
          <w:color w:val="231E20"/>
        </w:rPr>
        <w:t xml:space="preserve">Stránka </w:t>
      </w:r>
      <w:r>
        <w:rPr>
          <w:rFonts w:ascii="Arial" w:eastAsia="Arial" w:hAnsi="Arial" w:cs="Arial"/>
          <w:b/>
          <w:bCs/>
          <w:color w:val="231E20"/>
        </w:rPr>
        <w:t xml:space="preserve">3 </w:t>
      </w:r>
      <w:r>
        <w:rPr>
          <w:rFonts w:ascii="Arial" w:eastAsia="Arial" w:hAnsi="Arial" w:cs="Arial"/>
          <w:color w:val="231E20"/>
        </w:rPr>
        <w:t xml:space="preserve">z </w:t>
      </w:r>
      <w:r>
        <w:rPr>
          <w:rFonts w:ascii="Arial" w:eastAsia="Arial" w:hAnsi="Arial" w:cs="Arial"/>
          <w:b/>
          <w:bCs/>
          <w:color w:val="231E20"/>
        </w:rPr>
        <w:t>10</w:t>
      </w:r>
    </w:p>
    <w:p w14:paraId="704CEA45"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51C45D64" w14:textId="77777777" w:rsidR="00EC1C40" w:rsidRDefault="00EC1C40">
      <w:pPr>
        <w:spacing w:line="1" w:lineRule="exact"/>
      </w:pPr>
    </w:p>
    <w:p w14:paraId="753F96C6" w14:textId="77777777" w:rsidR="00EC1C40" w:rsidRDefault="00000000">
      <w:pPr>
        <w:pStyle w:val="Zhlavnebozpat0"/>
        <w:framePr w:wrap="none" w:vAnchor="page" w:hAnchor="page" w:x="9623" w:y="999"/>
      </w:pPr>
      <w:r>
        <w:rPr>
          <w:rFonts w:ascii="Arial" w:eastAsia="Arial" w:hAnsi="Arial" w:cs="Arial"/>
          <w:color w:val="231E20"/>
        </w:rPr>
        <w:t>V_0.../MO3</w:t>
      </w:r>
    </w:p>
    <w:p w14:paraId="238814C8" w14:textId="77777777" w:rsidR="00EC1C40" w:rsidRDefault="00000000">
      <w:pPr>
        <w:pStyle w:val="Zkladntext110"/>
        <w:framePr w:w="9130" w:h="13738" w:hRule="exact" w:wrap="none" w:vAnchor="page" w:hAnchor="page" w:x="1516" w:y="1978"/>
        <w:numPr>
          <w:ilvl w:val="1"/>
          <w:numId w:val="115"/>
        </w:numPr>
        <w:tabs>
          <w:tab w:val="left" w:pos="562"/>
        </w:tabs>
        <w:spacing w:line="276" w:lineRule="auto"/>
        <w:ind w:left="580" w:hanging="580"/>
        <w:jc w:val="both"/>
      </w:pPr>
      <w:r>
        <w:rPr>
          <w:b/>
          <w:bCs/>
          <w:i w:val="0"/>
          <w:iCs w:val="0"/>
          <w:color w:val="231E20"/>
        </w:rPr>
        <w:t>Jakékoli jiné změny na předmětu výpůjčky</w:t>
      </w:r>
      <w:r>
        <w:rPr>
          <w:i w:val="0"/>
          <w:iCs w:val="0"/>
          <w:color w:val="231E20"/>
        </w:rPr>
        <w:t xml:space="preserve">, </w:t>
      </w:r>
      <w:r>
        <w:rPr>
          <w:b/>
          <w:bCs/>
          <w:i w:val="0"/>
          <w:iCs w:val="0"/>
          <w:color w:val="231E20"/>
        </w:rPr>
        <w:t xml:space="preserve">další stavby či stavební či terénní úpravy, než realizace Stavby, </w:t>
      </w:r>
      <w:r>
        <w:rPr>
          <w:i w:val="0"/>
          <w:iCs w:val="0"/>
          <w:color w:val="231E20"/>
        </w:rPr>
        <w:t>lze provádět pouze na základě předchozího písemného souhlasu půjčitele, jehož součástí bude i ujednání smluvních stran o tom, zda mají být úpravy k datu ukončení výpůjčky odstraněny, či ujednání o vzájemném vyrovnání z důvodu zhodnocení předmětu výpůjčky. Po udělení takového písemného souhlasu pak vypůjčitel úpravy provádí na svůj náklad. Bez písemného předchozího souhlasu není vypůjčitel oprávněn změny na předmětu výpůjčky (vyjma realizace Stavby) provést a nemá nárok na vyrovnání případného zhodnocení předmětu výpůjčky a ani na náhradu vynaložených nákladů a těchto nároků se výslovně vzdává.</w:t>
      </w:r>
    </w:p>
    <w:p w14:paraId="3691F108" w14:textId="77777777" w:rsidR="00EC1C40" w:rsidRDefault="00000000">
      <w:pPr>
        <w:pStyle w:val="Zkladntext110"/>
        <w:framePr w:w="9130" w:h="13738" w:hRule="exact" w:wrap="none" w:vAnchor="page" w:hAnchor="page" w:x="1516" w:y="1978"/>
        <w:numPr>
          <w:ilvl w:val="1"/>
          <w:numId w:val="115"/>
        </w:numPr>
        <w:tabs>
          <w:tab w:val="left" w:pos="591"/>
        </w:tabs>
        <w:spacing w:line="276" w:lineRule="auto"/>
        <w:ind w:left="580" w:hanging="580"/>
        <w:jc w:val="both"/>
      </w:pPr>
      <w:r>
        <w:rPr>
          <w:i w:val="0"/>
          <w:iCs w:val="0"/>
          <w:color w:val="231E20"/>
        </w:rPr>
        <w:t>Za organizaci a zajištění požární ochrany, bezpečnosti a ochrany zdraví při práci, ochrany životního prostředí a hygieny v souladu s platnými předpisy odpovídá na předmětu výpůjčky vypůjčitel. Půjčitel je oprávněn dodržování právních předpisů kontrolovat.</w:t>
      </w:r>
    </w:p>
    <w:p w14:paraId="17D89879" w14:textId="77777777" w:rsidR="00EC1C40" w:rsidRDefault="00000000">
      <w:pPr>
        <w:pStyle w:val="Zkladntext110"/>
        <w:framePr w:w="9130" w:h="13738" w:hRule="exact" w:wrap="none" w:vAnchor="page" w:hAnchor="page" w:x="1516" w:y="1978"/>
        <w:numPr>
          <w:ilvl w:val="1"/>
          <w:numId w:val="115"/>
        </w:numPr>
        <w:tabs>
          <w:tab w:val="left" w:pos="591"/>
        </w:tabs>
        <w:spacing w:line="276" w:lineRule="auto"/>
        <w:ind w:left="580" w:hanging="580"/>
        <w:jc w:val="both"/>
      </w:pPr>
      <w:r>
        <w:rPr>
          <w:i w:val="0"/>
          <w:iCs w:val="0"/>
          <w:color w:val="231E20"/>
        </w:rPr>
        <w:t xml:space="preserve">Vypůjčitel nemá nárok na úhradu vynaložených nákladů spojených s užíváním a údržbou předmětu výpůjčky, výstavbou provedenou v souladu s touto smlouvou ani vynaložených nákladů souvisejících s vydáním příslušných rozhodnutí pro Stavbu, a to ani v případě, že nebudou tato rozhodnutí příslušnými orgány vydána. Obvyklé náklady spojené s užíváním předmětu výpůjčky nese vypůjčitel ze svého. Vypůjčitel výslovně prohlašuje, že nebude po půjčiteli požadovat náhradu za zhodnocení předmětných pozemků dle </w:t>
      </w:r>
      <w:proofErr w:type="spellStart"/>
      <w:r>
        <w:rPr>
          <w:i w:val="0"/>
          <w:iCs w:val="0"/>
          <w:color w:val="231E20"/>
        </w:rPr>
        <w:t>ust</w:t>
      </w:r>
      <w:proofErr w:type="spellEnd"/>
      <w:r>
        <w:rPr>
          <w:i w:val="0"/>
          <w:iCs w:val="0"/>
          <w:color w:val="231E20"/>
        </w:rPr>
        <w:t>. § 2220 zákona č. 89/2012 Sb., občanského zákoníku, ani jinou protihodnotu toho, oč se zvýšila hodnota předmětných pozemků v souvislosti s jeho užíváním předmětu výpůjčky, ani jinou obdobnou náhradu. Vypůjčitel se podpisem této smlouvy takových nároků výslovně vzdává. Tím nejsou dotčeny ustanovení této smlouvy týkající se nabytí vlastnického práva půjčitelem ke Stavbě, a to za sjednanou úplatu 1.000,- Kč + DPH ve výši stanovené právními předpisy.</w:t>
      </w:r>
    </w:p>
    <w:p w14:paraId="6B5E2841" w14:textId="77777777" w:rsidR="00EC1C40" w:rsidRDefault="00000000">
      <w:pPr>
        <w:pStyle w:val="Zkladntext110"/>
        <w:framePr w:w="9130" w:h="13738" w:hRule="exact" w:wrap="none" w:vAnchor="page" w:hAnchor="page" w:x="1516" w:y="1978"/>
        <w:numPr>
          <w:ilvl w:val="1"/>
          <w:numId w:val="115"/>
        </w:numPr>
        <w:tabs>
          <w:tab w:val="left" w:pos="591"/>
        </w:tabs>
        <w:spacing w:line="276" w:lineRule="auto"/>
        <w:ind w:left="580" w:hanging="580"/>
        <w:jc w:val="both"/>
      </w:pPr>
      <w:r>
        <w:rPr>
          <w:i w:val="0"/>
          <w:iCs w:val="0"/>
          <w:color w:val="231E20"/>
        </w:rPr>
        <w:t>Za škody způsobené na předmětu výpůjčky v době trvání výpůjčky dle této smlouvy zodpovídá vypůjčitel.</w:t>
      </w:r>
    </w:p>
    <w:p w14:paraId="163B3EB3" w14:textId="77777777" w:rsidR="00EC1C40" w:rsidRDefault="00000000">
      <w:pPr>
        <w:pStyle w:val="Zkladntext110"/>
        <w:framePr w:w="9130" w:h="13738" w:hRule="exact" w:wrap="none" w:vAnchor="page" w:hAnchor="page" w:x="1516" w:y="1978"/>
        <w:numPr>
          <w:ilvl w:val="1"/>
          <w:numId w:val="115"/>
        </w:numPr>
        <w:tabs>
          <w:tab w:val="left" w:pos="591"/>
        </w:tabs>
        <w:spacing w:line="276" w:lineRule="auto"/>
        <w:ind w:left="580" w:hanging="580"/>
        <w:jc w:val="both"/>
      </w:pPr>
      <w:r>
        <w:rPr>
          <w:i w:val="0"/>
          <w:iCs w:val="0"/>
          <w:color w:val="231E20"/>
        </w:rPr>
        <w:t>Půjčitel souhlasí s kácením dřevin na předmětu výpůjčky. Tato smlouva dále nahrazuje souhlas půjčitele, coby vlastníka předmětu výpůjčky, s kácením dřevin rostoucích na předmětu výpůjčky, pokud se jedná o dřeviny, které nepodléhají povolení ke kácení dřevin. Případné kácení dřevin včetně odstranění dřevní hmoty proběhne bez finanční spoluúčasti půjčitele. Nakládání s dřevní hmotou, po provedeném kácení dřevin, bude provedeno po dohodě s technikem odboru majetku a investic, oddělení investic a technické správy.</w:t>
      </w:r>
    </w:p>
    <w:p w14:paraId="79E120E1" w14:textId="77777777" w:rsidR="00EC1C40" w:rsidRDefault="00000000">
      <w:pPr>
        <w:pStyle w:val="Zkladntext110"/>
        <w:framePr w:w="9130" w:h="13738" w:hRule="exact" w:wrap="none" w:vAnchor="page" w:hAnchor="page" w:x="1516" w:y="1978"/>
        <w:numPr>
          <w:ilvl w:val="1"/>
          <w:numId w:val="115"/>
        </w:numPr>
        <w:tabs>
          <w:tab w:val="left" w:pos="591"/>
        </w:tabs>
        <w:spacing w:line="276" w:lineRule="auto"/>
        <w:ind w:left="580" w:hanging="580"/>
        <w:jc w:val="both"/>
      </w:pPr>
      <w:r>
        <w:rPr>
          <w:i w:val="0"/>
          <w:iCs w:val="0"/>
          <w:color w:val="231E20"/>
        </w:rPr>
        <w:t>Vypůjčitel bere na vědomí, že smlouva o výpůjčce je pouze dočasným titulem k užívání předmětu výpůjčky, který je ze své povahy vypověditelný výhradně z důvodů stanovených touto smlouvou a nezakládá nárok vypůjčitele na odkoupení předmětu výpůjčky.</w:t>
      </w:r>
    </w:p>
    <w:p w14:paraId="4CB75F5C" w14:textId="77777777" w:rsidR="00EC1C40" w:rsidRDefault="00000000">
      <w:pPr>
        <w:pStyle w:val="Zkladntext110"/>
        <w:framePr w:w="9130" w:h="13738" w:hRule="exact" w:wrap="none" w:vAnchor="page" w:hAnchor="page" w:x="1516" w:y="1978"/>
        <w:numPr>
          <w:ilvl w:val="1"/>
          <w:numId w:val="115"/>
        </w:numPr>
        <w:tabs>
          <w:tab w:val="left" w:pos="591"/>
        </w:tabs>
        <w:spacing w:line="276" w:lineRule="auto"/>
        <w:ind w:left="580" w:hanging="580"/>
        <w:jc w:val="both"/>
      </w:pPr>
      <w:r>
        <w:rPr>
          <w:i w:val="0"/>
          <w:iCs w:val="0"/>
          <w:color w:val="231E20"/>
        </w:rPr>
        <w:t>Půjčitel se zavazuje, že po dobu trvání této Smlouvy bez předchozího souhlasu vypůjčitele neumožní užívat předmět výpůjčky žádnému jinému subjektu (osobě) než vypůjčiteli a osobám, kterým vypůjčitel udělil souhlas, ani předmět výpůjčky nezatíží žádným právem či jiným právním zatížením, ani předmět výpůjčky nepřevede na třetí osobu; tím není dotčen čl. 4.16. a 4.17. smlouvy.</w:t>
      </w:r>
    </w:p>
    <w:p w14:paraId="31D21D92" w14:textId="77777777" w:rsidR="00EC1C40" w:rsidRDefault="00000000">
      <w:pPr>
        <w:pStyle w:val="Zkladntext110"/>
        <w:framePr w:w="9130" w:h="13738" w:hRule="exact" w:wrap="none" w:vAnchor="page" w:hAnchor="page" w:x="1516" w:y="1978"/>
        <w:numPr>
          <w:ilvl w:val="1"/>
          <w:numId w:val="115"/>
        </w:numPr>
        <w:tabs>
          <w:tab w:val="left" w:pos="591"/>
        </w:tabs>
        <w:spacing w:after="0" w:line="276" w:lineRule="auto"/>
        <w:ind w:left="580" w:hanging="580"/>
        <w:jc w:val="both"/>
      </w:pPr>
      <w:r>
        <w:rPr>
          <w:i w:val="0"/>
          <w:iCs w:val="0"/>
          <w:color w:val="231E20"/>
        </w:rPr>
        <w:t xml:space="preserve">Vypůjčitel bere na vědomí, že pozemky označené jako </w:t>
      </w:r>
      <w:proofErr w:type="spellStart"/>
      <w:r>
        <w:rPr>
          <w:i w:val="0"/>
          <w:iCs w:val="0"/>
          <w:color w:val="231E20"/>
        </w:rPr>
        <w:t>p.p.č</w:t>
      </w:r>
      <w:proofErr w:type="spellEnd"/>
      <w:r>
        <w:rPr>
          <w:i w:val="0"/>
          <w:iCs w:val="0"/>
          <w:color w:val="231E20"/>
        </w:rPr>
        <w:t xml:space="preserve">. 5001, </w:t>
      </w:r>
      <w:proofErr w:type="spellStart"/>
      <w:r>
        <w:rPr>
          <w:i w:val="0"/>
          <w:iCs w:val="0"/>
          <w:color w:val="231E20"/>
        </w:rPr>
        <w:t>p.p.č</w:t>
      </w:r>
      <w:proofErr w:type="spellEnd"/>
      <w:r>
        <w:rPr>
          <w:i w:val="0"/>
          <w:iCs w:val="0"/>
          <w:color w:val="231E20"/>
        </w:rPr>
        <w:t xml:space="preserve">. 5002 a </w:t>
      </w:r>
      <w:proofErr w:type="spellStart"/>
      <w:r>
        <w:rPr>
          <w:i w:val="0"/>
          <w:iCs w:val="0"/>
          <w:color w:val="231E20"/>
        </w:rPr>
        <w:t>p.p.č</w:t>
      </w:r>
      <w:proofErr w:type="spellEnd"/>
      <w:r>
        <w:rPr>
          <w:i w:val="0"/>
          <w:iCs w:val="0"/>
          <w:color w:val="231E20"/>
        </w:rPr>
        <w:t xml:space="preserve">. 5003 a část pozemku označeného jako </w:t>
      </w:r>
      <w:proofErr w:type="spellStart"/>
      <w:r>
        <w:rPr>
          <w:i w:val="0"/>
          <w:iCs w:val="0"/>
          <w:color w:val="231E20"/>
        </w:rPr>
        <w:t>p.p.č</w:t>
      </w:r>
      <w:proofErr w:type="spellEnd"/>
      <w:r>
        <w:rPr>
          <w:i w:val="0"/>
          <w:iCs w:val="0"/>
          <w:color w:val="231E20"/>
        </w:rPr>
        <w:t xml:space="preserve">. 998/12, vše v </w:t>
      </w:r>
      <w:proofErr w:type="spellStart"/>
      <w:r>
        <w:rPr>
          <w:i w:val="0"/>
          <w:iCs w:val="0"/>
          <w:color w:val="231E20"/>
        </w:rPr>
        <w:t>k.ú</w:t>
      </w:r>
      <w:proofErr w:type="spellEnd"/>
      <w:r>
        <w:rPr>
          <w:i w:val="0"/>
          <w:iCs w:val="0"/>
          <w:color w:val="231E20"/>
        </w:rPr>
        <w:t>. Pardubice, jsou dotčeny smlouvou o výpůjčce ze dne 10.04.2026 uzavřenou se společností RETROMĚSTEČKO s.r.o., IČO 047 54 425, se sídlem Erno Košťála 1002, Studánka, 530 12 Pardubice (dále jen „</w:t>
      </w:r>
      <w:r>
        <w:rPr>
          <w:b/>
          <w:bCs/>
          <w:i w:val="0"/>
          <w:iCs w:val="0"/>
          <w:color w:val="231E20"/>
        </w:rPr>
        <w:t>Smlouva o výpůjčce RETROMĚSTEČKO</w:t>
      </w:r>
      <w:r>
        <w:rPr>
          <w:i w:val="0"/>
          <w:iCs w:val="0"/>
          <w:color w:val="231E20"/>
        </w:rPr>
        <w:t>“), a zároveň souhlasem vlastníka pozemku s pořádáním 13. ročníku tradiční akce „RETROMĚSTEČKO (nejen) ČSLA, setkání HASIČŮ a bezpečnostních složek“ uděleného půjčitelem společnosti RETROMĚSTEČKO s.r.o., IČO 047 54 425 pro konání uvedené akce v termínu 12. a 13.09. 2026 a pro s tím související</w:t>
      </w:r>
    </w:p>
    <w:p w14:paraId="64C53903" w14:textId="77777777" w:rsidR="00EC1C40" w:rsidRDefault="00000000">
      <w:pPr>
        <w:pStyle w:val="Zhlavnebozpat0"/>
        <w:framePr w:wrap="none" w:vAnchor="page" w:hAnchor="page" w:x="5457" w:y="15956"/>
      </w:pPr>
      <w:r>
        <w:rPr>
          <w:rFonts w:ascii="Arial" w:eastAsia="Arial" w:hAnsi="Arial" w:cs="Arial"/>
          <w:color w:val="231E20"/>
        </w:rPr>
        <w:t xml:space="preserve">Stránka </w:t>
      </w:r>
      <w:r>
        <w:rPr>
          <w:rFonts w:ascii="Arial" w:eastAsia="Arial" w:hAnsi="Arial" w:cs="Arial"/>
          <w:b/>
          <w:bCs/>
          <w:color w:val="231E20"/>
        </w:rPr>
        <w:t xml:space="preserve">4 </w:t>
      </w:r>
      <w:r>
        <w:rPr>
          <w:rFonts w:ascii="Arial" w:eastAsia="Arial" w:hAnsi="Arial" w:cs="Arial"/>
          <w:color w:val="231E20"/>
        </w:rPr>
        <w:t xml:space="preserve">z </w:t>
      </w:r>
      <w:r>
        <w:rPr>
          <w:rFonts w:ascii="Arial" w:eastAsia="Arial" w:hAnsi="Arial" w:cs="Arial"/>
          <w:b/>
          <w:bCs/>
          <w:color w:val="231E20"/>
        </w:rPr>
        <w:t>10</w:t>
      </w:r>
    </w:p>
    <w:p w14:paraId="7D291329"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2BD0FB64" w14:textId="77777777" w:rsidR="00EC1C40" w:rsidRDefault="00EC1C40">
      <w:pPr>
        <w:spacing w:line="1" w:lineRule="exact"/>
      </w:pPr>
    </w:p>
    <w:p w14:paraId="0B48E999" w14:textId="77777777" w:rsidR="00EC1C40" w:rsidRDefault="00000000">
      <w:pPr>
        <w:pStyle w:val="Zhlavnebozpat0"/>
        <w:framePr w:wrap="none" w:vAnchor="page" w:hAnchor="page" w:x="9623" w:y="999"/>
      </w:pPr>
      <w:r>
        <w:rPr>
          <w:rFonts w:ascii="Arial" w:eastAsia="Arial" w:hAnsi="Arial" w:cs="Arial"/>
          <w:color w:val="231E20"/>
        </w:rPr>
        <w:t>V_0.../MO3</w:t>
      </w:r>
    </w:p>
    <w:p w14:paraId="073643E3" w14:textId="77777777" w:rsidR="00EC1C40" w:rsidRDefault="00000000">
      <w:pPr>
        <w:pStyle w:val="Zkladntext110"/>
        <w:framePr w:w="9130" w:h="13747" w:hRule="exact" w:wrap="none" w:vAnchor="page" w:hAnchor="page" w:x="1516" w:y="1704"/>
        <w:spacing w:line="276" w:lineRule="auto"/>
        <w:ind w:left="580"/>
        <w:jc w:val="both"/>
      </w:pPr>
      <w:r>
        <w:rPr>
          <w:i w:val="0"/>
          <w:iCs w:val="0"/>
          <w:color w:val="231E20"/>
        </w:rPr>
        <w:t>přípravné a dokončovací práce. Půjčitel se zavazuje, že Smlouvu o výpůjčce RETROMĚSTEČKO ukončí ve vztahu k předmětu výpůjčky výpovědí či jiným způsobem tak, aby Smlouva o výpůjčce RETROMĚSTEČKO a na základě ní vzniklá výpůjčka zanikla do 31.12.2026 (včetně).</w:t>
      </w:r>
    </w:p>
    <w:p w14:paraId="47D722DF" w14:textId="77777777" w:rsidR="00EC1C40" w:rsidRDefault="00000000">
      <w:pPr>
        <w:pStyle w:val="Zkladntext110"/>
        <w:framePr w:w="9130" w:h="13747" w:hRule="exact" w:wrap="none" w:vAnchor="page" w:hAnchor="page" w:x="1516" w:y="1704"/>
        <w:numPr>
          <w:ilvl w:val="1"/>
          <w:numId w:val="115"/>
        </w:numPr>
        <w:tabs>
          <w:tab w:val="left" w:pos="596"/>
        </w:tabs>
        <w:spacing w:line="276" w:lineRule="auto"/>
        <w:ind w:left="580" w:hanging="580"/>
        <w:jc w:val="both"/>
      </w:pPr>
      <w:r>
        <w:rPr>
          <w:i w:val="0"/>
          <w:iCs w:val="0"/>
          <w:color w:val="231E20"/>
        </w:rPr>
        <w:t>Vypůjčitel se v souvislosti s ujednáním v čl. 4.16. zavazuje, že umožní konání akce 13. ročníku RETROMĚSTEČKO (nejen) ČSLA, setkání HASIČŮ a bezpečnostních složek“ v září roku 2026 na dotčených pozemcích.</w:t>
      </w:r>
    </w:p>
    <w:p w14:paraId="2361A2D3" w14:textId="77777777" w:rsidR="00EC1C40" w:rsidRDefault="00000000">
      <w:pPr>
        <w:pStyle w:val="Zkladntext110"/>
        <w:framePr w:w="9130" w:h="13747" w:hRule="exact" w:wrap="none" w:vAnchor="page" w:hAnchor="page" w:x="1516" w:y="1704"/>
        <w:numPr>
          <w:ilvl w:val="1"/>
          <w:numId w:val="115"/>
        </w:numPr>
        <w:tabs>
          <w:tab w:val="left" w:pos="596"/>
        </w:tabs>
        <w:spacing w:line="276" w:lineRule="auto"/>
        <w:ind w:left="580" w:hanging="580"/>
        <w:jc w:val="both"/>
      </w:pPr>
      <w:r>
        <w:rPr>
          <w:i w:val="0"/>
          <w:iCs w:val="0"/>
          <w:color w:val="231E20"/>
        </w:rPr>
        <w:t xml:space="preserve">Vypůjčitel se zavazuje, že doloží souhlasné stanovisko státního podniku Ředitelství silnic a dálnic </w:t>
      </w:r>
      <w:proofErr w:type="spellStart"/>
      <w:r>
        <w:rPr>
          <w:i w:val="0"/>
          <w:iCs w:val="0"/>
          <w:color w:val="231E20"/>
        </w:rPr>
        <w:t>s.p</w:t>
      </w:r>
      <w:proofErr w:type="spellEnd"/>
      <w:r>
        <w:rPr>
          <w:i w:val="0"/>
          <w:iCs w:val="0"/>
          <w:color w:val="231E20"/>
        </w:rPr>
        <w:t>., IČO 659 93 390, se sídlem Čerčanská 2023/12, Krč, 140 00 Praha 4, se záměrem dopravního napojení Dopravního záměru na stávající silnici I/36.</w:t>
      </w:r>
    </w:p>
    <w:p w14:paraId="73B03C03" w14:textId="77777777" w:rsidR="00EC1C40" w:rsidRDefault="00000000">
      <w:pPr>
        <w:pStyle w:val="Zkladntext110"/>
        <w:framePr w:w="9130" w:h="13747" w:hRule="exact" w:wrap="none" w:vAnchor="page" w:hAnchor="page" w:x="1516" w:y="1704"/>
        <w:numPr>
          <w:ilvl w:val="1"/>
          <w:numId w:val="115"/>
        </w:numPr>
        <w:tabs>
          <w:tab w:val="left" w:pos="596"/>
        </w:tabs>
        <w:spacing w:line="276" w:lineRule="auto"/>
        <w:ind w:left="580" w:hanging="580"/>
        <w:jc w:val="both"/>
      </w:pPr>
      <w:r>
        <w:rPr>
          <w:i w:val="0"/>
          <w:iCs w:val="0"/>
          <w:color w:val="231E20"/>
        </w:rPr>
        <w:t>Smluvní strany berou na vědomí, že ke dni uzavření této smlouvy není účel stanovený ve čl. II. této smlouvy v souladu s platnou územně plánovací dokumentací, zejména s územním plánem, a že pro jeho realizaci může být nezbytné pořízení územní studie a změna územního plánu. Tím nejsou dotčeny závazky půjčitele z čl. 10.10. Plánovací smlouvy (např. ke Změně ÚP Hůrka atd.).</w:t>
      </w:r>
    </w:p>
    <w:p w14:paraId="4AFB243E" w14:textId="77777777" w:rsidR="00EC1C40" w:rsidRDefault="00000000">
      <w:pPr>
        <w:pStyle w:val="Zkladntext110"/>
        <w:framePr w:w="9130" w:h="13747" w:hRule="exact" w:wrap="none" w:vAnchor="page" w:hAnchor="page" w:x="1516" w:y="1704"/>
        <w:numPr>
          <w:ilvl w:val="1"/>
          <w:numId w:val="115"/>
        </w:numPr>
        <w:tabs>
          <w:tab w:val="left" w:pos="596"/>
        </w:tabs>
        <w:spacing w:line="276" w:lineRule="auto"/>
        <w:ind w:left="580" w:hanging="580"/>
        <w:jc w:val="both"/>
      </w:pPr>
      <w:r>
        <w:rPr>
          <w:i w:val="0"/>
          <w:iCs w:val="0"/>
          <w:color w:val="231E20"/>
        </w:rPr>
        <w:t xml:space="preserve">Smluvní strany berou na vědomí, že k realizaci záměru vypůjčitele spočívající ve výstavbě Stavby bude zapotřebí změnit územní studii a územní plán, tj. realizovat Změnu ÚP Hůrka a Změnu ÚS Hůrka </w:t>
      </w:r>
      <w:r>
        <w:rPr>
          <w:color w:val="231E20"/>
        </w:rPr>
        <w:t>(jak jsou tyto pojmy definovány v Plánovací smlouvě)</w:t>
      </w:r>
      <w:r>
        <w:rPr>
          <w:i w:val="0"/>
          <w:iCs w:val="0"/>
          <w:color w:val="231E20"/>
        </w:rPr>
        <w:t>; podrobnosti a konkrétní závazky smluvních stran jsou obsaženy v Plánovací smlouvě. Smluvní strany berou na vědomí, že uzavřením této smlouvy nevzniká právní nárok na pořízení, vydání ani změnu územně plánovací dokumentace a že rozhodnutí v těchto záležitostech náleží příslušným orgánům veřejné správy v rámci zákonem stanoveného postupu; tím nejsou dotčeny závazky půjčitele sjednané v Plánovací smlouvě, ani následky, které tato smlouva nebo Plánovací smlouva stanoví pro případ, kdy k příslušné Změně ÚP Hůrka či Změně ÚS Hůrka nedojde. V souvislosti s výše uvedeným není vypůjčitel oprávněn užívat předmět výpůjčky k účelu uvedeným v čl. II. této smlouvy před tím, než bude dosaženo Změny ÚP Hůrka (jak je tento pojem definován v Plánovací smlouvě).</w:t>
      </w:r>
    </w:p>
    <w:p w14:paraId="1FAA40C2" w14:textId="77777777" w:rsidR="00EC1C40" w:rsidRDefault="00EC1C40">
      <w:pPr>
        <w:pStyle w:val="Zkladntext110"/>
        <w:framePr w:w="9130" w:h="13747" w:hRule="exact" w:wrap="none" w:vAnchor="page" w:hAnchor="page" w:x="1516" w:y="1704"/>
        <w:numPr>
          <w:ilvl w:val="0"/>
          <w:numId w:val="110"/>
        </w:numPr>
        <w:spacing w:after="0" w:line="276" w:lineRule="auto"/>
        <w:jc w:val="center"/>
      </w:pPr>
    </w:p>
    <w:p w14:paraId="61830AF9" w14:textId="77777777" w:rsidR="00EC1C40" w:rsidRDefault="00000000">
      <w:pPr>
        <w:pStyle w:val="Nadpis60"/>
        <w:framePr w:w="9130" w:h="13747" w:hRule="exact" w:wrap="none" w:vAnchor="page" w:hAnchor="page" w:x="1516" w:y="1704"/>
        <w:spacing w:after="120" w:line="276" w:lineRule="auto"/>
        <w:jc w:val="center"/>
        <w:rPr>
          <w:sz w:val="20"/>
          <w:szCs w:val="20"/>
        </w:rPr>
      </w:pPr>
      <w:bookmarkStart w:id="163" w:name="bookmark328"/>
      <w:r>
        <w:rPr>
          <w:rFonts w:ascii="Arial" w:eastAsia="Arial" w:hAnsi="Arial" w:cs="Arial"/>
          <w:sz w:val="20"/>
          <w:szCs w:val="20"/>
        </w:rPr>
        <w:t>Ukončení smlouvy</w:t>
      </w:r>
      <w:bookmarkEnd w:id="163"/>
    </w:p>
    <w:p w14:paraId="7B48CAA5" w14:textId="77777777" w:rsidR="00EC1C40" w:rsidRDefault="00000000">
      <w:pPr>
        <w:pStyle w:val="Zkladntext110"/>
        <w:framePr w:w="9130" w:h="13747" w:hRule="exact" w:wrap="none" w:vAnchor="page" w:hAnchor="page" w:x="1516" w:y="1704"/>
        <w:numPr>
          <w:ilvl w:val="1"/>
          <w:numId w:val="116"/>
        </w:numPr>
        <w:tabs>
          <w:tab w:val="left" w:pos="563"/>
        </w:tabs>
        <w:spacing w:line="276" w:lineRule="auto"/>
        <w:ind w:left="580" w:hanging="580"/>
        <w:jc w:val="both"/>
      </w:pPr>
      <w:r>
        <w:rPr>
          <w:i w:val="0"/>
          <w:iCs w:val="0"/>
          <w:color w:val="231E20"/>
        </w:rPr>
        <w:t>Smluvní strany shodně prohlašují, že k uzavření této smlouvy přistupují s úmyslem vytvořit co nejstabilnější uspořádání svých vzájemných vztahů, přičemž je pro smluvní strany důležité, aby tato Smlouva nezanikla žádným jiným způsobem, než jaký výslovně stanoví tato smlouva, tj. (i) výslovně si přejí jakákoli porušení jednotlivých práv a povinností jednotlivých smluvních stran z této smlouvy vyplývajících řešit právě a pouze způsoby, které tato smlouva výslovně uvádí, a (</w:t>
      </w:r>
      <w:proofErr w:type="spellStart"/>
      <w:r>
        <w:rPr>
          <w:i w:val="0"/>
          <w:iCs w:val="0"/>
          <w:color w:val="231E20"/>
        </w:rPr>
        <w:t>ii</w:t>
      </w:r>
      <w:proofErr w:type="spellEnd"/>
      <w:r>
        <w:rPr>
          <w:i w:val="0"/>
          <w:iCs w:val="0"/>
          <w:color w:val="231E20"/>
        </w:rPr>
        <w:t>) v maximální možné míře přípustné dle právních předpisů eliminovat a vyloučit jakákoli práva smluvních stran od této smlouvy odstoupit, vypovědět ji a/nebo ji jiným způsobem ukončit (včetně požadování jejího ukončení či zrušení). Smluvní strany výslovně vylučují ustanovení následujících právních předpisů: 1977, § 1978, § 1979, § 1980, § 2002 a 2003 Občanského zákoníku. Smluvní strany se vzdávají práva domáhat se zrušení závazku dle § 2000 Občanského zákoníku, a to s ohledem na účel této smlouvy uvedený v tomto ustanovení. Podstatným porušením této smlouvy, respektive porušením této smlouvy podstatným způsobem, se v této smlouvě rozumí výhradně taková porušení smlouvy, která jsou jako její podstatné porušení definována v této smlouvě.</w:t>
      </w:r>
    </w:p>
    <w:p w14:paraId="32931421" w14:textId="77777777" w:rsidR="00EC1C40" w:rsidRDefault="00000000">
      <w:pPr>
        <w:pStyle w:val="Zkladntext110"/>
        <w:framePr w:w="9130" w:h="13747" w:hRule="exact" w:wrap="none" w:vAnchor="page" w:hAnchor="page" w:x="1516" w:y="1704"/>
        <w:numPr>
          <w:ilvl w:val="1"/>
          <w:numId w:val="116"/>
        </w:numPr>
        <w:tabs>
          <w:tab w:val="left" w:pos="563"/>
        </w:tabs>
        <w:spacing w:after="0" w:line="276" w:lineRule="auto"/>
        <w:ind w:left="580" w:hanging="580"/>
        <w:jc w:val="both"/>
      </w:pPr>
      <w:r>
        <w:rPr>
          <w:i w:val="0"/>
          <w:iCs w:val="0"/>
          <w:color w:val="231E20"/>
        </w:rPr>
        <w:t xml:space="preserve">Tato smlouva zaniká uzavřením a nabytím účinnosti kupní smlouvy na převod Stavby z vlastnictví vypůjčitele do vlastnictví půjčitele, případně uplynutím 1 roku od právní moci Kolaudačního rozhodnutí na Stavbu (podle toho, co nastane dříve), </w:t>
      </w:r>
      <w:r>
        <w:rPr>
          <w:b/>
          <w:bCs/>
          <w:i w:val="0"/>
          <w:iCs w:val="0"/>
          <w:color w:val="231E20"/>
        </w:rPr>
        <w:t xml:space="preserve">nejpozději však uplynutím 15 let </w:t>
      </w:r>
      <w:r>
        <w:rPr>
          <w:i w:val="0"/>
          <w:iCs w:val="0"/>
          <w:color w:val="231E20"/>
        </w:rPr>
        <w:t>ode dne účinnosti této smlouvy. Smlouvu lze popřípadě ukončit dříve písemnou dohodou smluvních stran.</w:t>
      </w:r>
    </w:p>
    <w:p w14:paraId="4F77F6F3" w14:textId="77777777" w:rsidR="00EC1C40" w:rsidRDefault="00000000">
      <w:pPr>
        <w:pStyle w:val="Zhlavnebozpat0"/>
        <w:framePr w:wrap="none" w:vAnchor="page" w:hAnchor="page" w:x="5457" w:y="15956"/>
      </w:pPr>
      <w:r>
        <w:rPr>
          <w:rFonts w:ascii="Arial" w:eastAsia="Arial" w:hAnsi="Arial" w:cs="Arial"/>
          <w:color w:val="231E20"/>
        </w:rPr>
        <w:t xml:space="preserve">Stránka </w:t>
      </w:r>
      <w:r>
        <w:rPr>
          <w:rFonts w:ascii="Arial" w:eastAsia="Arial" w:hAnsi="Arial" w:cs="Arial"/>
          <w:b/>
          <w:bCs/>
          <w:color w:val="231E20"/>
        </w:rPr>
        <w:t xml:space="preserve">5 </w:t>
      </w:r>
      <w:r>
        <w:rPr>
          <w:rFonts w:ascii="Arial" w:eastAsia="Arial" w:hAnsi="Arial" w:cs="Arial"/>
          <w:color w:val="231E20"/>
        </w:rPr>
        <w:t xml:space="preserve">z </w:t>
      </w:r>
      <w:r>
        <w:rPr>
          <w:rFonts w:ascii="Arial" w:eastAsia="Arial" w:hAnsi="Arial" w:cs="Arial"/>
          <w:b/>
          <w:bCs/>
          <w:color w:val="231E20"/>
        </w:rPr>
        <w:t>10</w:t>
      </w:r>
    </w:p>
    <w:p w14:paraId="4849B4A0"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4EA32AA0" w14:textId="77777777" w:rsidR="00EC1C40" w:rsidRDefault="00EC1C40">
      <w:pPr>
        <w:spacing w:line="1" w:lineRule="exact"/>
      </w:pPr>
    </w:p>
    <w:p w14:paraId="64A7276C" w14:textId="77777777" w:rsidR="00EC1C40" w:rsidRDefault="00000000">
      <w:pPr>
        <w:pStyle w:val="Zhlavnebozpat0"/>
        <w:framePr w:wrap="none" w:vAnchor="page" w:hAnchor="page" w:x="9623" w:y="999"/>
      </w:pPr>
      <w:r>
        <w:rPr>
          <w:rFonts w:ascii="Arial" w:eastAsia="Arial" w:hAnsi="Arial" w:cs="Arial"/>
          <w:color w:val="231E20"/>
        </w:rPr>
        <w:t>V_0.../MO3</w:t>
      </w:r>
    </w:p>
    <w:p w14:paraId="7BA03844" w14:textId="77777777" w:rsidR="00EC1C40" w:rsidRDefault="00000000">
      <w:pPr>
        <w:pStyle w:val="Zkladntext110"/>
        <w:framePr w:w="9130" w:h="13690" w:hRule="exact" w:wrap="none" w:vAnchor="page" w:hAnchor="page" w:x="1516" w:y="1704"/>
        <w:numPr>
          <w:ilvl w:val="1"/>
          <w:numId w:val="116"/>
        </w:numPr>
        <w:tabs>
          <w:tab w:val="left" w:pos="566"/>
        </w:tabs>
        <w:spacing w:after="100" w:line="276" w:lineRule="auto"/>
        <w:ind w:left="580" w:hanging="580"/>
        <w:jc w:val="both"/>
      </w:pPr>
      <w:r>
        <w:rPr>
          <w:i w:val="0"/>
          <w:iCs w:val="0"/>
          <w:color w:val="231E20"/>
        </w:rPr>
        <w:t>Smluvní strany se výslovně dohodly na vyloučení automatického obnovení smlouvy o výpůjčce a ujednávají si, že pokud vypůjčitel užívá předmět výpůjčky i po uplynutí ujednané doby nemá tato skutečnost za následek opětovné uzavření smlouvy o výpůjčce, a to bez ohledu na aktivitu půjčitele. Toto ujednání je zároveň sdělením půjčitele, že další užívání předmětu výpůjčky vypůjčitelem nebude pokládáno za opětovné uzavření smlouvy o výpůjčce.</w:t>
      </w:r>
    </w:p>
    <w:p w14:paraId="4C9B8755" w14:textId="77777777" w:rsidR="00EC1C40" w:rsidRDefault="00000000">
      <w:pPr>
        <w:pStyle w:val="Zkladntext110"/>
        <w:framePr w:w="9130" w:h="13690" w:hRule="exact" w:wrap="none" w:vAnchor="page" w:hAnchor="page" w:x="1516" w:y="1704"/>
        <w:numPr>
          <w:ilvl w:val="1"/>
          <w:numId w:val="116"/>
        </w:numPr>
        <w:tabs>
          <w:tab w:val="left" w:pos="566"/>
        </w:tabs>
        <w:spacing w:after="100" w:line="276" w:lineRule="auto"/>
        <w:ind w:left="580" w:hanging="580"/>
        <w:jc w:val="both"/>
      </w:pPr>
      <w:r>
        <w:rPr>
          <w:i w:val="0"/>
          <w:iCs w:val="0"/>
          <w:color w:val="231E20"/>
        </w:rPr>
        <w:t xml:space="preserve">Půjčitel si vyhrazuje právo ukončit smlouvu o výpůjčce </w:t>
      </w:r>
      <w:r>
        <w:rPr>
          <w:b/>
          <w:bCs/>
          <w:i w:val="0"/>
          <w:iCs w:val="0"/>
          <w:color w:val="231E20"/>
        </w:rPr>
        <w:t>výhradně výpovědí s šestiměsíční výpovědní dobou</w:t>
      </w:r>
      <w:r>
        <w:rPr>
          <w:i w:val="0"/>
          <w:iCs w:val="0"/>
          <w:color w:val="231E20"/>
        </w:rPr>
        <w:t>, jež počne běžet od prvého dne měsíce následujícího po měsíci, ve kterém byla doručena výpověď vypůjčiteli, a to výhradně pokud:</w:t>
      </w:r>
    </w:p>
    <w:p w14:paraId="05A3A0D3" w14:textId="77777777" w:rsidR="00EC1C40" w:rsidRDefault="00000000">
      <w:pPr>
        <w:pStyle w:val="Zkladntext110"/>
        <w:framePr w:w="9130" w:h="13690" w:hRule="exact" w:wrap="none" w:vAnchor="page" w:hAnchor="page" w:x="1516" w:y="1704"/>
        <w:numPr>
          <w:ilvl w:val="2"/>
          <w:numId w:val="116"/>
        </w:numPr>
        <w:tabs>
          <w:tab w:val="left" w:pos="1287"/>
        </w:tabs>
        <w:spacing w:after="100" w:line="276" w:lineRule="auto"/>
        <w:ind w:left="1300" w:hanging="720"/>
        <w:jc w:val="both"/>
      </w:pPr>
      <w:r>
        <w:rPr>
          <w:i w:val="0"/>
          <w:iCs w:val="0"/>
          <w:color w:val="231E20"/>
        </w:rPr>
        <w:t>vypůjčitel užívá předmět výpůjčky v podstatném rozsahu v rozporu s účely této smlouvy, pokud vypůjčitel nezjedná nápravu takového porušení ani v dodatečné lhůtě pět (5) měsíců od doručení písemné výzvy k nápravě ze strany půjčitele;</w:t>
      </w:r>
    </w:p>
    <w:p w14:paraId="715D6311" w14:textId="77777777" w:rsidR="00EC1C40" w:rsidRDefault="00000000">
      <w:pPr>
        <w:pStyle w:val="Zkladntext110"/>
        <w:framePr w:w="9130" w:h="13690" w:hRule="exact" w:wrap="none" w:vAnchor="page" w:hAnchor="page" w:x="1516" w:y="1704"/>
        <w:numPr>
          <w:ilvl w:val="2"/>
          <w:numId w:val="116"/>
        </w:numPr>
        <w:tabs>
          <w:tab w:val="left" w:pos="1287"/>
        </w:tabs>
        <w:spacing w:after="100" w:line="276" w:lineRule="auto"/>
        <w:ind w:left="1300" w:hanging="720"/>
        <w:jc w:val="both"/>
      </w:pPr>
      <w:r>
        <w:rPr>
          <w:i w:val="0"/>
          <w:iCs w:val="0"/>
          <w:color w:val="231E20"/>
        </w:rPr>
        <w:t xml:space="preserve">vypůjčitel přenechal předmět výpůjčky do užívání za úplatu jiné právnické či fyzické osobě, (nejedná-li se o případ povolený na základě této smlouvy či o přenechání do užívání </w:t>
      </w:r>
      <w:r>
        <w:rPr>
          <w:b/>
          <w:bCs/>
          <w:i w:val="0"/>
          <w:iCs w:val="0"/>
          <w:color w:val="231E20"/>
        </w:rPr>
        <w:t xml:space="preserve">se souhlasem </w:t>
      </w:r>
      <w:r>
        <w:rPr>
          <w:i w:val="0"/>
          <w:iCs w:val="0"/>
          <w:color w:val="231E20"/>
        </w:rPr>
        <w:t>půjčitele);</w:t>
      </w:r>
    </w:p>
    <w:p w14:paraId="26AE67A8" w14:textId="77777777" w:rsidR="00EC1C40" w:rsidRDefault="00000000">
      <w:pPr>
        <w:pStyle w:val="Zkladntext110"/>
        <w:framePr w:w="9130" w:h="13690" w:hRule="exact" w:wrap="none" w:vAnchor="page" w:hAnchor="page" w:x="1516" w:y="1704"/>
        <w:numPr>
          <w:ilvl w:val="2"/>
          <w:numId w:val="116"/>
        </w:numPr>
        <w:tabs>
          <w:tab w:val="left" w:pos="1287"/>
        </w:tabs>
        <w:spacing w:after="100" w:line="276" w:lineRule="auto"/>
        <w:ind w:left="1300" w:hanging="720"/>
        <w:jc w:val="both"/>
      </w:pPr>
      <w:r>
        <w:rPr>
          <w:i w:val="0"/>
          <w:iCs w:val="0"/>
          <w:color w:val="231E20"/>
        </w:rPr>
        <w:t>do 10 let ode dne účinnosti této smlouvy nedojde ke Změně ÚP Hůrka (jak je tento pojem definován v Plánovací smlouvě);</w:t>
      </w:r>
    </w:p>
    <w:p w14:paraId="0BCB61D7" w14:textId="77777777" w:rsidR="00EC1C40" w:rsidRDefault="00000000">
      <w:pPr>
        <w:pStyle w:val="Zkladntext110"/>
        <w:framePr w:w="9130" w:h="13690" w:hRule="exact" w:wrap="none" w:vAnchor="page" w:hAnchor="page" w:x="1516" w:y="1704"/>
        <w:numPr>
          <w:ilvl w:val="2"/>
          <w:numId w:val="116"/>
        </w:numPr>
        <w:tabs>
          <w:tab w:val="left" w:pos="1287"/>
        </w:tabs>
        <w:spacing w:after="100" w:line="276" w:lineRule="auto"/>
        <w:ind w:left="1300" w:hanging="720"/>
        <w:jc w:val="both"/>
      </w:pPr>
      <w:r>
        <w:rPr>
          <w:i w:val="0"/>
          <w:iCs w:val="0"/>
          <w:color w:val="231E20"/>
        </w:rPr>
        <w:t>dojde k zániku Plánovací smlouvy z důvodu oprávněné výpovědi Plánovací smlouvy půjčitelem; tento výpovědní důvod lze použít pouze do zahájení stavební realizace Stavby. Smluvní strany dále sjednávají, že pokud dojde k zániku Plánovací smlouvy z důvodu oprávněné výpovědi Plánovací smlouvy půjčitelem v době po zahájení stavební realizace Stavby, budou smluvní strany v rámci této smlouvy postupovat dle čl. 3.2. této smlouvy obdobně (tj. dojde k transformaci výpůjčky do nájmu za podmínek dle čl. 3.2. této smlouvy).</w:t>
      </w:r>
    </w:p>
    <w:p w14:paraId="1475255D" w14:textId="77777777" w:rsidR="00EC1C40" w:rsidRDefault="00000000">
      <w:pPr>
        <w:pStyle w:val="Zkladntext110"/>
        <w:framePr w:w="9130" w:h="13690" w:hRule="exact" w:wrap="none" w:vAnchor="page" w:hAnchor="page" w:x="1516" w:y="1704"/>
        <w:numPr>
          <w:ilvl w:val="1"/>
          <w:numId w:val="116"/>
        </w:numPr>
        <w:tabs>
          <w:tab w:val="left" w:pos="566"/>
        </w:tabs>
        <w:spacing w:after="100" w:line="276" w:lineRule="auto"/>
        <w:ind w:left="580" w:hanging="580"/>
        <w:jc w:val="both"/>
      </w:pPr>
      <w:r>
        <w:rPr>
          <w:i w:val="0"/>
          <w:iCs w:val="0"/>
          <w:color w:val="231E20"/>
        </w:rPr>
        <w:t>Vypůjčitel je oprávněn tuto Smlouvu vypovědět s šestiměsíční výpovědní dobou výhradně z následujících důvodů:</w:t>
      </w:r>
    </w:p>
    <w:p w14:paraId="6D27135C" w14:textId="77777777" w:rsidR="00EC1C40" w:rsidRDefault="00000000">
      <w:pPr>
        <w:pStyle w:val="Zkladntext110"/>
        <w:framePr w:w="9130" w:h="13690" w:hRule="exact" w:wrap="none" w:vAnchor="page" w:hAnchor="page" w:x="1516" w:y="1704"/>
        <w:numPr>
          <w:ilvl w:val="2"/>
          <w:numId w:val="116"/>
        </w:numPr>
        <w:tabs>
          <w:tab w:val="left" w:pos="1287"/>
        </w:tabs>
        <w:spacing w:after="100" w:line="276" w:lineRule="auto"/>
        <w:ind w:firstLine="580"/>
        <w:jc w:val="both"/>
      </w:pPr>
      <w:r>
        <w:rPr>
          <w:i w:val="0"/>
          <w:iCs w:val="0"/>
          <w:color w:val="231E20"/>
        </w:rPr>
        <w:t>Dojde k zániku Plánovací smlouvy; a/nebo</w:t>
      </w:r>
    </w:p>
    <w:p w14:paraId="0F1EA191" w14:textId="77777777" w:rsidR="00EC1C40" w:rsidRDefault="00000000">
      <w:pPr>
        <w:pStyle w:val="Zkladntext110"/>
        <w:framePr w:w="9130" w:h="13690" w:hRule="exact" w:wrap="none" w:vAnchor="page" w:hAnchor="page" w:x="1516" w:y="1704"/>
        <w:numPr>
          <w:ilvl w:val="2"/>
          <w:numId w:val="116"/>
        </w:numPr>
        <w:tabs>
          <w:tab w:val="left" w:pos="1287"/>
        </w:tabs>
        <w:spacing w:after="100" w:line="276" w:lineRule="auto"/>
        <w:ind w:left="1300" w:hanging="720"/>
        <w:jc w:val="both"/>
      </w:pPr>
      <w:r>
        <w:rPr>
          <w:i w:val="0"/>
          <w:iCs w:val="0"/>
          <w:color w:val="231E20"/>
        </w:rPr>
        <w:t>Dojde k zániku smlouvy o smlouvě budoucí kupní, kterou Smluvní strany uzavírají současně s touto smlouvou a jejímž předmětem je odkup pozemků vypůjčitelem od půjčitele za účelem výstavby Parkovacího domu (dále jen „</w:t>
      </w:r>
      <w:proofErr w:type="spellStart"/>
      <w:r>
        <w:rPr>
          <w:b/>
          <w:bCs/>
          <w:i w:val="0"/>
          <w:iCs w:val="0"/>
          <w:color w:val="231E20"/>
        </w:rPr>
        <w:t>SoSB</w:t>
      </w:r>
      <w:proofErr w:type="spellEnd"/>
      <w:r>
        <w:rPr>
          <w:b/>
          <w:bCs/>
          <w:i w:val="0"/>
          <w:iCs w:val="0"/>
          <w:color w:val="231E20"/>
        </w:rPr>
        <w:t xml:space="preserve"> SMP Hůrka</w:t>
      </w:r>
      <w:r>
        <w:rPr>
          <w:i w:val="0"/>
          <w:iCs w:val="0"/>
          <w:color w:val="231E20"/>
        </w:rPr>
        <w:t>“).</w:t>
      </w:r>
    </w:p>
    <w:p w14:paraId="2528F5F1" w14:textId="77777777" w:rsidR="00EC1C40" w:rsidRDefault="00000000">
      <w:pPr>
        <w:pStyle w:val="Zkladntext110"/>
        <w:framePr w:w="9130" w:h="13690" w:hRule="exact" w:wrap="none" w:vAnchor="page" w:hAnchor="page" w:x="1516" w:y="1704"/>
        <w:spacing w:after="100" w:line="283" w:lineRule="auto"/>
        <w:ind w:left="580"/>
        <w:jc w:val="both"/>
      </w:pPr>
      <w:r>
        <w:rPr>
          <w:i w:val="0"/>
          <w:iCs w:val="0"/>
          <w:color w:val="231E20"/>
        </w:rPr>
        <w:t>Další důvody pro výpověď od této smlouvy ze strany vypůjčitele jsou sjednány v rámci Plánovací smlouvy, respektive dalších dohod uzavřených spolu s ní (dohoda o úpravě vztahů).</w:t>
      </w:r>
    </w:p>
    <w:p w14:paraId="2F6FF638" w14:textId="77777777" w:rsidR="00EC1C40" w:rsidRDefault="00000000">
      <w:pPr>
        <w:pStyle w:val="Zkladntext110"/>
        <w:framePr w:w="9130" w:h="13690" w:hRule="exact" w:wrap="none" w:vAnchor="page" w:hAnchor="page" w:x="1516" w:y="1704"/>
        <w:numPr>
          <w:ilvl w:val="1"/>
          <w:numId w:val="116"/>
        </w:numPr>
        <w:tabs>
          <w:tab w:val="left" w:pos="566"/>
        </w:tabs>
        <w:spacing w:after="100" w:line="276" w:lineRule="auto"/>
        <w:ind w:left="580" w:hanging="580"/>
        <w:jc w:val="both"/>
      </w:pPr>
      <w:r>
        <w:rPr>
          <w:i w:val="0"/>
          <w:iCs w:val="0"/>
          <w:color w:val="231E20"/>
        </w:rPr>
        <w:t xml:space="preserve">Bude-li tato smlouva ukončena z důvodu oprávněné výpovědi kterékoli ze smluvních stran nebo z důvodu uplynutí času trvání smlouvy bez toho, aby kterákoli ze smluvních stran vyzvala k uzavření kupní smlouvy na převod stavby, </w:t>
      </w:r>
      <w:r>
        <w:rPr>
          <w:b/>
          <w:bCs/>
          <w:i w:val="0"/>
          <w:iCs w:val="0"/>
          <w:color w:val="231E20"/>
        </w:rPr>
        <w:t xml:space="preserve">je vypůjčitel povinen, v případě, že nebude dohodnuto jinak, uvést předmět výpůjčky do původního stavu, </w:t>
      </w:r>
      <w:r>
        <w:rPr>
          <w:i w:val="0"/>
          <w:iCs w:val="0"/>
          <w:color w:val="231E20"/>
        </w:rPr>
        <w:t xml:space="preserve">tj. do stavu, ve kterém jej převzal, vyklizený, včetně odstranění všech staveb či stavebních úprav a </w:t>
      </w:r>
      <w:r>
        <w:rPr>
          <w:b/>
          <w:bCs/>
          <w:i w:val="0"/>
          <w:iCs w:val="0"/>
          <w:color w:val="231E20"/>
        </w:rPr>
        <w:t xml:space="preserve">vrátit předmět výpůjčky půjčiteli v den ukončení výpůjčky, nebude-li půjčitelem určen jiný termín. </w:t>
      </w:r>
      <w:r>
        <w:rPr>
          <w:i w:val="0"/>
          <w:iCs w:val="0"/>
          <w:color w:val="231E20"/>
        </w:rPr>
        <w:t>O fyzickém předání předmětu výpůjčky bude vyhotoven písemný protokol.</w:t>
      </w:r>
    </w:p>
    <w:p w14:paraId="754589BF" w14:textId="77777777" w:rsidR="00EC1C40" w:rsidRDefault="00000000">
      <w:pPr>
        <w:pStyle w:val="Zkladntext110"/>
        <w:framePr w:w="9130" w:h="13690" w:hRule="exact" w:wrap="none" w:vAnchor="page" w:hAnchor="page" w:x="1516" w:y="1704"/>
        <w:numPr>
          <w:ilvl w:val="1"/>
          <w:numId w:val="116"/>
        </w:numPr>
        <w:tabs>
          <w:tab w:val="left" w:pos="566"/>
        </w:tabs>
        <w:spacing w:after="0" w:line="276" w:lineRule="auto"/>
        <w:ind w:left="580" w:hanging="580"/>
        <w:jc w:val="both"/>
      </w:pPr>
      <w:r>
        <w:rPr>
          <w:i w:val="0"/>
          <w:iCs w:val="0"/>
          <w:color w:val="231E20"/>
        </w:rPr>
        <w:t>Nepředá-li vypůjčitel předmět výpůjčky půjčiteli řádně a včas, tj. v souladu s ujednáním v čl. 5.6. této smlouvy, zavazuje se uhradit půjčiteli za neoprávněné užívání předmětu výpůjčky částku, která bude účtována ve výši podnikatelského nájemného stanoveného dle Zásad pro nakládání s pozemky a pro umísťování reklamních zařízeních na pozemcích a stavbách ve vlastnictví statutárního města Pardubice v platném znění</w:t>
      </w:r>
      <w:r>
        <w:rPr>
          <w:b/>
          <w:bCs/>
          <w:i w:val="0"/>
          <w:iCs w:val="0"/>
          <w:color w:val="231E20"/>
        </w:rPr>
        <w:t>, tj.: 400,- Kč/m</w:t>
      </w:r>
      <w:r>
        <w:rPr>
          <w:b/>
          <w:bCs/>
          <w:i w:val="0"/>
          <w:iCs w:val="0"/>
          <w:color w:val="231E20"/>
          <w:vertAlign w:val="superscript"/>
        </w:rPr>
        <w:t>2</w:t>
      </w:r>
      <w:r>
        <w:rPr>
          <w:b/>
          <w:bCs/>
          <w:i w:val="0"/>
          <w:iCs w:val="0"/>
          <w:color w:val="231E20"/>
        </w:rPr>
        <w:t xml:space="preserve">/rok, </w:t>
      </w:r>
      <w:r>
        <w:rPr>
          <w:i w:val="0"/>
          <w:iCs w:val="0"/>
          <w:color w:val="231E20"/>
        </w:rPr>
        <w:t>a to za celou dobu trvání neoprávněného užívání předmětu výpůjčky. Smluvní strany</w:t>
      </w:r>
    </w:p>
    <w:p w14:paraId="07C26890" w14:textId="77777777" w:rsidR="00EC1C40" w:rsidRDefault="00000000">
      <w:pPr>
        <w:pStyle w:val="Zhlavnebozpat0"/>
        <w:framePr w:wrap="none" w:vAnchor="page" w:hAnchor="page" w:x="5457" w:y="15956"/>
      </w:pPr>
      <w:r>
        <w:rPr>
          <w:rFonts w:ascii="Arial" w:eastAsia="Arial" w:hAnsi="Arial" w:cs="Arial"/>
          <w:color w:val="231E20"/>
        </w:rPr>
        <w:t xml:space="preserve">Stránka </w:t>
      </w:r>
      <w:r>
        <w:rPr>
          <w:rFonts w:ascii="Arial" w:eastAsia="Arial" w:hAnsi="Arial" w:cs="Arial"/>
          <w:b/>
          <w:bCs/>
          <w:color w:val="231E20"/>
        </w:rPr>
        <w:t xml:space="preserve">6 </w:t>
      </w:r>
      <w:r>
        <w:rPr>
          <w:rFonts w:ascii="Arial" w:eastAsia="Arial" w:hAnsi="Arial" w:cs="Arial"/>
          <w:color w:val="231E20"/>
        </w:rPr>
        <w:t xml:space="preserve">z </w:t>
      </w:r>
      <w:r>
        <w:rPr>
          <w:rFonts w:ascii="Arial" w:eastAsia="Arial" w:hAnsi="Arial" w:cs="Arial"/>
          <w:b/>
          <w:bCs/>
          <w:color w:val="231E20"/>
        </w:rPr>
        <w:t>10</w:t>
      </w:r>
    </w:p>
    <w:p w14:paraId="48321FAC"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45F5EEA3" w14:textId="77777777" w:rsidR="00EC1C40" w:rsidRDefault="00EC1C40">
      <w:pPr>
        <w:spacing w:line="1" w:lineRule="exact"/>
      </w:pPr>
    </w:p>
    <w:p w14:paraId="06D0C54D" w14:textId="77777777" w:rsidR="00EC1C40" w:rsidRDefault="00000000">
      <w:pPr>
        <w:pStyle w:val="Zhlavnebozpat0"/>
        <w:framePr w:wrap="none" w:vAnchor="page" w:hAnchor="page" w:x="9623" w:y="999"/>
      </w:pPr>
      <w:r>
        <w:rPr>
          <w:rFonts w:ascii="Arial" w:eastAsia="Arial" w:hAnsi="Arial" w:cs="Arial"/>
          <w:color w:val="231E20"/>
        </w:rPr>
        <w:t>V_0.../MO3</w:t>
      </w:r>
    </w:p>
    <w:p w14:paraId="122DC589" w14:textId="77777777" w:rsidR="00EC1C40" w:rsidRDefault="00000000">
      <w:pPr>
        <w:pStyle w:val="Zkladntext110"/>
        <w:framePr w:w="9130" w:h="13810" w:hRule="exact" w:wrap="none" w:vAnchor="page" w:hAnchor="page" w:x="1516" w:y="1704"/>
        <w:spacing w:line="276" w:lineRule="auto"/>
        <w:ind w:left="580"/>
        <w:jc w:val="both"/>
      </w:pPr>
      <w:r>
        <w:rPr>
          <w:i w:val="0"/>
          <w:iCs w:val="0"/>
          <w:color w:val="231E20"/>
        </w:rPr>
        <w:t>prohlašují, že tuto částku považují za přiměřenou. Právo na náhradu škody tímto ujednáním není dotčeno.</w:t>
      </w:r>
    </w:p>
    <w:p w14:paraId="00FFD2D8" w14:textId="77777777" w:rsidR="00EC1C40" w:rsidRDefault="00000000">
      <w:pPr>
        <w:pStyle w:val="Zkladntext110"/>
        <w:framePr w:w="9130" w:h="13810" w:hRule="exact" w:wrap="none" w:vAnchor="page" w:hAnchor="page" w:x="1516" w:y="1704"/>
        <w:numPr>
          <w:ilvl w:val="1"/>
          <w:numId w:val="116"/>
        </w:numPr>
        <w:tabs>
          <w:tab w:val="left" w:pos="558"/>
        </w:tabs>
        <w:spacing w:line="276" w:lineRule="auto"/>
        <w:ind w:left="580" w:hanging="580"/>
        <w:jc w:val="both"/>
      </w:pPr>
      <w:r>
        <w:rPr>
          <w:i w:val="0"/>
          <w:iCs w:val="0"/>
          <w:color w:val="231E20"/>
        </w:rPr>
        <w:t>Smluvní strany sjednávají, že tuto smlouvu nelze ukončit odstoupením, ledaže tato smlouva nebo právní předpis výslovně stanoví jinak.</w:t>
      </w:r>
    </w:p>
    <w:p w14:paraId="7148532D" w14:textId="77777777" w:rsidR="00EC1C40" w:rsidRDefault="00EC1C40">
      <w:pPr>
        <w:pStyle w:val="Zkladntext110"/>
        <w:framePr w:w="9130" w:h="13810" w:hRule="exact" w:wrap="none" w:vAnchor="page" w:hAnchor="page" w:x="1516" w:y="1704"/>
        <w:numPr>
          <w:ilvl w:val="0"/>
          <w:numId w:val="110"/>
        </w:numPr>
        <w:spacing w:after="0" w:line="276" w:lineRule="auto"/>
        <w:jc w:val="center"/>
      </w:pPr>
    </w:p>
    <w:p w14:paraId="7EABD3B7" w14:textId="77777777" w:rsidR="00EC1C40" w:rsidRDefault="00000000">
      <w:pPr>
        <w:pStyle w:val="Nadpis60"/>
        <w:framePr w:w="9130" w:h="13810" w:hRule="exact" w:wrap="none" w:vAnchor="page" w:hAnchor="page" w:x="1516" w:y="1704"/>
        <w:spacing w:after="120" w:line="276" w:lineRule="auto"/>
        <w:jc w:val="center"/>
        <w:rPr>
          <w:sz w:val="20"/>
          <w:szCs w:val="20"/>
        </w:rPr>
      </w:pPr>
      <w:bookmarkStart w:id="164" w:name="bookmark330"/>
      <w:r>
        <w:rPr>
          <w:rFonts w:ascii="Arial" w:eastAsia="Arial" w:hAnsi="Arial" w:cs="Arial"/>
          <w:sz w:val="20"/>
          <w:szCs w:val="20"/>
        </w:rPr>
        <w:t>Závěrečná ustanovení</w:t>
      </w:r>
      <w:bookmarkEnd w:id="164"/>
    </w:p>
    <w:p w14:paraId="20E60E4A" w14:textId="77777777" w:rsidR="00EC1C40" w:rsidRDefault="00000000">
      <w:pPr>
        <w:pStyle w:val="Zkladntext110"/>
        <w:framePr w:w="9130" w:h="13810" w:hRule="exact" w:wrap="none" w:vAnchor="page" w:hAnchor="page" w:x="1516" w:y="1704"/>
        <w:numPr>
          <w:ilvl w:val="1"/>
          <w:numId w:val="117"/>
        </w:numPr>
        <w:tabs>
          <w:tab w:val="left" w:pos="558"/>
        </w:tabs>
        <w:spacing w:line="276" w:lineRule="auto"/>
        <w:ind w:left="580" w:hanging="580"/>
        <w:jc w:val="both"/>
      </w:pPr>
      <w:r>
        <w:rPr>
          <w:i w:val="0"/>
          <w:iCs w:val="0"/>
          <w:color w:val="231E20"/>
        </w:rPr>
        <w:t>Tato Smlouva je nezávislá na jakýchkoli jiných smlouvách či dohodách, není-li v této Smlouvě či v těchto jiných smlouvách či dohodách výslovně stanoveno jinak; i v takovém případě je tato Smlouva závislá na těchto jiných smlouvách či dohodách výhradně tím způsobem, kterým tato Smlouva či tyto jiné smlouvy či dohody výslovně stanoví. Smluvní strany vylučují aplikaci § 1727 občanského zákoníku na právní vztah založený touto smlouvou.</w:t>
      </w:r>
    </w:p>
    <w:p w14:paraId="34BEFBA2" w14:textId="77777777" w:rsidR="00EC1C40" w:rsidRDefault="00000000">
      <w:pPr>
        <w:pStyle w:val="Zkladntext110"/>
        <w:framePr w:w="9130" w:h="13810" w:hRule="exact" w:wrap="none" w:vAnchor="page" w:hAnchor="page" w:x="1516" w:y="1704"/>
        <w:numPr>
          <w:ilvl w:val="1"/>
          <w:numId w:val="117"/>
        </w:numPr>
        <w:tabs>
          <w:tab w:val="left" w:pos="558"/>
        </w:tabs>
        <w:spacing w:line="276" w:lineRule="auto"/>
        <w:jc w:val="both"/>
      </w:pPr>
      <w:r>
        <w:rPr>
          <w:i w:val="0"/>
          <w:iCs w:val="0"/>
          <w:color w:val="231E20"/>
        </w:rPr>
        <w:t>Smluvní strany (každá ze Smluvních stran) na sebe přebírají nebezpečí změny okolností.</w:t>
      </w:r>
    </w:p>
    <w:p w14:paraId="1DC84C06" w14:textId="77777777" w:rsidR="00EC1C40" w:rsidRDefault="00000000">
      <w:pPr>
        <w:pStyle w:val="Zkladntext110"/>
        <w:framePr w:w="9130" w:h="13810" w:hRule="exact" w:wrap="none" w:vAnchor="page" w:hAnchor="page" w:x="1516" w:y="1704"/>
        <w:numPr>
          <w:ilvl w:val="1"/>
          <w:numId w:val="117"/>
        </w:numPr>
        <w:tabs>
          <w:tab w:val="left" w:pos="558"/>
        </w:tabs>
        <w:spacing w:line="276" w:lineRule="auto"/>
        <w:ind w:left="580" w:hanging="580"/>
        <w:jc w:val="both"/>
      </w:pPr>
      <w:r>
        <w:rPr>
          <w:i w:val="0"/>
          <w:iCs w:val="0"/>
          <w:color w:val="231E20"/>
        </w:rPr>
        <w:t>Smluvní strany se zavazují, že nebudou činit žádná jednání, která by jakkoli ohrozila či mohla ohrozit plnění této smlouvy a/nebo naplnění účelů této smlouvy.</w:t>
      </w:r>
    </w:p>
    <w:p w14:paraId="28193150" w14:textId="77777777" w:rsidR="00EC1C40" w:rsidRDefault="00000000">
      <w:pPr>
        <w:pStyle w:val="Zkladntext110"/>
        <w:framePr w:w="9130" w:h="13810" w:hRule="exact" w:wrap="none" w:vAnchor="page" w:hAnchor="page" w:x="1516" w:y="1704"/>
        <w:numPr>
          <w:ilvl w:val="1"/>
          <w:numId w:val="117"/>
        </w:numPr>
        <w:tabs>
          <w:tab w:val="left" w:pos="558"/>
        </w:tabs>
        <w:spacing w:line="276" w:lineRule="auto"/>
        <w:ind w:left="580" w:hanging="580"/>
        <w:jc w:val="both"/>
      </w:pPr>
      <w:r>
        <w:rPr>
          <w:i w:val="0"/>
          <w:iCs w:val="0"/>
          <w:color w:val="231E20"/>
        </w:rPr>
        <w:t>Pro odstranění jakýchkoli pochybností se výslovně sjednává, že výpůjčka podle této smlouvy není výprosou ani nájmem (pachtem). Smluvní strany prohlašují, že tuto Smlouvu a právní vztah založený touto smlouvou uzavírají na dobu delší deseti (10) let z dobrého důvodu, kterým je umožnění realizace Stavby (související infrastruktury, včetně veřejné infrastruktury) na/v předmětu výpůjčky. Smluvní strany z tohoto důvodu nepovažují postup podle dle § 2000 odst. 1 Občanského zákoníku za odpovídající účelu této smlouvy Tím nejsou dotčena práva a povinnosti smluvních stran výslovně sjednaná v této smlouvě ani práva, kterých se nelze platně předem vzdát.</w:t>
      </w:r>
    </w:p>
    <w:p w14:paraId="69858734" w14:textId="77777777" w:rsidR="00EC1C40" w:rsidRDefault="00000000">
      <w:pPr>
        <w:pStyle w:val="Zkladntext110"/>
        <w:framePr w:w="9130" w:h="13810" w:hRule="exact" w:wrap="none" w:vAnchor="page" w:hAnchor="page" w:x="1516" w:y="1704"/>
        <w:numPr>
          <w:ilvl w:val="1"/>
          <w:numId w:val="117"/>
        </w:numPr>
        <w:tabs>
          <w:tab w:val="left" w:pos="558"/>
        </w:tabs>
        <w:spacing w:line="276" w:lineRule="auto"/>
        <w:ind w:left="580" w:hanging="580"/>
        <w:jc w:val="both"/>
      </w:pPr>
      <w:r>
        <w:rPr>
          <w:i w:val="0"/>
          <w:iCs w:val="0"/>
          <w:color w:val="231E20"/>
        </w:rPr>
        <w:t xml:space="preserve">Smlouva nabývá platnosti dnem jejího podpisu oběma smluvními stranami a účinnosti dnem jejího zveřejnění v registru smluv </w:t>
      </w:r>
      <w:r>
        <w:rPr>
          <w:b/>
          <w:bCs/>
          <w:i w:val="0"/>
          <w:iCs w:val="0"/>
          <w:color w:val="231E20"/>
        </w:rPr>
        <w:t xml:space="preserve">spravovaném Digitální a informační agenturou </w:t>
      </w:r>
      <w:r>
        <w:rPr>
          <w:i w:val="0"/>
          <w:iCs w:val="0"/>
          <w:color w:val="231E20"/>
        </w:rPr>
        <w:t xml:space="preserve">v souladu se zákonem č. 340/2015 Sb., o zvláštních podmínkách účinnosti některých smluv, uveřejňování těchto smluv a o registru smluv (zákon o registru smluv), v platném znění. Smluvní strany se dohodly, že půjčitel bezodkladně po uzavření této smlouvy odešle smlouvu k řádnému uveřejnění do registru </w:t>
      </w:r>
      <w:r>
        <w:rPr>
          <w:b/>
          <w:bCs/>
          <w:i w:val="0"/>
          <w:iCs w:val="0"/>
          <w:color w:val="231E20"/>
        </w:rPr>
        <w:t>spravovaného Digitální a informační agenturou</w:t>
      </w:r>
      <w:r>
        <w:rPr>
          <w:i w:val="0"/>
          <w:iCs w:val="0"/>
          <w:color w:val="231E20"/>
        </w:rPr>
        <w:t>. O uveřejnění smlouvy zveřejňující strana bezodkladně informuje druhou smluvní stranu, nebyl-li kontaktní údaj této smluvní strany uveden přímo do registru smluv jako kontakt pro notifikaci o uveřejnění.</w:t>
      </w:r>
    </w:p>
    <w:p w14:paraId="42A0B81F" w14:textId="77777777" w:rsidR="00EC1C40" w:rsidRDefault="00000000">
      <w:pPr>
        <w:pStyle w:val="Zkladntext110"/>
        <w:framePr w:w="9130" w:h="13810" w:hRule="exact" w:wrap="none" w:vAnchor="page" w:hAnchor="page" w:x="1516" w:y="1704"/>
        <w:numPr>
          <w:ilvl w:val="1"/>
          <w:numId w:val="117"/>
        </w:numPr>
        <w:tabs>
          <w:tab w:val="left" w:pos="558"/>
        </w:tabs>
        <w:spacing w:line="276" w:lineRule="auto"/>
        <w:ind w:left="580" w:hanging="580"/>
        <w:jc w:val="both"/>
      </w:pPr>
      <w:r>
        <w:rPr>
          <w:i w:val="0"/>
          <w:iCs w:val="0"/>
          <w:color w:val="231E20"/>
        </w:rPr>
        <w:t>Smluvní strany berou na vědomí, že nebude-li smlouva zveřejněna ani do tří měsíců ode dne, kdy byla uzavřena, platí, že je zrušena od počátku s účinky případného bezdůvodného obohacení.</w:t>
      </w:r>
    </w:p>
    <w:p w14:paraId="2AC45C1F" w14:textId="77777777" w:rsidR="00EC1C40" w:rsidRDefault="00000000">
      <w:pPr>
        <w:pStyle w:val="Zkladntext110"/>
        <w:framePr w:w="9130" w:h="13810" w:hRule="exact" w:wrap="none" w:vAnchor="page" w:hAnchor="page" w:x="1516" w:y="1704"/>
        <w:numPr>
          <w:ilvl w:val="1"/>
          <w:numId w:val="117"/>
        </w:numPr>
        <w:tabs>
          <w:tab w:val="left" w:pos="558"/>
        </w:tabs>
        <w:spacing w:line="276" w:lineRule="auto"/>
        <w:ind w:left="580" w:hanging="580"/>
        <w:jc w:val="both"/>
      </w:pPr>
      <w:r>
        <w:rPr>
          <w:i w:val="0"/>
          <w:iCs w:val="0"/>
          <w:color w:val="231E20"/>
        </w:rPr>
        <w:t>Smluvní strany prohlašují, že žádná část smlouvy nenaplňuje znaky obchodního tajemství (§ 504 zákona č. 89/2012 Sb., občanský zákoník).</w:t>
      </w:r>
    </w:p>
    <w:p w14:paraId="4A0EE974" w14:textId="77777777" w:rsidR="00EC1C40" w:rsidRDefault="00000000">
      <w:pPr>
        <w:pStyle w:val="Zkladntext110"/>
        <w:framePr w:w="9130" w:h="13810" w:hRule="exact" w:wrap="none" w:vAnchor="page" w:hAnchor="page" w:x="1516" w:y="1704"/>
        <w:numPr>
          <w:ilvl w:val="1"/>
          <w:numId w:val="117"/>
        </w:numPr>
        <w:tabs>
          <w:tab w:val="left" w:pos="558"/>
        </w:tabs>
        <w:spacing w:line="276" w:lineRule="auto"/>
        <w:ind w:left="580" w:hanging="580"/>
        <w:jc w:val="both"/>
      </w:pPr>
      <w:r>
        <w:rPr>
          <w:i w:val="0"/>
          <w:iCs w:val="0"/>
          <w:color w:val="231E20"/>
        </w:rPr>
        <w:t>Práva a povinnosti touto smlouvou výslovně neupravené se řídí příslušnými ustanoveními zákona č. 89/2012 Sb., občanský zákoník v platném znění. Ukáže-li se některé ustanovení této smlouvy neplatné, nemá tato skutečnost vliv na platnost ostatních ustanovení.</w:t>
      </w:r>
    </w:p>
    <w:p w14:paraId="391ED8F7" w14:textId="77777777" w:rsidR="00EC1C40" w:rsidRDefault="00000000">
      <w:pPr>
        <w:pStyle w:val="Zkladntext110"/>
        <w:framePr w:w="9130" w:h="13810" w:hRule="exact" w:wrap="none" w:vAnchor="page" w:hAnchor="page" w:x="1516" w:y="1704"/>
        <w:numPr>
          <w:ilvl w:val="1"/>
          <w:numId w:val="117"/>
        </w:numPr>
        <w:tabs>
          <w:tab w:val="left" w:pos="558"/>
        </w:tabs>
        <w:spacing w:line="276" w:lineRule="auto"/>
        <w:ind w:left="580" w:hanging="580"/>
        <w:jc w:val="both"/>
      </w:pPr>
      <w:r>
        <w:rPr>
          <w:i w:val="0"/>
          <w:iCs w:val="0"/>
          <w:color w:val="231E20"/>
        </w:rPr>
        <w:t>Tuto smlouvu lze měnit pouze po dohodě obou smluvních stran a pouze formou písemných dodatků. Jinou formou, nežli písemnou, tuto smlouvu měnit nelze.</w:t>
      </w:r>
    </w:p>
    <w:p w14:paraId="6F763CB1" w14:textId="77777777" w:rsidR="00EC1C40" w:rsidRDefault="00000000">
      <w:pPr>
        <w:pStyle w:val="Zkladntext110"/>
        <w:framePr w:w="9130" w:h="13810" w:hRule="exact" w:wrap="none" w:vAnchor="page" w:hAnchor="page" w:x="1516" w:y="1704"/>
        <w:numPr>
          <w:ilvl w:val="1"/>
          <w:numId w:val="117"/>
        </w:numPr>
        <w:tabs>
          <w:tab w:val="left" w:pos="591"/>
        </w:tabs>
        <w:spacing w:after="0" w:line="276" w:lineRule="auto"/>
        <w:ind w:left="580" w:hanging="580"/>
        <w:jc w:val="both"/>
      </w:pPr>
      <w:r>
        <w:rPr>
          <w:i w:val="0"/>
          <w:iCs w:val="0"/>
          <w:color w:val="231E20"/>
        </w:rPr>
        <w:t xml:space="preserve">Vypůjčitel bere na vědomí, že jakákoliv změna smlouvy podléhá schválení v příslušných orgánech města. Vypůjčitel bere na vědomí, že s ohledem na časovou náročnost procesu projednání je nezbytné činit žádosti o změnu smlouvy s dostatečným časovým předstihem, </w:t>
      </w:r>
      <w:r>
        <w:rPr>
          <w:i w:val="0"/>
          <w:iCs w:val="0"/>
          <w:color w:val="231E20"/>
          <w:u w:val="single"/>
        </w:rPr>
        <w:t>nejpozději 6 měsíců předem.</w:t>
      </w:r>
    </w:p>
    <w:p w14:paraId="26033EA6" w14:textId="77777777" w:rsidR="00EC1C40" w:rsidRDefault="00000000">
      <w:pPr>
        <w:pStyle w:val="Zhlavnebozpat0"/>
        <w:framePr w:wrap="none" w:vAnchor="page" w:hAnchor="page" w:x="5457" w:y="15956"/>
      </w:pPr>
      <w:r>
        <w:rPr>
          <w:rFonts w:ascii="Arial" w:eastAsia="Arial" w:hAnsi="Arial" w:cs="Arial"/>
          <w:color w:val="231E20"/>
        </w:rPr>
        <w:t xml:space="preserve">Stránka </w:t>
      </w:r>
      <w:r>
        <w:rPr>
          <w:rFonts w:ascii="Arial" w:eastAsia="Arial" w:hAnsi="Arial" w:cs="Arial"/>
          <w:b/>
          <w:bCs/>
          <w:color w:val="231E20"/>
        </w:rPr>
        <w:t xml:space="preserve">7 </w:t>
      </w:r>
      <w:r>
        <w:rPr>
          <w:rFonts w:ascii="Arial" w:eastAsia="Arial" w:hAnsi="Arial" w:cs="Arial"/>
          <w:color w:val="231E20"/>
        </w:rPr>
        <w:t xml:space="preserve">z </w:t>
      </w:r>
      <w:r>
        <w:rPr>
          <w:rFonts w:ascii="Arial" w:eastAsia="Arial" w:hAnsi="Arial" w:cs="Arial"/>
          <w:b/>
          <w:bCs/>
          <w:color w:val="231E20"/>
        </w:rPr>
        <w:t>10</w:t>
      </w:r>
    </w:p>
    <w:p w14:paraId="658732F4"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0EBAB3E1" w14:textId="77777777" w:rsidR="00EC1C40" w:rsidRDefault="00EC1C40">
      <w:pPr>
        <w:spacing w:line="1" w:lineRule="exact"/>
      </w:pPr>
    </w:p>
    <w:p w14:paraId="2B936E2B" w14:textId="77777777" w:rsidR="00EC1C40" w:rsidRDefault="00000000">
      <w:pPr>
        <w:pStyle w:val="Zhlavnebozpat0"/>
        <w:framePr w:w="1003" w:h="240" w:hRule="exact" w:wrap="none" w:vAnchor="page" w:hAnchor="page" w:x="9628" w:y="999"/>
        <w:jc w:val="right"/>
      </w:pPr>
      <w:r>
        <w:rPr>
          <w:rFonts w:ascii="Arial" w:eastAsia="Arial" w:hAnsi="Arial" w:cs="Arial"/>
          <w:color w:val="231E20"/>
        </w:rPr>
        <w:t>V_0.../MO3</w:t>
      </w:r>
    </w:p>
    <w:p w14:paraId="51F640A3" w14:textId="77777777" w:rsidR="00EC1C40" w:rsidRDefault="00000000">
      <w:pPr>
        <w:pStyle w:val="Zkladntext110"/>
        <w:framePr w:w="9130" w:h="4570" w:hRule="exact" w:wrap="none" w:vAnchor="page" w:hAnchor="page" w:x="1516" w:y="1704"/>
        <w:numPr>
          <w:ilvl w:val="1"/>
          <w:numId w:val="117"/>
        </w:numPr>
        <w:tabs>
          <w:tab w:val="left" w:pos="651"/>
        </w:tabs>
        <w:spacing w:after="100" w:line="276" w:lineRule="auto"/>
        <w:ind w:left="580" w:hanging="580"/>
        <w:jc w:val="both"/>
      </w:pPr>
      <w:r>
        <w:rPr>
          <w:i w:val="0"/>
          <w:iCs w:val="0"/>
          <w:color w:val="231E20"/>
        </w:rPr>
        <w:t>Po podpisu smlouvy o výpůjčce smluvními stranami bude vypůjčiteli fyzicky předán předmět výpůjčky. O fyzickém předání předmětu výpůjčky bude sepsán zápis.</w:t>
      </w:r>
    </w:p>
    <w:p w14:paraId="6F1A7EF6" w14:textId="77777777" w:rsidR="00EC1C40" w:rsidRDefault="00000000">
      <w:pPr>
        <w:pStyle w:val="Zkladntext110"/>
        <w:framePr w:w="9130" w:h="4570" w:hRule="exact" w:wrap="none" w:vAnchor="page" w:hAnchor="page" w:x="1516" w:y="1704"/>
        <w:numPr>
          <w:ilvl w:val="1"/>
          <w:numId w:val="117"/>
        </w:numPr>
        <w:tabs>
          <w:tab w:val="left" w:pos="651"/>
        </w:tabs>
        <w:spacing w:after="100" w:line="276" w:lineRule="auto"/>
        <w:ind w:left="580" w:hanging="580"/>
        <w:jc w:val="both"/>
      </w:pPr>
      <w:r>
        <w:rPr>
          <w:i w:val="0"/>
          <w:iCs w:val="0"/>
          <w:color w:val="231E20"/>
        </w:rPr>
        <w:t>Odkazuje-li tato Smlouva na určitý právní předpis a/nebo určité ustanovení právního předpisu, zahrnuje takový odkaz i odkaz na právní předpis, popřípadě ustanovení právního předpisu, který jej dle svého smyslu a účelu kdykoli v budoucnu nahradí.</w:t>
      </w:r>
    </w:p>
    <w:p w14:paraId="668583B9" w14:textId="77777777" w:rsidR="00EC1C40" w:rsidRDefault="00000000">
      <w:pPr>
        <w:pStyle w:val="Zkladntext110"/>
        <w:framePr w:w="9130" w:h="4570" w:hRule="exact" w:wrap="none" w:vAnchor="page" w:hAnchor="page" w:x="1516" w:y="1704"/>
        <w:numPr>
          <w:ilvl w:val="1"/>
          <w:numId w:val="117"/>
        </w:numPr>
        <w:tabs>
          <w:tab w:val="left" w:pos="651"/>
        </w:tabs>
        <w:spacing w:after="100" w:line="276" w:lineRule="auto"/>
        <w:ind w:left="580" w:hanging="580"/>
        <w:jc w:val="both"/>
      </w:pPr>
      <w:r>
        <w:rPr>
          <w:i w:val="0"/>
          <w:iCs w:val="0"/>
          <w:color w:val="231E20"/>
        </w:rPr>
        <w:t>Tato Smlouva váže právní nástupce smluvních stran, ať na základě singulární či univerzální sukcese. Smluvní strany zajistí, aby jakýkoli případný nabyvatel předmětu výpůjčky byl vázán touto smlouvou a právy a povinnostmi z ní vyplývajícími v plném rozsahu.</w:t>
      </w:r>
    </w:p>
    <w:p w14:paraId="2B1B40D3" w14:textId="77777777" w:rsidR="00EC1C40" w:rsidRDefault="00000000">
      <w:pPr>
        <w:pStyle w:val="Zkladntext110"/>
        <w:framePr w:w="9130" w:h="4570" w:hRule="exact" w:wrap="none" w:vAnchor="page" w:hAnchor="page" w:x="1516" w:y="1704"/>
        <w:numPr>
          <w:ilvl w:val="1"/>
          <w:numId w:val="117"/>
        </w:numPr>
        <w:tabs>
          <w:tab w:val="left" w:pos="651"/>
        </w:tabs>
        <w:spacing w:after="100" w:line="276" w:lineRule="auto"/>
        <w:ind w:left="580" w:hanging="580"/>
        <w:jc w:val="both"/>
      </w:pPr>
      <w:r>
        <w:rPr>
          <w:i w:val="0"/>
          <w:iCs w:val="0"/>
          <w:color w:val="231E20"/>
        </w:rPr>
        <w:t>Smluvní strany prohlašují, že tuto smlouvu uzavřely svobodně a vážně, nikoli v tísni za nápadně nevýhodných podmínek. Na důkaz toho připojují své vlastnoruční podpisy.</w:t>
      </w:r>
    </w:p>
    <w:p w14:paraId="4F92B8B7" w14:textId="77777777" w:rsidR="00EC1C40" w:rsidRDefault="00000000">
      <w:pPr>
        <w:pStyle w:val="Zkladntext110"/>
        <w:framePr w:w="9130" w:h="4570" w:hRule="exact" w:wrap="none" w:vAnchor="page" w:hAnchor="page" w:x="1516" w:y="1704"/>
        <w:numPr>
          <w:ilvl w:val="1"/>
          <w:numId w:val="117"/>
        </w:numPr>
        <w:tabs>
          <w:tab w:val="left" w:pos="651"/>
        </w:tabs>
        <w:spacing w:after="380" w:line="276" w:lineRule="auto"/>
        <w:ind w:left="580" w:hanging="580"/>
        <w:jc w:val="both"/>
      </w:pPr>
      <w:r>
        <w:rPr>
          <w:i w:val="0"/>
          <w:iCs w:val="0"/>
          <w:color w:val="231E20"/>
        </w:rPr>
        <w:t>Smlouva o výpůjčce je sepsána ve 4 vyhotoveních, z nichž dvě obdrží vypůjčitel a dvě si ponechá půjčitel.</w:t>
      </w:r>
    </w:p>
    <w:p w14:paraId="4AC52B0F" w14:textId="77777777" w:rsidR="00EC1C40" w:rsidRDefault="00000000">
      <w:pPr>
        <w:pStyle w:val="Zkladntext70"/>
        <w:framePr w:w="9130" w:h="4570" w:hRule="exact" w:wrap="none" w:vAnchor="page" w:hAnchor="page" w:x="1516" w:y="1704"/>
        <w:spacing w:line="240" w:lineRule="auto"/>
        <w:ind w:left="0"/>
      </w:pPr>
      <w:r>
        <w:rPr>
          <w:b/>
          <w:bCs/>
        </w:rPr>
        <w:t>Příloha: Snímek katastrální mapy se zákresem rozsahu výpůjčky</w:t>
      </w:r>
    </w:p>
    <w:p w14:paraId="0911AB7B" w14:textId="77777777" w:rsidR="00EC1C40" w:rsidRDefault="00000000">
      <w:pPr>
        <w:pStyle w:val="Zkladntext70"/>
        <w:framePr w:w="9130" w:h="4570" w:hRule="exact" w:wrap="none" w:vAnchor="page" w:hAnchor="page" w:x="1516" w:y="1704"/>
        <w:spacing w:line="240" w:lineRule="auto"/>
        <w:ind w:left="0" w:firstLine="760"/>
        <w:jc w:val="both"/>
      </w:pPr>
      <w:r>
        <w:rPr>
          <w:b/>
          <w:bCs/>
        </w:rPr>
        <w:t>Koordinační situace</w:t>
      </w:r>
    </w:p>
    <w:p w14:paraId="05EC36AC" w14:textId="77777777" w:rsidR="00EC1C40" w:rsidRDefault="00000000">
      <w:pPr>
        <w:pStyle w:val="Zkladntext70"/>
        <w:framePr w:w="9130" w:h="1445" w:hRule="exact" w:wrap="none" w:vAnchor="page" w:hAnchor="page" w:x="1516" w:y="6888"/>
        <w:spacing w:line="240" w:lineRule="auto"/>
        <w:ind w:left="0"/>
      </w:pPr>
      <w:r>
        <w:rPr>
          <w:b/>
          <w:bCs/>
        </w:rPr>
        <w:t xml:space="preserve">Schvalovací doložka dle </w:t>
      </w:r>
      <w:proofErr w:type="spellStart"/>
      <w:r>
        <w:rPr>
          <w:b/>
          <w:bCs/>
        </w:rPr>
        <w:t>ust</w:t>
      </w:r>
      <w:proofErr w:type="spellEnd"/>
      <w:r>
        <w:rPr>
          <w:b/>
          <w:bCs/>
        </w:rPr>
        <w:t>. § 41 zák. č. 128/2000 Sb.</w:t>
      </w:r>
    </w:p>
    <w:p w14:paraId="51FA25AC" w14:textId="77777777" w:rsidR="00EC1C40" w:rsidRDefault="00000000">
      <w:pPr>
        <w:pStyle w:val="Zkladntext70"/>
        <w:framePr w:w="9130" w:h="1445" w:hRule="exact" w:wrap="none" w:vAnchor="page" w:hAnchor="page" w:x="1516" w:y="6888"/>
        <w:spacing w:line="240" w:lineRule="auto"/>
        <w:ind w:left="0"/>
      </w:pPr>
      <w:r>
        <w:t>ve znění pozdějších změn a doplňků</w:t>
      </w:r>
    </w:p>
    <w:p w14:paraId="04841260" w14:textId="77777777" w:rsidR="00EC1C40" w:rsidRDefault="00000000">
      <w:pPr>
        <w:pStyle w:val="Zkladntext70"/>
        <w:framePr w:w="9130" w:h="1445" w:hRule="exact" w:wrap="none" w:vAnchor="page" w:hAnchor="page" w:x="1516" w:y="6888"/>
        <w:spacing w:line="240" w:lineRule="auto"/>
        <w:ind w:left="0"/>
      </w:pPr>
      <w:r>
        <w:t xml:space="preserve">schváleno: </w:t>
      </w:r>
      <w:proofErr w:type="spellStart"/>
      <w:r>
        <w:t>RmP</w:t>
      </w:r>
      <w:proofErr w:type="spellEnd"/>
      <w:r>
        <w:t xml:space="preserve"> dne ... </w:t>
      </w:r>
      <w:proofErr w:type="spellStart"/>
      <w:r>
        <w:t>usn</w:t>
      </w:r>
      <w:proofErr w:type="spellEnd"/>
      <w:r>
        <w:t>. č. R/.../2026</w:t>
      </w:r>
    </w:p>
    <w:p w14:paraId="59C1AD03" w14:textId="77777777" w:rsidR="00EC1C40" w:rsidRDefault="00000000">
      <w:pPr>
        <w:pStyle w:val="Zkladntext70"/>
        <w:framePr w:w="9130" w:h="1445" w:hRule="exact" w:wrap="none" w:vAnchor="page" w:hAnchor="page" w:x="1516" w:y="6888"/>
        <w:spacing w:line="240" w:lineRule="auto"/>
        <w:ind w:left="0"/>
      </w:pPr>
      <w:r>
        <w:t>Záměr byl zveřejněn na úřední desce a elektronické úřední desce Magistrátu města Pardubic:</w:t>
      </w:r>
    </w:p>
    <w:p w14:paraId="76173882" w14:textId="77777777" w:rsidR="00EC1C40" w:rsidRDefault="00000000">
      <w:pPr>
        <w:pStyle w:val="Zkladntext70"/>
        <w:framePr w:w="9130" w:h="1445" w:hRule="exact" w:wrap="none" w:vAnchor="page" w:hAnchor="page" w:x="1516" w:y="6888"/>
        <w:spacing w:line="240" w:lineRule="auto"/>
        <w:ind w:left="0"/>
      </w:pPr>
      <w:r>
        <w:t>Vyvěšeno dne: 10.4.2026</w:t>
      </w:r>
    </w:p>
    <w:p w14:paraId="73DFCD0F" w14:textId="77777777" w:rsidR="00EC1C40" w:rsidRDefault="00000000">
      <w:pPr>
        <w:pStyle w:val="Zkladntext70"/>
        <w:framePr w:w="9130" w:h="1445" w:hRule="exact" w:wrap="none" w:vAnchor="page" w:hAnchor="page" w:x="1516" w:y="6888"/>
        <w:spacing w:line="240" w:lineRule="auto"/>
        <w:ind w:left="0"/>
      </w:pPr>
      <w:r>
        <w:t>Svěšeno dne: 26.4.2026</w:t>
      </w:r>
    </w:p>
    <w:p w14:paraId="6BCA9FC6" w14:textId="77777777" w:rsidR="00EC1C40" w:rsidRDefault="00000000">
      <w:pPr>
        <w:pStyle w:val="Zkladntext110"/>
        <w:framePr w:wrap="none" w:vAnchor="page" w:hAnchor="page" w:x="1516" w:y="9082"/>
        <w:tabs>
          <w:tab w:val="left" w:leader="dot" w:pos="3566"/>
        </w:tabs>
        <w:spacing w:after="0" w:line="240" w:lineRule="auto"/>
      </w:pPr>
      <w:r>
        <w:rPr>
          <w:i w:val="0"/>
          <w:iCs w:val="0"/>
          <w:color w:val="231E20"/>
        </w:rPr>
        <w:t xml:space="preserve">V Pardubicích dne </w:t>
      </w:r>
      <w:r>
        <w:rPr>
          <w:i w:val="0"/>
          <w:iCs w:val="0"/>
          <w:color w:val="231E20"/>
        </w:rPr>
        <w:tab/>
      </w:r>
    </w:p>
    <w:p w14:paraId="57605B5A" w14:textId="77777777" w:rsidR="00EC1C40" w:rsidRDefault="00000000">
      <w:pPr>
        <w:pStyle w:val="Zkladntext110"/>
        <w:framePr w:w="9130" w:h="826" w:hRule="exact" w:wrap="none" w:vAnchor="page" w:hAnchor="page" w:x="1516" w:y="10152"/>
        <w:spacing w:after="0" w:line="276" w:lineRule="auto"/>
      </w:pPr>
      <w:r>
        <w:rPr>
          <w:i w:val="0"/>
          <w:iCs w:val="0"/>
          <w:color w:val="231E20"/>
        </w:rPr>
        <w:t>statutární město Pardubice</w:t>
      </w:r>
      <w:r>
        <w:rPr>
          <w:i w:val="0"/>
          <w:iCs w:val="0"/>
          <w:color w:val="231E20"/>
        </w:rPr>
        <w:br/>
        <w:t>Ing. Miroslav Macela</w:t>
      </w:r>
      <w:r>
        <w:rPr>
          <w:i w:val="0"/>
          <w:iCs w:val="0"/>
          <w:color w:val="231E20"/>
        </w:rPr>
        <w:br/>
        <w:t>vedoucí oddělení</w:t>
      </w:r>
    </w:p>
    <w:p w14:paraId="269D5F3E" w14:textId="77777777" w:rsidR="00EC1C40" w:rsidRDefault="00000000">
      <w:pPr>
        <w:pStyle w:val="Zkladntext110"/>
        <w:framePr w:w="1114" w:h="821" w:hRule="exact" w:wrap="none" w:vAnchor="page" w:hAnchor="page" w:x="7170" w:y="10157"/>
        <w:spacing w:after="0" w:line="276" w:lineRule="auto"/>
        <w:ind w:right="5"/>
        <w:jc w:val="both"/>
      </w:pPr>
      <w:r>
        <w:rPr>
          <w:i w:val="0"/>
          <w:iCs w:val="0"/>
          <w:color w:val="231E20"/>
        </w:rPr>
        <w:t>MHAP s.ro.</w:t>
      </w:r>
      <w:r>
        <w:rPr>
          <w:i w:val="0"/>
          <w:iCs w:val="0"/>
          <w:color w:val="231E20"/>
        </w:rPr>
        <w:br/>
        <w:t>Petr Dědek</w:t>
      </w:r>
      <w:r>
        <w:rPr>
          <w:i w:val="0"/>
          <w:iCs w:val="0"/>
          <w:color w:val="231E20"/>
        </w:rPr>
        <w:br/>
        <w:t>jednatel</w:t>
      </w:r>
    </w:p>
    <w:p w14:paraId="7E5B954D" w14:textId="77777777" w:rsidR="00EC1C40" w:rsidRDefault="00000000">
      <w:pPr>
        <w:pStyle w:val="Zhlavnebozpat0"/>
        <w:framePr w:wrap="none" w:vAnchor="page" w:hAnchor="page" w:x="5462" w:y="15956"/>
      </w:pPr>
      <w:r>
        <w:rPr>
          <w:rFonts w:ascii="Arial" w:eastAsia="Arial" w:hAnsi="Arial" w:cs="Arial"/>
          <w:color w:val="231E20"/>
        </w:rPr>
        <w:t xml:space="preserve">Stránka </w:t>
      </w:r>
      <w:r>
        <w:rPr>
          <w:rFonts w:ascii="Arial" w:eastAsia="Arial" w:hAnsi="Arial" w:cs="Arial"/>
          <w:b/>
          <w:bCs/>
          <w:color w:val="231E20"/>
        </w:rPr>
        <w:t xml:space="preserve">8 </w:t>
      </w:r>
      <w:r>
        <w:rPr>
          <w:rFonts w:ascii="Arial" w:eastAsia="Arial" w:hAnsi="Arial" w:cs="Arial"/>
          <w:color w:val="231E20"/>
        </w:rPr>
        <w:t xml:space="preserve">z </w:t>
      </w:r>
      <w:r>
        <w:rPr>
          <w:rFonts w:ascii="Arial" w:eastAsia="Arial" w:hAnsi="Arial" w:cs="Arial"/>
          <w:b/>
          <w:bCs/>
          <w:color w:val="231E20"/>
        </w:rPr>
        <w:t>10</w:t>
      </w:r>
    </w:p>
    <w:p w14:paraId="1A7BABA1"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1573EE52" w14:textId="77777777" w:rsidR="00EC1C40" w:rsidRDefault="00EC1C40">
      <w:pPr>
        <w:spacing w:line="1" w:lineRule="exact"/>
      </w:pPr>
    </w:p>
    <w:p w14:paraId="1B8A876C" w14:textId="77777777" w:rsidR="00EC1C40" w:rsidRDefault="00000000">
      <w:pPr>
        <w:pStyle w:val="Zhlavnebozpat0"/>
        <w:framePr w:wrap="none" w:vAnchor="page" w:hAnchor="page" w:x="9625" w:y="999"/>
      </w:pPr>
      <w:r>
        <w:rPr>
          <w:rFonts w:ascii="Arial" w:eastAsia="Arial" w:hAnsi="Arial" w:cs="Arial"/>
          <w:color w:val="231E20"/>
        </w:rPr>
        <w:t>V_0.../MO3</w:t>
      </w:r>
    </w:p>
    <w:p w14:paraId="2C7A0696" w14:textId="77777777" w:rsidR="00EC1C40" w:rsidRDefault="00000000">
      <w:pPr>
        <w:pStyle w:val="Zkladntext110"/>
        <w:framePr w:wrap="none" w:vAnchor="page" w:hAnchor="page" w:x="1532" w:y="1704"/>
        <w:spacing w:after="0" w:line="240" w:lineRule="auto"/>
      </w:pPr>
      <w:r>
        <w:rPr>
          <w:i w:val="0"/>
          <w:iCs w:val="0"/>
          <w:color w:val="231E20"/>
        </w:rPr>
        <w:t>Příloha č. 1:</w:t>
      </w:r>
    </w:p>
    <w:p w14:paraId="605B85DA" w14:textId="77777777" w:rsidR="00EC1C40" w:rsidRDefault="00000000">
      <w:pPr>
        <w:framePr w:wrap="none" w:vAnchor="page" w:hAnchor="page" w:x="1541" w:y="2223"/>
        <w:rPr>
          <w:sz w:val="2"/>
          <w:szCs w:val="2"/>
        </w:rPr>
      </w:pPr>
      <w:r>
        <w:rPr>
          <w:noProof/>
        </w:rPr>
        <w:drawing>
          <wp:inline distT="0" distB="0" distL="0" distR="0" wp14:anchorId="39539DF1" wp14:editId="57DEE843">
            <wp:extent cx="5005070" cy="3437890"/>
            <wp:effectExtent l="0" t="0" r="0" b="0"/>
            <wp:docPr id="195" name="Picutre 195"/>
            <wp:cNvGraphicFramePr/>
            <a:graphic xmlns:a="http://schemas.openxmlformats.org/drawingml/2006/main">
              <a:graphicData uri="http://schemas.openxmlformats.org/drawingml/2006/picture">
                <pic:pic xmlns:pic="http://schemas.openxmlformats.org/drawingml/2006/picture">
                  <pic:nvPicPr>
                    <pic:cNvPr id="195" name="Picture 195"/>
                    <pic:cNvPicPr/>
                  </pic:nvPicPr>
                  <pic:blipFill>
                    <a:blip r:embed="rId61"/>
                    <a:stretch/>
                  </pic:blipFill>
                  <pic:spPr>
                    <a:xfrm>
                      <a:off x="0" y="0"/>
                      <a:ext cx="5005070" cy="3437890"/>
                    </a:xfrm>
                    <a:prstGeom prst="rect">
                      <a:avLst/>
                    </a:prstGeom>
                  </pic:spPr>
                </pic:pic>
              </a:graphicData>
            </a:graphic>
          </wp:inline>
        </w:drawing>
      </w:r>
    </w:p>
    <w:p w14:paraId="322AE279" w14:textId="77777777" w:rsidR="00EC1C40" w:rsidRDefault="00000000">
      <w:pPr>
        <w:pStyle w:val="Zhlavnebozpat0"/>
        <w:framePr w:wrap="none" w:vAnchor="page" w:hAnchor="page" w:x="5458" w:y="15956"/>
      </w:pPr>
      <w:r>
        <w:rPr>
          <w:rFonts w:ascii="Arial" w:eastAsia="Arial" w:hAnsi="Arial" w:cs="Arial"/>
          <w:color w:val="231E20"/>
        </w:rPr>
        <w:t xml:space="preserve">Stránka </w:t>
      </w:r>
      <w:r>
        <w:rPr>
          <w:rFonts w:ascii="Arial" w:eastAsia="Arial" w:hAnsi="Arial" w:cs="Arial"/>
          <w:b/>
          <w:bCs/>
          <w:color w:val="231E20"/>
        </w:rPr>
        <w:t xml:space="preserve">9 </w:t>
      </w:r>
      <w:r>
        <w:rPr>
          <w:rFonts w:ascii="Arial" w:eastAsia="Arial" w:hAnsi="Arial" w:cs="Arial"/>
          <w:color w:val="231E20"/>
        </w:rPr>
        <w:t xml:space="preserve">z </w:t>
      </w:r>
      <w:r>
        <w:rPr>
          <w:rFonts w:ascii="Arial" w:eastAsia="Arial" w:hAnsi="Arial" w:cs="Arial"/>
          <w:b/>
          <w:bCs/>
          <w:color w:val="231E20"/>
        </w:rPr>
        <w:t>10</w:t>
      </w:r>
    </w:p>
    <w:p w14:paraId="323F1379"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38DAE8CB" w14:textId="77777777" w:rsidR="00EC1C40" w:rsidRDefault="00EC1C40">
      <w:pPr>
        <w:spacing w:line="1" w:lineRule="exact"/>
      </w:pPr>
    </w:p>
    <w:p w14:paraId="4121736F" w14:textId="77777777" w:rsidR="00EC1C40" w:rsidRDefault="00000000">
      <w:pPr>
        <w:pStyle w:val="Zhlavnebozpat0"/>
        <w:framePr w:wrap="none" w:vAnchor="page" w:hAnchor="page" w:x="9625" w:y="999"/>
      </w:pPr>
      <w:r>
        <w:rPr>
          <w:rFonts w:ascii="Arial" w:eastAsia="Arial" w:hAnsi="Arial" w:cs="Arial"/>
          <w:color w:val="231E20"/>
        </w:rPr>
        <w:t>V_0.../MO3</w:t>
      </w:r>
    </w:p>
    <w:p w14:paraId="3B56524D" w14:textId="77777777" w:rsidR="00EC1C40" w:rsidRDefault="00000000">
      <w:pPr>
        <w:pStyle w:val="Zkladntext110"/>
        <w:framePr w:wrap="none" w:vAnchor="page" w:hAnchor="page" w:x="1532" w:y="1704"/>
        <w:spacing w:after="0" w:line="240" w:lineRule="auto"/>
      </w:pPr>
      <w:r>
        <w:rPr>
          <w:i w:val="0"/>
          <w:iCs w:val="0"/>
          <w:color w:val="231E20"/>
        </w:rPr>
        <w:t>Příloha č. 2:</w:t>
      </w:r>
    </w:p>
    <w:p w14:paraId="79A019CD" w14:textId="77777777" w:rsidR="00EC1C40" w:rsidRDefault="00000000">
      <w:pPr>
        <w:framePr w:wrap="none" w:vAnchor="page" w:hAnchor="page" w:x="1537" w:y="2856"/>
        <w:rPr>
          <w:sz w:val="2"/>
          <w:szCs w:val="2"/>
        </w:rPr>
      </w:pPr>
      <w:r>
        <w:rPr>
          <w:noProof/>
        </w:rPr>
        <w:drawing>
          <wp:inline distT="0" distB="0" distL="0" distR="0" wp14:anchorId="1D8137A5" wp14:editId="01407E9A">
            <wp:extent cx="6004560" cy="4175760"/>
            <wp:effectExtent l="0" t="0" r="0" b="0"/>
            <wp:docPr id="196" name="Picutre 196"/>
            <wp:cNvGraphicFramePr/>
            <a:graphic xmlns:a="http://schemas.openxmlformats.org/drawingml/2006/main">
              <a:graphicData uri="http://schemas.openxmlformats.org/drawingml/2006/picture">
                <pic:pic xmlns:pic="http://schemas.openxmlformats.org/drawingml/2006/picture">
                  <pic:nvPicPr>
                    <pic:cNvPr id="196" name="Picture 196"/>
                    <pic:cNvPicPr/>
                  </pic:nvPicPr>
                  <pic:blipFill>
                    <a:blip r:embed="rId62"/>
                    <a:stretch/>
                  </pic:blipFill>
                  <pic:spPr>
                    <a:xfrm>
                      <a:off x="0" y="0"/>
                      <a:ext cx="6004560" cy="4175760"/>
                    </a:xfrm>
                    <a:prstGeom prst="rect">
                      <a:avLst/>
                    </a:prstGeom>
                  </pic:spPr>
                </pic:pic>
              </a:graphicData>
            </a:graphic>
          </wp:inline>
        </w:drawing>
      </w:r>
    </w:p>
    <w:p w14:paraId="0E0AD8C5" w14:textId="77777777" w:rsidR="00EC1C40" w:rsidRDefault="00000000">
      <w:pPr>
        <w:pStyle w:val="Zhlavnebozpat0"/>
        <w:framePr w:w="1339" w:h="226" w:hRule="exact" w:wrap="none" w:vAnchor="page" w:hAnchor="page" w:x="5405" w:y="15956"/>
        <w:jc w:val="center"/>
      </w:pPr>
      <w:r>
        <w:rPr>
          <w:rFonts w:ascii="Arial" w:eastAsia="Arial" w:hAnsi="Arial" w:cs="Arial"/>
          <w:color w:val="231E20"/>
        </w:rPr>
        <w:t xml:space="preserve">Stránka </w:t>
      </w:r>
      <w:r>
        <w:rPr>
          <w:rFonts w:ascii="Arial" w:eastAsia="Arial" w:hAnsi="Arial" w:cs="Arial"/>
          <w:b/>
          <w:bCs/>
          <w:color w:val="231E20"/>
        </w:rPr>
        <w:t xml:space="preserve">10 </w:t>
      </w:r>
      <w:r>
        <w:rPr>
          <w:rFonts w:ascii="Arial" w:eastAsia="Arial" w:hAnsi="Arial" w:cs="Arial"/>
          <w:color w:val="231E20"/>
        </w:rPr>
        <w:t xml:space="preserve">z </w:t>
      </w:r>
      <w:r>
        <w:rPr>
          <w:rFonts w:ascii="Arial" w:eastAsia="Arial" w:hAnsi="Arial" w:cs="Arial"/>
          <w:b/>
          <w:bCs/>
          <w:color w:val="231E20"/>
        </w:rPr>
        <w:t>10</w:t>
      </w:r>
    </w:p>
    <w:p w14:paraId="512AA474"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6BF3DA64" w14:textId="77777777" w:rsidR="00EC1C40" w:rsidRDefault="00EC1C40">
      <w:pPr>
        <w:spacing w:line="1" w:lineRule="exact"/>
      </w:pPr>
    </w:p>
    <w:p w14:paraId="050E2FE2" w14:textId="77777777" w:rsidR="00EC1C40" w:rsidRDefault="00000000">
      <w:pPr>
        <w:pStyle w:val="Zkladntext80"/>
        <w:framePr w:wrap="none" w:vAnchor="page" w:hAnchor="page" w:x="4748" w:y="5079"/>
        <w:jc w:val="left"/>
        <w:rPr>
          <w:sz w:val="50"/>
          <w:szCs w:val="50"/>
        </w:rPr>
      </w:pPr>
      <w:r>
        <w:t>Příloh</w:t>
      </w:r>
      <w:r>
        <w:rPr>
          <w:rFonts w:ascii="Calibri" w:eastAsia="Calibri" w:hAnsi="Calibri" w:cs="Calibri"/>
          <w:b/>
          <w:bCs/>
          <w:smallCaps/>
          <w:sz w:val="50"/>
          <w:szCs w:val="50"/>
        </w:rPr>
        <w:t>a</w:t>
      </w:r>
      <w:r>
        <w:t xml:space="preserve"> č. </w:t>
      </w:r>
      <w:r>
        <w:rPr>
          <w:rFonts w:ascii="Calibri" w:eastAsia="Calibri" w:hAnsi="Calibri" w:cs="Calibri"/>
          <w:b/>
          <w:bCs/>
          <w:smallCaps/>
          <w:sz w:val="50"/>
          <w:szCs w:val="50"/>
        </w:rPr>
        <w:t>23</w:t>
      </w:r>
    </w:p>
    <w:p w14:paraId="0C4FA6D4"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66BFCF8E" w14:textId="77777777" w:rsidR="00EC1C40" w:rsidRDefault="00EC1C40">
      <w:pPr>
        <w:spacing w:line="1" w:lineRule="exact"/>
      </w:pPr>
    </w:p>
    <w:p w14:paraId="678A71CB" w14:textId="77777777" w:rsidR="00EC1C40" w:rsidRDefault="00000000">
      <w:pPr>
        <w:pStyle w:val="Jin0"/>
        <w:framePr w:wrap="none" w:vAnchor="page" w:hAnchor="page" w:x="967" w:y="5451"/>
        <w:spacing w:after="0"/>
        <w:ind w:left="34"/>
        <w:rPr>
          <w:sz w:val="14"/>
          <w:szCs w:val="14"/>
        </w:rPr>
      </w:pPr>
      <w:r>
        <w:rPr>
          <w:rFonts w:ascii="Arial" w:eastAsia="Arial" w:hAnsi="Arial" w:cs="Arial"/>
          <w:b/>
          <w:bCs/>
          <w:sz w:val="14"/>
          <w:szCs w:val="14"/>
          <w:u w:val="single"/>
        </w:rPr>
        <w:t>LEGENDA PLOCH / POZEMKŮ:</w:t>
      </w:r>
    </w:p>
    <w:p w14:paraId="453C7893" w14:textId="77777777" w:rsidR="00EC1C40" w:rsidRDefault="00000000">
      <w:pPr>
        <w:pStyle w:val="Jin0"/>
        <w:framePr w:w="2473" w:h="325" w:hRule="exact" w:wrap="none" w:vAnchor="page" w:hAnchor="page" w:x="1679" w:y="5776"/>
        <w:spacing w:after="0" w:line="276" w:lineRule="auto"/>
        <w:ind w:left="34"/>
        <w:rPr>
          <w:sz w:val="10"/>
          <w:szCs w:val="10"/>
        </w:rPr>
      </w:pPr>
      <w:r>
        <w:rPr>
          <w:rFonts w:ascii="Arial" w:eastAsia="Arial" w:hAnsi="Arial" w:cs="Arial"/>
          <w:b/>
          <w:bCs/>
          <w:sz w:val="10"/>
          <w:szCs w:val="10"/>
        </w:rPr>
        <w:t>PLOCHA DOTČENÁ ZÁMĚREM cca 18.900 m</w:t>
      </w:r>
      <w:r>
        <w:rPr>
          <w:rFonts w:ascii="Arial" w:eastAsia="Arial" w:hAnsi="Arial" w:cs="Arial"/>
          <w:b/>
          <w:bCs/>
          <w:sz w:val="10"/>
          <w:szCs w:val="10"/>
          <w:vertAlign w:val="superscript"/>
        </w:rPr>
        <w:t>2</w:t>
      </w:r>
      <w:r>
        <w:rPr>
          <w:rFonts w:ascii="Arial" w:eastAsia="Arial" w:hAnsi="Arial" w:cs="Arial"/>
          <w:b/>
          <w:bCs/>
          <w:sz w:val="10"/>
          <w:szCs w:val="10"/>
          <w:vertAlign w:val="superscript"/>
        </w:rPr>
        <w:br/>
      </w:r>
      <w:r>
        <w:rPr>
          <w:rFonts w:ascii="Arial" w:eastAsia="Arial" w:hAnsi="Arial" w:cs="Arial"/>
          <w:b/>
          <w:bCs/>
          <w:sz w:val="10"/>
          <w:szCs w:val="10"/>
        </w:rPr>
        <w:t>(celková plocha pozemku včetně staveb)</w:t>
      </w:r>
    </w:p>
    <w:p w14:paraId="3BEA7499" w14:textId="77777777" w:rsidR="00EC1C40" w:rsidRDefault="00000000">
      <w:pPr>
        <w:pStyle w:val="Jin0"/>
        <w:framePr w:w="1704" w:h="322" w:hRule="exact" w:wrap="none" w:vAnchor="page" w:hAnchor="page" w:x="1679" w:y="6284"/>
        <w:spacing w:after="0" w:line="269" w:lineRule="auto"/>
        <w:ind w:left="34"/>
        <w:rPr>
          <w:sz w:val="10"/>
          <w:szCs w:val="10"/>
        </w:rPr>
      </w:pPr>
      <w:r>
        <w:rPr>
          <w:rFonts w:ascii="Arial" w:eastAsia="Arial" w:hAnsi="Arial" w:cs="Arial"/>
          <w:b/>
          <w:bCs/>
          <w:sz w:val="10"/>
          <w:szCs w:val="10"/>
        </w:rPr>
        <w:t>PARKOVACÍ DŮM cca 6.000 m</w:t>
      </w:r>
      <w:r>
        <w:rPr>
          <w:rFonts w:ascii="Arial" w:eastAsia="Arial" w:hAnsi="Arial" w:cs="Arial"/>
          <w:b/>
          <w:bCs/>
          <w:sz w:val="10"/>
          <w:szCs w:val="10"/>
          <w:vertAlign w:val="superscript"/>
        </w:rPr>
        <w:t>2</w:t>
      </w:r>
      <w:r>
        <w:rPr>
          <w:rFonts w:ascii="Arial" w:eastAsia="Arial" w:hAnsi="Arial" w:cs="Arial"/>
          <w:b/>
          <w:bCs/>
          <w:sz w:val="10"/>
          <w:szCs w:val="10"/>
          <w:vertAlign w:val="superscript"/>
        </w:rPr>
        <w:br/>
      </w:r>
      <w:r>
        <w:rPr>
          <w:rFonts w:ascii="Arial" w:eastAsia="Arial" w:hAnsi="Arial" w:cs="Arial"/>
          <w:b/>
          <w:bCs/>
          <w:sz w:val="10"/>
          <w:szCs w:val="10"/>
        </w:rPr>
        <w:t>(pozemky pro prodej)</w:t>
      </w:r>
    </w:p>
    <w:p w14:paraId="2C87D937" w14:textId="77777777" w:rsidR="00EC1C40" w:rsidRDefault="00000000">
      <w:pPr>
        <w:pStyle w:val="Zkladntext30"/>
        <w:framePr w:wrap="none" w:vAnchor="page" w:hAnchor="page" w:x="974" w:y="7592"/>
        <w:spacing w:after="0"/>
        <w:ind w:left="13"/>
      </w:pPr>
      <w:r>
        <w:rPr>
          <w:b/>
          <w:bCs/>
          <w:color w:val="231E20"/>
          <w:u w:val="single"/>
        </w:rPr>
        <w:t>VYPIŠ DOTČENÝCH POZEMKU:</w:t>
      </w:r>
    </w:p>
    <w:p w14:paraId="72A4DF54" w14:textId="77777777" w:rsidR="00EC1C40" w:rsidRDefault="00000000">
      <w:pPr>
        <w:pStyle w:val="Jin0"/>
        <w:framePr w:w="2396" w:h="1620" w:hRule="exact" w:wrap="none" w:vAnchor="page" w:hAnchor="page" w:x="954" w:y="7931"/>
        <w:spacing w:after="0"/>
        <w:ind w:left="34"/>
        <w:rPr>
          <w:sz w:val="10"/>
          <w:szCs w:val="10"/>
        </w:rPr>
      </w:pPr>
      <w:r>
        <w:rPr>
          <w:rFonts w:ascii="Arial" w:eastAsia="Arial" w:hAnsi="Arial" w:cs="Arial"/>
          <w:b/>
          <w:bCs/>
          <w:sz w:val="10"/>
          <w:szCs w:val="10"/>
        </w:rPr>
        <w:t>Celkový přehled pozemků:</w:t>
      </w:r>
    </w:p>
    <w:p w14:paraId="3A189D3E" w14:textId="77777777" w:rsidR="00EC1C40" w:rsidRDefault="00000000">
      <w:pPr>
        <w:pStyle w:val="Jin0"/>
        <w:framePr w:w="2396" w:h="1620" w:hRule="exact" w:wrap="none" w:vAnchor="page" w:hAnchor="page" w:x="954" w:y="7931"/>
        <w:numPr>
          <w:ilvl w:val="0"/>
          <w:numId w:val="118"/>
        </w:numPr>
        <w:tabs>
          <w:tab w:val="left" w:pos="102"/>
        </w:tabs>
        <w:spacing w:after="0" w:line="228" w:lineRule="auto"/>
        <w:ind w:left="34"/>
        <w:rPr>
          <w:sz w:val="12"/>
          <w:szCs w:val="12"/>
        </w:rPr>
      </w:pPr>
      <w:proofErr w:type="spellStart"/>
      <w:r>
        <w:rPr>
          <w:rFonts w:ascii="Arial" w:eastAsia="Arial" w:hAnsi="Arial" w:cs="Arial"/>
          <w:sz w:val="12"/>
          <w:szCs w:val="12"/>
        </w:rPr>
        <w:t>p.p.č</w:t>
      </w:r>
      <w:proofErr w:type="spellEnd"/>
      <w:r>
        <w:rPr>
          <w:rFonts w:ascii="Arial" w:eastAsia="Arial" w:hAnsi="Arial" w:cs="Arial"/>
          <w:sz w:val="12"/>
          <w:szCs w:val="12"/>
        </w:rPr>
        <w:t>. 988/10 ... celý o výměře 629 m</w:t>
      </w:r>
      <w:r>
        <w:rPr>
          <w:rFonts w:ascii="Arial" w:eastAsia="Arial" w:hAnsi="Arial" w:cs="Arial"/>
          <w:sz w:val="12"/>
          <w:szCs w:val="12"/>
          <w:vertAlign w:val="superscript"/>
        </w:rPr>
        <w:t>2</w:t>
      </w:r>
    </w:p>
    <w:p w14:paraId="5D551396" w14:textId="77777777" w:rsidR="00EC1C40" w:rsidRDefault="00000000">
      <w:pPr>
        <w:pStyle w:val="Jin0"/>
        <w:framePr w:w="2396" w:h="1620" w:hRule="exact" w:wrap="none" w:vAnchor="page" w:hAnchor="page" w:x="954" w:y="7931"/>
        <w:numPr>
          <w:ilvl w:val="0"/>
          <w:numId w:val="118"/>
        </w:numPr>
        <w:tabs>
          <w:tab w:val="left" w:pos="102"/>
        </w:tabs>
        <w:spacing w:after="0" w:line="228" w:lineRule="auto"/>
        <w:ind w:left="34"/>
        <w:rPr>
          <w:sz w:val="12"/>
          <w:szCs w:val="12"/>
        </w:rPr>
      </w:pPr>
      <w:proofErr w:type="spellStart"/>
      <w:r>
        <w:rPr>
          <w:rFonts w:ascii="Arial" w:eastAsia="Arial" w:hAnsi="Arial" w:cs="Arial"/>
          <w:sz w:val="12"/>
          <w:szCs w:val="12"/>
        </w:rPr>
        <w:t>p.p.č</w:t>
      </w:r>
      <w:proofErr w:type="spellEnd"/>
      <w:r>
        <w:rPr>
          <w:rFonts w:ascii="Arial" w:eastAsia="Arial" w:hAnsi="Arial" w:cs="Arial"/>
          <w:sz w:val="12"/>
          <w:szCs w:val="12"/>
        </w:rPr>
        <w:t>. 988/11 ... část o výměře cca 100 m</w:t>
      </w:r>
      <w:r>
        <w:rPr>
          <w:rFonts w:ascii="Arial" w:eastAsia="Arial" w:hAnsi="Arial" w:cs="Arial"/>
          <w:sz w:val="12"/>
          <w:szCs w:val="12"/>
          <w:vertAlign w:val="superscript"/>
        </w:rPr>
        <w:t>2</w:t>
      </w:r>
    </w:p>
    <w:p w14:paraId="23DD46F2" w14:textId="77777777" w:rsidR="00EC1C40" w:rsidRDefault="00000000">
      <w:pPr>
        <w:pStyle w:val="Jin0"/>
        <w:framePr w:w="2396" w:h="1620" w:hRule="exact" w:wrap="none" w:vAnchor="page" w:hAnchor="page" w:x="954" w:y="7931"/>
        <w:numPr>
          <w:ilvl w:val="0"/>
          <w:numId w:val="118"/>
        </w:numPr>
        <w:tabs>
          <w:tab w:val="left" w:pos="102"/>
        </w:tabs>
        <w:spacing w:after="0" w:line="223" w:lineRule="auto"/>
        <w:ind w:left="34"/>
        <w:rPr>
          <w:sz w:val="12"/>
          <w:szCs w:val="12"/>
        </w:rPr>
      </w:pPr>
      <w:proofErr w:type="spellStart"/>
      <w:r>
        <w:rPr>
          <w:rFonts w:ascii="Arial" w:eastAsia="Arial" w:hAnsi="Arial" w:cs="Arial"/>
          <w:sz w:val="12"/>
          <w:szCs w:val="12"/>
        </w:rPr>
        <w:t>p.p.č</w:t>
      </w:r>
      <w:proofErr w:type="spellEnd"/>
      <w:r>
        <w:rPr>
          <w:rFonts w:ascii="Arial" w:eastAsia="Arial" w:hAnsi="Arial" w:cs="Arial"/>
          <w:sz w:val="12"/>
          <w:szCs w:val="12"/>
        </w:rPr>
        <w:t>. 988/12 ... část o výměře cca 10.900 m</w:t>
      </w:r>
      <w:r>
        <w:rPr>
          <w:rFonts w:ascii="Arial" w:eastAsia="Arial" w:hAnsi="Arial" w:cs="Arial"/>
          <w:sz w:val="12"/>
          <w:szCs w:val="12"/>
          <w:vertAlign w:val="superscript"/>
        </w:rPr>
        <w:t>:</w:t>
      </w:r>
    </w:p>
    <w:p w14:paraId="7AF78981" w14:textId="77777777" w:rsidR="00EC1C40" w:rsidRDefault="00000000">
      <w:pPr>
        <w:pStyle w:val="Jin0"/>
        <w:framePr w:w="2396" w:h="1620" w:hRule="exact" w:wrap="none" w:vAnchor="page" w:hAnchor="page" w:x="954" w:y="7931"/>
        <w:numPr>
          <w:ilvl w:val="0"/>
          <w:numId w:val="118"/>
        </w:numPr>
        <w:tabs>
          <w:tab w:val="left" w:pos="102"/>
        </w:tabs>
        <w:spacing w:after="0" w:line="228" w:lineRule="auto"/>
        <w:ind w:left="34"/>
        <w:rPr>
          <w:sz w:val="12"/>
          <w:szCs w:val="12"/>
        </w:rPr>
      </w:pPr>
      <w:proofErr w:type="spellStart"/>
      <w:r>
        <w:rPr>
          <w:rFonts w:ascii="Arial" w:eastAsia="Arial" w:hAnsi="Arial" w:cs="Arial"/>
          <w:sz w:val="12"/>
          <w:szCs w:val="12"/>
        </w:rPr>
        <w:t>p.p.č</w:t>
      </w:r>
      <w:proofErr w:type="spellEnd"/>
      <w:r>
        <w:rPr>
          <w:rFonts w:ascii="Arial" w:eastAsia="Arial" w:hAnsi="Arial" w:cs="Arial"/>
          <w:sz w:val="12"/>
          <w:szCs w:val="12"/>
        </w:rPr>
        <w:t>. 988/16 ... část o výměře cca 300 m</w:t>
      </w:r>
      <w:r>
        <w:rPr>
          <w:rFonts w:ascii="Arial" w:eastAsia="Arial" w:hAnsi="Arial" w:cs="Arial"/>
          <w:sz w:val="12"/>
          <w:szCs w:val="12"/>
          <w:vertAlign w:val="superscript"/>
        </w:rPr>
        <w:t>2</w:t>
      </w:r>
    </w:p>
    <w:p w14:paraId="056300AB" w14:textId="77777777" w:rsidR="00EC1C40" w:rsidRDefault="00000000">
      <w:pPr>
        <w:pStyle w:val="Jin0"/>
        <w:framePr w:w="2396" w:h="1620" w:hRule="exact" w:wrap="none" w:vAnchor="page" w:hAnchor="page" w:x="954" w:y="7931"/>
        <w:numPr>
          <w:ilvl w:val="0"/>
          <w:numId w:val="118"/>
        </w:numPr>
        <w:tabs>
          <w:tab w:val="left" w:pos="102"/>
        </w:tabs>
        <w:spacing w:after="0" w:line="228" w:lineRule="auto"/>
        <w:ind w:left="34"/>
        <w:rPr>
          <w:sz w:val="12"/>
          <w:szCs w:val="12"/>
        </w:rPr>
      </w:pPr>
      <w:proofErr w:type="spellStart"/>
      <w:r>
        <w:rPr>
          <w:rFonts w:ascii="Arial" w:eastAsia="Arial" w:hAnsi="Arial" w:cs="Arial"/>
          <w:sz w:val="12"/>
          <w:szCs w:val="12"/>
        </w:rPr>
        <w:t>p.p.č</w:t>
      </w:r>
      <w:proofErr w:type="spellEnd"/>
      <w:r>
        <w:rPr>
          <w:rFonts w:ascii="Arial" w:eastAsia="Arial" w:hAnsi="Arial" w:cs="Arial"/>
          <w:sz w:val="12"/>
          <w:szCs w:val="12"/>
        </w:rPr>
        <w:t>. 988/22 ... část o výměře cca 1.700 m</w:t>
      </w:r>
      <w:r>
        <w:rPr>
          <w:rFonts w:ascii="Arial" w:eastAsia="Arial" w:hAnsi="Arial" w:cs="Arial"/>
          <w:sz w:val="12"/>
          <w:szCs w:val="12"/>
          <w:vertAlign w:val="superscript"/>
        </w:rPr>
        <w:t>2</w:t>
      </w:r>
    </w:p>
    <w:p w14:paraId="421D5BB0" w14:textId="77777777" w:rsidR="00EC1C40" w:rsidRDefault="00000000">
      <w:pPr>
        <w:pStyle w:val="Jin0"/>
        <w:framePr w:w="2396" w:h="1620" w:hRule="exact" w:wrap="none" w:vAnchor="page" w:hAnchor="page" w:x="954" w:y="7931"/>
        <w:numPr>
          <w:ilvl w:val="0"/>
          <w:numId w:val="118"/>
        </w:numPr>
        <w:tabs>
          <w:tab w:val="left" w:pos="102"/>
        </w:tabs>
        <w:spacing w:after="0" w:line="228" w:lineRule="auto"/>
        <w:ind w:left="34"/>
        <w:rPr>
          <w:sz w:val="12"/>
          <w:szCs w:val="12"/>
        </w:rPr>
      </w:pPr>
      <w:proofErr w:type="spellStart"/>
      <w:r>
        <w:rPr>
          <w:rFonts w:ascii="Arial" w:eastAsia="Arial" w:hAnsi="Arial" w:cs="Arial"/>
          <w:sz w:val="12"/>
          <w:szCs w:val="12"/>
        </w:rPr>
        <w:t>p.p.č</w:t>
      </w:r>
      <w:proofErr w:type="spellEnd"/>
      <w:r>
        <w:rPr>
          <w:rFonts w:ascii="Arial" w:eastAsia="Arial" w:hAnsi="Arial" w:cs="Arial"/>
          <w:sz w:val="12"/>
          <w:szCs w:val="12"/>
        </w:rPr>
        <w:t>. 2720/29 ... celý o výměře 170 m</w:t>
      </w:r>
      <w:r>
        <w:rPr>
          <w:rFonts w:ascii="Arial" w:eastAsia="Arial" w:hAnsi="Arial" w:cs="Arial"/>
          <w:sz w:val="12"/>
          <w:szCs w:val="12"/>
          <w:vertAlign w:val="superscript"/>
        </w:rPr>
        <w:t>2</w:t>
      </w:r>
    </w:p>
    <w:p w14:paraId="7B535849" w14:textId="77777777" w:rsidR="00EC1C40" w:rsidRDefault="00000000">
      <w:pPr>
        <w:pStyle w:val="Jin0"/>
        <w:framePr w:w="2396" w:h="1620" w:hRule="exact" w:wrap="none" w:vAnchor="page" w:hAnchor="page" w:x="954" w:y="7931"/>
        <w:numPr>
          <w:ilvl w:val="0"/>
          <w:numId w:val="118"/>
        </w:numPr>
        <w:tabs>
          <w:tab w:val="left" w:pos="102"/>
        </w:tabs>
        <w:spacing w:after="0" w:line="228" w:lineRule="auto"/>
        <w:ind w:left="34"/>
        <w:rPr>
          <w:sz w:val="12"/>
          <w:szCs w:val="12"/>
        </w:rPr>
      </w:pPr>
      <w:proofErr w:type="spellStart"/>
      <w:r>
        <w:rPr>
          <w:rFonts w:ascii="Arial" w:eastAsia="Arial" w:hAnsi="Arial" w:cs="Arial"/>
          <w:sz w:val="12"/>
          <w:szCs w:val="12"/>
        </w:rPr>
        <w:t>p.p.č</w:t>
      </w:r>
      <w:proofErr w:type="spellEnd"/>
      <w:r>
        <w:rPr>
          <w:rFonts w:ascii="Arial" w:eastAsia="Arial" w:hAnsi="Arial" w:cs="Arial"/>
          <w:sz w:val="12"/>
          <w:szCs w:val="12"/>
        </w:rPr>
        <w:t>. 4066/11 ... část o výměře cca 400 m</w:t>
      </w:r>
      <w:r>
        <w:rPr>
          <w:rFonts w:ascii="Arial" w:eastAsia="Arial" w:hAnsi="Arial" w:cs="Arial"/>
          <w:sz w:val="12"/>
          <w:szCs w:val="12"/>
          <w:vertAlign w:val="superscript"/>
        </w:rPr>
        <w:t>2</w:t>
      </w:r>
    </w:p>
    <w:p w14:paraId="476ED132" w14:textId="77777777" w:rsidR="00EC1C40" w:rsidRDefault="00000000">
      <w:pPr>
        <w:pStyle w:val="Jin0"/>
        <w:framePr w:w="2396" w:h="1620" w:hRule="exact" w:wrap="none" w:vAnchor="page" w:hAnchor="page" w:x="954" w:y="7931"/>
        <w:numPr>
          <w:ilvl w:val="0"/>
          <w:numId w:val="118"/>
        </w:numPr>
        <w:tabs>
          <w:tab w:val="left" w:pos="102"/>
        </w:tabs>
        <w:spacing w:after="0" w:line="223" w:lineRule="auto"/>
        <w:ind w:left="34"/>
        <w:rPr>
          <w:sz w:val="12"/>
          <w:szCs w:val="12"/>
        </w:rPr>
      </w:pPr>
      <w:proofErr w:type="spellStart"/>
      <w:r>
        <w:rPr>
          <w:rFonts w:ascii="Arial" w:eastAsia="Arial" w:hAnsi="Arial" w:cs="Arial"/>
          <w:sz w:val="12"/>
          <w:szCs w:val="12"/>
        </w:rPr>
        <w:t>p.p.č</w:t>
      </w:r>
      <w:proofErr w:type="spellEnd"/>
      <w:r>
        <w:rPr>
          <w:rFonts w:ascii="Arial" w:eastAsia="Arial" w:hAnsi="Arial" w:cs="Arial"/>
          <w:sz w:val="12"/>
          <w:szCs w:val="12"/>
        </w:rPr>
        <w:t>. 5000 ... celý o výměře 2.034 m</w:t>
      </w:r>
      <w:r>
        <w:rPr>
          <w:rFonts w:ascii="Arial" w:eastAsia="Arial" w:hAnsi="Arial" w:cs="Arial"/>
          <w:sz w:val="12"/>
          <w:szCs w:val="12"/>
          <w:vertAlign w:val="superscript"/>
        </w:rPr>
        <w:t>2</w:t>
      </w:r>
    </w:p>
    <w:p w14:paraId="015C3B91" w14:textId="77777777" w:rsidR="00EC1C40" w:rsidRDefault="00000000">
      <w:pPr>
        <w:pStyle w:val="Jin0"/>
        <w:framePr w:w="2396" w:h="1620" w:hRule="exact" w:wrap="none" w:vAnchor="page" w:hAnchor="page" w:x="954" w:y="7931"/>
        <w:numPr>
          <w:ilvl w:val="0"/>
          <w:numId w:val="118"/>
        </w:numPr>
        <w:tabs>
          <w:tab w:val="left" w:pos="102"/>
        </w:tabs>
        <w:spacing w:after="0" w:line="228" w:lineRule="auto"/>
        <w:ind w:left="34"/>
        <w:rPr>
          <w:sz w:val="12"/>
          <w:szCs w:val="12"/>
        </w:rPr>
      </w:pPr>
      <w:proofErr w:type="spellStart"/>
      <w:r>
        <w:rPr>
          <w:rFonts w:ascii="Arial" w:eastAsia="Arial" w:hAnsi="Arial" w:cs="Arial"/>
          <w:sz w:val="12"/>
          <w:szCs w:val="12"/>
        </w:rPr>
        <w:t>p.p.č</w:t>
      </w:r>
      <w:proofErr w:type="spellEnd"/>
      <w:r>
        <w:rPr>
          <w:rFonts w:ascii="Arial" w:eastAsia="Arial" w:hAnsi="Arial" w:cs="Arial"/>
          <w:sz w:val="12"/>
          <w:szCs w:val="12"/>
        </w:rPr>
        <w:t>. 5001 ... celý o výměře 2.070 m</w:t>
      </w:r>
      <w:r>
        <w:rPr>
          <w:rFonts w:ascii="Arial" w:eastAsia="Arial" w:hAnsi="Arial" w:cs="Arial"/>
          <w:sz w:val="12"/>
          <w:szCs w:val="12"/>
          <w:vertAlign w:val="superscript"/>
        </w:rPr>
        <w:t>2</w:t>
      </w:r>
    </w:p>
    <w:p w14:paraId="4A65D954" w14:textId="77777777" w:rsidR="00EC1C40" w:rsidRDefault="00000000">
      <w:pPr>
        <w:pStyle w:val="Jin0"/>
        <w:framePr w:w="2396" w:h="1620" w:hRule="exact" w:wrap="none" w:vAnchor="page" w:hAnchor="page" w:x="954" w:y="7931"/>
        <w:numPr>
          <w:ilvl w:val="0"/>
          <w:numId w:val="118"/>
        </w:numPr>
        <w:tabs>
          <w:tab w:val="left" w:pos="102"/>
        </w:tabs>
        <w:spacing w:after="0" w:line="228" w:lineRule="auto"/>
        <w:ind w:left="34"/>
        <w:rPr>
          <w:sz w:val="12"/>
          <w:szCs w:val="12"/>
        </w:rPr>
      </w:pPr>
      <w:proofErr w:type="spellStart"/>
      <w:r>
        <w:rPr>
          <w:rFonts w:ascii="Arial" w:eastAsia="Arial" w:hAnsi="Arial" w:cs="Arial"/>
          <w:sz w:val="12"/>
          <w:szCs w:val="12"/>
        </w:rPr>
        <w:t>p.p.č</w:t>
      </w:r>
      <w:proofErr w:type="spellEnd"/>
      <w:r>
        <w:rPr>
          <w:rFonts w:ascii="Arial" w:eastAsia="Arial" w:hAnsi="Arial" w:cs="Arial"/>
          <w:sz w:val="12"/>
          <w:szCs w:val="12"/>
        </w:rPr>
        <w:t>. 5002 ... celý o výměře 303 m</w:t>
      </w:r>
      <w:r>
        <w:rPr>
          <w:rFonts w:ascii="Arial" w:eastAsia="Arial" w:hAnsi="Arial" w:cs="Arial"/>
          <w:sz w:val="12"/>
          <w:szCs w:val="12"/>
          <w:vertAlign w:val="superscript"/>
        </w:rPr>
        <w:t>2</w:t>
      </w:r>
    </w:p>
    <w:p w14:paraId="404F5970" w14:textId="77777777" w:rsidR="00EC1C40" w:rsidRDefault="00000000">
      <w:pPr>
        <w:pStyle w:val="Jin0"/>
        <w:framePr w:w="2396" w:h="1620" w:hRule="exact" w:wrap="none" w:vAnchor="page" w:hAnchor="page" w:x="954" w:y="7931"/>
        <w:numPr>
          <w:ilvl w:val="0"/>
          <w:numId w:val="118"/>
        </w:numPr>
        <w:tabs>
          <w:tab w:val="left" w:pos="102"/>
        </w:tabs>
        <w:spacing w:after="0" w:line="228" w:lineRule="auto"/>
        <w:ind w:left="34"/>
        <w:rPr>
          <w:sz w:val="12"/>
          <w:szCs w:val="12"/>
        </w:rPr>
      </w:pPr>
      <w:proofErr w:type="spellStart"/>
      <w:r>
        <w:rPr>
          <w:rFonts w:ascii="Arial" w:eastAsia="Arial" w:hAnsi="Arial" w:cs="Arial"/>
          <w:sz w:val="12"/>
          <w:szCs w:val="12"/>
        </w:rPr>
        <w:t>p.p.č</w:t>
      </w:r>
      <w:proofErr w:type="spellEnd"/>
      <w:r>
        <w:rPr>
          <w:rFonts w:ascii="Arial" w:eastAsia="Arial" w:hAnsi="Arial" w:cs="Arial"/>
          <w:sz w:val="12"/>
          <w:szCs w:val="12"/>
        </w:rPr>
        <w:t>. 5003 ... celý o výměře 302 m</w:t>
      </w:r>
      <w:r>
        <w:rPr>
          <w:rFonts w:ascii="Arial" w:eastAsia="Arial" w:hAnsi="Arial" w:cs="Arial"/>
          <w:sz w:val="12"/>
          <w:szCs w:val="12"/>
          <w:vertAlign w:val="superscript"/>
        </w:rPr>
        <w:t>2</w:t>
      </w:r>
    </w:p>
    <w:p w14:paraId="3F26EE89" w14:textId="77777777" w:rsidR="00EC1C40" w:rsidRDefault="00000000">
      <w:pPr>
        <w:pStyle w:val="Jin0"/>
        <w:framePr w:w="2341" w:h="569" w:hRule="exact" w:wrap="none" w:vAnchor="page" w:hAnchor="page" w:x="960" w:y="9646"/>
        <w:spacing w:after="0"/>
        <w:ind w:left="27"/>
        <w:rPr>
          <w:sz w:val="10"/>
          <w:szCs w:val="10"/>
        </w:rPr>
      </w:pPr>
      <w:r>
        <w:rPr>
          <w:rFonts w:ascii="Arial" w:eastAsia="Arial" w:hAnsi="Arial" w:cs="Arial"/>
          <w:b/>
          <w:bCs/>
          <w:sz w:val="10"/>
          <w:szCs w:val="10"/>
        </w:rPr>
        <w:t>Parkovací dům (pozemky pro prodej):</w:t>
      </w:r>
    </w:p>
    <w:p w14:paraId="5399D73C" w14:textId="77777777" w:rsidR="00EC1C40" w:rsidRDefault="00000000">
      <w:pPr>
        <w:pStyle w:val="Jin0"/>
        <w:framePr w:w="2341" w:h="569" w:hRule="exact" w:wrap="none" w:vAnchor="page" w:hAnchor="page" w:x="960" w:y="9646"/>
        <w:numPr>
          <w:ilvl w:val="0"/>
          <w:numId w:val="119"/>
        </w:numPr>
        <w:tabs>
          <w:tab w:val="left" w:pos="98"/>
        </w:tabs>
        <w:spacing w:after="0" w:line="223" w:lineRule="auto"/>
        <w:ind w:left="34"/>
        <w:rPr>
          <w:sz w:val="12"/>
          <w:szCs w:val="12"/>
        </w:rPr>
      </w:pPr>
      <w:proofErr w:type="spellStart"/>
      <w:r>
        <w:rPr>
          <w:rFonts w:ascii="Arial" w:eastAsia="Arial" w:hAnsi="Arial" w:cs="Arial"/>
          <w:sz w:val="12"/>
          <w:szCs w:val="12"/>
        </w:rPr>
        <w:t>p.p.č</w:t>
      </w:r>
      <w:proofErr w:type="spellEnd"/>
      <w:r>
        <w:rPr>
          <w:rFonts w:ascii="Arial" w:eastAsia="Arial" w:hAnsi="Arial" w:cs="Arial"/>
          <w:sz w:val="12"/>
          <w:szCs w:val="12"/>
        </w:rPr>
        <w:t>. 988/12 ... část o výměře cca 3.200 m</w:t>
      </w:r>
      <w:r>
        <w:rPr>
          <w:rFonts w:ascii="Arial" w:eastAsia="Arial" w:hAnsi="Arial" w:cs="Arial"/>
          <w:sz w:val="12"/>
          <w:szCs w:val="12"/>
          <w:vertAlign w:val="superscript"/>
        </w:rPr>
        <w:t>2</w:t>
      </w:r>
    </w:p>
    <w:p w14:paraId="4FE2EDFD" w14:textId="77777777" w:rsidR="00EC1C40" w:rsidRDefault="00000000">
      <w:pPr>
        <w:pStyle w:val="Jin0"/>
        <w:framePr w:w="2341" w:h="569" w:hRule="exact" w:wrap="none" w:vAnchor="page" w:hAnchor="page" w:x="960" w:y="9646"/>
        <w:numPr>
          <w:ilvl w:val="0"/>
          <w:numId w:val="119"/>
        </w:numPr>
        <w:tabs>
          <w:tab w:val="left" w:pos="98"/>
        </w:tabs>
        <w:spacing w:after="0" w:line="228" w:lineRule="auto"/>
        <w:ind w:left="34"/>
        <w:rPr>
          <w:sz w:val="12"/>
          <w:szCs w:val="12"/>
        </w:rPr>
      </w:pPr>
      <w:proofErr w:type="spellStart"/>
      <w:r>
        <w:rPr>
          <w:rFonts w:ascii="Arial" w:eastAsia="Arial" w:hAnsi="Arial" w:cs="Arial"/>
          <w:sz w:val="12"/>
          <w:szCs w:val="12"/>
        </w:rPr>
        <w:t>p.p.č</w:t>
      </w:r>
      <w:proofErr w:type="spellEnd"/>
      <w:r>
        <w:rPr>
          <w:rFonts w:ascii="Arial" w:eastAsia="Arial" w:hAnsi="Arial" w:cs="Arial"/>
          <w:sz w:val="12"/>
          <w:szCs w:val="12"/>
        </w:rPr>
        <w:t>. 988/22 ... část o výměře cca 800 m</w:t>
      </w:r>
      <w:r>
        <w:rPr>
          <w:rFonts w:ascii="Arial" w:eastAsia="Arial" w:hAnsi="Arial" w:cs="Arial"/>
          <w:sz w:val="12"/>
          <w:szCs w:val="12"/>
          <w:vertAlign w:val="superscript"/>
        </w:rPr>
        <w:t>2</w:t>
      </w:r>
    </w:p>
    <w:p w14:paraId="4FD0F0E7" w14:textId="77777777" w:rsidR="00EC1C40" w:rsidRDefault="00000000">
      <w:pPr>
        <w:pStyle w:val="Jin0"/>
        <w:framePr w:w="2341" w:h="569" w:hRule="exact" w:wrap="none" w:vAnchor="page" w:hAnchor="page" w:x="960" w:y="9646"/>
        <w:numPr>
          <w:ilvl w:val="0"/>
          <w:numId w:val="119"/>
        </w:numPr>
        <w:tabs>
          <w:tab w:val="left" w:pos="98"/>
        </w:tabs>
        <w:spacing w:after="0" w:line="228" w:lineRule="auto"/>
        <w:ind w:left="34"/>
        <w:rPr>
          <w:sz w:val="12"/>
          <w:szCs w:val="12"/>
        </w:rPr>
      </w:pPr>
      <w:proofErr w:type="spellStart"/>
      <w:r>
        <w:rPr>
          <w:rFonts w:ascii="Arial" w:eastAsia="Arial" w:hAnsi="Arial" w:cs="Arial"/>
          <w:sz w:val="12"/>
          <w:szCs w:val="12"/>
        </w:rPr>
        <w:t>p.p.č</w:t>
      </w:r>
      <w:proofErr w:type="spellEnd"/>
      <w:r>
        <w:rPr>
          <w:rFonts w:ascii="Arial" w:eastAsia="Arial" w:hAnsi="Arial" w:cs="Arial"/>
          <w:sz w:val="12"/>
          <w:szCs w:val="12"/>
        </w:rPr>
        <w:t>. 5000 ... celý o výměře 2.034 m</w:t>
      </w:r>
      <w:r>
        <w:rPr>
          <w:rFonts w:ascii="Arial" w:eastAsia="Arial" w:hAnsi="Arial" w:cs="Arial"/>
          <w:sz w:val="12"/>
          <w:szCs w:val="12"/>
          <w:vertAlign w:val="superscript"/>
        </w:rPr>
        <w:t>2</w:t>
      </w:r>
    </w:p>
    <w:p w14:paraId="1DB6C0A3" w14:textId="77777777" w:rsidR="00EC1C40" w:rsidRDefault="00000000">
      <w:pPr>
        <w:pStyle w:val="Jin0"/>
        <w:framePr w:w="1775" w:h="705" w:hRule="exact" w:wrap="none" w:vAnchor="page" w:hAnchor="page" w:x="9729" w:y="8189"/>
        <w:spacing w:after="0" w:line="286" w:lineRule="auto"/>
        <w:ind w:right="7"/>
        <w:jc w:val="center"/>
        <w:rPr>
          <w:sz w:val="16"/>
          <w:szCs w:val="16"/>
        </w:rPr>
      </w:pPr>
      <w:r>
        <w:rPr>
          <w:rFonts w:ascii="Arial" w:eastAsia="Arial" w:hAnsi="Arial" w:cs="Arial"/>
          <w:b/>
          <w:bCs/>
          <w:color w:val="844151"/>
          <w:sz w:val="16"/>
          <w:szCs w:val="16"/>
        </w:rPr>
        <w:t>NOVÁ OKRUŽNÍ</w:t>
      </w:r>
      <w:r>
        <w:rPr>
          <w:rFonts w:ascii="Arial" w:eastAsia="Arial" w:hAnsi="Arial" w:cs="Arial"/>
          <w:b/>
          <w:bCs/>
          <w:color w:val="844151"/>
          <w:sz w:val="16"/>
          <w:szCs w:val="16"/>
        </w:rPr>
        <w:br/>
        <w:t>KŘIŽOVATKA PRO</w:t>
      </w:r>
      <w:r>
        <w:rPr>
          <w:rFonts w:ascii="Arial" w:eastAsia="Arial" w:hAnsi="Arial" w:cs="Arial"/>
          <w:b/>
          <w:bCs/>
          <w:color w:val="844151"/>
          <w:sz w:val="16"/>
          <w:szCs w:val="16"/>
        </w:rPr>
        <w:br/>
        <w:t>NAPOJENÍ LOKALITY</w:t>
      </w:r>
    </w:p>
    <w:p w14:paraId="0708E437" w14:textId="77777777" w:rsidR="00EC1C40" w:rsidRDefault="00000000">
      <w:pPr>
        <w:spacing w:line="1" w:lineRule="exact"/>
        <w:sectPr w:rsidR="00EC1C40">
          <w:pgSz w:w="12148" w:h="17375"/>
          <w:pgMar w:top="360" w:right="360" w:bottom="360" w:left="360" w:header="0" w:footer="3" w:gutter="0"/>
          <w:cols w:space="720"/>
          <w:noEndnote/>
          <w:docGrid w:linePitch="360"/>
        </w:sectPr>
      </w:pPr>
      <w:r>
        <w:rPr>
          <w:noProof/>
        </w:rPr>
        <w:drawing>
          <wp:anchor distT="0" distB="0" distL="0" distR="0" simplePos="0" relativeHeight="251729408" behindDoc="1" locked="0" layoutInCell="1" allowOverlap="1" wp14:anchorId="22457C44" wp14:editId="5EBCF785">
            <wp:simplePos x="0" y="0"/>
            <wp:positionH relativeFrom="page">
              <wp:posOffset>75565</wp:posOffset>
            </wp:positionH>
            <wp:positionV relativeFrom="page">
              <wp:posOffset>2875280</wp:posOffset>
            </wp:positionV>
            <wp:extent cx="7565390" cy="5291455"/>
            <wp:effectExtent l="0" t="0" r="0" b="0"/>
            <wp:wrapNone/>
            <wp:docPr id="197" name="Shape 197"/>
            <wp:cNvGraphicFramePr/>
            <a:graphic xmlns:a="http://schemas.openxmlformats.org/drawingml/2006/main">
              <a:graphicData uri="http://schemas.openxmlformats.org/drawingml/2006/picture">
                <pic:pic xmlns:pic="http://schemas.openxmlformats.org/drawingml/2006/picture">
                  <pic:nvPicPr>
                    <pic:cNvPr id="198" name="Picture box 198"/>
                    <pic:cNvPicPr/>
                  </pic:nvPicPr>
                  <pic:blipFill>
                    <a:blip r:embed="rId63"/>
                    <a:stretch/>
                  </pic:blipFill>
                  <pic:spPr>
                    <a:xfrm>
                      <a:off x="0" y="0"/>
                      <a:ext cx="7565390" cy="5291455"/>
                    </a:xfrm>
                    <a:prstGeom prst="rect">
                      <a:avLst/>
                    </a:prstGeom>
                  </pic:spPr>
                </pic:pic>
              </a:graphicData>
            </a:graphic>
          </wp:anchor>
        </w:drawing>
      </w:r>
    </w:p>
    <w:p w14:paraId="7B27D1E4" w14:textId="77777777" w:rsidR="00EC1C40" w:rsidRDefault="00EC1C40">
      <w:pPr>
        <w:spacing w:line="1" w:lineRule="exact"/>
      </w:pPr>
    </w:p>
    <w:p w14:paraId="41AC15B5" w14:textId="77777777" w:rsidR="00EC1C40" w:rsidRDefault="00000000">
      <w:pPr>
        <w:pStyle w:val="Titulekobrzku0"/>
        <w:framePr w:wrap="none" w:vAnchor="page" w:hAnchor="page" w:x="740" w:y="5045"/>
        <w:rPr>
          <w:sz w:val="14"/>
          <w:szCs w:val="14"/>
        </w:rPr>
      </w:pPr>
      <w:r>
        <w:rPr>
          <w:color w:val="231E20"/>
          <w:sz w:val="14"/>
          <w:szCs w:val="14"/>
          <w:u w:val="single"/>
        </w:rPr>
        <w:t>LEGENDA PLOCH / POZEMKŮ:</w:t>
      </w:r>
    </w:p>
    <w:p w14:paraId="01C9A097" w14:textId="77777777" w:rsidR="00EC1C40" w:rsidRDefault="00000000">
      <w:pPr>
        <w:pStyle w:val="Titulekobrzku0"/>
        <w:framePr w:wrap="none" w:vAnchor="page" w:hAnchor="page" w:x="1277" w:y="6322"/>
        <w:rPr>
          <w:sz w:val="12"/>
          <w:szCs w:val="12"/>
        </w:rPr>
      </w:pPr>
      <w:r>
        <w:rPr>
          <w:b w:val="0"/>
          <w:bCs w:val="0"/>
          <w:color w:val="EC1C23"/>
          <w:sz w:val="12"/>
          <w:szCs w:val="12"/>
        </w:rPr>
        <w:t xml:space="preserve">1 </w:t>
      </w:r>
      <w:r>
        <w:rPr>
          <w:b w:val="0"/>
          <w:bCs w:val="0"/>
          <w:color w:val="231E20"/>
          <w:sz w:val="12"/>
          <w:szCs w:val="12"/>
        </w:rPr>
        <w:t>DOPRAVNÍ TERMINÁL cca 1.500 m</w:t>
      </w:r>
    </w:p>
    <w:p w14:paraId="2F22808C" w14:textId="77777777" w:rsidR="00EC1C40" w:rsidRDefault="00000000">
      <w:pPr>
        <w:pStyle w:val="Titulekobrzku0"/>
        <w:framePr w:w="1637" w:h="312" w:hRule="exact" w:wrap="none" w:vAnchor="page" w:hAnchor="page" w:x="1412" w:y="5837"/>
        <w:spacing w:line="218" w:lineRule="auto"/>
        <w:rPr>
          <w:sz w:val="12"/>
          <w:szCs w:val="12"/>
        </w:rPr>
      </w:pPr>
      <w:r>
        <w:rPr>
          <w:b w:val="0"/>
          <w:bCs w:val="0"/>
          <w:color w:val="231E20"/>
          <w:sz w:val="12"/>
          <w:szCs w:val="12"/>
        </w:rPr>
        <w:t>PARKOVACÍ DŮM cca 6.000 m2 (pozemky pro prodej)</w:t>
      </w:r>
    </w:p>
    <w:p w14:paraId="59AA3D79" w14:textId="77777777" w:rsidR="00EC1C40" w:rsidRDefault="00000000">
      <w:pPr>
        <w:pStyle w:val="Titulekobrzku0"/>
        <w:framePr w:wrap="none" w:vAnchor="page" w:hAnchor="page" w:x="8017" w:y="7858"/>
        <w:ind w:left="34" w:right="34"/>
        <w:jc w:val="both"/>
      </w:pPr>
      <w:r>
        <w:rPr>
          <w:b w:val="0"/>
          <w:bCs w:val="0"/>
          <w:color w:val="231E20"/>
        </w:rPr>
        <w:t>Bytové domy</w:t>
      </w:r>
    </w:p>
    <w:p w14:paraId="730527CA" w14:textId="77777777" w:rsidR="00EC1C40" w:rsidRDefault="00000000">
      <w:pPr>
        <w:pStyle w:val="Titulekobrzku0"/>
        <w:framePr w:w="509" w:h="134" w:hRule="exact" w:wrap="none" w:vAnchor="page" w:hAnchor="page" w:x="5578" w:y="8026"/>
        <w:ind w:left="33" w:right="34"/>
        <w:jc w:val="center"/>
      </w:pPr>
      <w:r>
        <w:rPr>
          <w:color w:val="231E20"/>
        </w:rPr>
        <w:t>Bytové domy</w:t>
      </w:r>
    </w:p>
    <w:p w14:paraId="27D4729C" w14:textId="77777777" w:rsidR="00EC1C40" w:rsidRDefault="00000000">
      <w:pPr>
        <w:pStyle w:val="Titulekobrzku0"/>
        <w:framePr w:w="893" w:h="216" w:hRule="exact" w:wrap="none" w:vAnchor="page" w:hAnchor="page" w:x="10580" w:y="8160"/>
        <w:ind w:right="5"/>
        <w:jc w:val="right"/>
        <w:rPr>
          <w:sz w:val="16"/>
          <w:szCs w:val="16"/>
        </w:rPr>
      </w:pPr>
      <w:r>
        <w:rPr>
          <w:color w:val="231E20"/>
          <w:sz w:val="16"/>
          <w:szCs w:val="16"/>
        </w:rPr>
        <w:t>spojilský les</w:t>
      </w:r>
    </w:p>
    <w:p w14:paraId="1C3D98D3" w14:textId="77777777" w:rsidR="00EC1C40" w:rsidRDefault="00000000">
      <w:pPr>
        <w:pStyle w:val="Titulekobrzku0"/>
        <w:framePr w:wrap="none" w:vAnchor="page" w:hAnchor="page" w:x="9615" w:y="9533"/>
        <w:ind w:left="33" w:right="34"/>
        <w:jc w:val="both"/>
      </w:pPr>
      <w:r>
        <w:rPr>
          <w:rFonts w:ascii="Calibri" w:eastAsia="Calibri" w:hAnsi="Calibri" w:cs="Calibri"/>
          <w:b w:val="0"/>
          <w:bCs w:val="0"/>
          <w:color w:val="C0B22F"/>
        </w:rPr>
        <w:t>vyta zastávky MHU •:</w:t>
      </w:r>
    </w:p>
    <w:p w14:paraId="021C9B71" w14:textId="77777777" w:rsidR="00EC1C40" w:rsidRDefault="00000000">
      <w:pPr>
        <w:pStyle w:val="Titulekobrzku0"/>
        <w:framePr w:w="590" w:h="245" w:hRule="exact" w:wrap="none" w:vAnchor="page" w:hAnchor="page" w:x="11017" w:y="10978"/>
        <w:spacing w:line="170" w:lineRule="auto"/>
      </w:pPr>
      <w:r>
        <w:rPr>
          <w:color w:val="019648"/>
        </w:rPr>
        <w:t xml:space="preserve">obsluha </w:t>
      </w:r>
      <w:proofErr w:type="spellStart"/>
      <w:r>
        <w:rPr>
          <w:color w:val="019648"/>
        </w:rPr>
        <w:t>utřelnkm</w:t>
      </w:r>
      <w:proofErr w:type="spellEnd"/>
      <w:r>
        <w:rPr>
          <w:color w:val="019648"/>
        </w:rPr>
        <w:t xml:space="preserve"> </w:t>
      </w:r>
      <w:proofErr w:type="spellStart"/>
      <w:r>
        <w:rPr>
          <w:color w:val="DD7025"/>
        </w:rPr>
        <w:t>cykkjstezke</w:t>
      </w:r>
      <w:proofErr w:type="spellEnd"/>
      <w:r>
        <w:rPr>
          <w:color w:val="DD7025"/>
        </w:rPr>
        <w:t xml:space="preserve"> </w:t>
      </w:r>
      <w:r>
        <w:rPr>
          <w:color w:val="3C6AB3"/>
        </w:rPr>
        <w:t>příjezd osobních aut</w:t>
      </w:r>
    </w:p>
    <w:p w14:paraId="1E83E7CA" w14:textId="77777777" w:rsidR="00EC1C40" w:rsidRDefault="00000000">
      <w:pPr>
        <w:pStyle w:val="Titulekobrzku0"/>
        <w:framePr w:w="811" w:h="254" w:hRule="exact" w:wrap="none" w:vAnchor="page" w:hAnchor="page" w:x="7983" w:y="11026"/>
        <w:ind w:left="33" w:right="298"/>
        <w:jc w:val="both"/>
      </w:pPr>
      <w:proofErr w:type="spellStart"/>
      <w:r>
        <w:rPr>
          <w:color w:val="C0B22F"/>
          <w:u w:val="single"/>
        </w:rPr>
        <w:t>pflezd</w:t>
      </w:r>
      <w:proofErr w:type="spellEnd"/>
      <w:r>
        <w:rPr>
          <w:color w:val="C0B22F"/>
          <w:u w:val="single"/>
        </w:rPr>
        <w:t xml:space="preserve"> autobusu z</w:t>
      </w:r>
    </w:p>
    <w:p w14:paraId="455FEA88" w14:textId="77777777" w:rsidR="00EC1C40" w:rsidRDefault="00000000">
      <w:pPr>
        <w:pStyle w:val="Titulekobrzku0"/>
        <w:framePr w:w="811" w:h="254" w:hRule="exact" w:wrap="none" w:vAnchor="page" w:hAnchor="page" w:x="7983" w:y="11026"/>
        <w:ind w:left="33" w:right="34"/>
        <w:jc w:val="both"/>
      </w:pPr>
      <w:proofErr w:type="spellStart"/>
      <w:r>
        <w:rPr>
          <w:color w:val="3C6AB3"/>
        </w:rPr>
        <w:t>pttjezd</w:t>
      </w:r>
      <w:proofErr w:type="spellEnd"/>
      <w:r>
        <w:rPr>
          <w:color w:val="3C6AB3"/>
        </w:rPr>
        <w:t xml:space="preserve"> osobních aut z města</w:t>
      </w:r>
    </w:p>
    <w:p w14:paraId="0BB52C17" w14:textId="77777777" w:rsidR="00EC1C40" w:rsidRDefault="00000000">
      <w:pPr>
        <w:pStyle w:val="Jin0"/>
        <w:framePr w:w="2434" w:h="317" w:hRule="exact" w:wrap="none" w:vAnchor="page" w:hAnchor="page" w:x="1354" w:y="5348"/>
        <w:spacing w:after="0" w:line="226" w:lineRule="auto"/>
        <w:rPr>
          <w:sz w:val="12"/>
          <w:szCs w:val="12"/>
        </w:rPr>
      </w:pPr>
      <w:r>
        <w:rPr>
          <w:rFonts w:ascii="Arial" w:eastAsia="Arial" w:hAnsi="Arial" w:cs="Arial"/>
          <w:sz w:val="12"/>
          <w:szCs w:val="12"/>
        </w:rPr>
        <w:t>PLOCHA DOTČENÁ ZÁMĚREM cca 18.900 m2</w:t>
      </w:r>
    </w:p>
    <w:p w14:paraId="4069292D" w14:textId="77777777" w:rsidR="00EC1C40" w:rsidRDefault="00000000">
      <w:pPr>
        <w:pStyle w:val="Jin0"/>
        <w:framePr w:w="2434" w:h="317" w:hRule="exact" w:wrap="none" w:vAnchor="page" w:hAnchor="page" w:x="1354" w:y="5348"/>
        <w:spacing w:after="0" w:line="226" w:lineRule="auto"/>
        <w:rPr>
          <w:sz w:val="12"/>
          <w:szCs w:val="12"/>
        </w:rPr>
      </w:pPr>
      <w:r>
        <w:rPr>
          <w:rFonts w:ascii="Arial" w:eastAsia="Arial" w:hAnsi="Arial" w:cs="Arial"/>
          <w:sz w:val="12"/>
          <w:szCs w:val="12"/>
        </w:rPr>
        <w:t>(celková plocha pozemku včetně staveb)</w:t>
      </w:r>
    </w:p>
    <w:p w14:paraId="1D5D6D61" w14:textId="77777777" w:rsidR="00EC1C40" w:rsidRDefault="00000000">
      <w:pPr>
        <w:pStyle w:val="Zkladntext90"/>
        <w:framePr w:wrap="none" w:vAnchor="page" w:hAnchor="page" w:x="6581" w:y="8343"/>
        <w:jc w:val="both"/>
      </w:pPr>
      <w:r>
        <w:rPr>
          <w:b w:val="0"/>
          <w:bCs w:val="0"/>
          <w:color w:val="231E20"/>
        </w:rPr>
        <w:t>Bytové domy</w:t>
      </w:r>
    </w:p>
    <w:p w14:paraId="2439E766" w14:textId="77777777" w:rsidR="00EC1C40" w:rsidRDefault="00000000">
      <w:pPr>
        <w:pStyle w:val="Jin0"/>
        <w:framePr w:w="2304" w:h="202" w:hRule="exact" w:wrap="none" w:vAnchor="page" w:hAnchor="page" w:x="6077" w:y="8957"/>
        <w:spacing w:after="0"/>
        <w:jc w:val="right"/>
        <w:rPr>
          <w:sz w:val="16"/>
          <w:szCs w:val="16"/>
        </w:rPr>
      </w:pPr>
      <w:r>
        <w:rPr>
          <w:rFonts w:ascii="Arial" w:eastAsia="Arial" w:hAnsi="Arial" w:cs="Arial"/>
          <w:b/>
          <w:bCs/>
          <w:sz w:val="16"/>
          <w:szCs w:val="16"/>
        </w:rPr>
        <w:t>zklidněná uli</w:t>
      </w:r>
      <w:r>
        <w:rPr>
          <w:rFonts w:ascii="Arial" w:eastAsia="Arial" w:hAnsi="Arial" w:cs="Arial"/>
          <w:b/>
          <w:bCs/>
          <w:sz w:val="16"/>
          <w:szCs w:val="16"/>
          <w:u w:val="single"/>
        </w:rPr>
        <w:t>ce</w:t>
      </w:r>
    </w:p>
    <w:p w14:paraId="5C6F00A1" w14:textId="77777777" w:rsidR="00EC1C40" w:rsidRDefault="00000000">
      <w:pPr>
        <w:pStyle w:val="Jin0"/>
        <w:framePr w:wrap="none" w:vAnchor="page" w:hAnchor="page" w:x="6586" w:y="11664"/>
        <w:spacing w:after="0"/>
        <w:rPr>
          <w:sz w:val="16"/>
          <w:szCs w:val="16"/>
        </w:rPr>
      </w:pPr>
      <w:r>
        <w:rPr>
          <w:rFonts w:ascii="Arial" w:eastAsia="Arial" w:hAnsi="Arial" w:cs="Arial"/>
          <w:b/>
          <w:bCs/>
          <w:sz w:val="16"/>
          <w:szCs w:val="16"/>
        </w:rPr>
        <w:t>spojilský les</w:t>
      </w:r>
    </w:p>
    <w:p w14:paraId="297812C1" w14:textId="77777777" w:rsidR="00EC1C40" w:rsidRDefault="00000000">
      <w:pPr>
        <w:pStyle w:val="Jin0"/>
        <w:framePr w:w="1613" w:h="648" w:hRule="exact" w:wrap="none" w:vAnchor="page" w:hAnchor="page" w:x="9111" w:y="11444"/>
        <w:pBdr>
          <w:bottom w:val="single" w:sz="4" w:space="0" w:color="auto"/>
        </w:pBdr>
        <w:spacing w:after="0" w:line="293" w:lineRule="auto"/>
        <w:ind w:right="4"/>
        <w:jc w:val="center"/>
        <w:rPr>
          <w:sz w:val="14"/>
          <w:szCs w:val="14"/>
        </w:rPr>
      </w:pPr>
      <w:r>
        <w:rPr>
          <w:rFonts w:ascii="Arial" w:eastAsia="Arial" w:hAnsi="Arial" w:cs="Arial"/>
          <w:b/>
          <w:bCs/>
          <w:color w:val="844151"/>
          <w:sz w:val="14"/>
          <w:szCs w:val="14"/>
        </w:rPr>
        <w:t>NOVA OKRUŽNÍ</w:t>
      </w:r>
      <w:r>
        <w:rPr>
          <w:rFonts w:ascii="Arial" w:eastAsia="Arial" w:hAnsi="Arial" w:cs="Arial"/>
          <w:b/>
          <w:bCs/>
          <w:color w:val="844151"/>
          <w:sz w:val="14"/>
          <w:szCs w:val="14"/>
        </w:rPr>
        <w:br/>
        <w:t>KŘIŽOVATKA PRO</w:t>
      </w:r>
      <w:r>
        <w:rPr>
          <w:rFonts w:ascii="Arial" w:eastAsia="Arial" w:hAnsi="Arial" w:cs="Arial"/>
          <w:b/>
          <w:bCs/>
          <w:color w:val="844151"/>
          <w:sz w:val="14"/>
          <w:szCs w:val="14"/>
        </w:rPr>
        <w:br/>
        <w:t>NAPOJENÍ LOKALITY</w:t>
      </w:r>
    </w:p>
    <w:p w14:paraId="7E745006" w14:textId="77777777" w:rsidR="00EC1C40" w:rsidRDefault="00000000">
      <w:pPr>
        <w:pStyle w:val="Jin0"/>
        <w:framePr w:wrap="none" w:vAnchor="page" w:hAnchor="page" w:x="380" w:y="12351"/>
        <w:spacing w:after="0"/>
        <w:rPr>
          <w:sz w:val="16"/>
          <w:szCs w:val="16"/>
        </w:rPr>
      </w:pPr>
      <w:r>
        <w:rPr>
          <w:rFonts w:ascii="Arial" w:eastAsia="Arial" w:hAnsi="Arial" w:cs="Arial"/>
          <w:b/>
          <w:bCs/>
          <w:sz w:val="16"/>
          <w:szCs w:val="16"/>
        </w:rPr>
        <w:t>Návrh využití plochy v lokalitě Hůrka</w:t>
      </w:r>
    </w:p>
    <w:p w14:paraId="4F2EF52F" w14:textId="77777777" w:rsidR="00EC1C40" w:rsidRDefault="00000000">
      <w:pPr>
        <w:pStyle w:val="Zkladntext90"/>
        <w:framePr w:wrap="none" w:vAnchor="page" w:hAnchor="page" w:x="4201" w:y="12404"/>
        <w:jc w:val="both"/>
      </w:pPr>
      <w:r>
        <w:rPr>
          <w:color w:val="231E20"/>
        </w:rPr>
        <w:t>měřítko 1 : 2 000</w:t>
      </w:r>
    </w:p>
    <w:p w14:paraId="5780E16B" w14:textId="77777777" w:rsidR="00EC1C40" w:rsidRDefault="00000000">
      <w:pPr>
        <w:pStyle w:val="Zkladntext90"/>
        <w:framePr w:w="394" w:h="254" w:hRule="exact" w:wrap="none" w:vAnchor="page" w:hAnchor="page" w:x="5319" w:y="12298"/>
        <w:spacing w:line="300" w:lineRule="auto"/>
      </w:pPr>
      <w:r>
        <w:rPr>
          <w:color w:val="231E20"/>
        </w:rPr>
        <w:t>DATUM 08/2025</w:t>
      </w:r>
    </w:p>
    <w:p w14:paraId="06549B71" w14:textId="77777777" w:rsidR="00EC1C40" w:rsidRDefault="00000000">
      <w:pPr>
        <w:pStyle w:val="Zkladntext90"/>
        <w:framePr w:w="1118" w:h="322" w:hRule="exact" w:wrap="none" w:vAnchor="page" w:hAnchor="page" w:x="6740" w:y="12293"/>
        <w:spacing w:line="264" w:lineRule="auto"/>
        <w:jc w:val="both"/>
      </w:pPr>
      <w:r>
        <w:rPr>
          <w:b w:val="0"/>
          <w:bCs w:val="0"/>
          <w:lang w:val="en-US" w:eastAsia="en-US" w:bidi="en-US"/>
        </w:rPr>
        <w:t>IT</w:t>
      </w:r>
    </w:p>
    <w:p w14:paraId="76DC0228" w14:textId="77777777" w:rsidR="00EC1C40" w:rsidRDefault="00000000">
      <w:pPr>
        <w:pStyle w:val="Zkladntext90"/>
        <w:framePr w:w="1118" w:h="322" w:hRule="exact" w:wrap="none" w:vAnchor="page" w:hAnchor="page" w:x="6740" w:y="12293"/>
        <w:spacing w:line="264" w:lineRule="auto"/>
      </w:pPr>
      <w:r>
        <w:rPr>
          <w:b w:val="0"/>
          <w:bCs w:val="0"/>
          <w:color w:val="231E20"/>
        </w:rPr>
        <w:t>Multifunkční hokejová aréna v Pardubicích</w:t>
      </w:r>
    </w:p>
    <w:p w14:paraId="714BBD00" w14:textId="77777777" w:rsidR="00EC1C40" w:rsidRDefault="00000000">
      <w:pPr>
        <w:pStyle w:val="Zkladntext90"/>
        <w:framePr w:w="864" w:h="283" w:hRule="exact" w:wrap="none" w:vAnchor="page" w:hAnchor="page" w:x="8381" w:y="12274"/>
        <w:spacing w:line="314" w:lineRule="auto"/>
      </w:pPr>
      <w:r>
        <w:rPr>
          <w:b w:val="0"/>
          <w:bCs w:val="0"/>
          <w:color w:val="231E20"/>
        </w:rPr>
        <w:t>FÁZE dokumentace záměru</w:t>
      </w:r>
    </w:p>
    <w:p w14:paraId="019EAE9A" w14:textId="77777777" w:rsidR="00EC1C40" w:rsidRDefault="00000000">
      <w:pPr>
        <w:pStyle w:val="Nadpis30"/>
        <w:framePr w:wrap="none" w:vAnchor="page" w:hAnchor="page" w:x="10733" w:y="12192"/>
        <w:spacing w:after="0" w:line="240" w:lineRule="auto"/>
        <w:jc w:val="left"/>
        <w:rPr>
          <w:sz w:val="38"/>
          <w:szCs w:val="38"/>
        </w:rPr>
      </w:pPr>
      <w:bookmarkStart w:id="165" w:name="bookmark332"/>
      <w:proofErr w:type="spellStart"/>
      <w:r>
        <w:rPr>
          <w:rFonts w:ascii="Arial" w:eastAsia="Arial" w:hAnsi="Arial" w:cs="Arial"/>
          <w:sz w:val="38"/>
          <w:szCs w:val="38"/>
        </w:rPr>
        <w:t>OVň</w:t>
      </w:r>
      <w:bookmarkEnd w:id="165"/>
      <w:proofErr w:type="spellEnd"/>
    </w:p>
    <w:p w14:paraId="3F9CF854" w14:textId="77777777" w:rsidR="00EC1C40" w:rsidRDefault="00000000">
      <w:pPr>
        <w:spacing w:line="1" w:lineRule="exact"/>
        <w:sectPr w:rsidR="00EC1C40">
          <w:pgSz w:w="12148" w:h="17375"/>
          <w:pgMar w:top="360" w:right="360" w:bottom="360" w:left="360" w:header="0" w:footer="3" w:gutter="0"/>
          <w:cols w:space="720"/>
          <w:noEndnote/>
          <w:docGrid w:linePitch="360"/>
        </w:sectPr>
      </w:pPr>
      <w:r>
        <w:rPr>
          <w:noProof/>
        </w:rPr>
        <w:drawing>
          <wp:anchor distT="0" distB="0" distL="0" distR="0" simplePos="0" relativeHeight="251730432" behindDoc="1" locked="0" layoutInCell="1" allowOverlap="1" wp14:anchorId="1270A537" wp14:editId="067EDC64">
            <wp:simplePos x="0" y="0"/>
            <wp:positionH relativeFrom="page">
              <wp:posOffset>255905</wp:posOffset>
            </wp:positionH>
            <wp:positionV relativeFrom="page">
              <wp:posOffset>3032125</wp:posOffset>
            </wp:positionV>
            <wp:extent cx="6705600" cy="4255135"/>
            <wp:effectExtent l="0" t="0" r="0" b="0"/>
            <wp:wrapNone/>
            <wp:docPr id="199" name="Shape 199"/>
            <wp:cNvGraphicFramePr/>
            <a:graphic xmlns:a="http://schemas.openxmlformats.org/drawingml/2006/main">
              <a:graphicData uri="http://schemas.openxmlformats.org/drawingml/2006/picture">
                <pic:pic xmlns:pic="http://schemas.openxmlformats.org/drawingml/2006/picture">
                  <pic:nvPicPr>
                    <pic:cNvPr id="200" name="Picture box 200"/>
                    <pic:cNvPicPr/>
                  </pic:nvPicPr>
                  <pic:blipFill>
                    <a:blip r:embed="rId64"/>
                    <a:stretch/>
                  </pic:blipFill>
                  <pic:spPr>
                    <a:xfrm>
                      <a:off x="0" y="0"/>
                      <a:ext cx="6705600" cy="4255135"/>
                    </a:xfrm>
                    <a:prstGeom prst="rect">
                      <a:avLst/>
                    </a:prstGeom>
                  </pic:spPr>
                </pic:pic>
              </a:graphicData>
            </a:graphic>
          </wp:anchor>
        </w:drawing>
      </w:r>
    </w:p>
    <w:p w14:paraId="03EF72B5" w14:textId="77777777" w:rsidR="00EC1C40" w:rsidRDefault="00EC1C40">
      <w:pPr>
        <w:spacing w:line="1" w:lineRule="exact"/>
      </w:pPr>
    </w:p>
    <w:p w14:paraId="14102D93" w14:textId="77777777" w:rsidR="00EC1C40" w:rsidRDefault="00000000">
      <w:pPr>
        <w:pStyle w:val="Zkladntext80"/>
        <w:framePr w:wrap="none" w:vAnchor="page" w:hAnchor="page" w:x="4748" w:y="5079"/>
        <w:jc w:val="left"/>
        <w:rPr>
          <w:sz w:val="50"/>
          <w:szCs w:val="50"/>
        </w:rPr>
      </w:pPr>
      <w:r>
        <w:t>Příloh</w:t>
      </w:r>
      <w:r>
        <w:rPr>
          <w:rFonts w:ascii="Calibri" w:eastAsia="Calibri" w:hAnsi="Calibri" w:cs="Calibri"/>
          <w:b/>
          <w:bCs/>
          <w:smallCaps/>
          <w:sz w:val="50"/>
          <w:szCs w:val="50"/>
        </w:rPr>
        <w:t>a</w:t>
      </w:r>
      <w:r>
        <w:t xml:space="preserve"> č. </w:t>
      </w:r>
      <w:r>
        <w:rPr>
          <w:rFonts w:ascii="Calibri" w:eastAsia="Calibri" w:hAnsi="Calibri" w:cs="Calibri"/>
          <w:b/>
          <w:bCs/>
          <w:smallCaps/>
          <w:sz w:val="50"/>
          <w:szCs w:val="50"/>
        </w:rPr>
        <w:t>24</w:t>
      </w:r>
    </w:p>
    <w:p w14:paraId="4BB10D22"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6251BC0C" w14:textId="77777777" w:rsidR="00EC1C40" w:rsidRDefault="00EC1C40">
      <w:pPr>
        <w:spacing w:line="1" w:lineRule="exact"/>
      </w:pPr>
    </w:p>
    <w:p w14:paraId="74A80B5F" w14:textId="77777777" w:rsidR="00EC1C40" w:rsidRDefault="00000000">
      <w:pPr>
        <w:pStyle w:val="Jin0"/>
        <w:framePr w:wrap="none" w:vAnchor="page" w:hAnchor="page" w:x="4748" w:y="5079"/>
        <w:spacing w:after="0"/>
        <w:rPr>
          <w:sz w:val="50"/>
          <w:szCs w:val="50"/>
        </w:rPr>
      </w:pPr>
      <w:r>
        <w:rPr>
          <w:b/>
          <w:bCs/>
          <w:smallCaps/>
          <w:sz w:val="50"/>
          <w:szCs w:val="50"/>
        </w:rPr>
        <w:t>Neobsazeno</w:t>
      </w:r>
    </w:p>
    <w:p w14:paraId="6DC934BE"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5AF95954" w14:textId="77777777" w:rsidR="00EC1C40" w:rsidRDefault="00EC1C40">
      <w:pPr>
        <w:spacing w:line="1" w:lineRule="exact"/>
      </w:pPr>
    </w:p>
    <w:p w14:paraId="2AE4D28B" w14:textId="77777777" w:rsidR="00EC1C40" w:rsidRDefault="00000000">
      <w:pPr>
        <w:pStyle w:val="Zkladntext80"/>
        <w:framePr w:w="9830" w:h="638" w:hRule="exact" w:wrap="none" w:vAnchor="page" w:hAnchor="page" w:x="1172" w:y="5079"/>
        <w:rPr>
          <w:sz w:val="50"/>
          <w:szCs w:val="50"/>
        </w:rPr>
      </w:pPr>
      <w:r>
        <w:t>Příloh</w:t>
      </w:r>
      <w:r>
        <w:rPr>
          <w:rFonts w:ascii="Calibri" w:eastAsia="Calibri" w:hAnsi="Calibri" w:cs="Calibri"/>
          <w:b/>
          <w:bCs/>
          <w:smallCaps/>
          <w:sz w:val="50"/>
          <w:szCs w:val="50"/>
        </w:rPr>
        <w:t>a</w:t>
      </w:r>
      <w:r>
        <w:t xml:space="preserve"> č. </w:t>
      </w:r>
      <w:r>
        <w:rPr>
          <w:rFonts w:ascii="Calibri" w:eastAsia="Calibri" w:hAnsi="Calibri" w:cs="Calibri"/>
          <w:b/>
          <w:bCs/>
          <w:smallCaps/>
          <w:sz w:val="50"/>
          <w:szCs w:val="50"/>
        </w:rPr>
        <w:t>25</w:t>
      </w:r>
    </w:p>
    <w:p w14:paraId="276DEEF9"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3F757D15" w14:textId="77777777" w:rsidR="00EC1C40" w:rsidRDefault="00EC1C40">
      <w:pPr>
        <w:spacing w:line="1" w:lineRule="exact"/>
      </w:pPr>
    </w:p>
    <w:p w14:paraId="194C5211" w14:textId="77777777" w:rsidR="00EC1C40" w:rsidRDefault="00000000">
      <w:pPr>
        <w:pStyle w:val="Zkladntext110"/>
        <w:framePr w:wrap="none" w:vAnchor="page" w:hAnchor="page" w:x="1172" w:y="1272"/>
        <w:spacing w:after="0" w:line="240" w:lineRule="auto"/>
      </w:pPr>
      <w:r>
        <w:rPr>
          <w:i w:val="0"/>
          <w:iCs w:val="0"/>
          <w:color w:val="231E20"/>
        </w:rPr>
        <w:t>Níže uvedeného dne, měsíce a roku uzavřeli</w:t>
      </w:r>
    </w:p>
    <w:p w14:paraId="1FF51BF0" w14:textId="77777777" w:rsidR="00EC1C40" w:rsidRDefault="00000000">
      <w:pPr>
        <w:pStyle w:val="Nadpis60"/>
        <w:framePr w:w="9830" w:h="13862" w:hRule="exact" w:wrap="none" w:vAnchor="page" w:hAnchor="page" w:x="1172" w:y="1892"/>
        <w:spacing w:after="40" w:line="276" w:lineRule="auto"/>
        <w:rPr>
          <w:sz w:val="20"/>
          <w:szCs w:val="20"/>
        </w:rPr>
      </w:pPr>
      <w:bookmarkStart w:id="166" w:name="bookmark334"/>
      <w:r>
        <w:rPr>
          <w:rFonts w:ascii="Arial" w:eastAsia="Arial" w:hAnsi="Arial" w:cs="Arial"/>
          <w:sz w:val="20"/>
          <w:szCs w:val="20"/>
        </w:rPr>
        <w:t>statutární město Pardubice,</w:t>
      </w:r>
      <w:bookmarkEnd w:id="166"/>
    </w:p>
    <w:p w14:paraId="193D7DC9" w14:textId="77777777" w:rsidR="00EC1C40" w:rsidRDefault="00000000">
      <w:pPr>
        <w:pStyle w:val="Zkladntext110"/>
        <w:framePr w:w="9830" w:h="13862" w:hRule="exact" w:wrap="none" w:vAnchor="page" w:hAnchor="page" w:x="1172" w:y="1892"/>
        <w:tabs>
          <w:tab w:val="left" w:pos="1256"/>
        </w:tabs>
        <w:spacing w:after="40" w:line="276" w:lineRule="auto"/>
      </w:pPr>
      <w:r>
        <w:rPr>
          <w:i w:val="0"/>
          <w:iCs w:val="0"/>
          <w:color w:val="231E20"/>
        </w:rPr>
        <w:t>IČO:</w:t>
      </w:r>
      <w:r>
        <w:rPr>
          <w:i w:val="0"/>
          <w:iCs w:val="0"/>
          <w:color w:val="231E20"/>
        </w:rPr>
        <w:tab/>
        <w:t>00274046,</w:t>
      </w:r>
    </w:p>
    <w:p w14:paraId="670F5951" w14:textId="77777777" w:rsidR="00EC1C40" w:rsidRDefault="00000000">
      <w:pPr>
        <w:pStyle w:val="Zkladntext110"/>
        <w:framePr w:w="9830" w:h="13862" w:hRule="exact" w:wrap="none" w:vAnchor="page" w:hAnchor="page" w:x="1172" w:y="1892"/>
        <w:tabs>
          <w:tab w:val="left" w:pos="1256"/>
          <w:tab w:val="center" w:pos="3432"/>
          <w:tab w:val="right" w:pos="4930"/>
        </w:tabs>
        <w:spacing w:after="40" w:line="276" w:lineRule="auto"/>
      </w:pPr>
      <w:r>
        <w:rPr>
          <w:i w:val="0"/>
          <w:iCs w:val="0"/>
          <w:color w:val="231E20"/>
        </w:rPr>
        <w:t>Sídlo:</w:t>
      </w:r>
      <w:r>
        <w:rPr>
          <w:i w:val="0"/>
          <w:iCs w:val="0"/>
          <w:color w:val="231E20"/>
        </w:rPr>
        <w:tab/>
        <w:t>Pernštýnské nám.</w:t>
      </w:r>
      <w:r>
        <w:rPr>
          <w:i w:val="0"/>
          <w:iCs w:val="0"/>
          <w:color w:val="231E20"/>
        </w:rPr>
        <w:tab/>
        <w:t>1, 530 21</w:t>
      </w:r>
      <w:r>
        <w:rPr>
          <w:i w:val="0"/>
          <w:iCs w:val="0"/>
          <w:color w:val="231E20"/>
        </w:rPr>
        <w:tab/>
        <w:t>Pardubice,</w:t>
      </w:r>
    </w:p>
    <w:p w14:paraId="52E25556" w14:textId="77777777" w:rsidR="00EC1C40" w:rsidRDefault="00000000">
      <w:pPr>
        <w:pStyle w:val="Zkladntext110"/>
        <w:framePr w:w="9830" w:h="13862" w:hRule="exact" w:wrap="none" w:vAnchor="page" w:hAnchor="page" w:x="1172" w:y="1892"/>
        <w:tabs>
          <w:tab w:val="left" w:pos="1256"/>
          <w:tab w:val="right" w:pos="4426"/>
        </w:tabs>
        <w:spacing w:after="380" w:line="276" w:lineRule="auto"/>
      </w:pPr>
      <w:r>
        <w:rPr>
          <w:i w:val="0"/>
          <w:iCs w:val="0"/>
          <w:color w:val="231E20"/>
        </w:rPr>
        <w:t>jednající:</w:t>
      </w:r>
      <w:r>
        <w:rPr>
          <w:i w:val="0"/>
          <w:iCs w:val="0"/>
          <w:color w:val="231E20"/>
        </w:rPr>
        <w:tab/>
        <w:t>Bc. Jan Nadrchal, primátor</w:t>
      </w:r>
      <w:r>
        <w:rPr>
          <w:i w:val="0"/>
          <w:iCs w:val="0"/>
          <w:color w:val="231E20"/>
        </w:rPr>
        <w:tab/>
        <w:t>města</w:t>
      </w:r>
    </w:p>
    <w:p w14:paraId="4FF0A712" w14:textId="77777777" w:rsidR="00EC1C40" w:rsidRDefault="00000000">
      <w:pPr>
        <w:pStyle w:val="Zkladntext110"/>
        <w:framePr w:w="9830" w:h="13862" w:hRule="exact" w:wrap="none" w:vAnchor="page" w:hAnchor="page" w:x="1172" w:y="1892"/>
        <w:spacing w:after="380" w:line="276" w:lineRule="auto"/>
      </w:pPr>
      <w:r>
        <w:rPr>
          <w:i w:val="0"/>
          <w:iCs w:val="0"/>
          <w:color w:val="231E20"/>
        </w:rPr>
        <w:t xml:space="preserve">jako </w:t>
      </w:r>
      <w:r>
        <w:rPr>
          <w:b/>
          <w:bCs/>
          <w:color w:val="231E20"/>
        </w:rPr>
        <w:t>budoucí prodávající</w:t>
      </w:r>
    </w:p>
    <w:p w14:paraId="5E464DC8" w14:textId="77777777" w:rsidR="00EC1C40" w:rsidRDefault="00000000">
      <w:pPr>
        <w:pStyle w:val="Zkladntext110"/>
        <w:framePr w:w="9830" w:h="13862" w:hRule="exact" w:wrap="none" w:vAnchor="page" w:hAnchor="page" w:x="1172" w:y="1892"/>
        <w:spacing w:after="420" w:line="276" w:lineRule="auto"/>
      </w:pPr>
      <w:r>
        <w:rPr>
          <w:i w:val="0"/>
          <w:iCs w:val="0"/>
          <w:color w:val="231E20"/>
        </w:rPr>
        <w:t>a</w:t>
      </w:r>
    </w:p>
    <w:p w14:paraId="4A22CF3E" w14:textId="77777777" w:rsidR="00EC1C40" w:rsidRDefault="00000000">
      <w:pPr>
        <w:pStyle w:val="Nadpis60"/>
        <w:framePr w:w="9830" w:h="13862" w:hRule="exact" w:wrap="none" w:vAnchor="page" w:hAnchor="page" w:x="1172" w:y="1892"/>
        <w:spacing w:after="0" w:line="276" w:lineRule="auto"/>
        <w:rPr>
          <w:sz w:val="20"/>
          <w:szCs w:val="20"/>
        </w:rPr>
      </w:pPr>
      <w:bookmarkStart w:id="167" w:name="bookmark336"/>
      <w:r>
        <w:rPr>
          <w:rFonts w:ascii="Arial" w:eastAsia="Arial" w:hAnsi="Arial" w:cs="Arial"/>
          <w:sz w:val="20"/>
          <w:szCs w:val="20"/>
          <w:lang w:val="en-US" w:eastAsia="en-US" w:bidi="en-US"/>
        </w:rPr>
        <w:t xml:space="preserve">MHAP </w:t>
      </w:r>
      <w:proofErr w:type="spellStart"/>
      <w:r>
        <w:rPr>
          <w:rFonts w:ascii="Arial" w:eastAsia="Arial" w:hAnsi="Arial" w:cs="Arial"/>
          <w:sz w:val="20"/>
          <w:szCs w:val="20"/>
          <w:lang w:val="en-US" w:eastAsia="en-US" w:bidi="en-US"/>
        </w:rPr>
        <w:t>s.r.o.</w:t>
      </w:r>
      <w:proofErr w:type="spellEnd"/>
      <w:r>
        <w:rPr>
          <w:rFonts w:ascii="Arial" w:eastAsia="Arial" w:hAnsi="Arial" w:cs="Arial"/>
          <w:b w:val="0"/>
          <w:bCs w:val="0"/>
          <w:sz w:val="20"/>
          <w:szCs w:val="20"/>
          <w:lang w:val="en-US" w:eastAsia="en-US" w:bidi="en-US"/>
        </w:rPr>
        <w:t>,</w:t>
      </w:r>
      <w:bookmarkEnd w:id="167"/>
    </w:p>
    <w:p w14:paraId="34755258" w14:textId="77777777" w:rsidR="00EC1C40" w:rsidRDefault="00000000">
      <w:pPr>
        <w:pStyle w:val="Zkladntext110"/>
        <w:framePr w:w="9830" w:h="13862" w:hRule="exact" w:wrap="none" w:vAnchor="page" w:hAnchor="page" w:x="1172" w:y="1892"/>
        <w:tabs>
          <w:tab w:val="left" w:pos="1256"/>
        </w:tabs>
        <w:spacing w:after="0" w:line="276" w:lineRule="auto"/>
      </w:pPr>
      <w:r>
        <w:rPr>
          <w:i w:val="0"/>
          <w:iCs w:val="0"/>
          <w:color w:val="231E20"/>
        </w:rPr>
        <w:t>IČO:</w:t>
      </w:r>
      <w:r>
        <w:rPr>
          <w:i w:val="0"/>
          <w:iCs w:val="0"/>
          <w:color w:val="231E20"/>
        </w:rPr>
        <w:tab/>
        <w:t>175 44 661,</w:t>
      </w:r>
    </w:p>
    <w:p w14:paraId="13E4C520" w14:textId="77777777" w:rsidR="00EC1C40" w:rsidRDefault="00000000">
      <w:pPr>
        <w:pStyle w:val="Zkladntext110"/>
        <w:framePr w:w="9830" w:h="13862" w:hRule="exact" w:wrap="none" w:vAnchor="page" w:hAnchor="page" w:x="1172" w:y="1892"/>
        <w:tabs>
          <w:tab w:val="left" w:pos="1256"/>
        </w:tabs>
        <w:spacing w:after="0" w:line="276" w:lineRule="auto"/>
      </w:pPr>
      <w:r>
        <w:rPr>
          <w:i w:val="0"/>
          <w:iCs w:val="0"/>
          <w:color w:val="231E20"/>
        </w:rPr>
        <w:t>Sídlo:</w:t>
      </w:r>
      <w:r>
        <w:rPr>
          <w:i w:val="0"/>
          <w:iCs w:val="0"/>
          <w:color w:val="231E20"/>
        </w:rPr>
        <w:tab/>
        <w:t>Olbrachtova 1980/5, Krč, 140 00 Praha 4,</w:t>
      </w:r>
    </w:p>
    <w:p w14:paraId="4A6B1738" w14:textId="77777777" w:rsidR="00EC1C40" w:rsidRDefault="00000000">
      <w:pPr>
        <w:pStyle w:val="Zkladntext110"/>
        <w:framePr w:w="9830" w:h="13862" w:hRule="exact" w:wrap="none" w:vAnchor="page" w:hAnchor="page" w:x="1172" w:y="1892"/>
        <w:tabs>
          <w:tab w:val="left" w:pos="1256"/>
        </w:tabs>
        <w:spacing w:after="280" w:line="276" w:lineRule="auto"/>
      </w:pPr>
      <w:r>
        <w:rPr>
          <w:i w:val="0"/>
          <w:iCs w:val="0"/>
          <w:color w:val="231E20"/>
        </w:rPr>
        <w:t>Jednající:</w:t>
      </w:r>
      <w:r>
        <w:rPr>
          <w:i w:val="0"/>
          <w:iCs w:val="0"/>
          <w:color w:val="231E20"/>
        </w:rPr>
        <w:tab/>
        <w:t>Petr Dědek, jednatel společnosti</w:t>
      </w:r>
    </w:p>
    <w:p w14:paraId="09669AD6" w14:textId="77777777" w:rsidR="00EC1C40" w:rsidRDefault="00000000">
      <w:pPr>
        <w:pStyle w:val="Zkladntext110"/>
        <w:framePr w:w="9830" w:h="13862" w:hRule="exact" w:wrap="none" w:vAnchor="page" w:hAnchor="page" w:x="1172" w:y="1892"/>
        <w:spacing w:after="280" w:line="276" w:lineRule="auto"/>
      </w:pPr>
      <w:r>
        <w:rPr>
          <w:i w:val="0"/>
          <w:iCs w:val="0"/>
          <w:color w:val="231E20"/>
        </w:rPr>
        <w:t>zapsaná v obchodním rejstříku vedeném u Městského soudu v Praze, oddíl C, vložka 372943</w:t>
      </w:r>
    </w:p>
    <w:p w14:paraId="404EAEE7" w14:textId="77777777" w:rsidR="00EC1C40" w:rsidRDefault="00000000">
      <w:pPr>
        <w:pStyle w:val="Zkladntext110"/>
        <w:framePr w:w="9830" w:h="13862" w:hRule="exact" w:wrap="none" w:vAnchor="page" w:hAnchor="page" w:x="1172" w:y="1892"/>
        <w:spacing w:after="640" w:line="276" w:lineRule="auto"/>
      </w:pPr>
      <w:r>
        <w:rPr>
          <w:i w:val="0"/>
          <w:iCs w:val="0"/>
          <w:color w:val="231E20"/>
        </w:rPr>
        <w:t xml:space="preserve">jako </w:t>
      </w:r>
      <w:r>
        <w:rPr>
          <w:b/>
          <w:bCs/>
          <w:color w:val="231E20"/>
        </w:rPr>
        <w:t>budoucí kupující</w:t>
      </w:r>
    </w:p>
    <w:p w14:paraId="25989F5F" w14:textId="77777777" w:rsidR="00EC1C40" w:rsidRDefault="00000000">
      <w:pPr>
        <w:pStyle w:val="Zkladntext110"/>
        <w:framePr w:w="9830" w:h="13862" w:hRule="exact" w:wrap="none" w:vAnchor="page" w:hAnchor="page" w:x="1172" w:y="1892"/>
        <w:spacing w:after="280" w:line="322" w:lineRule="auto"/>
      </w:pPr>
      <w:r>
        <w:rPr>
          <w:i w:val="0"/>
          <w:iCs w:val="0"/>
          <w:color w:val="231E20"/>
        </w:rPr>
        <w:t>dle ustanovení § 1785 a násl. a § 2079 a násl. zákona č. 89/2012 Sb., občanský zákoník v platném znění (dále jenom jako „</w:t>
      </w:r>
      <w:r>
        <w:rPr>
          <w:b/>
          <w:bCs/>
          <w:color w:val="231E20"/>
        </w:rPr>
        <w:t>občanský zákoník</w:t>
      </w:r>
      <w:r>
        <w:rPr>
          <w:i w:val="0"/>
          <w:iCs w:val="0"/>
          <w:color w:val="231E20"/>
        </w:rPr>
        <w:t>“) tuto</w:t>
      </w:r>
    </w:p>
    <w:p w14:paraId="6B26D5FA" w14:textId="77777777" w:rsidR="00EC1C40" w:rsidRDefault="00000000">
      <w:pPr>
        <w:pStyle w:val="Nadpis30"/>
        <w:framePr w:w="9830" w:h="13862" w:hRule="exact" w:wrap="none" w:vAnchor="page" w:hAnchor="page" w:x="1172" w:y="1892"/>
        <w:spacing w:after="420" w:line="240" w:lineRule="auto"/>
        <w:rPr>
          <w:sz w:val="36"/>
          <w:szCs w:val="36"/>
        </w:rPr>
      </w:pPr>
      <w:bookmarkStart w:id="168" w:name="bookmark338"/>
      <w:r>
        <w:rPr>
          <w:rFonts w:ascii="Arial" w:eastAsia="Arial" w:hAnsi="Arial" w:cs="Arial"/>
          <w:sz w:val="36"/>
          <w:szCs w:val="36"/>
        </w:rPr>
        <w:t>smlouvu o smlouvě budoucí kupní</w:t>
      </w:r>
      <w:bookmarkEnd w:id="168"/>
    </w:p>
    <w:p w14:paraId="4BEBC930" w14:textId="77777777" w:rsidR="00EC1C40" w:rsidRDefault="00EC1C40">
      <w:pPr>
        <w:pStyle w:val="Nadpis60"/>
        <w:framePr w:w="9830" w:h="13862" w:hRule="exact" w:wrap="none" w:vAnchor="page" w:hAnchor="page" w:x="1172" w:y="1892"/>
        <w:numPr>
          <w:ilvl w:val="0"/>
          <w:numId w:val="120"/>
        </w:numPr>
        <w:spacing w:line="276" w:lineRule="auto"/>
        <w:jc w:val="center"/>
        <w:rPr>
          <w:sz w:val="20"/>
          <w:szCs w:val="20"/>
        </w:rPr>
      </w:pPr>
    </w:p>
    <w:p w14:paraId="2F920989" w14:textId="77777777" w:rsidR="00EC1C40" w:rsidRDefault="00000000">
      <w:pPr>
        <w:pStyle w:val="Zkladntext110"/>
        <w:framePr w:w="9830" w:h="13862" w:hRule="exact" w:wrap="none" w:vAnchor="page" w:hAnchor="page" w:x="1172" w:y="1892"/>
        <w:numPr>
          <w:ilvl w:val="1"/>
          <w:numId w:val="121"/>
        </w:numPr>
        <w:tabs>
          <w:tab w:val="left" w:pos="566"/>
        </w:tabs>
        <w:spacing w:after="100" w:line="276" w:lineRule="auto"/>
        <w:ind w:left="580" w:hanging="580"/>
        <w:jc w:val="both"/>
      </w:pPr>
      <w:r>
        <w:rPr>
          <w:i w:val="0"/>
          <w:iCs w:val="0"/>
          <w:color w:val="231E20"/>
        </w:rPr>
        <w:t>Budoucí prodávající prohlašuje, že je výlučným vlastníkem níže uvedených pozemků označených jako:</w:t>
      </w:r>
    </w:p>
    <w:p w14:paraId="1084911B" w14:textId="77777777" w:rsidR="00EC1C40" w:rsidRDefault="00000000">
      <w:pPr>
        <w:pStyle w:val="Zkladntext110"/>
        <w:framePr w:w="9830" w:h="13862" w:hRule="exact" w:wrap="none" w:vAnchor="page" w:hAnchor="page" w:x="1172" w:y="1892"/>
        <w:numPr>
          <w:ilvl w:val="2"/>
          <w:numId w:val="121"/>
        </w:numPr>
        <w:tabs>
          <w:tab w:val="left" w:pos="1279"/>
        </w:tabs>
        <w:spacing w:after="100" w:line="276" w:lineRule="auto"/>
        <w:ind w:firstLine="580"/>
      </w:pPr>
      <w:proofErr w:type="spellStart"/>
      <w:r>
        <w:rPr>
          <w:i w:val="0"/>
          <w:iCs w:val="0"/>
          <w:color w:val="231E20"/>
        </w:rPr>
        <w:t>p.p.č</w:t>
      </w:r>
      <w:proofErr w:type="spellEnd"/>
      <w:r>
        <w:rPr>
          <w:i w:val="0"/>
          <w:iCs w:val="0"/>
          <w:color w:val="231E20"/>
        </w:rPr>
        <w:t xml:space="preserve">. </w:t>
      </w:r>
      <w:r>
        <w:rPr>
          <w:b/>
          <w:bCs/>
          <w:i w:val="0"/>
          <w:iCs w:val="0"/>
          <w:color w:val="231E20"/>
        </w:rPr>
        <w:t xml:space="preserve">5000 </w:t>
      </w:r>
      <w:r>
        <w:rPr>
          <w:i w:val="0"/>
          <w:iCs w:val="0"/>
          <w:color w:val="231E20"/>
        </w:rPr>
        <w:t>o výměře 2.034 m</w:t>
      </w:r>
      <w:r>
        <w:rPr>
          <w:i w:val="0"/>
          <w:iCs w:val="0"/>
          <w:color w:val="231E20"/>
          <w:vertAlign w:val="superscript"/>
        </w:rPr>
        <w:t>2</w:t>
      </w:r>
      <w:r>
        <w:rPr>
          <w:i w:val="0"/>
          <w:iCs w:val="0"/>
          <w:color w:val="231E20"/>
        </w:rPr>
        <w:t>, ostatní plocha - jiná plocha</w:t>
      </w:r>
    </w:p>
    <w:p w14:paraId="48BF8576" w14:textId="77777777" w:rsidR="00EC1C40" w:rsidRDefault="00000000">
      <w:pPr>
        <w:pStyle w:val="Zkladntext110"/>
        <w:framePr w:w="9830" w:h="13862" w:hRule="exact" w:wrap="none" w:vAnchor="page" w:hAnchor="page" w:x="1172" w:y="1892"/>
        <w:numPr>
          <w:ilvl w:val="2"/>
          <w:numId w:val="121"/>
        </w:numPr>
        <w:tabs>
          <w:tab w:val="left" w:pos="1279"/>
        </w:tabs>
        <w:spacing w:after="100" w:line="276" w:lineRule="auto"/>
        <w:ind w:firstLine="580"/>
      </w:pPr>
      <w:proofErr w:type="spellStart"/>
      <w:r>
        <w:rPr>
          <w:i w:val="0"/>
          <w:iCs w:val="0"/>
          <w:color w:val="231E20"/>
        </w:rPr>
        <w:t>p.p.č</w:t>
      </w:r>
      <w:proofErr w:type="spellEnd"/>
      <w:r>
        <w:rPr>
          <w:i w:val="0"/>
          <w:iCs w:val="0"/>
          <w:color w:val="231E20"/>
        </w:rPr>
        <w:t xml:space="preserve">. </w:t>
      </w:r>
      <w:r>
        <w:rPr>
          <w:b/>
          <w:bCs/>
          <w:i w:val="0"/>
          <w:iCs w:val="0"/>
          <w:color w:val="231E20"/>
        </w:rPr>
        <w:t xml:space="preserve">988/12 </w:t>
      </w:r>
      <w:r>
        <w:rPr>
          <w:i w:val="0"/>
          <w:iCs w:val="0"/>
          <w:color w:val="231E20"/>
        </w:rPr>
        <w:t>o výměře 78.800 m</w:t>
      </w:r>
      <w:r>
        <w:rPr>
          <w:i w:val="0"/>
          <w:iCs w:val="0"/>
          <w:color w:val="231E20"/>
          <w:vertAlign w:val="superscript"/>
        </w:rPr>
        <w:t>2</w:t>
      </w:r>
      <w:r>
        <w:rPr>
          <w:i w:val="0"/>
          <w:iCs w:val="0"/>
          <w:color w:val="231E20"/>
        </w:rPr>
        <w:t>, ostatní plocha - jiná plocha</w:t>
      </w:r>
    </w:p>
    <w:p w14:paraId="766FD2BC" w14:textId="77777777" w:rsidR="00EC1C40" w:rsidRDefault="00000000">
      <w:pPr>
        <w:pStyle w:val="Zkladntext110"/>
        <w:framePr w:w="9830" w:h="13862" w:hRule="exact" w:wrap="none" w:vAnchor="page" w:hAnchor="page" w:x="1172" w:y="1892"/>
        <w:spacing w:after="100" w:line="276" w:lineRule="auto"/>
        <w:ind w:left="580"/>
        <w:jc w:val="both"/>
      </w:pPr>
      <w:r>
        <w:rPr>
          <w:i w:val="0"/>
          <w:iCs w:val="0"/>
          <w:color w:val="231E20"/>
        </w:rPr>
        <w:t xml:space="preserve">v </w:t>
      </w:r>
      <w:proofErr w:type="spellStart"/>
      <w:r>
        <w:rPr>
          <w:b/>
          <w:bCs/>
          <w:i w:val="0"/>
          <w:iCs w:val="0"/>
          <w:color w:val="231E20"/>
        </w:rPr>
        <w:t>k.ú</w:t>
      </w:r>
      <w:proofErr w:type="spellEnd"/>
      <w:r>
        <w:rPr>
          <w:b/>
          <w:bCs/>
          <w:i w:val="0"/>
          <w:iCs w:val="0"/>
          <w:color w:val="231E20"/>
        </w:rPr>
        <w:t xml:space="preserve">. Pardubice, </w:t>
      </w:r>
      <w:r>
        <w:rPr>
          <w:i w:val="0"/>
          <w:iCs w:val="0"/>
          <w:color w:val="231E20"/>
        </w:rPr>
        <w:t xml:space="preserve">obec Pardubice, zapsáno na </w:t>
      </w:r>
      <w:r>
        <w:rPr>
          <w:b/>
          <w:bCs/>
          <w:i w:val="0"/>
          <w:iCs w:val="0"/>
          <w:color w:val="231E20"/>
        </w:rPr>
        <w:t xml:space="preserve">LV č. 50001 </w:t>
      </w:r>
      <w:r>
        <w:rPr>
          <w:i w:val="0"/>
          <w:iCs w:val="0"/>
          <w:color w:val="231E20"/>
        </w:rPr>
        <w:t>vedeném u Katastrálního úřadu pro Pardubický kraj, Katastrálního pracoviště Pardubice.</w:t>
      </w:r>
    </w:p>
    <w:p w14:paraId="3AF47274" w14:textId="77777777" w:rsidR="00EC1C40" w:rsidRDefault="00000000">
      <w:pPr>
        <w:pStyle w:val="Zkladntext110"/>
        <w:framePr w:w="9830" w:h="13862" w:hRule="exact" w:wrap="none" w:vAnchor="page" w:hAnchor="page" w:x="1172" w:y="1892"/>
        <w:numPr>
          <w:ilvl w:val="1"/>
          <w:numId w:val="121"/>
        </w:numPr>
        <w:tabs>
          <w:tab w:val="left" w:pos="566"/>
        </w:tabs>
        <w:spacing w:after="100" w:line="276" w:lineRule="auto"/>
        <w:ind w:left="580" w:hanging="580"/>
        <w:jc w:val="both"/>
      </w:pPr>
      <w:r>
        <w:rPr>
          <w:i w:val="0"/>
          <w:iCs w:val="0"/>
          <w:color w:val="231E20"/>
        </w:rPr>
        <w:t>Předmětem této smlouvy o smlouvě budoucí kupní (dále jen „</w:t>
      </w:r>
      <w:r>
        <w:rPr>
          <w:b/>
          <w:bCs/>
          <w:color w:val="231E20"/>
        </w:rPr>
        <w:t>smlouva</w:t>
      </w:r>
      <w:r>
        <w:rPr>
          <w:i w:val="0"/>
          <w:iCs w:val="0"/>
          <w:color w:val="231E20"/>
        </w:rPr>
        <w:t xml:space="preserve">“) je závazek smluvních stran uzavřít v budoucnu za v této smlouvě ujednaných podmínek </w:t>
      </w:r>
      <w:r>
        <w:rPr>
          <w:b/>
          <w:bCs/>
          <w:i w:val="0"/>
          <w:iCs w:val="0"/>
          <w:color w:val="231E20"/>
        </w:rPr>
        <w:t>kupní smlouvu</w:t>
      </w:r>
      <w:r>
        <w:rPr>
          <w:i w:val="0"/>
          <w:iCs w:val="0"/>
          <w:color w:val="231E20"/>
        </w:rPr>
        <w:t xml:space="preserve">, jejímž předmětem bude </w:t>
      </w:r>
      <w:r>
        <w:rPr>
          <w:b/>
          <w:bCs/>
          <w:i w:val="0"/>
          <w:iCs w:val="0"/>
          <w:color w:val="231E20"/>
          <w:u w:val="single"/>
        </w:rPr>
        <w:t xml:space="preserve">úplatný převod (celého) pozemku označeného jako </w:t>
      </w:r>
      <w:proofErr w:type="spellStart"/>
      <w:r>
        <w:rPr>
          <w:b/>
          <w:bCs/>
          <w:i w:val="0"/>
          <w:iCs w:val="0"/>
          <w:color w:val="231E20"/>
          <w:u w:val="single"/>
        </w:rPr>
        <w:t>p.p.č</w:t>
      </w:r>
      <w:proofErr w:type="spellEnd"/>
      <w:r>
        <w:rPr>
          <w:b/>
          <w:bCs/>
          <w:i w:val="0"/>
          <w:iCs w:val="0"/>
          <w:color w:val="231E20"/>
          <w:u w:val="single"/>
        </w:rPr>
        <w:t>. 5000 o výměře 2.034 m</w:t>
      </w:r>
      <w:r>
        <w:rPr>
          <w:b/>
          <w:bCs/>
          <w:i w:val="0"/>
          <w:iCs w:val="0"/>
          <w:color w:val="231E20"/>
          <w:u w:val="single"/>
          <w:vertAlign w:val="superscript"/>
        </w:rPr>
        <w:t>2</w:t>
      </w:r>
      <w:r>
        <w:rPr>
          <w:b/>
          <w:bCs/>
          <w:i w:val="0"/>
          <w:iCs w:val="0"/>
          <w:color w:val="231E20"/>
          <w:u w:val="single"/>
        </w:rPr>
        <w:t xml:space="preserve"> a části pozemku označeného jako </w:t>
      </w:r>
      <w:proofErr w:type="spellStart"/>
      <w:r>
        <w:rPr>
          <w:b/>
          <w:bCs/>
          <w:i w:val="0"/>
          <w:iCs w:val="0"/>
          <w:color w:val="231E20"/>
          <w:u w:val="single"/>
        </w:rPr>
        <w:t>p.p.č</w:t>
      </w:r>
      <w:proofErr w:type="spellEnd"/>
      <w:r>
        <w:rPr>
          <w:b/>
          <w:bCs/>
          <w:i w:val="0"/>
          <w:iCs w:val="0"/>
          <w:color w:val="231E20"/>
          <w:u w:val="single"/>
        </w:rPr>
        <w:t>. 988/12 o výměře cca 3.200 m</w:t>
      </w:r>
      <w:r>
        <w:rPr>
          <w:b/>
          <w:bCs/>
          <w:i w:val="0"/>
          <w:iCs w:val="0"/>
          <w:color w:val="231E20"/>
          <w:u w:val="single"/>
          <w:vertAlign w:val="superscript"/>
        </w:rPr>
        <w:t>2</w:t>
      </w:r>
      <w:r>
        <w:rPr>
          <w:b/>
          <w:bCs/>
          <w:i w:val="0"/>
          <w:iCs w:val="0"/>
          <w:color w:val="231E20"/>
          <w:u w:val="single"/>
        </w:rPr>
        <w:t xml:space="preserve">, vše v </w:t>
      </w:r>
      <w:proofErr w:type="spellStart"/>
      <w:r>
        <w:rPr>
          <w:b/>
          <w:bCs/>
          <w:i w:val="0"/>
          <w:iCs w:val="0"/>
          <w:color w:val="231E20"/>
          <w:u w:val="single"/>
        </w:rPr>
        <w:t>k.ú</w:t>
      </w:r>
      <w:proofErr w:type="spellEnd"/>
      <w:r>
        <w:rPr>
          <w:b/>
          <w:bCs/>
          <w:i w:val="0"/>
          <w:iCs w:val="0"/>
          <w:color w:val="231E20"/>
          <w:u w:val="single"/>
        </w:rPr>
        <w:t>. Pardubice</w:t>
      </w:r>
      <w:r>
        <w:rPr>
          <w:b/>
          <w:bCs/>
          <w:i w:val="0"/>
          <w:iCs w:val="0"/>
          <w:color w:val="231E20"/>
        </w:rPr>
        <w:t xml:space="preserve"> </w:t>
      </w:r>
      <w:r>
        <w:rPr>
          <w:i w:val="0"/>
          <w:iCs w:val="0"/>
          <w:color w:val="231E20"/>
        </w:rPr>
        <w:t>(dále jen „</w:t>
      </w:r>
      <w:r>
        <w:rPr>
          <w:b/>
          <w:bCs/>
          <w:color w:val="231E20"/>
        </w:rPr>
        <w:t>Nemovitosti</w:t>
      </w:r>
      <w:r>
        <w:rPr>
          <w:i w:val="0"/>
          <w:iCs w:val="0"/>
          <w:color w:val="231E20"/>
        </w:rPr>
        <w:t xml:space="preserve">“), a to spolu s veškerými jejich součástmi a příslušenstvím. Předpokládaný rozsah části pozemku označeného jako </w:t>
      </w:r>
      <w:proofErr w:type="spellStart"/>
      <w:r>
        <w:rPr>
          <w:i w:val="0"/>
          <w:iCs w:val="0"/>
          <w:color w:val="231E20"/>
        </w:rPr>
        <w:t>p.p.č</w:t>
      </w:r>
      <w:proofErr w:type="spellEnd"/>
      <w:r>
        <w:rPr>
          <w:i w:val="0"/>
          <w:iCs w:val="0"/>
          <w:color w:val="231E20"/>
        </w:rPr>
        <w:t xml:space="preserve">. 988/12, o výměře cca 3.200 m2, </w:t>
      </w:r>
      <w:proofErr w:type="spellStart"/>
      <w:r>
        <w:rPr>
          <w:i w:val="0"/>
          <w:iCs w:val="0"/>
          <w:color w:val="231E20"/>
        </w:rPr>
        <w:t>k.ú</w:t>
      </w:r>
      <w:proofErr w:type="spellEnd"/>
      <w:r>
        <w:rPr>
          <w:i w:val="0"/>
          <w:iCs w:val="0"/>
          <w:color w:val="231E20"/>
        </w:rPr>
        <w:t>. Pardubice, který má být předmětem převodu, je graficky vyznačen v příloze č. 1 této smlouvy.</w:t>
      </w:r>
    </w:p>
    <w:p w14:paraId="4ED7A53B" w14:textId="77777777" w:rsidR="00EC1C40" w:rsidRDefault="00000000">
      <w:pPr>
        <w:pStyle w:val="Zkladntext110"/>
        <w:framePr w:w="9830" w:h="13862" w:hRule="exact" w:wrap="none" w:vAnchor="page" w:hAnchor="page" w:x="1172" w:y="1892"/>
        <w:numPr>
          <w:ilvl w:val="1"/>
          <w:numId w:val="121"/>
        </w:numPr>
        <w:tabs>
          <w:tab w:val="left" w:pos="566"/>
        </w:tabs>
        <w:spacing w:after="100" w:line="276" w:lineRule="auto"/>
        <w:ind w:left="580" w:hanging="580"/>
        <w:jc w:val="both"/>
      </w:pPr>
      <w:r>
        <w:rPr>
          <w:i w:val="0"/>
          <w:iCs w:val="0"/>
          <w:color w:val="231E20"/>
        </w:rPr>
        <w:t>Budoucí kupující prohlašuje, že na dotčených pozemcích zamýšlí realizovat záměr výstavby parkovacího domu Hůrka (dále jen „</w:t>
      </w:r>
      <w:r>
        <w:rPr>
          <w:b/>
          <w:bCs/>
          <w:color w:val="231E20"/>
        </w:rPr>
        <w:t>Parkovací dům Hůrka</w:t>
      </w:r>
      <w:r>
        <w:rPr>
          <w:i w:val="0"/>
          <w:iCs w:val="0"/>
          <w:color w:val="231E20"/>
        </w:rPr>
        <w:t>“). Spolu s Parkovacím domem zamýšlí budoucí kupující realizovat v dotčené lokalitě Hůrka rovněž záměr dopravního terminálu (dále jen „</w:t>
      </w:r>
      <w:r>
        <w:rPr>
          <w:b/>
          <w:bCs/>
          <w:color w:val="231E20"/>
        </w:rPr>
        <w:t>Dopravní terminál</w:t>
      </w:r>
      <w:r>
        <w:rPr>
          <w:i w:val="0"/>
          <w:iCs w:val="0"/>
          <w:color w:val="231E20"/>
        </w:rPr>
        <w:t>“; Parkovací dům Hůrka a Dopravní terminál dále společně jako „</w:t>
      </w:r>
      <w:r>
        <w:rPr>
          <w:b/>
          <w:bCs/>
          <w:color w:val="231E20"/>
        </w:rPr>
        <w:t>Dopravní záměr</w:t>
      </w:r>
      <w:r>
        <w:rPr>
          <w:i w:val="0"/>
          <w:iCs w:val="0"/>
          <w:color w:val="231E20"/>
        </w:rPr>
        <w:t>“).</w:t>
      </w:r>
    </w:p>
    <w:p w14:paraId="41EAA126" w14:textId="77777777" w:rsidR="00EC1C40" w:rsidRDefault="00000000">
      <w:pPr>
        <w:pStyle w:val="Zkladntext110"/>
        <w:framePr w:w="9830" w:h="13862" w:hRule="exact" w:wrap="none" w:vAnchor="page" w:hAnchor="page" w:x="1172" w:y="1892"/>
        <w:numPr>
          <w:ilvl w:val="1"/>
          <w:numId w:val="121"/>
        </w:numPr>
        <w:tabs>
          <w:tab w:val="left" w:pos="566"/>
        </w:tabs>
        <w:spacing w:after="0" w:line="276" w:lineRule="auto"/>
        <w:ind w:left="580" w:hanging="580"/>
        <w:jc w:val="both"/>
      </w:pPr>
      <w:r>
        <w:rPr>
          <w:i w:val="0"/>
          <w:iCs w:val="0"/>
          <w:color w:val="231E20"/>
        </w:rPr>
        <w:t xml:space="preserve">Smluvní strany berou na vědomí, že přesná výměra pozemku označeného jako </w:t>
      </w:r>
      <w:proofErr w:type="spellStart"/>
      <w:r>
        <w:rPr>
          <w:i w:val="0"/>
          <w:iCs w:val="0"/>
          <w:color w:val="231E20"/>
        </w:rPr>
        <w:t>p.p.č</w:t>
      </w:r>
      <w:proofErr w:type="spellEnd"/>
      <w:r>
        <w:rPr>
          <w:i w:val="0"/>
          <w:iCs w:val="0"/>
          <w:color w:val="231E20"/>
        </w:rPr>
        <w:t xml:space="preserve">. 988/12 v </w:t>
      </w:r>
      <w:proofErr w:type="spellStart"/>
      <w:r>
        <w:rPr>
          <w:i w:val="0"/>
          <w:iCs w:val="0"/>
          <w:color w:val="231E20"/>
        </w:rPr>
        <w:t>k.ú</w:t>
      </w:r>
      <w:proofErr w:type="spellEnd"/>
      <w:r>
        <w:rPr>
          <w:i w:val="0"/>
          <w:iCs w:val="0"/>
          <w:color w:val="231E20"/>
        </w:rPr>
        <w:t>. Pardubice, bude upřesněna a určena geometrickým plánem vyhotoveným budoucím kupujícím.</w:t>
      </w:r>
    </w:p>
    <w:p w14:paraId="61350B0A" w14:textId="77777777" w:rsidR="00EC1C40" w:rsidRDefault="00000000">
      <w:pPr>
        <w:pStyle w:val="Zhlavnebozpat0"/>
        <w:framePr w:wrap="none" w:vAnchor="page" w:hAnchor="page" w:x="5516" w:y="16181"/>
      </w:pPr>
      <w:r>
        <w:rPr>
          <w:rFonts w:ascii="Arial" w:eastAsia="Arial" w:hAnsi="Arial" w:cs="Arial"/>
          <w:color w:val="231E20"/>
        </w:rPr>
        <w:t xml:space="preserve">Stránka </w:t>
      </w:r>
      <w:r>
        <w:rPr>
          <w:rFonts w:ascii="Arial" w:eastAsia="Arial" w:hAnsi="Arial" w:cs="Arial"/>
          <w:b/>
          <w:bCs/>
          <w:color w:val="231E20"/>
        </w:rPr>
        <w:t xml:space="preserve">1 </w:t>
      </w:r>
      <w:r>
        <w:rPr>
          <w:rFonts w:ascii="Arial" w:eastAsia="Arial" w:hAnsi="Arial" w:cs="Arial"/>
          <w:color w:val="231E20"/>
        </w:rPr>
        <w:t xml:space="preserve">z </w:t>
      </w:r>
      <w:r>
        <w:rPr>
          <w:rFonts w:ascii="Arial" w:eastAsia="Arial" w:hAnsi="Arial" w:cs="Arial"/>
          <w:b/>
          <w:bCs/>
          <w:color w:val="231E20"/>
        </w:rPr>
        <w:t>13</w:t>
      </w:r>
    </w:p>
    <w:p w14:paraId="4AF56F79"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44C263ED" w14:textId="77777777" w:rsidR="00EC1C40" w:rsidRDefault="00EC1C40">
      <w:pPr>
        <w:spacing w:line="1" w:lineRule="exact"/>
      </w:pPr>
    </w:p>
    <w:p w14:paraId="7080554F" w14:textId="77777777" w:rsidR="00EC1C40" w:rsidRDefault="00000000">
      <w:pPr>
        <w:pStyle w:val="Zkladntext110"/>
        <w:framePr w:w="9830" w:h="15197" w:hRule="exact" w:wrap="none" w:vAnchor="page" w:hAnchor="page" w:x="1172" w:y="1272"/>
        <w:numPr>
          <w:ilvl w:val="1"/>
          <w:numId w:val="121"/>
        </w:numPr>
        <w:tabs>
          <w:tab w:val="left" w:pos="571"/>
        </w:tabs>
        <w:spacing w:line="276" w:lineRule="auto"/>
        <w:ind w:left="580" w:hanging="580"/>
        <w:jc w:val="both"/>
      </w:pPr>
      <w:r>
        <w:rPr>
          <w:i w:val="0"/>
          <w:iCs w:val="0"/>
          <w:color w:val="231E20"/>
        </w:rPr>
        <w:t>Smluvní strany spolu s touto Smlouvou uzavírají plánovací smlouvu, jejímž předmětem je spolupráce smluvních stran při realizaci projektu „Multifunkční hokejové arény Pardubice“ (dále jen „</w:t>
      </w:r>
      <w:r>
        <w:rPr>
          <w:b/>
          <w:bCs/>
          <w:color w:val="231E20"/>
        </w:rPr>
        <w:t>Plánovací smlouva</w:t>
      </w:r>
      <w:r>
        <w:rPr>
          <w:i w:val="0"/>
          <w:iCs w:val="0"/>
          <w:color w:val="231E20"/>
        </w:rPr>
        <w:t>“). Plánovací smlouva (a další smluvní dokumentace uzavíraná v souvislosti s ní) upravuje mimo jiné i další práva a povinnosti smluvních stran souvisejících s předmětem této smlouvy, zejména závazky smluvních stran týkajících se výstavby Parkovacího domu Hůrka a Dopravního terminálu v lokalitě Hůrka a vytvoření předpokladů pro jejich realizaci.</w:t>
      </w:r>
    </w:p>
    <w:p w14:paraId="0655AC37" w14:textId="77777777" w:rsidR="00EC1C40" w:rsidRDefault="00000000">
      <w:pPr>
        <w:pStyle w:val="Zkladntext110"/>
        <w:framePr w:w="9830" w:h="15197" w:hRule="exact" w:wrap="none" w:vAnchor="page" w:hAnchor="page" w:x="1172" w:y="1272"/>
        <w:numPr>
          <w:ilvl w:val="1"/>
          <w:numId w:val="121"/>
        </w:numPr>
        <w:tabs>
          <w:tab w:val="left" w:pos="571"/>
        </w:tabs>
        <w:spacing w:line="276" w:lineRule="auto"/>
        <w:ind w:left="580" w:hanging="580"/>
        <w:jc w:val="both"/>
      </w:pPr>
      <w:r>
        <w:rPr>
          <w:i w:val="0"/>
          <w:iCs w:val="0"/>
          <w:color w:val="231E20"/>
        </w:rPr>
        <w:t>Smluvní strany berou na vědomí, že ke dni uzavření této smlouvy není záměr budoucího kupujícího uvedený v čl. 1.3. této smlouvy v souladu s platnou územně plánovací dokumentací, zejména s územním plánem, a že pro jeho realizaci může být nezbytné pořízení územní studie a změna územního plánu. Tím nejsou dotčeny závazky budoucího prodávající z čl. 10.10. Plánovací smlouvy (např. ke Změně ÚP Hůrka atd.).</w:t>
      </w:r>
    </w:p>
    <w:p w14:paraId="1FBC7ED8" w14:textId="77777777" w:rsidR="00EC1C40" w:rsidRDefault="00000000">
      <w:pPr>
        <w:pStyle w:val="Zkladntext110"/>
        <w:framePr w:w="9830" w:h="15197" w:hRule="exact" w:wrap="none" w:vAnchor="page" w:hAnchor="page" w:x="1172" w:y="1272"/>
        <w:numPr>
          <w:ilvl w:val="1"/>
          <w:numId w:val="121"/>
        </w:numPr>
        <w:tabs>
          <w:tab w:val="left" w:pos="571"/>
        </w:tabs>
        <w:spacing w:line="276" w:lineRule="auto"/>
        <w:ind w:left="580" w:hanging="580"/>
        <w:jc w:val="both"/>
      </w:pPr>
      <w:r>
        <w:rPr>
          <w:i w:val="0"/>
          <w:iCs w:val="0"/>
          <w:color w:val="231E20"/>
        </w:rPr>
        <w:t>Smluvní strany berou s výše uvedeným na vědomí, že k realizaci záměru budoucího kupujícího spočívajícího ve výstavbě Parkovacího domu Hůrka bude zapotřebí změnit územní studii a územní plán, tj. realizovat Změnu ÚP Hůrka a Změnu ÚS Hůrka (jak jsou tyto pojmy definovány v Plánovací smlouvě); podrobnosti a konkrétní závazky smluvních stran jsou obsaženy v Plánovací smlouvě. Smluvní strany berou na vědomí, že pouze na základě této smlouvy nevzniká právní nárok na pořízení, vydání ani změnu územně plánovací dokumentace a že rozhodnutí v těchto záležitostech náleží příslušným orgánům veřejné správy v rámci zákonem stanoveného postupu.</w:t>
      </w:r>
    </w:p>
    <w:p w14:paraId="1D5AD52D" w14:textId="77777777" w:rsidR="00EC1C40" w:rsidRDefault="00EC1C40">
      <w:pPr>
        <w:pStyle w:val="Nadpis60"/>
        <w:framePr w:w="9830" w:h="15197" w:hRule="exact" w:wrap="none" w:vAnchor="page" w:hAnchor="page" w:x="1172" w:y="1272"/>
        <w:numPr>
          <w:ilvl w:val="0"/>
          <w:numId w:val="120"/>
        </w:numPr>
        <w:spacing w:after="120" w:line="276" w:lineRule="auto"/>
        <w:jc w:val="center"/>
        <w:rPr>
          <w:sz w:val="20"/>
          <w:szCs w:val="20"/>
        </w:rPr>
      </w:pPr>
    </w:p>
    <w:p w14:paraId="40B0D55F" w14:textId="77777777" w:rsidR="00EC1C40" w:rsidRDefault="00000000">
      <w:pPr>
        <w:pStyle w:val="Zkladntext110"/>
        <w:framePr w:w="9830" w:h="15197" w:hRule="exact" w:wrap="none" w:vAnchor="page" w:hAnchor="page" w:x="1172" w:y="1272"/>
        <w:numPr>
          <w:ilvl w:val="1"/>
          <w:numId w:val="122"/>
        </w:numPr>
        <w:tabs>
          <w:tab w:val="left" w:pos="571"/>
        </w:tabs>
        <w:spacing w:line="276" w:lineRule="auto"/>
        <w:ind w:left="580" w:hanging="580"/>
        <w:jc w:val="both"/>
      </w:pPr>
      <w:r>
        <w:rPr>
          <w:i w:val="0"/>
          <w:iCs w:val="0"/>
          <w:color w:val="231E20"/>
        </w:rPr>
        <w:t xml:space="preserve">Budoucí prodávající se zavazuje zajistit, že do doby uzavření kupní smlouvy budou Nemovitosti uvedené v čl. I. této smlouvy prosty všech právních vad, vyjma ke dni uzavření této smlouvy již existujících věcných břemen týkajících se uložených inženýrských sítí uvedených na LV č. 50001 pro </w:t>
      </w:r>
      <w:proofErr w:type="spellStart"/>
      <w:r>
        <w:rPr>
          <w:i w:val="0"/>
          <w:iCs w:val="0"/>
          <w:color w:val="231E20"/>
        </w:rPr>
        <w:t>k.ú</w:t>
      </w:r>
      <w:proofErr w:type="spellEnd"/>
      <w:r>
        <w:rPr>
          <w:i w:val="0"/>
          <w:iCs w:val="0"/>
          <w:color w:val="231E20"/>
        </w:rPr>
        <w:t>. Pardubice.</w:t>
      </w:r>
    </w:p>
    <w:p w14:paraId="5AF675ED" w14:textId="77777777" w:rsidR="00EC1C40" w:rsidRDefault="00000000">
      <w:pPr>
        <w:pStyle w:val="Zkladntext110"/>
        <w:framePr w:w="9830" w:h="15197" w:hRule="exact" w:wrap="none" w:vAnchor="page" w:hAnchor="page" w:x="1172" w:y="1272"/>
        <w:numPr>
          <w:ilvl w:val="1"/>
          <w:numId w:val="122"/>
        </w:numPr>
        <w:tabs>
          <w:tab w:val="left" w:pos="571"/>
        </w:tabs>
        <w:spacing w:line="276" w:lineRule="auto"/>
        <w:ind w:left="580" w:hanging="580"/>
        <w:jc w:val="both"/>
      </w:pPr>
      <w:r>
        <w:rPr>
          <w:i w:val="0"/>
          <w:iCs w:val="0"/>
          <w:color w:val="231E20"/>
        </w:rPr>
        <w:t>Budoucí prodávající se dále zavazuje, že až do okamžiku provedení zápisu vlastnického práva ve prospěch budoucího kupujícího, nezatíží Nemovitosti uvedené v čl. I. této smlouvy věcnými břemeny ani služebnostmi, vyjma ke dni uzavření této smlouvy existujících věcných břemen vyplývajících z uložení inženýrských sítí, ani jiným právními závadami či zatížením (zejména věcnými či obligačními právy atd.).</w:t>
      </w:r>
    </w:p>
    <w:p w14:paraId="3C16EBD3" w14:textId="77777777" w:rsidR="00EC1C40" w:rsidRDefault="00000000">
      <w:pPr>
        <w:pStyle w:val="Zkladntext110"/>
        <w:framePr w:w="9830" w:h="15197" w:hRule="exact" w:wrap="none" w:vAnchor="page" w:hAnchor="page" w:x="1172" w:y="1272"/>
        <w:numPr>
          <w:ilvl w:val="1"/>
          <w:numId w:val="122"/>
        </w:numPr>
        <w:tabs>
          <w:tab w:val="left" w:pos="571"/>
        </w:tabs>
        <w:spacing w:line="276" w:lineRule="auto"/>
        <w:ind w:left="580" w:hanging="580"/>
        <w:jc w:val="both"/>
      </w:pPr>
      <w:r>
        <w:rPr>
          <w:i w:val="0"/>
          <w:iCs w:val="0"/>
          <w:color w:val="231E20"/>
        </w:rPr>
        <w:t>Budoucí prodávající se dále zavazuje, že ode dne uzavření této smlouvy až do okamžiku nabytí vlastnického práva k Nemovitostem ze strany budoucího kupujícího, nepřevede Nemovitosti na třetí osobu, neuzavře žádnou smlouvu ve prospěch třetí osoby týkající se Nemovitostí, nezatíží je žádnými věcnými právy a zdrží se jakéhokoliv jednání, v jehož důsledku by mohlo dojít v katastru nemovitostí k zapsání poznámky nebo vyznačení dotčení změnou ve smyslu ustanovení § 24 a § 16 zákona č. 256/2013 Sb., katastrální zákon v platném znění.</w:t>
      </w:r>
    </w:p>
    <w:p w14:paraId="5661D89D" w14:textId="77777777" w:rsidR="00EC1C40" w:rsidRDefault="00000000">
      <w:pPr>
        <w:pStyle w:val="Zkladntext110"/>
        <w:framePr w:w="9830" w:h="15197" w:hRule="exact" w:wrap="none" w:vAnchor="page" w:hAnchor="page" w:x="1172" w:y="1272"/>
        <w:numPr>
          <w:ilvl w:val="1"/>
          <w:numId w:val="122"/>
        </w:numPr>
        <w:tabs>
          <w:tab w:val="left" w:pos="571"/>
        </w:tabs>
        <w:spacing w:line="276" w:lineRule="auto"/>
        <w:ind w:left="580" w:hanging="580"/>
        <w:jc w:val="both"/>
      </w:pPr>
      <w:r>
        <w:rPr>
          <w:i w:val="0"/>
          <w:iCs w:val="0"/>
          <w:color w:val="231E20"/>
        </w:rPr>
        <w:t>Budoucí prodávající se touto smlouvou zavazuje uzavřít s budoucím kupujícím kupní smlouvu na Nemovitosti (dále jen „</w:t>
      </w:r>
      <w:r>
        <w:rPr>
          <w:b/>
          <w:bCs/>
          <w:color w:val="231E20"/>
        </w:rPr>
        <w:t>Kupní smlouva</w:t>
      </w:r>
      <w:r>
        <w:rPr>
          <w:i w:val="0"/>
          <w:iCs w:val="0"/>
          <w:color w:val="231E20"/>
        </w:rPr>
        <w:t>“), a to za podmínek stanovených touto smlouvou. Budoucí prodávající se zavazuje, že prodá budoucímu kupujícímu Nemovitosti a budoucí kupující se zavazuje tyto Nemovitosti přijmout do svého výlučného vlastnictví a zavazuje se za ně zaplatit Kupní cenu, která bude určena v souladu s čl. III. této smlouvy. Postup a podmínky pro uzavření Kupní smlouvy jsou stanoveny v čl. V. smlouvy.</w:t>
      </w:r>
    </w:p>
    <w:p w14:paraId="02BFEC82" w14:textId="77777777" w:rsidR="00EC1C40" w:rsidRDefault="00EC1C40">
      <w:pPr>
        <w:pStyle w:val="Nadpis60"/>
        <w:framePr w:w="9830" w:h="15197" w:hRule="exact" w:wrap="none" w:vAnchor="page" w:hAnchor="page" w:x="1172" w:y="1272"/>
        <w:numPr>
          <w:ilvl w:val="0"/>
          <w:numId w:val="120"/>
        </w:numPr>
        <w:spacing w:after="120" w:line="276" w:lineRule="auto"/>
        <w:jc w:val="center"/>
        <w:rPr>
          <w:sz w:val="20"/>
          <w:szCs w:val="20"/>
        </w:rPr>
      </w:pPr>
    </w:p>
    <w:p w14:paraId="17E0F92B" w14:textId="77777777" w:rsidR="00EC1C40" w:rsidRDefault="00000000">
      <w:pPr>
        <w:pStyle w:val="Zkladntext110"/>
        <w:framePr w:w="9830" w:h="15197" w:hRule="exact" w:wrap="none" w:vAnchor="page" w:hAnchor="page" w:x="1172" w:y="1272"/>
        <w:numPr>
          <w:ilvl w:val="1"/>
          <w:numId w:val="123"/>
        </w:numPr>
        <w:tabs>
          <w:tab w:val="left" w:pos="571"/>
        </w:tabs>
        <w:spacing w:line="276" w:lineRule="auto"/>
        <w:ind w:left="580" w:hanging="580"/>
        <w:jc w:val="both"/>
      </w:pPr>
      <w:r>
        <w:rPr>
          <w:i w:val="0"/>
          <w:iCs w:val="0"/>
          <w:color w:val="231E20"/>
        </w:rPr>
        <w:t>Smluvní strany si sjednávají, že kupní cena za Nemovitosti bude stanovena na základě znaleckého posudku znalce v oboru oceňování nemovitých věcí, vybraného z platného Seznamu znalců v oboru oceňování nemovitostí schváleného Radou města Pardubic, který stanoví cenu Nemovitostí jako cenu obvyklou v daném místě a čase, v souladu s právními předpisy; znalce vybere budoucí prodávající bez zbytečného odkladu po doručení žádosti budoucího kupujícího. Zadání znaleckého posudku si smluvní strany vzájemně odsouhlasí. Výzva k ustanovení znalce dle tohoto ustanovení není výzvou k uzavření Kupní smlouvy dle čl. V. této smlouvy.</w:t>
      </w:r>
    </w:p>
    <w:p w14:paraId="2CC3941B" w14:textId="77777777" w:rsidR="00EC1C40" w:rsidRDefault="00000000">
      <w:pPr>
        <w:pStyle w:val="Zkladntext110"/>
        <w:framePr w:w="9830" w:h="15197" w:hRule="exact" w:wrap="none" w:vAnchor="page" w:hAnchor="page" w:x="1172" w:y="1272"/>
        <w:numPr>
          <w:ilvl w:val="1"/>
          <w:numId w:val="123"/>
        </w:numPr>
        <w:tabs>
          <w:tab w:val="left" w:pos="571"/>
        </w:tabs>
        <w:spacing w:after="0" w:line="276" w:lineRule="auto"/>
        <w:ind w:left="580" w:hanging="580"/>
        <w:jc w:val="both"/>
      </w:pPr>
      <w:r>
        <w:rPr>
          <w:i w:val="0"/>
          <w:iCs w:val="0"/>
          <w:color w:val="231E20"/>
        </w:rPr>
        <w:t>Pokud Nemovitosti, které budou předmětem převodu dle Kupní smlouvy, budou podléhat DPH, bude kupní cena o DPH navýšena (není-li již zohledněn v rámci znaleckého posudku), a to v souladu s platnými a účinnými právními předpisy.</w:t>
      </w:r>
    </w:p>
    <w:p w14:paraId="6615A41A" w14:textId="77777777" w:rsidR="00EC1C40" w:rsidRDefault="00000000">
      <w:pPr>
        <w:pStyle w:val="Zkladntext70"/>
        <w:framePr w:w="9830" w:h="15197" w:hRule="exact" w:wrap="none" w:vAnchor="page" w:hAnchor="page" w:x="1172" w:y="1272"/>
        <w:spacing w:line="312" w:lineRule="auto"/>
        <w:ind w:left="0"/>
        <w:jc w:val="center"/>
      </w:pPr>
      <w:r>
        <w:t xml:space="preserve">Stránka </w:t>
      </w:r>
      <w:r>
        <w:rPr>
          <w:b/>
          <w:bCs/>
        </w:rPr>
        <w:t xml:space="preserve">2 </w:t>
      </w:r>
      <w:r>
        <w:t xml:space="preserve">z </w:t>
      </w:r>
      <w:r>
        <w:rPr>
          <w:b/>
          <w:bCs/>
        </w:rPr>
        <w:t>13</w:t>
      </w:r>
    </w:p>
    <w:p w14:paraId="6745608B"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6B95B24C" w14:textId="77777777" w:rsidR="00EC1C40" w:rsidRDefault="00EC1C40">
      <w:pPr>
        <w:spacing w:line="1" w:lineRule="exact"/>
      </w:pPr>
    </w:p>
    <w:p w14:paraId="68E60CD6" w14:textId="77777777" w:rsidR="00EC1C40" w:rsidRDefault="00000000">
      <w:pPr>
        <w:pStyle w:val="Zkladntext110"/>
        <w:framePr w:w="9830" w:h="821" w:hRule="exact" w:wrap="none" w:vAnchor="page" w:hAnchor="page" w:x="1169" w:y="1596"/>
        <w:numPr>
          <w:ilvl w:val="1"/>
          <w:numId w:val="123"/>
        </w:numPr>
        <w:tabs>
          <w:tab w:val="left" w:pos="608"/>
        </w:tabs>
        <w:spacing w:after="0" w:line="276" w:lineRule="auto"/>
        <w:ind w:left="600" w:hanging="600"/>
        <w:jc w:val="both"/>
      </w:pPr>
      <w:r>
        <w:rPr>
          <w:i w:val="0"/>
          <w:iCs w:val="0"/>
          <w:color w:val="231E20"/>
        </w:rPr>
        <w:t>Budoucí kupující uhradí náklady spojené s vyhotovením znaleckého posudku znalcem v souladu s čl. 3.1., a zároveň předloží budoucímu prodávajícímu geometrický plán ke stanovení finálního rozsahu Nemovitostí, které mají být předmětem převodu dle Kupní smlouvy.</w:t>
      </w:r>
    </w:p>
    <w:p w14:paraId="5C875810" w14:textId="77777777" w:rsidR="00EC1C40" w:rsidRDefault="00000000">
      <w:pPr>
        <w:pStyle w:val="Zkladntext110"/>
        <w:framePr w:w="9830" w:h="4018" w:hRule="exact" w:wrap="none" w:vAnchor="page" w:hAnchor="page" w:x="1169" w:y="2517"/>
        <w:numPr>
          <w:ilvl w:val="1"/>
          <w:numId w:val="123"/>
        </w:numPr>
        <w:tabs>
          <w:tab w:val="left" w:pos="608"/>
        </w:tabs>
        <w:spacing w:line="276" w:lineRule="auto"/>
        <w:ind w:left="600" w:hanging="600"/>
        <w:jc w:val="both"/>
      </w:pPr>
      <w:r>
        <w:rPr>
          <w:i w:val="0"/>
          <w:iCs w:val="0"/>
          <w:color w:val="231E20"/>
        </w:rPr>
        <w:t>Smluvní strany berou na vědomí, že předpokladem pro uzavření Kupní smlouvy je předchozí schválení příslušnými orgány budoucího prodávajícího, tj. Radou města Pardubic a Zastupitelstvem města Pardubic. Budoucí prodávající není povinen předložit návrh na uzavření Kupní smlouvy k projednání příslušným orgánům dříve, než bude vyhotoven znalecký posudek dle čl. 3.1. této smlouvy. V souvislosti s tím smluvní strany souhlasí, že znalecký posudek dle čl. 3.1. této smlouvy pro účely stanovení kupní ceny musí být vyhotoven před zahájením procesu schvalování uzavření Kupní smlouvy v příslušných orgánech budoucího prodávajícího.</w:t>
      </w:r>
    </w:p>
    <w:p w14:paraId="4F4A5459" w14:textId="77777777" w:rsidR="00EC1C40" w:rsidRDefault="00EC1C40">
      <w:pPr>
        <w:pStyle w:val="Nadpis60"/>
        <w:framePr w:w="9830" w:h="4018" w:hRule="exact" w:wrap="none" w:vAnchor="page" w:hAnchor="page" w:x="1169" w:y="2517"/>
        <w:numPr>
          <w:ilvl w:val="0"/>
          <w:numId w:val="120"/>
        </w:numPr>
        <w:spacing w:after="120" w:line="276" w:lineRule="auto"/>
        <w:jc w:val="center"/>
        <w:rPr>
          <w:sz w:val="20"/>
          <w:szCs w:val="20"/>
        </w:rPr>
      </w:pPr>
    </w:p>
    <w:p w14:paraId="7192C1CE" w14:textId="77777777" w:rsidR="00EC1C40" w:rsidRDefault="00000000">
      <w:pPr>
        <w:pStyle w:val="Zkladntext110"/>
        <w:framePr w:w="9830" w:h="4018" w:hRule="exact" w:wrap="none" w:vAnchor="page" w:hAnchor="page" w:x="1169" w:y="2517"/>
        <w:numPr>
          <w:ilvl w:val="1"/>
          <w:numId w:val="124"/>
        </w:numPr>
        <w:tabs>
          <w:tab w:val="left" w:pos="608"/>
        </w:tabs>
        <w:spacing w:after="0" w:line="276" w:lineRule="auto"/>
        <w:ind w:left="600" w:hanging="600"/>
        <w:jc w:val="both"/>
      </w:pPr>
      <w:r>
        <w:rPr>
          <w:i w:val="0"/>
          <w:iCs w:val="0"/>
          <w:color w:val="231E20"/>
        </w:rPr>
        <w:t>Kupní smlouva bude ve všech podstatných ohledech odpovídat níže uvedenému vzorovému znění s tím, že do tohoto vzorového znění smluvní strany (i) doplní údaje, jejichž doplnění vzorové znění Kupní smlouvy předpokládá, a dále (</w:t>
      </w:r>
      <w:proofErr w:type="spellStart"/>
      <w:r>
        <w:rPr>
          <w:i w:val="0"/>
          <w:iCs w:val="0"/>
          <w:color w:val="231E20"/>
        </w:rPr>
        <w:t>ii</w:t>
      </w:r>
      <w:proofErr w:type="spellEnd"/>
      <w:r>
        <w:rPr>
          <w:i w:val="0"/>
          <w:iCs w:val="0"/>
          <w:color w:val="231E20"/>
        </w:rPr>
        <w:t>) doplní a/nebo aktualizují text Kupní smlouvy, pokud je to nezbytné s ohledem na změnu právních předpisů či jiných závazných norem či podmínek stanovených ze strany orgánů veřejné moci, popřípadě změny okolností v mezidobí a/nebo (</w:t>
      </w:r>
      <w:proofErr w:type="spellStart"/>
      <w:r>
        <w:rPr>
          <w:i w:val="0"/>
          <w:iCs w:val="0"/>
          <w:color w:val="231E20"/>
        </w:rPr>
        <w:t>iii</w:t>
      </w:r>
      <w:proofErr w:type="spellEnd"/>
      <w:r>
        <w:rPr>
          <w:i w:val="0"/>
          <w:iCs w:val="0"/>
          <w:color w:val="231E20"/>
        </w:rPr>
        <w:t>) pokud se na tom smluvní strany dohodnou:</w:t>
      </w:r>
    </w:p>
    <w:p w14:paraId="2621F61F" w14:textId="77777777" w:rsidR="00EC1C40" w:rsidRDefault="00000000">
      <w:pPr>
        <w:pStyle w:val="Zkladntext70"/>
        <w:framePr w:w="9830" w:h="787" w:hRule="exact" w:wrap="none" w:vAnchor="page" w:hAnchor="page" w:x="1169" w:y="6953"/>
        <w:spacing w:after="360" w:line="240" w:lineRule="auto"/>
        <w:ind w:left="0"/>
        <w:jc w:val="both"/>
      </w:pPr>
      <w:r>
        <w:rPr>
          <w:i/>
          <w:iCs/>
        </w:rPr>
        <w:t>Níže uvedeného dne, měsíce a roku uzavřeli</w:t>
      </w:r>
    </w:p>
    <w:p w14:paraId="7FEBC785" w14:textId="77777777" w:rsidR="00EC1C40" w:rsidRDefault="00000000">
      <w:pPr>
        <w:pStyle w:val="Zkladntext70"/>
        <w:framePr w:w="9830" w:h="787" w:hRule="exact" w:wrap="none" w:vAnchor="page" w:hAnchor="page" w:x="1169" w:y="6953"/>
        <w:spacing w:line="240" w:lineRule="auto"/>
        <w:ind w:left="0"/>
        <w:jc w:val="both"/>
      </w:pPr>
      <w:r>
        <w:rPr>
          <w:b/>
          <w:bCs/>
          <w:i/>
          <w:iCs/>
        </w:rPr>
        <w:t>statutární město Pardubice,</w:t>
      </w:r>
    </w:p>
    <w:p w14:paraId="1352255E" w14:textId="77777777" w:rsidR="00EC1C40" w:rsidRDefault="00000000">
      <w:pPr>
        <w:pStyle w:val="Zkladntext70"/>
        <w:framePr w:w="9830" w:h="1090" w:hRule="exact" w:wrap="none" w:vAnchor="page" w:hAnchor="page" w:x="1169" w:y="7773"/>
        <w:tabs>
          <w:tab w:val="left" w:pos="1234"/>
        </w:tabs>
        <w:spacing w:after="60" w:line="240" w:lineRule="auto"/>
        <w:ind w:left="0"/>
        <w:jc w:val="both"/>
      </w:pPr>
      <w:r>
        <w:rPr>
          <w:i/>
          <w:iCs/>
        </w:rPr>
        <w:t>IČO:</w:t>
      </w:r>
      <w:r>
        <w:rPr>
          <w:i/>
          <w:iCs/>
        </w:rPr>
        <w:tab/>
        <w:t>00274046,</w:t>
      </w:r>
    </w:p>
    <w:p w14:paraId="517037ED" w14:textId="77777777" w:rsidR="00EC1C40" w:rsidRDefault="00000000">
      <w:pPr>
        <w:pStyle w:val="Zkladntext70"/>
        <w:framePr w:w="9830" w:h="1090" w:hRule="exact" w:wrap="none" w:vAnchor="page" w:hAnchor="page" w:x="1169" w:y="7773"/>
        <w:tabs>
          <w:tab w:val="left" w:pos="1234"/>
        </w:tabs>
        <w:spacing w:after="60" w:line="240" w:lineRule="auto"/>
        <w:ind w:left="0"/>
        <w:jc w:val="both"/>
      </w:pPr>
      <w:r>
        <w:rPr>
          <w:i/>
          <w:iCs/>
        </w:rPr>
        <w:t>Sídlo:</w:t>
      </w:r>
      <w:r>
        <w:rPr>
          <w:i/>
          <w:iCs/>
        </w:rPr>
        <w:tab/>
        <w:t>Pernštýnské nám. 1, 530 21 Pardubice,</w:t>
      </w:r>
    </w:p>
    <w:p w14:paraId="591E6274" w14:textId="77777777" w:rsidR="00EC1C40" w:rsidRDefault="00000000">
      <w:pPr>
        <w:pStyle w:val="Zkladntext70"/>
        <w:framePr w:w="9830" w:h="1090" w:hRule="exact" w:wrap="none" w:vAnchor="page" w:hAnchor="page" w:x="1169" w:y="7773"/>
        <w:tabs>
          <w:tab w:val="left" w:pos="1234"/>
          <w:tab w:val="left" w:leader="dot" w:pos="2801"/>
        </w:tabs>
        <w:spacing w:after="60" w:line="240" w:lineRule="auto"/>
        <w:ind w:left="0"/>
        <w:jc w:val="both"/>
      </w:pPr>
      <w:r>
        <w:rPr>
          <w:i/>
          <w:iCs/>
        </w:rPr>
        <w:t>jednající:</w:t>
      </w:r>
      <w:r>
        <w:rPr>
          <w:i/>
          <w:iCs/>
        </w:rPr>
        <w:tab/>
      </w:r>
      <w:r>
        <w:rPr>
          <w:i/>
          <w:iCs/>
        </w:rPr>
        <w:tab/>
        <w:t>, primátor města</w:t>
      </w:r>
    </w:p>
    <w:p w14:paraId="7DB3D06E" w14:textId="77777777" w:rsidR="00EC1C40" w:rsidRDefault="00000000">
      <w:pPr>
        <w:pStyle w:val="Zkladntext70"/>
        <w:framePr w:w="9830" w:h="1090" w:hRule="exact" w:wrap="none" w:vAnchor="page" w:hAnchor="page" w:x="1169" w:y="7773"/>
        <w:tabs>
          <w:tab w:val="right" w:leader="dot" w:pos="2309"/>
          <w:tab w:val="left" w:leader="dot" w:pos="2801"/>
        </w:tabs>
        <w:spacing w:line="240" w:lineRule="auto"/>
        <w:ind w:left="0"/>
        <w:jc w:val="both"/>
      </w:pPr>
      <w:proofErr w:type="spellStart"/>
      <w:r>
        <w:rPr>
          <w:i/>
          <w:iCs/>
        </w:rPr>
        <w:t>č.ú</w:t>
      </w:r>
      <w:proofErr w:type="spellEnd"/>
      <w:r>
        <w:rPr>
          <w:i/>
          <w:iCs/>
        </w:rPr>
        <w:tab/>
        <w:t>/.</w:t>
      </w:r>
      <w:r>
        <w:rPr>
          <w:i/>
          <w:iCs/>
        </w:rPr>
        <w:tab/>
      </w:r>
    </w:p>
    <w:p w14:paraId="7650196C" w14:textId="77777777" w:rsidR="00EC1C40" w:rsidRDefault="00000000">
      <w:pPr>
        <w:pStyle w:val="Zkladntext70"/>
        <w:framePr w:w="9830" w:h="6725" w:hRule="exact" w:wrap="none" w:vAnchor="page" w:hAnchor="page" w:x="1169" w:y="9194"/>
        <w:spacing w:after="260" w:line="324" w:lineRule="auto"/>
        <w:ind w:left="0"/>
        <w:jc w:val="both"/>
      </w:pPr>
      <w:r>
        <w:rPr>
          <w:i/>
          <w:iCs/>
        </w:rPr>
        <w:t xml:space="preserve">jako </w:t>
      </w:r>
      <w:r>
        <w:rPr>
          <w:b/>
          <w:bCs/>
          <w:i/>
          <w:iCs/>
        </w:rPr>
        <w:t>Prodávající</w:t>
      </w:r>
    </w:p>
    <w:p w14:paraId="79EC4209" w14:textId="77777777" w:rsidR="00EC1C40" w:rsidRDefault="00000000">
      <w:pPr>
        <w:pStyle w:val="Zkladntext70"/>
        <w:framePr w:w="9830" w:h="6725" w:hRule="exact" w:wrap="none" w:vAnchor="page" w:hAnchor="page" w:x="1169" w:y="9194"/>
        <w:spacing w:after="260" w:line="324" w:lineRule="auto"/>
        <w:ind w:left="0"/>
        <w:jc w:val="both"/>
      </w:pPr>
      <w:r>
        <w:rPr>
          <w:i/>
          <w:iCs/>
        </w:rPr>
        <w:t>a</w:t>
      </w:r>
    </w:p>
    <w:p w14:paraId="77AE5292" w14:textId="77777777" w:rsidR="00EC1C40" w:rsidRDefault="00000000">
      <w:pPr>
        <w:pStyle w:val="Zkladntext70"/>
        <w:framePr w:w="9830" w:h="6725" w:hRule="exact" w:wrap="none" w:vAnchor="page" w:hAnchor="page" w:x="1169" w:y="9194"/>
        <w:spacing w:line="240" w:lineRule="auto"/>
        <w:ind w:left="0"/>
        <w:jc w:val="both"/>
      </w:pPr>
      <w:r>
        <w:rPr>
          <w:b/>
          <w:bCs/>
          <w:i/>
          <w:iCs/>
        </w:rPr>
        <w:t>MHAP s.r.o.</w:t>
      </w:r>
      <w:r>
        <w:rPr>
          <w:i/>
          <w:iCs/>
        </w:rPr>
        <w:t>,</w:t>
      </w:r>
    </w:p>
    <w:p w14:paraId="75A29C41" w14:textId="77777777" w:rsidR="00EC1C40" w:rsidRDefault="00000000">
      <w:pPr>
        <w:pStyle w:val="Zkladntext70"/>
        <w:framePr w:w="9830" w:h="6725" w:hRule="exact" w:wrap="none" w:vAnchor="page" w:hAnchor="page" w:x="1169" w:y="9194"/>
        <w:tabs>
          <w:tab w:val="left" w:pos="1234"/>
        </w:tabs>
        <w:spacing w:line="240" w:lineRule="auto"/>
        <w:ind w:left="0"/>
        <w:jc w:val="both"/>
      </w:pPr>
      <w:r>
        <w:rPr>
          <w:i/>
          <w:iCs/>
        </w:rPr>
        <w:t>IČO:</w:t>
      </w:r>
      <w:r>
        <w:rPr>
          <w:i/>
          <w:iCs/>
        </w:rPr>
        <w:tab/>
        <w:t>175 44 661,</w:t>
      </w:r>
    </w:p>
    <w:p w14:paraId="7A515522" w14:textId="77777777" w:rsidR="00EC1C40" w:rsidRDefault="00000000">
      <w:pPr>
        <w:pStyle w:val="Zkladntext70"/>
        <w:framePr w:w="9830" w:h="6725" w:hRule="exact" w:wrap="none" w:vAnchor="page" w:hAnchor="page" w:x="1169" w:y="9194"/>
        <w:tabs>
          <w:tab w:val="left" w:pos="1234"/>
        </w:tabs>
        <w:spacing w:line="240" w:lineRule="auto"/>
        <w:ind w:left="0"/>
        <w:jc w:val="both"/>
      </w:pPr>
      <w:r>
        <w:rPr>
          <w:i/>
          <w:iCs/>
        </w:rPr>
        <w:t>Sídlo:</w:t>
      </w:r>
      <w:r>
        <w:rPr>
          <w:i/>
          <w:iCs/>
        </w:rPr>
        <w:tab/>
        <w:t>Olbrachtova 1980/5, Krč, 140 00 Praha 4,</w:t>
      </w:r>
    </w:p>
    <w:p w14:paraId="1D3BEC5E" w14:textId="77777777" w:rsidR="00EC1C40" w:rsidRDefault="00000000">
      <w:pPr>
        <w:pStyle w:val="Zkladntext70"/>
        <w:framePr w:w="9830" w:h="6725" w:hRule="exact" w:wrap="none" w:vAnchor="page" w:hAnchor="page" w:x="1169" w:y="9194"/>
        <w:tabs>
          <w:tab w:val="left" w:pos="1234"/>
        </w:tabs>
        <w:spacing w:after="260" w:line="240" w:lineRule="auto"/>
        <w:ind w:left="0"/>
        <w:jc w:val="both"/>
      </w:pPr>
      <w:r>
        <w:rPr>
          <w:i/>
          <w:iCs/>
        </w:rPr>
        <w:t>Jednající:</w:t>
      </w:r>
      <w:r>
        <w:rPr>
          <w:i/>
          <w:iCs/>
        </w:rPr>
        <w:tab/>
        <w:t>Petr Dědek, jednatel společnosti</w:t>
      </w:r>
    </w:p>
    <w:p w14:paraId="1EE7A519" w14:textId="77777777" w:rsidR="00EC1C40" w:rsidRDefault="00000000">
      <w:pPr>
        <w:pStyle w:val="Zkladntext70"/>
        <w:framePr w:w="9830" w:h="6725" w:hRule="exact" w:wrap="none" w:vAnchor="page" w:hAnchor="page" w:x="1169" w:y="9194"/>
        <w:spacing w:after="260" w:line="324" w:lineRule="auto"/>
        <w:ind w:left="0"/>
        <w:jc w:val="both"/>
      </w:pPr>
      <w:r>
        <w:rPr>
          <w:i/>
          <w:iCs/>
        </w:rPr>
        <w:t>zapsaná v obchodním rejstříku vedeném u Městského soudu v Praze, oddíl C, vložka 372943</w:t>
      </w:r>
    </w:p>
    <w:p w14:paraId="37B5667B" w14:textId="77777777" w:rsidR="00EC1C40" w:rsidRDefault="00000000">
      <w:pPr>
        <w:pStyle w:val="Zkladntext70"/>
        <w:framePr w:w="9830" w:h="6725" w:hRule="exact" w:wrap="none" w:vAnchor="page" w:hAnchor="page" w:x="1169" w:y="9194"/>
        <w:spacing w:after="560" w:line="324" w:lineRule="auto"/>
        <w:ind w:left="0"/>
        <w:jc w:val="both"/>
      </w:pPr>
      <w:r>
        <w:rPr>
          <w:i/>
          <w:iCs/>
        </w:rPr>
        <w:t xml:space="preserve">jako </w:t>
      </w:r>
      <w:r>
        <w:rPr>
          <w:b/>
          <w:bCs/>
          <w:i/>
          <w:iCs/>
        </w:rPr>
        <w:t>Kupující</w:t>
      </w:r>
    </w:p>
    <w:p w14:paraId="45295194" w14:textId="77777777" w:rsidR="00EC1C40" w:rsidRDefault="00000000">
      <w:pPr>
        <w:pStyle w:val="Zkladntext70"/>
        <w:framePr w:w="9830" w:h="6725" w:hRule="exact" w:wrap="none" w:vAnchor="page" w:hAnchor="page" w:x="1169" w:y="9194"/>
        <w:spacing w:after="260" w:line="324" w:lineRule="auto"/>
        <w:ind w:left="0"/>
        <w:jc w:val="both"/>
      </w:pPr>
      <w:r>
        <w:rPr>
          <w:i/>
          <w:iCs/>
        </w:rPr>
        <w:t>dle ustanovení § 2079 a násl. zákona č. 89/2012 Sb., občanský zákoník v platném znění (dále jenom jako „</w:t>
      </w:r>
      <w:r>
        <w:rPr>
          <w:b/>
          <w:bCs/>
          <w:i/>
          <w:iCs/>
        </w:rPr>
        <w:t>občanský zákoník</w:t>
      </w:r>
      <w:r>
        <w:rPr>
          <w:i/>
          <w:iCs/>
        </w:rPr>
        <w:t>“) tuto</w:t>
      </w:r>
    </w:p>
    <w:p w14:paraId="5D2B6CE3" w14:textId="77777777" w:rsidR="00EC1C40" w:rsidRDefault="00000000">
      <w:pPr>
        <w:pStyle w:val="Jin0"/>
        <w:framePr w:w="9830" w:h="6725" w:hRule="exact" w:wrap="none" w:vAnchor="page" w:hAnchor="page" w:x="1169" w:y="9194"/>
        <w:spacing w:after="360"/>
        <w:jc w:val="center"/>
        <w:rPr>
          <w:sz w:val="32"/>
          <w:szCs w:val="32"/>
        </w:rPr>
      </w:pPr>
      <w:r>
        <w:rPr>
          <w:rFonts w:ascii="Arial" w:eastAsia="Arial" w:hAnsi="Arial" w:cs="Arial"/>
          <w:b/>
          <w:bCs/>
          <w:i/>
          <w:iCs/>
          <w:sz w:val="32"/>
          <w:szCs w:val="32"/>
        </w:rPr>
        <w:t>kupní smlouvu</w:t>
      </w:r>
    </w:p>
    <w:p w14:paraId="65FD1D4D" w14:textId="77777777" w:rsidR="00EC1C40" w:rsidRDefault="00EC1C40">
      <w:pPr>
        <w:pStyle w:val="Zkladntext70"/>
        <w:framePr w:w="9830" w:h="6725" w:hRule="exact" w:wrap="none" w:vAnchor="page" w:hAnchor="page" w:x="1169" w:y="9194"/>
        <w:numPr>
          <w:ilvl w:val="0"/>
          <w:numId w:val="125"/>
        </w:numPr>
        <w:spacing w:line="324" w:lineRule="auto"/>
        <w:ind w:left="0"/>
        <w:jc w:val="center"/>
      </w:pPr>
    </w:p>
    <w:p w14:paraId="3A59EED6" w14:textId="77777777" w:rsidR="00EC1C40" w:rsidRDefault="00000000">
      <w:pPr>
        <w:pStyle w:val="Zkladntext70"/>
        <w:framePr w:w="9830" w:h="6725" w:hRule="exact" w:wrap="none" w:vAnchor="page" w:hAnchor="page" w:x="1169" w:y="9194"/>
        <w:spacing w:line="324" w:lineRule="auto"/>
        <w:ind w:left="0"/>
        <w:jc w:val="center"/>
      </w:pPr>
      <w:r>
        <w:rPr>
          <w:b/>
          <w:bCs/>
          <w:i/>
          <w:iCs/>
        </w:rPr>
        <w:t>Předmět převodu</w:t>
      </w:r>
    </w:p>
    <w:p w14:paraId="272C55BF" w14:textId="77777777" w:rsidR="00EC1C40" w:rsidRDefault="00000000">
      <w:pPr>
        <w:pStyle w:val="Zkladntext70"/>
        <w:framePr w:w="9830" w:h="6725" w:hRule="exact" w:wrap="none" w:vAnchor="page" w:hAnchor="page" w:x="1169" w:y="9194"/>
        <w:numPr>
          <w:ilvl w:val="1"/>
          <w:numId w:val="126"/>
        </w:numPr>
        <w:tabs>
          <w:tab w:val="left" w:pos="608"/>
        </w:tabs>
        <w:spacing w:line="324" w:lineRule="auto"/>
        <w:ind w:left="0"/>
        <w:jc w:val="both"/>
      </w:pPr>
      <w:r>
        <w:rPr>
          <w:i/>
          <w:iCs/>
        </w:rPr>
        <w:t>Prodávající prohlašuje, že je výlučným vlastníkem níže uvedených pozemků označených jako:</w:t>
      </w:r>
    </w:p>
    <w:p w14:paraId="6AE2373B" w14:textId="77777777" w:rsidR="00EC1C40" w:rsidRDefault="00000000">
      <w:pPr>
        <w:pStyle w:val="Zkladntext70"/>
        <w:framePr w:w="9830" w:h="6725" w:hRule="exact" w:wrap="none" w:vAnchor="page" w:hAnchor="page" w:x="1169" w:y="9194"/>
        <w:numPr>
          <w:ilvl w:val="0"/>
          <w:numId w:val="127"/>
        </w:numPr>
        <w:tabs>
          <w:tab w:val="left" w:pos="1234"/>
        </w:tabs>
        <w:spacing w:line="305" w:lineRule="auto"/>
        <w:ind w:left="0" w:firstLine="820"/>
        <w:jc w:val="both"/>
      </w:pPr>
      <w:proofErr w:type="spellStart"/>
      <w:r>
        <w:rPr>
          <w:i/>
          <w:iCs/>
        </w:rPr>
        <w:t>p.p.č</w:t>
      </w:r>
      <w:proofErr w:type="spellEnd"/>
      <w:r>
        <w:rPr>
          <w:i/>
          <w:iCs/>
        </w:rPr>
        <w:t xml:space="preserve">. </w:t>
      </w:r>
      <w:r>
        <w:rPr>
          <w:b/>
          <w:bCs/>
          <w:i/>
          <w:iCs/>
        </w:rPr>
        <w:t xml:space="preserve">5000 </w:t>
      </w:r>
      <w:r>
        <w:rPr>
          <w:i/>
          <w:iCs/>
        </w:rPr>
        <w:t>o výměře 2.034 m</w:t>
      </w:r>
      <w:r>
        <w:rPr>
          <w:i/>
          <w:iCs/>
          <w:vertAlign w:val="superscript"/>
        </w:rPr>
        <w:t>2</w:t>
      </w:r>
      <w:r>
        <w:rPr>
          <w:i/>
          <w:iCs/>
        </w:rPr>
        <w:t>, ostatní plocha - jiná plocha</w:t>
      </w:r>
    </w:p>
    <w:p w14:paraId="036DD124" w14:textId="77777777" w:rsidR="00EC1C40" w:rsidRDefault="00000000">
      <w:pPr>
        <w:pStyle w:val="Zkladntext70"/>
        <w:framePr w:w="9830" w:h="6725" w:hRule="exact" w:wrap="none" w:vAnchor="page" w:hAnchor="page" w:x="1169" w:y="9194"/>
        <w:numPr>
          <w:ilvl w:val="0"/>
          <w:numId w:val="127"/>
        </w:numPr>
        <w:tabs>
          <w:tab w:val="left" w:pos="1234"/>
        </w:tabs>
        <w:spacing w:line="305" w:lineRule="auto"/>
        <w:ind w:left="0" w:firstLine="820"/>
        <w:jc w:val="both"/>
      </w:pPr>
      <w:proofErr w:type="spellStart"/>
      <w:r>
        <w:rPr>
          <w:i/>
          <w:iCs/>
        </w:rPr>
        <w:t>p.p.č</w:t>
      </w:r>
      <w:proofErr w:type="spellEnd"/>
      <w:r>
        <w:rPr>
          <w:i/>
          <w:iCs/>
        </w:rPr>
        <w:t xml:space="preserve">. </w:t>
      </w:r>
      <w:r>
        <w:rPr>
          <w:b/>
          <w:bCs/>
          <w:i/>
          <w:iCs/>
        </w:rPr>
        <w:t xml:space="preserve">988/12 </w:t>
      </w:r>
      <w:r>
        <w:rPr>
          <w:i/>
          <w:iCs/>
        </w:rPr>
        <w:t>o výměře 78.800 m</w:t>
      </w:r>
      <w:r>
        <w:rPr>
          <w:i/>
          <w:iCs/>
          <w:vertAlign w:val="superscript"/>
        </w:rPr>
        <w:t>2</w:t>
      </w:r>
      <w:r>
        <w:rPr>
          <w:i/>
          <w:iCs/>
        </w:rPr>
        <w:t>, ostatní plocha - jiná plocha</w:t>
      </w:r>
    </w:p>
    <w:p w14:paraId="26FD0B8D" w14:textId="77777777" w:rsidR="00EC1C40" w:rsidRDefault="00000000">
      <w:pPr>
        <w:pStyle w:val="Zhlavnebozpat0"/>
        <w:framePr w:wrap="none" w:vAnchor="page" w:hAnchor="page" w:x="5528" w:y="16193"/>
      </w:pPr>
      <w:r>
        <w:rPr>
          <w:rFonts w:ascii="Arial" w:eastAsia="Arial" w:hAnsi="Arial" w:cs="Arial"/>
          <w:color w:val="231E20"/>
        </w:rPr>
        <w:t xml:space="preserve">Stránka </w:t>
      </w:r>
      <w:r>
        <w:rPr>
          <w:rFonts w:ascii="Arial" w:eastAsia="Arial" w:hAnsi="Arial" w:cs="Arial"/>
          <w:b/>
          <w:bCs/>
          <w:color w:val="231E20"/>
        </w:rPr>
        <w:t xml:space="preserve">3 </w:t>
      </w:r>
      <w:r>
        <w:rPr>
          <w:rFonts w:ascii="Arial" w:eastAsia="Arial" w:hAnsi="Arial" w:cs="Arial"/>
          <w:color w:val="231E20"/>
        </w:rPr>
        <w:t xml:space="preserve">z </w:t>
      </w:r>
      <w:r>
        <w:rPr>
          <w:rFonts w:ascii="Arial" w:eastAsia="Arial" w:hAnsi="Arial" w:cs="Arial"/>
          <w:b/>
          <w:bCs/>
          <w:color w:val="231E20"/>
        </w:rPr>
        <w:t>13</w:t>
      </w:r>
    </w:p>
    <w:p w14:paraId="54B0DFE9"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208AD69F" w14:textId="77777777" w:rsidR="00EC1C40" w:rsidRDefault="00EC1C40">
      <w:pPr>
        <w:spacing w:line="1" w:lineRule="exact"/>
      </w:pPr>
    </w:p>
    <w:p w14:paraId="09585799" w14:textId="77777777" w:rsidR="00EC1C40" w:rsidRDefault="00000000">
      <w:pPr>
        <w:pStyle w:val="Zkladntext70"/>
        <w:framePr w:w="9821" w:h="14429" w:hRule="exact" w:wrap="none" w:vAnchor="page" w:hAnchor="page" w:x="1174" w:y="1289"/>
        <w:spacing w:after="300" w:line="329" w:lineRule="auto"/>
        <w:ind w:left="1160"/>
        <w:jc w:val="both"/>
      </w:pPr>
      <w:r>
        <w:rPr>
          <w:i/>
          <w:iCs/>
        </w:rPr>
        <w:t xml:space="preserve">v </w:t>
      </w:r>
      <w:proofErr w:type="spellStart"/>
      <w:r>
        <w:rPr>
          <w:b/>
          <w:bCs/>
          <w:i/>
          <w:iCs/>
        </w:rPr>
        <w:t>k.ú</w:t>
      </w:r>
      <w:proofErr w:type="spellEnd"/>
      <w:r>
        <w:rPr>
          <w:b/>
          <w:bCs/>
          <w:i/>
          <w:iCs/>
        </w:rPr>
        <w:t xml:space="preserve">. Pardubice, </w:t>
      </w:r>
      <w:r>
        <w:rPr>
          <w:i/>
          <w:iCs/>
        </w:rPr>
        <w:t xml:space="preserve">obec Pardubice, zapsáno na </w:t>
      </w:r>
      <w:r>
        <w:rPr>
          <w:b/>
          <w:bCs/>
          <w:i/>
          <w:iCs/>
        </w:rPr>
        <w:t xml:space="preserve">LV č. 50001 </w:t>
      </w:r>
      <w:r>
        <w:rPr>
          <w:i/>
          <w:iCs/>
        </w:rPr>
        <w:t>vedeném u Katastrálního úřadu pro Pardubický kraj, Katastrálního pracoviště Pardubice</w:t>
      </w:r>
      <w:r>
        <w:t>.</w:t>
      </w:r>
    </w:p>
    <w:p w14:paraId="1D254726" w14:textId="77777777" w:rsidR="00EC1C40" w:rsidRDefault="00000000">
      <w:pPr>
        <w:pStyle w:val="Zkladntext70"/>
        <w:framePr w:w="9821" w:h="14429" w:hRule="exact" w:wrap="none" w:vAnchor="page" w:hAnchor="page" w:x="1174" w:y="1289"/>
        <w:numPr>
          <w:ilvl w:val="1"/>
          <w:numId w:val="126"/>
        </w:numPr>
        <w:tabs>
          <w:tab w:val="left" w:pos="704"/>
          <w:tab w:val="left" w:leader="dot" w:pos="3855"/>
          <w:tab w:val="right" w:leader="dot" w:pos="5395"/>
          <w:tab w:val="left" w:pos="5600"/>
        </w:tabs>
        <w:spacing w:line="326" w:lineRule="auto"/>
        <w:ind w:left="0"/>
        <w:jc w:val="both"/>
      </w:pPr>
      <w:r>
        <w:rPr>
          <w:i/>
          <w:iCs/>
        </w:rPr>
        <w:t>Geometrickým plánem č</w:t>
      </w:r>
      <w:r>
        <w:rPr>
          <w:i/>
          <w:iCs/>
        </w:rPr>
        <w:tab/>
        <w:t>ze dne</w:t>
      </w:r>
      <w:r>
        <w:rPr>
          <w:i/>
          <w:iCs/>
        </w:rPr>
        <w:tab/>
        <w:t>,</w:t>
      </w:r>
      <w:r>
        <w:rPr>
          <w:i/>
          <w:iCs/>
        </w:rPr>
        <w:tab/>
        <w:t>potvrzeným Katastrálním úřadem pro Pardubický</w:t>
      </w:r>
    </w:p>
    <w:p w14:paraId="3A2749FB" w14:textId="77777777" w:rsidR="00EC1C40" w:rsidRDefault="00000000">
      <w:pPr>
        <w:pStyle w:val="Zkladntext70"/>
        <w:framePr w:w="9821" w:h="14429" w:hRule="exact" w:wrap="none" w:vAnchor="page" w:hAnchor="page" w:x="1174" w:y="1289"/>
        <w:tabs>
          <w:tab w:val="right" w:leader="dot" w:pos="7234"/>
          <w:tab w:val="left" w:pos="7482"/>
          <w:tab w:val="left" w:leader="dot" w:pos="8194"/>
        </w:tabs>
        <w:spacing w:line="326" w:lineRule="auto"/>
        <w:ind w:left="0" w:firstLine="740"/>
        <w:jc w:val="both"/>
      </w:pPr>
      <w:r>
        <w:rPr>
          <w:i/>
          <w:iCs/>
        </w:rPr>
        <w:t xml:space="preserve">kraj, Katastrálním pracovištěm Pardubice, pod čj. PGP </w:t>
      </w:r>
      <w:r>
        <w:rPr>
          <w:i/>
          <w:iCs/>
        </w:rPr>
        <w:tab/>
        <w:t xml:space="preserve"> dne</w:t>
      </w:r>
      <w:r>
        <w:rPr>
          <w:i/>
          <w:iCs/>
        </w:rPr>
        <w:tab/>
      </w:r>
      <w:r>
        <w:rPr>
          <w:i/>
          <w:iCs/>
        </w:rPr>
        <w:tab/>
        <w:t>, byl z pozemku</w:t>
      </w:r>
    </w:p>
    <w:p w14:paraId="104DFF79" w14:textId="77777777" w:rsidR="00EC1C40" w:rsidRDefault="00000000">
      <w:pPr>
        <w:pStyle w:val="Zkladntext70"/>
        <w:framePr w:w="9821" w:h="14429" w:hRule="exact" w:wrap="none" w:vAnchor="page" w:hAnchor="page" w:x="1174" w:y="1289"/>
        <w:tabs>
          <w:tab w:val="left" w:leader="dot" w:pos="7482"/>
        </w:tabs>
        <w:spacing w:line="326" w:lineRule="auto"/>
        <w:ind w:left="0" w:firstLine="740"/>
        <w:jc w:val="both"/>
      </w:pPr>
      <w:r>
        <w:rPr>
          <w:i/>
          <w:iCs/>
        </w:rPr>
        <w:t xml:space="preserve">označeného jako </w:t>
      </w:r>
      <w:proofErr w:type="spellStart"/>
      <w:r>
        <w:rPr>
          <w:i/>
          <w:iCs/>
        </w:rPr>
        <w:t>p.p.č</w:t>
      </w:r>
      <w:proofErr w:type="spellEnd"/>
      <w:r>
        <w:rPr>
          <w:i/>
          <w:iCs/>
        </w:rPr>
        <w:t xml:space="preserve">. 988/12 v </w:t>
      </w:r>
      <w:proofErr w:type="spellStart"/>
      <w:r>
        <w:rPr>
          <w:i/>
          <w:iCs/>
        </w:rPr>
        <w:t>k.ú</w:t>
      </w:r>
      <w:proofErr w:type="spellEnd"/>
      <w:r>
        <w:rPr>
          <w:i/>
          <w:iCs/>
        </w:rPr>
        <w:t>. Pardubice oddělen díl o výměře</w:t>
      </w:r>
      <w:r>
        <w:rPr>
          <w:i/>
          <w:iCs/>
        </w:rPr>
        <w:tab/>
        <w:t>m</w:t>
      </w:r>
      <w:r>
        <w:rPr>
          <w:i/>
          <w:iCs/>
          <w:vertAlign w:val="superscript"/>
        </w:rPr>
        <w:t>2</w:t>
      </w:r>
      <w:r>
        <w:rPr>
          <w:i/>
          <w:iCs/>
        </w:rPr>
        <w:t>, který byl označen jako</w:t>
      </w:r>
    </w:p>
    <w:p w14:paraId="1B4E7DE8" w14:textId="77777777" w:rsidR="00EC1C40" w:rsidRDefault="00000000">
      <w:pPr>
        <w:pStyle w:val="Zkladntext70"/>
        <w:framePr w:w="9821" w:h="14429" w:hRule="exact" w:wrap="none" w:vAnchor="page" w:hAnchor="page" w:x="1174" w:y="1289"/>
        <w:tabs>
          <w:tab w:val="left" w:leader="dot" w:pos="2185"/>
        </w:tabs>
        <w:spacing w:after="260" w:line="326" w:lineRule="auto"/>
        <w:ind w:left="0" w:firstLine="740"/>
        <w:jc w:val="both"/>
      </w:pPr>
      <w:proofErr w:type="spellStart"/>
      <w:r>
        <w:rPr>
          <w:b/>
          <w:bCs/>
          <w:i/>
          <w:iCs/>
        </w:rPr>
        <w:t>p.p.č</w:t>
      </w:r>
      <w:proofErr w:type="spellEnd"/>
      <w:r>
        <w:rPr>
          <w:b/>
          <w:bCs/>
          <w:i/>
          <w:iCs/>
        </w:rPr>
        <w:tab/>
        <w:t xml:space="preserve"> </w:t>
      </w:r>
      <w:proofErr w:type="spellStart"/>
      <w:r>
        <w:rPr>
          <w:b/>
          <w:bCs/>
          <w:i/>
          <w:iCs/>
        </w:rPr>
        <w:t>vk.ú</w:t>
      </w:r>
      <w:proofErr w:type="spellEnd"/>
      <w:r>
        <w:rPr>
          <w:b/>
          <w:bCs/>
          <w:i/>
          <w:iCs/>
        </w:rPr>
        <w:t>. Pardubice.</w:t>
      </w:r>
    </w:p>
    <w:p w14:paraId="2D40E28F" w14:textId="77777777" w:rsidR="00EC1C40" w:rsidRDefault="00000000">
      <w:pPr>
        <w:pStyle w:val="Zkladntext70"/>
        <w:framePr w:w="9821" w:h="14429" w:hRule="exact" w:wrap="none" w:vAnchor="page" w:hAnchor="page" w:x="1174" w:y="1289"/>
        <w:numPr>
          <w:ilvl w:val="1"/>
          <w:numId w:val="126"/>
        </w:numPr>
        <w:tabs>
          <w:tab w:val="left" w:pos="704"/>
        </w:tabs>
        <w:spacing w:after="260" w:line="326" w:lineRule="auto"/>
        <w:ind w:left="0"/>
        <w:jc w:val="both"/>
      </w:pPr>
      <w:r>
        <w:rPr>
          <w:i/>
          <w:iCs/>
        </w:rPr>
        <w:t>Výše citovaný geometrický plán je přílohou této smlouvy.</w:t>
      </w:r>
    </w:p>
    <w:p w14:paraId="2D40410C" w14:textId="77777777" w:rsidR="00EC1C40" w:rsidRDefault="00000000">
      <w:pPr>
        <w:pStyle w:val="Zkladntext70"/>
        <w:framePr w:w="9821" w:h="14429" w:hRule="exact" w:wrap="none" w:vAnchor="page" w:hAnchor="page" w:x="1174" w:y="1289"/>
        <w:numPr>
          <w:ilvl w:val="1"/>
          <w:numId w:val="126"/>
        </w:numPr>
        <w:tabs>
          <w:tab w:val="left" w:pos="701"/>
          <w:tab w:val="left" w:pos="704"/>
          <w:tab w:val="left" w:leader="dot" w:pos="4195"/>
          <w:tab w:val="right" w:leader="dot" w:pos="6130"/>
          <w:tab w:val="left" w:pos="6334"/>
        </w:tabs>
        <w:spacing w:line="326" w:lineRule="auto"/>
        <w:ind w:left="0"/>
        <w:jc w:val="both"/>
      </w:pPr>
      <w:r>
        <w:rPr>
          <w:i/>
          <w:iCs/>
        </w:rPr>
        <w:t xml:space="preserve">Pozemky označené jako </w:t>
      </w:r>
      <w:proofErr w:type="spellStart"/>
      <w:r>
        <w:rPr>
          <w:b/>
          <w:bCs/>
          <w:i/>
          <w:iCs/>
        </w:rPr>
        <w:t>p.p.č</w:t>
      </w:r>
      <w:proofErr w:type="spellEnd"/>
      <w:r>
        <w:rPr>
          <w:b/>
          <w:bCs/>
          <w:i/>
          <w:iCs/>
        </w:rPr>
        <w:tab/>
        <w:t>o výměře</w:t>
      </w:r>
      <w:r>
        <w:rPr>
          <w:b/>
          <w:bCs/>
          <w:i/>
          <w:iCs/>
        </w:rPr>
        <w:tab/>
        <w:t>a</w:t>
      </w:r>
      <w:r>
        <w:rPr>
          <w:b/>
          <w:bCs/>
          <w:i/>
          <w:iCs/>
        </w:rPr>
        <w:tab/>
      </w:r>
      <w:proofErr w:type="spellStart"/>
      <w:r>
        <w:rPr>
          <w:b/>
          <w:bCs/>
          <w:i/>
          <w:iCs/>
        </w:rPr>
        <w:t>p.p.č</w:t>
      </w:r>
      <w:proofErr w:type="spellEnd"/>
      <w:r>
        <w:rPr>
          <w:b/>
          <w:bCs/>
          <w:i/>
          <w:iCs/>
        </w:rPr>
        <w:t>. 5000 o výměře 2.034 m</w:t>
      </w:r>
      <w:r>
        <w:rPr>
          <w:b/>
          <w:bCs/>
          <w:i/>
          <w:iCs/>
          <w:vertAlign w:val="superscript"/>
        </w:rPr>
        <w:t>2</w:t>
      </w:r>
      <w:r>
        <w:rPr>
          <w:b/>
          <w:bCs/>
          <w:i/>
          <w:iCs/>
        </w:rPr>
        <w:t xml:space="preserve">, vše v </w:t>
      </w:r>
      <w:proofErr w:type="spellStart"/>
      <w:r>
        <w:rPr>
          <w:b/>
          <w:bCs/>
          <w:i/>
          <w:iCs/>
        </w:rPr>
        <w:t>k.ú</w:t>
      </w:r>
      <w:proofErr w:type="spellEnd"/>
      <w:r>
        <w:rPr>
          <w:b/>
          <w:bCs/>
          <w:i/>
          <w:iCs/>
        </w:rPr>
        <w:t>.</w:t>
      </w:r>
    </w:p>
    <w:p w14:paraId="150C2C93" w14:textId="77777777" w:rsidR="00EC1C40" w:rsidRDefault="00000000">
      <w:pPr>
        <w:pStyle w:val="Zkladntext70"/>
        <w:framePr w:w="9821" w:h="14429" w:hRule="exact" w:wrap="none" w:vAnchor="page" w:hAnchor="page" w:x="1174" w:y="1289"/>
        <w:spacing w:after="260" w:line="326" w:lineRule="auto"/>
        <w:ind w:left="0" w:firstLine="740"/>
        <w:jc w:val="both"/>
      </w:pPr>
      <w:r>
        <w:rPr>
          <w:b/>
          <w:bCs/>
          <w:i/>
          <w:iCs/>
        </w:rPr>
        <w:t xml:space="preserve">Pardubice </w:t>
      </w:r>
      <w:r>
        <w:rPr>
          <w:i/>
          <w:iCs/>
        </w:rPr>
        <w:t xml:space="preserve">jsou předmětem převodu a jsou nadále ve smlouvě označeny jako </w:t>
      </w:r>
      <w:r>
        <w:rPr>
          <w:b/>
          <w:bCs/>
          <w:i/>
          <w:iCs/>
        </w:rPr>
        <w:t>Předmět převodu.</w:t>
      </w:r>
    </w:p>
    <w:p w14:paraId="0F16B442" w14:textId="77777777" w:rsidR="00EC1C40" w:rsidRDefault="00000000">
      <w:pPr>
        <w:pStyle w:val="Zkladntext70"/>
        <w:framePr w:w="9821" w:h="14429" w:hRule="exact" w:wrap="none" w:vAnchor="page" w:hAnchor="page" w:x="1174" w:y="1289"/>
        <w:numPr>
          <w:ilvl w:val="1"/>
          <w:numId w:val="126"/>
        </w:numPr>
        <w:tabs>
          <w:tab w:val="left" w:pos="704"/>
        </w:tabs>
        <w:spacing w:after="260" w:line="326" w:lineRule="auto"/>
        <w:ind w:left="740" w:hanging="740"/>
        <w:jc w:val="both"/>
      </w:pPr>
      <w:r>
        <w:rPr>
          <w:i/>
          <w:iCs/>
        </w:rPr>
        <w:t>Prodávající a Kupující spolu uzavřeli smlouvu o smlouvě budoucí kupní (dále jen „</w:t>
      </w:r>
      <w:proofErr w:type="spellStart"/>
      <w:r>
        <w:rPr>
          <w:b/>
          <w:bCs/>
          <w:i/>
          <w:iCs/>
        </w:rPr>
        <w:t>SoSB</w:t>
      </w:r>
      <w:proofErr w:type="spellEnd"/>
      <w:r>
        <w:rPr>
          <w:i/>
          <w:iCs/>
        </w:rPr>
        <w:t xml:space="preserve">“), na základě které se zavázali spolu uzavřít tuto realizační kupní smlouvu. Smluvní strany uzavřením této smlouvy tento závazek ze </w:t>
      </w:r>
      <w:proofErr w:type="spellStart"/>
      <w:r>
        <w:rPr>
          <w:i/>
          <w:iCs/>
        </w:rPr>
        <w:t>SoSB</w:t>
      </w:r>
      <w:proofErr w:type="spellEnd"/>
      <w:r>
        <w:rPr>
          <w:i/>
          <w:iCs/>
        </w:rPr>
        <w:t xml:space="preserve"> plní (aniž by tím současně byly dotčeny ostatní závazky, které na sebe smluvní strany převzaly na základě </w:t>
      </w:r>
      <w:proofErr w:type="spellStart"/>
      <w:r>
        <w:rPr>
          <w:i/>
          <w:iCs/>
        </w:rPr>
        <w:t>SoSB</w:t>
      </w:r>
      <w:proofErr w:type="spellEnd"/>
      <w:r>
        <w:rPr>
          <w:i/>
          <w:iCs/>
        </w:rPr>
        <w:t xml:space="preserve"> a které mají dle výslovné dohody smluvních stran přetrvat i po uzavření této kupní smlouvy a převodu vlastnického práva k Předmětu převodu na Kupujícího).</w:t>
      </w:r>
    </w:p>
    <w:p w14:paraId="750E0BEF" w14:textId="77777777" w:rsidR="00EC1C40" w:rsidRDefault="00000000">
      <w:pPr>
        <w:pStyle w:val="Zkladntext70"/>
        <w:framePr w:w="9821" w:h="14429" w:hRule="exact" w:wrap="none" w:vAnchor="page" w:hAnchor="page" w:x="1174" w:y="1289"/>
        <w:numPr>
          <w:ilvl w:val="1"/>
          <w:numId w:val="126"/>
        </w:numPr>
        <w:tabs>
          <w:tab w:val="left" w:pos="701"/>
          <w:tab w:val="left" w:pos="704"/>
        </w:tabs>
        <w:spacing w:line="326" w:lineRule="auto"/>
        <w:ind w:left="0"/>
        <w:jc w:val="both"/>
      </w:pPr>
      <w:r>
        <w:rPr>
          <w:i/>
          <w:iCs/>
        </w:rPr>
        <w:t>Kupující prohlašuje, že na Předmětu převodu zamýšlí realizovat záměr výstavby parkovacího domu Hůrka</w:t>
      </w:r>
    </w:p>
    <w:p w14:paraId="36ECC65D" w14:textId="77777777" w:rsidR="00EC1C40" w:rsidRDefault="00000000">
      <w:pPr>
        <w:pStyle w:val="Zkladntext70"/>
        <w:framePr w:w="9821" w:h="14429" w:hRule="exact" w:wrap="none" w:vAnchor="page" w:hAnchor="page" w:x="1174" w:y="1289"/>
        <w:spacing w:after="260" w:line="326" w:lineRule="auto"/>
        <w:ind w:left="0" w:firstLine="740"/>
        <w:jc w:val="both"/>
      </w:pPr>
      <w:r>
        <w:rPr>
          <w:i/>
          <w:iCs/>
        </w:rPr>
        <w:t>(dále jen „</w:t>
      </w:r>
      <w:r>
        <w:rPr>
          <w:b/>
          <w:bCs/>
          <w:i/>
          <w:iCs/>
        </w:rPr>
        <w:t>Parkovací dům Hůrka</w:t>
      </w:r>
      <w:r>
        <w:rPr>
          <w:i/>
          <w:iCs/>
        </w:rPr>
        <w:t>“).</w:t>
      </w:r>
    </w:p>
    <w:p w14:paraId="34829F0C" w14:textId="77777777" w:rsidR="00EC1C40" w:rsidRDefault="00EC1C40">
      <w:pPr>
        <w:pStyle w:val="Zkladntext70"/>
        <w:framePr w:w="9821" w:h="14429" w:hRule="exact" w:wrap="none" w:vAnchor="page" w:hAnchor="page" w:x="1174" w:y="1289"/>
        <w:numPr>
          <w:ilvl w:val="0"/>
          <w:numId w:val="125"/>
        </w:numPr>
        <w:spacing w:line="326" w:lineRule="auto"/>
        <w:ind w:left="0"/>
        <w:jc w:val="center"/>
      </w:pPr>
    </w:p>
    <w:p w14:paraId="121C7138" w14:textId="77777777" w:rsidR="00EC1C40" w:rsidRDefault="00000000">
      <w:pPr>
        <w:pStyle w:val="Zkladntext70"/>
        <w:framePr w:w="9821" w:h="14429" w:hRule="exact" w:wrap="none" w:vAnchor="page" w:hAnchor="page" w:x="1174" w:y="1289"/>
        <w:spacing w:line="326" w:lineRule="auto"/>
        <w:ind w:left="0"/>
        <w:jc w:val="center"/>
      </w:pPr>
      <w:r>
        <w:rPr>
          <w:b/>
          <w:bCs/>
          <w:i/>
          <w:iCs/>
        </w:rPr>
        <w:t>Předmět smlouvy</w:t>
      </w:r>
    </w:p>
    <w:p w14:paraId="68302D5C" w14:textId="77777777" w:rsidR="00EC1C40" w:rsidRDefault="00000000">
      <w:pPr>
        <w:pStyle w:val="Zkladntext70"/>
        <w:framePr w:w="9821" w:h="14429" w:hRule="exact" w:wrap="none" w:vAnchor="page" w:hAnchor="page" w:x="1174" w:y="1289"/>
        <w:numPr>
          <w:ilvl w:val="1"/>
          <w:numId w:val="128"/>
        </w:numPr>
        <w:tabs>
          <w:tab w:val="left" w:pos="704"/>
          <w:tab w:val="left" w:pos="730"/>
        </w:tabs>
        <w:spacing w:line="326" w:lineRule="auto"/>
        <w:ind w:left="0"/>
        <w:jc w:val="both"/>
      </w:pPr>
      <w:r>
        <w:rPr>
          <w:i/>
          <w:iCs/>
        </w:rPr>
        <w:t>Prodávající prohlašuje, že dosud skutečně vlastní Předmět převodu a touto smlouvou prodává Kupujícímu</w:t>
      </w:r>
    </w:p>
    <w:p w14:paraId="1B490F38" w14:textId="77777777" w:rsidR="00EC1C40" w:rsidRDefault="00000000">
      <w:pPr>
        <w:pStyle w:val="Zkladntext70"/>
        <w:framePr w:w="9821" w:h="14429" w:hRule="exact" w:wrap="none" w:vAnchor="page" w:hAnchor="page" w:x="1174" w:y="1289"/>
        <w:spacing w:after="260" w:line="326" w:lineRule="auto"/>
        <w:ind w:left="740"/>
        <w:jc w:val="both"/>
      </w:pPr>
      <w:r>
        <w:rPr>
          <w:i/>
          <w:iCs/>
        </w:rPr>
        <w:t xml:space="preserve">Předmět převodu, a to se všemi součástmi a příslušenstvím a se všemi právy a povinnostmi Kupující Předmět převodu kupuje a přijímá do svého </w:t>
      </w:r>
      <w:r>
        <w:rPr>
          <w:b/>
          <w:bCs/>
          <w:i/>
          <w:iCs/>
        </w:rPr>
        <w:t xml:space="preserve">výlučného </w:t>
      </w:r>
      <w:r>
        <w:rPr>
          <w:i/>
          <w:iCs/>
        </w:rPr>
        <w:t>vlastnictví a zavazuje se za něj zaplatit Kupní cenu ujednanou v čl. III této smlouvy.</w:t>
      </w:r>
    </w:p>
    <w:p w14:paraId="5CD9A74A" w14:textId="77777777" w:rsidR="00EC1C40" w:rsidRDefault="00000000">
      <w:pPr>
        <w:pStyle w:val="Zkladntext70"/>
        <w:framePr w:w="9821" w:h="14429" w:hRule="exact" w:wrap="none" w:vAnchor="page" w:hAnchor="page" w:x="1174" w:y="1289"/>
        <w:numPr>
          <w:ilvl w:val="1"/>
          <w:numId w:val="128"/>
        </w:numPr>
        <w:tabs>
          <w:tab w:val="left" w:pos="704"/>
        </w:tabs>
        <w:spacing w:after="260" w:line="326" w:lineRule="auto"/>
        <w:ind w:left="740" w:hanging="740"/>
        <w:jc w:val="both"/>
      </w:pPr>
      <w:r>
        <w:rPr>
          <w:i/>
          <w:iCs/>
        </w:rPr>
        <w:t>Smluvní strany sjednaly, že za okamžik předání Předmětu převodu bude považován okamžik nabytí vlastnického práva k němu Kupujícím(tj. okamžik podání návrhu na vklad vlastnického práva Kupujícího k Předmětu převodu do katastru nemovitostí, kterému bude vyhověno).</w:t>
      </w:r>
    </w:p>
    <w:p w14:paraId="24F3BAD2" w14:textId="77777777" w:rsidR="00EC1C40" w:rsidRDefault="00EC1C40">
      <w:pPr>
        <w:pStyle w:val="Zkladntext70"/>
        <w:framePr w:w="9821" w:h="14429" w:hRule="exact" w:wrap="none" w:vAnchor="page" w:hAnchor="page" w:x="1174" w:y="1289"/>
        <w:numPr>
          <w:ilvl w:val="0"/>
          <w:numId w:val="125"/>
        </w:numPr>
        <w:spacing w:line="326" w:lineRule="auto"/>
        <w:ind w:left="0"/>
        <w:jc w:val="center"/>
      </w:pPr>
    </w:p>
    <w:p w14:paraId="3552C436" w14:textId="77777777" w:rsidR="00EC1C40" w:rsidRDefault="00000000">
      <w:pPr>
        <w:pStyle w:val="Zkladntext70"/>
        <w:framePr w:w="9821" w:h="14429" w:hRule="exact" w:wrap="none" w:vAnchor="page" w:hAnchor="page" w:x="1174" w:y="1289"/>
        <w:spacing w:line="326" w:lineRule="auto"/>
        <w:ind w:left="0"/>
        <w:jc w:val="center"/>
      </w:pPr>
      <w:r>
        <w:rPr>
          <w:b/>
          <w:bCs/>
          <w:i/>
          <w:iCs/>
        </w:rPr>
        <w:t>Kupní cena</w:t>
      </w:r>
    </w:p>
    <w:p w14:paraId="433E0EC1" w14:textId="77777777" w:rsidR="00EC1C40" w:rsidRDefault="00000000">
      <w:pPr>
        <w:pStyle w:val="Zkladntext70"/>
        <w:framePr w:w="9821" w:h="14429" w:hRule="exact" w:wrap="none" w:vAnchor="page" w:hAnchor="page" w:x="1174" w:y="1289"/>
        <w:numPr>
          <w:ilvl w:val="1"/>
          <w:numId w:val="129"/>
        </w:numPr>
        <w:tabs>
          <w:tab w:val="left" w:pos="704"/>
          <w:tab w:val="left" w:leader="dot" w:pos="7482"/>
        </w:tabs>
        <w:spacing w:line="326" w:lineRule="auto"/>
        <w:ind w:left="0"/>
        <w:jc w:val="both"/>
      </w:pPr>
      <w:r>
        <w:rPr>
          <w:i/>
          <w:iCs/>
        </w:rPr>
        <w:t>Smluvní strany si sjednávají kupní cenu za Předmět převodu ve výši</w:t>
      </w:r>
      <w:r>
        <w:rPr>
          <w:i/>
          <w:iCs/>
        </w:rPr>
        <w:tab/>
        <w:t xml:space="preserve"> </w:t>
      </w:r>
      <w:r>
        <w:rPr>
          <w:b/>
          <w:bCs/>
          <w:i/>
          <w:iCs/>
        </w:rPr>
        <w:t>Kč/m</w:t>
      </w:r>
      <w:r>
        <w:rPr>
          <w:b/>
          <w:bCs/>
          <w:i/>
          <w:iCs/>
          <w:vertAlign w:val="superscript"/>
        </w:rPr>
        <w:t>2</w:t>
      </w:r>
      <w:r>
        <w:rPr>
          <w:i/>
          <w:iCs/>
        </w:rPr>
        <w:t>. Pokud Předmět</w:t>
      </w:r>
    </w:p>
    <w:p w14:paraId="3EC8D25D" w14:textId="77777777" w:rsidR="00EC1C40" w:rsidRDefault="00000000">
      <w:pPr>
        <w:pStyle w:val="Zkladntext70"/>
        <w:framePr w:w="9821" w:h="14429" w:hRule="exact" w:wrap="none" w:vAnchor="page" w:hAnchor="page" w:x="1174" w:y="1289"/>
        <w:tabs>
          <w:tab w:val="left" w:leader="dot" w:pos="1926"/>
          <w:tab w:val="left" w:leader="dot" w:pos="3855"/>
        </w:tabs>
        <w:spacing w:after="260" w:line="326" w:lineRule="auto"/>
        <w:ind w:left="740"/>
        <w:jc w:val="both"/>
      </w:pPr>
      <w:r>
        <w:rPr>
          <w:i/>
          <w:iCs/>
        </w:rPr>
        <w:t>převodu bude podléhat DPH, bude kupní cena o DPH navýšena (není-li již zohledněn v rámci znaleckého posudku), a to v souladu s platnými a účinnými právními předpisy Celková kupní cena za Předmět převodu činí</w:t>
      </w:r>
      <w:r>
        <w:rPr>
          <w:i/>
          <w:iCs/>
        </w:rPr>
        <w:tab/>
      </w:r>
      <w:r>
        <w:rPr>
          <w:b/>
          <w:bCs/>
          <w:i/>
          <w:iCs/>
        </w:rPr>
        <w:t xml:space="preserve">,-Kč </w:t>
      </w:r>
      <w:r>
        <w:rPr>
          <w:i/>
          <w:iCs/>
        </w:rPr>
        <w:t>(slovy:</w:t>
      </w:r>
      <w:r>
        <w:rPr>
          <w:i/>
          <w:iCs/>
        </w:rPr>
        <w:tab/>
        <w:t>) (dále jenom jako „</w:t>
      </w:r>
      <w:r>
        <w:rPr>
          <w:b/>
          <w:bCs/>
          <w:i/>
          <w:iCs/>
        </w:rPr>
        <w:t>Kupní cena</w:t>
      </w:r>
      <w:r>
        <w:rPr>
          <w:i/>
          <w:iCs/>
        </w:rPr>
        <w:t>“).</w:t>
      </w:r>
    </w:p>
    <w:p w14:paraId="393B01DE" w14:textId="77777777" w:rsidR="00EC1C40" w:rsidRDefault="00000000">
      <w:pPr>
        <w:pStyle w:val="Zkladntext70"/>
        <w:framePr w:w="9821" w:h="14429" w:hRule="exact" w:wrap="none" w:vAnchor="page" w:hAnchor="page" w:x="1174" w:y="1289"/>
        <w:numPr>
          <w:ilvl w:val="1"/>
          <w:numId w:val="129"/>
        </w:numPr>
        <w:tabs>
          <w:tab w:val="left" w:pos="704"/>
          <w:tab w:val="left" w:pos="720"/>
        </w:tabs>
        <w:spacing w:line="326" w:lineRule="auto"/>
        <w:ind w:left="0"/>
        <w:jc w:val="both"/>
      </w:pPr>
      <w:r>
        <w:rPr>
          <w:i/>
          <w:iCs/>
        </w:rPr>
        <w:t>Kupující se zavazuje uhradit Kupní cenu na účet Prodávajícího vedený u společnosti Komerční banka, a.s.</w:t>
      </w:r>
    </w:p>
    <w:p w14:paraId="27C37173" w14:textId="77777777" w:rsidR="00EC1C40" w:rsidRDefault="00000000">
      <w:pPr>
        <w:pStyle w:val="Zkladntext70"/>
        <w:framePr w:w="9821" w:h="14429" w:hRule="exact" w:wrap="none" w:vAnchor="page" w:hAnchor="page" w:x="1174" w:y="1289"/>
        <w:tabs>
          <w:tab w:val="left" w:leader="dot" w:pos="3855"/>
        </w:tabs>
        <w:spacing w:line="326" w:lineRule="auto"/>
        <w:ind w:left="0" w:firstLine="740"/>
        <w:jc w:val="both"/>
      </w:pPr>
      <w:r>
        <w:rPr>
          <w:i/>
          <w:iCs/>
        </w:rPr>
        <w:t>č. 19-0000326561/0100, VS</w:t>
      </w:r>
      <w:r>
        <w:rPr>
          <w:i/>
          <w:iCs/>
        </w:rPr>
        <w:tab/>
        <w:t xml:space="preserve">, </w:t>
      </w:r>
      <w:r>
        <w:rPr>
          <w:b/>
          <w:bCs/>
          <w:i/>
          <w:iCs/>
        </w:rPr>
        <w:t xml:space="preserve">a to do 30 dnů ode dne účinnosti </w:t>
      </w:r>
      <w:r>
        <w:rPr>
          <w:i/>
          <w:iCs/>
        </w:rPr>
        <w:t>této smlouvy. Kupní cena se má</w:t>
      </w:r>
    </w:p>
    <w:p w14:paraId="0FE40D6A" w14:textId="77777777" w:rsidR="00EC1C40" w:rsidRDefault="00000000">
      <w:pPr>
        <w:pStyle w:val="Zkladntext70"/>
        <w:framePr w:w="9821" w:h="14429" w:hRule="exact" w:wrap="none" w:vAnchor="page" w:hAnchor="page" w:x="1174" w:y="1289"/>
        <w:spacing w:after="260" w:line="326" w:lineRule="auto"/>
        <w:ind w:left="0" w:firstLine="740"/>
        <w:jc w:val="both"/>
      </w:pPr>
      <w:r>
        <w:rPr>
          <w:i/>
          <w:iCs/>
        </w:rPr>
        <w:t>za uhrazenou okamžikem jejího připsání na účet Prodávajícího.</w:t>
      </w:r>
    </w:p>
    <w:p w14:paraId="3AE35DAC" w14:textId="77777777" w:rsidR="00EC1C40" w:rsidRDefault="00000000">
      <w:pPr>
        <w:pStyle w:val="Zkladntext70"/>
        <w:framePr w:w="9821" w:h="14429" w:hRule="exact" w:wrap="none" w:vAnchor="page" w:hAnchor="page" w:x="1174" w:y="1289"/>
        <w:numPr>
          <w:ilvl w:val="1"/>
          <w:numId w:val="129"/>
        </w:numPr>
        <w:tabs>
          <w:tab w:val="left" w:pos="704"/>
          <w:tab w:val="left" w:pos="720"/>
        </w:tabs>
        <w:spacing w:line="326" w:lineRule="auto"/>
        <w:ind w:left="0"/>
        <w:jc w:val="both"/>
      </w:pPr>
      <w:r>
        <w:rPr>
          <w:i/>
          <w:iCs/>
        </w:rPr>
        <w:t>Kupující se pro případ prodlení se zaplacením Kupní ceny zavazuje uhradit Prodávajícímu společně s Kupní</w:t>
      </w:r>
    </w:p>
    <w:p w14:paraId="3F8D51DF" w14:textId="77777777" w:rsidR="00EC1C40" w:rsidRDefault="00000000">
      <w:pPr>
        <w:pStyle w:val="Zkladntext70"/>
        <w:framePr w:w="9821" w:h="14429" w:hRule="exact" w:wrap="none" w:vAnchor="page" w:hAnchor="page" w:x="1174" w:y="1289"/>
        <w:spacing w:after="260" w:line="326" w:lineRule="auto"/>
        <w:ind w:left="740"/>
        <w:jc w:val="both"/>
      </w:pPr>
      <w:r>
        <w:rPr>
          <w:i/>
          <w:iCs/>
        </w:rPr>
        <w:t>cenou smluvní pokutu ve výši 500,- Kč, a to za každý i započatý den prodlení, pokud Kupující neuhradí Kupní cenu ani v dodatečné lhůtě 20 dnů od doručení výzvy Prodávajícího k nápravě Kupujícímu. Smluvní pokutu uhradí Kupující společně s úhradou Kupní ceny, a to i bez předchozí výzvy Prodávajícího.</w:t>
      </w:r>
    </w:p>
    <w:p w14:paraId="2B8AAF4E" w14:textId="77777777" w:rsidR="00EC1C40" w:rsidRDefault="00000000">
      <w:pPr>
        <w:pStyle w:val="Zkladntext70"/>
        <w:framePr w:w="9821" w:h="14429" w:hRule="exact" w:wrap="none" w:vAnchor="page" w:hAnchor="page" w:x="1174" w:y="1289"/>
        <w:numPr>
          <w:ilvl w:val="1"/>
          <w:numId w:val="129"/>
        </w:numPr>
        <w:tabs>
          <w:tab w:val="left" w:pos="704"/>
          <w:tab w:val="left" w:pos="720"/>
        </w:tabs>
        <w:spacing w:line="329" w:lineRule="auto"/>
        <w:ind w:left="0"/>
        <w:jc w:val="both"/>
      </w:pPr>
      <w:r>
        <w:rPr>
          <w:i/>
          <w:iCs/>
        </w:rPr>
        <w:t>Pokud Kupující neuhradí Kupní cenu ve stanoveném termínu, a to ani v dodatečné lhůtě 20 dnů od doručení</w:t>
      </w:r>
    </w:p>
    <w:p w14:paraId="02740E45" w14:textId="77777777" w:rsidR="00EC1C40" w:rsidRDefault="00000000">
      <w:pPr>
        <w:pStyle w:val="Zkladntext70"/>
        <w:framePr w:w="9821" w:h="14429" w:hRule="exact" w:wrap="none" w:vAnchor="page" w:hAnchor="page" w:x="1174" w:y="1289"/>
        <w:spacing w:line="329" w:lineRule="auto"/>
        <w:ind w:left="740"/>
        <w:jc w:val="both"/>
      </w:pPr>
      <w:r>
        <w:rPr>
          <w:i/>
          <w:iCs/>
        </w:rPr>
        <w:t xml:space="preserve">výzvy Prodávajícího k nápravě Kupujícímu, má Prodávající právo od této smlouvy odstoupit. Pro případné odstoupení platí postup stanovený </w:t>
      </w:r>
      <w:r>
        <w:rPr>
          <w:b/>
          <w:bCs/>
          <w:i/>
          <w:iCs/>
        </w:rPr>
        <w:t xml:space="preserve">v čl. V </w:t>
      </w:r>
      <w:r>
        <w:rPr>
          <w:i/>
          <w:iCs/>
        </w:rPr>
        <w:t>této smlouvy.</w:t>
      </w:r>
    </w:p>
    <w:p w14:paraId="395412C2" w14:textId="77777777" w:rsidR="00EC1C40" w:rsidRDefault="00000000">
      <w:pPr>
        <w:pStyle w:val="Zhlavnebozpat0"/>
        <w:framePr w:wrap="none" w:vAnchor="page" w:hAnchor="page" w:x="5513" w:y="16193"/>
      </w:pPr>
      <w:r>
        <w:rPr>
          <w:rFonts w:ascii="Arial" w:eastAsia="Arial" w:hAnsi="Arial" w:cs="Arial"/>
          <w:color w:val="231E20"/>
        </w:rPr>
        <w:t xml:space="preserve">Stránka </w:t>
      </w:r>
      <w:r>
        <w:rPr>
          <w:rFonts w:ascii="Arial" w:eastAsia="Arial" w:hAnsi="Arial" w:cs="Arial"/>
          <w:b/>
          <w:bCs/>
          <w:color w:val="231E20"/>
        </w:rPr>
        <w:t xml:space="preserve">4 </w:t>
      </w:r>
      <w:r>
        <w:rPr>
          <w:rFonts w:ascii="Arial" w:eastAsia="Arial" w:hAnsi="Arial" w:cs="Arial"/>
          <w:color w:val="231E20"/>
        </w:rPr>
        <w:t xml:space="preserve">z </w:t>
      </w:r>
      <w:r>
        <w:rPr>
          <w:rFonts w:ascii="Arial" w:eastAsia="Arial" w:hAnsi="Arial" w:cs="Arial"/>
          <w:b/>
          <w:bCs/>
          <w:color w:val="231E20"/>
        </w:rPr>
        <w:t>13</w:t>
      </w:r>
    </w:p>
    <w:p w14:paraId="69605DF7"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3101B422" w14:textId="77777777" w:rsidR="00EC1C40" w:rsidRDefault="00EC1C40">
      <w:pPr>
        <w:spacing w:line="1" w:lineRule="exact"/>
      </w:pPr>
    </w:p>
    <w:p w14:paraId="2968494E" w14:textId="77777777" w:rsidR="00EC1C40" w:rsidRDefault="00EC1C40">
      <w:pPr>
        <w:pStyle w:val="Zkladntext70"/>
        <w:framePr w:w="9816" w:h="14294" w:hRule="exact" w:wrap="none" w:vAnchor="page" w:hAnchor="page" w:x="1177" w:y="1289"/>
        <w:numPr>
          <w:ilvl w:val="0"/>
          <w:numId w:val="125"/>
        </w:numPr>
        <w:spacing w:line="324" w:lineRule="auto"/>
        <w:ind w:left="0"/>
        <w:jc w:val="center"/>
      </w:pPr>
    </w:p>
    <w:p w14:paraId="20D0FDB8" w14:textId="77777777" w:rsidR="00EC1C40" w:rsidRDefault="00000000">
      <w:pPr>
        <w:pStyle w:val="Zkladntext70"/>
        <w:framePr w:w="9816" w:h="14294" w:hRule="exact" w:wrap="none" w:vAnchor="page" w:hAnchor="page" w:x="1177" w:y="1289"/>
        <w:spacing w:line="324" w:lineRule="auto"/>
        <w:ind w:left="0"/>
        <w:jc w:val="center"/>
      </w:pPr>
      <w:r>
        <w:rPr>
          <w:b/>
          <w:bCs/>
          <w:i/>
          <w:iCs/>
        </w:rPr>
        <w:t>Prohlášení smluvních stran</w:t>
      </w:r>
    </w:p>
    <w:p w14:paraId="0CA24128" w14:textId="77777777" w:rsidR="00EC1C40" w:rsidRDefault="00000000">
      <w:pPr>
        <w:pStyle w:val="Zkladntext70"/>
        <w:framePr w:w="9816" w:h="14294" w:hRule="exact" w:wrap="none" w:vAnchor="page" w:hAnchor="page" w:x="1177" w:y="1289"/>
        <w:numPr>
          <w:ilvl w:val="1"/>
          <w:numId w:val="130"/>
        </w:numPr>
        <w:tabs>
          <w:tab w:val="left" w:pos="715"/>
        </w:tabs>
        <w:spacing w:line="324" w:lineRule="auto"/>
        <w:ind w:left="0"/>
        <w:jc w:val="both"/>
      </w:pPr>
      <w:r>
        <w:rPr>
          <w:i/>
          <w:iCs/>
        </w:rPr>
        <w:t>Prodávající prohlašuje, že:</w:t>
      </w:r>
    </w:p>
    <w:p w14:paraId="47AA4FAE" w14:textId="77777777" w:rsidR="00EC1C40" w:rsidRDefault="00000000">
      <w:pPr>
        <w:pStyle w:val="Zkladntext70"/>
        <w:framePr w:w="9816" w:h="14294" w:hRule="exact" w:wrap="none" w:vAnchor="page" w:hAnchor="page" w:x="1177" w:y="1289"/>
        <w:numPr>
          <w:ilvl w:val="0"/>
          <w:numId w:val="131"/>
        </w:numPr>
        <w:tabs>
          <w:tab w:val="left" w:pos="1210"/>
        </w:tabs>
        <w:spacing w:after="260" w:line="322" w:lineRule="auto"/>
        <w:ind w:left="1220" w:hanging="360"/>
        <w:jc w:val="both"/>
      </w:pPr>
      <w:r>
        <w:rPr>
          <w:i/>
          <w:iCs/>
        </w:rPr>
        <w:t xml:space="preserve">na Předmětu převodu nevážnou zástavní práva, věcná břemena nebo jiné právní vady či zatížení (zejména věcná či obligační práva, restituční nároky, nevypořádané nároky třetích stran atd.), vyjma služebností umístění a provozování technické infrastruktury evidovaných v katastru nemovitostí, ani neexistují právní skutečnosti, na základě kterých by mohla vzniknout práva či zatížení dle tohoto ustanovení, o kterých by věděl a na které by Kupujícího neupozornil, vyjma těch, které jsou uvedeny na LV č. 50001 pro </w:t>
      </w:r>
      <w:proofErr w:type="spellStart"/>
      <w:r>
        <w:rPr>
          <w:i/>
          <w:iCs/>
        </w:rPr>
        <w:t>k.ú</w:t>
      </w:r>
      <w:proofErr w:type="spellEnd"/>
      <w:r>
        <w:rPr>
          <w:i/>
          <w:iCs/>
        </w:rPr>
        <w:t>. Pardubice,</w:t>
      </w:r>
    </w:p>
    <w:p w14:paraId="6BBFB03B" w14:textId="77777777" w:rsidR="00EC1C40" w:rsidRDefault="00000000">
      <w:pPr>
        <w:pStyle w:val="Zkladntext70"/>
        <w:framePr w:w="9816" w:h="14294" w:hRule="exact" w:wrap="none" w:vAnchor="page" w:hAnchor="page" w:x="1177" w:y="1289"/>
        <w:numPr>
          <w:ilvl w:val="0"/>
          <w:numId w:val="131"/>
        </w:numPr>
        <w:tabs>
          <w:tab w:val="left" w:pos="1210"/>
        </w:tabs>
        <w:spacing w:after="260" w:line="322" w:lineRule="auto"/>
        <w:ind w:left="1220" w:hanging="360"/>
        <w:jc w:val="both"/>
      </w:pPr>
      <w:r>
        <w:rPr>
          <w:i/>
          <w:iCs/>
        </w:rPr>
        <w:t>nemá nedoplatky na daních a jiných platbách, pro které by příslušný správce daně mohl zřídit zástavní právo dle § 170 zákona č. 280/2009 Sb., daňový řád v platném znění a Předmět převodu není předmětem insolvenčního, konkurzního ani jiného obdobného řízení, ani řízení o výkonu soudního nebo správního rozhodnutí,</w:t>
      </w:r>
    </w:p>
    <w:p w14:paraId="33D8C876" w14:textId="77777777" w:rsidR="00EC1C40" w:rsidRDefault="00000000">
      <w:pPr>
        <w:pStyle w:val="Zkladntext70"/>
        <w:framePr w:w="9816" w:h="14294" w:hRule="exact" w:wrap="none" w:vAnchor="page" w:hAnchor="page" w:x="1177" w:y="1289"/>
        <w:numPr>
          <w:ilvl w:val="0"/>
          <w:numId w:val="131"/>
        </w:numPr>
        <w:tabs>
          <w:tab w:val="left" w:pos="1210"/>
          <w:tab w:val="left" w:pos="1215"/>
        </w:tabs>
        <w:spacing w:line="310" w:lineRule="auto"/>
        <w:ind w:left="0" w:firstLine="860"/>
        <w:jc w:val="both"/>
      </w:pPr>
      <w:r>
        <w:rPr>
          <w:i/>
          <w:iCs/>
        </w:rPr>
        <w:t>neprobíhá jakékoli soudní, rozhodčí, exekuční nebo správní řízení, jehož předmětem by byly práva a</w:t>
      </w:r>
    </w:p>
    <w:p w14:paraId="1E8F289E" w14:textId="77777777" w:rsidR="00EC1C40" w:rsidRDefault="00000000">
      <w:pPr>
        <w:pStyle w:val="Zkladntext70"/>
        <w:framePr w:w="9816" w:h="14294" w:hRule="exact" w:wrap="none" w:vAnchor="page" w:hAnchor="page" w:x="1177" w:y="1289"/>
        <w:spacing w:after="260" w:line="326" w:lineRule="auto"/>
        <w:ind w:left="1220"/>
        <w:jc w:val="both"/>
      </w:pPr>
      <w:r>
        <w:rPr>
          <w:i/>
          <w:iCs/>
        </w:rPr>
        <w:t>povinnosti týkající se Předmětu převodu, kdy konečné rozhodnutí ve věci by mohlo být závazné i pro příštího vlastníka Předmětu převodu, nebo by se dotýkalo práv a povinností vyplývajících z vlastnictví Předmětu převodu, Předmět převodu není, ani nikdy nebyl, předmětem restitučních řízení či uplatnění restitučních nároků, bez ohledu na to, na základě kterých právních předpisů;</w:t>
      </w:r>
    </w:p>
    <w:p w14:paraId="7515EF64" w14:textId="77777777" w:rsidR="00EC1C40" w:rsidRDefault="00000000">
      <w:pPr>
        <w:pStyle w:val="Zkladntext70"/>
        <w:framePr w:w="9816" w:h="14294" w:hRule="exact" w:wrap="none" w:vAnchor="page" w:hAnchor="page" w:x="1177" w:y="1289"/>
        <w:numPr>
          <w:ilvl w:val="0"/>
          <w:numId w:val="131"/>
        </w:numPr>
        <w:tabs>
          <w:tab w:val="left" w:pos="1210"/>
        </w:tabs>
        <w:spacing w:after="260" w:line="319" w:lineRule="auto"/>
        <w:ind w:left="1220" w:hanging="360"/>
        <w:jc w:val="both"/>
      </w:pPr>
      <w:r>
        <w:rPr>
          <w:i/>
          <w:iCs/>
        </w:rPr>
        <w:t>spolu s převodem vlastnického práva k Předmětu převodu na Kupujícího nepřejdou na Kupujícího žádné dluhy, povinnosti či nároky třetích stran;</w:t>
      </w:r>
    </w:p>
    <w:p w14:paraId="658DBFCB" w14:textId="77777777" w:rsidR="00EC1C40" w:rsidRDefault="00000000">
      <w:pPr>
        <w:pStyle w:val="Zkladntext70"/>
        <w:framePr w:w="9816" w:h="14294" w:hRule="exact" w:wrap="none" w:vAnchor="page" w:hAnchor="page" w:x="1177" w:y="1289"/>
        <w:numPr>
          <w:ilvl w:val="0"/>
          <w:numId w:val="131"/>
        </w:numPr>
        <w:tabs>
          <w:tab w:val="left" w:pos="1210"/>
        </w:tabs>
        <w:spacing w:after="260" w:line="319" w:lineRule="auto"/>
        <w:ind w:left="1220" w:hanging="360"/>
        <w:jc w:val="both"/>
      </w:pPr>
      <w:r>
        <w:rPr>
          <w:i/>
          <w:iCs/>
        </w:rPr>
        <w:t>Předmět převodu není zatížen faktickým zatížením či faktickými vadami, o kterých by Prodávající věděl;</w:t>
      </w:r>
    </w:p>
    <w:p w14:paraId="0A03C151" w14:textId="77777777" w:rsidR="00EC1C40" w:rsidRDefault="00000000">
      <w:pPr>
        <w:pStyle w:val="Zkladntext70"/>
        <w:framePr w:w="9816" w:h="14294" w:hRule="exact" w:wrap="none" w:vAnchor="page" w:hAnchor="page" w:x="1177" w:y="1289"/>
        <w:numPr>
          <w:ilvl w:val="0"/>
          <w:numId w:val="131"/>
        </w:numPr>
        <w:tabs>
          <w:tab w:val="left" w:pos="1210"/>
        </w:tabs>
        <w:spacing w:after="260" w:line="322" w:lineRule="auto"/>
        <w:ind w:left="1220" w:hanging="360"/>
        <w:jc w:val="both"/>
      </w:pPr>
      <w:r>
        <w:rPr>
          <w:i/>
          <w:iCs/>
        </w:rPr>
        <w:t>je oprávněn k uzavření této Smlouvy a k výkonu práv a plnění povinností z ní vyplývajících. Prodávající učinil veškeré úkony a přijal veškerá opatření nezbytná k tomu, aby mohl platně uzavřít a plnit tuto smlouvu, zejména převést na základě ní vlastnické právo k Předmětu převodu na kupujícího, včetně řádného zveřejnění záměru dle § 39 zákona č. 128/2000 Sb., o obcích (obecní zřízení), ve znění pozdějších předpisů a schválení uzavření a plnění této smlouvy zastupitelstvem;</w:t>
      </w:r>
    </w:p>
    <w:p w14:paraId="4D1BE97C" w14:textId="77777777" w:rsidR="00EC1C40" w:rsidRDefault="00000000">
      <w:pPr>
        <w:pStyle w:val="Zkladntext70"/>
        <w:framePr w:w="9816" w:h="14294" w:hRule="exact" w:wrap="none" w:vAnchor="page" w:hAnchor="page" w:x="1177" w:y="1289"/>
        <w:numPr>
          <w:ilvl w:val="0"/>
          <w:numId w:val="131"/>
        </w:numPr>
        <w:tabs>
          <w:tab w:val="left" w:pos="1210"/>
        </w:tabs>
        <w:spacing w:after="260" w:line="322" w:lineRule="auto"/>
        <w:ind w:left="1220" w:hanging="360"/>
        <w:jc w:val="both"/>
      </w:pPr>
      <w:r>
        <w:rPr>
          <w:i/>
          <w:iCs/>
        </w:rPr>
        <w:t>ke dni uzavření této smlouvy je výlučným vlastníkem Předmětu převodu včetně jeho součástí a příslušenství a že jeho vlastnické právo k Předmětu převodu není omezeno ani zpochybněno jinak než skutečnostmi vyplývajícími z veřejně dostupných evidencí a z této Smlouvy. Současně mu není ke dni uzavření této smlouvy známo, že by ve vztahu k Předmětu převodu probíhalo řízení nebo existovala jiná okolnost, která by mohla zpochybnit jeho vlastnické právo, včetně zápisu poznámky spornosti nebo poznámky rozepře.</w:t>
      </w:r>
    </w:p>
    <w:p w14:paraId="42D92891" w14:textId="77777777" w:rsidR="00EC1C40" w:rsidRDefault="00000000">
      <w:pPr>
        <w:pStyle w:val="Zkladntext70"/>
        <w:framePr w:w="9816" w:h="14294" w:hRule="exact" w:wrap="none" w:vAnchor="page" w:hAnchor="page" w:x="1177" w:y="1289"/>
        <w:numPr>
          <w:ilvl w:val="1"/>
          <w:numId w:val="130"/>
        </w:numPr>
        <w:tabs>
          <w:tab w:val="left" w:pos="715"/>
          <w:tab w:val="left" w:pos="725"/>
        </w:tabs>
        <w:spacing w:after="260" w:line="326" w:lineRule="auto"/>
        <w:ind w:left="0"/>
        <w:jc w:val="both"/>
      </w:pPr>
      <w:r>
        <w:rPr>
          <w:i/>
          <w:iCs/>
        </w:rPr>
        <w:t>Kupující prohlašuje, že:</w:t>
      </w:r>
    </w:p>
    <w:p w14:paraId="1FF61972" w14:textId="77777777" w:rsidR="00EC1C40" w:rsidRDefault="00000000">
      <w:pPr>
        <w:pStyle w:val="Zkladntext70"/>
        <w:framePr w:w="9816" w:h="14294" w:hRule="exact" w:wrap="none" w:vAnchor="page" w:hAnchor="page" w:x="1177" w:y="1289"/>
        <w:spacing w:after="260" w:line="322" w:lineRule="auto"/>
        <w:ind w:left="1220" w:hanging="360"/>
        <w:jc w:val="both"/>
      </w:pPr>
      <w:r>
        <w:rPr>
          <w:i/>
          <w:iCs/>
          <w:sz w:val="19"/>
          <w:szCs w:val="19"/>
        </w:rPr>
        <w:t xml:space="preserve">• </w:t>
      </w:r>
      <w:r>
        <w:rPr>
          <w:i/>
          <w:iCs/>
        </w:rPr>
        <w:t>si Předmět převodu náležitě prohlédl a seznámil se se všemi jeho součástmi a příslušenstvím, zejména že se ve smyslu § 980 a násl. občanského zákoníku seznámil s údaji zapsanými v katastru nemovitostí, stav Předmětu převodu, jak je zjistitelný z jeho prohlídky, je mu znám a s ohledem na toto seznámení nevznáší vůči němu žádné námitky.</w:t>
      </w:r>
    </w:p>
    <w:p w14:paraId="3F3AEAED" w14:textId="77777777" w:rsidR="00EC1C40" w:rsidRDefault="00000000">
      <w:pPr>
        <w:pStyle w:val="Zkladntext70"/>
        <w:framePr w:w="9816" w:h="14294" w:hRule="exact" w:wrap="none" w:vAnchor="page" w:hAnchor="page" w:x="1177" w:y="1289"/>
        <w:numPr>
          <w:ilvl w:val="1"/>
          <w:numId w:val="130"/>
        </w:numPr>
        <w:tabs>
          <w:tab w:val="left" w:pos="715"/>
        </w:tabs>
        <w:spacing w:line="326" w:lineRule="auto"/>
        <w:ind w:left="740" w:hanging="740"/>
        <w:jc w:val="both"/>
      </w:pPr>
      <w:r>
        <w:rPr>
          <w:i/>
          <w:iCs/>
        </w:rPr>
        <w:t xml:space="preserve">Pokud by se ukázalo, že prohlášení některé ze smluvních stran obsažená v této smlouvě nejsou pravdivá, zavazuje se smluvní strana, jejíž prohlášení není pravdivé, na své náklady odstranit závadný stav. Pokud tak nebude učiněno nejpozději do 30 dnů od zjištění závady, má druhá smluvní strana v takovém případě právo od této smlouvy odstoupit. Pro případné odstoupení platí postup stanovený v </w:t>
      </w:r>
      <w:r>
        <w:rPr>
          <w:b/>
          <w:bCs/>
          <w:i/>
          <w:iCs/>
        </w:rPr>
        <w:t xml:space="preserve">čl. V. </w:t>
      </w:r>
      <w:r>
        <w:rPr>
          <w:i/>
          <w:iCs/>
        </w:rPr>
        <w:t>této smlouvy.</w:t>
      </w:r>
    </w:p>
    <w:p w14:paraId="52536EFF" w14:textId="77777777" w:rsidR="00EC1C40" w:rsidRDefault="00000000">
      <w:pPr>
        <w:pStyle w:val="Zhlavnebozpat0"/>
        <w:framePr w:wrap="none" w:vAnchor="page" w:hAnchor="page" w:x="5516" w:y="16193"/>
      </w:pPr>
      <w:r>
        <w:rPr>
          <w:rFonts w:ascii="Arial" w:eastAsia="Arial" w:hAnsi="Arial" w:cs="Arial"/>
          <w:color w:val="231E20"/>
        </w:rPr>
        <w:t xml:space="preserve">Stránka </w:t>
      </w:r>
      <w:r>
        <w:rPr>
          <w:rFonts w:ascii="Arial" w:eastAsia="Arial" w:hAnsi="Arial" w:cs="Arial"/>
          <w:b/>
          <w:bCs/>
          <w:color w:val="231E20"/>
        </w:rPr>
        <w:t xml:space="preserve">5 </w:t>
      </w:r>
      <w:r>
        <w:rPr>
          <w:rFonts w:ascii="Arial" w:eastAsia="Arial" w:hAnsi="Arial" w:cs="Arial"/>
          <w:color w:val="231E20"/>
        </w:rPr>
        <w:t xml:space="preserve">z </w:t>
      </w:r>
      <w:r>
        <w:rPr>
          <w:rFonts w:ascii="Arial" w:eastAsia="Arial" w:hAnsi="Arial" w:cs="Arial"/>
          <w:b/>
          <w:bCs/>
          <w:color w:val="231E20"/>
        </w:rPr>
        <w:t>13</w:t>
      </w:r>
    </w:p>
    <w:p w14:paraId="65D611DD"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60783455" w14:textId="77777777" w:rsidR="00EC1C40" w:rsidRDefault="00EC1C40">
      <w:pPr>
        <w:spacing w:line="1" w:lineRule="exact"/>
      </w:pPr>
    </w:p>
    <w:p w14:paraId="7E7C940A" w14:textId="77777777" w:rsidR="00EC1C40" w:rsidRDefault="00000000">
      <w:pPr>
        <w:pStyle w:val="Zkladntext70"/>
        <w:framePr w:w="9816" w:h="14736" w:hRule="exact" w:wrap="none" w:vAnchor="page" w:hAnchor="page" w:x="1177" w:y="1289"/>
        <w:numPr>
          <w:ilvl w:val="1"/>
          <w:numId w:val="130"/>
        </w:numPr>
        <w:tabs>
          <w:tab w:val="left" w:pos="705"/>
          <w:tab w:val="left" w:pos="725"/>
        </w:tabs>
        <w:spacing w:line="324" w:lineRule="auto"/>
        <w:ind w:left="0"/>
        <w:jc w:val="both"/>
      </w:pPr>
      <w:r>
        <w:rPr>
          <w:i/>
          <w:iCs/>
        </w:rPr>
        <w:t>Prodávající se zavazuje hradit veškeré náklady spojené s vlastnictvím a užíváním Předmětu převodu do dne</w:t>
      </w:r>
    </w:p>
    <w:p w14:paraId="0C484ACF" w14:textId="77777777" w:rsidR="00EC1C40" w:rsidRDefault="00000000">
      <w:pPr>
        <w:pStyle w:val="Zkladntext70"/>
        <w:framePr w:w="9816" w:h="14736" w:hRule="exact" w:wrap="none" w:vAnchor="page" w:hAnchor="page" w:x="1177" w:y="1289"/>
        <w:spacing w:after="240" w:line="324" w:lineRule="auto"/>
        <w:ind w:left="720" w:firstLine="20"/>
        <w:jc w:val="both"/>
      </w:pPr>
      <w:r>
        <w:rPr>
          <w:i/>
          <w:iCs/>
        </w:rPr>
        <w:t>nabytí vlastnického práva k Předmětu převodu Kupujícím a spravovat Předmět převodu až do okamžiku převodu vlastnického práva s péčí řádného hospodáře.</w:t>
      </w:r>
    </w:p>
    <w:p w14:paraId="4C6A8E63" w14:textId="77777777" w:rsidR="00EC1C40" w:rsidRDefault="00000000">
      <w:pPr>
        <w:pStyle w:val="Zkladntext70"/>
        <w:framePr w:w="9816" w:h="14736" w:hRule="exact" w:wrap="none" w:vAnchor="page" w:hAnchor="page" w:x="1177" w:y="1289"/>
        <w:numPr>
          <w:ilvl w:val="1"/>
          <w:numId w:val="130"/>
        </w:numPr>
        <w:tabs>
          <w:tab w:val="left" w:pos="705"/>
        </w:tabs>
        <w:spacing w:after="240" w:line="324" w:lineRule="auto"/>
        <w:ind w:left="720" w:hanging="720"/>
        <w:jc w:val="both"/>
      </w:pPr>
      <w:r>
        <w:rPr>
          <w:i/>
          <w:iCs/>
        </w:rPr>
        <w:t>Prodávající se dále zavazuje, že ode dne uzavření této smlouvy až do okamžiku provedení zápisu vkladu vlastnického práva k Předmětu převodu ve prospěch Kupujícího, nepřevede Předmět převodu na třetí osobu, neuzavře žádnou smlouvu ve prospěch třetí osoby týkající se Předmětu převodu, nezatíží jej žádnými věcnými či jinými právy a zdrží se jakéhokoliv jednání, v jehož důsledku by mohlo dojít v katastru nemovitostí k zapsání poznámky nebo vyznačení dotčení změnou ve smyslu ustanovení § 24 a § 16 zákona č. 256/2013 Sb., katastrální zákon v platném znění.</w:t>
      </w:r>
    </w:p>
    <w:p w14:paraId="2EE545BB" w14:textId="77777777" w:rsidR="00EC1C40" w:rsidRDefault="00000000">
      <w:pPr>
        <w:pStyle w:val="Zkladntext70"/>
        <w:framePr w:w="9816" w:h="14736" w:hRule="exact" w:wrap="none" w:vAnchor="page" w:hAnchor="page" w:x="1177" w:y="1289"/>
        <w:numPr>
          <w:ilvl w:val="1"/>
          <w:numId w:val="130"/>
        </w:numPr>
        <w:tabs>
          <w:tab w:val="left" w:pos="705"/>
          <w:tab w:val="left" w:pos="725"/>
        </w:tabs>
        <w:spacing w:line="324" w:lineRule="auto"/>
        <w:ind w:left="0"/>
        <w:jc w:val="both"/>
      </w:pPr>
      <w:r>
        <w:rPr>
          <w:i/>
          <w:iCs/>
        </w:rPr>
        <w:t>Právní či jiné vady na Předmětu převodu, nevyplývající z ustanovení této smlouvy se považují za podstatné</w:t>
      </w:r>
    </w:p>
    <w:p w14:paraId="2CB0E1A3" w14:textId="77777777" w:rsidR="00EC1C40" w:rsidRDefault="00000000">
      <w:pPr>
        <w:pStyle w:val="Zkladntext70"/>
        <w:framePr w:w="9816" w:h="14736" w:hRule="exact" w:wrap="none" w:vAnchor="page" w:hAnchor="page" w:x="1177" w:y="1289"/>
        <w:spacing w:after="240" w:line="324" w:lineRule="auto"/>
        <w:ind w:left="720" w:firstLine="20"/>
        <w:jc w:val="both"/>
      </w:pPr>
      <w:r>
        <w:rPr>
          <w:i/>
          <w:iCs/>
        </w:rPr>
        <w:t xml:space="preserve">porušení smlouvy, přičemž Prodávající bere na vědomí, že Kupující bude v takovém případě uplatňovat svá práva podle </w:t>
      </w:r>
      <w:proofErr w:type="spellStart"/>
      <w:r>
        <w:rPr>
          <w:i/>
          <w:iCs/>
        </w:rPr>
        <w:t>ust</w:t>
      </w:r>
      <w:proofErr w:type="spellEnd"/>
      <w:r>
        <w:rPr>
          <w:i/>
          <w:iCs/>
        </w:rPr>
        <w:t>. § 2099 a násl. občanského zákoníku.</w:t>
      </w:r>
    </w:p>
    <w:p w14:paraId="18CD07BA" w14:textId="77777777" w:rsidR="00EC1C40" w:rsidRDefault="00000000">
      <w:pPr>
        <w:pStyle w:val="Zkladntext70"/>
        <w:framePr w:w="9816" w:h="14736" w:hRule="exact" w:wrap="none" w:vAnchor="page" w:hAnchor="page" w:x="1177" w:y="1289"/>
        <w:numPr>
          <w:ilvl w:val="1"/>
          <w:numId w:val="130"/>
        </w:numPr>
        <w:tabs>
          <w:tab w:val="left" w:pos="705"/>
        </w:tabs>
        <w:spacing w:after="240" w:line="324" w:lineRule="auto"/>
        <w:ind w:left="720" w:hanging="720"/>
        <w:jc w:val="both"/>
      </w:pPr>
      <w:r>
        <w:rPr>
          <w:i/>
          <w:iCs/>
        </w:rPr>
        <w:t>Kupující se zavazuje, že bude respektovat a neznemožní záměry Prodávajícího v lokalitě Hůrka, pokud budou v souladu s ÚS Hůrka (jak je tento pojem definován v Plánovací smlouvě).</w:t>
      </w:r>
    </w:p>
    <w:p w14:paraId="0CAE386D" w14:textId="77777777" w:rsidR="00EC1C40" w:rsidRDefault="00000000">
      <w:pPr>
        <w:pStyle w:val="Zkladntext70"/>
        <w:framePr w:w="9816" w:h="14736" w:hRule="exact" w:wrap="none" w:vAnchor="page" w:hAnchor="page" w:x="1177" w:y="1289"/>
        <w:numPr>
          <w:ilvl w:val="1"/>
          <w:numId w:val="130"/>
        </w:numPr>
        <w:tabs>
          <w:tab w:val="left" w:pos="705"/>
          <w:tab w:val="left" w:leader="dot" w:pos="5683"/>
        </w:tabs>
        <w:spacing w:line="326" w:lineRule="auto"/>
        <w:ind w:left="0"/>
        <w:jc w:val="both"/>
      </w:pPr>
      <w:r>
        <w:rPr>
          <w:i/>
          <w:iCs/>
        </w:rPr>
        <w:t>Smluvní strany shodně prohlašují, že mezi sebou dne</w:t>
      </w:r>
      <w:r>
        <w:rPr>
          <w:i/>
          <w:iCs/>
        </w:rPr>
        <w:tab/>
        <w:t>2026 uzavřely samostatnou plánovací smlouvu</w:t>
      </w:r>
    </w:p>
    <w:p w14:paraId="12B75683" w14:textId="77777777" w:rsidR="00EC1C40" w:rsidRDefault="00000000">
      <w:pPr>
        <w:pStyle w:val="Zkladntext70"/>
        <w:framePr w:w="9816" w:h="14736" w:hRule="exact" w:wrap="none" w:vAnchor="page" w:hAnchor="page" w:x="1177" w:y="1289"/>
        <w:spacing w:line="326" w:lineRule="auto"/>
        <w:ind w:left="720" w:firstLine="20"/>
        <w:jc w:val="both"/>
      </w:pPr>
      <w:r>
        <w:rPr>
          <w:i/>
          <w:iCs/>
        </w:rPr>
        <w:t>(dále jen „</w:t>
      </w:r>
      <w:r>
        <w:rPr>
          <w:b/>
          <w:bCs/>
          <w:i/>
          <w:iCs/>
        </w:rPr>
        <w:t>Plánovací smlouva</w:t>
      </w:r>
      <w:r>
        <w:rPr>
          <w:i/>
          <w:iCs/>
        </w:rPr>
        <w:t>“), která upravuje další práva a povinnosti smluvních stran související s předmětem této smlouvy.</w:t>
      </w:r>
    </w:p>
    <w:p w14:paraId="1E7E99D0" w14:textId="77777777" w:rsidR="00EC1C40" w:rsidRDefault="00EC1C40">
      <w:pPr>
        <w:pStyle w:val="Zkladntext70"/>
        <w:framePr w:w="9816" w:h="14736" w:hRule="exact" w:wrap="none" w:vAnchor="page" w:hAnchor="page" w:x="1177" w:y="1289"/>
        <w:numPr>
          <w:ilvl w:val="0"/>
          <w:numId w:val="125"/>
        </w:numPr>
        <w:spacing w:line="326" w:lineRule="auto"/>
        <w:ind w:left="0"/>
        <w:jc w:val="center"/>
      </w:pPr>
    </w:p>
    <w:p w14:paraId="79DF7935" w14:textId="77777777" w:rsidR="00EC1C40" w:rsidRDefault="00000000">
      <w:pPr>
        <w:pStyle w:val="Zkladntext70"/>
        <w:framePr w:w="9816" w:h="14736" w:hRule="exact" w:wrap="none" w:vAnchor="page" w:hAnchor="page" w:x="1177" w:y="1289"/>
        <w:spacing w:line="326" w:lineRule="auto"/>
        <w:ind w:left="0"/>
        <w:jc w:val="center"/>
      </w:pPr>
      <w:r>
        <w:rPr>
          <w:b/>
          <w:bCs/>
          <w:i/>
          <w:iCs/>
        </w:rPr>
        <w:t>Odstoupení od smlouvy</w:t>
      </w:r>
    </w:p>
    <w:p w14:paraId="0D39CC62" w14:textId="77777777" w:rsidR="00EC1C40" w:rsidRDefault="00000000">
      <w:pPr>
        <w:pStyle w:val="Zkladntext70"/>
        <w:framePr w:w="9816" w:h="14736" w:hRule="exact" w:wrap="none" w:vAnchor="page" w:hAnchor="page" w:x="1177" w:y="1289"/>
        <w:numPr>
          <w:ilvl w:val="1"/>
          <w:numId w:val="132"/>
        </w:numPr>
        <w:tabs>
          <w:tab w:val="left" w:pos="705"/>
          <w:tab w:val="left" w:pos="710"/>
        </w:tabs>
        <w:spacing w:line="326" w:lineRule="auto"/>
        <w:ind w:left="0"/>
        <w:jc w:val="both"/>
      </w:pPr>
      <w:r>
        <w:rPr>
          <w:i/>
          <w:iCs/>
        </w:rPr>
        <w:t>Pro případné odstoupení od této smlouvy si smluvní strany sjednávají tato pravidla:</w:t>
      </w:r>
    </w:p>
    <w:p w14:paraId="7D629541" w14:textId="77777777" w:rsidR="00EC1C40" w:rsidRDefault="00000000">
      <w:pPr>
        <w:pStyle w:val="Zkladntext70"/>
        <w:framePr w:w="9816" w:h="14736" w:hRule="exact" w:wrap="none" w:vAnchor="page" w:hAnchor="page" w:x="1177" w:y="1289"/>
        <w:spacing w:after="240" w:line="326" w:lineRule="auto"/>
        <w:ind w:left="720" w:firstLine="20"/>
        <w:jc w:val="both"/>
        <w:rPr>
          <w:sz w:val="20"/>
          <w:szCs w:val="20"/>
        </w:rPr>
      </w:pPr>
      <w:r>
        <w:rPr>
          <w:i/>
          <w:iCs/>
        </w:rPr>
        <w:t xml:space="preserve">Účinky odstoupení nastanou ke dni doručení odstoupení do datové schránky druhé smluvní strany. Oznámení o odstoupení od smlouvy se považuje za doručené nejpozději 10. dnem ode dne doručení do datové schránky (tzv. fikce doručení). Eventuálně, nemá-li smluvní strana zřízenou datovou schránku, nastanou účinky odstoupení doručením doporučeného dopisu s odstoupením na adresu sídla smluvní strany uvedenou v záhlavní této smlouvy. Oznámení o odstoupení se v tomto případě považuje za doručené nejpozději </w:t>
      </w:r>
      <w:r>
        <w:rPr>
          <w:i/>
          <w:iCs/>
          <w:smallCaps/>
        </w:rPr>
        <w:t>10. dnem o</w:t>
      </w:r>
      <w:r>
        <w:rPr>
          <w:i/>
          <w:iCs/>
          <w:sz w:val="20"/>
          <w:szCs w:val="20"/>
        </w:rPr>
        <w:t>de dne uložení zásilky u držitele poštovní licence.</w:t>
      </w:r>
    </w:p>
    <w:p w14:paraId="4A04CDA8" w14:textId="77777777" w:rsidR="00EC1C40" w:rsidRDefault="00000000">
      <w:pPr>
        <w:pStyle w:val="Zkladntext70"/>
        <w:framePr w:w="9816" w:h="14736" w:hRule="exact" w:wrap="none" w:vAnchor="page" w:hAnchor="page" w:x="1177" w:y="1289"/>
        <w:numPr>
          <w:ilvl w:val="1"/>
          <w:numId w:val="132"/>
        </w:numPr>
        <w:tabs>
          <w:tab w:val="left" w:pos="705"/>
        </w:tabs>
        <w:spacing w:after="240" w:line="324" w:lineRule="auto"/>
        <w:ind w:left="720" w:hanging="720"/>
        <w:jc w:val="both"/>
      </w:pPr>
      <w:r>
        <w:rPr>
          <w:i/>
          <w:iCs/>
        </w:rPr>
        <w:t>Smluvní strany se zavazují, že v případě odstoupení jedné ze stran od této smlouvy společně podepíší souhlasné prohlášení s náležitostmi uvedenými v § 66 odst. 2 vyhlášky č. 357/2013 Sb., katastrální vyhláška, v platném znění, ohledně odstoupení od této smlouvy za účelem zpětného zápisu vlastnických práv; náklady s tím spojené nese strana, která zavdala druhé straně důvod k odstoupení od této smlouvy.</w:t>
      </w:r>
    </w:p>
    <w:p w14:paraId="3552875D" w14:textId="77777777" w:rsidR="00EC1C40" w:rsidRDefault="00000000">
      <w:pPr>
        <w:pStyle w:val="Zkladntext70"/>
        <w:framePr w:w="9816" w:h="14736" w:hRule="exact" w:wrap="none" w:vAnchor="page" w:hAnchor="page" w:x="1177" w:y="1289"/>
        <w:numPr>
          <w:ilvl w:val="1"/>
          <w:numId w:val="132"/>
        </w:numPr>
        <w:tabs>
          <w:tab w:val="left" w:pos="705"/>
          <w:tab w:val="left" w:pos="710"/>
        </w:tabs>
        <w:spacing w:line="326" w:lineRule="auto"/>
        <w:ind w:left="0"/>
        <w:jc w:val="both"/>
      </w:pPr>
      <w:r>
        <w:rPr>
          <w:i/>
          <w:iCs/>
        </w:rPr>
        <w:t>Smluvní strany shodně prohlašují, že k uzavření této smlouvy přistupují s úmyslem vytvořit co nejstabilnější</w:t>
      </w:r>
    </w:p>
    <w:p w14:paraId="3A1FD2C0" w14:textId="77777777" w:rsidR="00EC1C40" w:rsidRDefault="00000000">
      <w:pPr>
        <w:pStyle w:val="Zkladntext70"/>
        <w:framePr w:w="9816" w:h="14736" w:hRule="exact" w:wrap="none" w:vAnchor="page" w:hAnchor="page" w:x="1177" w:y="1289"/>
        <w:spacing w:line="326" w:lineRule="auto"/>
        <w:ind w:left="720" w:firstLine="20"/>
        <w:jc w:val="both"/>
      </w:pPr>
      <w:r>
        <w:rPr>
          <w:i/>
          <w:iCs/>
        </w:rPr>
        <w:t>uspořádání svých vzájemných vztahů, přičemž je pro smluvní strany důležité, aby tato Smlouva nezanikla žádným jiným způsobem, než jaký výslovně stanoví tato smlouva, tj. (i) výslovně si přejí jakákoli porušení jednotlivých práv a povinností jednotlivých smluvních stran z této smlouvy vyplývajících řešit právě a pouze způsoby, které tato smlouva výslovně uvádí, a (</w:t>
      </w:r>
      <w:proofErr w:type="spellStart"/>
      <w:r>
        <w:rPr>
          <w:i/>
          <w:iCs/>
        </w:rPr>
        <w:t>ii</w:t>
      </w:r>
      <w:proofErr w:type="spellEnd"/>
      <w:r>
        <w:rPr>
          <w:i/>
          <w:iCs/>
        </w:rPr>
        <w:t>) v maximální možné míře přípustné dle právních předpisů eliminovat a vyloučit jakákoli práva smluvních stran od této smlouvy odstoupit, vypovědět ji a/nebo ji jiným způsobem ukončit (včetně požadování jejího ukončení či zrušení). Smluvní strany výslovně vylučují ustanovení následujících právních předpisů: 1977, § 1978, § 1979, § 1980, § 2002 a 2003 Občanského zákoníku. Smluvní strany se vzdávají práva domáhat se zrušení závazku dle § 2000 Občanského zákoníku, a to s ohledem na účel této smlouvy uvedený v tomto ustanovení. Podstatným porušením této smlouvy, respektive porušením této smlouvy podstatným způsobem, se v této smlouvě rozumí výhradně taková porušení smlouvy, která jsou jako její podstatné porušení definována v této smlouvě.</w:t>
      </w:r>
    </w:p>
    <w:p w14:paraId="71E4F307" w14:textId="77777777" w:rsidR="00EC1C40" w:rsidRDefault="00000000">
      <w:pPr>
        <w:pStyle w:val="Zkladntext70"/>
        <w:framePr w:w="9816" w:h="14736" w:hRule="exact" w:wrap="none" w:vAnchor="page" w:hAnchor="page" w:x="1177" w:y="1289"/>
        <w:numPr>
          <w:ilvl w:val="1"/>
          <w:numId w:val="132"/>
        </w:numPr>
        <w:tabs>
          <w:tab w:val="left" w:pos="705"/>
          <w:tab w:val="left" w:pos="710"/>
        </w:tabs>
        <w:spacing w:line="326" w:lineRule="auto"/>
        <w:ind w:left="0"/>
        <w:jc w:val="both"/>
      </w:pPr>
      <w:r>
        <w:rPr>
          <w:i/>
          <w:iCs/>
        </w:rPr>
        <w:t>Kupující je oprávněn od této smlouvy odstoupit v případě, kdy (i) Kupujícímu vznikne právo odstoupit od</w:t>
      </w:r>
    </w:p>
    <w:p w14:paraId="774C473B" w14:textId="77777777" w:rsidR="00EC1C40" w:rsidRDefault="00000000">
      <w:pPr>
        <w:pStyle w:val="Zkladntext70"/>
        <w:framePr w:w="9816" w:h="14736" w:hRule="exact" w:wrap="none" w:vAnchor="page" w:hAnchor="page" w:x="1177" w:y="1289"/>
        <w:spacing w:line="326" w:lineRule="auto"/>
        <w:ind w:left="720" w:firstLine="20"/>
        <w:jc w:val="both"/>
      </w:pPr>
      <w:proofErr w:type="spellStart"/>
      <w:r>
        <w:rPr>
          <w:i/>
          <w:iCs/>
        </w:rPr>
        <w:t>SoSB</w:t>
      </w:r>
      <w:proofErr w:type="spellEnd"/>
      <w:r>
        <w:rPr>
          <w:i/>
          <w:iCs/>
        </w:rPr>
        <w:t xml:space="preserve"> (bez ohledu na to, na základě jaké smlouvy) nebo (</w:t>
      </w:r>
      <w:proofErr w:type="spellStart"/>
      <w:r>
        <w:rPr>
          <w:i/>
          <w:iCs/>
        </w:rPr>
        <w:t>ii</w:t>
      </w:r>
      <w:proofErr w:type="spellEnd"/>
      <w:r>
        <w:rPr>
          <w:i/>
          <w:iCs/>
        </w:rPr>
        <w:t>) v případech nepravdivosti prohlášení prodávajícího dle čl. 4.3 smlouvy, pokud nebude zjednána náprava ani ve lhůtě dle čl. 4.3 smlouvy.</w:t>
      </w:r>
    </w:p>
    <w:p w14:paraId="44558DA8" w14:textId="77777777" w:rsidR="00EC1C40" w:rsidRDefault="00000000">
      <w:pPr>
        <w:pStyle w:val="Zkladntext70"/>
        <w:framePr w:w="9816" w:h="14736" w:hRule="exact" w:wrap="none" w:vAnchor="page" w:hAnchor="page" w:x="1177" w:y="1289"/>
        <w:numPr>
          <w:ilvl w:val="1"/>
          <w:numId w:val="132"/>
        </w:numPr>
        <w:tabs>
          <w:tab w:val="left" w:pos="705"/>
        </w:tabs>
        <w:spacing w:line="326" w:lineRule="auto"/>
        <w:ind w:left="720" w:hanging="720"/>
        <w:jc w:val="both"/>
      </w:pPr>
      <w:proofErr w:type="spellStart"/>
      <w:r>
        <w:rPr>
          <w:i/>
          <w:iCs/>
        </w:rPr>
        <w:t>Prodávajícíje</w:t>
      </w:r>
      <w:proofErr w:type="spellEnd"/>
      <w:r>
        <w:rPr>
          <w:i/>
          <w:iCs/>
        </w:rPr>
        <w:t xml:space="preserve"> oprávněn odstoupit od této smlouvy výhradně tehdy, pokud jsou splněny předpoklady dle čl. 3.4 smlouvy a za tam uvedených podmínek.</w:t>
      </w:r>
    </w:p>
    <w:p w14:paraId="21283D2D" w14:textId="77777777" w:rsidR="00EC1C40" w:rsidRDefault="00000000">
      <w:pPr>
        <w:pStyle w:val="Zhlavnebozpat0"/>
        <w:framePr w:wrap="none" w:vAnchor="page" w:hAnchor="page" w:x="5516" w:y="16193"/>
      </w:pPr>
      <w:r>
        <w:rPr>
          <w:rFonts w:ascii="Arial" w:eastAsia="Arial" w:hAnsi="Arial" w:cs="Arial"/>
          <w:color w:val="231E20"/>
        </w:rPr>
        <w:t xml:space="preserve">Stránka </w:t>
      </w:r>
      <w:r>
        <w:rPr>
          <w:rFonts w:ascii="Arial" w:eastAsia="Arial" w:hAnsi="Arial" w:cs="Arial"/>
          <w:b/>
          <w:bCs/>
          <w:color w:val="231E20"/>
        </w:rPr>
        <w:t xml:space="preserve">6 </w:t>
      </w:r>
      <w:r>
        <w:rPr>
          <w:rFonts w:ascii="Arial" w:eastAsia="Arial" w:hAnsi="Arial" w:cs="Arial"/>
          <w:color w:val="231E20"/>
        </w:rPr>
        <w:t xml:space="preserve">z </w:t>
      </w:r>
      <w:r>
        <w:rPr>
          <w:rFonts w:ascii="Arial" w:eastAsia="Arial" w:hAnsi="Arial" w:cs="Arial"/>
          <w:b/>
          <w:bCs/>
          <w:color w:val="231E20"/>
        </w:rPr>
        <w:t>13</w:t>
      </w:r>
    </w:p>
    <w:p w14:paraId="1FBFA457"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161071E7" w14:textId="77777777" w:rsidR="00EC1C40" w:rsidRDefault="00EC1C40">
      <w:pPr>
        <w:spacing w:line="1" w:lineRule="exact"/>
      </w:pPr>
    </w:p>
    <w:p w14:paraId="0FEE6BA9" w14:textId="77777777" w:rsidR="00EC1C40" w:rsidRDefault="00000000">
      <w:pPr>
        <w:pStyle w:val="Zkladntext70"/>
        <w:framePr w:w="9816" w:h="14674" w:hRule="exact" w:wrap="none" w:vAnchor="page" w:hAnchor="page" w:x="1177" w:y="1289"/>
        <w:numPr>
          <w:ilvl w:val="1"/>
          <w:numId w:val="132"/>
        </w:numPr>
        <w:tabs>
          <w:tab w:val="left" w:pos="698"/>
          <w:tab w:val="left" w:pos="710"/>
        </w:tabs>
        <w:spacing w:line="324" w:lineRule="auto"/>
        <w:ind w:left="0"/>
        <w:jc w:val="both"/>
      </w:pPr>
      <w:r>
        <w:rPr>
          <w:i/>
          <w:iCs/>
        </w:rPr>
        <w:t>Po zahájení stavební realizace Parkovacího domu nelze od této Smlouvy odstoupit, vypovědět ji ani ji jinak</w:t>
      </w:r>
    </w:p>
    <w:p w14:paraId="48A4E379" w14:textId="77777777" w:rsidR="00EC1C40" w:rsidRDefault="00000000">
      <w:pPr>
        <w:pStyle w:val="Zkladntext70"/>
        <w:framePr w:w="9816" w:h="14674" w:hRule="exact" w:wrap="none" w:vAnchor="page" w:hAnchor="page" w:x="1177" w:y="1289"/>
        <w:spacing w:after="120" w:line="324" w:lineRule="auto"/>
        <w:ind w:left="740"/>
        <w:jc w:val="both"/>
      </w:pPr>
      <w:r>
        <w:rPr>
          <w:i/>
          <w:iCs/>
        </w:rPr>
        <w:t>jednostranně ukončit. Další důvody pro odstoupení od této smlouvy ze strany Kupujícího jsou sjednány v rámci Plánovací smlouvy, respektive dalších dohod uzavřených spolu s ní (např. dohody o úpravě vztahů).</w:t>
      </w:r>
    </w:p>
    <w:p w14:paraId="78B771D2" w14:textId="77777777" w:rsidR="00EC1C40" w:rsidRDefault="00EC1C40">
      <w:pPr>
        <w:pStyle w:val="Zkladntext70"/>
        <w:framePr w:w="9816" w:h="14674" w:hRule="exact" w:wrap="none" w:vAnchor="page" w:hAnchor="page" w:x="1177" w:y="1289"/>
        <w:numPr>
          <w:ilvl w:val="0"/>
          <w:numId w:val="125"/>
        </w:numPr>
        <w:spacing w:after="120" w:line="326" w:lineRule="auto"/>
        <w:ind w:left="0"/>
        <w:jc w:val="center"/>
      </w:pPr>
    </w:p>
    <w:p w14:paraId="30966F77" w14:textId="77777777" w:rsidR="00EC1C40" w:rsidRDefault="00000000">
      <w:pPr>
        <w:pStyle w:val="Zkladntext70"/>
        <w:framePr w:w="9816" w:h="14674" w:hRule="exact" w:wrap="none" w:vAnchor="page" w:hAnchor="page" w:x="1177" w:y="1289"/>
        <w:spacing w:line="326" w:lineRule="auto"/>
        <w:ind w:left="0"/>
        <w:jc w:val="center"/>
      </w:pPr>
      <w:r>
        <w:rPr>
          <w:b/>
          <w:bCs/>
          <w:i/>
          <w:iCs/>
        </w:rPr>
        <w:t>Ustanovení společná a závěrečná</w:t>
      </w:r>
    </w:p>
    <w:p w14:paraId="163EEA8B" w14:textId="77777777" w:rsidR="00EC1C40" w:rsidRDefault="00000000">
      <w:pPr>
        <w:pStyle w:val="Zkladntext70"/>
        <w:framePr w:w="9816" w:h="14674" w:hRule="exact" w:wrap="none" w:vAnchor="page" w:hAnchor="page" w:x="1177" w:y="1289"/>
        <w:numPr>
          <w:ilvl w:val="1"/>
          <w:numId w:val="133"/>
        </w:numPr>
        <w:tabs>
          <w:tab w:val="left" w:pos="698"/>
          <w:tab w:val="left" w:pos="715"/>
        </w:tabs>
        <w:spacing w:line="326" w:lineRule="auto"/>
        <w:ind w:left="0"/>
        <w:jc w:val="both"/>
      </w:pPr>
      <w:r>
        <w:rPr>
          <w:i/>
          <w:iCs/>
        </w:rPr>
        <w:t xml:space="preserve">Smluvní strany se dohodly, že </w:t>
      </w:r>
      <w:r>
        <w:rPr>
          <w:b/>
          <w:bCs/>
          <w:i/>
          <w:iCs/>
        </w:rPr>
        <w:t xml:space="preserve">návrh na vklad </w:t>
      </w:r>
      <w:r>
        <w:rPr>
          <w:i/>
          <w:iCs/>
        </w:rPr>
        <w:t xml:space="preserve">vlastnického práva dle této smlouvy </w:t>
      </w:r>
      <w:r>
        <w:rPr>
          <w:b/>
          <w:bCs/>
          <w:i/>
          <w:iCs/>
        </w:rPr>
        <w:t xml:space="preserve">podá Kupující </w:t>
      </w:r>
      <w:r>
        <w:rPr>
          <w:i/>
          <w:iCs/>
        </w:rPr>
        <w:t>a rovněž</w:t>
      </w:r>
    </w:p>
    <w:p w14:paraId="06B8A6D3" w14:textId="77777777" w:rsidR="00EC1C40" w:rsidRDefault="00000000">
      <w:pPr>
        <w:pStyle w:val="Zkladntext70"/>
        <w:framePr w:w="9816" w:h="14674" w:hRule="exact" w:wrap="none" w:vAnchor="page" w:hAnchor="page" w:x="1177" w:y="1289"/>
        <w:spacing w:after="240" w:line="326" w:lineRule="auto"/>
        <w:ind w:left="0" w:firstLine="740"/>
        <w:jc w:val="both"/>
      </w:pPr>
      <w:r>
        <w:rPr>
          <w:i/>
          <w:iCs/>
        </w:rPr>
        <w:t>uhradí správní poplatek za přijetí návrhu na zahájení řízení o vkladu do katastru nemovitostí.</w:t>
      </w:r>
    </w:p>
    <w:p w14:paraId="74E49556" w14:textId="77777777" w:rsidR="00EC1C40" w:rsidRDefault="00000000">
      <w:pPr>
        <w:pStyle w:val="Zkladntext70"/>
        <w:framePr w:w="9816" w:h="14674" w:hRule="exact" w:wrap="none" w:vAnchor="page" w:hAnchor="page" w:x="1177" w:y="1289"/>
        <w:numPr>
          <w:ilvl w:val="1"/>
          <w:numId w:val="133"/>
        </w:numPr>
        <w:tabs>
          <w:tab w:val="left" w:pos="698"/>
        </w:tabs>
        <w:spacing w:after="240" w:line="329" w:lineRule="auto"/>
        <w:ind w:left="740" w:hanging="740"/>
        <w:jc w:val="both"/>
      </w:pPr>
      <w:r>
        <w:rPr>
          <w:i/>
          <w:iCs/>
        </w:rPr>
        <w:t>Kupující podá návrh na vklad vlastnického práva do 10 pracovních dnů po úhradě Kupní ceny na účet Prodávajícího. O úhradě Kupní ceny vystaví Prodávající Kupujícímu potvrzení.</w:t>
      </w:r>
    </w:p>
    <w:p w14:paraId="0041F64A" w14:textId="77777777" w:rsidR="00EC1C40" w:rsidRDefault="00000000">
      <w:pPr>
        <w:pStyle w:val="Zkladntext70"/>
        <w:framePr w:w="9816" w:h="14674" w:hRule="exact" w:wrap="none" w:vAnchor="page" w:hAnchor="page" w:x="1177" w:y="1289"/>
        <w:numPr>
          <w:ilvl w:val="1"/>
          <w:numId w:val="133"/>
        </w:numPr>
        <w:tabs>
          <w:tab w:val="left" w:pos="698"/>
        </w:tabs>
        <w:spacing w:after="240" w:line="326" w:lineRule="auto"/>
        <w:ind w:left="740" w:hanging="740"/>
        <w:jc w:val="both"/>
      </w:pPr>
      <w:r>
        <w:rPr>
          <w:i/>
          <w:iCs/>
        </w:rPr>
        <w:t>Smluvní strany se zavazují učinit všechna potřebná opatření s cílem zajistit provedení zápisu vkladu vlastnického práva k Předmětu převodu do katastru nemovitostí ve prospěch Kupujícího. V případě, že příslušný katastrální úřad zašle účastníkům řízení oznámení o tom, že vklad vlastnického práva ve prospěch Kupujícího dle předložené smlouvy nelze povolit z důvodu odstranitelných vad návrhu, zavazují se smluvní strany učinit bezodkladně vše k odstranění nedostatků návrhu. V případě doručení oznámení o tom, že vklad vlastnického práva ve prospěch Kupujícího dle předložené smlouvy nelze povolit z důvodu neodstranitelných vad návrhu, zavazují se smluvní strany uzavřít bezodkladně novou kupní smlouvu na Předmět převodu za stejných podmínek a znovu podat návrh na vklad vlastnického práva ve prospěch Kupujícího, avšak tak, aby dokumenty byly bezvadné.</w:t>
      </w:r>
    </w:p>
    <w:p w14:paraId="7D9213AD" w14:textId="77777777" w:rsidR="00EC1C40" w:rsidRDefault="00000000">
      <w:pPr>
        <w:pStyle w:val="Zkladntext70"/>
        <w:framePr w:w="9816" w:h="14674" w:hRule="exact" w:wrap="none" w:vAnchor="page" w:hAnchor="page" w:x="1177" w:y="1289"/>
        <w:numPr>
          <w:ilvl w:val="1"/>
          <w:numId w:val="133"/>
        </w:numPr>
        <w:tabs>
          <w:tab w:val="left" w:pos="698"/>
        </w:tabs>
        <w:spacing w:after="240" w:line="326" w:lineRule="auto"/>
        <w:ind w:left="740" w:hanging="740"/>
        <w:jc w:val="both"/>
      </w:pPr>
      <w:r>
        <w:rPr>
          <w:b/>
          <w:bCs/>
          <w:i/>
          <w:iCs/>
        </w:rPr>
        <w:t xml:space="preserve">Tato smlouva nabývá platnosti </w:t>
      </w:r>
      <w:r>
        <w:rPr>
          <w:i/>
          <w:iCs/>
        </w:rPr>
        <w:t xml:space="preserve">dnem, který je uveden jako den podpisu té smluvní strany, která smlouvu podepíše jako poslední a </w:t>
      </w:r>
      <w:r>
        <w:rPr>
          <w:b/>
          <w:bCs/>
          <w:i/>
          <w:iCs/>
        </w:rPr>
        <w:t xml:space="preserve">účinnosti </w:t>
      </w:r>
      <w:r>
        <w:rPr>
          <w:i/>
          <w:iCs/>
        </w:rPr>
        <w:t>dnem zveřejnění smlouvy v registru smluv vedeném v souladu se zákonem č. 340/2015 Sb., o zvláštních podmínkách účinnosti některých smluv, uveřejňování těchto smluv a o registru smluv (zákon o registru smluv), v platném znění (dále jenom jako „registr smluv“) Digitální a informační agenturou.</w:t>
      </w:r>
    </w:p>
    <w:p w14:paraId="6809C6C9" w14:textId="77777777" w:rsidR="00EC1C40" w:rsidRDefault="00000000">
      <w:pPr>
        <w:pStyle w:val="Zkladntext70"/>
        <w:framePr w:w="9816" w:h="14674" w:hRule="exact" w:wrap="none" w:vAnchor="page" w:hAnchor="page" w:x="1177" w:y="1289"/>
        <w:numPr>
          <w:ilvl w:val="1"/>
          <w:numId w:val="133"/>
        </w:numPr>
        <w:tabs>
          <w:tab w:val="left" w:pos="698"/>
        </w:tabs>
        <w:spacing w:after="240" w:line="326" w:lineRule="auto"/>
        <w:ind w:left="740" w:hanging="740"/>
        <w:jc w:val="both"/>
      </w:pPr>
      <w:r>
        <w:rPr>
          <w:i/>
          <w:iCs/>
        </w:rPr>
        <w:t xml:space="preserve">Smluvní strany se dohodly, že </w:t>
      </w:r>
      <w:r>
        <w:rPr>
          <w:b/>
          <w:bCs/>
          <w:i/>
          <w:iCs/>
        </w:rPr>
        <w:t xml:space="preserve">Prodávající </w:t>
      </w:r>
      <w:r>
        <w:rPr>
          <w:i/>
          <w:iCs/>
        </w:rPr>
        <w:t>bezodkladně po uzavření této smlouvy odešle smlouvu k řádnému uveřejnění do registru smluv vedeném Digitální a informační agenturou. O uveřejnění smlouvy bude bezodkladně druhou smluvní stranu informovat. Smluvní strany berou na vědomí, že nebude-li smlouva zveřejněna ani do tří měsíců od jejího uzavření, je následujícím dnem zrušena od počátku s účinky případného bezdůvodného obohacení.</w:t>
      </w:r>
    </w:p>
    <w:p w14:paraId="5A1C0DAC" w14:textId="77777777" w:rsidR="00EC1C40" w:rsidRDefault="00000000">
      <w:pPr>
        <w:pStyle w:val="Zkladntext70"/>
        <w:framePr w:w="9816" w:h="14674" w:hRule="exact" w:wrap="none" w:vAnchor="page" w:hAnchor="page" w:x="1177" w:y="1289"/>
        <w:numPr>
          <w:ilvl w:val="1"/>
          <w:numId w:val="133"/>
        </w:numPr>
        <w:tabs>
          <w:tab w:val="left" w:pos="698"/>
          <w:tab w:val="left" w:pos="715"/>
        </w:tabs>
        <w:spacing w:after="240" w:line="326" w:lineRule="auto"/>
        <w:ind w:left="0"/>
        <w:jc w:val="both"/>
      </w:pPr>
      <w:r>
        <w:rPr>
          <w:i/>
          <w:iCs/>
        </w:rPr>
        <w:t>Smluvní strany prohlašují, že žádná část smlouvy nenaplňuje znaky obchodního tajemství.</w:t>
      </w:r>
    </w:p>
    <w:p w14:paraId="0145549B" w14:textId="77777777" w:rsidR="00EC1C40" w:rsidRDefault="00000000">
      <w:pPr>
        <w:pStyle w:val="Zkladntext70"/>
        <w:framePr w:w="9816" w:h="14674" w:hRule="exact" w:wrap="none" w:vAnchor="page" w:hAnchor="page" w:x="1177" w:y="1289"/>
        <w:numPr>
          <w:ilvl w:val="1"/>
          <w:numId w:val="133"/>
        </w:numPr>
        <w:tabs>
          <w:tab w:val="left" w:pos="698"/>
        </w:tabs>
        <w:spacing w:line="326" w:lineRule="auto"/>
        <w:ind w:left="740" w:hanging="740"/>
        <w:jc w:val="both"/>
      </w:pPr>
      <w:r>
        <w:rPr>
          <w:i/>
          <w:iCs/>
        </w:rPr>
        <w:t>Práva a povinnosti touto smlouvou výslovně neupravené se řídí příslušnými ustanoveními občanského zákoníku.</w:t>
      </w:r>
    </w:p>
    <w:p w14:paraId="5BCB7EF8" w14:textId="77777777" w:rsidR="00EC1C40" w:rsidRDefault="00000000">
      <w:pPr>
        <w:pStyle w:val="Zkladntext70"/>
        <w:framePr w:w="9816" w:h="14674" w:hRule="exact" w:wrap="none" w:vAnchor="page" w:hAnchor="page" w:x="1177" w:y="1289"/>
        <w:numPr>
          <w:ilvl w:val="1"/>
          <w:numId w:val="133"/>
        </w:numPr>
        <w:tabs>
          <w:tab w:val="left" w:pos="698"/>
          <w:tab w:val="left" w:pos="715"/>
        </w:tabs>
        <w:spacing w:line="326" w:lineRule="auto"/>
        <w:ind w:left="0"/>
        <w:jc w:val="both"/>
      </w:pPr>
      <w:r>
        <w:rPr>
          <w:i/>
          <w:iCs/>
        </w:rPr>
        <w:t>Stane-li se kterékoli ustanovení této smlouvy neplatným, neúčinným, zdánlivým nebo nevymahatelným,</w:t>
      </w:r>
    </w:p>
    <w:p w14:paraId="28D2E6EF" w14:textId="77777777" w:rsidR="00EC1C40" w:rsidRDefault="00000000">
      <w:pPr>
        <w:pStyle w:val="Zkladntext70"/>
        <w:framePr w:w="9816" w:h="14674" w:hRule="exact" w:wrap="none" w:vAnchor="page" w:hAnchor="page" w:x="1177" w:y="1289"/>
        <w:spacing w:after="240" w:line="326" w:lineRule="auto"/>
        <w:ind w:left="740"/>
        <w:jc w:val="both"/>
      </w:pPr>
      <w:r>
        <w:rPr>
          <w:i/>
          <w:iCs/>
        </w:rPr>
        <w:t>zůstává platnost, účinnost a vymahatelnost ostatních ustanovení této smlouvy neovlivněna a nedotčena, nevyplývá-li z povahy daného ustanovení, obsahu smlouvy nebo okolností, za nichž bylo toto ustanovení vytvořeno, že toto ustanovení nelze oddělit od ostatního obsahu smlouvy. V případě takové neplatnosti, neúčinnosti, zdánlivosti nebo nevymahatelnosti se smluvní strany zavazují bezodkladně, nejpozději však do devadesáti (90) dnů od doručení výzvy jedné smluvní strany druhé ze smluvních stran, v dobré víře napravit takto vzniklý stav tím způsobem, že se dohodnou na změnách, respektive doplněních této smlouvy, které jsou s ohledem na tuto neplatnost, neúčinnost, zdánlivost nebo nevymahatelnost pro splnění účelů a cílů této smlouvy nezbytná. Za tímto účelem smluvní strany zejména uzavřou příslušný dodatek k této smlouvě, kterým neplatné, neúčinné, zdánlivé nebo nevymahatelné ustanovení nahradí při maximálním respektu k právům a povinnostem, které mají být příslušným dodatkem či doplněním této smlouvy nahrazeny.</w:t>
      </w:r>
    </w:p>
    <w:p w14:paraId="3DF220E9" w14:textId="77777777" w:rsidR="00EC1C40" w:rsidRDefault="00000000">
      <w:pPr>
        <w:pStyle w:val="Zkladntext70"/>
        <w:framePr w:w="9816" w:h="14674" w:hRule="exact" w:wrap="none" w:vAnchor="page" w:hAnchor="page" w:x="1177" w:y="1289"/>
        <w:numPr>
          <w:ilvl w:val="1"/>
          <w:numId w:val="133"/>
        </w:numPr>
        <w:tabs>
          <w:tab w:val="left" w:pos="698"/>
          <w:tab w:val="left" w:pos="715"/>
        </w:tabs>
        <w:spacing w:line="326" w:lineRule="auto"/>
        <w:ind w:left="0"/>
        <w:jc w:val="both"/>
      </w:pPr>
      <w:r>
        <w:rPr>
          <w:i/>
          <w:iCs/>
        </w:rPr>
        <w:t>Stane-li se tato Smlouva jako celek neplatnou, neúčinnou, zdánlivou nebo nevymahatelnou, zavazují se</w:t>
      </w:r>
    </w:p>
    <w:p w14:paraId="0CE56C6E" w14:textId="77777777" w:rsidR="00EC1C40" w:rsidRDefault="00000000">
      <w:pPr>
        <w:pStyle w:val="Zkladntext70"/>
        <w:framePr w:w="9816" w:h="14674" w:hRule="exact" w:wrap="none" w:vAnchor="page" w:hAnchor="page" w:x="1177" w:y="1289"/>
        <w:spacing w:line="326" w:lineRule="auto"/>
        <w:ind w:left="0" w:firstLine="740"/>
        <w:jc w:val="both"/>
      </w:pPr>
      <w:r>
        <w:rPr>
          <w:i/>
          <w:iCs/>
        </w:rPr>
        <w:t>Smluvní strany bezodkladně, nejpozději však do devadesáti (90) dnů, uzavřít novou smlouvu, která se bude</w:t>
      </w:r>
    </w:p>
    <w:p w14:paraId="587D6D02" w14:textId="77777777" w:rsidR="00EC1C40" w:rsidRDefault="00000000">
      <w:pPr>
        <w:pStyle w:val="Zhlavnebozpat0"/>
        <w:framePr w:wrap="none" w:vAnchor="page" w:hAnchor="page" w:x="5516" w:y="16193"/>
      </w:pPr>
      <w:r>
        <w:rPr>
          <w:rFonts w:ascii="Arial" w:eastAsia="Arial" w:hAnsi="Arial" w:cs="Arial"/>
          <w:color w:val="231E20"/>
        </w:rPr>
        <w:t xml:space="preserve">Stránka </w:t>
      </w:r>
      <w:r>
        <w:rPr>
          <w:rFonts w:ascii="Arial" w:eastAsia="Arial" w:hAnsi="Arial" w:cs="Arial"/>
          <w:b/>
          <w:bCs/>
          <w:color w:val="231E20"/>
        </w:rPr>
        <w:t xml:space="preserve">7 </w:t>
      </w:r>
      <w:r>
        <w:rPr>
          <w:rFonts w:ascii="Arial" w:eastAsia="Arial" w:hAnsi="Arial" w:cs="Arial"/>
          <w:color w:val="231E20"/>
        </w:rPr>
        <w:t xml:space="preserve">z </w:t>
      </w:r>
      <w:r>
        <w:rPr>
          <w:rFonts w:ascii="Arial" w:eastAsia="Arial" w:hAnsi="Arial" w:cs="Arial"/>
          <w:b/>
          <w:bCs/>
          <w:color w:val="231E20"/>
        </w:rPr>
        <w:t>13</w:t>
      </w:r>
    </w:p>
    <w:p w14:paraId="5ECBD6A4"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4CF64784" w14:textId="77777777" w:rsidR="00EC1C40" w:rsidRDefault="00EC1C40">
      <w:pPr>
        <w:spacing w:line="1" w:lineRule="exact"/>
      </w:pPr>
    </w:p>
    <w:p w14:paraId="1F22690C" w14:textId="77777777" w:rsidR="00EC1C40" w:rsidRDefault="00000000">
      <w:pPr>
        <w:pStyle w:val="Zkladntext70"/>
        <w:framePr w:w="9816" w:h="10958" w:hRule="exact" w:wrap="none" w:vAnchor="page" w:hAnchor="page" w:x="1177" w:y="1289"/>
        <w:spacing w:after="220" w:line="329" w:lineRule="auto"/>
        <w:ind w:left="0"/>
        <w:jc w:val="both"/>
      </w:pPr>
      <w:r>
        <w:rPr>
          <w:i/>
          <w:iCs/>
        </w:rPr>
        <w:t>svými ustanoveními v maximální možné míře dovolené platnými a účinnými právními předpisy blížit právům a povinnostem smluvních stran upravených v této smlouvě.</w:t>
      </w:r>
    </w:p>
    <w:p w14:paraId="0624BFE3" w14:textId="77777777" w:rsidR="00EC1C40" w:rsidRDefault="00000000">
      <w:pPr>
        <w:pStyle w:val="Zkladntext70"/>
        <w:framePr w:w="9816" w:h="10958" w:hRule="exact" w:wrap="none" w:vAnchor="page" w:hAnchor="page" w:x="1177" w:y="1289"/>
        <w:numPr>
          <w:ilvl w:val="1"/>
          <w:numId w:val="133"/>
        </w:numPr>
        <w:tabs>
          <w:tab w:val="left" w:pos="704"/>
          <w:tab w:val="left" w:pos="715"/>
        </w:tabs>
        <w:spacing w:line="326" w:lineRule="auto"/>
        <w:ind w:left="0"/>
        <w:jc w:val="both"/>
      </w:pPr>
      <w:r>
        <w:rPr>
          <w:i/>
          <w:iCs/>
        </w:rPr>
        <w:t>Tato Smlouva a veškeré smluvní a mimosmluvní závazky vzniklé z ní nebo v souvislosti s ní se řídí právním</w:t>
      </w:r>
    </w:p>
    <w:p w14:paraId="4AE228BA" w14:textId="77777777" w:rsidR="00EC1C40" w:rsidRDefault="00000000">
      <w:pPr>
        <w:pStyle w:val="Zkladntext70"/>
        <w:framePr w:w="9816" w:h="10958" w:hRule="exact" w:wrap="none" w:vAnchor="page" w:hAnchor="page" w:x="1177" w:y="1289"/>
        <w:spacing w:after="280" w:line="326" w:lineRule="auto"/>
        <w:ind w:left="0" w:firstLine="720"/>
        <w:jc w:val="both"/>
      </w:pPr>
      <w:r>
        <w:rPr>
          <w:i/>
          <w:iCs/>
        </w:rPr>
        <w:t>řádem České republiky a je vykládána v souladu s ním. Tato Smlouva je smlouvou soukromoprávní povahy.</w:t>
      </w:r>
    </w:p>
    <w:p w14:paraId="6141496D" w14:textId="77777777" w:rsidR="00EC1C40" w:rsidRDefault="00000000">
      <w:pPr>
        <w:pStyle w:val="Zkladntext70"/>
        <w:framePr w:w="9816" w:h="10958" w:hRule="exact" w:wrap="none" w:vAnchor="page" w:hAnchor="page" w:x="1177" w:y="1289"/>
        <w:numPr>
          <w:ilvl w:val="1"/>
          <w:numId w:val="133"/>
        </w:numPr>
        <w:tabs>
          <w:tab w:val="left" w:pos="704"/>
        </w:tabs>
        <w:spacing w:after="220" w:line="326" w:lineRule="auto"/>
        <w:ind w:left="720" w:hanging="720"/>
        <w:jc w:val="both"/>
      </w:pPr>
      <w:r>
        <w:rPr>
          <w:i/>
          <w:iCs/>
        </w:rPr>
        <w:t>Smluvní strany nad rámec ustanovení Občanského zákoníku, která se neaplikují na právní vztah založený touto Smlouvou v důsledku odchylné dohody Smluvních stran, dále vylučují aplikaci § 558 odst. 2 (v rozsahu, v jakém stanoví, že obchodní zvyklost má přednost před ustanovením zákona, jež nemá donucující účinky), § 1727, § 1735, § 1737, § 1740 odst. 3, § 1748 Občanského zákoníku na právní vztah založený touto Smlouvou.</w:t>
      </w:r>
    </w:p>
    <w:p w14:paraId="20AABCFB" w14:textId="77777777" w:rsidR="00EC1C40" w:rsidRDefault="00000000">
      <w:pPr>
        <w:pStyle w:val="Zkladntext70"/>
        <w:framePr w:w="9816" w:h="10958" w:hRule="exact" w:wrap="none" w:vAnchor="page" w:hAnchor="page" w:x="1177" w:y="1289"/>
        <w:numPr>
          <w:ilvl w:val="1"/>
          <w:numId w:val="133"/>
        </w:numPr>
        <w:tabs>
          <w:tab w:val="left" w:pos="704"/>
        </w:tabs>
        <w:spacing w:after="220" w:line="324" w:lineRule="auto"/>
        <w:ind w:left="720" w:hanging="720"/>
        <w:jc w:val="both"/>
      </w:pPr>
      <w:r>
        <w:rPr>
          <w:i/>
          <w:iCs/>
        </w:rPr>
        <w:t>Smluvní strany se zavazují, že nebudou činit žádná jednání, která by jakkoli ohrozila či mohla ohrozit plnění této smlouvy a/nebo naplnění účelů této Smlouvy.</w:t>
      </w:r>
    </w:p>
    <w:p w14:paraId="5120AF9E" w14:textId="77777777" w:rsidR="00EC1C40" w:rsidRDefault="00000000">
      <w:pPr>
        <w:pStyle w:val="Zkladntext70"/>
        <w:framePr w:w="9816" w:h="10958" w:hRule="exact" w:wrap="none" w:vAnchor="page" w:hAnchor="page" w:x="1177" w:y="1289"/>
        <w:numPr>
          <w:ilvl w:val="1"/>
          <w:numId w:val="133"/>
        </w:numPr>
        <w:tabs>
          <w:tab w:val="left" w:pos="704"/>
        </w:tabs>
        <w:spacing w:after="220" w:line="326" w:lineRule="auto"/>
        <w:ind w:left="0"/>
        <w:jc w:val="both"/>
      </w:pPr>
      <w:r>
        <w:rPr>
          <w:i/>
          <w:iCs/>
        </w:rPr>
        <w:t>Smluvní strany (každá ze smluvních stran) na sebe přebírají nebezpečí změny okolností.</w:t>
      </w:r>
    </w:p>
    <w:p w14:paraId="6DFE1058" w14:textId="77777777" w:rsidR="00EC1C40" w:rsidRDefault="00000000">
      <w:pPr>
        <w:pStyle w:val="Zkladntext70"/>
        <w:framePr w:w="9816" w:h="10958" w:hRule="exact" w:wrap="none" w:vAnchor="page" w:hAnchor="page" w:x="1177" w:y="1289"/>
        <w:numPr>
          <w:ilvl w:val="1"/>
          <w:numId w:val="133"/>
        </w:numPr>
        <w:tabs>
          <w:tab w:val="left" w:pos="704"/>
        </w:tabs>
        <w:spacing w:after="220" w:line="326" w:lineRule="auto"/>
        <w:ind w:left="720" w:hanging="720"/>
        <w:jc w:val="both"/>
      </w:pPr>
      <w:r>
        <w:rPr>
          <w:i/>
          <w:iCs/>
        </w:rPr>
        <w:t>Tato smlouva je zcela nezávislá na jiných smlouvách, dohodách či prohlášeních, byť by byly uzavřeny současně a/nebo v souvislosti s touto smlouvou, není-li v nich a/nebo v této smlouvě výslovně stanoveno jinak; i v takovém případě je však tato smlouva závislá na jiných takových dohodách, smlouvách a prohlášeních výhradně způsobem v nich a/nebo v této smlouvě uvedeným.</w:t>
      </w:r>
    </w:p>
    <w:p w14:paraId="46C5F8E7" w14:textId="77777777" w:rsidR="00EC1C40" w:rsidRDefault="00000000">
      <w:pPr>
        <w:pStyle w:val="Zkladntext70"/>
        <w:framePr w:w="9816" w:h="10958" w:hRule="exact" w:wrap="none" w:vAnchor="page" w:hAnchor="page" w:x="1177" w:y="1289"/>
        <w:numPr>
          <w:ilvl w:val="1"/>
          <w:numId w:val="133"/>
        </w:numPr>
        <w:tabs>
          <w:tab w:val="left" w:pos="704"/>
          <w:tab w:val="left" w:pos="715"/>
        </w:tabs>
        <w:spacing w:line="326" w:lineRule="auto"/>
        <w:ind w:left="0"/>
        <w:jc w:val="both"/>
      </w:pPr>
      <w:r>
        <w:rPr>
          <w:i/>
          <w:iCs/>
        </w:rPr>
        <w:t>Tuto smlouvu lze měnit pouze po dohodě obou smluvních stran a pouze formou písemných dodatků. Jinou</w:t>
      </w:r>
    </w:p>
    <w:p w14:paraId="33EA965A" w14:textId="77777777" w:rsidR="00EC1C40" w:rsidRDefault="00000000">
      <w:pPr>
        <w:pStyle w:val="Zkladntext70"/>
        <w:framePr w:w="9816" w:h="10958" w:hRule="exact" w:wrap="none" w:vAnchor="page" w:hAnchor="page" w:x="1177" w:y="1289"/>
        <w:spacing w:after="220" w:line="326" w:lineRule="auto"/>
        <w:ind w:left="0" w:firstLine="720"/>
        <w:jc w:val="both"/>
      </w:pPr>
      <w:r>
        <w:rPr>
          <w:i/>
          <w:iCs/>
        </w:rPr>
        <w:t>formou nežli písemnou, tuto smlouvu měnit nelze.</w:t>
      </w:r>
    </w:p>
    <w:p w14:paraId="4996CBC4" w14:textId="77777777" w:rsidR="00EC1C40" w:rsidRDefault="00000000">
      <w:pPr>
        <w:pStyle w:val="Zkladntext70"/>
        <w:framePr w:w="9816" w:h="10958" w:hRule="exact" w:wrap="none" w:vAnchor="page" w:hAnchor="page" w:x="1177" w:y="1289"/>
        <w:numPr>
          <w:ilvl w:val="1"/>
          <w:numId w:val="133"/>
        </w:numPr>
        <w:tabs>
          <w:tab w:val="left" w:pos="704"/>
        </w:tabs>
        <w:spacing w:after="220" w:line="326" w:lineRule="auto"/>
        <w:ind w:left="720" w:hanging="720"/>
        <w:jc w:val="both"/>
      </w:pPr>
      <w:r>
        <w:rPr>
          <w:i/>
          <w:iCs/>
        </w:rPr>
        <w:t xml:space="preserve">Smlouva je sepsána ve </w:t>
      </w:r>
      <w:r>
        <w:rPr>
          <w:b/>
          <w:bCs/>
          <w:i/>
          <w:iCs/>
        </w:rPr>
        <w:t>5 vyhotoveních</w:t>
      </w:r>
      <w:r>
        <w:rPr>
          <w:i/>
          <w:iCs/>
        </w:rPr>
        <w:t>, z nichž Kupující obdrží 2 vyhotovení, z toho 1 vyhotovení s úředně ověřenými podpisy Kupujícího. Prodávající si ponechá po podpisu smluvních stran 3 vyhotovení smlouvy, z toho 1 vyhotovení s úředně ověřeným podpisem Kupujícího. Smluvní strany se zavazují společně s touto smlouvou podepsat také 2 vyhotovení návrhu na vklad vlastnického práva k Předmětu převodu do Katastru nemovitostí.</w:t>
      </w:r>
    </w:p>
    <w:p w14:paraId="39140C93" w14:textId="77777777" w:rsidR="00EC1C40" w:rsidRDefault="00000000">
      <w:pPr>
        <w:pStyle w:val="Zkladntext70"/>
        <w:framePr w:w="9816" w:h="10958" w:hRule="exact" w:wrap="none" w:vAnchor="page" w:hAnchor="page" w:x="1177" w:y="1289"/>
        <w:numPr>
          <w:ilvl w:val="1"/>
          <w:numId w:val="133"/>
        </w:numPr>
        <w:tabs>
          <w:tab w:val="left" w:pos="704"/>
        </w:tabs>
        <w:spacing w:after="220" w:line="324" w:lineRule="auto"/>
        <w:ind w:left="720" w:hanging="720"/>
        <w:jc w:val="both"/>
      </w:pPr>
      <w:r>
        <w:rPr>
          <w:i/>
          <w:iCs/>
        </w:rPr>
        <w:t>Obě strany této smlouvy prohlašují, že tato smlouva byla sepsána na základě jejich pravé a svobodné vůle a na důkaz souhlasu s jejím obsahem připojují své podpisy.</w:t>
      </w:r>
    </w:p>
    <w:p w14:paraId="51332C3B" w14:textId="77777777" w:rsidR="00EC1C40" w:rsidRDefault="00000000">
      <w:pPr>
        <w:pStyle w:val="Zkladntext70"/>
        <w:framePr w:w="9816" w:h="10958" w:hRule="exact" w:wrap="none" w:vAnchor="page" w:hAnchor="page" w:x="1177" w:y="1289"/>
        <w:spacing w:line="312" w:lineRule="auto"/>
        <w:ind w:left="0" w:firstLine="300"/>
        <w:jc w:val="both"/>
        <w:rPr>
          <w:sz w:val="17"/>
          <w:szCs w:val="17"/>
        </w:rPr>
      </w:pPr>
      <w:r>
        <w:rPr>
          <w:i/>
          <w:iCs/>
          <w:sz w:val="17"/>
          <w:szCs w:val="17"/>
        </w:rPr>
        <w:t xml:space="preserve">Schvalovací doložka dle </w:t>
      </w:r>
      <w:proofErr w:type="spellStart"/>
      <w:r>
        <w:rPr>
          <w:i/>
          <w:iCs/>
          <w:sz w:val="17"/>
          <w:szCs w:val="17"/>
        </w:rPr>
        <w:t>ust</w:t>
      </w:r>
      <w:proofErr w:type="spellEnd"/>
      <w:r>
        <w:rPr>
          <w:i/>
          <w:iCs/>
          <w:sz w:val="17"/>
          <w:szCs w:val="17"/>
        </w:rPr>
        <w:t>. § 41 zák. č. 128/2000 Sb., o obcích</w:t>
      </w:r>
    </w:p>
    <w:p w14:paraId="3334C28E" w14:textId="77777777" w:rsidR="00EC1C40" w:rsidRDefault="00000000">
      <w:pPr>
        <w:pStyle w:val="Zkladntext70"/>
        <w:framePr w:w="9816" w:h="10958" w:hRule="exact" w:wrap="none" w:vAnchor="page" w:hAnchor="page" w:x="1177" w:y="1289"/>
        <w:tabs>
          <w:tab w:val="left" w:leader="dot" w:pos="1730"/>
          <w:tab w:val="left" w:leader="dot" w:pos="2172"/>
          <w:tab w:val="left" w:leader="dot" w:pos="3137"/>
        </w:tabs>
        <w:spacing w:line="312" w:lineRule="auto"/>
        <w:ind w:left="300"/>
        <w:jc w:val="both"/>
        <w:rPr>
          <w:sz w:val="17"/>
          <w:szCs w:val="17"/>
        </w:rPr>
      </w:pPr>
      <w:r>
        <w:rPr>
          <w:i/>
          <w:iCs/>
          <w:sz w:val="17"/>
          <w:szCs w:val="17"/>
        </w:rPr>
        <w:t xml:space="preserve">schváleno usnesením Zastupitelstva města Pardubic č. usnesení: </w:t>
      </w:r>
      <w:r>
        <w:rPr>
          <w:b/>
          <w:bCs/>
          <w:i/>
          <w:iCs/>
          <w:sz w:val="17"/>
          <w:szCs w:val="17"/>
        </w:rPr>
        <w:t>Z/.</w:t>
      </w:r>
      <w:r>
        <w:rPr>
          <w:b/>
          <w:bCs/>
          <w:i/>
          <w:iCs/>
          <w:sz w:val="17"/>
          <w:szCs w:val="17"/>
        </w:rPr>
        <w:tab/>
        <w:t>/.</w:t>
      </w:r>
      <w:r>
        <w:rPr>
          <w:b/>
          <w:bCs/>
          <w:i/>
          <w:iCs/>
          <w:sz w:val="17"/>
          <w:szCs w:val="17"/>
        </w:rPr>
        <w:tab/>
      </w:r>
      <w:r>
        <w:rPr>
          <w:i/>
          <w:iCs/>
          <w:sz w:val="17"/>
          <w:szCs w:val="17"/>
        </w:rPr>
        <w:t>ze dne</w:t>
      </w:r>
      <w:r>
        <w:rPr>
          <w:i/>
          <w:iCs/>
          <w:sz w:val="17"/>
          <w:szCs w:val="17"/>
        </w:rPr>
        <w:tab/>
      </w:r>
    </w:p>
    <w:p w14:paraId="0A188360" w14:textId="77777777" w:rsidR="00EC1C40" w:rsidRDefault="00000000">
      <w:pPr>
        <w:pStyle w:val="Zkladntext70"/>
        <w:framePr w:w="9816" w:h="10958" w:hRule="exact" w:wrap="none" w:vAnchor="page" w:hAnchor="page" w:x="1177" w:y="1289"/>
        <w:spacing w:line="312" w:lineRule="auto"/>
        <w:ind w:left="300"/>
        <w:jc w:val="both"/>
        <w:rPr>
          <w:sz w:val="17"/>
          <w:szCs w:val="17"/>
        </w:rPr>
      </w:pPr>
      <w:r>
        <w:rPr>
          <w:i/>
          <w:iCs/>
          <w:sz w:val="17"/>
          <w:szCs w:val="17"/>
        </w:rPr>
        <w:t>Záměr byl zveřejněn na úřední desce a elektronické úřední desce Magistrátu</w:t>
      </w:r>
    </w:p>
    <w:p w14:paraId="6974BFC8" w14:textId="77777777" w:rsidR="00EC1C40" w:rsidRDefault="00000000">
      <w:pPr>
        <w:pStyle w:val="Zkladntext70"/>
        <w:framePr w:w="9816" w:h="10958" w:hRule="exact" w:wrap="none" w:vAnchor="page" w:hAnchor="page" w:x="1177" w:y="1289"/>
        <w:spacing w:line="312" w:lineRule="auto"/>
        <w:ind w:left="300"/>
        <w:jc w:val="both"/>
        <w:rPr>
          <w:sz w:val="17"/>
          <w:szCs w:val="17"/>
        </w:rPr>
      </w:pPr>
      <w:r>
        <w:rPr>
          <w:i/>
          <w:iCs/>
          <w:sz w:val="17"/>
          <w:szCs w:val="17"/>
        </w:rPr>
        <w:t>města Pardubic:</w:t>
      </w:r>
    </w:p>
    <w:p w14:paraId="3EEE478E" w14:textId="77777777" w:rsidR="00EC1C40" w:rsidRDefault="00000000">
      <w:pPr>
        <w:pStyle w:val="Zkladntext70"/>
        <w:framePr w:w="9816" w:h="10958" w:hRule="exact" w:wrap="none" w:vAnchor="page" w:hAnchor="page" w:x="1177" w:y="1289"/>
        <w:spacing w:line="312" w:lineRule="auto"/>
        <w:ind w:left="300"/>
        <w:jc w:val="both"/>
        <w:rPr>
          <w:sz w:val="17"/>
          <w:szCs w:val="17"/>
        </w:rPr>
      </w:pPr>
      <w:r>
        <w:rPr>
          <w:i/>
          <w:iCs/>
          <w:sz w:val="17"/>
          <w:szCs w:val="17"/>
        </w:rPr>
        <w:t>vyvěšeno dne:</w:t>
      </w:r>
    </w:p>
    <w:p w14:paraId="563BDBA4" w14:textId="77777777" w:rsidR="00EC1C40" w:rsidRDefault="00000000">
      <w:pPr>
        <w:pStyle w:val="Zkladntext70"/>
        <w:framePr w:w="9816" w:h="10958" w:hRule="exact" w:wrap="none" w:vAnchor="page" w:hAnchor="page" w:x="1177" w:y="1289"/>
        <w:spacing w:line="312" w:lineRule="auto"/>
        <w:ind w:left="0" w:firstLine="300"/>
        <w:jc w:val="both"/>
        <w:rPr>
          <w:sz w:val="17"/>
          <w:szCs w:val="17"/>
        </w:rPr>
      </w:pPr>
      <w:r>
        <w:rPr>
          <w:i/>
          <w:iCs/>
          <w:sz w:val="17"/>
          <w:szCs w:val="17"/>
        </w:rPr>
        <w:t>svěšeno dne</w:t>
      </w:r>
    </w:p>
    <w:p w14:paraId="5166003D" w14:textId="77777777" w:rsidR="00EC1C40" w:rsidRDefault="00000000">
      <w:pPr>
        <w:pStyle w:val="Zkladntext70"/>
        <w:framePr w:wrap="none" w:vAnchor="page" w:hAnchor="page" w:x="1177" w:y="12626"/>
        <w:spacing w:line="240" w:lineRule="auto"/>
        <w:ind w:left="0"/>
        <w:jc w:val="both"/>
      </w:pPr>
      <w:r>
        <w:rPr>
          <w:i/>
          <w:iCs/>
        </w:rPr>
        <w:t>V Pardubicích</w:t>
      </w:r>
    </w:p>
    <w:p w14:paraId="5123FFF2" w14:textId="77777777" w:rsidR="00EC1C40" w:rsidRDefault="00000000">
      <w:pPr>
        <w:pStyle w:val="Zkladntext70"/>
        <w:framePr w:wrap="none" w:vAnchor="page" w:hAnchor="page" w:x="1177" w:y="14311"/>
        <w:spacing w:line="240" w:lineRule="auto"/>
        <w:ind w:left="0" w:right="6994" w:firstLine="440"/>
        <w:jc w:val="both"/>
      </w:pPr>
      <w:r>
        <w:rPr>
          <w:i/>
          <w:iCs/>
        </w:rPr>
        <w:t>Statutární město Pardubice</w:t>
      </w:r>
    </w:p>
    <w:p w14:paraId="6D1ED44F" w14:textId="77777777" w:rsidR="00EC1C40" w:rsidRDefault="00000000">
      <w:pPr>
        <w:pStyle w:val="Zkladntext70"/>
        <w:framePr w:wrap="none" w:vAnchor="page" w:hAnchor="page" w:x="7657" w:y="14311"/>
        <w:spacing w:line="240" w:lineRule="auto"/>
        <w:ind w:left="0"/>
      </w:pPr>
      <w:r>
        <w:rPr>
          <w:b/>
          <w:bCs/>
          <w:i/>
          <w:iCs/>
        </w:rPr>
        <w:t>MHAP s.r.o.</w:t>
      </w:r>
    </w:p>
    <w:p w14:paraId="52C3BC08" w14:textId="77777777" w:rsidR="00EC1C40" w:rsidRDefault="00000000">
      <w:pPr>
        <w:pStyle w:val="Zkladntext70"/>
        <w:framePr w:wrap="none" w:vAnchor="page" w:hAnchor="page" w:x="1177" w:y="14589"/>
        <w:spacing w:line="240" w:lineRule="auto"/>
        <w:ind w:left="6500"/>
        <w:jc w:val="both"/>
      </w:pPr>
      <w:r>
        <w:rPr>
          <w:i/>
          <w:iCs/>
        </w:rPr>
        <w:t>Petr Dědek</w:t>
      </w:r>
    </w:p>
    <w:p w14:paraId="3A1156F3" w14:textId="77777777" w:rsidR="00EC1C40" w:rsidRDefault="00000000">
      <w:pPr>
        <w:pStyle w:val="Zkladntext70"/>
        <w:framePr w:wrap="none" w:vAnchor="page" w:hAnchor="page" w:x="1177" w:y="14873"/>
        <w:spacing w:line="240" w:lineRule="auto"/>
        <w:ind w:left="0" w:right="8021" w:firstLine="440"/>
        <w:jc w:val="both"/>
      </w:pPr>
      <w:r>
        <w:rPr>
          <w:i/>
          <w:iCs/>
        </w:rPr>
        <w:t>Primátor města</w:t>
      </w:r>
    </w:p>
    <w:p w14:paraId="46416C2A" w14:textId="77777777" w:rsidR="00EC1C40" w:rsidRDefault="00000000">
      <w:pPr>
        <w:pStyle w:val="Zkladntext70"/>
        <w:framePr w:wrap="none" w:vAnchor="page" w:hAnchor="page" w:x="7628" w:y="14873"/>
        <w:spacing w:line="240" w:lineRule="auto"/>
        <w:ind w:left="0"/>
      </w:pPr>
      <w:r>
        <w:rPr>
          <w:i/>
          <w:iCs/>
        </w:rPr>
        <w:t>jednatel</w:t>
      </w:r>
    </w:p>
    <w:p w14:paraId="56DF5076" w14:textId="77777777" w:rsidR="00EC1C40" w:rsidRDefault="00EC1C40">
      <w:pPr>
        <w:pStyle w:val="Zkladntext110"/>
        <w:framePr w:w="9816" w:h="250" w:hRule="exact" w:wrap="none" w:vAnchor="page" w:hAnchor="page" w:x="1177" w:y="15765"/>
        <w:numPr>
          <w:ilvl w:val="0"/>
          <w:numId w:val="134"/>
        </w:numPr>
        <w:spacing w:after="0" w:line="240" w:lineRule="auto"/>
        <w:jc w:val="center"/>
      </w:pPr>
    </w:p>
    <w:p w14:paraId="501EAA77" w14:textId="77777777" w:rsidR="00EC1C40" w:rsidRDefault="00000000">
      <w:pPr>
        <w:pStyle w:val="Zhlavnebozpat0"/>
        <w:framePr w:wrap="none" w:vAnchor="page" w:hAnchor="page" w:x="5506" w:y="16193"/>
      </w:pPr>
      <w:r>
        <w:rPr>
          <w:rFonts w:ascii="Arial" w:eastAsia="Arial" w:hAnsi="Arial" w:cs="Arial"/>
          <w:color w:val="231E20"/>
        </w:rPr>
        <w:t xml:space="preserve">Stránka </w:t>
      </w:r>
      <w:r>
        <w:rPr>
          <w:rFonts w:ascii="Arial" w:eastAsia="Arial" w:hAnsi="Arial" w:cs="Arial"/>
          <w:b/>
          <w:bCs/>
          <w:color w:val="231E20"/>
        </w:rPr>
        <w:t xml:space="preserve">8 </w:t>
      </w:r>
      <w:r>
        <w:rPr>
          <w:rFonts w:ascii="Arial" w:eastAsia="Arial" w:hAnsi="Arial" w:cs="Arial"/>
          <w:color w:val="231E20"/>
        </w:rPr>
        <w:t xml:space="preserve">z </w:t>
      </w:r>
      <w:r>
        <w:rPr>
          <w:rFonts w:ascii="Arial" w:eastAsia="Arial" w:hAnsi="Arial" w:cs="Arial"/>
          <w:b/>
          <w:bCs/>
          <w:color w:val="231E20"/>
        </w:rPr>
        <w:t>13</w:t>
      </w:r>
    </w:p>
    <w:p w14:paraId="437E6AC7"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63D31C13" w14:textId="77777777" w:rsidR="00EC1C40" w:rsidRDefault="00EC1C40">
      <w:pPr>
        <w:spacing w:line="1" w:lineRule="exact"/>
      </w:pPr>
    </w:p>
    <w:p w14:paraId="34E8DF31" w14:textId="77777777" w:rsidR="00EC1C40" w:rsidRDefault="00000000">
      <w:pPr>
        <w:pStyle w:val="Zkladntext110"/>
        <w:framePr w:w="9802" w:h="14765" w:hRule="exact" w:wrap="none" w:vAnchor="page" w:hAnchor="page" w:x="1184" w:y="1171"/>
        <w:numPr>
          <w:ilvl w:val="1"/>
          <w:numId w:val="135"/>
        </w:numPr>
        <w:tabs>
          <w:tab w:val="left" w:pos="576"/>
        </w:tabs>
        <w:spacing w:after="100" w:line="276" w:lineRule="auto"/>
        <w:jc w:val="both"/>
      </w:pPr>
      <w:r>
        <w:rPr>
          <w:i w:val="0"/>
          <w:iCs w:val="0"/>
          <w:color w:val="231E20"/>
        </w:rPr>
        <w:t>Kupní smlouva mezi smluvními stranami bude uzavřena za splnění následujících podmínek:</w:t>
      </w:r>
    </w:p>
    <w:p w14:paraId="64C72FEB" w14:textId="77777777" w:rsidR="00EC1C40" w:rsidRDefault="00000000">
      <w:pPr>
        <w:pStyle w:val="Zkladntext110"/>
        <w:framePr w:w="9802" w:h="14765" w:hRule="exact" w:wrap="none" w:vAnchor="page" w:hAnchor="page" w:x="1184" w:y="1171"/>
        <w:numPr>
          <w:ilvl w:val="2"/>
          <w:numId w:val="135"/>
        </w:numPr>
        <w:tabs>
          <w:tab w:val="left" w:pos="1282"/>
        </w:tabs>
        <w:spacing w:after="100" w:line="276" w:lineRule="auto"/>
        <w:ind w:left="1280" w:hanging="700"/>
        <w:jc w:val="both"/>
      </w:pPr>
      <w:r>
        <w:rPr>
          <w:i w:val="0"/>
          <w:iCs w:val="0"/>
          <w:color w:val="231E20"/>
        </w:rPr>
        <w:t xml:space="preserve">budoucí kupující se zavazuje, že doloží souhlasné stanovisko státního podniku Ředitelství silnic a dálnic </w:t>
      </w:r>
      <w:proofErr w:type="spellStart"/>
      <w:r>
        <w:rPr>
          <w:i w:val="0"/>
          <w:iCs w:val="0"/>
          <w:color w:val="231E20"/>
        </w:rPr>
        <w:t>s.p</w:t>
      </w:r>
      <w:proofErr w:type="spellEnd"/>
      <w:r>
        <w:rPr>
          <w:i w:val="0"/>
          <w:iCs w:val="0"/>
          <w:color w:val="231E20"/>
        </w:rPr>
        <w:t>., IČO 659 93 390, se sídlem Čerčanská 2023/12, Krč, 140 00 Praha 4, se záměrem dopravního napojení Dopravního záměru na stávající silnici I/36.</w:t>
      </w:r>
    </w:p>
    <w:p w14:paraId="48863166" w14:textId="77777777" w:rsidR="00EC1C40" w:rsidRDefault="00000000">
      <w:pPr>
        <w:pStyle w:val="Zkladntext110"/>
        <w:framePr w:w="9802" w:h="14765" w:hRule="exact" w:wrap="none" w:vAnchor="page" w:hAnchor="page" w:x="1184" w:y="1171"/>
        <w:numPr>
          <w:ilvl w:val="1"/>
          <w:numId w:val="135"/>
        </w:numPr>
        <w:tabs>
          <w:tab w:val="left" w:pos="576"/>
        </w:tabs>
        <w:spacing w:after="100" w:line="276" w:lineRule="auto"/>
        <w:ind w:left="580" w:hanging="580"/>
        <w:jc w:val="both"/>
      </w:pPr>
      <w:r>
        <w:rPr>
          <w:i w:val="0"/>
          <w:iCs w:val="0"/>
          <w:color w:val="231E20"/>
        </w:rPr>
        <w:t>K uzavření Kupní smlouvy je oprávněn vyzvat, není-li dále stanoveno jinak, výhradně budoucí kupující, a to prostřednictvím výzvy doručené budoucímu prodávajícímu. Budoucí kupující je oprávněn výzvu k uzavření Kupní smlouvy doručit budoucímu prodávajícímu kdykoli po splnění předpokladu uvedeného v čl. 5.1. smlouvy, nejpozději však k poslednímu dni trvání této smlouvy. Spolu s výzvou k uzavření Kupní smlouvy doručí budoucí kupující budoucímu prodávajícímu znění Kupní smlouvy odpovídající vzorovému znění dle této smlouvy a příslušný geometrický plán k dělení pozemků, kterým bude vymezen předmět převodu dle Kupní smlouvy, pokud jej budoucímu prodávajícímu nepředal již dříve. Budoucí prodávající je oprávněn vyzvat k uzavření Kupní smlouvy výhradně až poté, co (i) bude splněn předpoklad uvedený v čl. 5.1. smlouvy a současně poté, co (</w:t>
      </w:r>
      <w:proofErr w:type="spellStart"/>
      <w:r>
        <w:rPr>
          <w:i w:val="0"/>
          <w:iCs w:val="0"/>
          <w:color w:val="231E20"/>
        </w:rPr>
        <w:t>ii</w:t>
      </w:r>
      <w:proofErr w:type="spellEnd"/>
      <w:r>
        <w:rPr>
          <w:i w:val="0"/>
          <w:iCs w:val="0"/>
          <w:color w:val="231E20"/>
        </w:rPr>
        <w:t>) nabyde platnosti, účinnosti a právních účinků Změna ÚP Hůrka a Změna ÚS Hůrka (jak jsou tyto pojmy definovány v Plánovací smlouvě) a (</w:t>
      </w:r>
      <w:proofErr w:type="spellStart"/>
      <w:r>
        <w:rPr>
          <w:i w:val="0"/>
          <w:iCs w:val="0"/>
          <w:color w:val="231E20"/>
        </w:rPr>
        <w:t>iii</w:t>
      </w:r>
      <w:proofErr w:type="spellEnd"/>
      <w:r>
        <w:rPr>
          <w:i w:val="0"/>
          <w:iCs w:val="0"/>
          <w:color w:val="231E20"/>
        </w:rPr>
        <w:t>) nabyde právní moci Povolení záměru (jak je tento pojem definován v Plánovací smlouvě); k výzvě budoucího prodávajícího před splněním těchto předpokladů se nepřihlíží a nemá právní účinky.</w:t>
      </w:r>
    </w:p>
    <w:p w14:paraId="5F21E687" w14:textId="77777777" w:rsidR="00EC1C40" w:rsidRDefault="00000000">
      <w:pPr>
        <w:pStyle w:val="Zkladntext110"/>
        <w:framePr w:w="9802" w:h="14765" w:hRule="exact" w:wrap="none" w:vAnchor="page" w:hAnchor="page" w:x="1184" w:y="1171"/>
        <w:numPr>
          <w:ilvl w:val="1"/>
          <w:numId w:val="135"/>
        </w:numPr>
        <w:tabs>
          <w:tab w:val="left" w:pos="576"/>
        </w:tabs>
        <w:spacing w:after="100" w:line="276" w:lineRule="auto"/>
        <w:ind w:left="580" w:hanging="580"/>
        <w:jc w:val="both"/>
      </w:pPr>
      <w:r>
        <w:rPr>
          <w:i w:val="0"/>
          <w:iCs w:val="0"/>
          <w:color w:val="231E20"/>
        </w:rPr>
        <w:t>Smluvní strany jsou povinny uzavřít Kupní smlouvu do pěti (5) měsíců od doručení oprávněné výzvy k uzavření Kupní smlouvy druhé smluvní straně dle čl. 5.2. smlouvy.</w:t>
      </w:r>
    </w:p>
    <w:p w14:paraId="3295A608" w14:textId="77777777" w:rsidR="00EC1C40" w:rsidRDefault="00000000">
      <w:pPr>
        <w:pStyle w:val="Zkladntext110"/>
        <w:framePr w:w="9802" w:h="14765" w:hRule="exact" w:wrap="none" w:vAnchor="page" w:hAnchor="page" w:x="1184" w:y="1171"/>
        <w:numPr>
          <w:ilvl w:val="1"/>
          <w:numId w:val="135"/>
        </w:numPr>
        <w:tabs>
          <w:tab w:val="left" w:pos="576"/>
        </w:tabs>
        <w:spacing w:after="100" w:line="276" w:lineRule="auto"/>
        <w:ind w:left="580" w:hanging="580"/>
        <w:jc w:val="both"/>
      </w:pPr>
      <w:r>
        <w:rPr>
          <w:i w:val="0"/>
          <w:iCs w:val="0"/>
          <w:color w:val="231E20"/>
        </w:rPr>
        <w:t>Budoucí kupující se zavazuje respektovat a neznemožnit záměry budoucího prodávajícího v lokalitě Hůrka, pokud budou v souladu se ÚS Hůrka (jak je tento pojem definován v Plánovací smlouvě).</w:t>
      </w:r>
    </w:p>
    <w:p w14:paraId="320F4458" w14:textId="77777777" w:rsidR="00EC1C40" w:rsidRDefault="00000000">
      <w:pPr>
        <w:pStyle w:val="Zkladntext110"/>
        <w:framePr w:w="9802" w:h="14765" w:hRule="exact" w:wrap="none" w:vAnchor="page" w:hAnchor="page" w:x="1184" w:y="1171"/>
        <w:numPr>
          <w:ilvl w:val="1"/>
          <w:numId w:val="135"/>
        </w:numPr>
        <w:tabs>
          <w:tab w:val="left" w:pos="576"/>
        </w:tabs>
        <w:spacing w:after="100" w:line="276" w:lineRule="auto"/>
        <w:ind w:left="580" w:hanging="580"/>
        <w:jc w:val="both"/>
      </w:pPr>
      <w:r>
        <w:rPr>
          <w:i w:val="0"/>
          <w:iCs w:val="0"/>
          <w:color w:val="231E20"/>
        </w:rPr>
        <w:t>Geometrický plán zajistí budoucí kupující. Budoucí kupující rovněž zajistí příslušný souhlas s dělením pozemků, které budou předmětem převodu dle Kupní smlouvy. Budoucí prodávající poskytne budoucímu kupujícímu veškerou potřebnou součinnost k přípravě geometrického plánu a k vydání rozhodnutí o dělení pozemků, jakož i další součinnost nezbytnou pro uzavření a splnění Kupní smlouvy, včetně vystavení příslušných souhlasů, plných mocí, předložení Kupní smlouvy zastupitelstvu ke schválení atd.</w:t>
      </w:r>
    </w:p>
    <w:p w14:paraId="0EBDA9BB" w14:textId="77777777" w:rsidR="00EC1C40" w:rsidRDefault="00000000">
      <w:pPr>
        <w:pStyle w:val="Zkladntext110"/>
        <w:framePr w:w="9802" w:h="14765" w:hRule="exact" w:wrap="none" w:vAnchor="page" w:hAnchor="page" w:x="1184" w:y="1171"/>
        <w:numPr>
          <w:ilvl w:val="1"/>
          <w:numId w:val="135"/>
        </w:numPr>
        <w:tabs>
          <w:tab w:val="left" w:pos="576"/>
        </w:tabs>
        <w:spacing w:after="100" w:line="276" w:lineRule="auto"/>
        <w:ind w:left="580" w:hanging="580"/>
        <w:jc w:val="both"/>
      </w:pPr>
      <w:r>
        <w:rPr>
          <w:i w:val="0"/>
          <w:iCs w:val="0"/>
          <w:color w:val="231E20"/>
        </w:rPr>
        <w:t>Budoucí kupující bere na vědomí, že Nemovitosti jsou dotčeny smlouvou o výpůjčce ze dne 10.04.2026 uzavřenou se společností RETROMĚSTEČKO s.r.o., IČO 047 54 425, se sídlem Erno Košťála 1002, Studánka, 530 12 Pardubice (dále jen „Smlouva o výpůjčce RETROMĚSTEČKO“), a zároveň souhlasem vlastníka pozemku s pořádáním 13. ročníku tradiční akce „RETROMĚSTEČKO (nejen) ČSLA, setkání HASIČŮ a bezpečnostních složek“ uděleného půjčitelem společnosti RETROMĚSTEČKO s.r.o., IČO 047 54 425 pro konání uvedené akce v termínu 12. a 13.09. 2026 a pro s tím související přípravné a dokončovací práce. Budoucí prodávající se zavazuje, že Smlouvu o výpůjčce RETROMĚSTEČKO ukončí výpovědí či jiným způsobem tak, aby Smlouva o výpůjčce RETROMĚSTEČKO a na základě ní vzniklá výpůjčka ve vztahu k Nemovitostem zanikla do 31.12.2026 (včetně) .</w:t>
      </w:r>
    </w:p>
    <w:p w14:paraId="1D252288" w14:textId="77777777" w:rsidR="00EC1C40" w:rsidRDefault="00000000">
      <w:pPr>
        <w:pStyle w:val="Zkladntext110"/>
        <w:framePr w:w="9802" w:h="14765" w:hRule="exact" w:wrap="none" w:vAnchor="page" w:hAnchor="page" w:x="1184" w:y="1171"/>
        <w:numPr>
          <w:ilvl w:val="1"/>
          <w:numId w:val="135"/>
        </w:numPr>
        <w:tabs>
          <w:tab w:val="left" w:pos="576"/>
        </w:tabs>
        <w:spacing w:after="100" w:line="276" w:lineRule="auto"/>
        <w:ind w:left="580" w:hanging="580"/>
        <w:jc w:val="both"/>
      </w:pPr>
      <w:r>
        <w:rPr>
          <w:i w:val="0"/>
          <w:iCs w:val="0"/>
          <w:color w:val="231E20"/>
        </w:rPr>
        <w:t>Budoucí kupující se zavazuje umožnit konání akce 13. ročníku RETROMĚSTEČKO (nejen) ČSLA, setkání HASIČŮ a bezpečnostních složek“ v termínu 12 a 13.09. 2026 na Nemovitostech.</w:t>
      </w:r>
    </w:p>
    <w:p w14:paraId="34AA8CB4" w14:textId="77777777" w:rsidR="00EC1C40" w:rsidRDefault="00000000">
      <w:pPr>
        <w:pStyle w:val="Zkladntext110"/>
        <w:framePr w:w="9802" w:h="14765" w:hRule="exact" w:wrap="none" w:vAnchor="page" w:hAnchor="page" w:x="1184" w:y="1171"/>
        <w:numPr>
          <w:ilvl w:val="1"/>
          <w:numId w:val="135"/>
        </w:numPr>
        <w:tabs>
          <w:tab w:val="left" w:pos="576"/>
        </w:tabs>
        <w:spacing w:after="100" w:line="276" w:lineRule="auto"/>
        <w:ind w:left="580" w:hanging="580"/>
        <w:jc w:val="both"/>
      </w:pPr>
      <w:r>
        <w:rPr>
          <w:i w:val="0"/>
          <w:iCs w:val="0"/>
          <w:color w:val="231E20"/>
        </w:rPr>
        <w:t xml:space="preserve">Smluvní strany berou na vědomí, že převod Nemovitostí bude po splnění předpokladů stanovených touto smlouvou a po doložení geometrického plánu žadatelem na oddělení předmětné části pozemku označeného jako </w:t>
      </w:r>
      <w:proofErr w:type="spellStart"/>
      <w:r>
        <w:rPr>
          <w:i w:val="0"/>
          <w:iCs w:val="0"/>
          <w:color w:val="231E20"/>
        </w:rPr>
        <w:t>p.p.č</w:t>
      </w:r>
      <w:proofErr w:type="spellEnd"/>
      <w:r>
        <w:rPr>
          <w:i w:val="0"/>
          <w:iCs w:val="0"/>
          <w:color w:val="231E20"/>
        </w:rPr>
        <w:t xml:space="preserve">. 988/12 </w:t>
      </w:r>
      <w:proofErr w:type="spellStart"/>
      <w:r>
        <w:rPr>
          <w:i w:val="0"/>
          <w:iCs w:val="0"/>
          <w:color w:val="231E20"/>
        </w:rPr>
        <w:t>k.ú</w:t>
      </w:r>
      <w:proofErr w:type="spellEnd"/>
      <w:r>
        <w:rPr>
          <w:i w:val="0"/>
          <w:iCs w:val="0"/>
          <w:color w:val="231E20"/>
        </w:rPr>
        <w:t>. Pardubice, předložen k projednání příslušným orgánům budoucího prodávajícího, tj. Radě města Pardubic a Zastupitelstvu města Pardubic.</w:t>
      </w:r>
    </w:p>
    <w:p w14:paraId="0DE4B24E" w14:textId="77777777" w:rsidR="00EC1C40" w:rsidRDefault="00000000">
      <w:pPr>
        <w:pStyle w:val="Zkladntext110"/>
        <w:framePr w:w="9802" w:h="14765" w:hRule="exact" w:wrap="none" w:vAnchor="page" w:hAnchor="page" w:x="1184" w:y="1171"/>
        <w:numPr>
          <w:ilvl w:val="1"/>
          <w:numId w:val="135"/>
        </w:numPr>
        <w:tabs>
          <w:tab w:val="left" w:pos="576"/>
        </w:tabs>
        <w:spacing w:after="100" w:line="276" w:lineRule="auto"/>
        <w:jc w:val="both"/>
      </w:pPr>
      <w:r>
        <w:rPr>
          <w:i w:val="0"/>
          <w:iCs w:val="0"/>
          <w:color w:val="231E20"/>
        </w:rPr>
        <w:t>Budoucí prodávající tímto prohlašuje a ujišťuje budoucího kupujícího, že:</w:t>
      </w:r>
    </w:p>
    <w:p w14:paraId="199916CE" w14:textId="77777777" w:rsidR="00EC1C40" w:rsidRDefault="00000000">
      <w:pPr>
        <w:pStyle w:val="Zkladntext110"/>
        <w:framePr w:w="9802" w:h="14765" w:hRule="exact" w:wrap="none" w:vAnchor="page" w:hAnchor="page" w:x="1184" w:y="1171"/>
        <w:numPr>
          <w:ilvl w:val="2"/>
          <w:numId w:val="135"/>
        </w:numPr>
        <w:tabs>
          <w:tab w:val="left" w:pos="1282"/>
        </w:tabs>
        <w:spacing w:after="100" w:line="276" w:lineRule="auto"/>
        <w:ind w:left="1280" w:hanging="700"/>
        <w:jc w:val="both"/>
      </w:pPr>
      <w:r>
        <w:rPr>
          <w:i w:val="0"/>
          <w:iCs w:val="0"/>
          <w:color w:val="231E20"/>
        </w:rPr>
        <w:t>je oprávněn k uzavření této smlouvy a k výkonu práv a plnění povinností z ní vyplývající v rozsahu odpovídajícím jejímu obsahu a stavu ke dni jejího uzavření.</w:t>
      </w:r>
    </w:p>
    <w:p w14:paraId="210CA6B8" w14:textId="77777777" w:rsidR="00EC1C40" w:rsidRDefault="00000000">
      <w:pPr>
        <w:pStyle w:val="Zkladntext110"/>
        <w:framePr w:w="9802" w:h="14765" w:hRule="exact" w:wrap="none" w:vAnchor="page" w:hAnchor="page" w:x="1184" w:y="1171"/>
        <w:numPr>
          <w:ilvl w:val="2"/>
          <w:numId w:val="135"/>
        </w:numPr>
        <w:tabs>
          <w:tab w:val="left" w:pos="1282"/>
        </w:tabs>
        <w:spacing w:after="0" w:line="276" w:lineRule="auto"/>
        <w:ind w:left="1280" w:hanging="700"/>
        <w:jc w:val="both"/>
      </w:pPr>
      <w:r>
        <w:rPr>
          <w:i w:val="0"/>
          <w:iCs w:val="0"/>
          <w:color w:val="231E20"/>
        </w:rPr>
        <w:t>je výlučným vlastníkem Nemovitostí včetně všech jejich součástí a příslušenství, jeho vlastnické právo není dotčeno žádnou změnou a nejsou mu ani známy žádné okolnosti,</w:t>
      </w:r>
    </w:p>
    <w:p w14:paraId="7D649810" w14:textId="77777777" w:rsidR="00EC1C40" w:rsidRDefault="00000000">
      <w:pPr>
        <w:pStyle w:val="Zhlavnebozpat0"/>
        <w:framePr w:wrap="none" w:vAnchor="page" w:hAnchor="page" w:x="5513" w:y="16080"/>
      </w:pPr>
      <w:r>
        <w:rPr>
          <w:rFonts w:ascii="Arial" w:eastAsia="Arial" w:hAnsi="Arial" w:cs="Arial"/>
          <w:color w:val="231E20"/>
        </w:rPr>
        <w:t xml:space="preserve">Stránka </w:t>
      </w:r>
      <w:r>
        <w:rPr>
          <w:rFonts w:ascii="Arial" w:eastAsia="Arial" w:hAnsi="Arial" w:cs="Arial"/>
          <w:b/>
          <w:bCs/>
          <w:color w:val="231E20"/>
        </w:rPr>
        <w:t xml:space="preserve">9 </w:t>
      </w:r>
      <w:r>
        <w:rPr>
          <w:rFonts w:ascii="Arial" w:eastAsia="Arial" w:hAnsi="Arial" w:cs="Arial"/>
          <w:color w:val="231E20"/>
        </w:rPr>
        <w:t xml:space="preserve">z </w:t>
      </w:r>
      <w:r>
        <w:rPr>
          <w:rFonts w:ascii="Arial" w:eastAsia="Arial" w:hAnsi="Arial" w:cs="Arial"/>
          <w:b/>
          <w:bCs/>
          <w:color w:val="231E20"/>
        </w:rPr>
        <w:t>13</w:t>
      </w:r>
    </w:p>
    <w:p w14:paraId="172A98FF"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583C39CA" w14:textId="77777777" w:rsidR="00EC1C40" w:rsidRDefault="00EC1C40">
      <w:pPr>
        <w:spacing w:line="1" w:lineRule="exact"/>
      </w:pPr>
    </w:p>
    <w:p w14:paraId="1981DB58" w14:textId="77777777" w:rsidR="00EC1C40" w:rsidRDefault="00000000">
      <w:pPr>
        <w:pStyle w:val="Zkladntext110"/>
        <w:framePr w:w="9802" w:h="14664" w:hRule="exact" w:wrap="none" w:vAnchor="page" w:hAnchor="page" w:x="1184" w:y="1284"/>
        <w:spacing w:line="276" w:lineRule="auto"/>
        <w:ind w:left="1280"/>
        <w:jc w:val="both"/>
      </w:pPr>
      <w:r>
        <w:rPr>
          <w:i w:val="0"/>
          <w:iCs w:val="0"/>
          <w:color w:val="231E20"/>
        </w:rPr>
        <w:t>které by měly nebo mohly mít na existenci jeho vlastnického práva vliv, včetně zápisu poznámky spornosti či rozepře ve vztahu k Nemovitostem, např. dle ustanovení § 985 a § 986 občanského zákoníku, Nemovitosti nejsou, ani nikdy nebyly předmětem restitučních řízení či uplatnění restitučních nároků, bez ohledu na to, na základě kterých právních předpisů; a</w:t>
      </w:r>
    </w:p>
    <w:p w14:paraId="25C87418" w14:textId="77777777" w:rsidR="00EC1C40" w:rsidRDefault="00000000">
      <w:pPr>
        <w:pStyle w:val="Zkladntext110"/>
        <w:framePr w:w="9802" w:h="14664" w:hRule="exact" w:wrap="none" w:vAnchor="page" w:hAnchor="page" w:x="1184" w:y="1284"/>
        <w:numPr>
          <w:ilvl w:val="2"/>
          <w:numId w:val="135"/>
        </w:numPr>
        <w:tabs>
          <w:tab w:val="left" w:pos="1318"/>
        </w:tabs>
        <w:spacing w:line="276" w:lineRule="auto"/>
        <w:ind w:left="1280" w:hanging="700"/>
        <w:jc w:val="both"/>
      </w:pPr>
      <w:r>
        <w:rPr>
          <w:i w:val="0"/>
          <w:iCs w:val="0"/>
          <w:color w:val="231E20"/>
        </w:rPr>
        <w:t>mu není známo, že by probíhala jakékoli soudní, rozhodčí, exekuční nebo správní řízení, jehož předmětem by byly práva a povinnosti týkající se Nemovitostí, kdy konečné rozhodnutí ve věci by mohlo být závazné i pro příštího vlastníka Nemovitostí, nebo by se dotýkalo práv a povinností vyplývajících z vlastnictví Nemovitostí.</w:t>
      </w:r>
    </w:p>
    <w:p w14:paraId="161A8E3E" w14:textId="77777777" w:rsidR="00EC1C40" w:rsidRDefault="00EC1C40">
      <w:pPr>
        <w:pStyle w:val="Nadpis60"/>
        <w:framePr w:w="9802" w:h="14664" w:hRule="exact" w:wrap="none" w:vAnchor="page" w:hAnchor="page" w:x="1184" w:y="1284"/>
        <w:numPr>
          <w:ilvl w:val="0"/>
          <w:numId w:val="134"/>
        </w:numPr>
        <w:spacing w:after="120" w:line="276" w:lineRule="auto"/>
        <w:jc w:val="center"/>
        <w:rPr>
          <w:sz w:val="20"/>
          <w:szCs w:val="20"/>
        </w:rPr>
      </w:pPr>
    </w:p>
    <w:p w14:paraId="13CFABFB" w14:textId="77777777" w:rsidR="00EC1C40" w:rsidRDefault="00000000">
      <w:pPr>
        <w:pStyle w:val="Zkladntext110"/>
        <w:framePr w:w="9802" w:h="14664" w:hRule="exact" w:wrap="none" w:vAnchor="page" w:hAnchor="page" w:x="1184" w:y="1284"/>
        <w:numPr>
          <w:ilvl w:val="1"/>
          <w:numId w:val="136"/>
        </w:numPr>
        <w:tabs>
          <w:tab w:val="left" w:pos="557"/>
        </w:tabs>
        <w:spacing w:line="276" w:lineRule="auto"/>
        <w:ind w:left="580" w:hanging="580"/>
        <w:jc w:val="both"/>
      </w:pPr>
      <w:r>
        <w:rPr>
          <w:i w:val="0"/>
          <w:iCs w:val="0"/>
          <w:color w:val="231E20"/>
        </w:rPr>
        <w:t xml:space="preserve">Tato smlouva se uzavírá </w:t>
      </w:r>
      <w:r>
        <w:rPr>
          <w:b/>
          <w:bCs/>
          <w:i w:val="0"/>
          <w:iCs w:val="0"/>
          <w:color w:val="231E20"/>
        </w:rPr>
        <w:t xml:space="preserve">na dobu určitou v délce trvání 15 let </w:t>
      </w:r>
      <w:r>
        <w:rPr>
          <w:i w:val="0"/>
          <w:iCs w:val="0"/>
          <w:color w:val="231E20"/>
        </w:rPr>
        <w:t>od data účinnosti této smlouvy, přičemž pokud budoucí kupující nevyzve v této době budoucího prodávajícího k předložení převodu Nemovitostí příslušným orgánům budoucího prodávajícího, a s tím související uzavření kupní smlouvy dle podmínek stanovených touto smlouvou, závazky z této smlouvy zanikají.</w:t>
      </w:r>
    </w:p>
    <w:p w14:paraId="21056C4A" w14:textId="77777777" w:rsidR="00EC1C40" w:rsidRDefault="00000000">
      <w:pPr>
        <w:pStyle w:val="Zkladntext110"/>
        <w:framePr w:w="9802" w:h="14664" w:hRule="exact" w:wrap="none" w:vAnchor="page" w:hAnchor="page" w:x="1184" w:y="1284"/>
        <w:numPr>
          <w:ilvl w:val="1"/>
          <w:numId w:val="136"/>
        </w:numPr>
        <w:tabs>
          <w:tab w:val="left" w:pos="557"/>
        </w:tabs>
        <w:spacing w:line="276" w:lineRule="auto"/>
        <w:ind w:left="580" w:hanging="580"/>
        <w:jc w:val="both"/>
      </w:pPr>
      <w:r>
        <w:rPr>
          <w:i w:val="0"/>
          <w:iCs w:val="0"/>
          <w:color w:val="231E20"/>
        </w:rPr>
        <w:t>Tato smlouva zaniká uzavřením a nabytím účinnosti Kupní smlouvy na převod Nemovitostí z vlastnictví budoucího prodávajícího do vlastnictví budoucího kupujícího, případně uplynutím času nebo v souladu s čl. 6.1. Smlouvu lze popřípadě ukončit dříve písemnou dohodou smluvních stran.</w:t>
      </w:r>
    </w:p>
    <w:p w14:paraId="68181DE2" w14:textId="77777777" w:rsidR="00EC1C40" w:rsidRDefault="00000000">
      <w:pPr>
        <w:pStyle w:val="Zkladntext110"/>
        <w:framePr w:w="9802" w:h="14664" w:hRule="exact" w:wrap="none" w:vAnchor="page" w:hAnchor="page" w:x="1184" w:y="1284"/>
        <w:numPr>
          <w:ilvl w:val="1"/>
          <w:numId w:val="136"/>
        </w:numPr>
        <w:tabs>
          <w:tab w:val="left" w:pos="557"/>
        </w:tabs>
        <w:spacing w:line="276" w:lineRule="auto"/>
        <w:ind w:left="580" w:hanging="580"/>
        <w:jc w:val="both"/>
      </w:pPr>
      <w:r>
        <w:rPr>
          <w:i w:val="0"/>
          <w:iCs w:val="0"/>
          <w:color w:val="231E20"/>
        </w:rPr>
        <w:t>Smluvní strany shodně prohlašují, že k uzavření této smlouvy přistupují s úmyslem vytvořit co nejstabilnější uspořádání svých vzájemných vztahů, přičemž je pro smluvní strany důležité, aby tato Smlouva nezanikla žádným jiným způsobem, než jaký výslovně sta noví tato smlouva, tj. (i) výslovně si přejí jakákoli porušení jednotlivých práv a povinností jednotlivých smluvních stran z této smlouvy vyplývajících řešit právě a pouze způsoby, které tato smlouva výslovně uvádí, a (</w:t>
      </w:r>
      <w:proofErr w:type="spellStart"/>
      <w:r>
        <w:rPr>
          <w:i w:val="0"/>
          <w:iCs w:val="0"/>
          <w:color w:val="231E20"/>
        </w:rPr>
        <w:t>ii</w:t>
      </w:r>
      <w:proofErr w:type="spellEnd"/>
      <w:r>
        <w:rPr>
          <w:i w:val="0"/>
          <w:iCs w:val="0"/>
          <w:color w:val="231E20"/>
        </w:rPr>
        <w:t>) v maximální možné míře přípustné dle právních předpisů eliminovat a vyloučit jakákoli práva smluvních stran od této smlouvy odstoupit, vypovědět ji a/nebo ji jiným způsobem ukončit (včetně požadování jejího ukončení či zrušení). Smluvní strany výslovně vylučují ustanovení následujících právních předpisů: 1977, § 1978, § 1979, § 1980, § 2002 a 2003 Občanského zákoníku. Smluvní strany se vzdávají práva domáhat se zrušení závazku dle § 2000 Občanského zákoníku, a to s ohledem na účel této smlouvy uvedený v tomto ustanovení. Podstatným porušením této smlouvy, respektive porušením této smlouvy podstatným způsobem, se v této smlouvě rozumí výhradně taková porušení smlouvy, která jsou jako její podstatné porušení definována v této smlouvě.</w:t>
      </w:r>
    </w:p>
    <w:p w14:paraId="003F607D" w14:textId="77777777" w:rsidR="00EC1C40" w:rsidRDefault="00000000">
      <w:pPr>
        <w:pStyle w:val="Zkladntext110"/>
        <w:framePr w:w="9802" w:h="14664" w:hRule="exact" w:wrap="none" w:vAnchor="page" w:hAnchor="page" w:x="1184" w:y="1284"/>
        <w:numPr>
          <w:ilvl w:val="1"/>
          <w:numId w:val="136"/>
        </w:numPr>
        <w:tabs>
          <w:tab w:val="left" w:pos="557"/>
        </w:tabs>
        <w:spacing w:line="276" w:lineRule="auto"/>
        <w:ind w:left="580" w:hanging="580"/>
        <w:jc w:val="both"/>
      </w:pPr>
      <w:r>
        <w:rPr>
          <w:i w:val="0"/>
          <w:iCs w:val="0"/>
          <w:color w:val="231E20"/>
        </w:rPr>
        <w:t>Smluvní strany se výslovně dohodly, že uplynutím doby sjednané pro uzavření Kupní smlouvy nedochází k automatickému prodloužení této Smlouvy ani k automatickému vzniku povinnosti uzavřít Kupní smlouvu v další lhůtě, nebude-li mezi smluvními stranami výslovně písemně ujednáno jinak. Jakákoli další jednání smluvních stran po uplynutí sjednané lhůty, ani případné užívání Nemovitostí budoucím kupujícím, se nepovažují za prodloužení této Smlouvy ani za uzavření budoucí Kupní smlouvy.</w:t>
      </w:r>
    </w:p>
    <w:p w14:paraId="1A6558C7" w14:textId="77777777" w:rsidR="00EC1C40" w:rsidRDefault="00000000">
      <w:pPr>
        <w:pStyle w:val="Zkladntext110"/>
        <w:framePr w:w="9802" w:h="14664" w:hRule="exact" w:wrap="none" w:vAnchor="page" w:hAnchor="page" w:x="1184" w:y="1284"/>
        <w:numPr>
          <w:ilvl w:val="1"/>
          <w:numId w:val="136"/>
        </w:numPr>
        <w:tabs>
          <w:tab w:val="left" w:pos="557"/>
        </w:tabs>
        <w:spacing w:line="276" w:lineRule="auto"/>
        <w:ind w:left="580" w:hanging="580"/>
        <w:jc w:val="both"/>
      </w:pPr>
      <w:r>
        <w:rPr>
          <w:i w:val="0"/>
          <w:iCs w:val="0"/>
          <w:color w:val="231E20"/>
        </w:rPr>
        <w:t>Budoucí prodávající je oprávněn ukončit tuto smlouvu výpovědí s tříměsíční výpovědní dobou, jež počne běžet od prvého dne měsíce následujícího po měsíci, ve které byla doručena výpověď budoucímu kupujícímu, a to výhradně pokud:</w:t>
      </w:r>
    </w:p>
    <w:p w14:paraId="3D0B9B11" w14:textId="77777777" w:rsidR="00EC1C40" w:rsidRDefault="00000000">
      <w:pPr>
        <w:pStyle w:val="Zkladntext110"/>
        <w:framePr w:w="9802" w:h="14664" w:hRule="exact" w:wrap="none" w:vAnchor="page" w:hAnchor="page" w:x="1184" w:y="1284"/>
        <w:numPr>
          <w:ilvl w:val="2"/>
          <w:numId w:val="136"/>
        </w:numPr>
        <w:tabs>
          <w:tab w:val="left" w:pos="1318"/>
        </w:tabs>
        <w:spacing w:line="276" w:lineRule="auto"/>
        <w:ind w:left="1280" w:hanging="700"/>
        <w:jc w:val="both"/>
      </w:pPr>
      <w:r>
        <w:rPr>
          <w:i w:val="0"/>
          <w:iCs w:val="0"/>
          <w:color w:val="231E20"/>
        </w:rPr>
        <w:t xml:space="preserve">do 10 let ode dne účinnosti této smlouvy nedošlo ke Změně ÚP Hůrka </w:t>
      </w:r>
      <w:r>
        <w:rPr>
          <w:color w:val="231E20"/>
        </w:rPr>
        <w:t>(jak je tento pojem definován v Plánovací smlouvě)</w:t>
      </w:r>
      <w:r>
        <w:rPr>
          <w:i w:val="0"/>
          <w:iCs w:val="0"/>
          <w:color w:val="231E20"/>
        </w:rPr>
        <w:t>; a/nebo</w:t>
      </w:r>
    </w:p>
    <w:p w14:paraId="0148BC0B" w14:textId="77777777" w:rsidR="00EC1C40" w:rsidRDefault="00000000">
      <w:pPr>
        <w:pStyle w:val="Zkladntext110"/>
        <w:framePr w:w="9802" w:h="14664" w:hRule="exact" w:wrap="none" w:vAnchor="page" w:hAnchor="page" w:x="1184" w:y="1284"/>
        <w:numPr>
          <w:ilvl w:val="2"/>
          <w:numId w:val="136"/>
        </w:numPr>
        <w:tabs>
          <w:tab w:val="left" w:pos="1318"/>
        </w:tabs>
        <w:spacing w:line="276" w:lineRule="auto"/>
        <w:ind w:left="1280" w:hanging="700"/>
        <w:jc w:val="both"/>
      </w:pPr>
      <w:r>
        <w:rPr>
          <w:i w:val="0"/>
          <w:iCs w:val="0"/>
          <w:color w:val="231E20"/>
        </w:rPr>
        <w:t>dojde k zániku Plánovací smlouvy, ledaže se jedná o zánik Plánovací smlouvy z důvodu oprávněné výpovědi budoucího kupujícího nebo se jedná o zánik Plánovací smlouvy, pokud je povinností smluvních stran postupovat dle čl. 20. Plánovací smlouvy.</w:t>
      </w:r>
    </w:p>
    <w:p w14:paraId="5E62A805" w14:textId="77777777" w:rsidR="00EC1C40" w:rsidRDefault="00000000">
      <w:pPr>
        <w:pStyle w:val="Zkladntext110"/>
        <w:framePr w:w="9802" w:h="14664" w:hRule="exact" w:wrap="none" w:vAnchor="page" w:hAnchor="page" w:x="1184" w:y="1284"/>
        <w:numPr>
          <w:ilvl w:val="1"/>
          <w:numId w:val="136"/>
        </w:numPr>
        <w:tabs>
          <w:tab w:val="left" w:pos="557"/>
        </w:tabs>
        <w:spacing w:after="0" w:line="264" w:lineRule="auto"/>
        <w:ind w:left="580" w:hanging="580"/>
        <w:jc w:val="both"/>
      </w:pPr>
      <w:r>
        <w:rPr>
          <w:rFonts w:ascii="Times New Roman" w:eastAsia="Times New Roman" w:hAnsi="Times New Roman" w:cs="Times New Roman"/>
          <w:i w:val="0"/>
          <w:iCs w:val="0"/>
          <w:color w:val="231E20"/>
          <w:sz w:val="24"/>
          <w:szCs w:val="24"/>
        </w:rPr>
        <w:t xml:space="preserve">Budoucí kupující je oprávněn ukončit tuto smlouvu výpovědí s tříměsíční výpovědní dobou, jež počne běžet od prvého dne měsíce následujícího po měsíci, ve které byla doručena výpověď pokud </w:t>
      </w:r>
      <w:r>
        <w:rPr>
          <w:i w:val="0"/>
          <w:iCs w:val="0"/>
          <w:color w:val="231E20"/>
        </w:rPr>
        <w:t>dojde k zániku Plánovací smlouvy, ledaže se jedná o zánik Plánovací smlouvy z důvodu oprávněné výpovědi budoucího prodávajícího nebo se jedná o zánik Plánovací smlouvy, pokud je povinností smluvních stran postupovat dle čl. 20. Plánovací smlouvy.</w:t>
      </w:r>
    </w:p>
    <w:p w14:paraId="09D4A03D" w14:textId="77777777" w:rsidR="00EC1C40" w:rsidRDefault="00000000">
      <w:pPr>
        <w:pStyle w:val="Zhlavnebozpat0"/>
        <w:framePr w:wrap="none" w:vAnchor="page" w:hAnchor="page" w:x="5465" w:y="16193"/>
      </w:pPr>
      <w:r>
        <w:rPr>
          <w:rFonts w:ascii="Arial" w:eastAsia="Arial" w:hAnsi="Arial" w:cs="Arial"/>
          <w:color w:val="231E20"/>
        </w:rPr>
        <w:t xml:space="preserve">Stránka </w:t>
      </w:r>
      <w:r>
        <w:rPr>
          <w:rFonts w:ascii="Arial" w:eastAsia="Arial" w:hAnsi="Arial" w:cs="Arial"/>
          <w:b/>
          <w:bCs/>
          <w:color w:val="231E20"/>
        </w:rPr>
        <w:t xml:space="preserve">10 </w:t>
      </w:r>
      <w:r>
        <w:rPr>
          <w:rFonts w:ascii="Arial" w:eastAsia="Arial" w:hAnsi="Arial" w:cs="Arial"/>
          <w:color w:val="231E20"/>
        </w:rPr>
        <w:t xml:space="preserve">z </w:t>
      </w:r>
      <w:r>
        <w:rPr>
          <w:rFonts w:ascii="Arial" w:eastAsia="Arial" w:hAnsi="Arial" w:cs="Arial"/>
          <w:b/>
          <w:bCs/>
          <w:color w:val="231E20"/>
        </w:rPr>
        <w:t>13</w:t>
      </w:r>
    </w:p>
    <w:p w14:paraId="3D13E9A0"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3FF67212" w14:textId="77777777" w:rsidR="00EC1C40" w:rsidRDefault="00EC1C40">
      <w:pPr>
        <w:spacing w:line="1" w:lineRule="exact"/>
      </w:pPr>
    </w:p>
    <w:p w14:paraId="6C82F94C" w14:textId="77777777" w:rsidR="00EC1C40" w:rsidRDefault="00000000">
      <w:pPr>
        <w:pStyle w:val="Zkladntext110"/>
        <w:framePr w:w="9797" w:h="14726" w:hRule="exact" w:wrap="none" w:vAnchor="page" w:hAnchor="page" w:x="1186" w:y="1284"/>
        <w:spacing w:line="322" w:lineRule="auto"/>
        <w:ind w:left="580"/>
        <w:jc w:val="both"/>
      </w:pPr>
      <w:r>
        <w:rPr>
          <w:i w:val="0"/>
          <w:iCs w:val="0"/>
          <w:color w:val="231E20"/>
        </w:rPr>
        <w:t>Další důvody pro odstoupení od této smlouvy ze strany Investora jsou sjednány v rámci Plánovací smlouvy, respektive dalších dohod uzavřených spolu s ní.</w:t>
      </w:r>
    </w:p>
    <w:p w14:paraId="77A2D3DD" w14:textId="77777777" w:rsidR="00EC1C40" w:rsidRDefault="00000000">
      <w:pPr>
        <w:pStyle w:val="Zkladntext110"/>
        <w:framePr w:w="9797" w:h="14726" w:hRule="exact" w:wrap="none" w:vAnchor="page" w:hAnchor="page" w:x="1186" w:y="1284"/>
        <w:numPr>
          <w:ilvl w:val="1"/>
          <w:numId w:val="136"/>
        </w:numPr>
        <w:tabs>
          <w:tab w:val="left" w:pos="557"/>
        </w:tabs>
        <w:spacing w:line="276" w:lineRule="auto"/>
        <w:ind w:left="580" w:hanging="580"/>
        <w:jc w:val="both"/>
      </w:pPr>
      <w:r>
        <w:rPr>
          <w:b/>
          <w:bCs/>
          <w:i w:val="0"/>
          <w:iCs w:val="0"/>
          <w:color w:val="231E20"/>
        </w:rPr>
        <w:t xml:space="preserve">Tato smlouva nabývá platnosti </w:t>
      </w:r>
      <w:r>
        <w:rPr>
          <w:i w:val="0"/>
          <w:iCs w:val="0"/>
          <w:color w:val="231E20"/>
        </w:rPr>
        <w:t xml:space="preserve">dnem, který je uveden jako den podpisu té smluvní strany, která smlouvu podepíše jako poslední a </w:t>
      </w:r>
      <w:r>
        <w:rPr>
          <w:b/>
          <w:bCs/>
          <w:i w:val="0"/>
          <w:iCs w:val="0"/>
          <w:color w:val="231E20"/>
        </w:rPr>
        <w:t xml:space="preserve">účinnosti </w:t>
      </w:r>
      <w:r>
        <w:rPr>
          <w:i w:val="0"/>
          <w:iCs w:val="0"/>
          <w:color w:val="231E20"/>
        </w:rPr>
        <w:t>dnem zveřejnění smlouvy v registru smluv vedeném v souladu se zákonem č. 340/2015 Sb., o zvláštních podmínkách účinnosti některých smluv, uveřejňování těchto smluv a o registru smluv (zákon o registru smluv), v platném znění (dále jenom jako „registr smluv“) Digitální a informační agenturou.</w:t>
      </w:r>
    </w:p>
    <w:p w14:paraId="3CA6BDD8" w14:textId="77777777" w:rsidR="00EC1C40" w:rsidRDefault="00000000">
      <w:pPr>
        <w:pStyle w:val="Zkladntext110"/>
        <w:framePr w:w="9797" w:h="14726" w:hRule="exact" w:wrap="none" w:vAnchor="page" w:hAnchor="page" w:x="1186" w:y="1284"/>
        <w:numPr>
          <w:ilvl w:val="1"/>
          <w:numId w:val="136"/>
        </w:numPr>
        <w:tabs>
          <w:tab w:val="left" w:pos="557"/>
        </w:tabs>
        <w:spacing w:line="276" w:lineRule="auto"/>
        <w:ind w:left="580" w:hanging="580"/>
        <w:jc w:val="both"/>
      </w:pPr>
      <w:r>
        <w:rPr>
          <w:i w:val="0"/>
          <w:iCs w:val="0"/>
          <w:color w:val="231E20"/>
        </w:rPr>
        <w:t xml:space="preserve">Smluvní strany se dohodly, že </w:t>
      </w:r>
      <w:r>
        <w:rPr>
          <w:b/>
          <w:bCs/>
          <w:i w:val="0"/>
          <w:iCs w:val="0"/>
          <w:color w:val="231E20"/>
        </w:rPr>
        <w:t xml:space="preserve">budoucí prodávající </w:t>
      </w:r>
      <w:r>
        <w:rPr>
          <w:i w:val="0"/>
          <w:iCs w:val="0"/>
          <w:color w:val="231E20"/>
        </w:rPr>
        <w:t>bezodkladně po uzavření této smlouvy odešle smlouvu k řádnému uveřejnění do registru smluv vedeném Digitální a informační agenturou. O uveřejnění smlouvy bude bezodkladně druhou smluvní stranu informovat. Smluvní strany berou na vědomí, že nebude-li smlouva zveřejněna ani do tří měsíců od jejího uzavření, je následujícím dnem zrušena od počátku s účinky případného bezdůvodného obohacení.</w:t>
      </w:r>
    </w:p>
    <w:p w14:paraId="63CDEB59" w14:textId="77777777" w:rsidR="00EC1C40" w:rsidRDefault="00000000">
      <w:pPr>
        <w:pStyle w:val="Zkladntext110"/>
        <w:framePr w:w="9797" w:h="14726" w:hRule="exact" w:wrap="none" w:vAnchor="page" w:hAnchor="page" w:x="1186" w:y="1284"/>
        <w:numPr>
          <w:ilvl w:val="1"/>
          <w:numId w:val="136"/>
        </w:numPr>
        <w:tabs>
          <w:tab w:val="left" w:pos="557"/>
        </w:tabs>
        <w:spacing w:line="276" w:lineRule="auto"/>
        <w:jc w:val="both"/>
      </w:pPr>
      <w:r>
        <w:rPr>
          <w:i w:val="0"/>
          <w:iCs w:val="0"/>
          <w:color w:val="231E20"/>
        </w:rPr>
        <w:t>Smluvní strany prohlašují, že žádná část smlouvy nenaplňuje znaky obchodního tajemství.</w:t>
      </w:r>
    </w:p>
    <w:p w14:paraId="6DCA940A" w14:textId="77777777" w:rsidR="00EC1C40" w:rsidRDefault="00000000">
      <w:pPr>
        <w:pStyle w:val="Zkladntext110"/>
        <w:framePr w:w="9797" w:h="14726" w:hRule="exact" w:wrap="none" w:vAnchor="page" w:hAnchor="page" w:x="1186" w:y="1284"/>
        <w:numPr>
          <w:ilvl w:val="1"/>
          <w:numId w:val="136"/>
        </w:numPr>
        <w:tabs>
          <w:tab w:val="left" w:pos="591"/>
        </w:tabs>
        <w:spacing w:line="276" w:lineRule="auto"/>
        <w:jc w:val="both"/>
      </w:pPr>
      <w:r>
        <w:rPr>
          <w:i w:val="0"/>
          <w:iCs w:val="0"/>
          <w:color w:val="231E20"/>
        </w:rPr>
        <w:t>Smluvní strany (každá ze Smluvních stran) na sebe přebírají nebezpečí změny okolností.</w:t>
      </w:r>
    </w:p>
    <w:p w14:paraId="0F9E3441" w14:textId="77777777" w:rsidR="00EC1C40" w:rsidRDefault="00000000">
      <w:pPr>
        <w:pStyle w:val="Zkladntext110"/>
        <w:framePr w:w="9797" w:h="14726" w:hRule="exact" w:wrap="none" w:vAnchor="page" w:hAnchor="page" w:x="1186" w:y="1284"/>
        <w:numPr>
          <w:ilvl w:val="1"/>
          <w:numId w:val="136"/>
        </w:numPr>
        <w:tabs>
          <w:tab w:val="left" w:pos="591"/>
        </w:tabs>
        <w:spacing w:line="276" w:lineRule="auto"/>
        <w:ind w:left="580" w:hanging="580"/>
        <w:jc w:val="both"/>
      </w:pPr>
      <w:r>
        <w:rPr>
          <w:i w:val="0"/>
          <w:iCs w:val="0"/>
          <w:color w:val="231E20"/>
        </w:rPr>
        <w:t>Tato smlouva je zcela nezávislá na jiných smlouvách, dohodách či prohlášeních, byť by byly uzavřeny současně a/nebo v souvislosti s touto smlouvou, není-li v nich a/nebo v této smlouvě výslovně stanoveno jinak; i v takovém případě je však tato smlouva závislá na jiných takových dohodách, smlouvách a prohlášeních výhradně způsobem v nich a/nebo v této smlouvě uvedeným.</w:t>
      </w:r>
    </w:p>
    <w:p w14:paraId="43475564" w14:textId="77777777" w:rsidR="00EC1C40" w:rsidRDefault="00000000">
      <w:pPr>
        <w:pStyle w:val="Zkladntext110"/>
        <w:framePr w:w="9797" w:h="14726" w:hRule="exact" w:wrap="none" w:vAnchor="page" w:hAnchor="page" w:x="1186" w:y="1284"/>
        <w:numPr>
          <w:ilvl w:val="1"/>
          <w:numId w:val="136"/>
        </w:numPr>
        <w:tabs>
          <w:tab w:val="left" w:pos="591"/>
        </w:tabs>
        <w:spacing w:line="276" w:lineRule="auto"/>
        <w:ind w:left="580" w:hanging="580"/>
        <w:jc w:val="both"/>
      </w:pPr>
      <w:r>
        <w:rPr>
          <w:i w:val="0"/>
          <w:iCs w:val="0"/>
          <w:color w:val="231E20"/>
        </w:rPr>
        <w:t>Smluvní strany se dohodly, že budoucí odkoupení Nemovitostí nebude navrženo k zápisu poznámky do katastru nemovitostí ve smyslu ustanovení § 23 odst. 1 písm. t) zákona č. 256/2013 Sb., katastrální zákon v platném znění za použití ustanovení § 72 odst. 3 vyhlášky č. 357/2013 Sb., katastrální vyhláška v platném znění.</w:t>
      </w:r>
    </w:p>
    <w:p w14:paraId="22A3A483" w14:textId="77777777" w:rsidR="00EC1C40" w:rsidRDefault="00000000">
      <w:pPr>
        <w:pStyle w:val="Zkladntext110"/>
        <w:framePr w:w="9797" w:h="14726" w:hRule="exact" w:wrap="none" w:vAnchor="page" w:hAnchor="page" w:x="1186" w:y="1284"/>
        <w:numPr>
          <w:ilvl w:val="1"/>
          <w:numId w:val="136"/>
        </w:numPr>
        <w:tabs>
          <w:tab w:val="left" w:pos="591"/>
        </w:tabs>
        <w:spacing w:line="276" w:lineRule="auto"/>
        <w:ind w:left="580" w:hanging="580"/>
        <w:jc w:val="both"/>
      </w:pPr>
      <w:r>
        <w:rPr>
          <w:i w:val="0"/>
          <w:iCs w:val="0"/>
          <w:color w:val="231E20"/>
        </w:rPr>
        <w:t>Práva a povinnosti touto smlouvou výslovně neupravené se řídí příslušnými ustanoveními občanského zákoníku. Stane-li se kterékoli ustanovení této smlouvy neplatným, neúčinným, zdánlivým nebo nevymahatelným, zůstává platnost, účinnost a vymahatelnost ostatních ustanovení této smlouvy neovlivněna a nedotčena, nevyplývá-li z povahy daného ustanovení, obsahu smlouvy nebo okolností, za nichž bylo toto ustanovení vytvořeno, že toto ustanovení nelze oddělit od ostatního obsahu smlouvy. V případě takové neplatnosti, neúčinnosti, zdánlivosti nebo nevymahatelnosti se smluvní strany zavazují bezodkladně, nejpozději však do devadesáti (90) dnů od doručení výzvy jedné smluvní strany druhé ze smluvních stran, v dobré víře napravit takto vzniklý stav tím způsobem, že se dohodnou na změnách, respektive doplněních této smlouvy, které jsou s ohledem na tuto neplatnost, neúčinnost, zdánlivost nebo nevymahatelnost pro splnění účelů a cílů této smlouvy nezbytná. Za tímto účelem smluvní strany zejména uzavřou příslušný dodatek k této smlouvě, kterým neplatné, neúčinné, zdánlivé nebo nevymahatelné ustanovení nahradí při maximálním respektu k právům a povinnostem, které mají být příslušným dodatkem či doplněním této smlouvy nahrazeny.</w:t>
      </w:r>
    </w:p>
    <w:p w14:paraId="7AEAFE7E" w14:textId="77777777" w:rsidR="00EC1C40" w:rsidRDefault="00000000">
      <w:pPr>
        <w:pStyle w:val="Zkladntext110"/>
        <w:framePr w:w="9797" w:h="14726" w:hRule="exact" w:wrap="none" w:vAnchor="page" w:hAnchor="page" w:x="1186" w:y="1284"/>
        <w:numPr>
          <w:ilvl w:val="1"/>
          <w:numId w:val="136"/>
        </w:numPr>
        <w:tabs>
          <w:tab w:val="left" w:pos="591"/>
        </w:tabs>
        <w:spacing w:line="276" w:lineRule="auto"/>
        <w:ind w:left="580" w:hanging="580"/>
        <w:jc w:val="both"/>
      </w:pPr>
      <w:r>
        <w:rPr>
          <w:i w:val="0"/>
          <w:iCs w:val="0"/>
          <w:color w:val="231E20"/>
        </w:rPr>
        <w:t>Stane-li se tato Smlouva jako celek neplatnou, neúčinnou, zdánlivou nebo nevymahatelnou, zavazují se smluvní strany bezodkladně, nejpozději však do devadesáti (90) dnů, uzavřít novou smlouvu, která se bude svými ustanoveními v maximální možné míře dovolené platnými a účinnými právními předpisy blížit právům a povinnostem smluvních stran upravených v této smlouvě.</w:t>
      </w:r>
    </w:p>
    <w:p w14:paraId="24321DDD" w14:textId="77777777" w:rsidR="00EC1C40" w:rsidRDefault="00000000">
      <w:pPr>
        <w:pStyle w:val="Zkladntext110"/>
        <w:framePr w:w="9797" w:h="14726" w:hRule="exact" w:wrap="none" w:vAnchor="page" w:hAnchor="page" w:x="1186" w:y="1284"/>
        <w:numPr>
          <w:ilvl w:val="1"/>
          <w:numId w:val="136"/>
        </w:numPr>
        <w:tabs>
          <w:tab w:val="left" w:pos="591"/>
        </w:tabs>
        <w:spacing w:line="276" w:lineRule="auto"/>
        <w:ind w:left="580" w:hanging="580"/>
        <w:jc w:val="both"/>
      </w:pPr>
      <w:r>
        <w:rPr>
          <w:i w:val="0"/>
          <w:iCs w:val="0"/>
          <w:color w:val="231E20"/>
        </w:rPr>
        <w:t>Tato smlouva a veškeré smluvní a mimosmluvní závazky vzniklé z ní nebo v souvislosti s ní se řídí právním řádem České republiky a je vykládána v souladu s ním. Tato smlouva je smlouvou soukromoprávní povahy.</w:t>
      </w:r>
    </w:p>
    <w:p w14:paraId="31B064F4" w14:textId="77777777" w:rsidR="00EC1C40" w:rsidRDefault="00000000">
      <w:pPr>
        <w:pStyle w:val="Zkladntext110"/>
        <w:framePr w:w="9797" w:h="14726" w:hRule="exact" w:wrap="none" w:vAnchor="page" w:hAnchor="page" w:x="1186" w:y="1284"/>
        <w:numPr>
          <w:ilvl w:val="1"/>
          <w:numId w:val="136"/>
        </w:numPr>
        <w:tabs>
          <w:tab w:val="left" w:pos="591"/>
        </w:tabs>
        <w:spacing w:after="0" w:line="276" w:lineRule="auto"/>
        <w:ind w:left="580" w:hanging="580"/>
        <w:jc w:val="both"/>
      </w:pPr>
      <w:r>
        <w:rPr>
          <w:i w:val="0"/>
          <w:iCs w:val="0"/>
          <w:color w:val="231E20"/>
        </w:rPr>
        <w:t>Smluvní strany nad rámec ustanovení Občanského zákoníku, která se neaplikují na právní vztah založený touto Smlouvou v důsledku odchylné dohody Smluvních stran, dále vylučují aplikaci § 558 odst. 2 (v rozsahu, v jakém stanoví, že obchodní zvyklost má přednost před ustanovením zákona, jež nemá donucující účinky), § 1727, § 1735, § 1737, § 1740 odst. 3, § 1748, Občanského zákoníku na právní vztah založený touto Smlouvou.</w:t>
      </w:r>
    </w:p>
    <w:p w14:paraId="571DAAEC" w14:textId="77777777" w:rsidR="00EC1C40" w:rsidRDefault="00000000">
      <w:pPr>
        <w:pStyle w:val="Zhlavnebozpat0"/>
        <w:framePr w:wrap="none" w:vAnchor="page" w:hAnchor="page" w:x="5468" w:y="16193"/>
      </w:pPr>
      <w:r>
        <w:rPr>
          <w:rFonts w:ascii="Arial" w:eastAsia="Arial" w:hAnsi="Arial" w:cs="Arial"/>
          <w:color w:val="231E20"/>
        </w:rPr>
        <w:t xml:space="preserve">Stránka </w:t>
      </w:r>
      <w:r>
        <w:rPr>
          <w:rFonts w:ascii="Arial" w:eastAsia="Arial" w:hAnsi="Arial" w:cs="Arial"/>
          <w:b/>
          <w:bCs/>
          <w:color w:val="231E20"/>
        </w:rPr>
        <w:t xml:space="preserve">11 </w:t>
      </w:r>
      <w:r>
        <w:rPr>
          <w:rFonts w:ascii="Arial" w:eastAsia="Arial" w:hAnsi="Arial" w:cs="Arial"/>
          <w:color w:val="231E20"/>
        </w:rPr>
        <w:t xml:space="preserve">z </w:t>
      </w:r>
      <w:r>
        <w:rPr>
          <w:rFonts w:ascii="Arial" w:eastAsia="Arial" w:hAnsi="Arial" w:cs="Arial"/>
          <w:b/>
          <w:bCs/>
          <w:color w:val="231E20"/>
        </w:rPr>
        <w:t>13</w:t>
      </w:r>
    </w:p>
    <w:p w14:paraId="2833081C"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48CAF4FC" w14:textId="77777777" w:rsidR="00EC1C40" w:rsidRDefault="00EC1C40">
      <w:pPr>
        <w:spacing w:line="1" w:lineRule="exact"/>
      </w:pPr>
    </w:p>
    <w:p w14:paraId="2D254715" w14:textId="77777777" w:rsidR="00EC1C40" w:rsidRDefault="00000000">
      <w:pPr>
        <w:pStyle w:val="Zkladntext110"/>
        <w:framePr w:w="9806" w:h="8131" w:hRule="exact" w:wrap="none" w:vAnchor="page" w:hAnchor="page" w:x="1181" w:y="1284"/>
        <w:numPr>
          <w:ilvl w:val="1"/>
          <w:numId w:val="136"/>
        </w:numPr>
        <w:tabs>
          <w:tab w:val="left" w:pos="651"/>
        </w:tabs>
        <w:spacing w:after="100" w:line="276" w:lineRule="auto"/>
        <w:ind w:left="580" w:hanging="580"/>
        <w:jc w:val="both"/>
      </w:pPr>
      <w:r>
        <w:rPr>
          <w:i w:val="0"/>
          <w:iCs w:val="0"/>
          <w:color w:val="231E20"/>
        </w:rPr>
        <w:t>Smluvní strany se zavazují, že nebudou činit žádná jednání, která by jakkoli ohrozila či mohla ohrozit plnění této smlouvy a/nebo naplnění účelů této smlouvy.</w:t>
      </w:r>
    </w:p>
    <w:p w14:paraId="0A24BAD0" w14:textId="77777777" w:rsidR="00EC1C40" w:rsidRDefault="00000000">
      <w:pPr>
        <w:pStyle w:val="Zkladntext110"/>
        <w:framePr w:w="9806" w:h="8131" w:hRule="exact" w:wrap="none" w:vAnchor="page" w:hAnchor="page" w:x="1181" w:y="1284"/>
        <w:numPr>
          <w:ilvl w:val="1"/>
          <w:numId w:val="136"/>
        </w:numPr>
        <w:tabs>
          <w:tab w:val="left" w:pos="651"/>
        </w:tabs>
        <w:spacing w:after="100" w:line="276" w:lineRule="auto"/>
        <w:ind w:left="580" w:hanging="580"/>
        <w:jc w:val="both"/>
      </w:pPr>
      <w:r>
        <w:rPr>
          <w:i w:val="0"/>
          <w:iCs w:val="0"/>
          <w:color w:val="231E20"/>
        </w:rPr>
        <w:t>Odkazuje-li tato Smlouva na určitý právní předpis a/nebo určité ustanovení právního předpisu, zahrnuje takový odkaz i odkaz na právní předpis, popřípadě ustanovení právního předpisu, který jej dle svého smyslu a účelu kdykoli v budoucnu nahradí.</w:t>
      </w:r>
    </w:p>
    <w:p w14:paraId="3E1F6A4C" w14:textId="77777777" w:rsidR="00EC1C40" w:rsidRDefault="00000000">
      <w:pPr>
        <w:pStyle w:val="Zkladntext110"/>
        <w:framePr w:w="9806" w:h="8131" w:hRule="exact" w:wrap="none" w:vAnchor="page" w:hAnchor="page" w:x="1181" w:y="1284"/>
        <w:numPr>
          <w:ilvl w:val="1"/>
          <w:numId w:val="136"/>
        </w:numPr>
        <w:tabs>
          <w:tab w:val="left" w:pos="651"/>
        </w:tabs>
        <w:spacing w:after="100" w:line="276" w:lineRule="auto"/>
        <w:ind w:left="580" w:hanging="580"/>
        <w:jc w:val="both"/>
      </w:pPr>
      <w:r>
        <w:rPr>
          <w:rFonts w:ascii="Times New Roman" w:eastAsia="Times New Roman" w:hAnsi="Times New Roman" w:cs="Times New Roman"/>
          <w:i w:val="0"/>
          <w:iCs w:val="0"/>
          <w:color w:val="231E20"/>
          <w:sz w:val="24"/>
          <w:szCs w:val="24"/>
        </w:rPr>
        <w:t xml:space="preserve">Tato </w:t>
      </w:r>
      <w:r>
        <w:rPr>
          <w:i w:val="0"/>
          <w:iCs w:val="0"/>
          <w:color w:val="231E20"/>
        </w:rPr>
        <w:t xml:space="preserve">smlouva </w:t>
      </w:r>
      <w:r>
        <w:rPr>
          <w:rFonts w:ascii="Times New Roman" w:eastAsia="Times New Roman" w:hAnsi="Times New Roman" w:cs="Times New Roman"/>
          <w:i w:val="0"/>
          <w:iCs w:val="0"/>
          <w:color w:val="231E20"/>
          <w:sz w:val="24"/>
          <w:szCs w:val="24"/>
        </w:rPr>
        <w:t xml:space="preserve">zavazuje </w:t>
      </w:r>
      <w:r>
        <w:rPr>
          <w:i w:val="0"/>
          <w:iCs w:val="0"/>
          <w:color w:val="231E20"/>
        </w:rPr>
        <w:t xml:space="preserve">i </w:t>
      </w:r>
      <w:r>
        <w:rPr>
          <w:rFonts w:ascii="Times New Roman" w:eastAsia="Times New Roman" w:hAnsi="Times New Roman" w:cs="Times New Roman"/>
          <w:i w:val="0"/>
          <w:iCs w:val="0"/>
          <w:color w:val="231E20"/>
          <w:sz w:val="24"/>
          <w:szCs w:val="24"/>
        </w:rPr>
        <w:t>právní nástupce smluvních stran</w:t>
      </w:r>
      <w:r>
        <w:rPr>
          <w:i w:val="0"/>
          <w:iCs w:val="0"/>
          <w:color w:val="231E20"/>
        </w:rPr>
        <w:t>, ať na základě singulární, tak univerzální sukcese. Smluvní strany zajistí</w:t>
      </w:r>
      <w:r>
        <w:rPr>
          <w:rFonts w:ascii="Times New Roman" w:eastAsia="Times New Roman" w:hAnsi="Times New Roman" w:cs="Times New Roman"/>
          <w:i w:val="0"/>
          <w:iCs w:val="0"/>
          <w:color w:val="231E20"/>
          <w:sz w:val="24"/>
          <w:szCs w:val="24"/>
        </w:rPr>
        <w:t xml:space="preserve">, aby </w:t>
      </w:r>
      <w:r>
        <w:rPr>
          <w:i w:val="0"/>
          <w:iCs w:val="0"/>
          <w:color w:val="231E20"/>
        </w:rPr>
        <w:t xml:space="preserve">jakýkoli případný </w:t>
      </w:r>
      <w:r>
        <w:rPr>
          <w:rFonts w:ascii="Times New Roman" w:eastAsia="Times New Roman" w:hAnsi="Times New Roman" w:cs="Times New Roman"/>
          <w:i w:val="0"/>
          <w:iCs w:val="0"/>
          <w:color w:val="231E20"/>
          <w:sz w:val="24"/>
          <w:szCs w:val="24"/>
        </w:rPr>
        <w:t xml:space="preserve">nabyvatel </w:t>
      </w:r>
      <w:r>
        <w:rPr>
          <w:i w:val="0"/>
          <w:iCs w:val="0"/>
          <w:color w:val="231E20"/>
        </w:rPr>
        <w:t xml:space="preserve">Nemovitostí </w:t>
      </w:r>
      <w:r>
        <w:rPr>
          <w:rFonts w:ascii="Times New Roman" w:eastAsia="Times New Roman" w:hAnsi="Times New Roman" w:cs="Times New Roman"/>
          <w:i w:val="0"/>
          <w:iCs w:val="0"/>
          <w:color w:val="231E20"/>
          <w:sz w:val="24"/>
          <w:szCs w:val="24"/>
        </w:rPr>
        <w:t xml:space="preserve">byl </w:t>
      </w:r>
      <w:r>
        <w:rPr>
          <w:i w:val="0"/>
          <w:iCs w:val="0"/>
          <w:color w:val="231E20"/>
        </w:rPr>
        <w:t xml:space="preserve">vázán </w:t>
      </w:r>
      <w:r>
        <w:rPr>
          <w:rFonts w:ascii="Times New Roman" w:eastAsia="Times New Roman" w:hAnsi="Times New Roman" w:cs="Times New Roman"/>
          <w:i w:val="0"/>
          <w:iCs w:val="0"/>
          <w:color w:val="231E20"/>
          <w:sz w:val="24"/>
          <w:szCs w:val="24"/>
        </w:rPr>
        <w:t xml:space="preserve">touto smlouvou </w:t>
      </w:r>
      <w:r>
        <w:rPr>
          <w:i w:val="0"/>
          <w:iCs w:val="0"/>
          <w:color w:val="231E20"/>
        </w:rPr>
        <w:t xml:space="preserve">a právy </w:t>
      </w:r>
      <w:r>
        <w:rPr>
          <w:rFonts w:ascii="Times New Roman" w:eastAsia="Times New Roman" w:hAnsi="Times New Roman" w:cs="Times New Roman"/>
          <w:i w:val="0"/>
          <w:iCs w:val="0"/>
          <w:color w:val="231E20"/>
          <w:sz w:val="24"/>
          <w:szCs w:val="24"/>
        </w:rPr>
        <w:t xml:space="preserve">a </w:t>
      </w:r>
      <w:r>
        <w:rPr>
          <w:i w:val="0"/>
          <w:iCs w:val="0"/>
          <w:color w:val="231E20"/>
        </w:rPr>
        <w:t>povinnostmi z ní vyplývajícími v plném rozsahu.</w:t>
      </w:r>
    </w:p>
    <w:p w14:paraId="563DA9F1" w14:textId="77777777" w:rsidR="00EC1C40" w:rsidRDefault="00000000">
      <w:pPr>
        <w:pStyle w:val="Zkladntext110"/>
        <w:framePr w:w="9806" w:h="8131" w:hRule="exact" w:wrap="none" w:vAnchor="page" w:hAnchor="page" w:x="1181" w:y="1284"/>
        <w:numPr>
          <w:ilvl w:val="1"/>
          <w:numId w:val="136"/>
        </w:numPr>
        <w:tabs>
          <w:tab w:val="left" w:pos="651"/>
        </w:tabs>
        <w:spacing w:after="100" w:line="276" w:lineRule="auto"/>
        <w:ind w:left="580" w:hanging="580"/>
        <w:jc w:val="both"/>
      </w:pPr>
      <w:r>
        <w:rPr>
          <w:i w:val="0"/>
          <w:iCs w:val="0"/>
          <w:color w:val="231E20"/>
        </w:rPr>
        <w:t>Tuto smlouvu lze měnit pouze po dohodě obou smluvních stran a pouze formou písemných dodatků. Jinou formou nežli písemnou, tuto smlouvu měnit nelze.</w:t>
      </w:r>
    </w:p>
    <w:p w14:paraId="16AD7592" w14:textId="77777777" w:rsidR="00EC1C40" w:rsidRDefault="00000000">
      <w:pPr>
        <w:pStyle w:val="Zkladntext110"/>
        <w:framePr w:w="9806" w:h="8131" w:hRule="exact" w:wrap="none" w:vAnchor="page" w:hAnchor="page" w:x="1181" w:y="1284"/>
        <w:numPr>
          <w:ilvl w:val="1"/>
          <w:numId w:val="136"/>
        </w:numPr>
        <w:tabs>
          <w:tab w:val="left" w:pos="651"/>
        </w:tabs>
        <w:spacing w:after="100" w:line="276" w:lineRule="auto"/>
        <w:ind w:left="580" w:hanging="580"/>
        <w:jc w:val="both"/>
      </w:pPr>
      <w:r>
        <w:rPr>
          <w:i w:val="0"/>
          <w:iCs w:val="0"/>
          <w:color w:val="231E20"/>
        </w:rPr>
        <w:t xml:space="preserve">Smlouva je sepsána ve </w:t>
      </w:r>
      <w:r>
        <w:rPr>
          <w:b/>
          <w:bCs/>
          <w:i w:val="0"/>
          <w:iCs w:val="0"/>
          <w:color w:val="231E20"/>
        </w:rPr>
        <w:t>5 vyhotoveních</w:t>
      </w:r>
      <w:r>
        <w:rPr>
          <w:i w:val="0"/>
          <w:iCs w:val="0"/>
          <w:color w:val="231E20"/>
        </w:rPr>
        <w:t>, z nichž budoucí kupující obdrží 2 vyhotovení, z toho 1 vyhotovení s úředně ověřenými podpisy budoucího kupujícího. Budoucí prodávající si ponechá po podpisu smluvních stran 3 vyhotovení smlouvy, z toho 1 vyhotovení s úředně ověřeným podpisem budoucího kupujícího.</w:t>
      </w:r>
    </w:p>
    <w:p w14:paraId="17840E8D" w14:textId="77777777" w:rsidR="00EC1C40" w:rsidRDefault="00000000">
      <w:pPr>
        <w:pStyle w:val="Zkladntext110"/>
        <w:framePr w:w="9806" w:h="8131" w:hRule="exact" w:wrap="none" w:vAnchor="page" w:hAnchor="page" w:x="1181" w:y="1284"/>
        <w:numPr>
          <w:ilvl w:val="1"/>
          <w:numId w:val="136"/>
        </w:numPr>
        <w:tabs>
          <w:tab w:val="left" w:pos="651"/>
        </w:tabs>
        <w:spacing w:after="100" w:line="276" w:lineRule="auto"/>
        <w:jc w:val="both"/>
      </w:pPr>
      <w:r>
        <w:rPr>
          <w:i w:val="0"/>
          <w:iCs w:val="0"/>
          <w:color w:val="231E20"/>
        </w:rPr>
        <w:t>Nedílnou součástí této smlouvy jsou i její přílohy:</w:t>
      </w:r>
    </w:p>
    <w:p w14:paraId="402EE6A7" w14:textId="77777777" w:rsidR="00EC1C40" w:rsidRDefault="00000000">
      <w:pPr>
        <w:pStyle w:val="Zkladntext110"/>
        <w:framePr w:w="9806" w:h="8131" w:hRule="exact" w:wrap="none" w:vAnchor="page" w:hAnchor="page" w:x="1181" w:y="1284"/>
        <w:numPr>
          <w:ilvl w:val="2"/>
          <w:numId w:val="136"/>
        </w:numPr>
        <w:tabs>
          <w:tab w:val="left" w:pos="1409"/>
        </w:tabs>
        <w:spacing w:after="100" w:line="276" w:lineRule="auto"/>
        <w:ind w:firstLine="580"/>
        <w:jc w:val="both"/>
      </w:pPr>
      <w:r>
        <w:rPr>
          <w:i w:val="0"/>
          <w:iCs w:val="0"/>
          <w:color w:val="231E20"/>
        </w:rPr>
        <w:t>Příloha č. 1: grafický zákres rozsahu Nemovitostí určených k převodu.</w:t>
      </w:r>
    </w:p>
    <w:p w14:paraId="62536DAE" w14:textId="77777777" w:rsidR="00EC1C40" w:rsidRDefault="00000000">
      <w:pPr>
        <w:pStyle w:val="Zkladntext110"/>
        <w:framePr w:w="9806" w:h="8131" w:hRule="exact" w:wrap="none" w:vAnchor="page" w:hAnchor="page" w:x="1181" w:y="1284"/>
        <w:numPr>
          <w:ilvl w:val="1"/>
          <w:numId w:val="136"/>
        </w:numPr>
        <w:tabs>
          <w:tab w:val="left" w:pos="651"/>
        </w:tabs>
        <w:spacing w:after="100" w:line="276" w:lineRule="auto"/>
        <w:ind w:left="580" w:hanging="580"/>
        <w:jc w:val="both"/>
      </w:pPr>
      <w:r>
        <w:rPr>
          <w:i w:val="0"/>
          <w:iCs w:val="0"/>
          <w:color w:val="231E20"/>
        </w:rPr>
        <w:t>Obě strany této smlouvy prohlašují, že tato smlouva byla sepsána na základě jejich pravé a svobodné vůle a na důkaz souhlasu s jejím obsahem připojují své podpisy.</w:t>
      </w:r>
    </w:p>
    <w:p w14:paraId="35A3A452" w14:textId="77777777" w:rsidR="00EC1C40" w:rsidRDefault="00000000">
      <w:pPr>
        <w:pStyle w:val="Zkladntext110"/>
        <w:framePr w:w="9806" w:h="8131" w:hRule="exact" w:wrap="none" w:vAnchor="page" w:hAnchor="page" w:x="1181" w:y="1284"/>
        <w:spacing w:after="220" w:line="276" w:lineRule="auto"/>
        <w:ind w:firstLine="580"/>
        <w:jc w:val="both"/>
      </w:pPr>
      <w:r>
        <w:rPr>
          <w:i w:val="0"/>
          <w:iCs w:val="0"/>
          <w:color w:val="231E20"/>
        </w:rPr>
        <w:t>Přílohy: grafický zákres rozsahu Nemovitostí určených k převodu</w:t>
      </w:r>
    </w:p>
    <w:p w14:paraId="61E3BE25" w14:textId="77777777" w:rsidR="00EC1C40" w:rsidRDefault="00000000">
      <w:pPr>
        <w:pStyle w:val="Zkladntext70"/>
        <w:framePr w:w="9806" w:h="8131" w:hRule="exact" w:wrap="none" w:vAnchor="page" w:hAnchor="page" w:x="1181" w:y="1284"/>
        <w:spacing w:line="290" w:lineRule="auto"/>
        <w:ind w:left="0" w:firstLine="320"/>
        <w:jc w:val="both"/>
      </w:pPr>
      <w:r>
        <w:t xml:space="preserve">Schvalovací doložka dle </w:t>
      </w:r>
      <w:proofErr w:type="spellStart"/>
      <w:r>
        <w:t>ust</w:t>
      </w:r>
      <w:proofErr w:type="spellEnd"/>
      <w:r>
        <w:t>. § 41 zák. č. 128/2000 Sb., o obcích</w:t>
      </w:r>
    </w:p>
    <w:p w14:paraId="790281E8" w14:textId="77777777" w:rsidR="00EC1C40" w:rsidRDefault="00000000">
      <w:pPr>
        <w:pStyle w:val="Zkladntext70"/>
        <w:framePr w:w="9806" w:h="8131" w:hRule="exact" w:wrap="none" w:vAnchor="page" w:hAnchor="page" w:x="1181" w:y="1284"/>
        <w:tabs>
          <w:tab w:val="left" w:leader="dot" w:pos="1803"/>
          <w:tab w:val="left" w:leader="dot" w:pos="2235"/>
          <w:tab w:val="left" w:leader="dot" w:pos="3354"/>
        </w:tabs>
        <w:spacing w:line="290" w:lineRule="auto"/>
        <w:ind w:left="320"/>
        <w:jc w:val="both"/>
      </w:pPr>
      <w:r>
        <w:t xml:space="preserve">schváleno usnesením Zastupitelstva města Pardubic č. usnesení: </w:t>
      </w:r>
      <w:r>
        <w:rPr>
          <w:b/>
          <w:bCs/>
        </w:rPr>
        <w:t>Z/</w:t>
      </w:r>
      <w:r>
        <w:rPr>
          <w:b/>
          <w:bCs/>
        </w:rPr>
        <w:tab/>
        <w:t>/</w:t>
      </w:r>
      <w:r>
        <w:rPr>
          <w:b/>
          <w:bCs/>
        </w:rPr>
        <w:tab/>
      </w:r>
      <w:r>
        <w:t>ze dne</w:t>
      </w:r>
      <w:r>
        <w:tab/>
      </w:r>
    </w:p>
    <w:p w14:paraId="703E93C5" w14:textId="77777777" w:rsidR="00EC1C40" w:rsidRDefault="00000000">
      <w:pPr>
        <w:pStyle w:val="Zkladntext70"/>
        <w:framePr w:w="9806" w:h="8131" w:hRule="exact" w:wrap="none" w:vAnchor="page" w:hAnchor="page" w:x="1181" w:y="1284"/>
        <w:spacing w:line="290" w:lineRule="auto"/>
        <w:ind w:left="320"/>
        <w:jc w:val="both"/>
      </w:pPr>
      <w:r>
        <w:t>Záměr byl zveřejněn na úřední desce a elektronické úřední desce Magistrátu</w:t>
      </w:r>
    </w:p>
    <w:p w14:paraId="2BB7DB63" w14:textId="77777777" w:rsidR="00EC1C40" w:rsidRDefault="00000000">
      <w:pPr>
        <w:pStyle w:val="Zkladntext70"/>
        <w:framePr w:w="9806" w:h="8131" w:hRule="exact" w:wrap="none" w:vAnchor="page" w:hAnchor="page" w:x="1181" w:y="1284"/>
        <w:spacing w:line="290" w:lineRule="auto"/>
        <w:ind w:left="320"/>
        <w:jc w:val="both"/>
      </w:pPr>
      <w:r>
        <w:t>města Pardubic:</w:t>
      </w:r>
    </w:p>
    <w:p w14:paraId="47683151" w14:textId="77777777" w:rsidR="00EC1C40" w:rsidRDefault="00000000">
      <w:pPr>
        <w:pStyle w:val="Zkladntext70"/>
        <w:framePr w:w="9806" w:h="8131" w:hRule="exact" w:wrap="none" w:vAnchor="page" w:hAnchor="page" w:x="1181" w:y="1284"/>
        <w:spacing w:line="290" w:lineRule="auto"/>
        <w:ind w:left="320"/>
        <w:jc w:val="both"/>
      </w:pPr>
      <w:r>
        <w:t>vyvěšeno dne: 10.4.2026</w:t>
      </w:r>
    </w:p>
    <w:p w14:paraId="0338CDCA" w14:textId="77777777" w:rsidR="00EC1C40" w:rsidRDefault="00000000">
      <w:pPr>
        <w:pStyle w:val="Zkladntext70"/>
        <w:framePr w:w="9806" w:h="8131" w:hRule="exact" w:wrap="none" w:vAnchor="page" w:hAnchor="page" w:x="1181" w:y="1284"/>
        <w:spacing w:line="290" w:lineRule="auto"/>
        <w:ind w:left="0" w:firstLine="320"/>
        <w:jc w:val="both"/>
      </w:pPr>
      <w:r>
        <w:t xml:space="preserve">svěšeno dne: </w:t>
      </w:r>
      <w:r>
        <w:rPr>
          <w:b/>
          <w:bCs/>
        </w:rPr>
        <w:t>26.4.2026</w:t>
      </w:r>
    </w:p>
    <w:p w14:paraId="353B7E4C" w14:textId="77777777" w:rsidR="00EC1C40" w:rsidRDefault="00000000">
      <w:pPr>
        <w:pStyle w:val="Zkladntext110"/>
        <w:framePr w:wrap="none" w:vAnchor="page" w:hAnchor="page" w:x="1181" w:y="10025"/>
        <w:tabs>
          <w:tab w:val="left" w:leader="dot" w:pos="2890"/>
        </w:tabs>
        <w:spacing w:after="0" w:line="240" w:lineRule="auto"/>
      </w:pPr>
      <w:r>
        <w:rPr>
          <w:i w:val="0"/>
          <w:iCs w:val="0"/>
          <w:color w:val="231E20"/>
        </w:rPr>
        <w:t>V Pardubicích dne</w:t>
      </w:r>
      <w:r>
        <w:rPr>
          <w:i w:val="0"/>
          <w:iCs w:val="0"/>
          <w:color w:val="231E20"/>
        </w:rPr>
        <w:tab/>
      </w:r>
    </w:p>
    <w:p w14:paraId="46690121" w14:textId="77777777" w:rsidR="00EC1C40" w:rsidRDefault="00000000">
      <w:pPr>
        <w:pStyle w:val="Nadpis60"/>
        <w:framePr w:w="9806" w:h="869" w:hRule="exact" w:wrap="none" w:vAnchor="page" w:hAnchor="page" w:x="1181" w:y="11882"/>
        <w:ind w:right="6581" w:firstLine="440"/>
        <w:jc w:val="both"/>
        <w:rPr>
          <w:sz w:val="20"/>
          <w:szCs w:val="20"/>
        </w:rPr>
      </w:pPr>
      <w:bookmarkStart w:id="169" w:name="bookmark350"/>
      <w:r>
        <w:rPr>
          <w:rFonts w:ascii="Arial" w:eastAsia="Arial" w:hAnsi="Arial" w:cs="Arial"/>
          <w:sz w:val="20"/>
          <w:szCs w:val="20"/>
        </w:rPr>
        <w:t>Statutární město Pardubice</w:t>
      </w:r>
      <w:bookmarkEnd w:id="169"/>
    </w:p>
    <w:p w14:paraId="455D1F76" w14:textId="77777777" w:rsidR="00EC1C40" w:rsidRDefault="00000000">
      <w:pPr>
        <w:pStyle w:val="Zkladntext110"/>
        <w:framePr w:w="9806" w:h="869" w:hRule="exact" w:wrap="none" w:vAnchor="page" w:hAnchor="page" w:x="1181" w:y="11882"/>
        <w:spacing w:after="100" w:line="240" w:lineRule="auto"/>
        <w:ind w:right="6581" w:firstLine="440"/>
        <w:jc w:val="both"/>
      </w:pPr>
      <w:r>
        <w:rPr>
          <w:i w:val="0"/>
          <w:iCs w:val="0"/>
          <w:color w:val="231E20"/>
        </w:rPr>
        <w:t>Bc. Jan Nadrchal</w:t>
      </w:r>
    </w:p>
    <w:p w14:paraId="208CCEDB" w14:textId="77777777" w:rsidR="00EC1C40" w:rsidRDefault="00000000">
      <w:pPr>
        <w:pStyle w:val="Zkladntext110"/>
        <w:framePr w:w="9806" w:h="869" w:hRule="exact" w:wrap="none" w:vAnchor="page" w:hAnchor="page" w:x="1181" w:y="11882"/>
        <w:spacing w:after="0" w:line="240" w:lineRule="auto"/>
        <w:ind w:right="6581" w:firstLine="440"/>
        <w:jc w:val="both"/>
      </w:pPr>
      <w:r>
        <w:rPr>
          <w:i w:val="0"/>
          <w:iCs w:val="0"/>
          <w:color w:val="231E20"/>
        </w:rPr>
        <w:t>Primátor města</w:t>
      </w:r>
    </w:p>
    <w:p w14:paraId="54E86AFE" w14:textId="77777777" w:rsidR="00EC1C40" w:rsidRDefault="00000000">
      <w:pPr>
        <w:pStyle w:val="Zkladntext110"/>
        <w:framePr w:w="1224" w:h="946" w:hRule="exact" w:wrap="none" w:vAnchor="page" w:hAnchor="page" w:x="7297" w:y="11882"/>
        <w:spacing w:after="0" w:line="322" w:lineRule="auto"/>
      </w:pPr>
      <w:r>
        <w:rPr>
          <w:b/>
          <w:bCs/>
          <w:i w:val="0"/>
          <w:iCs w:val="0"/>
          <w:color w:val="231E20"/>
        </w:rPr>
        <w:t>MHAP s.r.o.</w:t>
      </w:r>
    </w:p>
    <w:p w14:paraId="735D7E64" w14:textId="77777777" w:rsidR="00EC1C40" w:rsidRDefault="00000000">
      <w:pPr>
        <w:pStyle w:val="Zkladntext110"/>
        <w:framePr w:w="1224" w:h="946" w:hRule="exact" w:wrap="none" w:vAnchor="page" w:hAnchor="page" w:x="7297" w:y="11882"/>
        <w:spacing w:after="0" w:line="322" w:lineRule="auto"/>
      </w:pPr>
      <w:r>
        <w:rPr>
          <w:i w:val="0"/>
          <w:iCs w:val="0"/>
          <w:color w:val="231E20"/>
        </w:rPr>
        <w:t>Petr Dědek</w:t>
      </w:r>
      <w:r>
        <w:rPr>
          <w:i w:val="0"/>
          <w:iCs w:val="0"/>
          <w:color w:val="231E20"/>
        </w:rPr>
        <w:br/>
        <w:t>jednatel</w:t>
      </w:r>
    </w:p>
    <w:p w14:paraId="64C6C6A6" w14:textId="77777777" w:rsidR="00EC1C40" w:rsidRDefault="00000000">
      <w:pPr>
        <w:pStyle w:val="Zhlavnebozpat0"/>
        <w:framePr w:wrap="none" w:vAnchor="page" w:hAnchor="page" w:x="5473" w:y="16193"/>
      </w:pPr>
      <w:r>
        <w:rPr>
          <w:rFonts w:ascii="Arial" w:eastAsia="Arial" w:hAnsi="Arial" w:cs="Arial"/>
          <w:color w:val="231E20"/>
        </w:rPr>
        <w:t xml:space="preserve">Stránka </w:t>
      </w:r>
      <w:r>
        <w:rPr>
          <w:rFonts w:ascii="Arial" w:eastAsia="Arial" w:hAnsi="Arial" w:cs="Arial"/>
          <w:b/>
          <w:bCs/>
          <w:color w:val="231E20"/>
        </w:rPr>
        <w:t xml:space="preserve">12 </w:t>
      </w:r>
      <w:r>
        <w:rPr>
          <w:rFonts w:ascii="Arial" w:eastAsia="Arial" w:hAnsi="Arial" w:cs="Arial"/>
          <w:color w:val="231E20"/>
        </w:rPr>
        <w:t xml:space="preserve">z </w:t>
      </w:r>
      <w:r>
        <w:rPr>
          <w:rFonts w:ascii="Arial" w:eastAsia="Arial" w:hAnsi="Arial" w:cs="Arial"/>
          <w:b/>
          <w:bCs/>
          <w:color w:val="231E20"/>
        </w:rPr>
        <w:t>13</w:t>
      </w:r>
    </w:p>
    <w:p w14:paraId="38BFC61E"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30203162" w14:textId="77777777" w:rsidR="00EC1C40" w:rsidRDefault="00EC1C40">
      <w:pPr>
        <w:spacing w:line="1" w:lineRule="exact"/>
      </w:pPr>
    </w:p>
    <w:p w14:paraId="5E135730" w14:textId="77777777" w:rsidR="00EC1C40" w:rsidRDefault="00000000">
      <w:pPr>
        <w:pStyle w:val="Jin0"/>
        <w:framePr w:wrap="none" w:vAnchor="page" w:hAnchor="page" w:x="1623" w:y="1258"/>
        <w:spacing w:after="0"/>
        <w:rPr>
          <w:sz w:val="24"/>
          <w:szCs w:val="24"/>
        </w:rPr>
      </w:pPr>
      <w:r>
        <w:rPr>
          <w:rFonts w:ascii="Arial" w:eastAsia="Arial" w:hAnsi="Arial" w:cs="Arial"/>
          <w:sz w:val="24"/>
          <w:szCs w:val="24"/>
        </w:rPr>
        <w:t>Příloha</w:t>
      </w:r>
    </w:p>
    <w:p w14:paraId="2704BD6E" w14:textId="77777777" w:rsidR="00EC1C40" w:rsidRDefault="00000000">
      <w:pPr>
        <w:framePr w:wrap="none" w:vAnchor="page" w:hAnchor="page" w:x="1090" w:y="2060"/>
        <w:rPr>
          <w:sz w:val="2"/>
          <w:szCs w:val="2"/>
        </w:rPr>
      </w:pPr>
      <w:r>
        <w:rPr>
          <w:noProof/>
        </w:rPr>
        <w:drawing>
          <wp:inline distT="0" distB="0" distL="0" distR="0" wp14:anchorId="4BD99EA7" wp14:editId="76A83A97">
            <wp:extent cx="6193790" cy="4248785"/>
            <wp:effectExtent l="0" t="0" r="0" b="0"/>
            <wp:docPr id="201" name="Picutre 201"/>
            <wp:cNvGraphicFramePr/>
            <a:graphic xmlns:a="http://schemas.openxmlformats.org/drawingml/2006/main">
              <a:graphicData uri="http://schemas.openxmlformats.org/drawingml/2006/picture">
                <pic:pic xmlns:pic="http://schemas.openxmlformats.org/drawingml/2006/picture">
                  <pic:nvPicPr>
                    <pic:cNvPr id="201" name="Picture 201"/>
                    <pic:cNvPicPr/>
                  </pic:nvPicPr>
                  <pic:blipFill>
                    <a:blip r:embed="rId65"/>
                    <a:stretch/>
                  </pic:blipFill>
                  <pic:spPr>
                    <a:xfrm>
                      <a:off x="0" y="0"/>
                      <a:ext cx="6193790" cy="4248785"/>
                    </a:xfrm>
                    <a:prstGeom prst="rect">
                      <a:avLst/>
                    </a:prstGeom>
                  </pic:spPr>
                </pic:pic>
              </a:graphicData>
            </a:graphic>
          </wp:inline>
        </w:drawing>
      </w:r>
    </w:p>
    <w:p w14:paraId="7BE3FB80" w14:textId="77777777" w:rsidR="00EC1C40" w:rsidRDefault="00000000">
      <w:pPr>
        <w:pStyle w:val="Zhlavnebozpat0"/>
        <w:framePr w:wrap="none" w:vAnchor="page" w:hAnchor="page" w:x="5468" w:y="16181"/>
      </w:pPr>
      <w:r>
        <w:rPr>
          <w:rFonts w:ascii="Arial" w:eastAsia="Arial" w:hAnsi="Arial" w:cs="Arial"/>
          <w:color w:val="231E20"/>
        </w:rPr>
        <w:t xml:space="preserve">Stránka </w:t>
      </w:r>
      <w:r>
        <w:rPr>
          <w:rFonts w:ascii="Arial" w:eastAsia="Arial" w:hAnsi="Arial" w:cs="Arial"/>
          <w:b/>
          <w:bCs/>
          <w:color w:val="231E20"/>
        </w:rPr>
        <w:t xml:space="preserve">13 </w:t>
      </w:r>
      <w:r>
        <w:rPr>
          <w:rFonts w:ascii="Arial" w:eastAsia="Arial" w:hAnsi="Arial" w:cs="Arial"/>
          <w:color w:val="231E20"/>
        </w:rPr>
        <w:t xml:space="preserve">z </w:t>
      </w:r>
      <w:r>
        <w:rPr>
          <w:rFonts w:ascii="Arial" w:eastAsia="Arial" w:hAnsi="Arial" w:cs="Arial"/>
          <w:b/>
          <w:bCs/>
          <w:color w:val="231E20"/>
        </w:rPr>
        <w:t>13</w:t>
      </w:r>
    </w:p>
    <w:p w14:paraId="743455D5"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16CDC1CB" w14:textId="77777777" w:rsidR="00EC1C40" w:rsidRDefault="00EC1C40">
      <w:pPr>
        <w:spacing w:line="1" w:lineRule="exact"/>
      </w:pPr>
    </w:p>
    <w:p w14:paraId="6E90547F" w14:textId="77777777" w:rsidR="00EC1C40" w:rsidRDefault="00000000">
      <w:pPr>
        <w:pStyle w:val="Zkladntext80"/>
        <w:framePr w:wrap="none" w:vAnchor="page" w:hAnchor="page" w:x="4748" w:y="5132"/>
        <w:jc w:val="left"/>
      </w:pPr>
      <w:r>
        <w:t>Příloha č. 26</w:t>
      </w:r>
    </w:p>
    <w:p w14:paraId="32067E7A"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3E2EEF5A" w14:textId="77777777" w:rsidR="00EC1C40" w:rsidRDefault="00EC1C40">
      <w:pPr>
        <w:spacing w:line="1" w:lineRule="exact"/>
      </w:pPr>
    </w:p>
    <w:p w14:paraId="29A13227" w14:textId="77777777" w:rsidR="00EC1C40" w:rsidRDefault="00000000">
      <w:pPr>
        <w:pStyle w:val="Jin0"/>
        <w:framePr w:wrap="none" w:vAnchor="page" w:hAnchor="page" w:x="4748" w:y="5079"/>
        <w:spacing w:after="0"/>
        <w:rPr>
          <w:sz w:val="50"/>
          <w:szCs w:val="50"/>
        </w:rPr>
      </w:pPr>
      <w:r>
        <w:rPr>
          <w:b/>
          <w:bCs/>
          <w:smallCaps/>
          <w:sz w:val="50"/>
          <w:szCs w:val="50"/>
        </w:rPr>
        <w:t>Neobsazeno</w:t>
      </w:r>
    </w:p>
    <w:p w14:paraId="280DCF92"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34E0DFDE" w14:textId="77777777" w:rsidR="00EC1C40" w:rsidRDefault="00EC1C40">
      <w:pPr>
        <w:spacing w:line="1" w:lineRule="exact"/>
      </w:pPr>
    </w:p>
    <w:p w14:paraId="31F91A98" w14:textId="77777777" w:rsidR="00EC1C40" w:rsidRDefault="00000000">
      <w:pPr>
        <w:pStyle w:val="Zkladntext80"/>
        <w:framePr w:wrap="none" w:vAnchor="page" w:hAnchor="page" w:x="4748" w:y="5079"/>
        <w:jc w:val="left"/>
        <w:rPr>
          <w:sz w:val="50"/>
          <w:szCs w:val="50"/>
        </w:rPr>
      </w:pPr>
      <w:r>
        <w:t>Příloh</w:t>
      </w:r>
      <w:r>
        <w:rPr>
          <w:rFonts w:ascii="Calibri" w:eastAsia="Calibri" w:hAnsi="Calibri" w:cs="Calibri"/>
          <w:b/>
          <w:bCs/>
          <w:smallCaps/>
          <w:sz w:val="50"/>
          <w:szCs w:val="50"/>
        </w:rPr>
        <w:t>a</w:t>
      </w:r>
      <w:r>
        <w:t xml:space="preserve"> č. </w:t>
      </w:r>
      <w:r>
        <w:rPr>
          <w:rFonts w:ascii="Calibri" w:eastAsia="Calibri" w:hAnsi="Calibri" w:cs="Calibri"/>
          <w:b/>
          <w:bCs/>
          <w:smallCaps/>
          <w:sz w:val="50"/>
          <w:szCs w:val="50"/>
        </w:rPr>
        <w:t>27</w:t>
      </w:r>
    </w:p>
    <w:p w14:paraId="3C7E15FB"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4C1E1314" w14:textId="77777777" w:rsidR="00EC1C40" w:rsidRDefault="00EC1C40">
      <w:pPr>
        <w:spacing w:line="1" w:lineRule="exact"/>
      </w:pPr>
    </w:p>
    <w:p w14:paraId="38CEB863" w14:textId="77777777" w:rsidR="00EC1C40" w:rsidRDefault="00000000">
      <w:pPr>
        <w:pStyle w:val="Titulekobrzku0"/>
        <w:framePr w:wrap="none" w:vAnchor="page" w:hAnchor="page" w:x="8377" w:y="4674"/>
      </w:pPr>
      <w:r>
        <w:rPr>
          <w:color w:val="231E20"/>
        </w:rPr>
        <w:t>ZÁZNAM O SCHVÁLENÍ</w:t>
      </w:r>
    </w:p>
    <w:p w14:paraId="6D848ACC" w14:textId="77777777" w:rsidR="00EC1C40" w:rsidRDefault="00000000">
      <w:pPr>
        <w:pStyle w:val="Titulekobrzku0"/>
        <w:framePr w:w="252" w:h="214" w:hRule="exact" w:wrap="none" w:vAnchor="page" w:hAnchor="page" w:x="9637" w:y="10094"/>
        <w:jc w:val="right"/>
      </w:pPr>
      <w:r>
        <w:rPr>
          <w:color w:val="48494B"/>
        </w:rPr>
        <w:t>0 X</w:t>
      </w:r>
    </w:p>
    <w:p w14:paraId="10CDB657" w14:textId="77777777" w:rsidR="00EC1C40" w:rsidRDefault="00000000">
      <w:pPr>
        <w:pStyle w:val="Titulekobrzku0"/>
        <w:framePr w:w="785" w:h="346" w:hRule="exact" w:wrap="none" w:vAnchor="page" w:hAnchor="page" w:x="8396" w:y="8001"/>
        <w:tabs>
          <w:tab w:val="left" w:leader="underscore" w:pos="288"/>
        </w:tabs>
        <w:rPr>
          <w:sz w:val="20"/>
          <w:szCs w:val="20"/>
        </w:rPr>
      </w:pPr>
      <w:r>
        <w:rPr>
          <w:rFonts w:ascii="Courier New" w:eastAsia="Courier New" w:hAnsi="Courier New" w:cs="Courier New"/>
          <w:b w:val="0"/>
          <w:bCs w:val="0"/>
          <w:smallCaps/>
          <w:color w:val="EC1C23"/>
          <w:sz w:val="20"/>
          <w:szCs w:val="20"/>
        </w:rPr>
        <w:tab/>
        <w:t xml:space="preserve">,: </w:t>
      </w:r>
      <w:proofErr w:type="spellStart"/>
      <w:r>
        <w:rPr>
          <w:rFonts w:ascii="Courier New" w:eastAsia="Courier New" w:hAnsi="Courier New" w:cs="Courier New"/>
          <w:b w:val="0"/>
          <w:bCs w:val="0"/>
          <w:smallCaps/>
          <w:color w:val="EC1C23"/>
          <w:sz w:val="20"/>
          <w:szCs w:val="20"/>
        </w:rPr>
        <w:t>hzs</w:t>
      </w:r>
      <w:proofErr w:type="spellEnd"/>
    </w:p>
    <w:p w14:paraId="3ED8CF65" w14:textId="77777777" w:rsidR="00EC1C40" w:rsidRDefault="00000000">
      <w:pPr>
        <w:pStyle w:val="Titulekobrzku0"/>
        <w:framePr w:w="785" w:h="346" w:hRule="exact" w:wrap="none" w:vAnchor="page" w:hAnchor="page" w:x="8396" w:y="8001"/>
        <w:tabs>
          <w:tab w:val="left" w:leader="hyphen" w:pos="600"/>
        </w:tabs>
        <w:spacing w:line="180" w:lineRule="auto"/>
        <w:rPr>
          <w:sz w:val="22"/>
          <w:szCs w:val="22"/>
        </w:rPr>
      </w:pPr>
      <w:r>
        <w:rPr>
          <w:b w:val="0"/>
          <w:bCs w:val="0"/>
          <w:color w:val="231E20"/>
          <w:sz w:val="13"/>
          <w:szCs w:val="13"/>
        </w:rPr>
        <w:t xml:space="preserve">ZZS </w:t>
      </w:r>
      <w:r>
        <w:rPr>
          <w:b w:val="0"/>
          <w:bCs w:val="0"/>
          <w:color w:val="EC1C23"/>
          <w:sz w:val="13"/>
          <w:szCs w:val="13"/>
        </w:rPr>
        <w:t>!</w:t>
      </w:r>
      <w:r>
        <w:rPr>
          <w:b w:val="0"/>
          <w:bCs w:val="0"/>
          <w:color w:val="EC1C23"/>
          <w:sz w:val="13"/>
          <w:szCs w:val="13"/>
        </w:rPr>
        <w:tab/>
      </w:r>
      <w:r>
        <w:rPr>
          <w:rFonts w:ascii="Times New Roman" w:eastAsia="Times New Roman" w:hAnsi="Times New Roman" w:cs="Times New Roman"/>
          <w:b w:val="0"/>
          <w:bCs w:val="0"/>
          <w:i/>
          <w:iCs/>
          <w:color w:val="EC1C23"/>
          <w:sz w:val="22"/>
          <w:szCs w:val="22"/>
        </w:rPr>
        <w:t>~s</w:t>
      </w:r>
    </w:p>
    <w:p w14:paraId="1E991A7A" w14:textId="77777777" w:rsidR="00EC1C40" w:rsidRDefault="00000000">
      <w:pPr>
        <w:pStyle w:val="Titulekobrzku0"/>
        <w:framePr w:w="1836" w:h="454" w:hRule="exact" w:wrap="none" w:vAnchor="page" w:hAnchor="page" w:x="5854" w:y="7641"/>
        <w:jc w:val="center"/>
        <w:rPr>
          <w:sz w:val="20"/>
          <w:szCs w:val="20"/>
        </w:rPr>
      </w:pPr>
      <w:proofErr w:type="spellStart"/>
      <w:r>
        <w:rPr>
          <w:rFonts w:ascii="Courier New" w:eastAsia="Courier New" w:hAnsi="Courier New" w:cs="Courier New"/>
          <w:b w:val="0"/>
          <w:bCs w:val="0"/>
          <w:smallCaps/>
          <w:color w:val="EC1C23"/>
          <w:sz w:val="20"/>
          <w:szCs w:val="20"/>
        </w:rPr>
        <w:t>Lokauta</w:t>
      </w:r>
      <w:proofErr w:type="spellEnd"/>
      <w:r>
        <w:rPr>
          <w:rFonts w:ascii="Courier New" w:eastAsia="Courier New" w:hAnsi="Courier New" w:cs="Courier New"/>
          <w:b w:val="0"/>
          <w:bCs w:val="0"/>
          <w:smallCaps/>
          <w:color w:val="EC1C23"/>
          <w:sz w:val="20"/>
          <w:szCs w:val="20"/>
        </w:rPr>
        <w:t xml:space="preserve"> </w:t>
      </w:r>
      <w:proofErr w:type="spellStart"/>
      <w:r>
        <w:rPr>
          <w:rFonts w:ascii="Courier New" w:eastAsia="Courier New" w:hAnsi="Courier New" w:cs="Courier New"/>
          <w:b w:val="0"/>
          <w:bCs w:val="0"/>
          <w:smallCaps/>
          <w:color w:val="EC1C23"/>
          <w:sz w:val="20"/>
          <w:szCs w:val="20"/>
        </w:rPr>
        <w:t>stabiuzace</w:t>
      </w:r>
      <w:proofErr w:type="spellEnd"/>
      <w:r>
        <w:rPr>
          <w:rFonts w:ascii="Courier New" w:eastAsia="Courier New" w:hAnsi="Courier New" w:cs="Courier New"/>
          <w:b w:val="0"/>
          <w:bCs w:val="0"/>
          <w:smallCaps/>
          <w:color w:val="EC1C23"/>
          <w:sz w:val="20"/>
          <w:szCs w:val="20"/>
        </w:rPr>
        <w:br/>
      </w:r>
      <w:r>
        <w:rPr>
          <w:b w:val="0"/>
          <w:bCs w:val="0"/>
          <w:color w:val="EC1C23"/>
          <w:sz w:val="20"/>
          <w:szCs w:val="20"/>
        </w:rPr>
        <w:t>UPD</w:t>
      </w:r>
    </w:p>
    <w:p w14:paraId="72998A6A" w14:textId="77777777" w:rsidR="00EC1C40" w:rsidRDefault="00000000">
      <w:pPr>
        <w:pStyle w:val="Titulekobrzku0"/>
        <w:framePr w:wrap="none" w:vAnchor="page" w:hAnchor="page" w:x="1421" w:y="4766"/>
      </w:pPr>
      <w:r>
        <w:rPr>
          <w:color w:val="231E20"/>
        </w:rPr>
        <w:t>Legenda</w:t>
      </w:r>
    </w:p>
    <w:p w14:paraId="07600B62" w14:textId="77777777" w:rsidR="00EC1C40" w:rsidRDefault="00000000">
      <w:pPr>
        <w:pStyle w:val="Titulekobrzku0"/>
        <w:framePr w:wrap="none" w:vAnchor="page" w:hAnchor="page" w:x="1647" w:y="10588"/>
        <w:rPr>
          <w:sz w:val="10"/>
          <w:szCs w:val="10"/>
        </w:rPr>
      </w:pPr>
      <w:r>
        <w:rPr>
          <w:color w:val="025DAC"/>
          <w:sz w:val="10"/>
          <w:szCs w:val="10"/>
        </w:rPr>
        <w:t>7+0</w:t>
      </w:r>
    </w:p>
    <w:p w14:paraId="0AA16048" w14:textId="77777777" w:rsidR="00EC1C40" w:rsidRDefault="00EC1C40">
      <w:pPr>
        <w:framePr w:wrap="none" w:vAnchor="page" w:hAnchor="page" w:x="8309" w:y="7180"/>
      </w:pPr>
    </w:p>
    <w:p w14:paraId="6BF76E0A" w14:textId="77777777" w:rsidR="00EC1C40" w:rsidRDefault="00000000">
      <w:pPr>
        <w:pStyle w:val="Zkladntext90"/>
        <w:framePr w:w="1325" w:h="394" w:hRule="exact" w:wrap="none" w:vAnchor="page" w:hAnchor="page" w:x="1340" w:y="12292"/>
      </w:pPr>
      <w:r>
        <w:rPr>
          <w:color w:val="231E20"/>
        </w:rPr>
        <w:t>zhotovitel</w:t>
      </w:r>
    </w:p>
    <w:p w14:paraId="0E456534" w14:textId="77777777" w:rsidR="00EC1C40" w:rsidRDefault="00000000">
      <w:pPr>
        <w:pStyle w:val="Zkladntext90"/>
        <w:framePr w:w="1325" w:h="394" w:hRule="exact" w:wrap="none" w:vAnchor="page" w:hAnchor="page" w:x="1340" w:y="12292"/>
        <w:spacing w:after="100" w:line="230" w:lineRule="auto"/>
      </w:pPr>
      <w:r>
        <w:rPr>
          <w:b w:val="0"/>
          <w:bCs w:val="0"/>
          <w:color w:val="231E20"/>
        </w:rPr>
        <w:t>Atelier architektury a urbanismu, s. r. o.</w:t>
      </w:r>
    </w:p>
    <w:p w14:paraId="17484134" w14:textId="77777777" w:rsidR="00EC1C40" w:rsidRDefault="00000000">
      <w:pPr>
        <w:pStyle w:val="Zkladntext90"/>
        <w:framePr w:w="1325" w:h="394" w:hRule="exact" w:wrap="none" w:vAnchor="page" w:hAnchor="page" w:x="1340" w:y="12292"/>
      </w:pPr>
      <w:r>
        <w:rPr>
          <w:b w:val="0"/>
          <w:bCs w:val="0"/>
          <w:color w:val="231E20"/>
        </w:rPr>
        <w:t>Statutární města Pardubice</w:t>
      </w:r>
    </w:p>
    <w:p w14:paraId="49FA1C0A" w14:textId="77777777" w:rsidR="00EC1C40" w:rsidRDefault="00000000">
      <w:pPr>
        <w:pStyle w:val="Zkladntext90"/>
        <w:framePr w:w="2722" w:h="511" w:hRule="exact" w:wrap="none" w:vAnchor="page" w:hAnchor="page" w:x="4033" w:y="12278"/>
        <w:tabs>
          <w:tab w:val="left" w:pos="2002"/>
        </w:tabs>
        <w:spacing w:line="509" w:lineRule="auto"/>
        <w:ind w:firstLine="720"/>
        <w:jc w:val="both"/>
      </w:pPr>
      <w:r>
        <w:rPr>
          <w:color w:val="231E20"/>
        </w:rPr>
        <w:t xml:space="preserve">Lipky 1283, 549 41 Červený Kostelec </w:t>
      </w:r>
      <w:r>
        <w:rPr>
          <w:b w:val="0"/>
          <w:bCs w:val="0"/>
          <w:color w:val="231E20"/>
        </w:rPr>
        <w:t xml:space="preserve">| Nová Cihelna 2024 </w:t>
      </w:r>
      <w:r>
        <w:rPr>
          <w:color w:val="231E20"/>
        </w:rPr>
        <w:t>Pernštýnské náměstí 1 /1,530 02 Pardubice 1 - Staré město</w:t>
      </w:r>
      <w:r>
        <w:rPr>
          <w:color w:val="231E20"/>
        </w:rPr>
        <w:tab/>
        <w:t>| Územní studie</w:t>
      </w:r>
    </w:p>
    <w:p w14:paraId="1B1295A9" w14:textId="77777777" w:rsidR="00EC1C40" w:rsidRDefault="00000000">
      <w:pPr>
        <w:pStyle w:val="Zkladntext90"/>
        <w:framePr w:wrap="none" w:vAnchor="page" w:hAnchor="page" w:x="7498" w:y="12518"/>
      </w:pPr>
      <w:r>
        <w:rPr>
          <w:color w:val="231E20"/>
        </w:rPr>
        <w:t>1.2025</w:t>
      </w:r>
    </w:p>
    <w:p w14:paraId="330428B2" w14:textId="77777777" w:rsidR="00EC1C40" w:rsidRDefault="00000000">
      <w:pPr>
        <w:pStyle w:val="Zkladntext90"/>
        <w:framePr w:w="2040" w:h="372" w:hRule="exact" w:wrap="none" w:vAnchor="page" w:hAnchor="page" w:x="8717" w:y="12318"/>
        <w:spacing w:after="100"/>
        <w:jc w:val="both"/>
      </w:pPr>
      <w:r>
        <w:rPr>
          <w:b w:val="0"/>
          <w:bCs w:val="0"/>
          <w:color w:val="231E20"/>
        </w:rPr>
        <w:t>Hlavní výkres</w:t>
      </w:r>
    </w:p>
    <w:p w14:paraId="419A0643" w14:textId="77777777" w:rsidR="00EC1C40" w:rsidRDefault="00000000">
      <w:pPr>
        <w:pStyle w:val="Zkladntext90"/>
        <w:framePr w:w="2040" w:h="372" w:hRule="exact" w:wrap="none" w:vAnchor="page" w:hAnchor="page" w:x="8717" w:y="12318"/>
        <w:jc w:val="both"/>
      </w:pPr>
      <w:r>
        <w:rPr>
          <w:color w:val="231E20"/>
        </w:rPr>
        <w:t xml:space="preserve">1:2000 Ing. arch. Marek </w:t>
      </w:r>
      <w:proofErr w:type="spellStart"/>
      <w:r>
        <w:rPr>
          <w:color w:val="231E20"/>
        </w:rPr>
        <w:t>Wajsar</w:t>
      </w:r>
      <w:proofErr w:type="spellEnd"/>
      <w:r>
        <w:rPr>
          <w:color w:val="231E20"/>
        </w:rPr>
        <w:t xml:space="preserve"> </w:t>
      </w:r>
      <w:r>
        <w:rPr>
          <w:color w:val="231E20"/>
          <w:lang w:val="en-US" w:eastAsia="en-US" w:bidi="en-US"/>
        </w:rPr>
        <w:t xml:space="preserve">Ing. </w:t>
      </w:r>
      <w:r>
        <w:rPr>
          <w:color w:val="231E20"/>
        </w:rPr>
        <w:t>Jan Vlček</w:t>
      </w:r>
    </w:p>
    <w:p w14:paraId="4CEF0AC3" w14:textId="77777777" w:rsidR="00EC1C40" w:rsidRDefault="00000000">
      <w:pPr>
        <w:spacing w:line="1" w:lineRule="exact"/>
        <w:sectPr w:rsidR="00EC1C40">
          <w:pgSz w:w="12148" w:h="17375"/>
          <w:pgMar w:top="360" w:right="360" w:bottom="360" w:left="360" w:header="0" w:footer="3" w:gutter="0"/>
          <w:cols w:space="720"/>
          <w:noEndnote/>
          <w:docGrid w:linePitch="360"/>
        </w:sectPr>
      </w:pPr>
      <w:r>
        <w:rPr>
          <w:noProof/>
        </w:rPr>
        <w:drawing>
          <wp:anchor distT="0" distB="0" distL="0" distR="0" simplePos="0" relativeHeight="251731456" behindDoc="1" locked="0" layoutInCell="1" allowOverlap="1" wp14:anchorId="2EDCAF76" wp14:editId="63441E67">
            <wp:simplePos x="0" y="0"/>
            <wp:positionH relativeFrom="page">
              <wp:posOffset>914400</wp:posOffset>
            </wp:positionH>
            <wp:positionV relativeFrom="page">
              <wp:posOffset>2958465</wp:posOffset>
            </wp:positionV>
            <wp:extent cx="5986145" cy="4803775"/>
            <wp:effectExtent l="0" t="0" r="0" b="0"/>
            <wp:wrapNone/>
            <wp:docPr id="202" name="Shape 202"/>
            <wp:cNvGraphicFramePr/>
            <a:graphic xmlns:a="http://schemas.openxmlformats.org/drawingml/2006/main">
              <a:graphicData uri="http://schemas.openxmlformats.org/drawingml/2006/picture">
                <pic:pic xmlns:pic="http://schemas.openxmlformats.org/drawingml/2006/picture">
                  <pic:nvPicPr>
                    <pic:cNvPr id="203" name="Picture box 203"/>
                    <pic:cNvPicPr/>
                  </pic:nvPicPr>
                  <pic:blipFill>
                    <a:blip r:embed="rId66"/>
                    <a:stretch/>
                  </pic:blipFill>
                  <pic:spPr>
                    <a:xfrm>
                      <a:off x="0" y="0"/>
                      <a:ext cx="5986145" cy="4803775"/>
                    </a:xfrm>
                    <a:prstGeom prst="rect">
                      <a:avLst/>
                    </a:prstGeom>
                  </pic:spPr>
                </pic:pic>
              </a:graphicData>
            </a:graphic>
          </wp:anchor>
        </w:drawing>
      </w:r>
    </w:p>
    <w:p w14:paraId="097CAD31" w14:textId="77777777" w:rsidR="00EC1C40" w:rsidRDefault="00EC1C40">
      <w:pPr>
        <w:spacing w:line="1" w:lineRule="exact"/>
      </w:pPr>
    </w:p>
    <w:p w14:paraId="0F0CD5D2" w14:textId="77777777" w:rsidR="00EC1C40" w:rsidRDefault="00000000">
      <w:pPr>
        <w:pStyle w:val="Zkladntext80"/>
        <w:framePr w:w="8650" w:h="547" w:hRule="exact" w:wrap="none" w:vAnchor="page" w:hAnchor="page" w:x="1508" w:y="5132"/>
      </w:pPr>
      <w:r>
        <w:t>Příloha č. 28</w:t>
      </w:r>
    </w:p>
    <w:p w14:paraId="7A73826C" w14:textId="77777777" w:rsidR="00EC1C40" w:rsidRDefault="00EC1C40">
      <w:pPr>
        <w:spacing w:line="1" w:lineRule="exact"/>
        <w:sectPr w:rsidR="00EC1C40">
          <w:pgSz w:w="12148" w:h="17375"/>
          <w:pgMar w:top="360" w:right="360" w:bottom="360" w:left="360" w:header="0" w:footer="3" w:gutter="0"/>
          <w:cols w:space="720"/>
          <w:noEndnote/>
          <w:docGrid w:linePitch="360"/>
        </w:sectPr>
      </w:pPr>
    </w:p>
    <w:p w14:paraId="3C5F5EB9" w14:textId="77777777" w:rsidR="00EC1C40" w:rsidRDefault="00EC1C40">
      <w:pPr>
        <w:spacing w:line="1" w:lineRule="exact"/>
      </w:pPr>
    </w:p>
    <w:p w14:paraId="31C1B1DB" w14:textId="77777777" w:rsidR="00EC1C40" w:rsidRDefault="00000000">
      <w:pPr>
        <w:pStyle w:val="Jin0"/>
        <w:framePr w:wrap="none" w:vAnchor="page" w:hAnchor="page" w:x="1508" w:y="1709"/>
        <w:spacing w:after="0"/>
        <w:rPr>
          <w:sz w:val="26"/>
          <w:szCs w:val="26"/>
        </w:rPr>
      </w:pPr>
      <w:r>
        <w:rPr>
          <w:rFonts w:ascii="Arial" w:eastAsia="Arial" w:hAnsi="Arial" w:cs="Arial"/>
          <w:b/>
          <w:bCs/>
          <w:sz w:val="26"/>
          <w:szCs w:val="26"/>
        </w:rPr>
        <w:t>Parkovací dům Hůrka + Dopravní terminál</w:t>
      </w:r>
    </w:p>
    <w:p w14:paraId="6ED0DF72" w14:textId="77777777" w:rsidR="00EC1C40" w:rsidRDefault="00000000">
      <w:pPr>
        <w:pStyle w:val="Zkladntext110"/>
        <w:framePr w:w="8650" w:h="7622" w:hRule="exact" w:wrap="none" w:vAnchor="page" w:hAnchor="page" w:x="1508" w:y="2688"/>
        <w:spacing w:after="160" w:line="322" w:lineRule="auto"/>
      </w:pPr>
      <w:r>
        <w:rPr>
          <w:i w:val="0"/>
          <w:iCs w:val="0"/>
          <w:color w:val="231E20"/>
          <w:u w:val="single"/>
        </w:rPr>
        <w:t>Základní parametry záměru - stavební objekty:</w:t>
      </w:r>
    </w:p>
    <w:p w14:paraId="5E18FDCA" w14:textId="77777777" w:rsidR="00EC1C40" w:rsidRDefault="00000000">
      <w:pPr>
        <w:pStyle w:val="Zkladntext110"/>
        <w:framePr w:w="8650" w:h="7622" w:hRule="exact" w:wrap="none" w:vAnchor="page" w:hAnchor="page" w:x="1508" w:y="2688"/>
        <w:numPr>
          <w:ilvl w:val="0"/>
          <w:numId w:val="137"/>
        </w:numPr>
        <w:tabs>
          <w:tab w:val="left" w:pos="750"/>
        </w:tabs>
        <w:spacing w:after="0" w:line="322" w:lineRule="auto"/>
        <w:ind w:firstLine="380"/>
        <w:jc w:val="both"/>
      </w:pPr>
      <w:r>
        <w:rPr>
          <w:i w:val="0"/>
          <w:iCs w:val="0"/>
          <w:color w:val="231E20"/>
        </w:rPr>
        <w:t>Parkovací dům o kapacitě až 1.500 míst</w:t>
      </w:r>
    </w:p>
    <w:p w14:paraId="7FCD2571" w14:textId="77777777" w:rsidR="00EC1C40" w:rsidRDefault="00000000">
      <w:pPr>
        <w:pStyle w:val="Zkladntext110"/>
        <w:framePr w:w="8650" w:h="7622" w:hRule="exact" w:wrap="none" w:vAnchor="page" w:hAnchor="page" w:x="1508" w:y="2688"/>
        <w:numPr>
          <w:ilvl w:val="0"/>
          <w:numId w:val="137"/>
        </w:numPr>
        <w:tabs>
          <w:tab w:val="left" w:pos="750"/>
        </w:tabs>
        <w:spacing w:after="0" w:line="322" w:lineRule="auto"/>
        <w:ind w:firstLine="380"/>
        <w:jc w:val="both"/>
      </w:pPr>
      <w:r>
        <w:rPr>
          <w:i w:val="0"/>
          <w:iCs w:val="0"/>
          <w:color w:val="231E20"/>
        </w:rPr>
        <w:t>Terminál sloužící pro vjezd do parkovacího domu a jako krytá plocha pro cestující</w:t>
      </w:r>
    </w:p>
    <w:p w14:paraId="7C2251F0" w14:textId="77777777" w:rsidR="00EC1C40" w:rsidRDefault="00000000">
      <w:pPr>
        <w:pStyle w:val="Zkladntext110"/>
        <w:framePr w:w="8650" w:h="7622" w:hRule="exact" w:wrap="none" w:vAnchor="page" w:hAnchor="page" w:x="1508" w:y="2688"/>
        <w:numPr>
          <w:ilvl w:val="0"/>
          <w:numId w:val="137"/>
        </w:numPr>
        <w:tabs>
          <w:tab w:val="left" w:pos="750"/>
        </w:tabs>
        <w:spacing w:after="0" w:line="322" w:lineRule="auto"/>
        <w:ind w:firstLine="380"/>
        <w:jc w:val="both"/>
      </w:pPr>
      <w:r>
        <w:rPr>
          <w:i w:val="0"/>
          <w:iCs w:val="0"/>
          <w:color w:val="231E20"/>
        </w:rPr>
        <w:t>Zázemí pro cestující</w:t>
      </w:r>
    </w:p>
    <w:p w14:paraId="4BAE67FC" w14:textId="77777777" w:rsidR="00EC1C40" w:rsidRDefault="00000000">
      <w:pPr>
        <w:pStyle w:val="Zkladntext110"/>
        <w:framePr w:w="8650" w:h="7622" w:hRule="exact" w:wrap="none" w:vAnchor="page" w:hAnchor="page" w:x="1508" w:y="2688"/>
        <w:numPr>
          <w:ilvl w:val="0"/>
          <w:numId w:val="137"/>
        </w:numPr>
        <w:tabs>
          <w:tab w:val="left" w:pos="750"/>
        </w:tabs>
        <w:spacing w:after="620" w:line="322" w:lineRule="auto"/>
        <w:ind w:firstLine="380"/>
        <w:jc w:val="both"/>
      </w:pPr>
      <w:r>
        <w:rPr>
          <w:i w:val="0"/>
          <w:iCs w:val="0"/>
          <w:color w:val="231E20"/>
        </w:rPr>
        <w:t>Zázemí pro řidiče (DPMP)</w:t>
      </w:r>
    </w:p>
    <w:p w14:paraId="7CD81BDD" w14:textId="77777777" w:rsidR="00EC1C40" w:rsidRDefault="00000000">
      <w:pPr>
        <w:pStyle w:val="Zkladntext110"/>
        <w:framePr w:w="8650" w:h="7622" w:hRule="exact" w:wrap="none" w:vAnchor="page" w:hAnchor="page" w:x="1508" w:y="2688"/>
        <w:spacing w:after="160" w:line="322" w:lineRule="auto"/>
      </w:pPr>
      <w:r>
        <w:rPr>
          <w:i w:val="0"/>
          <w:iCs w:val="0"/>
          <w:color w:val="231E20"/>
          <w:u w:val="single"/>
        </w:rPr>
        <w:t>Základní parametry - dopravně kapacitní řešení:</w:t>
      </w:r>
    </w:p>
    <w:p w14:paraId="09B1EE04" w14:textId="77777777" w:rsidR="00EC1C40" w:rsidRDefault="00000000">
      <w:pPr>
        <w:pStyle w:val="Zkladntext110"/>
        <w:framePr w:w="8650" w:h="7622" w:hRule="exact" w:wrap="none" w:vAnchor="page" w:hAnchor="page" w:x="1508" w:y="2688"/>
        <w:numPr>
          <w:ilvl w:val="0"/>
          <w:numId w:val="137"/>
        </w:numPr>
        <w:tabs>
          <w:tab w:val="left" w:pos="750"/>
        </w:tabs>
        <w:spacing w:after="0" w:line="322" w:lineRule="auto"/>
        <w:ind w:firstLine="380"/>
        <w:jc w:val="both"/>
      </w:pPr>
      <w:r>
        <w:rPr>
          <w:i w:val="0"/>
          <w:iCs w:val="0"/>
          <w:color w:val="231E20"/>
        </w:rPr>
        <w:t>nová okružní křižovatka na silnici I/36 pro dopravní napojení záměru</w:t>
      </w:r>
    </w:p>
    <w:p w14:paraId="0A04C555" w14:textId="77777777" w:rsidR="00EC1C40" w:rsidRDefault="00000000">
      <w:pPr>
        <w:pStyle w:val="Zkladntext110"/>
        <w:framePr w:w="8650" w:h="7622" w:hRule="exact" w:wrap="none" w:vAnchor="page" w:hAnchor="page" w:x="1508" w:y="2688"/>
        <w:numPr>
          <w:ilvl w:val="0"/>
          <w:numId w:val="137"/>
        </w:numPr>
        <w:tabs>
          <w:tab w:val="left" w:pos="750"/>
        </w:tabs>
        <w:spacing w:after="0" w:line="322" w:lineRule="auto"/>
        <w:ind w:firstLine="380"/>
        <w:jc w:val="both"/>
      </w:pPr>
      <w:r>
        <w:rPr>
          <w:i w:val="0"/>
          <w:iCs w:val="0"/>
          <w:color w:val="231E20"/>
        </w:rPr>
        <w:t>součástí dopravního řešení bude také:</w:t>
      </w:r>
    </w:p>
    <w:p w14:paraId="7412F1FE" w14:textId="77777777" w:rsidR="00EC1C40" w:rsidRDefault="00000000">
      <w:pPr>
        <w:pStyle w:val="Zkladntext110"/>
        <w:framePr w:w="8650" w:h="7622" w:hRule="exact" w:wrap="none" w:vAnchor="page" w:hAnchor="page" w:x="1508" w:y="2688"/>
        <w:spacing w:after="0" w:line="326" w:lineRule="auto"/>
        <w:ind w:left="1100"/>
      </w:pPr>
      <w:r>
        <w:rPr>
          <w:rFonts w:ascii="Courier New" w:eastAsia="Courier New" w:hAnsi="Courier New" w:cs="Courier New"/>
          <w:i w:val="0"/>
          <w:iCs w:val="0"/>
          <w:smallCaps/>
          <w:color w:val="231E20"/>
        </w:rPr>
        <w:t>o</w:t>
      </w:r>
      <w:r>
        <w:rPr>
          <w:i w:val="0"/>
          <w:iCs w:val="0"/>
          <w:color w:val="231E20"/>
        </w:rPr>
        <w:t xml:space="preserve"> zajištění dopravního napojení ke střelnici</w:t>
      </w:r>
    </w:p>
    <w:p w14:paraId="15DA8C3F" w14:textId="77777777" w:rsidR="00EC1C40" w:rsidRDefault="00000000">
      <w:pPr>
        <w:pStyle w:val="Zkladntext110"/>
        <w:framePr w:w="8650" w:h="7622" w:hRule="exact" w:wrap="none" w:vAnchor="page" w:hAnchor="page" w:x="1508" w:y="2688"/>
        <w:spacing w:after="0" w:line="326" w:lineRule="auto"/>
        <w:ind w:left="1100"/>
      </w:pPr>
      <w:r>
        <w:rPr>
          <w:rFonts w:ascii="Courier New" w:eastAsia="Courier New" w:hAnsi="Courier New" w:cs="Courier New"/>
          <w:i w:val="0"/>
          <w:iCs w:val="0"/>
          <w:smallCaps/>
          <w:color w:val="231E20"/>
        </w:rPr>
        <w:t>o</w:t>
      </w:r>
      <w:r>
        <w:rPr>
          <w:i w:val="0"/>
          <w:iCs w:val="0"/>
          <w:color w:val="231E20"/>
        </w:rPr>
        <w:t xml:space="preserve"> zachování cyklostezky podél silnice I/36</w:t>
      </w:r>
    </w:p>
    <w:p w14:paraId="7C4300CF" w14:textId="77777777" w:rsidR="00EC1C40" w:rsidRDefault="00000000">
      <w:pPr>
        <w:pStyle w:val="Zkladntext110"/>
        <w:framePr w:w="8650" w:h="7622" w:hRule="exact" w:wrap="none" w:vAnchor="page" w:hAnchor="page" w:x="1508" w:y="2688"/>
        <w:numPr>
          <w:ilvl w:val="0"/>
          <w:numId w:val="137"/>
        </w:numPr>
        <w:tabs>
          <w:tab w:val="left" w:pos="750"/>
        </w:tabs>
        <w:spacing w:after="0" w:line="322" w:lineRule="auto"/>
        <w:ind w:firstLine="380"/>
      </w:pPr>
      <w:r>
        <w:rPr>
          <w:i w:val="0"/>
          <w:iCs w:val="0"/>
          <w:color w:val="231E20"/>
        </w:rPr>
        <w:t>nástupní/výstupní plochy pro autobusy (délka 15 m)</w:t>
      </w:r>
    </w:p>
    <w:p w14:paraId="318300AF" w14:textId="77777777" w:rsidR="00EC1C40" w:rsidRDefault="00000000">
      <w:pPr>
        <w:pStyle w:val="Zkladntext110"/>
        <w:framePr w:w="8650" w:h="7622" w:hRule="exact" w:wrap="none" w:vAnchor="page" w:hAnchor="page" w:x="1508" w:y="2688"/>
        <w:spacing w:after="0" w:line="326" w:lineRule="auto"/>
        <w:ind w:left="1100"/>
      </w:pPr>
      <w:r>
        <w:rPr>
          <w:rFonts w:ascii="Courier New" w:eastAsia="Courier New" w:hAnsi="Courier New" w:cs="Courier New"/>
          <w:i w:val="0"/>
          <w:iCs w:val="0"/>
          <w:smallCaps/>
          <w:color w:val="231E20"/>
        </w:rPr>
        <w:t>o</w:t>
      </w:r>
      <w:r>
        <w:rPr>
          <w:i w:val="0"/>
          <w:iCs w:val="0"/>
          <w:color w:val="231E20"/>
        </w:rPr>
        <w:t xml:space="preserve"> 3-4 zastávky pro potřeby MHAP (Aréna)</w:t>
      </w:r>
    </w:p>
    <w:p w14:paraId="09BDFA3E" w14:textId="77777777" w:rsidR="00EC1C40" w:rsidRDefault="00000000">
      <w:pPr>
        <w:pStyle w:val="Zkladntext110"/>
        <w:framePr w:w="8650" w:h="7622" w:hRule="exact" w:wrap="none" w:vAnchor="page" w:hAnchor="page" w:x="1508" w:y="2688"/>
        <w:spacing w:after="0" w:line="326" w:lineRule="auto"/>
        <w:ind w:left="1100"/>
      </w:pPr>
      <w:r>
        <w:rPr>
          <w:rFonts w:ascii="Courier New" w:eastAsia="Courier New" w:hAnsi="Courier New" w:cs="Courier New"/>
          <w:i w:val="0"/>
          <w:iCs w:val="0"/>
          <w:smallCaps/>
          <w:color w:val="231E20"/>
        </w:rPr>
        <w:t>o</w:t>
      </w:r>
      <w:r>
        <w:rPr>
          <w:i w:val="0"/>
          <w:iCs w:val="0"/>
          <w:color w:val="231E20"/>
        </w:rPr>
        <w:t xml:space="preserve"> 2 zastávky pro potřeby DPMP</w:t>
      </w:r>
    </w:p>
    <w:p w14:paraId="5835C6A2" w14:textId="77777777" w:rsidR="00EC1C40" w:rsidRDefault="00000000">
      <w:pPr>
        <w:pStyle w:val="Zkladntext110"/>
        <w:framePr w:w="8650" w:h="7622" w:hRule="exact" w:wrap="none" w:vAnchor="page" w:hAnchor="page" w:x="1508" w:y="2688"/>
        <w:spacing w:after="0" w:line="298" w:lineRule="auto"/>
        <w:ind w:left="1100"/>
      </w:pPr>
      <w:r>
        <w:rPr>
          <w:rFonts w:ascii="Courier New" w:eastAsia="Courier New" w:hAnsi="Courier New" w:cs="Courier New"/>
          <w:i w:val="0"/>
          <w:iCs w:val="0"/>
          <w:smallCaps/>
          <w:color w:val="231E20"/>
        </w:rPr>
        <w:t>o</w:t>
      </w:r>
      <w:r>
        <w:rPr>
          <w:i w:val="0"/>
          <w:iCs w:val="0"/>
          <w:color w:val="231E20"/>
        </w:rPr>
        <w:t xml:space="preserve"> zastávka DPMP alternativně určena i pro krajské linkové autobusy</w:t>
      </w:r>
    </w:p>
    <w:p w14:paraId="221211D7" w14:textId="77777777" w:rsidR="00EC1C40" w:rsidRDefault="00000000">
      <w:pPr>
        <w:pStyle w:val="Zkladntext110"/>
        <w:framePr w:w="8650" w:h="7622" w:hRule="exact" w:wrap="none" w:vAnchor="page" w:hAnchor="page" w:x="1508" w:y="2688"/>
        <w:numPr>
          <w:ilvl w:val="0"/>
          <w:numId w:val="137"/>
        </w:numPr>
        <w:tabs>
          <w:tab w:val="left" w:pos="750"/>
        </w:tabs>
        <w:spacing w:after="620" w:line="322" w:lineRule="auto"/>
        <w:ind w:left="740" w:hanging="360"/>
        <w:jc w:val="both"/>
      </w:pPr>
      <w:r>
        <w:rPr>
          <w:i w:val="0"/>
          <w:iCs w:val="0"/>
          <w:color w:val="231E20"/>
        </w:rPr>
        <w:t>odstavná stání pro autobusy v počtu 6 a více (dle výsledného dopravně dispozičního řešení) - využití pro MHAP a DPMP</w:t>
      </w:r>
    </w:p>
    <w:p w14:paraId="2A43288B" w14:textId="77777777" w:rsidR="00EC1C40" w:rsidRDefault="00000000">
      <w:pPr>
        <w:pStyle w:val="Zkladntext110"/>
        <w:framePr w:w="8650" w:h="7622" w:hRule="exact" w:wrap="none" w:vAnchor="page" w:hAnchor="page" w:x="1508" w:y="2688"/>
        <w:spacing w:after="160" w:line="322" w:lineRule="auto"/>
      </w:pPr>
      <w:r>
        <w:rPr>
          <w:i w:val="0"/>
          <w:iCs w:val="0"/>
          <w:color w:val="231E20"/>
          <w:u w:val="single"/>
        </w:rPr>
        <w:t>Další související stavby:</w:t>
      </w:r>
    </w:p>
    <w:p w14:paraId="6D772240" w14:textId="77777777" w:rsidR="00EC1C40" w:rsidRDefault="00000000">
      <w:pPr>
        <w:pStyle w:val="Zkladntext110"/>
        <w:framePr w:w="8650" w:h="7622" w:hRule="exact" w:wrap="none" w:vAnchor="page" w:hAnchor="page" w:x="1508" w:y="2688"/>
        <w:numPr>
          <w:ilvl w:val="0"/>
          <w:numId w:val="137"/>
        </w:numPr>
        <w:tabs>
          <w:tab w:val="left" w:pos="750"/>
        </w:tabs>
        <w:spacing w:after="0" w:line="322" w:lineRule="auto"/>
        <w:ind w:firstLine="380"/>
      </w:pPr>
      <w:r>
        <w:rPr>
          <w:i w:val="0"/>
          <w:iCs w:val="0"/>
          <w:color w:val="231E20"/>
        </w:rPr>
        <w:t>veřejné osvětlení</w:t>
      </w:r>
    </w:p>
    <w:p w14:paraId="0E69F594" w14:textId="77777777" w:rsidR="00EC1C40" w:rsidRDefault="00000000">
      <w:pPr>
        <w:pStyle w:val="Zkladntext110"/>
        <w:framePr w:w="8650" w:h="7622" w:hRule="exact" w:wrap="none" w:vAnchor="page" w:hAnchor="page" w:x="1508" w:y="2688"/>
        <w:numPr>
          <w:ilvl w:val="0"/>
          <w:numId w:val="137"/>
        </w:numPr>
        <w:tabs>
          <w:tab w:val="left" w:pos="750"/>
        </w:tabs>
        <w:spacing w:after="0" w:line="322" w:lineRule="auto"/>
        <w:ind w:firstLine="380"/>
        <w:jc w:val="both"/>
      </w:pPr>
      <w:r>
        <w:rPr>
          <w:i w:val="0"/>
          <w:iCs w:val="0"/>
          <w:color w:val="231E20"/>
        </w:rPr>
        <w:t>vodovod + kanalizace</w:t>
      </w:r>
    </w:p>
    <w:p w14:paraId="11FED9DA" w14:textId="77777777" w:rsidR="00EC1C40" w:rsidRDefault="00EC1C40">
      <w:pPr>
        <w:spacing w:line="1" w:lineRule="exact"/>
      </w:pPr>
    </w:p>
    <w:sectPr w:rsidR="00EC1C40">
      <w:pgSz w:w="12148" w:h="17375"/>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492DFF" w14:textId="77777777" w:rsidR="00B71E67" w:rsidRDefault="00B71E67">
      <w:r>
        <w:separator/>
      </w:r>
    </w:p>
  </w:endnote>
  <w:endnote w:type="continuationSeparator" w:id="0">
    <w:p w14:paraId="7B7D38BA" w14:textId="77777777" w:rsidR="00B71E67" w:rsidRDefault="00B71E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EE"/>
    <w:family w:val="swiss"/>
    <w:pitch w:val="variable"/>
    <w:sig w:usb0="E5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Courier New">
    <w:panose1 w:val="02070309020205020404"/>
    <w:charset w:val="EE"/>
    <w:family w:val="modern"/>
    <w:pitch w:val="fixed"/>
    <w:sig w:usb0="E0002EFF" w:usb1="C0007843"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62B253" w14:textId="77777777" w:rsidR="00B71E67" w:rsidRDefault="00B71E67"/>
  </w:footnote>
  <w:footnote w:type="continuationSeparator" w:id="0">
    <w:p w14:paraId="54B26B54" w14:textId="77777777" w:rsidR="00B71E67" w:rsidRDefault="00B71E6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910C8"/>
    <w:multiLevelType w:val="multilevel"/>
    <w:tmpl w:val="16CCEE9C"/>
    <w:lvl w:ilvl="0">
      <w:start w:val="1"/>
      <w:numFmt w:val="lowerLetter"/>
      <w:lvlText w:val="%1)"/>
      <w:lvlJc w:val="left"/>
      <w:rPr>
        <w:rFonts w:ascii="Calibri" w:eastAsia="Calibri" w:hAnsi="Calibri" w:cs="Calibri"/>
        <w:b w:val="0"/>
        <w:bCs w:val="0"/>
        <w:i w:val="0"/>
        <w:iCs w:val="0"/>
        <w:smallCaps w:val="0"/>
        <w:strike w:val="0"/>
        <w:color w:val="231E2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265120F"/>
    <w:multiLevelType w:val="multilevel"/>
    <w:tmpl w:val="1806086E"/>
    <w:lvl w:ilvl="0">
      <w:start w:val="3"/>
      <w:numFmt w:val="decimal"/>
      <w:lvlText w:val="%1."/>
      <w:lvlJc w:val="left"/>
    </w:lvl>
    <w:lvl w:ilvl="1">
      <w:start w:val="1"/>
      <w:numFmt w:val="decimal"/>
      <w:lvlText w:val="%1.%2."/>
      <w:lvlJc w:val="left"/>
      <w:rPr>
        <w:rFonts w:ascii="Arial" w:eastAsia="Arial" w:hAnsi="Arial" w:cs="Arial"/>
        <w:b w:val="0"/>
        <w:bCs w:val="0"/>
        <w:i/>
        <w:iCs/>
        <w:smallCaps w:val="0"/>
        <w:strike w:val="0"/>
        <w:color w:val="231E20"/>
        <w:spacing w:val="0"/>
        <w:w w:val="100"/>
        <w:position w:val="0"/>
        <w:sz w:val="18"/>
        <w:szCs w:val="18"/>
        <w:u w:val="none"/>
        <w:shd w:val="clear" w:color="auto" w:fill="auto"/>
        <w:lang w:val="cs-CZ" w:eastAsia="cs-CZ" w:bidi="cs-CZ"/>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6504DFC"/>
    <w:multiLevelType w:val="multilevel"/>
    <w:tmpl w:val="0BBC934E"/>
    <w:lvl w:ilvl="0">
      <w:start w:val="5"/>
      <w:numFmt w:val="decimal"/>
      <w:lvlText w:val="%1."/>
      <w:lvlJc w:val="left"/>
    </w:lvl>
    <w:lvl w:ilvl="1">
      <w:start w:val="1"/>
      <w:numFmt w:val="decimal"/>
      <w:lvlText w:val="%1.%2."/>
      <w:lvlJc w:val="left"/>
      <w:rPr>
        <w:rFonts w:ascii="Arial" w:eastAsia="Arial" w:hAnsi="Arial" w:cs="Arial"/>
        <w:b w:val="0"/>
        <w:bCs w:val="0"/>
        <w:i w:val="0"/>
        <w:iCs w:val="0"/>
        <w:smallCaps w:val="0"/>
        <w:strike w:val="0"/>
        <w:color w:val="231E20"/>
        <w:spacing w:val="0"/>
        <w:w w:val="100"/>
        <w:position w:val="0"/>
        <w:sz w:val="20"/>
        <w:szCs w:val="20"/>
        <w:u w:val="none"/>
        <w:shd w:val="clear" w:color="auto" w:fill="auto"/>
        <w:lang w:val="cs-CZ" w:eastAsia="cs-CZ" w:bidi="cs-CZ"/>
      </w:rPr>
    </w:lvl>
    <w:lvl w:ilvl="2">
      <w:start w:val="1"/>
      <w:numFmt w:val="decimal"/>
      <w:lvlText w:val="%1.%2.%3."/>
      <w:lvlJc w:val="left"/>
      <w:rPr>
        <w:rFonts w:ascii="Arial" w:eastAsia="Arial" w:hAnsi="Arial" w:cs="Arial"/>
        <w:b w:val="0"/>
        <w:bCs w:val="0"/>
        <w:i w:val="0"/>
        <w:iCs w:val="0"/>
        <w:smallCaps w:val="0"/>
        <w:strike w:val="0"/>
        <w:color w:val="231E20"/>
        <w:spacing w:val="0"/>
        <w:w w:val="100"/>
        <w:position w:val="0"/>
        <w:sz w:val="20"/>
        <w:szCs w:val="20"/>
        <w:u w:val="none"/>
        <w:shd w:val="clear" w:color="auto" w:fill="auto"/>
        <w:lang w:val="cs-CZ" w:eastAsia="cs-CZ" w:bidi="cs-CZ"/>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69F372E"/>
    <w:multiLevelType w:val="multilevel"/>
    <w:tmpl w:val="17800CB6"/>
    <w:lvl w:ilvl="0">
      <w:start w:val="3"/>
      <w:numFmt w:val="upperRoman"/>
      <w:lvlText w:val="%1."/>
      <w:lvlJc w:val="left"/>
      <w:rPr>
        <w:rFonts w:ascii="Calibri" w:eastAsia="Calibri" w:hAnsi="Calibri" w:cs="Calibri"/>
        <w:b w:val="0"/>
        <w:bCs w:val="0"/>
        <w:i w:val="0"/>
        <w:iCs w:val="0"/>
        <w:smallCaps w:val="0"/>
        <w:strike w:val="0"/>
        <w:color w:val="142A56"/>
        <w:spacing w:val="0"/>
        <w:w w:val="100"/>
        <w:position w:val="0"/>
        <w:sz w:val="22"/>
        <w:szCs w:val="22"/>
        <w:u w:val="none"/>
        <w:shd w:val="clear" w:color="auto" w:fill="auto"/>
        <w:lang w:val="cs-CZ" w:eastAsia="cs-CZ" w:bidi="cs-CZ"/>
      </w:rPr>
    </w:lvl>
    <w:lvl w:ilvl="1">
      <w:start w:val="1"/>
      <w:numFmt w:val="upperRoman"/>
      <w:lvlText w:val="%1.%2"/>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B5F7BAF"/>
    <w:multiLevelType w:val="multilevel"/>
    <w:tmpl w:val="7E52A016"/>
    <w:lvl w:ilvl="0">
      <w:start w:val="1"/>
      <w:numFmt w:val="decimal"/>
      <w:lvlText w:val="%1."/>
      <w:lvlJc w:val="left"/>
      <w:rPr>
        <w:rFonts w:ascii="Calibri" w:eastAsia="Calibri" w:hAnsi="Calibri" w:cs="Calibri"/>
        <w:b/>
        <w:bCs/>
        <w:i w:val="0"/>
        <w:iCs w:val="0"/>
        <w:smallCaps w:val="0"/>
        <w:strike w:val="0"/>
        <w:color w:val="231E20"/>
        <w:spacing w:val="0"/>
        <w:w w:val="100"/>
        <w:position w:val="0"/>
        <w:sz w:val="22"/>
        <w:szCs w:val="22"/>
        <w:u w:val="none"/>
        <w:shd w:val="clear" w:color="auto" w:fill="auto"/>
        <w:lang w:val="cs-CZ" w:eastAsia="cs-CZ" w:bidi="cs-CZ"/>
      </w:rPr>
    </w:lvl>
    <w:lvl w:ilvl="1">
      <w:start w:val="1"/>
      <w:numFmt w:val="decimal"/>
      <w:lvlText w:val="%1.%2."/>
      <w:lvlJc w:val="left"/>
      <w:rPr>
        <w:rFonts w:ascii="Calibri" w:eastAsia="Calibri" w:hAnsi="Calibri" w:cs="Calibri"/>
        <w:b w:val="0"/>
        <w:bCs w:val="0"/>
        <w:i w:val="0"/>
        <w:iCs w:val="0"/>
        <w:smallCaps w:val="0"/>
        <w:strike w:val="0"/>
        <w:color w:val="231E20"/>
        <w:spacing w:val="0"/>
        <w:w w:val="100"/>
        <w:position w:val="0"/>
        <w:sz w:val="22"/>
        <w:szCs w:val="22"/>
        <w:u w:val="none"/>
        <w:shd w:val="clear" w:color="auto" w:fill="auto"/>
        <w:lang w:val="cs-CZ" w:eastAsia="cs-CZ" w:bidi="cs-CZ"/>
      </w:rPr>
    </w:lvl>
    <w:lvl w:ilvl="2">
      <w:start w:val="1"/>
      <w:numFmt w:val="decimal"/>
      <w:lvlText w:val="%1.%2.%3."/>
      <w:lvlJc w:val="left"/>
      <w:rPr>
        <w:rFonts w:ascii="Calibri" w:eastAsia="Calibri" w:hAnsi="Calibri" w:cs="Calibri"/>
        <w:b w:val="0"/>
        <w:bCs w:val="0"/>
        <w:i w:val="0"/>
        <w:iCs w:val="0"/>
        <w:smallCaps w:val="0"/>
        <w:strike w:val="0"/>
        <w:color w:val="231E20"/>
        <w:spacing w:val="0"/>
        <w:w w:val="100"/>
        <w:position w:val="0"/>
        <w:sz w:val="22"/>
        <w:szCs w:val="22"/>
        <w:u w:val="none"/>
        <w:shd w:val="clear" w:color="auto" w:fill="auto"/>
        <w:lang w:val="cs-CZ" w:eastAsia="cs-CZ" w:bidi="cs-CZ"/>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C362674"/>
    <w:multiLevelType w:val="multilevel"/>
    <w:tmpl w:val="CB7C0392"/>
    <w:lvl w:ilvl="0">
      <w:start w:val="1"/>
      <w:numFmt w:val="decimal"/>
      <w:lvlText w:val="%1."/>
      <w:lvlJc w:val="left"/>
      <w:rPr>
        <w:rFonts w:ascii="Calibri" w:eastAsia="Calibri" w:hAnsi="Calibri" w:cs="Calibri"/>
        <w:b w:val="0"/>
        <w:bCs w:val="0"/>
        <w:i w:val="0"/>
        <w:iCs w:val="0"/>
        <w:smallCaps w:val="0"/>
        <w:strike w:val="0"/>
        <w:color w:val="231E2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FD50321"/>
    <w:multiLevelType w:val="multilevel"/>
    <w:tmpl w:val="5C769E4A"/>
    <w:lvl w:ilvl="0">
      <w:start w:val="1"/>
      <w:numFmt w:val="lowerRoman"/>
      <w:lvlText w:val="%1."/>
      <w:lvlJc w:val="left"/>
      <w:rPr>
        <w:rFonts w:ascii="Calibri" w:eastAsia="Calibri" w:hAnsi="Calibri" w:cs="Calibri"/>
        <w:b w:val="0"/>
        <w:bCs w:val="0"/>
        <w:i w:val="0"/>
        <w:iCs w:val="0"/>
        <w:smallCaps w:val="0"/>
        <w:strike w:val="0"/>
        <w:color w:val="231E2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FE03ACB"/>
    <w:multiLevelType w:val="multilevel"/>
    <w:tmpl w:val="8804786A"/>
    <w:lvl w:ilvl="0">
      <w:start w:val="1"/>
      <w:numFmt w:val="upperLetter"/>
      <w:lvlText w:val="(%1)"/>
      <w:lvlJc w:val="left"/>
      <w:rPr>
        <w:rFonts w:ascii="Calibri" w:eastAsia="Calibri" w:hAnsi="Calibri" w:cs="Calibri"/>
        <w:b w:val="0"/>
        <w:bCs w:val="0"/>
        <w:i w:val="0"/>
        <w:iCs w:val="0"/>
        <w:smallCaps w:val="0"/>
        <w:strike w:val="0"/>
        <w:color w:val="231E2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11A447F"/>
    <w:multiLevelType w:val="multilevel"/>
    <w:tmpl w:val="144C19E8"/>
    <w:lvl w:ilvl="0">
      <w:start w:val="1"/>
      <w:numFmt w:val="lowerLetter"/>
      <w:lvlText w:val="%1)"/>
      <w:lvlJc w:val="left"/>
      <w:rPr>
        <w:rFonts w:ascii="Times New Roman" w:eastAsia="Times New Roman" w:hAnsi="Times New Roman" w:cs="Times New Roman"/>
        <w:b w:val="0"/>
        <w:bCs w:val="0"/>
        <w:i w:val="0"/>
        <w:iCs w:val="0"/>
        <w:smallCaps w:val="0"/>
        <w:strike w:val="0"/>
        <w:color w:val="231E2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15D4DE3"/>
    <w:multiLevelType w:val="multilevel"/>
    <w:tmpl w:val="903CCEE4"/>
    <w:lvl w:ilvl="0">
      <w:start w:val="1"/>
      <w:numFmt w:val="lowerLetter"/>
      <w:lvlText w:val="%1)"/>
      <w:lvlJc w:val="left"/>
      <w:rPr>
        <w:rFonts w:ascii="Calibri" w:eastAsia="Calibri" w:hAnsi="Calibri" w:cs="Calibri"/>
        <w:b w:val="0"/>
        <w:bCs w:val="0"/>
        <w:i w:val="0"/>
        <w:iCs w:val="0"/>
        <w:smallCaps w:val="0"/>
        <w:strike w:val="0"/>
        <w:color w:val="231E2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2336B6F"/>
    <w:multiLevelType w:val="multilevel"/>
    <w:tmpl w:val="83CEECFC"/>
    <w:lvl w:ilvl="0">
      <w:start w:val="6"/>
      <w:numFmt w:val="decimal"/>
      <w:lvlText w:val="%1."/>
      <w:lvlJc w:val="left"/>
    </w:lvl>
    <w:lvl w:ilvl="1">
      <w:start w:val="1"/>
      <w:numFmt w:val="decimal"/>
      <w:lvlText w:val="%1.%2."/>
      <w:lvlJc w:val="left"/>
      <w:rPr>
        <w:rFonts w:ascii="Arial" w:eastAsia="Arial" w:hAnsi="Arial" w:cs="Arial"/>
        <w:b w:val="0"/>
        <w:bCs w:val="0"/>
        <w:i w:val="0"/>
        <w:iCs w:val="0"/>
        <w:smallCaps w:val="0"/>
        <w:strike w:val="0"/>
        <w:color w:val="231E20"/>
        <w:spacing w:val="0"/>
        <w:w w:val="100"/>
        <w:position w:val="0"/>
        <w:sz w:val="20"/>
        <w:szCs w:val="20"/>
        <w:u w:val="none"/>
        <w:shd w:val="clear" w:color="auto" w:fill="auto"/>
        <w:lang w:val="cs-CZ" w:eastAsia="cs-CZ" w:bidi="cs-CZ"/>
      </w:rPr>
    </w:lvl>
    <w:lvl w:ilvl="2">
      <w:start w:val="1"/>
      <w:numFmt w:val="decimal"/>
      <w:lvlText w:val="%1.%2.%3."/>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28475F8"/>
    <w:multiLevelType w:val="multilevel"/>
    <w:tmpl w:val="1152B37C"/>
    <w:lvl w:ilvl="0">
      <w:start w:val="1"/>
      <w:numFmt w:val="bullet"/>
      <w:lvlText w:val="-"/>
      <w:lvlJc w:val="left"/>
      <w:rPr>
        <w:rFonts w:ascii="Arial" w:eastAsia="Arial" w:hAnsi="Arial" w:cs="Arial"/>
        <w:b w:val="0"/>
        <w:bCs w:val="0"/>
        <w:i w:val="0"/>
        <w:iCs w:val="0"/>
        <w:smallCaps w:val="0"/>
        <w:strike w:val="0"/>
        <w:color w:val="231E2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4577261"/>
    <w:multiLevelType w:val="multilevel"/>
    <w:tmpl w:val="7CF2B190"/>
    <w:lvl w:ilvl="0">
      <w:start w:val="1"/>
      <w:numFmt w:val="decimal"/>
      <w:lvlText w:val="%1."/>
      <w:lvlJc w:val="left"/>
      <w:rPr>
        <w:rFonts w:ascii="Calibri" w:eastAsia="Calibri" w:hAnsi="Calibri" w:cs="Calibri"/>
        <w:b/>
        <w:bCs/>
        <w:i w:val="0"/>
        <w:iCs w:val="0"/>
        <w:smallCaps w:val="0"/>
        <w:strike w:val="0"/>
        <w:color w:val="231E20"/>
        <w:spacing w:val="0"/>
        <w:w w:val="100"/>
        <w:position w:val="0"/>
        <w:sz w:val="22"/>
        <w:szCs w:val="22"/>
        <w:u w:val="none"/>
        <w:shd w:val="clear" w:color="auto" w:fill="auto"/>
        <w:lang w:val="cs-CZ" w:eastAsia="cs-CZ" w:bidi="cs-CZ"/>
      </w:rPr>
    </w:lvl>
    <w:lvl w:ilvl="1">
      <w:start w:val="1"/>
      <w:numFmt w:val="decimal"/>
      <w:lvlText w:val="%1.%2."/>
      <w:lvlJc w:val="left"/>
      <w:rPr>
        <w:rFonts w:ascii="Calibri" w:eastAsia="Calibri" w:hAnsi="Calibri" w:cs="Calibri"/>
        <w:b w:val="0"/>
        <w:bCs w:val="0"/>
        <w:i w:val="0"/>
        <w:iCs w:val="0"/>
        <w:smallCaps w:val="0"/>
        <w:strike w:val="0"/>
        <w:color w:val="231E20"/>
        <w:spacing w:val="0"/>
        <w:w w:val="100"/>
        <w:position w:val="0"/>
        <w:sz w:val="22"/>
        <w:szCs w:val="22"/>
        <w:u w:val="none"/>
        <w:shd w:val="clear" w:color="auto" w:fill="auto"/>
        <w:lang w:val="cs-CZ" w:eastAsia="cs-CZ" w:bidi="cs-CZ"/>
      </w:rPr>
    </w:lvl>
    <w:lvl w:ilvl="2">
      <w:start w:val="1"/>
      <w:numFmt w:val="decimal"/>
      <w:lvlText w:val="%1.%2.%3."/>
      <w:lvlJc w:val="left"/>
      <w:rPr>
        <w:rFonts w:ascii="Calibri" w:eastAsia="Calibri" w:hAnsi="Calibri" w:cs="Calibri"/>
        <w:b w:val="0"/>
        <w:bCs w:val="0"/>
        <w:i w:val="0"/>
        <w:iCs w:val="0"/>
        <w:smallCaps w:val="0"/>
        <w:strike w:val="0"/>
        <w:color w:val="231E20"/>
        <w:spacing w:val="0"/>
        <w:w w:val="100"/>
        <w:position w:val="0"/>
        <w:sz w:val="22"/>
        <w:szCs w:val="22"/>
        <w:u w:val="none"/>
        <w:shd w:val="clear" w:color="auto" w:fill="auto"/>
        <w:lang w:val="cs-CZ" w:eastAsia="cs-CZ" w:bidi="cs-CZ"/>
      </w:rPr>
    </w:lvl>
    <w:lvl w:ilvl="3">
      <w:start w:val="1"/>
      <w:numFmt w:val="decimal"/>
      <w:lvlText w:val="%1.%2.%3.%4."/>
      <w:lvlJc w:val="left"/>
      <w:rPr>
        <w:rFonts w:ascii="Calibri" w:eastAsia="Calibri" w:hAnsi="Calibri" w:cs="Calibri"/>
        <w:b w:val="0"/>
        <w:bCs w:val="0"/>
        <w:i w:val="0"/>
        <w:iCs w:val="0"/>
        <w:smallCaps w:val="0"/>
        <w:strike w:val="0"/>
        <w:color w:val="231E20"/>
        <w:spacing w:val="0"/>
        <w:w w:val="100"/>
        <w:position w:val="0"/>
        <w:sz w:val="22"/>
        <w:szCs w:val="22"/>
        <w:u w:val="none"/>
        <w:shd w:val="clear" w:color="auto" w:fill="auto"/>
        <w:lang w:val="cs-CZ" w:eastAsia="cs-CZ" w:bidi="cs-CZ"/>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4843552"/>
    <w:multiLevelType w:val="multilevel"/>
    <w:tmpl w:val="6DC6A6F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4B0638D"/>
    <w:multiLevelType w:val="multilevel"/>
    <w:tmpl w:val="A470F4EE"/>
    <w:lvl w:ilvl="0">
      <w:start w:val="1"/>
      <w:numFmt w:val="lowerRoman"/>
      <w:lvlText w:val="(%1)"/>
      <w:lvlJc w:val="left"/>
      <w:rPr>
        <w:rFonts w:ascii="Calibri" w:eastAsia="Calibri" w:hAnsi="Calibri" w:cs="Calibri"/>
        <w:b w:val="0"/>
        <w:bCs w:val="0"/>
        <w:i w:val="0"/>
        <w:iCs w:val="0"/>
        <w:smallCaps w:val="0"/>
        <w:strike w:val="0"/>
        <w:color w:val="231E2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4B75582"/>
    <w:multiLevelType w:val="multilevel"/>
    <w:tmpl w:val="4D146B50"/>
    <w:lvl w:ilvl="0">
      <w:start w:val="1"/>
      <w:numFmt w:val="lowerRoman"/>
      <w:lvlText w:val="%1."/>
      <w:lvlJc w:val="left"/>
      <w:rPr>
        <w:rFonts w:ascii="Calibri" w:eastAsia="Calibri" w:hAnsi="Calibri" w:cs="Calibri"/>
        <w:b w:val="0"/>
        <w:bCs w:val="0"/>
        <w:i w:val="0"/>
        <w:iCs w:val="0"/>
        <w:smallCaps w:val="0"/>
        <w:strike w:val="0"/>
        <w:color w:val="231E2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5FC1865"/>
    <w:multiLevelType w:val="multilevel"/>
    <w:tmpl w:val="18583022"/>
    <w:lvl w:ilvl="0">
      <w:start w:val="1"/>
      <w:numFmt w:val="decimal"/>
      <w:lvlText w:val="%1."/>
      <w:lvlJc w:val="left"/>
      <w:rPr>
        <w:rFonts w:ascii="Calibri" w:eastAsia="Calibri" w:hAnsi="Calibri" w:cs="Calibri"/>
        <w:b/>
        <w:bCs/>
        <w:i w:val="0"/>
        <w:iCs w:val="0"/>
        <w:smallCaps w:val="0"/>
        <w:strike w:val="0"/>
        <w:color w:val="231E2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77E5F7E"/>
    <w:multiLevelType w:val="multilevel"/>
    <w:tmpl w:val="4DDE8E8E"/>
    <w:lvl w:ilvl="0">
      <w:start w:val="1"/>
      <w:numFmt w:val="lowerLetter"/>
      <w:lvlText w:val="%1)"/>
      <w:lvlJc w:val="left"/>
      <w:rPr>
        <w:rFonts w:ascii="Calibri" w:eastAsia="Calibri" w:hAnsi="Calibri" w:cs="Calibri"/>
        <w:b w:val="0"/>
        <w:bCs w:val="0"/>
        <w:i w:val="0"/>
        <w:iCs w:val="0"/>
        <w:smallCaps w:val="0"/>
        <w:strike w:val="0"/>
        <w:color w:val="231E2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79F67C9"/>
    <w:multiLevelType w:val="multilevel"/>
    <w:tmpl w:val="D3C0127C"/>
    <w:lvl w:ilvl="0">
      <w:start w:val="1"/>
      <w:numFmt w:val="lowerLetter"/>
      <w:lvlText w:val="%1)"/>
      <w:lvlJc w:val="left"/>
      <w:rPr>
        <w:rFonts w:ascii="Calibri" w:eastAsia="Calibri" w:hAnsi="Calibri" w:cs="Calibri"/>
        <w:b w:val="0"/>
        <w:bCs w:val="0"/>
        <w:i w:val="0"/>
        <w:iCs w:val="0"/>
        <w:smallCaps w:val="0"/>
        <w:strike w:val="0"/>
        <w:color w:val="231E2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18A111F9"/>
    <w:multiLevelType w:val="multilevel"/>
    <w:tmpl w:val="78F83C72"/>
    <w:lvl w:ilvl="0">
      <w:start w:val="1"/>
      <w:numFmt w:val="decimal"/>
      <w:lvlText w:val="%1."/>
      <w:lvlJc w:val="left"/>
      <w:rPr>
        <w:rFonts w:ascii="Calibri" w:eastAsia="Calibri" w:hAnsi="Calibri" w:cs="Calibri"/>
        <w:b w:val="0"/>
        <w:bCs w:val="0"/>
        <w:i w:val="0"/>
        <w:iCs w:val="0"/>
        <w:smallCaps w:val="0"/>
        <w:strike w:val="0"/>
        <w:color w:val="231E2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193B2D5C"/>
    <w:multiLevelType w:val="multilevel"/>
    <w:tmpl w:val="9EA25A94"/>
    <w:lvl w:ilvl="0">
      <w:start w:val="1"/>
      <w:numFmt w:val="bullet"/>
      <w:lvlText w:val="•"/>
      <w:lvlJc w:val="left"/>
      <w:rPr>
        <w:rFonts w:ascii="Calibri" w:eastAsia="Calibri" w:hAnsi="Calibri" w:cs="Calibri"/>
        <w:b w:val="0"/>
        <w:bCs w:val="0"/>
        <w:i w:val="0"/>
        <w:iCs w:val="0"/>
        <w:smallCaps w:val="0"/>
        <w:strike w:val="0"/>
        <w:color w:val="231E2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19586B7D"/>
    <w:multiLevelType w:val="multilevel"/>
    <w:tmpl w:val="D3DA036E"/>
    <w:lvl w:ilvl="0">
      <w:start w:val="1"/>
      <w:numFmt w:val="decimal"/>
      <w:lvlText w:val="%1."/>
      <w:lvlJc w:val="left"/>
    </w:lvl>
    <w:lvl w:ilvl="1">
      <w:start w:val="1"/>
      <w:numFmt w:val="decimal"/>
      <w:lvlText w:val="%1.%2"/>
      <w:lvlJc w:val="left"/>
      <w:rPr>
        <w:rFonts w:ascii="Calibri" w:eastAsia="Calibri" w:hAnsi="Calibri" w:cs="Calibri"/>
        <w:b w:val="0"/>
        <w:bCs w:val="0"/>
        <w:i w:val="0"/>
        <w:iCs w:val="0"/>
        <w:smallCaps w:val="0"/>
        <w:strike w:val="0"/>
        <w:color w:val="231E20"/>
        <w:spacing w:val="0"/>
        <w:w w:val="100"/>
        <w:position w:val="0"/>
        <w:sz w:val="22"/>
        <w:szCs w:val="22"/>
        <w:u w:val="none"/>
        <w:shd w:val="clear" w:color="auto" w:fill="auto"/>
        <w:lang w:val="cs-CZ" w:eastAsia="cs-CZ" w:bidi="cs-CZ"/>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19A4636A"/>
    <w:multiLevelType w:val="multilevel"/>
    <w:tmpl w:val="6082C184"/>
    <w:lvl w:ilvl="0">
      <w:start w:val="1"/>
      <w:numFmt w:val="lowerLetter"/>
      <w:lvlText w:val="%1)"/>
      <w:lvlJc w:val="left"/>
      <w:rPr>
        <w:rFonts w:ascii="Times New Roman" w:eastAsia="Times New Roman" w:hAnsi="Times New Roman" w:cs="Times New Roman"/>
        <w:b w:val="0"/>
        <w:bCs w:val="0"/>
        <w:i w:val="0"/>
        <w:iCs w:val="0"/>
        <w:smallCaps w:val="0"/>
        <w:strike w:val="0"/>
        <w:color w:val="231E2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1A84757E"/>
    <w:multiLevelType w:val="multilevel"/>
    <w:tmpl w:val="6088B9E4"/>
    <w:lvl w:ilvl="0">
      <w:start w:val="1"/>
      <w:numFmt w:val="decimal"/>
      <w:lvlText w:val="%1."/>
      <w:lvlJc w:val="left"/>
    </w:lvl>
    <w:lvl w:ilvl="1">
      <w:start w:val="1"/>
      <w:numFmt w:val="decimal"/>
      <w:lvlText w:val="%1.%2"/>
      <w:lvlJc w:val="left"/>
      <w:rPr>
        <w:rFonts w:ascii="Calibri" w:eastAsia="Calibri" w:hAnsi="Calibri" w:cs="Calibri"/>
        <w:b w:val="0"/>
        <w:bCs w:val="0"/>
        <w:i w:val="0"/>
        <w:iCs w:val="0"/>
        <w:smallCaps w:val="0"/>
        <w:strike w:val="0"/>
        <w:color w:val="231E20"/>
        <w:spacing w:val="0"/>
        <w:w w:val="100"/>
        <w:position w:val="0"/>
        <w:sz w:val="22"/>
        <w:szCs w:val="22"/>
        <w:u w:val="none"/>
        <w:shd w:val="clear" w:color="auto" w:fill="auto"/>
        <w:lang w:val="cs-CZ" w:eastAsia="cs-CZ" w:bidi="cs-CZ"/>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1D35228C"/>
    <w:multiLevelType w:val="multilevel"/>
    <w:tmpl w:val="05C813B0"/>
    <w:lvl w:ilvl="0">
      <w:start w:val="1"/>
      <w:numFmt w:val="upperLetter"/>
      <w:lvlText w:val="(%1)"/>
      <w:lvlJc w:val="left"/>
      <w:rPr>
        <w:rFonts w:ascii="Calibri" w:eastAsia="Calibri" w:hAnsi="Calibri" w:cs="Calibri"/>
        <w:b w:val="0"/>
        <w:bCs w:val="0"/>
        <w:i w:val="0"/>
        <w:iCs w:val="0"/>
        <w:smallCaps w:val="0"/>
        <w:strike w:val="0"/>
        <w:color w:val="231E2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1DB43073"/>
    <w:multiLevelType w:val="multilevel"/>
    <w:tmpl w:val="B11E44E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1DC83661"/>
    <w:multiLevelType w:val="multilevel"/>
    <w:tmpl w:val="ED16062A"/>
    <w:lvl w:ilvl="0">
      <w:start w:val="1"/>
      <w:numFmt w:val="lowerLetter"/>
      <w:lvlText w:val="%1)"/>
      <w:lvlJc w:val="left"/>
      <w:rPr>
        <w:rFonts w:ascii="Times New Roman" w:eastAsia="Times New Roman" w:hAnsi="Times New Roman" w:cs="Times New Roman"/>
        <w:b w:val="0"/>
        <w:bCs w:val="0"/>
        <w:i w:val="0"/>
        <w:iCs w:val="0"/>
        <w:smallCaps w:val="0"/>
        <w:strike w:val="0"/>
        <w:color w:val="231E2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EEC7931"/>
    <w:multiLevelType w:val="multilevel"/>
    <w:tmpl w:val="3C145D28"/>
    <w:lvl w:ilvl="0">
      <w:start w:val="1"/>
      <w:numFmt w:val="lowerRoman"/>
      <w:lvlText w:val="%1."/>
      <w:lvlJc w:val="left"/>
      <w:rPr>
        <w:rFonts w:ascii="Calibri" w:eastAsia="Calibri" w:hAnsi="Calibri" w:cs="Calibri"/>
        <w:b w:val="0"/>
        <w:bCs w:val="0"/>
        <w:i w:val="0"/>
        <w:iCs w:val="0"/>
        <w:smallCaps w:val="0"/>
        <w:strike w:val="0"/>
        <w:color w:val="231E2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F1B0EF0"/>
    <w:multiLevelType w:val="multilevel"/>
    <w:tmpl w:val="870A32E0"/>
    <w:lvl w:ilvl="0">
      <w:start w:val="4"/>
      <w:numFmt w:val="decimal"/>
      <w:lvlText w:val="%1."/>
      <w:lvlJc w:val="left"/>
    </w:lvl>
    <w:lvl w:ilvl="1">
      <w:start w:val="1"/>
      <w:numFmt w:val="decimal"/>
      <w:lvlText w:val="%1.%2."/>
      <w:lvlJc w:val="left"/>
      <w:rPr>
        <w:rFonts w:ascii="Arial" w:eastAsia="Arial" w:hAnsi="Arial" w:cs="Arial"/>
        <w:b w:val="0"/>
        <w:bCs w:val="0"/>
        <w:i w:val="0"/>
        <w:iCs w:val="0"/>
        <w:smallCaps w:val="0"/>
        <w:strike w:val="0"/>
        <w:color w:val="231E20"/>
        <w:spacing w:val="0"/>
        <w:w w:val="100"/>
        <w:position w:val="0"/>
        <w:sz w:val="20"/>
        <w:szCs w:val="20"/>
        <w:u w:val="none"/>
        <w:shd w:val="clear" w:color="auto" w:fill="auto"/>
        <w:lang w:val="cs-CZ" w:eastAsia="cs-CZ" w:bidi="cs-CZ"/>
      </w:rPr>
    </w:lvl>
    <w:lvl w:ilvl="2">
      <w:start w:val="1"/>
      <w:numFmt w:val="decimal"/>
      <w:lvlText w:val="%1.%2.%3."/>
      <w:lvlJc w:val="left"/>
      <w:rPr>
        <w:rFonts w:ascii="Arial" w:eastAsia="Arial" w:hAnsi="Arial" w:cs="Arial"/>
        <w:b w:val="0"/>
        <w:bCs w:val="0"/>
        <w:i w:val="0"/>
        <w:iCs w:val="0"/>
        <w:smallCaps w:val="0"/>
        <w:strike w:val="0"/>
        <w:color w:val="231E20"/>
        <w:spacing w:val="0"/>
        <w:w w:val="100"/>
        <w:position w:val="0"/>
        <w:sz w:val="20"/>
        <w:szCs w:val="20"/>
        <w:u w:val="none"/>
        <w:shd w:val="clear" w:color="auto" w:fill="auto"/>
        <w:lang w:val="cs-CZ" w:eastAsia="cs-CZ" w:bidi="cs-CZ"/>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221F295B"/>
    <w:multiLevelType w:val="multilevel"/>
    <w:tmpl w:val="A99AE44C"/>
    <w:lvl w:ilvl="0">
      <w:start w:val="1"/>
      <w:numFmt w:val="upperRoman"/>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cs-CZ" w:eastAsia="cs-CZ" w:bidi="cs-CZ"/>
      </w:rPr>
    </w:lvl>
    <w:lvl w:ilvl="1">
      <w:start w:val="1"/>
      <w:numFmt w:val="upperRoman"/>
      <w:lvlText w:val="%1.%2."/>
      <w:lvlJc w:val="left"/>
    </w:lvl>
    <w:lvl w:ilvl="2">
      <w:start w:val="1"/>
      <w:numFmt w:val="upperRoman"/>
      <w:lvlText w:val="%1.%2.%3."/>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227804D1"/>
    <w:multiLevelType w:val="multilevel"/>
    <w:tmpl w:val="FD041804"/>
    <w:lvl w:ilvl="0">
      <w:start w:val="2"/>
      <w:numFmt w:val="lowerLetter"/>
      <w:lvlText w:val="%1."/>
      <w:lvlJc w:val="left"/>
      <w:rPr>
        <w:rFonts w:ascii="Calibri" w:eastAsia="Calibri" w:hAnsi="Calibri" w:cs="Calibri"/>
        <w:b w:val="0"/>
        <w:bCs w:val="0"/>
        <w:i w:val="0"/>
        <w:iCs w:val="0"/>
        <w:smallCaps w:val="0"/>
        <w:strike w:val="0"/>
        <w:color w:val="231E2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232B58C9"/>
    <w:multiLevelType w:val="multilevel"/>
    <w:tmpl w:val="9FAAA446"/>
    <w:lvl w:ilvl="0">
      <w:start w:val="1"/>
      <w:numFmt w:val="lowerLetter"/>
      <w:lvlText w:val="%1."/>
      <w:lvlJc w:val="left"/>
      <w:rPr>
        <w:rFonts w:ascii="Calibri" w:eastAsia="Calibri" w:hAnsi="Calibri" w:cs="Calibri"/>
        <w:b w:val="0"/>
        <w:bCs w:val="0"/>
        <w:i w:val="0"/>
        <w:iCs w:val="0"/>
        <w:smallCaps w:val="0"/>
        <w:strike w:val="0"/>
        <w:color w:val="231E2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23332093"/>
    <w:multiLevelType w:val="multilevel"/>
    <w:tmpl w:val="ACE0B97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23BF0905"/>
    <w:multiLevelType w:val="multilevel"/>
    <w:tmpl w:val="76B0BA74"/>
    <w:lvl w:ilvl="0">
      <w:start w:val="1"/>
      <w:numFmt w:val="decimal"/>
      <w:lvlText w:val="%1."/>
      <w:lvlJc w:val="left"/>
      <w:rPr>
        <w:rFonts w:ascii="Calibri" w:eastAsia="Calibri" w:hAnsi="Calibri" w:cs="Calibri"/>
        <w:b w:val="0"/>
        <w:bCs w:val="0"/>
        <w:i w:val="0"/>
        <w:iCs w:val="0"/>
        <w:smallCaps w:val="0"/>
        <w:strike w:val="0"/>
        <w:color w:val="231E2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24B9755E"/>
    <w:multiLevelType w:val="multilevel"/>
    <w:tmpl w:val="BBECF258"/>
    <w:lvl w:ilvl="0">
      <w:start w:val="1"/>
      <w:numFmt w:val="lowerLetter"/>
      <w:lvlText w:val="%1)"/>
      <w:lvlJc w:val="left"/>
      <w:rPr>
        <w:rFonts w:ascii="Calibri" w:eastAsia="Calibri" w:hAnsi="Calibri" w:cs="Calibri"/>
        <w:b w:val="0"/>
        <w:bCs w:val="0"/>
        <w:i w:val="0"/>
        <w:iCs w:val="0"/>
        <w:smallCaps w:val="0"/>
        <w:strike w:val="0"/>
        <w:color w:val="231E2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24D53F91"/>
    <w:multiLevelType w:val="multilevel"/>
    <w:tmpl w:val="D4DEBF1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251F4C2B"/>
    <w:multiLevelType w:val="multilevel"/>
    <w:tmpl w:val="86CA7B64"/>
    <w:lvl w:ilvl="0">
      <w:start w:val="2"/>
      <w:numFmt w:val="decimal"/>
      <w:lvlText w:val="%1."/>
      <w:lvlJc w:val="left"/>
      <w:rPr>
        <w:rFonts w:ascii="Calibri" w:eastAsia="Calibri" w:hAnsi="Calibri" w:cs="Calibri"/>
        <w:b/>
        <w:bCs/>
        <w:i w:val="0"/>
        <w:iCs w:val="0"/>
        <w:smallCaps w:val="0"/>
        <w:strike w:val="0"/>
        <w:color w:val="231E20"/>
        <w:spacing w:val="0"/>
        <w:w w:val="100"/>
        <w:position w:val="0"/>
        <w:sz w:val="22"/>
        <w:szCs w:val="22"/>
        <w:u w:val="none"/>
        <w:shd w:val="clear" w:color="auto" w:fill="auto"/>
        <w:lang w:val="cs-CZ" w:eastAsia="cs-CZ" w:bidi="cs-CZ"/>
      </w:rPr>
    </w:lvl>
    <w:lvl w:ilvl="1">
      <w:start w:val="6"/>
      <w:numFmt w:val="decimal"/>
      <w:lvlText w:val="%1.%2."/>
      <w:lvlJc w:val="left"/>
      <w:rPr>
        <w:rFonts w:ascii="Calibri" w:eastAsia="Calibri" w:hAnsi="Calibri" w:cs="Calibri"/>
        <w:b w:val="0"/>
        <w:bCs w:val="0"/>
        <w:i w:val="0"/>
        <w:iCs w:val="0"/>
        <w:smallCaps w:val="0"/>
        <w:strike w:val="0"/>
        <w:color w:val="231E20"/>
        <w:spacing w:val="0"/>
        <w:w w:val="100"/>
        <w:position w:val="0"/>
        <w:sz w:val="22"/>
        <w:szCs w:val="22"/>
        <w:u w:val="none"/>
        <w:shd w:val="clear" w:color="auto" w:fill="auto"/>
        <w:lang w:val="cs-CZ" w:eastAsia="cs-CZ" w:bidi="cs-CZ"/>
      </w:rPr>
    </w:lvl>
    <w:lvl w:ilvl="2">
      <w:start w:val="1"/>
      <w:numFmt w:val="decimal"/>
      <w:lvlText w:val="%1.%2.%3."/>
      <w:lvlJc w:val="left"/>
      <w:rPr>
        <w:rFonts w:ascii="Calibri" w:eastAsia="Calibri" w:hAnsi="Calibri" w:cs="Calibri"/>
        <w:b w:val="0"/>
        <w:bCs w:val="0"/>
        <w:i w:val="0"/>
        <w:iCs w:val="0"/>
        <w:smallCaps w:val="0"/>
        <w:strike w:val="0"/>
        <w:color w:val="231E20"/>
        <w:spacing w:val="0"/>
        <w:w w:val="100"/>
        <w:position w:val="0"/>
        <w:sz w:val="22"/>
        <w:szCs w:val="22"/>
        <w:u w:val="none"/>
        <w:shd w:val="clear" w:color="auto" w:fill="auto"/>
        <w:lang w:val="cs-CZ" w:eastAsia="cs-CZ" w:bidi="cs-CZ"/>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257B1296"/>
    <w:multiLevelType w:val="multilevel"/>
    <w:tmpl w:val="66564822"/>
    <w:lvl w:ilvl="0">
      <w:start w:val="16"/>
      <w:numFmt w:val="decimal"/>
      <w:lvlText w:val="%1."/>
      <w:lvlJc w:val="left"/>
    </w:lvl>
    <w:lvl w:ilvl="1">
      <w:start w:val="3"/>
      <w:numFmt w:val="decimal"/>
      <w:lvlText w:val="%1.%2."/>
      <w:lvlJc w:val="left"/>
    </w:lvl>
    <w:lvl w:ilvl="2">
      <w:start w:val="3"/>
      <w:numFmt w:val="decimal"/>
      <w:lvlText w:val="%1.%2.%3."/>
      <w:lvlJc w:val="left"/>
    </w:lvl>
    <w:lvl w:ilvl="3">
      <w:start w:val="5"/>
      <w:numFmt w:val="decimal"/>
      <w:lvlText w:val="%1.%2.%3.%4."/>
      <w:lvlJc w:val="left"/>
      <w:rPr>
        <w:rFonts w:ascii="Calibri" w:eastAsia="Calibri" w:hAnsi="Calibri" w:cs="Calibri"/>
        <w:b w:val="0"/>
        <w:bCs w:val="0"/>
        <w:i w:val="0"/>
        <w:iCs w:val="0"/>
        <w:smallCaps w:val="0"/>
        <w:strike w:val="0"/>
        <w:color w:val="231E20"/>
        <w:spacing w:val="0"/>
        <w:w w:val="100"/>
        <w:position w:val="0"/>
        <w:sz w:val="22"/>
        <w:szCs w:val="22"/>
        <w:u w:val="none"/>
        <w:shd w:val="clear" w:color="auto" w:fill="auto"/>
        <w:lang w:val="cs-CZ" w:eastAsia="cs-CZ" w:bidi="cs-CZ"/>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2707779A"/>
    <w:multiLevelType w:val="multilevel"/>
    <w:tmpl w:val="364EA6B2"/>
    <w:lvl w:ilvl="0">
      <w:start w:val="1"/>
      <w:numFmt w:val="decimal"/>
      <w:lvlText w:val="%1."/>
      <w:lvlJc w:val="left"/>
      <w:rPr>
        <w:rFonts w:ascii="Calibri" w:eastAsia="Calibri" w:hAnsi="Calibri" w:cs="Calibri"/>
        <w:b w:val="0"/>
        <w:bCs w:val="0"/>
        <w:i w:val="0"/>
        <w:iCs w:val="0"/>
        <w:smallCaps w:val="0"/>
        <w:strike w:val="0"/>
        <w:color w:val="231E2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27C97E04"/>
    <w:multiLevelType w:val="multilevel"/>
    <w:tmpl w:val="4F68DEA2"/>
    <w:lvl w:ilvl="0">
      <w:start w:val="3"/>
      <w:numFmt w:val="decimal"/>
      <w:lvlText w:val="%1."/>
      <w:lvlJc w:val="left"/>
    </w:lvl>
    <w:lvl w:ilvl="1">
      <w:start w:val="1"/>
      <w:numFmt w:val="decimal"/>
      <w:lvlText w:val="%1.%2"/>
      <w:lvlJc w:val="left"/>
      <w:rPr>
        <w:rFonts w:ascii="Calibri" w:eastAsia="Calibri" w:hAnsi="Calibri" w:cs="Calibri"/>
        <w:b w:val="0"/>
        <w:bCs w:val="0"/>
        <w:i w:val="0"/>
        <w:iCs w:val="0"/>
        <w:smallCaps w:val="0"/>
        <w:strike w:val="0"/>
        <w:color w:val="231E20"/>
        <w:spacing w:val="0"/>
        <w:w w:val="100"/>
        <w:position w:val="0"/>
        <w:sz w:val="22"/>
        <w:szCs w:val="22"/>
        <w:u w:val="none"/>
        <w:shd w:val="clear" w:color="auto" w:fill="auto"/>
        <w:lang w:val="cs-CZ" w:eastAsia="cs-CZ" w:bidi="cs-CZ"/>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2B2D2AC7"/>
    <w:multiLevelType w:val="multilevel"/>
    <w:tmpl w:val="8D187D5E"/>
    <w:lvl w:ilvl="0">
      <w:start w:val="1"/>
      <w:numFmt w:val="lowerRoman"/>
      <w:lvlText w:val="(%1)"/>
      <w:lvlJc w:val="left"/>
      <w:rPr>
        <w:rFonts w:ascii="Calibri" w:eastAsia="Calibri" w:hAnsi="Calibri" w:cs="Calibri"/>
        <w:b w:val="0"/>
        <w:bCs w:val="0"/>
        <w:i w:val="0"/>
        <w:iCs w:val="0"/>
        <w:smallCaps w:val="0"/>
        <w:strike w:val="0"/>
        <w:color w:val="231E2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2B6207A6"/>
    <w:multiLevelType w:val="multilevel"/>
    <w:tmpl w:val="196EF996"/>
    <w:lvl w:ilvl="0">
      <w:start w:val="4"/>
      <w:numFmt w:val="decimal"/>
      <w:lvlText w:val="%1."/>
      <w:lvlJc w:val="left"/>
    </w:lvl>
    <w:lvl w:ilvl="1">
      <w:start w:val="1"/>
      <w:numFmt w:val="decimal"/>
      <w:lvlText w:val="%1.%2."/>
      <w:lvlJc w:val="left"/>
      <w:rPr>
        <w:rFonts w:ascii="Arial" w:eastAsia="Arial" w:hAnsi="Arial" w:cs="Arial"/>
        <w:b w:val="0"/>
        <w:bCs w:val="0"/>
        <w:i w:val="0"/>
        <w:iCs w:val="0"/>
        <w:smallCaps w:val="0"/>
        <w:strike w:val="0"/>
        <w:color w:val="231E20"/>
        <w:spacing w:val="0"/>
        <w:w w:val="100"/>
        <w:position w:val="0"/>
        <w:sz w:val="20"/>
        <w:szCs w:val="20"/>
        <w:u w:val="none"/>
        <w:shd w:val="clear" w:color="auto" w:fill="auto"/>
        <w:lang w:val="cs-CZ" w:eastAsia="cs-CZ" w:bidi="cs-CZ"/>
      </w:rPr>
    </w:lvl>
    <w:lvl w:ilvl="2">
      <w:start w:val="1"/>
      <w:numFmt w:val="decimal"/>
      <w:lvlText w:val="%1.%2.%3."/>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2BEE01B7"/>
    <w:multiLevelType w:val="multilevel"/>
    <w:tmpl w:val="F998C718"/>
    <w:lvl w:ilvl="0">
      <w:start w:val="2"/>
      <w:numFmt w:val="decimal"/>
      <w:lvlText w:val="%1."/>
      <w:lvlJc w:val="left"/>
    </w:lvl>
    <w:lvl w:ilvl="1">
      <w:start w:val="1"/>
      <w:numFmt w:val="decimal"/>
      <w:lvlText w:val="%1.%2"/>
      <w:lvlJc w:val="left"/>
      <w:rPr>
        <w:rFonts w:ascii="Calibri" w:eastAsia="Calibri" w:hAnsi="Calibri" w:cs="Calibri"/>
        <w:b w:val="0"/>
        <w:bCs w:val="0"/>
        <w:i w:val="0"/>
        <w:iCs w:val="0"/>
        <w:smallCaps w:val="0"/>
        <w:strike w:val="0"/>
        <w:color w:val="231E20"/>
        <w:spacing w:val="0"/>
        <w:w w:val="100"/>
        <w:position w:val="0"/>
        <w:sz w:val="22"/>
        <w:szCs w:val="22"/>
        <w:u w:val="none"/>
        <w:shd w:val="clear" w:color="auto" w:fill="auto"/>
        <w:lang w:val="cs-CZ" w:eastAsia="cs-CZ" w:bidi="cs-CZ"/>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2C4051DB"/>
    <w:multiLevelType w:val="multilevel"/>
    <w:tmpl w:val="12883192"/>
    <w:lvl w:ilvl="0">
      <w:start w:val="4"/>
      <w:numFmt w:val="lowerLetter"/>
      <w:lvlText w:val="%1)"/>
      <w:lvlJc w:val="left"/>
      <w:rPr>
        <w:rFonts w:ascii="Calibri" w:eastAsia="Calibri" w:hAnsi="Calibri" w:cs="Calibri"/>
        <w:b w:val="0"/>
        <w:bCs w:val="0"/>
        <w:i w:val="0"/>
        <w:iCs w:val="0"/>
        <w:smallCaps w:val="0"/>
        <w:strike w:val="0"/>
        <w:color w:val="231E2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2CAB4C52"/>
    <w:multiLevelType w:val="multilevel"/>
    <w:tmpl w:val="612072AA"/>
    <w:lvl w:ilvl="0">
      <w:start w:val="1"/>
      <w:numFmt w:val="decimal"/>
      <w:lvlText w:val="%1."/>
      <w:lvlJc w:val="left"/>
      <w:rPr>
        <w:rFonts w:ascii="Calibri" w:eastAsia="Calibri" w:hAnsi="Calibri" w:cs="Calibri"/>
        <w:b w:val="0"/>
        <w:bCs w:val="0"/>
        <w:i w:val="0"/>
        <w:iCs w:val="0"/>
        <w:smallCaps w:val="0"/>
        <w:strike w:val="0"/>
        <w:color w:val="231E2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2D1128B9"/>
    <w:multiLevelType w:val="multilevel"/>
    <w:tmpl w:val="0B947DC8"/>
    <w:lvl w:ilvl="0">
      <w:start w:val="1"/>
      <w:numFmt w:val="decimal"/>
      <w:lvlText w:val="%1."/>
      <w:lvlJc w:val="left"/>
    </w:lvl>
    <w:lvl w:ilvl="1">
      <w:start w:val="1"/>
      <w:numFmt w:val="decimal"/>
      <w:lvlText w:val="%1.%2."/>
      <w:lvlJc w:val="left"/>
      <w:rPr>
        <w:rFonts w:ascii="Arial" w:eastAsia="Arial" w:hAnsi="Arial" w:cs="Arial"/>
        <w:b w:val="0"/>
        <w:bCs w:val="0"/>
        <w:i w:val="0"/>
        <w:iCs w:val="0"/>
        <w:smallCaps w:val="0"/>
        <w:strike w:val="0"/>
        <w:color w:val="231E20"/>
        <w:spacing w:val="0"/>
        <w:w w:val="100"/>
        <w:position w:val="0"/>
        <w:sz w:val="20"/>
        <w:szCs w:val="20"/>
        <w:u w:val="none"/>
        <w:shd w:val="clear" w:color="auto" w:fill="auto"/>
        <w:lang w:val="cs-CZ" w:eastAsia="cs-CZ" w:bidi="cs-CZ"/>
      </w:rPr>
    </w:lvl>
    <w:lvl w:ilvl="2">
      <w:start w:val="1"/>
      <w:numFmt w:val="decimal"/>
      <w:lvlText w:val="%1.%2.%3."/>
      <w:lvlJc w:val="left"/>
      <w:rPr>
        <w:rFonts w:ascii="Arial" w:eastAsia="Arial" w:hAnsi="Arial" w:cs="Arial"/>
        <w:b w:val="0"/>
        <w:bCs w:val="0"/>
        <w:i w:val="0"/>
        <w:iCs w:val="0"/>
        <w:smallCaps w:val="0"/>
        <w:strike w:val="0"/>
        <w:color w:val="231E20"/>
        <w:spacing w:val="0"/>
        <w:w w:val="100"/>
        <w:position w:val="0"/>
        <w:sz w:val="20"/>
        <w:szCs w:val="20"/>
        <w:u w:val="none"/>
        <w:shd w:val="clear" w:color="auto" w:fill="auto"/>
        <w:lang w:val="cs-CZ" w:eastAsia="cs-CZ" w:bidi="cs-CZ"/>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2D780110"/>
    <w:multiLevelType w:val="multilevel"/>
    <w:tmpl w:val="C2E6737A"/>
    <w:lvl w:ilvl="0">
      <w:start w:val="4"/>
      <w:numFmt w:val="decimal"/>
      <w:lvlText w:val="%1."/>
      <w:lvlJc w:val="left"/>
    </w:lvl>
    <w:lvl w:ilvl="1">
      <w:start w:val="1"/>
      <w:numFmt w:val="decimal"/>
      <w:lvlText w:val="%1.%2."/>
      <w:lvlJc w:val="left"/>
      <w:rPr>
        <w:rFonts w:ascii="Arial" w:eastAsia="Arial" w:hAnsi="Arial" w:cs="Arial"/>
        <w:b w:val="0"/>
        <w:bCs w:val="0"/>
        <w:i/>
        <w:iCs/>
        <w:smallCaps w:val="0"/>
        <w:strike w:val="0"/>
        <w:color w:val="231E20"/>
        <w:spacing w:val="0"/>
        <w:w w:val="100"/>
        <w:position w:val="0"/>
        <w:sz w:val="18"/>
        <w:szCs w:val="18"/>
        <w:u w:val="none"/>
        <w:shd w:val="clear" w:color="auto" w:fill="auto"/>
        <w:lang w:val="cs-CZ" w:eastAsia="cs-CZ" w:bidi="cs-CZ"/>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2DA3122B"/>
    <w:multiLevelType w:val="multilevel"/>
    <w:tmpl w:val="7D882C82"/>
    <w:lvl w:ilvl="0">
      <w:start w:val="7"/>
      <w:numFmt w:val="lowerLetter"/>
      <w:lvlText w:val="%1)"/>
      <w:lvlJc w:val="left"/>
      <w:rPr>
        <w:rFonts w:ascii="Calibri" w:eastAsia="Calibri" w:hAnsi="Calibri" w:cs="Calibri"/>
        <w:b w:val="0"/>
        <w:bCs w:val="0"/>
        <w:i w:val="0"/>
        <w:iCs w:val="0"/>
        <w:smallCaps w:val="0"/>
        <w:strike w:val="0"/>
        <w:color w:val="231E2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2E547857"/>
    <w:multiLevelType w:val="multilevel"/>
    <w:tmpl w:val="0D6E9008"/>
    <w:lvl w:ilvl="0">
      <w:start w:val="2"/>
      <w:numFmt w:val="decimal"/>
      <w:lvlText w:val="%1."/>
      <w:lvlJc w:val="left"/>
    </w:lvl>
    <w:lvl w:ilvl="1">
      <w:start w:val="1"/>
      <w:numFmt w:val="decimal"/>
      <w:lvlText w:val="%1.%2."/>
      <w:lvlJc w:val="left"/>
      <w:rPr>
        <w:rFonts w:ascii="Arial" w:eastAsia="Arial" w:hAnsi="Arial" w:cs="Arial"/>
        <w:b w:val="0"/>
        <w:bCs w:val="0"/>
        <w:i w:val="0"/>
        <w:iCs w:val="0"/>
        <w:smallCaps w:val="0"/>
        <w:strike w:val="0"/>
        <w:color w:val="231E20"/>
        <w:spacing w:val="0"/>
        <w:w w:val="100"/>
        <w:position w:val="0"/>
        <w:sz w:val="20"/>
        <w:szCs w:val="20"/>
        <w:u w:val="none"/>
        <w:shd w:val="clear" w:color="auto" w:fill="auto"/>
        <w:lang w:val="cs-CZ" w:eastAsia="cs-CZ" w:bidi="cs-CZ"/>
      </w:rPr>
    </w:lvl>
    <w:lvl w:ilvl="2">
      <w:start w:val="1"/>
      <w:numFmt w:val="decimal"/>
      <w:lvlText w:val="%1.%2.%3."/>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2F783BD8"/>
    <w:multiLevelType w:val="multilevel"/>
    <w:tmpl w:val="11C61832"/>
    <w:lvl w:ilvl="0">
      <w:start w:val="3"/>
      <w:numFmt w:val="upperRoman"/>
      <w:lvlText w:val="%1."/>
      <w:lvlJc w:val="left"/>
      <w:rPr>
        <w:rFonts w:ascii="Calibri" w:eastAsia="Calibri" w:hAnsi="Calibri" w:cs="Calibri"/>
        <w:b/>
        <w:bCs/>
        <w:i w:val="0"/>
        <w:iCs w:val="0"/>
        <w:smallCaps w:val="0"/>
        <w:strike w:val="0"/>
        <w:color w:val="231E20"/>
        <w:spacing w:val="0"/>
        <w:w w:val="100"/>
        <w:position w:val="0"/>
        <w:sz w:val="28"/>
        <w:szCs w:val="2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31A25D1D"/>
    <w:multiLevelType w:val="multilevel"/>
    <w:tmpl w:val="C22E0D5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31C33031"/>
    <w:multiLevelType w:val="multilevel"/>
    <w:tmpl w:val="0012EE7A"/>
    <w:lvl w:ilvl="0">
      <w:start w:val="1"/>
      <w:numFmt w:val="decimal"/>
      <w:lvlText w:val="%1."/>
      <w:lvlJc w:val="left"/>
    </w:lvl>
    <w:lvl w:ilvl="1">
      <w:start w:val="1"/>
      <w:numFmt w:val="decimal"/>
      <w:lvlText w:val="%1.%2."/>
      <w:lvlJc w:val="left"/>
      <w:rPr>
        <w:rFonts w:ascii="Arial" w:eastAsia="Arial" w:hAnsi="Arial" w:cs="Arial"/>
        <w:b w:val="0"/>
        <w:bCs w:val="0"/>
        <w:i/>
        <w:iCs/>
        <w:smallCaps w:val="0"/>
        <w:strike w:val="0"/>
        <w:color w:val="231E20"/>
        <w:spacing w:val="0"/>
        <w:w w:val="100"/>
        <w:position w:val="0"/>
        <w:sz w:val="18"/>
        <w:szCs w:val="18"/>
        <w:u w:val="none"/>
        <w:shd w:val="clear" w:color="auto" w:fill="auto"/>
        <w:lang w:val="cs-CZ" w:eastAsia="cs-CZ" w:bidi="cs-CZ"/>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325531C0"/>
    <w:multiLevelType w:val="multilevel"/>
    <w:tmpl w:val="808ABC3E"/>
    <w:lvl w:ilvl="0">
      <w:start w:val="2"/>
      <w:numFmt w:val="decimal"/>
      <w:lvlText w:val="%1."/>
      <w:lvlJc w:val="left"/>
    </w:lvl>
    <w:lvl w:ilvl="1">
      <w:start w:val="1"/>
      <w:numFmt w:val="decimal"/>
      <w:lvlText w:val="%1.%2."/>
      <w:lvlJc w:val="left"/>
      <w:rPr>
        <w:rFonts w:ascii="Arial" w:eastAsia="Arial" w:hAnsi="Arial" w:cs="Arial"/>
        <w:b w:val="0"/>
        <w:bCs w:val="0"/>
        <w:i/>
        <w:iCs/>
        <w:smallCaps w:val="0"/>
        <w:strike w:val="0"/>
        <w:color w:val="231E20"/>
        <w:spacing w:val="0"/>
        <w:w w:val="100"/>
        <w:position w:val="0"/>
        <w:sz w:val="18"/>
        <w:szCs w:val="18"/>
        <w:u w:val="none"/>
        <w:shd w:val="clear" w:color="auto" w:fill="auto"/>
        <w:lang w:val="cs-CZ" w:eastAsia="cs-CZ" w:bidi="cs-CZ"/>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32A46D4D"/>
    <w:multiLevelType w:val="multilevel"/>
    <w:tmpl w:val="F7342F14"/>
    <w:lvl w:ilvl="0">
      <w:start w:val="1"/>
      <w:numFmt w:val="lowerLetter"/>
      <w:lvlText w:val="%1)"/>
      <w:lvlJc w:val="left"/>
      <w:rPr>
        <w:rFonts w:ascii="Calibri" w:eastAsia="Calibri" w:hAnsi="Calibri" w:cs="Calibri"/>
        <w:b w:val="0"/>
        <w:bCs w:val="0"/>
        <w:i w:val="0"/>
        <w:iCs w:val="0"/>
        <w:smallCaps w:val="0"/>
        <w:strike w:val="0"/>
        <w:color w:val="231E2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350F4733"/>
    <w:multiLevelType w:val="multilevel"/>
    <w:tmpl w:val="50F2B4D6"/>
    <w:lvl w:ilvl="0">
      <w:start w:val="1"/>
      <w:numFmt w:val="decimal"/>
      <w:lvlText w:val="%1."/>
      <w:lvlJc w:val="left"/>
      <w:rPr>
        <w:rFonts w:ascii="Calibri" w:eastAsia="Calibri" w:hAnsi="Calibri" w:cs="Calibri"/>
        <w:b w:val="0"/>
        <w:bCs w:val="0"/>
        <w:i w:val="0"/>
        <w:iCs w:val="0"/>
        <w:smallCaps w:val="0"/>
        <w:strike w:val="0"/>
        <w:color w:val="231E2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364D61A7"/>
    <w:multiLevelType w:val="multilevel"/>
    <w:tmpl w:val="1D26C1E0"/>
    <w:lvl w:ilvl="0">
      <w:start w:val="1"/>
      <w:numFmt w:val="upperLetter"/>
      <w:lvlText w:val="(%1)"/>
      <w:lvlJc w:val="left"/>
      <w:rPr>
        <w:rFonts w:ascii="Calibri" w:eastAsia="Calibri" w:hAnsi="Calibri" w:cs="Calibri"/>
        <w:b w:val="0"/>
        <w:bCs w:val="0"/>
        <w:i w:val="0"/>
        <w:iCs w:val="0"/>
        <w:smallCaps w:val="0"/>
        <w:strike w:val="0"/>
        <w:color w:val="231E2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36A51591"/>
    <w:multiLevelType w:val="multilevel"/>
    <w:tmpl w:val="0986954A"/>
    <w:lvl w:ilvl="0">
      <w:start w:val="1"/>
      <w:numFmt w:val="upperRoman"/>
      <w:lvlText w:val="%1."/>
      <w:lvlJc w:val="left"/>
      <w:rPr>
        <w:rFonts w:ascii="Calibri" w:eastAsia="Calibri" w:hAnsi="Calibri" w:cs="Calibri"/>
        <w:b/>
        <w:bCs/>
        <w:i w:val="0"/>
        <w:iCs w:val="0"/>
        <w:smallCaps w:val="0"/>
        <w:strike w:val="0"/>
        <w:color w:val="231E2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38350D79"/>
    <w:multiLevelType w:val="multilevel"/>
    <w:tmpl w:val="2EFE20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38B409DA"/>
    <w:multiLevelType w:val="multilevel"/>
    <w:tmpl w:val="35E02FD6"/>
    <w:lvl w:ilvl="0">
      <w:start w:val="1"/>
      <w:numFmt w:val="upperLetter"/>
      <w:lvlText w:val="(%1)"/>
      <w:lvlJc w:val="left"/>
      <w:rPr>
        <w:rFonts w:ascii="Calibri" w:eastAsia="Calibri" w:hAnsi="Calibri" w:cs="Calibri"/>
        <w:b w:val="0"/>
        <w:bCs w:val="0"/>
        <w:i w:val="0"/>
        <w:iCs w:val="0"/>
        <w:smallCaps w:val="0"/>
        <w:strike w:val="0"/>
        <w:color w:val="231E2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38C401E7"/>
    <w:multiLevelType w:val="multilevel"/>
    <w:tmpl w:val="3C748E76"/>
    <w:lvl w:ilvl="0">
      <w:start w:val="4"/>
      <w:numFmt w:val="decimal"/>
      <w:lvlText w:val="%1."/>
      <w:lvlJc w:val="left"/>
    </w:lvl>
    <w:lvl w:ilvl="1">
      <w:start w:val="1"/>
      <w:numFmt w:val="decimal"/>
      <w:lvlText w:val="%1.%2"/>
      <w:lvlJc w:val="left"/>
      <w:rPr>
        <w:rFonts w:ascii="Calibri" w:eastAsia="Calibri" w:hAnsi="Calibri" w:cs="Calibri"/>
        <w:b w:val="0"/>
        <w:bCs w:val="0"/>
        <w:i w:val="0"/>
        <w:iCs w:val="0"/>
        <w:smallCaps w:val="0"/>
        <w:strike w:val="0"/>
        <w:color w:val="231E20"/>
        <w:spacing w:val="0"/>
        <w:w w:val="100"/>
        <w:position w:val="0"/>
        <w:sz w:val="22"/>
        <w:szCs w:val="22"/>
        <w:u w:val="none"/>
        <w:shd w:val="clear" w:color="auto" w:fill="auto"/>
        <w:lang w:val="cs-CZ" w:eastAsia="cs-CZ" w:bidi="cs-CZ"/>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39867728"/>
    <w:multiLevelType w:val="multilevel"/>
    <w:tmpl w:val="F93612AC"/>
    <w:lvl w:ilvl="0">
      <w:start w:val="1"/>
      <w:numFmt w:val="bullet"/>
      <w:lvlText w:val="-"/>
      <w:lvlJc w:val="left"/>
      <w:rPr>
        <w:rFonts w:ascii="Arial" w:eastAsia="Arial" w:hAnsi="Arial" w:cs="Arial"/>
        <w:b w:val="0"/>
        <w:bCs w:val="0"/>
        <w:i w:val="0"/>
        <w:iCs w:val="0"/>
        <w:smallCaps w:val="0"/>
        <w:strike w:val="0"/>
        <w:color w:val="231E2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39A475FD"/>
    <w:multiLevelType w:val="multilevel"/>
    <w:tmpl w:val="5E287DEA"/>
    <w:lvl w:ilvl="0">
      <w:start w:val="1"/>
      <w:numFmt w:val="bullet"/>
      <w:lvlText w:val="-"/>
      <w:lvlJc w:val="left"/>
      <w:rPr>
        <w:rFonts w:ascii="Arial" w:eastAsia="Arial" w:hAnsi="Arial" w:cs="Arial"/>
        <w:b w:val="0"/>
        <w:bCs w:val="0"/>
        <w:i w:val="0"/>
        <w:iCs w:val="0"/>
        <w:smallCaps w:val="0"/>
        <w:strike w:val="0"/>
        <w:color w:val="3C6AB3"/>
        <w:spacing w:val="0"/>
        <w:w w:val="100"/>
        <w:position w:val="0"/>
        <w:sz w:val="18"/>
        <w:szCs w:val="1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3AA21840"/>
    <w:multiLevelType w:val="multilevel"/>
    <w:tmpl w:val="2D847200"/>
    <w:lvl w:ilvl="0">
      <w:start w:val="8"/>
      <w:numFmt w:val="decimal"/>
      <w:lvlText w:val="%1."/>
      <w:lvlJc w:val="left"/>
      <w:rPr>
        <w:rFonts w:ascii="Calibri" w:eastAsia="Calibri" w:hAnsi="Calibri" w:cs="Calibri"/>
        <w:b/>
        <w:bCs/>
        <w:i w:val="0"/>
        <w:iCs w:val="0"/>
        <w:smallCaps w:val="0"/>
        <w:strike w:val="0"/>
        <w:color w:val="231E20"/>
        <w:spacing w:val="0"/>
        <w:w w:val="100"/>
        <w:position w:val="0"/>
        <w:sz w:val="22"/>
        <w:szCs w:val="22"/>
        <w:u w:val="none"/>
        <w:shd w:val="clear" w:color="auto" w:fill="auto"/>
        <w:lang w:val="cs-CZ" w:eastAsia="cs-CZ" w:bidi="cs-CZ"/>
      </w:rPr>
    </w:lvl>
    <w:lvl w:ilvl="1">
      <w:start w:val="1"/>
      <w:numFmt w:val="decimal"/>
      <w:lvlText w:val="%1.%2."/>
      <w:lvlJc w:val="left"/>
      <w:rPr>
        <w:rFonts w:ascii="Calibri" w:eastAsia="Calibri" w:hAnsi="Calibri" w:cs="Calibri"/>
        <w:b w:val="0"/>
        <w:bCs w:val="0"/>
        <w:i w:val="0"/>
        <w:iCs w:val="0"/>
        <w:smallCaps w:val="0"/>
        <w:strike w:val="0"/>
        <w:color w:val="231E20"/>
        <w:spacing w:val="0"/>
        <w:w w:val="100"/>
        <w:position w:val="0"/>
        <w:sz w:val="22"/>
        <w:szCs w:val="22"/>
        <w:u w:val="none"/>
        <w:shd w:val="clear" w:color="auto" w:fill="auto"/>
        <w:lang w:val="cs-CZ" w:eastAsia="cs-CZ" w:bidi="cs-CZ"/>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3B031502"/>
    <w:multiLevelType w:val="multilevel"/>
    <w:tmpl w:val="2AC2C162"/>
    <w:lvl w:ilvl="0">
      <w:start w:val="1"/>
      <w:numFmt w:val="upperRoman"/>
      <w:lvlText w:val="%1."/>
      <w:lvlJc w:val="left"/>
      <w:rPr>
        <w:rFonts w:ascii="Calibri" w:eastAsia="Calibri" w:hAnsi="Calibri" w:cs="Calibri"/>
        <w:b w:val="0"/>
        <w:bCs w:val="0"/>
        <w:i w:val="0"/>
        <w:iCs w:val="0"/>
        <w:smallCaps w:val="0"/>
        <w:strike w:val="0"/>
        <w:color w:val="231E2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3C5411A2"/>
    <w:multiLevelType w:val="multilevel"/>
    <w:tmpl w:val="6B340146"/>
    <w:lvl w:ilvl="0">
      <w:start w:val="4"/>
      <w:numFmt w:val="decimal"/>
      <w:lvlText w:val="%1."/>
      <w:lvlJc w:val="left"/>
    </w:lvl>
    <w:lvl w:ilvl="1">
      <w:start w:val="1"/>
      <w:numFmt w:val="decimal"/>
      <w:lvlText w:val="%1.%2"/>
      <w:lvlJc w:val="left"/>
      <w:rPr>
        <w:rFonts w:ascii="Calibri" w:eastAsia="Calibri" w:hAnsi="Calibri" w:cs="Calibri"/>
        <w:b w:val="0"/>
        <w:bCs w:val="0"/>
        <w:i w:val="0"/>
        <w:iCs w:val="0"/>
        <w:smallCaps w:val="0"/>
        <w:strike w:val="0"/>
        <w:color w:val="231E20"/>
        <w:spacing w:val="0"/>
        <w:w w:val="100"/>
        <w:position w:val="0"/>
        <w:sz w:val="22"/>
        <w:szCs w:val="22"/>
        <w:u w:val="none"/>
        <w:shd w:val="clear" w:color="auto" w:fill="auto"/>
        <w:lang w:val="cs-CZ" w:eastAsia="cs-CZ" w:bidi="cs-CZ"/>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3CAE2331"/>
    <w:multiLevelType w:val="multilevel"/>
    <w:tmpl w:val="8B92FFC8"/>
    <w:lvl w:ilvl="0">
      <w:start w:val="1"/>
      <w:numFmt w:val="lowerLetter"/>
      <w:lvlText w:val="%1)"/>
      <w:lvlJc w:val="left"/>
      <w:rPr>
        <w:rFonts w:ascii="Calibri" w:eastAsia="Calibri" w:hAnsi="Calibri" w:cs="Calibri"/>
        <w:b w:val="0"/>
        <w:bCs w:val="0"/>
        <w:i w:val="0"/>
        <w:iCs w:val="0"/>
        <w:smallCaps w:val="0"/>
        <w:strike w:val="0"/>
        <w:color w:val="231E2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3D0A7B1D"/>
    <w:multiLevelType w:val="multilevel"/>
    <w:tmpl w:val="D2E89500"/>
    <w:lvl w:ilvl="0">
      <w:start w:val="1"/>
      <w:numFmt w:val="upperLetter"/>
      <w:lvlText w:val="(%1)"/>
      <w:lvlJc w:val="left"/>
      <w:rPr>
        <w:rFonts w:ascii="Calibri" w:eastAsia="Calibri" w:hAnsi="Calibri" w:cs="Calibri"/>
        <w:b w:val="0"/>
        <w:bCs w:val="0"/>
        <w:i w:val="0"/>
        <w:iCs w:val="0"/>
        <w:smallCaps w:val="0"/>
        <w:strike w:val="0"/>
        <w:color w:val="231E2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3FA56895"/>
    <w:multiLevelType w:val="multilevel"/>
    <w:tmpl w:val="ED686924"/>
    <w:lvl w:ilvl="0">
      <w:start w:val="3"/>
      <w:numFmt w:val="decimal"/>
      <w:lvlText w:val="%1."/>
      <w:lvlJc w:val="left"/>
    </w:lvl>
    <w:lvl w:ilvl="1">
      <w:start w:val="1"/>
      <w:numFmt w:val="decimal"/>
      <w:lvlText w:val="%1.%2"/>
      <w:lvlJc w:val="left"/>
      <w:rPr>
        <w:rFonts w:ascii="Calibri" w:eastAsia="Calibri" w:hAnsi="Calibri" w:cs="Calibri"/>
        <w:b w:val="0"/>
        <w:bCs w:val="0"/>
        <w:i w:val="0"/>
        <w:iCs w:val="0"/>
        <w:smallCaps w:val="0"/>
        <w:strike w:val="0"/>
        <w:color w:val="231E20"/>
        <w:spacing w:val="0"/>
        <w:w w:val="100"/>
        <w:position w:val="0"/>
        <w:sz w:val="22"/>
        <w:szCs w:val="22"/>
        <w:u w:val="none"/>
        <w:shd w:val="clear" w:color="auto" w:fill="auto"/>
        <w:lang w:val="cs-CZ" w:eastAsia="cs-CZ" w:bidi="cs-CZ"/>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40F66713"/>
    <w:multiLevelType w:val="multilevel"/>
    <w:tmpl w:val="FCC60098"/>
    <w:lvl w:ilvl="0">
      <w:start w:val="1"/>
      <w:numFmt w:val="decimal"/>
      <w:lvlText w:val="%1."/>
      <w:lvlJc w:val="left"/>
      <w:rPr>
        <w:rFonts w:ascii="Calibri" w:eastAsia="Calibri" w:hAnsi="Calibri" w:cs="Calibri"/>
        <w:b/>
        <w:bCs/>
        <w:i w:val="0"/>
        <w:iCs w:val="0"/>
        <w:smallCaps w:val="0"/>
        <w:strike w:val="0"/>
        <w:color w:val="231E20"/>
        <w:spacing w:val="0"/>
        <w:w w:val="100"/>
        <w:position w:val="0"/>
        <w:sz w:val="22"/>
        <w:szCs w:val="22"/>
        <w:u w:val="none"/>
        <w:shd w:val="clear" w:color="auto" w:fill="auto"/>
        <w:lang w:val="cs-CZ" w:eastAsia="cs-CZ" w:bidi="cs-CZ"/>
      </w:rPr>
    </w:lvl>
    <w:lvl w:ilvl="1">
      <w:start w:val="1"/>
      <w:numFmt w:val="decimal"/>
      <w:lvlText w:val="%1.%2."/>
      <w:lvlJc w:val="left"/>
      <w:rPr>
        <w:rFonts w:ascii="Calibri" w:eastAsia="Calibri" w:hAnsi="Calibri" w:cs="Calibri"/>
        <w:b w:val="0"/>
        <w:bCs w:val="0"/>
        <w:i w:val="0"/>
        <w:iCs w:val="0"/>
        <w:smallCaps w:val="0"/>
        <w:strike w:val="0"/>
        <w:color w:val="231E20"/>
        <w:spacing w:val="0"/>
        <w:w w:val="100"/>
        <w:position w:val="0"/>
        <w:sz w:val="22"/>
        <w:szCs w:val="22"/>
        <w:u w:val="none"/>
        <w:shd w:val="clear" w:color="auto" w:fill="auto"/>
        <w:lang w:val="cs-CZ" w:eastAsia="cs-CZ" w:bidi="cs-CZ"/>
      </w:rPr>
    </w:lvl>
    <w:lvl w:ilvl="2">
      <w:start w:val="1"/>
      <w:numFmt w:val="decimal"/>
      <w:lvlText w:val="%1.%2.%3."/>
      <w:lvlJc w:val="left"/>
      <w:rPr>
        <w:rFonts w:ascii="Calibri" w:eastAsia="Calibri" w:hAnsi="Calibri" w:cs="Calibri"/>
        <w:b w:val="0"/>
        <w:bCs w:val="0"/>
        <w:i w:val="0"/>
        <w:iCs w:val="0"/>
        <w:smallCaps w:val="0"/>
        <w:strike w:val="0"/>
        <w:color w:val="231E20"/>
        <w:spacing w:val="0"/>
        <w:w w:val="100"/>
        <w:position w:val="0"/>
        <w:sz w:val="22"/>
        <w:szCs w:val="22"/>
        <w:u w:val="none"/>
        <w:shd w:val="clear" w:color="auto" w:fill="auto"/>
        <w:lang w:val="cs-CZ" w:eastAsia="cs-CZ" w:bidi="cs-CZ"/>
      </w:rPr>
    </w:lvl>
    <w:lvl w:ilvl="3">
      <w:start w:val="1"/>
      <w:numFmt w:val="decimal"/>
      <w:lvlText w:val="%1.%2.%3.%4."/>
      <w:lvlJc w:val="left"/>
      <w:rPr>
        <w:rFonts w:ascii="Calibri" w:eastAsia="Calibri" w:hAnsi="Calibri" w:cs="Calibri"/>
        <w:b w:val="0"/>
        <w:bCs w:val="0"/>
        <w:i w:val="0"/>
        <w:iCs w:val="0"/>
        <w:smallCaps w:val="0"/>
        <w:strike w:val="0"/>
        <w:color w:val="231E20"/>
        <w:spacing w:val="0"/>
        <w:w w:val="100"/>
        <w:position w:val="0"/>
        <w:sz w:val="22"/>
        <w:szCs w:val="22"/>
        <w:u w:val="none"/>
        <w:shd w:val="clear" w:color="auto" w:fill="auto"/>
        <w:lang w:val="cs-CZ" w:eastAsia="cs-CZ" w:bidi="cs-CZ"/>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41D416D1"/>
    <w:multiLevelType w:val="multilevel"/>
    <w:tmpl w:val="140C695A"/>
    <w:lvl w:ilvl="0">
      <w:start w:val="4"/>
      <w:numFmt w:val="decimal"/>
      <w:lvlText w:val="%1."/>
      <w:lvlJc w:val="left"/>
    </w:lvl>
    <w:lvl w:ilvl="1">
      <w:start w:val="2"/>
      <w:numFmt w:val="decimal"/>
      <w:lvlText w:val="%1.%2."/>
      <w:lvlJc w:val="left"/>
      <w:rPr>
        <w:rFonts w:ascii="Arial" w:eastAsia="Arial" w:hAnsi="Arial" w:cs="Arial"/>
        <w:b w:val="0"/>
        <w:bCs w:val="0"/>
        <w:i w:val="0"/>
        <w:iCs w:val="0"/>
        <w:smallCaps w:val="0"/>
        <w:strike w:val="0"/>
        <w:color w:val="231E20"/>
        <w:spacing w:val="0"/>
        <w:w w:val="100"/>
        <w:position w:val="0"/>
        <w:sz w:val="20"/>
        <w:szCs w:val="20"/>
        <w:u w:val="none"/>
        <w:shd w:val="clear" w:color="auto" w:fill="auto"/>
        <w:lang w:val="cs-CZ" w:eastAsia="cs-CZ" w:bidi="cs-CZ"/>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43B954C5"/>
    <w:multiLevelType w:val="multilevel"/>
    <w:tmpl w:val="C728F2EC"/>
    <w:lvl w:ilvl="0">
      <w:start w:val="1"/>
      <w:numFmt w:val="lowerLetter"/>
      <w:lvlText w:val="%1."/>
      <w:lvlJc w:val="left"/>
      <w:rPr>
        <w:rFonts w:ascii="Calibri" w:eastAsia="Calibri" w:hAnsi="Calibri" w:cs="Calibri"/>
        <w:b/>
        <w:bCs/>
        <w:i w:val="0"/>
        <w:iCs w:val="0"/>
        <w:smallCaps w:val="0"/>
        <w:strike w:val="0"/>
        <w:color w:val="231E2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449C4468"/>
    <w:multiLevelType w:val="multilevel"/>
    <w:tmpl w:val="2678399C"/>
    <w:lvl w:ilvl="0">
      <w:start w:val="1"/>
      <w:numFmt w:val="bullet"/>
      <w:lvlText w:val="-"/>
      <w:lvlJc w:val="left"/>
      <w:rPr>
        <w:rFonts w:ascii="Arial" w:eastAsia="Arial" w:hAnsi="Arial" w:cs="Arial"/>
        <w:b w:val="0"/>
        <w:bCs w:val="0"/>
        <w:i w:val="0"/>
        <w:iCs w:val="0"/>
        <w:smallCaps w:val="0"/>
        <w:strike w:val="0"/>
        <w:color w:val="231E2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45342A7F"/>
    <w:multiLevelType w:val="multilevel"/>
    <w:tmpl w:val="0C94FE2E"/>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4583729C"/>
    <w:multiLevelType w:val="multilevel"/>
    <w:tmpl w:val="39F86FDC"/>
    <w:lvl w:ilvl="0">
      <w:start w:val="1"/>
      <w:numFmt w:val="upperRoman"/>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cs-CZ" w:eastAsia="cs-CZ" w:bidi="cs-CZ"/>
      </w:rPr>
    </w:lvl>
    <w:lvl w:ilvl="1">
      <w:start w:val="1"/>
      <w:numFmt w:val="upperRoman"/>
      <w:lvlText w:val="%1.%2."/>
      <w:lvlJc w:val="left"/>
    </w:lvl>
    <w:lvl w:ilvl="2">
      <w:start w:val="1"/>
      <w:numFmt w:val="upperRoman"/>
      <w:lvlText w:val="%1.%2.%3."/>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46877D25"/>
    <w:multiLevelType w:val="multilevel"/>
    <w:tmpl w:val="A9525ED0"/>
    <w:lvl w:ilvl="0">
      <w:start w:val="1"/>
      <w:numFmt w:val="decimal"/>
      <w:lvlText w:val="%1."/>
      <w:lvlJc w:val="left"/>
    </w:lvl>
    <w:lvl w:ilvl="1">
      <w:start w:val="1"/>
      <w:numFmt w:val="decimal"/>
      <w:lvlText w:val="%1.%2."/>
      <w:lvlJc w:val="left"/>
      <w:rPr>
        <w:rFonts w:ascii="Calibri" w:eastAsia="Calibri" w:hAnsi="Calibri" w:cs="Calibri"/>
        <w:b w:val="0"/>
        <w:bCs w:val="0"/>
        <w:i w:val="0"/>
        <w:iCs w:val="0"/>
        <w:smallCaps w:val="0"/>
        <w:strike w:val="0"/>
        <w:color w:val="231E20"/>
        <w:spacing w:val="0"/>
        <w:w w:val="100"/>
        <w:position w:val="0"/>
        <w:sz w:val="22"/>
        <w:szCs w:val="22"/>
        <w:u w:val="none"/>
        <w:shd w:val="clear" w:color="auto" w:fill="auto"/>
        <w:lang w:val="cs-CZ" w:eastAsia="cs-CZ" w:bidi="cs-CZ"/>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484E18EB"/>
    <w:multiLevelType w:val="multilevel"/>
    <w:tmpl w:val="6BB0CEE2"/>
    <w:lvl w:ilvl="0">
      <w:start w:val="1"/>
      <w:numFmt w:val="bullet"/>
      <w:lvlText w:val="-"/>
      <w:lvlJc w:val="left"/>
      <w:rPr>
        <w:rFonts w:ascii="Calibri" w:eastAsia="Calibri" w:hAnsi="Calibri" w:cs="Calibri"/>
        <w:b w:val="0"/>
        <w:bCs w:val="0"/>
        <w:i w:val="0"/>
        <w:iCs w:val="0"/>
        <w:smallCaps w:val="0"/>
        <w:strike w:val="0"/>
        <w:color w:val="231E2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4862175B"/>
    <w:multiLevelType w:val="multilevel"/>
    <w:tmpl w:val="5CE65900"/>
    <w:lvl w:ilvl="0">
      <w:start w:val="1"/>
      <w:numFmt w:val="upperRoman"/>
      <w:lvlText w:val="%1."/>
      <w:lvlJc w:val="left"/>
      <w:rPr>
        <w:rFonts w:ascii="Calibri" w:eastAsia="Calibri" w:hAnsi="Calibri" w:cs="Calibri"/>
        <w:b w:val="0"/>
        <w:bCs w:val="0"/>
        <w:i w:val="0"/>
        <w:iCs w:val="0"/>
        <w:smallCaps w:val="0"/>
        <w:strike w:val="0"/>
        <w:color w:val="231E2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48896C63"/>
    <w:multiLevelType w:val="multilevel"/>
    <w:tmpl w:val="CB40CCA6"/>
    <w:lvl w:ilvl="0">
      <w:start w:val="1"/>
      <w:numFmt w:val="bullet"/>
      <w:lvlText w:val="-"/>
      <w:lvlJc w:val="left"/>
      <w:rPr>
        <w:rFonts w:ascii="Calibri" w:eastAsia="Calibri" w:hAnsi="Calibri" w:cs="Calibri"/>
        <w:b w:val="0"/>
        <w:bCs w:val="0"/>
        <w:i w:val="0"/>
        <w:iCs w:val="0"/>
        <w:smallCaps w:val="0"/>
        <w:strike w:val="0"/>
        <w:color w:val="231E2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48B465CC"/>
    <w:multiLevelType w:val="multilevel"/>
    <w:tmpl w:val="3C3AD960"/>
    <w:lvl w:ilvl="0">
      <w:start w:val="1"/>
      <w:numFmt w:val="decimal"/>
      <w:lvlText w:val="%1."/>
      <w:lvlJc w:val="left"/>
      <w:rPr>
        <w:rFonts w:ascii="Calibri" w:eastAsia="Calibri" w:hAnsi="Calibri" w:cs="Calibri"/>
        <w:b/>
        <w:bCs/>
        <w:i w:val="0"/>
        <w:iCs w:val="0"/>
        <w:smallCaps w:val="0"/>
        <w:strike w:val="0"/>
        <w:color w:val="231E20"/>
        <w:spacing w:val="0"/>
        <w:w w:val="100"/>
        <w:position w:val="0"/>
        <w:sz w:val="22"/>
        <w:szCs w:val="22"/>
        <w:u w:val="none"/>
        <w:shd w:val="clear" w:color="auto" w:fill="auto"/>
        <w:lang w:val="cs-CZ" w:eastAsia="cs-CZ" w:bidi="cs-CZ"/>
      </w:rPr>
    </w:lvl>
    <w:lvl w:ilvl="1">
      <w:start w:val="1"/>
      <w:numFmt w:val="decimal"/>
      <w:lvlText w:val="%1.%2."/>
      <w:lvlJc w:val="left"/>
      <w:rPr>
        <w:rFonts w:ascii="Calibri" w:eastAsia="Calibri" w:hAnsi="Calibri" w:cs="Calibri"/>
        <w:b w:val="0"/>
        <w:bCs w:val="0"/>
        <w:i w:val="0"/>
        <w:iCs w:val="0"/>
        <w:smallCaps w:val="0"/>
        <w:strike w:val="0"/>
        <w:color w:val="231E20"/>
        <w:spacing w:val="0"/>
        <w:w w:val="100"/>
        <w:position w:val="0"/>
        <w:sz w:val="22"/>
        <w:szCs w:val="22"/>
        <w:u w:val="none"/>
        <w:shd w:val="clear" w:color="auto" w:fill="auto"/>
        <w:lang w:val="cs-CZ" w:eastAsia="cs-CZ" w:bidi="cs-CZ"/>
      </w:rPr>
    </w:lvl>
    <w:lvl w:ilvl="2">
      <w:start w:val="1"/>
      <w:numFmt w:val="decimal"/>
      <w:lvlText w:val="%1.%2.%3."/>
      <w:lvlJc w:val="left"/>
      <w:rPr>
        <w:rFonts w:ascii="Calibri" w:eastAsia="Calibri" w:hAnsi="Calibri" w:cs="Calibri"/>
        <w:b w:val="0"/>
        <w:bCs w:val="0"/>
        <w:i w:val="0"/>
        <w:iCs w:val="0"/>
        <w:smallCaps w:val="0"/>
        <w:strike w:val="0"/>
        <w:color w:val="231E20"/>
        <w:spacing w:val="0"/>
        <w:w w:val="100"/>
        <w:position w:val="0"/>
        <w:sz w:val="22"/>
        <w:szCs w:val="22"/>
        <w:u w:val="none"/>
        <w:shd w:val="clear" w:color="auto" w:fill="auto"/>
        <w:lang w:val="cs-CZ" w:eastAsia="cs-CZ" w:bidi="cs-CZ"/>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49186D94"/>
    <w:multiLevelType w:val="multilevel"/>
    <w:tmpl w:val="1736DED0"/>
    <w:lvl w:ilvl="0">
      <w:start w:val="1"/>
      <w:numFmt w:val="decimal"/>
      <w:lvlText w:val="%1."/>
      <w:lvlJc w:val="left"/>
    </w:lvl>
    <w:lvl w:ilvl="1">
      <w:start w:val="7"/>
      <w:numFmt w:val="decimal"/>
      <w:lvlText w:val="%1.%2"/>
      <w:lvlJc w:val="left"/>
      <w:rPr>
        <w:rFonts w:ascii="Calibri" w:eastAsia="Calibri" w:hAnsi="Calibri" w:cs="Calibri"/>
        <w:b w:val="0"/>
        <w:bCs w:val="0"/>
        <w:i w:val="0"/>
        <w:iCs w:val="0"/>
        <w:smallCaps w:val="0"/>
        <w:strike w:val="0"/>
        <w:color w:val="231E20"/>
        <w:spacing w:val="0"/>
        <w:w w:val="100"/>
        <w:position w:val="0"/>
        <w:sz w:val="22"/>
        <w:szCs w:val="22"/>
        <w:u w:val="none"/>
        <w:shd w:val="clear" w:color="auto" w:fill="auto"/>
        <w:lang w:val="cs-CZ" w:eastAsia="cs-CZ" w:bidi="cs-CZ"/>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4CE70AF6"/>
    <w:multiLevelType w:val="multilevel"/>
    <w:tmpl w:val="49BAF59E"/>
    <w:lvl w:ilvl="0">
      <w:start w:val="1"/>
      <w:numFmt w:val="upperRoman"/>
      <w:lvlText w:val="%1."/>
      <w:lvlJc w:val="left"/>
      <w:rPr>
        <w:rFonts w:ascii="Calibri" w:eastAsia="Calibri" w:hAnsi="Calibri" w:cs="Calibri"/>
        <w:b w:val="0"/>
        <w:bCs w:val="0"/>
        <w:i w:val="0"/>
        <w:iCs w:val="0"/>
        <w:smallCaps w:val="0"/>
        <w:strike w:val="0"/>
        <w:color w:val="231E2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4D0163AA"/>
    <w:multiLevelType w:val="multilevel"/>
    <w:tmpl w:val="8ED61146"/>
    <w:lvl w:ilvl="0">
      <w:start w:val="1"/>
      <w:numFmt w:val="bullet"/>
      <w:lvlText w:val="-"/>
      <w:lvlJc w:val="left"/>
      <w:rPr>
        <w:rFonts w:ascii="Arial" w:eastAsia="Arial" w:hAnsi="Arial" w:cs="Arial"/>
        <w:b w:val="0"/>
        <w:bCs w:val="0"/>
        <w:i w:val="0"/>
        <w:iCs w:val="0"/>
        <w:smallCaps w:val="0"/>
        <w:strike w:val="0"/>
        <w:color w:val="231E20"/>
        <w:spacing w:val="0"/>
        <w:w w:val="100"/>
        <w:position w:val="0"/>
        <w:sz w:val="12"/>
        <w:szCs w:val="1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4D0211CD"/>
    <w:multiLevelType w:val="multilevel"/>
    <w:tmpl w:val="105854F2"/>
    <w:lvl w:ilvl="0">
      <w:start w:val="4"/>
      <w:numFmt w:val="lowerLetter"/>
      <w:lvlText w:val="%1)"/>
      <w:lvlJc w:val="left"/>
      <w:rPr>
        <w:rFonts w:ascii="Calibri" w:eastAsia="Calibri" w:hAnsi="Calibri" w:cs="Calibri"/>
        <w:b w:val="0"/>
        <w:bCs w:val="0"/>
        <w:i w:val="0"/>
        <w:iCs w:val="0"/>
        <w:smallCaps w:val="0"/>
        <w:strike w:val="0"/>
        <w:color w:val="231E2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4D754105"/>
    <w:multiLevelType w:val="multilevel"/>
    <w:tmpl w:val="2D9C10BC"/>
    <w:lvl w:ilvl="0">
      <w:start w:val="1"/>
      <w:numFmt w:val="lowerLetter"/>
      <w:lvlText w:val="%1)"/>
      <w:lvlJc w:val="left"/>
      <w:rPr>
        <w:rFonts w:ascii="Calibri" w:eastAsia="Calibri" w:hAnsi="Calibri" w:cs="Calibri"/>
        <w:b w:val="0"/>
        <w:bCs w:val="0"/>
        <w:i w:val="0"/>
        <w:iCs w:val="0"/>
        <w:smallCaps w:val="0"/>
        <w:strike w:val="0"/>
        <w:color w:val="231E2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4E584E31"/>
    <w:multiLevelType w:val="multilevel"/>
    <w:tmpl w:val="CFD6E890"/>
    <w:lvl w:ilvl="0">
      <w:start w:val="2"/>
      <w:numFmt w:val="upperRoman"/>
      <w:lvlText w:val="%1."/>
      <w:lvlJc w:val="left"/>
      <w:rPr>
        <w:rFonts w:ascii="Calibri" w:eastAsia="Calibri" w:hAnsi="Calibri" w:cs="Calibri"/>
        <w:b w:val="0"/>
        <w:bCs w:val="0"/>
        <w:i w:val="0"/>
        <w:iCs w:val="0"/>
        <w:smallCaps w:val="0"/>
        <w:strike w:val="0"/>
        <w:color w:val="142A56"/>
        <w:spacing w:val="0"/>
        <w:w w:val="100"/>
        <w:position w:val="0"/>
        <w:sz w:val="24"/>
        <w:szCs w:val="24"/>
        <w:u w:val="none"/>
        <w:shd w:val="clear" w:color="auto" w:fill="auto"/>
        <w:lang w:val="cs-CZ" w:eastAsia="cs-CZ" w:bidi="cs-CZ"/>
      </w:rPr>
    </w:lvl>
    <w:lvl w:ilvl="1">
      <w:start w:val="1"/>
      <w:numFmt w:val="upperRoman"/>
      <w:lvlText w:val="%1.%2"/>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4F3D22E9"/>
    <w:multiLevelType w:val="multilevel"/>
    <w:tmpl w:val="D6DAFD60"/>
    <w:lvl w:ilvl="0">
      <w:start w:val="1"/>
      <w:numFmt w:val="bullet"/>
      <w:lvlText w:val="-"/>
      <w:lvlJc w:val="left"/>
      <w:rPr>
        <w:rFonts w:ascii="Calibri" w:eastAsia="Calibri" w:hAnsi="Calibri" w:cs="Calibri"/>
        <w:b w:val="0"/>
        <w:bCs w:val="0"/>
        <w:i w:val="0"/>
        <w:iCs w:val="0"/>
        <w:smallCaps w:val="0"/>
        <w:strike w:val="0"/>
        <w:color w:val="231E2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4FC50095"/>
    <w:multiLevelType w:val="multilevel"/>
    <w:tmpl w:val="1A185AAC"/>
    <w:lvl w:ilvl="0">
      <w:start w:val="1"/>
      <w:numFmt w:val="bullet"/>
      <w:lvlText w:val="-"/>
      <w:lvlJc w:val="left"/>
      <w:rPr>
        <w:rFonts w:ascii="Arial" w:eastAsia="Arial" w:hAnsi="Arial" w:cs="Arial"/>
        <w:b w:val="0"/>
        <w:bCs w:val="0"/>
        <w:i w:val="0"/>
        <w:iCs w:val="0"/>
        <w:smallCaps w:val="0"/>
        <w:strike w:val="0"/>
        <w:color w:val="3C6AB3"/>
        <w:spacing w:val="0"/>
        <w:w w:val="100"/>
        <w:position w:val="0"/>
        <w:sz w:val="18"/>
        <w:szCs w:val="1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50337010"/>
    <w:multiLevelType w:val="multilevel"/>
    <w:tmpl w:val="A9FCDA2C"/>
    <w:lvl w:ilvl="0">
      <w:start w:val="1"/>
      <w:numFmt w:val="decimal"/>
      <w:lvlText w:val="%1."/>
      <w:lvlJc w:val="left"/>
    </w:lvl>
    <w:lvl w:ilvl="1">
      <w:start w:val="1"/>
      <w:numFmt w:val="decimal"/>
      <w:lvlText w:val="%1.%2."/>
      <w:lvlJc w:val="left"/>
      <w:rPr>
        <w:rFonts w:ascii="Arial" w:eastAsia="Arial" w:hAnsi="Arial" w:cs="Arial"/>
        <w:b w:val="0"/>
        <w:bCs w:val="0"/>
        <w:i w:val="0"/>
        <w:iCs w:val="0"/>
        <w:smallCaps w:val="0"/>
        <w:strike w:val="0"/>
        <w:color w:val="231E20"/>
        <w:spacing w:val="0"/>
        <w:w w:val="100"/>
        <w:position w:val="0"/>
        <w:sz w:val="20"/>
        <w:szCs w:val="20"/>
        <w:u w:val="none"/>
        <w:shd w:val="clear" w:color="auto" w:fill="auto"/>
        <w:lang w:val="cs-CZ" w:eastAsia="cs-CZ" w:bidi="cs-CZ"/>
      </w:rPr>
    </w:lvl>
    <w:lvl w:ilvl="2">
      <w:start w:val="1"/>
      <w:numFmt w:val="decimal"/>
      <w:lvlText w:val="%1.%2.%3."/>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50D117C5"/>
    <w:multiLevelType w:val="multilevel"/>
    <w:tmpl w:val="2D5818BA"/>
    <w:lvl w:ilvl="0">
      <w:start w:val="1"/>
      <w:numFmt w:val="bullet"/>
      <w:lvlText w:val="•"/>
      <w:lvlJc w:val="left"/>
      <w:rPr>
        <w:rFonts w:ascii="Arial" w:eastAsia="Arial" w:hAnsi="Arial" w:cs="Arial"/>
        <w:b w:val="0"/>
        <w:bCs w:val="0"/>
        <w:i/>
        <w:iCs/>
        <w:smallCaps w:val="0"/>
        <w:strike w:val="0"/>
        <w:color w:val="231E20"/>
        <w:spacing w:val="0"/>
        <w:w w:val="100"/>
        <w:position w:val="0"/>
        <w:sz w:val="19"/>
        <w:szCs w:val="19"/>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535D52AA"/>
    <w:multiLevelType w:val="multilevel"/>
    <w:tmpl w:val="173E2EA2"/>
    <w:lvl w:ilvl="0">
      <w:start w:val="5"/>
      <w:numFmt w:val="upperRoman"/>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cs-CZ" w:eastAsia="cs-CZ" w:bidi="cs-CZ"/>
      </w:rPr>
    </w:lvl>
    <w:lvl w:ilvl="1">
      <w:start w:val="1"/>
      <w:numFmt w:val="upperRoman"/>
      <w:lvlText w:val="%1.%2."/>
      <w:lvlJc w:val="left"/>
    </w:lvl>
    <w:lvl w:ilvl="2">
      <w:start w:val="1"/>
      <w:numFmt w:val="upperRoman"/>
      <w:lvlText w:val="%1.%2.%3."/>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539553A2"/>
    <w:multiLevelType w:val="multilevel"/>
    <w:tmpl w:val="8E0E1206"/>
    <w:lvl w:ilvl="0">
      <w:start w:val="4"/>
      <w:numFmt w:val="lowerLetter"/>
      <w:lvlText w:val="%1)"/>
      <w:lvlJc w:val="left"/>
      <w:rPr>
        <w:rFonts w:ascii="Calibri" w:eastAsia="Calibri" w:hAnsi="Calibri" w:cs="Calibri"/>
        <w:b w:val="0"/>
        <w:bCs w:val="0"/>
        <w:i w:val="0"/>
        <w:iCs w:val="0"/>
        <w:smallCaps w:val="0"/>
        <w:strike w:val="0"/>
        <w:color w:val="231E2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53D133E5"/>
    <w:multiLevelType w:val="multilevel"/>
    <w:tmpl w:val="29CA8626"/>
    <w:lvl w:ilvl="0">
      <w:start w:val="1"/>
      <w:numFmt w:val="decimal"/>
      <w:lvlText w:val="%1"/>
      <w:lvlJc w:val="left"/>
      <w:rPr>
        <w:rFonts w:ascii="Arial" w:eastAsia="Arial" w:hAnsi="Arial" w:cs="Arial"/>
        <w:b w:val="0"/>
        <w:bCs w:val="0"/>
        <w:i w:val="0"/>
        <w:iCs w:val="0"/>
        <w:smallCaps w:val="0"/>
        <w:strike w:val="0"/>
        <w:color w:val="010102"/>
        <w:spacing w:val="0"/>
        <w:w w:val="100"/>
        <w:position w:val="0"/>
        <w:sz w:val="9"/>
        <w:szCs w:val="9"/>
        <w:u w:val="none"/>
        <w:shd w:val="clear" w:color="auto" w:fill="auto"/>
        <w:vertAlign w:val="superscript"/>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54411293"/>
    <w:multiLevelType w:val="multilevel"/>
    <w:tmpl w:val="7FD80FD6"/>
    <w:lvl w:ilvl="0">
      <w:start w:val="16"/>
      <w:numFmt w:val="decimal"/>
      <w:lvlText w:val="%1."/>
      <w:lvlJc w:val="left"/>
    </w:lvl>
    <w:lvl w:ilvl="1">
      <w:start w:val="4"/>
      <w:numFmt w:val="decimal"/>
      <w:lvlText w:val="%1.%2."/>
      <w:lvlJc w:val="left"/>
    </w:lvl>
    <w:lvl w:ilvl="2">
      <w:start w:val="1"/>
      <w:numFmt w:val="decimal"/>
      <w:lvlText w:val="%1.%2.%3."/>
      <w:lvlJc w:val="left"/>
      <w:rPr>
        <w:rFonts w:ascii="Calibri" w:eastAsia="Calibri" w:hAnsi="Calibri" w:cs="Calibri"/>
        <w:b w:val="0"/>
        <w:bCs w:val="0"/>
        <w:i w:val="0"/>
        <w:iCs w:val="0"/>
        <w:smallCaps w:val="0"/>
        <w:strike w:val="0"/>
        <w:color w:val="231E20"/>
        <w:spacing w:val="0"/>
        <w:w w:val="100"/>
        <w:position w:val="0"/>
        <w:sz w:val="22"/>
        <w:szCs w:val="22"/>
        <w:u w:val="none"/>
        <w:shd w:val="clear" w:color="auto" w:fill="auto"/>
        <w:lang w:val="cs-CZ" w:eastAsia="cs-CZ" w:bidi="cs-CZ"/>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56350731"/>
    <w:multiLevelType w:val="multilevel"/>
    <w:tmpl w:val="1E7030EC"/>
    <w:lvl w:ilvl="0">
      <w:start w:val="1"/>
      <w:numFmt w:val="upperRoman"/>
      <w:lvlText w:val="%1."/>
      <w:lvlJc w:val="left"/>
      <w:rPr>
        <w:rFonts w:ascii="Arial" w:eastAsia="Arial" w:hAnsi="Arial" w:cs="Arial"/>
        <w:b/>
        <w:bCs/>
        <w:i/>
        <w:iCs/>
        <w:smallCaps w:val="0"/>
        <w:strike w:val="0"/>
        <w:color w:val="231E20"/>
        <w:spacing w:val="0"/>
        <w:w w:val="100"/>
        <w:position w:val="0"/>
        <w:sz w:val="18"/>
        <w:szCs w:val="18"/>
        <w:u w:val="none"/>
        <w:shd w:val="clear" w:color="auto" w:fill="auto"/>
        <w:lang w:val="cs-CZ" w:eastAsia="cs-CZ" w:bidi="cs-CZ"/>
      </w:rPr>
    </w:lvl>
    <w:lvl w:ilvl="1">
      <w:start w:val="1"/>
      <w:numFmt w:val="upperRoman"/>
      <w:lvlText w:val="%1.%2."/>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577B623B"/>
    <w:multiLevelType w:val="multilevel"/>
    <w:tmpl w:val="6AC8F7F4"/>
    <w:lvl w:ilvl="0">
      <w:start w:val="5"/>
      <w:numFmt w:val="decimal"/>
      <w:lvlText w:val="%1."/>
      <w:lvlJc w:val="left"/>
    </w:lvl>
    <w:lvl w:ilvl="1">
      <w:start w:val="1"/>
      <w:numFmt w:val="decimal"/>
      <w:lvlText w:val="%1.%2."/>
      <w:lvlJc w:val="left"/>
      <w:rPr>
        <w:rFonts w:ascii="Arial" w:eastAsia="Arial" w:hAnsi="Arial" w:cs="Arial"/>
        <w:b w:val="0"/>
        <w:bCs w:val="0"/>
        <w:i w:val="0"/>
        <w:iCs w:val="0"/>
        <w:smallCaps w:val="0"/>
        <w:strike w:val="0"/>
        <w:color w:val="231E20"/>
        <w:spacing w:val="0"/>
        <w:w w:val="100"/>
        <w:position w:val="0"/>
        <w:sz w:val="20"/>
        <w:szCs w:val="20"/>
        <w:u w:val="none"/>
        <w:shd w:val="clear" w:color="auto" w:fill="auto"/>
        <w:lang w:val="cs-CZ" w:eastAsia="cs-CZ" w:bidi="cs-CZ"/>
      </w:rPr>
    </w:lvl>
    <w:lvl w:ilvl="2">
      <w:start w:val="1"/>
      <w:numFmt w:val="decimal"/>
      <w:lvlText w:val="%1.%2.%3."/>
      <w:lvlJc w:val="left"/>
      <w:rPr>
        <w:rFonts w:ascii="Arial" w:eastAsia="Arial" w:hAnsi="Arial" w:cs="Arial"/>
        <w:b w:val="0"/>
        <w:bCs w:val="0"/>
        <w:i w:val="0"/>
        <w:iCs w:val="0"/>
        <w:smallCaps w:val="0"/>
        <w:strike w:val="0"/>
        <w:color w:val="231E20"/>
        <w:spacing w:val="0"/>
        <w:w w:val="100"/>
        <w:position w:val="0"/>
        <w:sz w:val="20"/>
        <w:szCs w:val="20"/>
        <w:u w:val="none"/>
        <w:shd w:val="clear" w:color="auto" w:fill="auto"/>
        <w:lang w:val="cs-CZ" w:eastAsia="cs-CZ" w:bidi="cs-CZ"/>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57FE01AD"/>
    <w:multiLevelType w:val="multilevel"/>
    <w:tmpl w:val="E72E869C"/>
    <w:lvl w:ilvl="0">
      <w:start w:val="6"/>
      <w:numFmt w:val="decimal"/>
      <w:lvlText w:val="%1."/>
      <w:lvlJc w:val="left"/>
    </w:lvl>
    <w:lvl w:ilvl="1">
      <w:start w:val="1"/>
      <w:numFmt w:val="decimal"/>
      <w:lvlText w:val="%1.%2."/>
      <w:lvlJc w:val="left"/>
      <w:rPr>
        <w:rFonts w:ascii="Arial" w:eastAsia="Arial" w:hAnsi="Arial" w:cs="Arial"/>
        <w:b w:val="0"/>
        <w:bCs w:val="0"/>
        <w:i/>
        <w:iCs/>
        <w:smallCaps w:val="0"/>
        <w:strike w:val="0"/>
        <w:color w:val="231E20"/>
        <w:spacing w:val="0"/>
        <w:w w:val="100"/>
        <w:position w:val="0"/>
        <w:sz w:val="18"/>
        <w:szCs w:val="18"/>
        <w:u w:val="none"/>
        <w:shd w:val="clear" w:color="auto" w:fill="auto"/>
        <w:lang w:val="cs-CZ" w:eastAsia="cs-CZ" w:bidi="cs-CZ"/>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58241FF4"/>
    <w:multiLevelType w:val="multilevel"/>
    <w:tmpl w:val="0B9E2980"/>
    <w:lvl w:ilvl="0">
      <w:start w:val="1"/>
      <w:numFmt w:val="upperLetter"/>
      <w:lvlText w:val="(%1)"/>
      <w:lvlJc w:val="left"/>
      <w:rPr>
        <w:rFonts w:ascii="Calibri" w:eastAsia="Calibri" w:hAnsi="Calibri" w:cs="Calibri"/>
        <w:b w:val="0"/>
        <w:bCs w:val="0"/>
        <w:i w:val="0"/>
        <w:iCs w:val="0"/>
        <w:smallCaps w:val="0"/>
        <w:strike w:val="0"/>
        <w:color w:val="231E2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590965D0"/>
    <w:multiLevelType w:val="multilevel"/>
    <w:tmpl w:val="4498008A"/>
    <w:lvl w:ilvl="0">
      <w:start w:val="1"/>
      <w:numFmt w:val="decimal"/>
      <w:lvlText w:val="%1."/>
      <w:lvlJc w:val="left"/>
      <w:rPr>
        <w:rFonts w:ascii="Calibri" w:eastAsia="Calibri" w:hAnsi="Calibri" w:cs="Calibri"/>
        <w:b w:val="0"/>
        <w:bCs w:val="0"/>
        <w:i w:val="0"/>
        <w:iCs w:val="0"/>
        <w:smallCaps w:val="0"/>
        <w:strike w:val="0"/>
        <w:color w:val="231E2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5AA710A3"/>
    <w:multiLevelType w:val="multilevel"/>
    <w:tmpl w:val="E28A5B82"/>
    <w:lvl w:ilvl="0">
      <w:start w:val="1"/>
      <w:numFmt w:val="lowerRoman"/>
      <w:lvlText w:val="%1."/>
      <w:lvlJc w:val="left"/>
      <w:rPr>
        <w:rFonts w:ascii="Calibri" w:eastAsia="Calibri" w:hAnsi="Calibri" w:cs="Calibri"/>
        <w:b w:val="0"/>
        <w:bCs w:val="0"/>
        <w:i w:val="0"/>
        <w:iCs w:val="0"/>
        <w:smallCaps w:val="0"/>
        <w:strike w:val="0"/>
        <w:color w:val="231E2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5AB93A03"/>
    <w:multiLevelType w:val="multilevel"/>
    <w:tmpl w:val="8DA6C532"/>
    <w:lvl w:ilvl="0">
      <w:start w:val="1"/>
      <w:numFmt w:val="lowerLetter"/>
      <w:lvlText w:val="%1)"/>
      <w:lvlJc w:val="left"/>
      <w:rPr>
        <w:rFonts w:ascii="Calibri" w:eastAsia="Calibri" w:hAnsi="Calibri" w:cs="Calibri"/>
        <w:b w:val="0"/>
        <w:bCs w:val="0"/>
        <w:i w:val="0"/>
        <w:iCs w:val="0"/>
        <w:smallCaps w:val="0"/>
        <w:strike w:val="0"/>
        <w:color w:val="231E2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5B2D07D1"/>
    <w:multiLevelType w:val="multilevel"/>
    <w:tmpl w:val="22129394"/>
    <w:lvl w:ilvl="0">
      <w:start w:val="1"/>
      <w:numFmt w:val="lowerRoman"/>
      <w:lvlText w:val="%1."/>
      <w:lvlJc w:val="left"/>
      <w:rPr>
        <w:rFonts w:ascii="Calibri" w:eastAsia="Calibri" w:hAnsi="Calibri" w:cs="Calibri"/>
        <w:b w:val="0"/>
        <w:bCs w:val="0"/>
        <w:i w:val="0"/>
        <w:iCs w:val="0"/>
        <w:smallCaps w:val="0"/>
        <w:strike w:val="0"/>
        <w:color w:val="231E2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5DC52BC1"/>
    <w:multiLevelType w:val="multilevel"/>
    <w:tmpl w:val="769CD198"/>
    <w:lvl w:ilvl="0">
      <w:start w:val="1"/>
      <w:numFmt w:val="bullet"/>
      <w:lvlText w:val="V"/>
      <w:lvlJc w:val="left"/>
      <w:rPr>
        <w:rFonts w:ascii="Arial" w:eastAsia="Arial" w:hAnsi="Arial" w:cs="Arial"/>
        <w:b w:val="0"/>
        <w:bCs w:val="0"/>
        <w:i w:val="0"/>
        <w:iCs w:val="0"/>
        <w:smallCaps w:val="0"/>
        <w:strike w:val="0"/>
        <w:color w:val="231E2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5FDA0158"/>
    <w:multiLevelType w:val="multilevel"/>
    <w:tmpl w:val="56A22046"/>
    <w:lvl w:ilvl="0">
      <w:start w:val="1"/>
      <w:numFmt w:val="lowerLetter"/>
      <w:lvlText w:val="%1)"/>
      <w:lvlJc w:val="left"/>
      <w:rPr>
        <w:rFonts w:ascii="Calibri" w:eastAsia="Calibri" w:hAnsi="Calibri" w:cs="Calibri"/>
        <w:b w:val="0"/>
        <w:bCs w:val="0"/>
        <w:i w:val="0"/>
        <w:iCs w:val="0"/>
        <w:smallCaps w:val="0"/>
        <w:strike w:val="0"/>
        <w:color w:val="231E2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60992A76"/>
    <w:multiLevelType w:val="multilevel"/>
    <w:tmpl w:val="3C784F72"/>
    <w:lvl w:ilvl="0">
      <w:start w:val="1"/>
      <w:numFmt w:val="bullet"/>
      <w:lvlText w:val="•"/>
      <w:lvlJc w:val="left"/>
      <w:rPr>
        <w:rFonts w:ascii="Arial" w:eastAsia="Arial" w:hAnsi="Arial" w:cs="Arial"/>
        <w:b w:val="0"/>
        <w:bCs w:val="0"/>
        <w:i/>
        <w:iCs/>
        <w:smallCaps w:val="0"/>
        <w:strike w:val="0"/>
        <w:color w:val="231E20"/>
        <w:spacing w:val="0"/>
        <w:w w:val="100"/>
        <w:position w:val="0"/>
        <w:sz w:val="19"/>
        <w:szCs w:val="19"/>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61402661"/>
    <w:multiLevelType w:val="multilevel"/>
    <w:tmpl w:val="040EDFA0"/>
    <w:lvl w:ilvl="0">
      <w:start w:val="3"/>
      <w:numFmt w:val="decimal"/>
      <w:lvlText w:val="%1."/>
      <w:lvlJc w:val="left"/>
      <w:rPr>
        <w:rFonts w:ascii="Calibri" w:eastAsia="Calibri" w:hAnsi="Calibri" w:cs="Calibri"/>
        <w:b/>
        <w:bCs/>
        <w:i w:val="0"/>
        <w:iCs w:val="0"/>
        <w:smallCaps w:val="0"/>
        <w:strike w:val="0"/>
        <w:color w:val="231E20"/>
        <w:spacing w:val="0"/>
        <w:w w:val="100"/>
        <w:position w:val="0"/>
        <w:sz w:val="22"/>
        <w:szCs w:val="22"/>
        <w:u w:val="none"/>
        <w:shd w:val="clear" w:color="auto" w:fill="auto"/>
        <w:lang w:val="cs-CZ" w:eastAsia="cs-CZ" w:bidi="cs-CZ"/>
      </w:rPr>
    </w:lvl>
    <w:lvl w:ilvl="1">
      <w:start w:val="1"/>
      <w:numFmt w:val="decimal"/>
      <w:lvlText w:val="%1.%2."/>
      <w:lvlJc w:val="left"/>
      <w:rPr>
        <w:rFonts w:ascii="Calibri" w:eastAsia="Calibri" w:hAnsi="Calibri" w:cs="Calibri"/>
        <w:b w:val="0"/>
        <w:bCs w:val="0"/>
        <w:i w:val="0"/>
        <w:iCs w:val="0"/>
        <w:smallCaps w:val="0"/>
        <w:strike w:val="0"/>
        <w:color w:val="231E20"/>
        <w:spacing w:val="0"/>
        <w:w w:val="100"/>
        <w:position w:val="0"/>
        <w:sz w:val="22"/>
        <w:szCs w:val="22"/>
        <w:u w:val="none"/>
        <w:shd w:val="clear" w:color="auto" w:fill="auto"/>
        <w:lang w:val="cs-CZ" w:eastAsia="cs-CZ" w:bidi="cs-CZ"/>
      </w:rPr>
    </w:lvl>
    <w:lvl w:ilvl="2">
      <w:start w:val="1"/>
      <w:numFmt w:val="decimal"/>
      <w:lvlText w:val="%1.%2.%3."/>
      <w:lvlJc w:val="left"/>
      <w:rPr>
        <w:rFonts w:ascii="Calibri" w:eastAsia="Calibri" w:hAnsi="Calibri" w:cs="Calibri"/>
        <w:b w:val="0"/>
        <w:bCs w:val="0"/>
        <w:i w:val="0"/>
        <w:iCs w:val="0"/>
        <w:smallCaps w:val="0"/>
        <w:strike w:val="0"/>
        <w:color w:val="231E20"/>
        <w:spacing w:val="0"/>
        <w:w w:val="100"/>
        <w:position w:val="0"/>
        <w:sz w:val="22"/>
        <w:szCs w:val="22"/>
        <w:u w:val="none"/>
        <w:shd w:val="clear" w:color="auto" w:fill="auto"/>
        <w:lang w:val="cs-CZ" w:eastAsia="cs-CZ" w:bidi="cs-CZ"/>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61467494"/>
    <w:multiLevelType w:val="multilevel"/>
    <w:tmpl w:val="471C8018"/>
    <w:lvl w:ilvl="0">
      <w:start w:val="1"/>
      <w:numFmt w:val="lowerLetter"/>
      <w:lvlText w:val="%1)"/>
      <w:lvlJc w:val="left"/>
      <w:rPr>
        <w:rFonts w:ascii="Calibri" w:eastAsia="Calibri" w:hAnsi="Calibri" w:cs="Calibri"/>
        <w:b w:val="0"/>
        <w:bCs w:val="0"/>
        <w:i w:val="0"/>
        <w:iCs w:val="0"/>
        <w:smallCaps w:val="0"/>
        <w:strike w:val="0"/>
        <w:color w:val="231E2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630C0B21"/>
    <w:multiLevelType w:val="multilevel"/>
    <w:tmpl w:val="5F8255D2"/>
    <w:lvl w:ilvl="0">
      <w:start w:val="1"/>
      <w:numFmt w:val="bullet"/>
      <w:lvlText w:val="•"/>
      <w:lvlJc w:val="left"/>
      <w:rPr>
        <w:rFonts w:ascii="Calibri" w:eastAsia="Calibri" w:hAnsi="Calibri" w:cs="Calibri"/>
        <w:b w:val="0"/>
        <w:bCs w:val="0"/>
        <w:i w:val="0"/>
        <w:iCs w:val="0"/>
        <w:smallCaps w:val="0"/>
        <w:strike w:val="0"/>
        <w:color w:val="231E2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651F2427"/>
    <w:multiLevelType w:val="multilevel"/>
    <w:tmpl w:val="38B87400"/>
    <w:lvl w:ilvl="0">
      <w:start w:val="2"/>
      <w:numFmt w:val="decimal"/>
      <w:lvlText w:val="%1."/>
      <w:lvlJc w:val="left"/>
    </w:lvl>
    <w:lvl w:ilvl="1">
      <w:start w:val="7"/>
      <w:numFmt w:val="decimal"/>
      <w:lvlText w:val="%1.%2"/>
      <w:lvlJc w:val="left"/>
      <w:rPr>
        <w:rFonts w:ascii="Calibri" w:eastAsia="Calibri" w:hAnsi="Calibri" w:cs="Calibri"/>
        <w:b w:val="0"/>
        <w:bCs w:val="0"/>
        <w:i w:val="0"/>
        <w:iCs w:val="0"/>
        <w:smallCaps w:val="0"/>
        <w:strike w:val="0"/>
        <w:color w:val="231E20"/>
        <w:spacing w:val="0"/>
        <w:w w:val="100"/>
        <w:position w:val="0"/>
        <w:sz w:val="22"/>
        <w:szCs w:val="22"/>
        <w:u w:val="none"/>
        <w:shd w:val="clear" w:color="auto" w:fill="auto"/>
        <w:lang w:val="cs-CZ" w:eastAsia="cs-CZ" w:bidi="cs-CZ"/>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655A7B8E"/>
    <w:multiLevelType w:val="multilevel"/>
    <w:tmpl w:val="A088F2E2"/>
    <w:lvl w:ilvl="0">
      <w:start w:val="1"/>
      <w:numFmt w:val="decimal"/>
      <w:lvlText w:val="%1."/>
      <w:lvlJc w:val="left"/>
      <w:rPr>
        <w:rFonts w:ascii="Calibri" w:eastAsia="Calibri" w:hAnsi="Calibri" w:cs="Calibri"/>
        <w:b w:val="0"/>
        <w:bCs w:val="0"/>
        <w:i w:val="0"/>
        <w:iCs w:val="0"/>
        <w:smallCaps w:val="0"/>
        <w:strike w:val="0"/>
        <w:color w:val="231E2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68846203"/>
    <w:multiLevelType w:val="multilevel"/>
    <w:tmpl w:val="949A5002"/>
    <w:lvl w:ilvl="0">
      <w:start w:val="1"/>
      <w:numFmt w:val="bullet"/>
      <w:lvlText w:val="•"/>
      <w:lvlJc w:val="left"/>
      <w:rPr>
        <w:rFonts w:ascii="Calibri" w:eastAsia="Calibri" w:hAnsi="Calibri" w:cs="Calibri"/>
        <w:b w:val="0"/>
        <w:bCs w:val="0"/>
        <w:i w:val="0"/>
        <w:iCs w:val="0"/>
        <w:smallCaps w:val="0"/>
        <w:strike w:val="0"/>
        <w:color w:val="231E2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689B53F7"/>
    <w:multiLevelType w:val="multilevel"/>
    <w:tmpl w:val="D4E86026"/>
    <w:lvl w:ilvl="0">
      <w:start w:val="1"/>
      <w:numFmt w:val="lowerLetter"/>
      <w:lvlText w:val="%1)"/>
      <w:lvlJc w:val="left"/>
      <w:rPr>
        <w:rFonts w:ascii="Calibri" w:eastAsia="Calibri" w:hAnsi="Calibri" w:cs="Calibri"/>
        <w:b w:val="0"/>
        <w:bCs w:val="0"/>
        <w:i w:val="0"/>
        <w:iCs w:val="0"/>
        <w:smallCaps w:val="0"/>
        <w:strike w:val="0"/>
        <w:color w:val="231E2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69B474F7"/>
    <w:multiLevelType w:val="multilevel"/>
    <w:tmpl w:val="0884255E"/>
    <w:lvl w:ilvl="0">
      <w:start w:val="1"/>
      <w:numFmt w:val="lowerLetter"/>
      <w:lvlText w:val="%1)"/>
      <w:lvlJc w:val="left"/>
      <w:rPr>
        <w:rFonts w:ascii="Calibri" w:eastAsia="Calibri" w:hAnsi="Calibri" w:cs="Calibri"/>
        <w:b w:val="0"/>
        <w:bCs w:val="0"/>
        <w:i w:val="0"/>
        <w:iCs w:val="0"/>
        <w:smallCaps w:val="0"/>
        <w:strike w:val="0"/>
        <w:color w:val="231E2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6C5D04DD"/>
    <w:multiLevelType w:val="multilevel"/>
    <w:tmpl w:val="77A0D540"/>
    <w:lvl w:ilvl="0">
      <w:start w:val="1"/>
      <w:numFmt w:val="bullet"/>
      <w:lvlText w:val="-"/>
      <w:lvlJc w:val="left"/>
      <w:rPr>
        <w:rFonts w:ascii="Arial" w:eastAsia="Arial" w:hAnsi="Arial" w:cs="Arial"/>
        <w:b w:val="0"/>
        <w:bCs w:val="0"/>
        <w:i w:val="0"/>
        <w:iCs w:val="0"/>
        <w:smallCaps w:val="0"/>
        <w:strike w:val="0"/>
        <w:color w:val="231E20"/>
        <w:spacing w:val="0"/>
        <w:w w:val="100"/>
        <w:position w:val="0"/>
        <w:sz w:val="12"/>
        <w:szCs w:val="1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6E074AB5"/>
    <w:multiLevelType w:val="multilevel"/>
    <w:tmpl w:val="75C6889A"/>
    <w:lvl w:ilvl="0">
      <w:start w:val="1"/>
      <w:numFmt w:val="decimal"/>
      <w:lvlText w:val="%1."/>
      <w:lvlJc w:val="left"/>
      <w:rPr>
        <w:rFonts w:ascii="Calibri" w:eastAsia="Calibri" w:hAnsi="Calibri" w:cs="Calibri"/>
        <w:b/>
        <w:bCs/>
        <w:i w:val="0"/>
        <w:iCs w:val="0"/>
        <w:smallCaps w:val="0"/>
        <w:strike w:val="0"/>
        <w:color w:val="231E20"/>
        <w:spacing w:val="0"/>
        <w:w w:val="100"/>
        <w:position w:val="0"/>
        <w:sz w:val="22"/>
        <w:szCs w:val="22"/>
        <w:u w:val="none"/>
        <w:shd w:val="clear" w:color="auto" w:fill="auto"/>
        <w:lang w:val="cs-CZ" w:eastAsia="cs-CZ" w:bidi="cs-CZ"/>
      </w:rPr>
    </w:lvl>
    <w:lvl w:ilvl="1">
      <w:start w:val="1"/>
      <w:numFmt w:val="decimal"/>
      <w:lvlText w:val="%1.%2."/>
      <w:lvlJc w:val="left"/>
      <w:rPr>
        <w:rFonts w:ascii="Calibri" w:eastAsia="Calibri" w:hAnsi="Calibri" w:cs="Calibri"/>
        <w:b w:val="0"/>
        <w:bCs w:val="0"/>
        <w:i w:val="0"/>
        <w:iCs w:val="0"/>
        <w:smallCaps w:val="0"/>
        <w:strike w:val="0"/>
        <w:color w:val="231E20"/>
        <w:spacing w:val="0"/>
        <w:w w:val="100"/>
        <w:position w:val="0"/>
        <w:sz w:val="22"/>
        <w:szCs w:val="22"/>
        <w:u w:val="none"/>
        <w:shd w:val="clear" w:color="auto" w:fill="auto"/>
        <w:lang w:val="cs-CZ" w:eastAsia="cs-CZ" w:bidi="cs-CZ"/>
      </w:rPr>
    </w:lvl>
    <w:lvl w:ilvl="2">
      <w:start w:val="1"/>
      <w:numFmt w:val="decimal"/>
      <w:lvlText w:val="%1.%2.%3."/>
      <w:lvlJc w:val="left"/>
      <w:rPr>
        <w:rFonts w:ascii="Calibri" w:eastAsia="Calibri" w:hAnsi="Calibri" w:cs="Calibri"/>
        <w:b w:val="0"/>
        <w:bCs w:val="0"/>
        <w:i w:val="0"/>
        <w:iCs w:val="0"/>
        <w:smallCaps w:val="0"/>
        <w:strike w:val="0"/>
        <w:color w:val="231E20"/>
        <w:spacing w:val="0"/>
        <w:w w:val="100"/>
        <w:position w:val="0"/>
        <w:sz w:val="22"/>
        <w:szCs w:val="22"/>
        <w:u w:val="none"/>
        <w:shd w:val="clear" w:color="auto" w:fill="auto"/>
        <w:lang w:val="cs-CZ" w:eastAsia="cs-CZ" w:bidi="cs-CZ"/>
      </w:rPr>
    </w:lvl>
    <w:lvl w:ilvl="3">
      <w:start w:val="1"/>
      <w:numFmt w:val="decimal"/>
      <w:lvlText w:val="%1.%2.%3.%4."/>
      <w:lvlJc w:val="left"/>
      <w:rPr>
        <w:rFonts w:ascii="Calibri" w:eastAsia="Calibri" w:hAnsi="Calibri" w:cs="Calibri"/>
        <w:b w:val="0"/>
        <w:bCs w:val="0"/>
        <w:i w:val="0"/>
        <w:iCs w:val="0"/>
        <w:smallCaps w:val="0"/>
        <w:strike w:val="0"/>
        <w:color w:val="231E20"/>
        <w:spacing w:val="0"/>
        <w:w w:val="100"/>
        <w:position w:val="0"/>
        <w:sz w:val="22"/>
        <w:szCs w:val="22"/>
        <w:u w:val="none"/>
        <w:shd w:val="clear" w:color="auto" w:fill="auto"/>
        <w:lang w:val="cs-CZ" w:eastAsia="cs-CZ" w:bidi="cs-CZ"/>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6E3B0C88"/>
    <w:multiLevelType w:val="multilevel"/>
    <w:tmpl w:val="FF12E192"/>
    <w:lvl w:ilvl="0">
      <w:start w:val="3"/>
      <w:numFmt w:val="decimal"/>
      <w:lvlText w:val="%1."/>
      <w:lvlJc w:val="left"/>
    </w:lvl>
    <w:lvl w:ilvl="1">
      <w:start w:val="1"/>
      <w:numFmt w:val="decimal"/>
      <w:lvlText w:val="%1.%2."/>
      <w:lvlJc w:val="left"/>
      <w:rPr>
        <w:rFonts w:ascii="Arial" w:eastAsia="Arial" w:hAnsi="Arial" w:cs="Arial"/>
        <w:b w:val="0"/>
        <w:bCs w:val="0"/>
        <w:i w:val="0"/>
        <w:iCs w:val="0"/>
        <w:smallCaps w:val="0"/>
        <w:strike w:val="0"/>
        <w:color w:val="231E20"/>
        <w:spacing w:val="0"/>
        <w:w w:val="100"/>
        <w:position w:val="0"/>
        <w:sz w:val="20"/>
        <w:szCs w:val="20"/>
        <w:u w:val="none"/>
        <w:shd w:val="clear" w:color="auto" w:fill="auto"/>
        <w:lang w:val="cs-CZ" w:eastAsia="cs-CZ" w:bidi="cs-CZ"/>
      </w:rPr>
    </w:lvl>
    <w:lvl w:ilvl="2">
      <w:start w:val="1"/>
      <w:numFmt w:val="decimal"/>
      <w:lvlText w:val="%1.%2.%3."/>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6EC07DBE"/>
    <w:multiLevelType w:val="multilevel"/>
    <w:tmpl w:val="78026476"/>
    <w:lvl w:ilvl="0">
      <w:start w:val="5"/>
      <w:numFmt w:val="decimal"/>
      <w:lvlText w:val="%1."/>
      <w:lvlJc w:val="left"/>
    </w:lvl>
    <w:lvl w:ilvl="1">
      <w:start w:val="1"/>
      <w:numFmt w:val="decimal"/>
      <w:lvlText w:val="%1.%2."/>
      <w:lvlJc w:val="left"/>
      <w:rPr>
        <w:rFonts w:ascii="Arial" w:eastAsia="Arial" w:hAnsi="Arial" w:cs="Arial"/>
        <w:b w:val="0"/>
        <w:bCs w:val="0"/>
        <w:i/>
        <w:iCs/>
        <w:smallCaps w:val="0"/>
        <w:strike w:val="0"/>
        <w:color w:val="231E20"/>
        <w:spacing w:val="0"/>
        <w:w w:val="100"/>
        <w:position w:val="0"/>
        <w:sz w:val="18"/>
        <w:szCs w:val="18"/>
        <w:u w:val="none"/>
        <w:shd w:val="clear" w:color="auto" w:fill="auto"/>
        <w:lang w:val="cs-CZ" w:eastAsia="cs-CZ" w:bidi="cs-CZ"/>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6FE747CC"/>
    <w:multiLevelType w:val="multilevel"/>
    <w:tmpl w:val="27BCB576"/>
    <w:lvl w:ilvl="0">
      <w:start w:val="6"/>
      <w:numFmt w:val="decimal"/>
      <w:lvlText w:val="%1."/>
      <w:lvlJc w:val="left"/>
      <w:rPr>
        <w:rFonts w:ascii="Calibri" w:eastAsia="Calibri" w:hAnsi="Calibri" w:cs="Calibri"/>
        <w:b w:val="0"/>
        <w:bCs w:val="0"/>
        <w:i w:val="0"/>
        <w:iCs w:val="0"/>
        <w:smallCaps w:val="0"/>
        <w:strike w:val="0"/>
        <w:color w:val="231E2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703B60C2"/>
    <w:multiLevelType w:val="multilevel"/>
    <w:tmpl w:val="A1C456A2"/>
    <w:lvl w:ilvl="0">
      <w:start w:val="5"/>
      <w:numFmt w:val="decimal"/>
      <w:lvlText w:val="%1."/>
      <w:lvlJc w:val="left"/>
    </w:lvl>
    <w:lvl w:ilvl="1">
      <w:start w:val="1"/>
      <w:numFmt w:val="decimal"/>
      <w:lvlText w:val="%1.%2"/>
      <w:lvlJc w:val="left"/>
      <w:rPr>
        <w:rFonts w:ascii="Calibri" w:eastAsia="Calibri" w:hAnsi="Calibri" w:cs="Calibri"/>
        <w:b w:val="0"/>
        <w:bCs w:val="0"/>
        <w:i w:val="0"/>
        <w:iCs w:val="0"/>
        <w:smallCaps w:val="0"/>
        <w:strike w:val="0"/>
        <w:color w:val="231E20"/>
        <w:spacing w:val="0"/>
        <w:w w:val="100"/>
        <w:position w:val="0"/>
        <w:sz w:val="22"/>
        <w:szCs w:val="22"/>
        <w:u w:val="none"/>
        <w:shd w:val="clear" w:color="auto" w:fill="auto"/>
        <w:lang w:val="cs-CZ" w:eastAsia="cs-CZ" w:bidi="cs-CZ"/>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70774DCF"/>
    <w:multiLevelType w:val="multilevel"/>
    <w:tmpl w:val="738A0EF4"/>
    <w:lvl w:ilvl="0">
      <w:start w:val="1"/>
      <w:numFmt w:val="decimal"/>
      <w:lvlText w:val="%1."/>
      <w:lvlJc w:val="left"/>
      <w:rPr>
        <w:rFonts w:ascii="Calibri" w:eastAsia="Calibri" w:hAnsi="Calibri" w:cs="Calibri"/>
        <w:b w:val="0"/>
        <w:bCs w:val="0"/>
        <w:i w:val="0"/>
        <w:iCs w:val="0"/>
        <w:smallCaps w:val="0"/>
        <w:strike w:val="0"/>
        <w:color w:val="231E2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71441D53"/>
    <w:multiLevelType w:val="multilevel"/>
    <w:tmpl w:val="4C6C5BF2"/>
    <w:lvl w:ilvl="0">
      <w:start w:val="1"/>
      <w:numFmt w:val="lowerLetter"/>
      <w:lvlText w:val="%1)"/>
      <w:lvlJc w:val="left"/>
      <w:rPr>
        <w:rFonts w:ascii="Times New Roman" w:eastAsia="Times New Roman" w:hAnsi="Times New Roman" w:cs="Times New Roman"/>
        <w:b w:val="0"/>
        <w:bCs w:val="0"/>
        <w:i w:val="0"/>
        <w:iCs w:val="0"/>
        <w:smallCaps w:val="0"/>
        <w:strike w:val="0"/>
        <w:color w:val="231E2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72DC3898"/>
    <w:multiLevelType w:val="multilevel"/>
    <w:tmpl w:val="C1C06FEC"/>
    <w:lvl w:ilvl="0">
      <w:start w:val="1"/>
      <w:numFmt w:val="decimal"/>
      <w:lvlText w:val="%1."/>
      <w:lvlJc w:val="left"/>
      <w:rPr>
        <w:rFonts w:ascii="Calibri" w:eastAsia="Calibri" w:hAnsi="Calibri" w:cs="Calibri"/>
        <w:b/>
        <w:bCs/>
        <w:i w:val="0"/>
        <w:iCs w:val="0"/>
        <w:smallCaps w:val="0"/>
        <w:strike w:val="0"/>
        <w:color w:val="231E20"/>
        <w:spacing w:val="0"/>
        <w:w w:val="100"/>
        <w:position w:val="0"/>
        <w:sz w:val="28"/>
        <w:szCs w:val="2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737A6FFF"/>
    <w:multiLevelType w:val="multilevel"/>
    <w:tmpl w:val="B0AC318C"/>
    <w:lvl w:ilvl="0">
      <w:start w:val="2"/>
      <w:numFmt w:val="decimal"/>
      <w:lvlText w:val="%1."/>
      <w:lvlJc w:val="left"/>
    </w:lvl>
    <w:lvl w:ilvl="1">
      <w:start w:val="1"/>
      <w:numFmt w:val="decimal"/>
      <w:lvlText w:val="%1.%2."/>
      <w:lvlJc w:val="left"/>
      <w:rPr>
        <w:rFonts w:ascii="Arial" w:eastAsia="Arial" w:hAnsi="Arial" w:cs="Arial"/>
        <w:b w:val="0"/>
        <w:bCs w:val="0"/>
        <w:i w:val="0"/>
        <w:iCs w:val="0"/>
        <w:smallCaps w:val="0"/>
        <w:strike w:val="0"/>
        <w:color w:val="231E20"/>
        <w:spacing w:val="0"/>
        <w:w w:val="100"/>
        <w:position w:val="0"/>
        <w:sz w:val="20"/>
        <w:szCs w:val="20"/>
        <w:u w:val="none"/>
        <w:shd w:val="clear" w:color="auto" w:fill="auto"/>
        <w:lang w:val="cs-CZ" w:eastAsia="cs-CZ" w:bidi="cs-CZ"/>
      </w:rPr>
    </w:lvl>
    <w:lvl w:ilvl="2">
      <w:start w:val="1"/>
      <w:numFmt w:val="decimal"/>
      <w:lvlText w:val="%1.%2.%3."/>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74054459"/>
    <w:multiLevelType w:val="multilevel"/>
    <w:tmpl w:val="B4887E50"/>
    <w:lvl w:ilvl="0">
      <w:start w:val="8"/>
      <w:numFmt w:val="decimal"/>
      <w:lvlText w:val="%1."/>
      <w:lvlJc w:val="left"/>
      <w:rPr>
        <w:rFonts w:ascii="Calibri" w:eastAsia="Calibri" w:hAnsi="Calibri" w:cs="Calibri"/>
        <w:b w:val="0"/>
        <w:bCs w:val="0"/>
        <w:i w:val="0"/>
        <w:iCs w:val="0"/>
        <w:smallCaps w:val="0"/>
        <w:strike w:val="0"/>
        <w:color w:val="231E2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753838CF"/>
    <w:multiLevelType w:val="multilevel"/>
    <w:tmpl w:val="51ACC7CC"/>
    <w:lvl w:ilvl="0">
      <w:start w:val="1"/>
      <w:numFmt w:val="upperRoman"/>
      <w:lvlText w:val="%1."/>
      <w:lvlJc w:val="left"/>
      <w:rPr>
        <w:rFonts w:ascii="Calibri" w:eastAsia="Calibri" w:hAnsi="Calibri" w:cs="Calibri"/>
        <w:b w:val="0"/>
        <w:bCs w:val="0"/>
        <w:i w:val="0"/>
        <w:iCs w:val="0"/>
        <w:smallCaps w:val="0"/>
        <w:strike w:val="0"/>
        <w:color w:val="231E2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75A46E11"/>
    <w:multiLevelType w:val="multilevel"/>
    <w:tmpl w:val="8B70EF7C"/>
    <w:lvl w:ilvl="0">
      <w:start w:val="3"/>
      <w:numFmt w:val="decimal"/>
      <w:lvlText w:val="%1."/>
      <w:lvlJc w:val="left"/>
    </w:lvl>
    <w:lvl w:ilvl="1">
      <w:start w:val="1"/>
      <w:numFmt w:val="decimal"/>
      <w:lvlText w:val="%1.%2."/>
      <w:lvlJc w:val="left"/>
      <w:rPr>
        <w:rFonts w:ascii="Arial" w:eastAsia="Arial" w:hAnsi="Arial" w:cs="Arial"/>
        <w:b w:val="0"/>
        <w:bCs w:val="0"/>
        <w:i w:val="0"/>
        <w:iCs w:val="0"/>
        <w:smallCaps w:val="0"/>
        <w:strike w:val="0"/>
        <w:color w:val="231E20"/>
        <w:spacing w:val="0"/>
        <w:w w:val="100"/>
        <w:position w:val="0"/>
        <w:sz w:val="20"/>
        <w:szCs w:val="20"/>
        <w:u w:val="none"/>
        <w:shd w:val="clear" w:color="auto" w:fill="auto"/>
        <w:lang w:val="cs-CZ" w:eastAsia="cs-CZ" w:bidi="cs-CZ"/>
      </w:rPr>
    </w:lvl>
    <w:lvl w:ilvl="2">
      <w:start w:val="1"/>
      <w:numFmt w:val="decimal"/>
      <w:lvlText w:val="%1.%2.%3."/>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75CB3C04"/>
    <w:multiLevelType w:val="multilevel"/>
    <w:tmpl w:val="5C8AA29E"/>
    <w:lvl w:ilvl="0">
      <w:start w:val="1"/>
      <w:numFmt w:val="upperRoman"/>
      <w:lvlText w:val="%1."/>
      <w:lvlJc w:val="left"/>
      <w:rPr>
        <w:rFonts w:ascii="Calibri" w:eastAsia="Calibri" w:hAnsi="Calibri" w:cs="Calibri"/>
        <w:b w:val="0"/>
        <w:bCs w:val="0"/>
        <w:i w:val="0"/>
        <w:iCs w:val="0"/>
        <w:smallCaps w:val="0"/>
        <w:strike w:val="0"/>
        <w:color w:val="142A56"/>
        <w:spacing w:val="0"/>
        <w:w w:val="100"/>
        <w:position w:val="0"/>
        <w:sz w:val="22"/>
        <w:szCs w:val="22"/>
        <w:u w:val="none"/>
        <w:shd w:val="clear" w:color="auto" w:fill="auto"/>
        <w:lang w:val="cs-CZ" w:eastAsia="cs-CZ" w:bidi="cs-CZ"/>
      </w:rPr>
    </w:lvl>
    <w:lvl w:ilvl="1">
      <w:start w:val="1"/>
      <w:numFmt w:val="upperRoman"/>
      <w:lvlText w:val="%1.%2"/>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75E821F6"/>
    <w:multiLevelType w:val="multilevel"/>
    <w:tmpl w:val="42F41B8A"/>
    <w:lvl w:ilvl="0">
      <w:start w:val="1"/>
      <w:numFmt w:val="upperRoman"/>
      <w:lvlText w:val="%1."/>
      <w:lvlJc w:val="left"/>
      <w:rPr>
        <w:rFonts w:ascii="Calibri" w:eastAsia="Calibri" w:hAnsi="Calibri" w:cs="Calibri"/>
        <w:b/>
        <w:bCs/>
        <w:i w:val="0"/>
        <w:iCs w:val="0"/>
        <w:smallCaps w:val="0"/>
        <w:strike w:val="0"/>
        <w:color w:val="231E2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768F2ED4"/>
    <w:multiLevelType w:val="multilevel"/>
    <w:tmpl w:val="4D763522"/>
    <w:lvl w:ilvl="0">
      <w:start w:val="1"/>
      <w:numFmt w:val="decimal"/>
      <w:lvlText w:val="%1."/>
      <w:lvlJc w:val="left"/>
      <w:rPr>
        <w:rFonts w:ascii="Calibri" w:eastAsia="Calibri" w:hAnsi="Calibri" w:cs="Calibri"/>
        <w:b w:val="0"/>
        <w:bCs w:val="0"/>
        <w:i w:val="0"/>
        <w:iCs w:val="0"/>
        <w:smallCaps w:val="0"/>
        <w:strike w:val="0"/>
        <w:color w:val="231E2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76DE7368"/>
    <w:multiLevelType w:val="multilevel"/>
    <w:tmpl w:val="67EE6B3E"/>
    <w:lvl w:ilvl="0">
      <w:start w:val="5"/>
      <w:numFmt w:val="decimal"/>
      <w:lvlText w:val="%1."/>
      <w:lvlJc w:val="left"/>
    </w:lvl>
    <w:lvl w:ilvl="1">
      <w:start w:val="1"/>
      <w:numFmt w:val="decimal"/>
      <w:lvlText w:val="%1.%2"/>
      <w:lvlJc w:val="left"/>
      <w:rPr>
        <w:rFonts w:ascii="Calibri" w:eastAsia="Calibri" w:hAnsi="Calibri" w:cs="Calibri"/>
        <w:b w:val="0"/>
        <w:bCs w:val="0"/>
        <w:i w:val="0"/>
        <w:iCs w:val="0"/>
        <w:smallCaps w:val="0"/>
        <w:strike w:val="0"/>
        <w:color w:val="231E20"/>
        <w:spacing w:val="0"/>
        <w:w w:val="100"/>
        <w:position w:val="0"/>
        <w:sz w:val="22"/>
        <w:szCs w:val="22"/>
        <w:u w:val="none"/>
        <w:shd w:val="clear" w:color="auto" w:fill="auto"/>
        <w:lang w:val="cs-CZ" w:eastAsia="cs-CZ" w:bidi="cs-CZ"/>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77747887"/>
    <w:multiLevelType w:val="multilevel"/>
    <w:tmpl w:val="5AF49504"/>
    <w:lvl w:ilvl="0">
      <w:start w:val="2"/>
      <w:numFmt w:val="decimal"/>
      <w:lvlText w:val="%1."/>
      <w:lvlJc w:val="left"/>
    </w:lvl>
    <w:lvl w:ilvl="1">
      <w:start w:val="1"/>
      <w:numFmt w:val="decimal"/>
      <w:lvlText w:val="%1.%2"/>
      <w:lvlJc w:val="left"/>
      <w:rPr>
        <w:rFonts w:ascii="Calibri" w:eastAsia="Calibri" w:hAnsi="Calibri" w:cs="Calibri"/>
        <w:b w:val="0"/>
        <w:bCs w:val="0"/>
        <w:i w:val="0"/>
        <w:iCs w:val="0"/>
        <w:smallCaps w:val="0"/>
        <w:strike w:val="0"/>
        <w:color w:val="231E20"/>
        <w:spacing w:val="0"/>
        <w:w w:val="100"/>
        <w:position w:val="0"/>
        <w:sz w:val="22"/>
        <w:szCs w:val="22"/>
        <w:u w:val="none"/>
        <w:shd w:val="clear" w:color="auto" w:fill="auto"/>
        <w:lang w:val="cs-CZ" w:eastAsia="cs-CZ" w:bidi="cs-CZ"/>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784D6ADE"/>
    <w:multiLevelType w:val="multilevel"/>
    <w:tmpl w:val="37BEE0F6"/>
    <w:lvl w:ilvl="0">
      <w:start w:val="1"/>
      <w:numFmt w:val="decimal"/>
      <w:lvlText w:val="%1."/>
      <w:lvlJc w:val="left"/>
    </w:lvl>
    <w:lvl w:ilvl="1">
      <w:start w:val="1"/>
      <w:numFmt w:val="decimal"/>
      <w:lvlText w:val="%1.%2"/>
      <w:lvlJc w:val="left"/>
      <w:rPr>
        <w:rFonts w:ascii="Calibri" w:eastAsia="Calibri" w:hAnsi="Calibri" w:cs="Calibri"/>
        <w:b w:val="0"/>
        <w:bCs w:val="0"/>
        <w:i w:val="0"/>
        <w:iCs w:val="0"/>
        <w:smallCaps w:val="0"/>
        <w:strike w:val="0"/>
        <w:color w:val="231E20"/>
        <w:spacing w:val="0"/>
        <w:w w:val="100"/>
        <w:position w:val="0"/>
        <w:sz w:val="22"/>
        <w:szCs w:val="22"/>
        <w:u w:val="none"/>
        <w:shd w:val="clear" w:color="auto" w:fill="auto"/>
        <w:lang w:val="cs-CZ" w:eastAsia="cs-CZ" w:bidi="cs-CZ"/>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78871C36"/>
    <w:multiLevelType w:val="multilevel"/>
    <w:tmpl w:val="E5DCAB12"/>
    <w:lvl w:ilvl="0">
      <w:start w:val="1"/>
      <w:numFmt w:val="decimal"/>
      <w:lvlText w:val="%1."/>
      <w:lvlJc w:val="left"/>
      <w:rPr>
        <w:rFonts w:ascii="Calibri" w:eastAsia="Calibri" w:hAnsi="Calibri" w:cs="Calibri"/>
        <w:b w:val="0"/>
        <w:bCs w:val="0"/>
        <w:i w:val="0"/>
        <w:iCs w:val="0"/>
        <w:smallCaps w:val="0"/>
        <w:strike w:val="0"/>
        <w:color w:val="231E2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79C41C47"/>
    <w:multiLevelType w:val="multilevel"/>
    <w:tmpl w:val="20D888FC"/>
    <w:lvl w:ilvl="0">
      <w:start w:val="1"/>
      <w:numFmt w:val="bullet"/>
      <w:lvlText w:val="•"/>
      <w:lvlJc w:val="left"/>
      <w:rPr>
        <w:rFonts w:ascii="Calibri" w:eastAsia="Calibri" w:hAnsi="Calibri" w:cs="Calibri"/>
        <w:b w:val="0"/>
        <w:bCs w:val="0"/>
        <w:i w:val="0"/>
        <w:iCs w:val="0"/>
        <w:smallCaps w:val="0"/>
        <w:strike w:val="0"/>
        <w:color w:val="0069B4"/>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7A2066CB"/>
    <w:multiLevelType w:val="multilevel"/>
    <w:tmpl w:val="9D2063FA"/>
    <w:lvl w:ilvl="0">
      <w:start w:val="6"/>
      <w:numFmt w:val="decimal"/>
      <w:lvlText w:val="%1."/>
      <w:lvlJc w:val="left"/>
    </w:lvl>
    <w:lvl w:ilvl="1">
      <w:start w:val="1"/>
      <w:numFmt w:val="decimal"/>
      <w:lvlText w:val="%1.%2."/>
      <w:lvlJc w:val="left"/>
      <w:rPr>
        <w:rFonts w:ascii="Arial" w:eastAsia="Arial" w:hAnsi="Arial" w:cs="Arial"/>
        <w:b w:val="0"/>
        <w:bCs w:val="0"/>
        <w:i w:val="0"/>
        <w:iCs w:val="0"/>
        <w:smallCaps w:val="0"/>
        <w:strike w:val="0"/>
        <w:color w:val="231E20"/>
        <w:spacing w:val="0"/>
        <w:w w:val="100"/>
        <w:position w:val="0"/>
        <w:sz w:val="20"/>
        <w:szCs w:val="20"/>
        <w:u w:val="none"/>
        <w:shd w:val="clear" w:color="auto" w:fill="auto"/>
        <w:lang w:val="cs-CZ" w:eastAsia="cs-CZ" w:bidi="cs-CZ"/>
      </w:rPr>
    </w:lvl>
    <w:lvl w:ilvl="2">
      <w:start w:val="1"/>
      <w:numFmt w:val="decimal"/>
      <w:lvlText w:val="%1.%2.%3."/>
      <w:lvlJc w:val="left"/>
      <w:rPr>
        <w:rFonts w:ascii="Arial" w:eastAsia="Arial" w:hAnsi="Arial" w:cs="Arial"/>
        <w:b w:val="0"/>
        <w:bCs w:val="0"/>
        <w:i w:val="0"/>
        <w:iCs w:val="0"/>
        <w:smallCaps w:val="0"/>
        <w:strike w:val="0"/>
        <w:color w:val="231E20"/>
        <w:spacing w:val="0"/>
        <w:w w:val="100"/>
        <w:position w:val="0"/>
        <w:sz w:val="20"/>
        <w:szCs w:val="20"/>
        <w:u w:val="none"/>
        <w:shd w:val="clear" w:color="auto" w:fill="auto"/>
        <w:lang w:val="cs-CZ" w:eastAsia="cs-CZ" w:bidi="cs-CZ"/>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7CC15964"/>
    <w:multiLevelType w:val="multilevel"/>
    <w:tmpl w:val="27287062"/>
    <w:lvl w:ilvl="0">
      <w:start w:val="1"/>
      <w:numFmt w:val="lowerLetter"/>
      <w:lvlText w:val="%1)"/>
      <w:lvlJc w:val="left"/>
      <w:rPr>
        <w:rFonts w:ascii="Calibri" w:eastAsia="Calibri" w:hAnsi="Calibri" w:cs="Calibri"/>
        <w:b w:val="0"/>
        <w:bCs w:val="0"/>
        <w:i w:val="0"/>
        <w:iCs w:val="0"/>
        <w:smallCaps w:val="0"/>
        <w:strike w:val="0"/>
        <w:color w:val="231E2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7D271044"/>
    <w:multiLevelType w:val="multilevel"/>
    <w:tmpl w:val="4AB8D2C8"/>
    <w:lvl w:ilvl="0">
      <w:start w:val="1"/>
      <w:numFmt w:val="decimal"/>
      <w:lvlText w:val="%1."/>
      <w:lvlJc w:val="left"/>
    </w:lvl>
    <w:lvl w:ilvl="1">
      <w:start w:val="7"/>
      <w:numFmt w:val="decimal"/>
      <w:lvlText w:val="%1.%2."/>
      <w:lvlJc w:val="left"/>
      <w:rPr>
        <w:rFonts w:ascii="Calibri" w:eastAsia="Calibri" w:hAnsi="Calibri" w:cs="Calibri"/>
        <w:b w:val="0"/>
        <w:bCs w:val="0"/>
        <w:i w:val="0"/>
        <w:iCs w:val="0"/>
        <w:smallCaps w:val="0"/>
        <w:strike w:val="0"/>
        <w:color w:val="231E20"/>
        <w:spacing w:val="0"/>
        <w:w w:val="100"/>
        <w:position w:val="0"/>
        <w:sz w:val="22"/>
        <w:szCs w:val="22"/>
        <w:u w:val="none"/>
        <w:shd w:val="clear" w:color="auto" w:fill="auto"/>
        <w:lang w:val="cs-CZ" w:eastAsia="cs-CZ" w:bidi="cs-CZ"/>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7F2C0F9D"/>
    <w:multiLevelType w:val="multilevel"/>
    <w:tmpl w:val="7A3CDD6E"/>
    <w:lvl w:ilvl="0">
      <w:start w:val="1"/>
      <w:numFmt w:val="decimal"/>
      <w:lvlText w:val="%1."/>
      <w:lvlJc w:val="left"/>
      <w:rPr>
        <w:rFonts w:ascii="Calibri" w:eastAsia="Calibri" w:hAnsi="Calibri" w:cs="Calibri"/>
        <w:b/>
        <w:bCs/>
        <w:i w:val="0"/>
        <w:iCs w:val="0"/>
        <w:smallCaps w:val="0"/>
        <w:strike w:val="0"/>
        <w:color w:val="231E20"/>
        <w:spacing w:val="0"/>
        <w:w w:val="100"/>
        <w:position w:val="0"/>
        <w:sz w:val="22"/>
        <w:szCs w:val="22"/>
        <w:u w:val="none"/>
        <w:shd w:val="clear" w:color="auto" w:fill="auto"/>
        <w:lang w:val="cs-CZ" w:eastAsia="cs-CZ" w:bidi="cs-CZ"/>
      </w:rPr>
    </w:lvl>
    <w:lvl w:ilvl="1">
      <w:start w:val="1"/>
      <w:numFmt w:val="decimal"/>
      <w:lvlText w:val="%1.%2."/>
      <w:lvlJc w:val="left"/>
      <w:rPr>
        <w:rFonts w:ascii="Calibri" w:eastAsia="Calibri" w:hAnsi="Calibri" w:cs="Calibri"/>
        <w:b w:val="0"/>
        <w:bCs w:val="0"/>
        <w:i w:val="0"/>
        <w:iCs w:val="0"/>
        <w:smallCaps w:val="0"/>
        <w:strike w:val="0"/>
        <w:color w:val="231E20"/>
        <w:spacing w:val="0"/>
        <w:w w:val="100"/>
        <w:position w:val="0"/>
        <w:sz w:val="22"/>
        <w:szCs w:val="22"/>
        <w:u w:val="none"/>
        <w:shd w:val="clear" w:color="auto" w:fill="auto"/>
        <w:lang w:val="cs-CZ" w:eastAsia="cs-CZ" w:bidi="cs-CZ"/>
      </w:rPr>
    </w:lvl>
    <w:lvl w:ilvl="2">
      <w:start w:val="1"/>
      <w:numFmt w:val="decimal"/>
      <w:lvlText w:val="%1.%2.%3."/>
      <w:lvlJc w:val="left"/>
      <w:rPr>
        <w:rFonts w:ascii="Calibri" w:eastAsia="Calibri" w:hAnsi="Calibri" w:cs="Calibri"/>
        <w:b w:val="0"/>
        <w:bCs w:val="0"/>
        <w:i w:val="0"/>
        <w:iCs w:val="0"/>
        <w:smallCaps w:val="0"/>
        <w:strike w:val="0"/>
        <w:color w:val="231E20"/>
        <w:spacing w:val="0"/>
        <w:w w:val="100"/>
        <w:position w:val="0"/>
        <w:sz w:val="22"/>
        <w:szCs w:val="22"/>
        <w:u w:val="none"/>
        <w:shd w:val="clear" w:color="auto" w:fill="auto"/>
        <w:lang w:val="cs-CZ" w:eastAsia="cs-CZ" w:bidi="cs-CZ"/>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678116107">
    <w:abstractNumId w:val="63"/>
  </w:num>
  <w:num w:numId="2" w16cid:durableId="1484812981">
    <w:abstractNumId w:val="7"/>
  </w:num>
  <w:num w:numId="3" w16cid:durableId="1414474573">
    <w:abstractNumId w:val="113"/>
  </w:num>
  <w:num w:numId="4" w16cid:durableId="1187402159">
    <w:abstractNumId w:val="31"/>
  </w:num>
  <w:num w:numId="5" w16cid:durableId="622660444">
    <w:abstractNumId w:val="37"/>
  </w:num>
  <w:num w:numId="6" w16cid:durableId="676007854">
    <w:abstractNumId w:val="92"/>
  </w:num>
  <w:num w:numId="7" w16cid:durableId="979649301">
    <w:abstractNumId w:val="20"/>
  </w:num>
  <w:num w:numId="8" w16cid:durableId="1129856473">
    <w:abstractNumId w:val="16"/>
  </w:num>
  <w:num w:numId="9" w16cid:durableId="1119108239">
    <w:abstractNumId w:val="70"/>
  </w:num>
  <w:num w:numId="10" w16cid:durableId="444082322">
    <w:abstractNumId w:val="71"/>
  </w:num>
  <w:num w:numId="11" w16cid:durableId="248854727">
    <w:abstractNumId w:val="98"/>
  </w:num>
  <w:num w:numId="12" w16cid:durableId="362436891">
    <w:abstractNumId w:val="27"/>
  </w:num>
  <w:num w:numId="13" w16cid:durableId="1942831348">
    <w:abstractNumId w:val="30"/>
  </w:num>
  <w:num w:numId="14" w16cid:durableId="953757220">
    <w:abstractNumId w:val="6"/>
  </w:num>
  <w:num w:numId="15" w16cid:durableId="1898781842">
    <w:abstractNumId w:val="15"/>
  </w:num>
  <w:num w:numId="16" w16cid:durableId="1422140032">
    <w:abstractNumId w:val="100"/>
  </w:num>
  <w:num w:numId="17" w16cid:durableId="1685865494">
    <w:abstractNumId w:val="132"/>
  </w:num>
  <w:num w:numId="18" w16cid:durableId="432866072">
    <w:abstractNumId w:val="123"/>
  </w:num>
  <w:num w:numId="19" w16cid:durableId="1986273739">
    <w:abstractNumId w:val="58"/>
  </w:num>
  <w:num w:numId="20" w16cid:durableId="1797483760">
    <w:abstractNumId w:val="78"/>
  </w:num>
  <w:num w:numId="21" w16cid:durableId="1487938861">
    <w:abstractNumId w:val="14"/>
  </w:num>
  <w:num w:numId="22" w16cid:durableId="262811112">
    <w:abstractNumId w:val="36"/>
  </w:num>
  <w:num w:numId="23" w16cid:durableId="1189831828">
    <w:abstractNumId w:val="40"/>
  </w:num>
  <w:num w:numId="24" w16cid:durableId="1293710853">
    <w:abstractNumId w:val="104"/>
  </w:num>
  <w:num w:numId="25" w16cid:durableId="1774864557">
    <w:abstractNumId w:val="80"/>
  </w:num>
  <w:num w:numId="26" w16cid:durableId="594898465">
    <w:abstractNumId w:val="66"/>
  </w:num>
  <w:num w:numId="27" w16cid:durableId="1618215064">
    <w:abstractNumId w:val="136"/>
  </w:num>
  <w:num w:numId="28" w16cid:durableId="424228797">
    <w:abstractNumId w:val="126"/>
  </w:num>
  <w:num w:numId="29" w16cid:durableId="1653679091">
    <w:abstractNumId w:val="24"/>
  </w:num>
  <w:num w:numId="30" w16cid:durableId="2130077081">
    <w:abstractNumId w:val="68"/>
  </w:num>
  <w:num w:numId="31" w16cid:durableId="643707032">
    <w:abstractNumId w:val="76"/>
  </w:num>
  <w:num w:numId="32" w16cid:durableId="2096894830">
    <w:abstractNumId w:val="96"/>
  </w:num>
  <w:num w:numId="33" w16cid:durableId="2135823822">
    <w:abstractNumId w:val="12"/>
  </w:num>
  <w:num w:numId="34" w16cid:durableId="103353382">
    <w:abstractNumId w:val="74"/>
  </w:num>
  <w:num w:numId="35" w16cid:durableId="1677616774">
    <w:abstractNumId w:val="135"/>
  </w:num>
  <w:num w:numId="36" w16cid:durableId="1983657760">
    <w:abstractNumId w:val="62"/>
  </w:num>
  <w:num w:numId="37" w16cid:durableId="763453372">
    <w:abstractNumId w:val="120"/>
  </w:num>
  <w:num w:numId="38" w16cid:durableId="645280229">
    <w:abstractNumId w:val="38"/>
  </w:num>
  <w:num w:numId="39" w16cid:durableId="1511215552">
    <w:abstractNumId w:val="65"/>
  </w:num>
  <w:num w:numId="40" w16cid:durableId="2009013496">
    <w:abstractNumId w:val="34"/>
  </w:num>
  <w:num w:numId="41" w16cid:durableId="259529977">
    <w:abstractNumId w:val="0"/>
  </w:num>
  <w:num w:numId="42" w16cid:durableId="692000011">
    <w:abstractNumId w:val="122"/>
  </w:num>
  <w:num w:numId="43" w16cid:durableId="1172064779">
    <w:abstractNumId w:val="99"/>
  </w:num>
  <w:num w:numId="44" w16cid:durableId="1046178633">
    <w:abstractNumId w:val="53"/>
  </w:num>
  <w:num w:numId="45" w16cid:durableId="489256738">
    <w:abstractNumId w:val="19"/>
  </w:num>
  <w:num w:numId="46" w16cid:durableId="1151170290">
    <w:abstractNumId w:val="49"/>
  </w:num>
  <w:num w:numId="47" w16cid:durableId="1846749735">
    <w:abstractNumId w:val="118"/>
  </w:num>
  <w:num w:numId="48" w16cid:durableId="2140414898">
    <w:abstractNumId w:val="105"/>
  </w:num>
  <w:num w:numId="49" w16cid:durableId="755635048">
    <w:abstractNumId w:val="116"/>
  </w:num>
  <w:num w:numId="50" w16cid:durableId="636493260">
    <w:abstractNumId w:val="131"/>
  </w:num>
  <w:num w:numId="51" w16cid:durableId="42757436">
    <w:abstractNumId w:val="102"/>
  </w:num>
  <w:num w:numId="52" w16cid:durableId="1285386770">
    <w:abstractNumId w:val="108"/>
  </w:num>
  <w:num w:numId="53" w16cid:durableId="1958369510">
    <w:abstractNumId w:val="18"/>
  </w:num>
  <w:num w:numId="54" w16cid:durableId="1733456832">
    <w:abstractNumId w:val="97"/>
  </w:num>
  <w:num w:numId="55" w16cid:durableId="939410841">
    <w:abstractNumId w:val="33"/>
  </w:num>
  <w:num w:numId="56" w16cid:durableId="87118261">
    <w:abstractNumId w:val="125"/>
  </w:num>
  <w:num w:numId="57" w16cid:durableId="1030297082">
    <w:abstractNumId w:val="23"/>
  </w:num>
  <w:num w:numId="58" w16cid:durableId="1652979366">
    <w:abstractNumId w:val="42"/>
  </w:num>
  <w:num w:numId="59" w16cid:durableId="1769422337">
    <w:abstractNumId w:val="21"/>
  </w:num>
  <w:num w:numId="60" w16cid:durableId="1992981649">
    <w:abstractNumId w:val="79"/>
  </w:num>
  <w:num w:numId="61" w16cid:durableId="1748915231">
    <w:abstractNumId w:val="9"/>
  </w:num>
  <w:num w:numId="62" w16cid:durableId="2006519090">
    <w:abstractNumId w:val="110"/>
  </w:num>
  <w:num w:numId="63" w16cid:durableId="143351044">
    <w:abstractNumId w:val="3"/>
  </w:num>
  <w:num w:numId="64" w16cid:durableId="289751387">
    <w:abstractNumId w:val="67"/>
  </w:num>
  <w:num w:numId="65" w16cid:durableId="1162966117">
    <w:abstractNumId w:val="111"/>
  </w:num>
  <w:num w:numId="66" w16cid:durableId="715662904">
    <w:abstractNumId w:val="64"/>
  </w:num>
  <w:num w:numId="67" w16cid:durableId="1831098790">
    <w:abstractNumId w:val="134"/>
  </w:num>
  <w:num w:numId="68" w16cid:durableId="1316757403">
    <w:abstractNumId w:val="117"/>
  </w:num>
  <w:num w:numId="69" w16cid:durableId="597641475">
    <w:abstractNumId w:val="130"/>
  </w:num>
  <w:num w:numId="70" w16cid:durableId="2075808561">
    <w:abstractNumId w:val="84"/>
  </w:num>
  <w:num w:numId="71" w16cid:durableId="1789272321">
    <w:abstractNumId w:val="129"/>
  </w:num>
  <w:num w:numId="72" w16cid:durableId="1535190485">
    <w:abstractNumId w:val="107"/>
  </w:num>
  <w:num w:numId="73" w16cid:durableId="258024013">
    <w:abstractNumId w:val="47"/>
  </w:num>
  <w:num w:numId="74" w16cid:durableId="125049793">
    <w:abstractNumId w:val="82"/>
  </w:num>
  <w:num w:numId="75" w16cid:durableId="474376556">
    <w:abstractNumId w:val="17"/>
  </w:num>
  <w:num w:numId="76" w16cid:durableId="1537354863">
    <w:abstractNumId w:val="39"/>
  </w:num>
  <w:num w:numId="77" w16cid:durableId="2041708837">
    <w:abstractNumId w:val="43"/>
  </w:num>
  <w:num w:numId="78" w16cid:durableId="1047293120">
    <w:abstractNumId w:val="59"/>
  </w:num>
  <w:num w:numId="79" w16cid:durableId="548491277">
    <w:abstractNumId w:val="90"/>
  </w:num>
  <w:num w:numId="80" w16cid:durableId="854459654">
    <w:abstractNumId w:val="128"/>
  </w:num>
  <w:num w:numId="81" w16cid:durableId="169872999">
    <w:abstractNumId w:val="35"/>
  </w:num>
  <w:num w:numId="82" w16cid:durableId="1456829388">
    <w:abstractNumId w:val="5"/>
  </w:num>
  <w:num w:numId="83" w16cid:durableId="684552738">
    <w:abstractNumId w:val="22"/>
  </w:num>
  <w:num w:numId="84" w16cid:durableId="31928937">
    <w:abstractNumId w:val="26"/>
  </w:num>
  <w:num w:numId="85" w16cid:durableId="1700856076">
    <w:abstractNumId w:val="119"/>
  </w:num>
  <w:num w:numId="86" w16cid:durableId="409928983">
    <w:abstractNumId w:val="8"/>
  </w:num>
  <w:num w:numId="87" w16cid:durableId="1562254601">
    <w:abstractNumId w:val="83"/>
  </w:num>
  <w:num w:numId="88" w16cid:durableId="8874418">
    <w:abstractNumId w:val="57"/>
  </w:num>
  <w:num w:numId="89" w16cid:durableId="851795203">
    <w:abstractNumId w:val="127"/>
  </w:num>
  <w:num w:numId="90" w16cid:durableId="1831864688">
    <w:abstractNumId w:val="50"/>
  </w:num>
  <w:num w:numId="91" w16cid:durableId="1270501476">
    <w:abstractNumId w:val="72"/>
  </w:num>
  <w:num w:numId="92" w16cid:durableId="1579050431">
    <w:abstractNumId w:val="25"/>
  </w:num>
  <w:num w:numId="93" w16cid:durableId="194314682">
    <w:abstractNumId w:val="32"/>
  </w:num>
  <w:num w:numId="94" w16cid:durableId="827398750">
    <w:abstractNumId w:val="77"/>
  </w:num>
  <w:num w:numId="95" w16cid:durableId="64039255">
    <w:abstractNumId w:val="13"/>
  </w:num>
  <w:num w:numId="96" w16cid:durableId="1314455962">
    <w:abstractNumId w:val="44"/>
  </w:num>
  <w:num w:numId="97" w16cid:durableId="1917663163">
    <w:abstractNumId w:val="54"/>
  </w:num>
  <w:num w:numId="98" w16cid:durableId="500198157">
    <w:abstractNumId w:val="86"/>
  </w:num>
  <w:num w:numId="99" w16cid:durableId="946085992">
    <w:abstractNumId w:val="61"/>
  </w:num>
  <w:num w:numId="100" w16cid:durableId="1292906991">
    <w:abstractNumId w:val="101"/>
  </w:num>
  <w:num w:numId="101" w16cid:durableId="995114481">
    <w:abstractNumId w:val="11"/>
  </w:num>
  <w:num w:numId="102" w16cid:durableId="1314529234">
    <w:abstractNumId w:val="91"/>
  </w:num>
  <w:num w:numId="103" w16cid:durableId="1297760888">
    <w:abstractNumId w:val="109"/>
  </w:num>
  <w:num w:numId="104" w16cid:durableId="1579751024">
    <w:abstractNumId w:val="75"/>
  </w:num>
  <w:num w:numId="105" w16cid:durableId="621766812">
    <w:abstractNumId w:val="85"/>
  </w:num>
  <w:num w:numId="106" w16cid:durableId="1135676711">
    <w:abstractNumId w:val="106"/>
  </w:num>
  <w:num w:numId="107" w16cid:durableId="614094976">
    <w:abstractNumId w:val="56"/>
  </w:num>
  <w:num w:numId="108" w16cid:durableId="45566303">
    <w:abstractNumId w:val="55"/>
  </w:num>
  <w:num w:numId="109" w16cid:durableId="1273441666">
    <w:abstractNumId w:val="4"/>
  </w:num>
  <w:num w:numId="110" w16cid:durableId="1461221748">
    <w:abstractNumId w:val="73"/>
  </w:num>
  <w:num w:numId="111" w16cid:durableId="1103501723">
    <w:abstractNumId w:val="87"/>
  </w:num>
  <w:num w:numId="112" w16cid:durableId="1684474274">
    <w:abstractNumId w:val="121"/>
  </w:num>
  <w:num w:numId="113" w16cid:durableId="2126925928">
    <w:abstractNumId w:val="124"/>
  </w:num>
  <w:num w:numId="114" w16cid:durableId="1604924057">
    <w:abstractNumId w:val="69"/>
  </w:num>
  <w:num w:numId="115" w16cid:durableId="676540634">
    <w:abstractNumId w:val="28"/>
  </w:num>
  <w:num w:numId="116" w16cid:durableId="1617445368">
    <w:abstractNumId w:val="94"/>
  </w:num>
  <w:num w:numId="117" w16cid:durableId="1755278793">
    <w:abstractNumId w:val="10"/>
  </w:num>
  <w:num w:numId="118" w16cid:durableId="1126973925">
    <w:abstractNumId w:val="81"/>
  </w:num>
  <w:num w:numId="119" w16cid:durableId="342169266">
    <w:abstractNumId w:val="112"/>
  </w:num>
  <w:num w:numId="120" w16cid:durableId="1860661408">
    <w:abstractNumId w:val="29"/>
  </w:num>
  <w:num w:numId="121" w16cid:durableId="368721623">
    <w:abstractNumId w:val="45"/>
  </w:num>
  <w:num w:numId="122" w16cid:durableId="214590039">
    <w:abstractNumId w:val="48"/>
  </w:num>
  <w:num w:numId="123" w16cid:durableId="872884616">
    <w:abstractNumId w:val="114"/>
  </w:num>
  <w:num w:numId="124" w16cid:durableId="573734806">
    <w:abstractNumId w:val="41"/>
  </w:num>
  <w:num w:numId="125" w16cid:durableId="1034843212">
    <w:abstractNumId w:val="93"/>
  </w:num>
  <w:num w:numId="126" w16cid:durableId="1068306148">
    <w:abstractNumId w:val="51"/>
  </w:num>
  <w:num w:numId="127" w16cid:durableId="1400398662">
    <w:abstractNumId w:val="103"/>
  </w:num>
  <w:num w:numId="128" w16cid:durableId="1696273198">
    <w:abstractNumId w:val="52"/>
  </w:num>
  <w:num w:numId="129" w16cid:durableId="1169101941">
    <w:abstractNumId w:val="1"/>
  </w:num>
  <w:num w:numId="130" w16cid:durableId="1237933965">
    <w:abstractNumId w:val="46"/>
  </w:num>
  <w:num w:numId="131" w16cid:durableId="804397986">
    <w:abstractNumId w:val="88"/>
  </w:num>
  <w:num w:numId="132" w16cid:durableId="61099277">
    <w:abstractNumId w:val="115"/>
  </w:num>
  <w:num w:numId="133" w16cid:durableId="226191166">
    <w:abstractNumId w:val="95"/>
  </w:num>
  <w:num w:numId="134" w16cid:durableId="1049039275">
    <w:abstractNumId w:val="89"/>
  </w:num>
  <w:num w:numId="135" w16cid:durableId="603534199">
    <w:abstractNumId w:val="2"/>
  </w:num>
  <w:num w:numId="136" w16cid:durableId="705495071">
    <w:abstractNumId w:val="133"/>
  </w:num>
  <w:num w:numId="137" w16cid:durableId="796997479">
    <w:abstractNumId w:val="6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1C40"/>
    <w:rsid w:val="000E05C6"/>
    <w:rsid w:val="0089671C"/>
    <w:rsid w:val="009F44A2"/>
    <w:rsid w:val="00B71E67"/>
    <w:rsid w:val="00EC1C4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E839DF"/>
  <w15:docId w15:val="{5227A7AD-7AA4-4FC3-A92B-B96D73643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Microsoft Sans Serif" w:eastAsia="Microsoft Sans Serif" w:hAnsi="Microsoft Sans Serif" w:cs="Microsoft Sans Serif"/>
        <w:sz w:val="24"/>
        <w:szCs w:val="24"/>
        <w:lang w:val="cs-CZ" w:eastAsia="cs-CZ" w:bidi="cs-CZ"/>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color w:val="00000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Zkladntext2">
    <w:name w:val="Základní text (2)_"/>
    <w:basedOn w:val="Standardnpsmoodstavce"/>
    <w:link w:val="Zkladntext20"/>
    <w:rPr>
      <w:rFonts w:ascii="Calibri" w:eastAsia="Calibri" w:hAnsi="Calibri" w:cs="Calibri"/>
      <w:b/>
      <w:bCs/>
      <w:i w:val="0"/>
      <w:iCs w:val="0"/>
      <w:smallCaps w:val="0"/>
      <w:strike w:val="0"/>
      <w:color w:val="231E20"/>
      <w:sz w:val="44"/>
      <w:szCs w:val="44"/>
      <w:u w:val="none"/>
    </w:rPr>
  </w:style>
  <w:style w:type="character" w:customStyle="1" w:styleId="Zkladntext">
    <w:name w:val="Základní text_"/>
    <w:basedOn w:val="Standardnpsmoodstavce"/>
    <w:link w:val="Zkladntext1"/>
    <w:rPr>
      <w:rFonts w:ascii="Calibri" w:eastAsia="Calibri" w:hAnsi="Calibri" w:cs="Calibri"/>
      <w:b w:val="0"/>
      <w:bCs w:val="0"/>
      <w:i w:val="0"/>
      <w:iCs w:val="0"/>
      <w:smallCaps w:val="0"/>
      <w:strike w:val="0"/>
      <w:color w:val="231E20"/>
      <w:sz w:val="22"/>
      <w:szCs w:val="22"/>
      <w:u w:val="none"/>
    </w:rPr>
  </w:style>
  <w:style w:type="character" w:customStyle="1" w:styleId="Zhlavnebozpat2">
    <w:name w:val="Záhlaví nebo zápatí (2)_"/>
    <w:basedOn w:val="Standardnpsmoodstavce"/>
    <w:link w:val="Zhlavnebozpat20"/>
    <w:rPr>
      <w:rFonts w:ascii="Times New Roman" w:eastAsia="Times New Roman" w:hAnsi="Times New Roman" w:cs="Times New Roman"/>
      <w:b w:val="0"/>
      <w:bCs w:val="0"/>
      <w:i w:val="0"/>
      <w:iCs w:val="0"/>
      <w:smallCaps w:val="0"/>
      <w:strike w:val="0"/>
      <w:sz w:val="20"/>
      <w:szCs w:val="20"/>
      <w:u w:val="none"/>
    </w:rPr>
  </w:style>
  <w:style w:type="character" w:customStyle="1" w:styleId="Zhlavnebozpat">
    <w:name w:val="Záhlaví nebo zápatí_"/>
    <w:basedOn w:val="Standardnpsmoodstavce"/>
    <w:link w:val="Zhlavnebozpat0"/>
    <w:rPr>
      <w:rFonts w:ascii="Calibri" w:eastAsia="Calibri" w:hAnsi="Calibri" w:cs="Calibri"/>
      <w:b w:val="0"/>
      <w:bCs w:val="0"/>
      <w:i w:val="0"/>
      <w:iCs w:val="0"/>
      <w:smallCaps w:val="0"/>
      <w:strike w:val="0"/>
      <w:color w:val="918F90"/>
      <w:sz w:val="18"/>
      <w:szCs w:val="18"/>
      <w:u w:val="none"/>
    </w:rPr>
  </w:style>
  <w:style w:type="character" w:customStyle="1" w:styleId="Nadpis6">
    <w:name w:val="Nadpis #6_"/>
    <w:basedOn w:val="Standardnpsmoodstavce"/>
    <w:link w:val="Nadpis60"/>
    <w:rPr>
      <w:rFonts w:ascii="Calibri" w:eastAsia="Calibri" w:hAnsi="Calibri" w:cs="Calibri"/>
      <w:b/>
      <w:bCs/>
      <w:i w:val="0"/>
      <w:iCs w:val="0"/>
      <w:smallCaps w:val="0"/>
      <w:strike w:val="0"/>
      <w:color w:val="231E20"/>
      <w:sz w:val="22"/>
      <w:szCs w:val="22"/>
      <w:u w:val="none"/>
    </w:rPr>
  </w:style>
  <w:style w:type="character" w:customStyle="1" w:styleId="Jin">
    <w:name w:val="Jiné_"/>
    <w:basedOn w:val="Standardnpsmoodstavce"/>
    <w:link w:val="Jin0"/>
    <w:rPr>
      <w:rFonts w:ascii="Calibri" w:eastAsia="Calibri" w:hAnsi="Calibri" w:cs="Calibri"/>
      <w:b w:val="0"/>
      <w:bCs w:val="0"/>
      <w:i w:val="0"/>
      <w:iCs w:val="0"/>
      <w:smallCaps w:val="0"/>
      <w:strike w:val="0"/>
      <w:color w:val="231E20"/>
      <w:sz w:val="22"/>
      <w:szCs w:val="22"/>
      <w:u w:val="none"/>
    </w:rPr>
  </w:style>
  <w:style w:type="character" w:customStyle="1" w:styleId="Zkladntext10">
    <w:name w:val="Základní text (10)_"/>
    <w:basedOn w:val="Standardnpsmoodstavce"/>
    <w:link w:val="Zkladntext100"/>
    <w:rPr>
      <w:rFonts w:ascii="Calibri" w:eastAsia="Calibri" w:hAnsi="Calibri" w:cs="Calibri"/>
      <w:b w:val="0"/>
      <w:bCs w:val="0"/>
      <w:i w:val="0"/>
      <w:iCs w:val="0"/>
      <w:smallCaps w:val="0"/>
      <w:strike w:val="0"/>
      <w:color w:val="231E20"/>
      <w:sz w:val="22"/>
      <w:szCs w:val="22"/>
      <w:u w:val="none"/>
    </w:rPr>
  </w:style>
  <w:style w:type="character" w:customStyle="1" w:styleId="Nadpis3">
    <w:name w:val="Nadpis #3_"/>
    <w:basedOn w:val="Standardnpsmoodstavce"/>
    <w:link w:val="Nadpis30"/>
    <w:rPr>
      <w:rFonts w:ascii="Calibri" w:eastAsia="Calibri" w:hAnsi="Calibri" w:cs="Calibri"/>
      <w:b/>
      <w:bCs/>
      <w:i w:val="0"/>
      <w:iCs w:val="0"/>
      <w:smallCaps w:val="0"/>
      <w:strike w:val="0"/>
      <w:color w:val="231E20"/>
      <w:sz w:val="40"/>
      <w:szCs w:val="40"/>
      <w:u w:val="none"/>
    </w:rPr>
  </w:style>
  <w:style w:type="character" w:customStyle="1" w:styleId="Zkladntext8">
    <w:name w:val="Základní text (8)_"/>
    <w:basedOn w:val="Standardnpsmoodstavce"/>
    <w:link w:val="Zkladntext80"/>
    <w:rPr>
      <w:rFonts w:ascii="Arial" w:eastAsia="Arial" w:hAnsi="Arial" w:cs="Arial"/>
      <w:b w:val="0"/>
      <w:bCs w:val="0"/>
      <w:i w:val="0"/>
      <w:iCs w:val="0"/>
      <w:smallCaps w:val="0"/>
      <w:strike w:val="0"/>
      <w:color w:val="231E20"/>
      <w:sz w:val="46"/>
      <w:szCs w:val="46"/>
      <w:u w:val="none"/>
    </w:rPr>
  </w:style>
  <w:style w:type="character" w:customStyle="1" w:styleId="Titulekobrzku">
    <w:name w:val="Titulek obrázku_"/>
    <w:basedOn w:val="Standardnpsmoodstavce"/>
    <w:link w:val="Titulekobrzku0"/>
    <w:rPr>
      <w:rFonts w:ascii="Arial" w:eastAsia="Arial" w:hAnsi="Arial" w:cs="Arial"/>
      <w:b/>
      <w:bCs/>
      <w:i w:val="0"/>
      <w:iCs w:val="0"/>
      <w:smallCaps w:val="0"/>
      <w:strike w:val="0"/>
      <w:sz w:val="8"/>
      <w:szCs w:val="8"/>
      <w:u w:val="none"/>
    </w:rPr>
  </w:style>
  <w:style w:type="character" w:customStyle="1" w:styleId="Zkladntext9">
    <w:name w:val="Základní text (9)_"/>
    <w:basedOn w:val="Standardnpsmoodstavce"/>
    <w:link w:val="Zkladntext90"/>
    <w:rPr>
      <w:rFonts w:ascii="Arial" w:eastAsia="Arial" w:hAnsi="Arial" w:cs="Arial"/>
      <w:b/>
      <w:bCs/>
      <w:i w:val="0"/>
      <w:iCs w:val="0"/>
      <w:smallCaps w:val="0"/>
      <w:strike w:val="0"/>
      <w:sz w:val="8"/>
      <w:szCs w:val="8"/>
      <w:u w:val="none"/>
    </w:rPr>
  </w:style>
  <w:style w:type="character" w:customStyle="1" w:styleId="Nadpis5">
    <w:name w:val="Nadpis #5_"/>
    <w:basedOn w:val="Standardnpsmoodstavce"/>
    <w:link w:val="Nadpis50"/>
    <w:rPr>
      <w:rFonts w:ascii="Calibri" w:eastAsia="Calibri" w:hAnsi="Calibri" w:cs="Calibri"/>
      <w:b/>
      <w:bCs/>
      <w:i w:val="0"/>
      <w:iCs w:val="0"/>
      <w:smallCaps w:val="0"/>
      <w:strike w:val="0"/>
      <w:color w:val="231E20"/>
      <w:sz w:val="28"/>
      <w:szCs w:val="28"/>
      <w:u w:val="none"/>
    </w:rPr>
  </w:style>
  <w:style w:type="character" w:customStyle="1" w:styleId="Poznmkapodarou">
    <w:name w:val="Poznámka pod čarou_"/>
    <w:basedOn w:val="Standardnpsmoodstavce"/>
    <w:link w:val="Poznmkapodarou0"/>
    <w:rPr>
      <w:rFonts w:ascii="Calibri" w:eastAsia="Calibri" w:hAnsi="Calibri" w:cs="Calibri"/>
      <w:b w:val="0"/>
      <w:bCs w:val="0"/>
      <w:i w:val="0"/>
      <w:iCs w:val="0"/>
      <w:smallCaps w:val="0"/>
      <w:strike w:val="0"/>
      <w:color w:val="231E20"/>
      <w:sz w:val="22"/>
      <w:szCs w:val="22"/>
      <w:u w:val="none"/>
    </w:rPr>
  </w:style>
  <w:style w:type="character" w:customStyle="1" w:styleId="Nadpis4">
    <w:name w:val="Nadpis #4_"/>
    <w:basedOn w:val="Standardnpsmoodstavce"/>
    <w:link w:val="Nadpis40"/>
    <w:rPr>
      <w:rFonts w:ascii="Calibri" w:eastAsia="Calibri" w:hAnsi="Calibri" w:cs="Calibri"/>
      <w:b w:val="0"/>
      <w:bCs w:val="0"/>
      <w:i w:val="0"/>
      <w:iCs w:val="0"/>
      <w:smallCaps w:val="0"/>
      <w:strike w:val="0"/>
      <w:sz w:val="30"/>
      <w:szCs w:val="30"/>
      <w:u w:val="none"/>
    </w:rPr>
  </w:style>
  <w:style w:type="character" w:customStyle="1" w:styleId="Obsah">
    <w:name w:val="Obsah_"/>
    <w:basedOn w:val="Standardnpsmoodstavce"/>
    <w:link w:val="Obsah0"/>
    <w:rPr>
      <w:rFonts w:ascii="Calibri" w:eastAsia="Calibri" w:hAnsi="Calibri" w:cs="Calibri"/>
      <w:b w:val="0"/>
      <w:bCs w:val="0"/>
      <w:i w:val="0"/>
      <w:iCs w:val="0"/>
      <w:smallCaps w:val="0"/>
      <w:strike w:val="0"/>
      <w:color w:val="231E20"/>
      <w:sz w:val="22"/>
      <w:szCs w:val="22"/>
      <w:u w:val="none"/>
    </w:rPr>
  </w:style>
  <w:style w:type="character" w:customStyle="1" w:styleId="Titulektabulky">
    <w:name w:val="Titulek tabulky_"/>
    <w:basedOn w:val="Standardnpsmoodstavce"/>
    <w:link w:val="Titulektabulky0"/>
    <w:rPr>
      <w:rFonts w:ascii="Calibri" w:eastAsia="Calibri" w:hAnsi="Calibri" w:cs="Calibri"/>
      <w:b/>
      <w:bCs/>
      <w:i w:val="0"/>
      <w:iCs w:val="0"/>
      <w:smallCaps w:val="0"/>
      <w:strike w:val="0"/>
      <w:sz w:val="22"/>
      <w:szCs w:val="22"/>
      <w:u w:val="none"/>
    </w:rPr>
  </w:style>
  <w:style w:type="character" w:customStyle="1" w:styleId="Zkladntext3">
    <w:name w:val="Základní text (3)_"/>
    <w:basedOn w:val="Standardnpsmoodstavce"/>
    <w:link w:val="Zkladntext30"/>
    <w:rPr>
      <w:rFonts w:ascii="Calibri" w:eastAsia="Calibri" w:hAnsi="Calibri" w:cs="Calibri"/>
      <w:b w:val="0"/>
      <w:bCs w:val="0"/>
      <w:i w:val="0"/>
      <w:iCs w:val="0"/>
      <w:smallCaps w:val="0"/>
      <w:strike w:val="0"/>
      <w:sz w:val="16"/>
      <w:szCs w:val="16"/>
      <w:u w:val="none"/>
    </w:rPr>
  </w:style>
  <w:style w:type="character" w:customStyle="1" w:styleId="Nadpis1">
    <w:name w:val="Nadpis #1_"/>
    <w:basedOn w:val="Standardnpsmoodstavce"/>
    <w:link w:val="Nadpis10"/>
    <w:rPr>
      <w:rFonts w:ascii="Arial" w:eastAsia="Arial" w:hAnsi="Arial" w:cs="Arial"/>
      <w:b/>
      <w:bCs/>
      <w:i w:val="0"/>
      <w:iCs w:val="0"/>
      <w:smallCaps/>
      <w:strike w:val="0"/>
      <w:sz w:val="70"/>
      <w:szCs w:val="70"/>
      <w:u w:val="none"/>
      <w:lang w:val="en-US" w:eastAsia="en-US" w:bidi="en-US"/>
    </w:rPr>
  </w:style>
  <w:style w:type="character" w:customStyle="1" w:styleId="Zkladntext11">
    <w:name w:val="Základní text (11)_"/>
    <w:basedOn w:val="Standardnpsmoodstavce"/>
    <w:link w:val="Zkladntext110"/>
    <w:rPr>
      <w:rFonts w:ascii="Arial" w:eastAsia="Arial" w:hAnsi="Arial" w:cs="Arial"/>
      <w:b w:val="0"/>
      <w:bCs w:val="0"/>
      <w:i/>
      <w:iCs/>
      <w:smallCaps w:val="0"/>
      <w:strike w:val="0"/>
      <w:color w:val="3C6AB3"/>
      <w:sz w:val="20"/>
      <w:szCs w:val="20"/>
      <w:u w:val="none"/>
    </w:rPr>
  </w:style>
  <w:style w:type="character" w:customStyle="1" w:styleId="Zkladntext7">
    <w:name w:val="Základní text (7)_"/>
    <w:basedOn w:val="Standardnpsmoodstavce"/>
    <w:link w:val="Zkladntext70"/>
    <w:rPr>
      <w:rFonts w:ascii="Arial" w:eastAsia="Arial" w:hAnsi="Arial" w:cs="Arial"/>
      <w:b w:val="0"/>
      <w:bCs w:val="0"/>
      <w:i w:val="0"/>
      <w:iCs w:val="0"/>
      <w:smallCaps w:val="0"/>
      <w:strike w:val="0"/>
      <w:color w:val="231E20"/>
      <w:sz w:val="18"/>
      <w:szCs w:val="18"/>
      <w:u w:val="none"/>
    </w:rPr>
  </w:style>
  <w:style w:type="character" w:customStyle="1" w:styleId="Zkladntext12">
    <w:name w:val="Základní text (12)_"/>
    <w:basedOn w:val="Standardnpsmoodstavce"/>
    <w:link w:val="Zkladntext120"/>
    <w:rPr>
      <w:rFonts w:ascii="Calibri" w:eastAsia="Calibri" w:hAnsi="Calibri" w:cs="Calibri"/>
      <w:b w:val="0"/>
      <w:bCs w:val="0"/>
      <w:i w:val="0"/>
      <w:iCs w:val="0"/>
      <w:smallCaps w:val="0"/>
      <w:strike w:val="0"/>
      <w:color w:val="231E20"/>
      <w:sz w:val="8"/>
      <w:szCs w:val="8"/>
      <w:u w:val="none"/>
    </w:rPr>
  </w:style>
  <w:style w:type="character" w:customStyle="1" w:styleId="Nadpis2">
    <w:name w:val="Nadpis #2_"/>
    <w:basedOn w:val="Standardnpsmoodstavce"/>
    <w:link w:val="Nadpis20"/>
    <w:rPr>
      <w:rFonts w:ascii="Arial" w:eastAsia="Arial" w:hAnsi="Arial" w:cs="Arial"/>
      <w:b/>
      <w:bCs/>
      <w:i w:val="0"/>
      <w:iCs w:val="0"/>
      <w:smallCaps w:val="0"/>
      <w:strike w:val="0"/>
      <w:color w:val="231E20"/>
      <w:sz w:val="56"/>
      <w:szCs w:val="56"/>
      <w:u w:val="none"/>
    </w:rPr>
  </w:style>
  <w:style w:type="paragraph" w:customStyle="1" w:styleId="Zkladntext20">
    <w:name w:val="Základní text (2)"/>
    <w:basedOn w:val="Normln"/>
    <w:link w:val="Zkladntext2"/>
    <w:pPr>
      <w:spacing w:after="160"/>
      <w:jc w:val="center"/>
    </w:pPr>
    <w:rPr>
      <w:rFonts w:ascii="Calibri" w:eastAsia="Calibri" w:hAnsi="Calibri" w:cs="Calibri"/>
      <w:b/>
      <w:bCs/>
      <w:color w:val="231E20"/>
      <w:sz w:val="44"/>
      <w:szCs w:val="44"/>
    </w:rPr>
  </w:style>
  <w:style w:type="paragraph" w:customStyle="1" w:styleId="Zkladntext1">
    <w:name w:val="Základní text1"/>
    <w:basedOn w:val="Normln"/>
    <w:link w:val="Zkladntext"/>
    <w:pPr>
      <w:spacing w:after="100"/>
    </w:pPr>
    <w:rPr>
      <w:rFonts w:ascii="Calibri" w:eastAsia="Calibri" w:hAnsi="Calibri" w:cs="Calibri"/>
      <w:color w:val="231E20"/>
      <w:sz w:val="22"/>
      <w:szCs w:val="22"/>
    </w:rPr>
  </w:style>
  <w:style w:type="paragraph" w:customStyle="1" w:styleId="Zhlavnebozpat20">
    <w:name w:val="Záhlaví nebo zápatí (2)"/>
    <w:basedOn w:val="Normln"/>
    <w:link w:val="Zhlavnebozpat2"/>
    <w:rPr>
      <w:rFonts w:ascii="Times New Roman" w:eastAsia="Times New Roman" w:hAnsi="Times New Roman" w:cs="Times New Roman"/>
      <w:sz w:val="20"/>
      <w:szCs w:val="20"/>
    </w:rPr>
  </w:style>
  <w:style w:type="paragraph" w:customStyle="1" w:styleId="Zhlavnebozpat0">
    <w:name w:val="Záhlaví nebo zápatí"/>
    <w:basedOn w:val="Normln"/>
    <w:link w:val="Zhlavnebozpat"/>
    <w:rPr>
      <w:rFonts w:ascii="Calibri" w:eastAsia="Calibri" w:hAnsi="Calibri" w:cs="Calibri"/>
      <w:color w:val="918F90"/>
      <w:sz w:val="18"/>
      <w:szCs w:val="18"/>
    </w:rPr>
  </w:style>
  <w:style w:type="paragraph" w:customStyle="1" w:styleId="Nadpis60">
    <w:name w:val="Nadpis #6"/>
    <w:basedOn w:val="Normln"/>
    <w:link w:val="Nadpis6"/>
    <w:pPr>
      <w:spacing w:after="100"/>
      <w:outlineLvl w:val="5"/>
    </w:pPr>
    <w:rPr>
      <w:rFonts w:ascii="Calibri" w:eastAsia="Calibri" w:hAnsi="Calibri" w:cs="Calibri"/>
      <w:b/>
      <w:bCs/>
      <w:color w:val="231E20"/>
      <w:sz w:val="22"/>
      <w:szCs w:val="22"/>
    </w:rPr>
  </w:style>
  <w:style w:type="paragraph" w:customStyle="1" w:styleId="Jin0">
    <w:name w:val="Jiné"/>
    <w:basedOn w:val="Normln"/>
    <w:link w:val="Jin"/>
    <w:pPr>
      <w:spacing w:after="100"/>
    </w:pPr>
    <w:rPr>
      <w:rFonts w:ascii="Calibri" w:eastAsia="Calibri" w:hAnsi="Calibri" w:cs="Calibri"/>
      <w:color w:val="231E20"/>
      <w:sz w:val="22"/>
      <w:szCs w:val="22"/>
    </w:rPr>
  </w:style>
  <w:style w:type="paragraph" w:customStyle="1" w:styleId="Zkladntext100">
    <w:name w:val="Základní text (10)"/>
    <w:basedOn w:val="Normln"/>
    <w:link w:val="Zkladntext10"/>
    <w:pPr>
      <w:spacing w:after="280"/>
      <w:ind w:left="1000" w:hanging="320"/>
    </w:pPr>
    <w:rPr>
      <w:rFonts w:ascii="Calibri" w:eastAsia="Calibri" w:hAnsi="Calibri" w:cs="Calibri"/>
      <w:color w:val="231E20"/>
      <w:sz w:val="22"/>
      <w:szCs w:val="22"/>
    </w:rPr>
  </w:style>
  <w:style w:type="paragraph" w:customStyle="1" w:styleId="Nadpis30">
    <w:name w:val="Nadpis #3"/>
    <w:basedOn w:val="Normln"/>
    <w:link w:val="Nadpis3"/>
    <w:pPr>
      <w:spacing w:after="140" w:line="223" w:lineRule="auto"/>
      <w:jc w:val="center"/>
      <w:outlineLvl w:val="2"/>
    </w:pPr>
    <w:rPr>
      <w:rFonts w:ascii="Calibri" w:eastAsia="Calibri" w:hAnsi="Calibri" w:cs="Calibri"/>
      <w:b/>
      <w:bCs/>
      <w:color w:val="231E20"/>
      <w:sz w:val="40"/>
      <w:szCs w:val="40"/>
    </w:rPr>
  </w:style>
  <w:style w:type="paragraph" w:customStyle="1" w:styleId="Zkladntext80">
    <w:name w:val="Základní text (8)"/>
    <w:basedOn w:val="Normln"/>
    <w:link w:val="Zkladntext8"/>
    <w:pPr>
      <w:jc w:val="center"/>
    </w:pPr>
    <w:rPr>
      <w:rFonts w:ascii="Arial" w:eastAsia="Arial" w:hAnsi="Arial" w:cs="Arial"/>
      <w:color w:val="231E20"/>
      <w:sz w:val="46"/>
      <w:szCs w:val="46"/>
    </w:rPr>
  </w:style>
  <w:style w:type="paragraph" w:customStyle="1" w:styleId="Titulekobrzku0">
    <w:name w:val="Titulek obrázku"/>
    <w:basedOn w:val="Normln"/>
    <w:link w:val="Titulekobrzku"/>
    <w:rPr>
      <w:rFonts w:ascii="Arial" w:eastAsia="Arial" w:hAnsi="Arial" w:cs="Arial"/>
      <w:b/>
      <w:bCs/>
      <w:sz w:val="8"/>
      <w:szCs w:val="8"/>
    </w:rPr>
  </w:style>
  <w:style w:type="paragraph" w:customStyle="1" w:styleId="Zkladntext90">
    <w:name w:val="Základní text (9)"/>
    <w:basedOn w:val="Normln"/>
    <w:link w:val="Zkladntext9"/>
    <w:rPr>
      <w:rFonts w:ascii="Arial" w:eastAsia="Arial" w:hAnsi="Arial" w:cs="Arial"/>
      <w:b/>
      <w:bCs/>
      <w:sz w:val="8"/>
      <w:szCs w:val="8"/>
    </w:rPr>
  </w:style>
  <w:style w:type="paragraph" w:customStyle="1" w:styleId="Nadpis50">
    <w:name w:val="Nadpis #5"/>
    <w:basedOn w:val="Normln"/>
    <w:link w:val="Nadpis5"/>
    <w:pPr>
      <w:spacing w:after="100"/>
      <w:jc w:val="center"/>
      <w:outlineLvl w:val="4"/>
    </w:pPr>
    <w:rPr>
      <w:rFonts w:ascii="Calibri" w:eastAsia="Calibri" w:hAnsi="Calibri" w:cs="Calibri"/>
      <w:b/>
      <w:bCs/>
      <w:color w:val="231E20"/>
      <w:sz w:val="28"/>
      <w:szCs w:val="28"/>
    </w:rPr>
  </w:style>
  <w:style w:type="paragraph" w:customStyle="1" w:styleId="Poznmkapodarou0">
    <w:name w:val="Poznámka pod čarou"/>
    <w:basedOn w:val="Normln"/>
    <w:link w:val="Poznmkapodarou"/>
    <w:pPr>
      <w:ind w:left="580" w:hanging="440"/>
    </w:pPr>
    <w:rPr>
      <w:rFonts w:ascii="Calibri" w:eastAsia="Calibri" w:hAnsi="Calibri" w:cs="Calibri"/>
      <w:color w:val="231E20"/>
      <w:sz w:val="22"/>
      <w:szCs w:val="22"/>
    </w:rPr>
  </w:style>
  <w:style w:type="paragraph" w:customStyle="1" w:styleId="Nadpis40">
    <w:name w:val="Nadpis #4"/>
    <w:basedOn w:val="Normln"/>
    <w:link w:val="Nadpis4"/>
    <w:pPr>
      <w:spacing w:after="360"/>
      <w:outlineLvl w:val="3"/>
    </w:pPr>
    <w:rPr>
      <w:rFonts w:ascii="Calibri" w:eastAsia="Calibri" w:hAnsi="Calibri" w:cs="Calibri"/>
      <w:sz w:val="30"/>
      <w:szCs w:val="30"/>
    </w:rPr>
  </w:style>
  <w:style w:type="paragraph" w:customStyle="1" w:styleId="Obsah0">
    <w:name w:val="Obsah"/>
    <w:basedOn w:val="Normln"/>
    <w:link w:val="Obsah"/>
    <w:rPr>
      <w:rFonts w:ascii="Calibri" w:eastAsia="Calibri" w:hAnsi="Calibri" w:cs="Calibri"/>
      <w:color w:val="231E20"/>
      <w:sz w:val="22"/>
      <w:szCs w:val="22"/>
    </w:rPr>
  </w:style>
  <w:style w:type="paragraph" w:customStyle="1" w:styleId="Titulektabulky0">
    <w:name w:val="Titulek tabulky"/>
    <w:basedOn w:val="Normln"/>
    <w:link w:val="Titulektabulky"/>
    <w:rPr>
      <w:rFonts w:ascii="Calibri" w:eastAsia="Calibri" w:hAnsi="Calibri" w:cs="Calibri"/>
      <w:b/>
      <w:bCs/>
      <w:sz w:val="22"/>
      <w:szCs w:val="22"/>
    </w:rPr>
  </w:style>
  <w:style w:type="paragraph" w:customStyle="1" w:styleId="Zkladntext30">
    <w:name w:val="Základní text (3)"/>
    <w:basedOn w:val="Normln"/>
    <w:link w:val="Zkladntext3"/>
    <w:pPr>
      <w:spacing w:after="20"/>
    </w:pPr>
    <w:rPr>
      <w:rFonts w:ascii="Calibri" w:eastAsia="Calibri" w:hAnsi="Calibri" w:cs="Calibri"/>
      <w:sz w:val="16"/>
      <w:szCs w:val="16"/>
    </w:rPr>
  </w:style>
  <w:style w:type="paragraph" w:customStyle="1" w:styleId="Nadpis10">
    <w:name w:val="Nadpis #1"/>
    <w:basedOn w:val="Normln"/>
    <w:link w:val="Nadpis1"/>
    <w:pPr>
      <w:ind w:right="460"/>
      <w:jc w:val="right"/>
      <w:outlineLvl w:val="0"/>
    </w:pPr>
    <w:rPr>
      <w:rFonts w:ascii="Arial" w:eastAsia="Arial" w:hAnsi="Arial" w:cs="Arial"/>
      <w:b/>
      <w:bCs/>
      <w:smallCaps/>
      <w:sz w:val="70"/>
      <w:szCs w:val="70"/>
      <w:lang w:val="en-US" w:eastAsia="en-US" w:bidi="en-US"/>
    </w:rPr>
  </w:style>
  <w:style w:type="paragraph" w:customStyle="1" w:styleId="Zkladntext110">
    <w:name w:val="Základní text (11)"/>
    <w:basedOn w:val="Normln"/>
    <w:link w:val="Zkladntext11"/>
    <w:pPr>
      <w:spacing w:after="120" w:line="336" w:lineRule="auto"/>
    </w:pPr>
    <w:rPr>
      <w:rFonts w:ascii="Arial" w:eastAsia="Arial" w:hAnsi="Arial" w:cs="Arial"/>
      <w:i/>
      <w:iCs/>
      <w:color w:val="3C6AB3"/>
      <w:sz w:val="20"/>
      <w:szCs w:val="20"/>
    </w:rPr>
  </w:style>
  <w:style w:type="paragraph" w:customStyle="1" w:styleId="Zkladntext70">
    <w:name w:val="Základní text (7)"/>
    <w:basedOn w:val="Normln"/>
    <w:link w:val="Zkladntext7"/>
    <w:pPr>
      <w:spacing w:line="132" w:lineRule="auto"/>
      <w:ind w:left="210"/>
    </w:pPr>
    <w:rPr>
      <w:rFonts w:ascii="Arial" w:eastAsia="Arial" w:hAnsi="Arial" w:cs="Arial"/>
      <w:color w:val="231E20"/>
      <w:sz w:val="18"/>
      <w:szCs w:val="18"/>
    </w:rPr>
  </w:style>
  <w:style w:type="paragraph" w:customStyle="1" w:styleId="Zkladntext120">
    <w:name w:val="Základní text (12)"/>
    <w:basedOn w:val="Normln"/>
    <w:link w:val="Zkladntext12"/>
    <w:rPr>
      <w:rFonts w:ascii="Calibri" w:eastAsia="Calibri" w:hAnsi="Calibri" w:cs="Calibri"/>
      <w:color w:val="231E20"/>
      <w:sz w:val="8"/>
      <w:szCs w:val="8"/>
    </w:rPr>
  </w:style>
  <w:style w:type="paragraph" w:customStyle="1" w:styleId="Nadpis20">
    <w:name w:val="Nadpis #2"/>
    <w:basedOn w:val="Normln"/>
    <w:link w:val="Nadpis2"/>
    <w:pPr>
      <w:outlineLvl w:val="1"/>
    </w:pPr>
    <w:rPr>
      <w:rFonts w:ascii="Arial" w:eastAsia="Arial" w:hAnsi="Arial" w:cs="Arial"/>
      <w:b/>
      <w:bCs/>
      <w:color w:val="231E20"/>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63" Type="http://schemas.openxmlformats.org/officeDocument/2006/relationships/image" Target="media/image51.jpe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jpeg"/><Relationship Id="rId11" Type="http://schemas.openxmlformats.org/officeDocument/2006/relationships/image" Target="media/image2.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image" Target="media/image54.jpeg"/><Relationship Id="rId5" Type="http://schemas.openxmlformats.org/officeDocument/2006/relationships/webSettings" Target="webSettings.xml"/><Relationship Id="rId61" Type="http://schemas.openxmlformats.org/officeDocument/2006/relationships/image" Target="media/image49.jpeg"/><Relationship Id="rId19" Type="http://schemas.openxmlformats.org/officeDocument/2006/relationships/image" Target="media/image8.jpeg"/><Relationship Id="rId14" Type="http://schemas.openxmlformats.org/officeDocument/2006/relationships/hyperlink" Target="https://www.pardubice.eu/urad/radnice/uzemni-planovani/uzemni-plan-mesta-pardubice/"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image" Target="media/image52.jpeg"/><Relationship Id="rId8" Type="http://schemas.openxmlformats.org/officeDocument/2006/relationships/hyperlink" Target="https://www.sekm.cz/portal/" TargetMode="External"/><Relationship Id="rId51" Type="http://schemas.openxmlformats.org/officeDocument/2006/relationships/image" Target="media/image39.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hyperlink" Target="mailto:ova@ova.cz" TargetMode="External"/><Relationship Id="rId46" Type="http://schemas.openxmlformats.org/officeDocument/2006/relationships/image" Target="media/image34.jpeg"/><Relationship Id="rId59" Type="http://schemas.openxmlformats.org/officeDocument/2006/relationships/image" Target="media/image47.jpeg"/><Relationship Id="rId67" Type="http://schemas.openxmlformats.org/officeDocument/2006/relationships/fontTable" Target="fontTable.xml"/><Relationship Id="rId20" Type="http://schemas.openxmlformats.org/officeDocument/2006/relationships/image" Target="media/image9.jpe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5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pardubice.eu" TargetMode="Externa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7.jpeg"/><Relationship Id="rId57" Type="http://schemas.openxmlformats.org/officeDocument/2006/relationships/image" Target="media/image45.jpeg"/><Relationship Id="rId10" Type="http://schemas.openxmlformats.org/officeDocument/2006/relationships/image" Target="media/image1.jpeg"/><Relationship Id="rId31" Type="http://schemas.openxmlformats.org/officeDocument/2006/relationships/image" Target="media/image20.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3.jpeg"/><Relationship Id="rId4" Type="http://schemas.openxmlformats.org/officeDocument/2006/relationships/settings" Target="settings.xml"/><Relationship Id="rId9" Type="http://schemas.openxmlformats.org/officeDocument/2006/relationships/hyperlink" Target="https://www.sekm.cz/portal/" TargetMode="External"/><Relationship Id="rId13" Type="http://schemas.openxmlformats.org/officeDocument/2006/relationships/image" Target="media/image4.jpeg"/><Relationship Id="rId18" Type="http://schemas.openxmlformats.org/officeDocument/2006/relationships/image" Target="media/image7.jpeg"/><Relationship Id="rId39" Type="http://schemas.openxmlformats.org/officeDocument/2006/relationships/image" Target="media/image27.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F5CE96-4CC7-4A33-B0E3-ADA1981638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272</Pages>
  <Words>93367</Words>
  <Characters>550867</Characters>
  <Application>Microsoft Office Word</Application>
  <DocSecurity>0</DocSecurity>
  <Lines>4590</Lines>
  <Paragraphs>1285</Paragraphs>
  <ScaleCrop>false</ScaleCrop>
  <HeadingPairs>
    <vt:vector size="2" baseType="variant">
      <vt:variant>
        <vt:lpstr>Název</vt:lpstr>
      </vt:variant>
      <vt:variant>
        <vt:i4>1</vt:i4>
      </vt:variant>
    </vt:vector>
  </HeadingPairs>
  <TitlesOfParts>
    <vt:vector size="1" baseType="lpstr">
      <vt:lpstr>Xerox Scan_24062026102146</vt:lpstr>
    </vt:vector>
  </TitlesOfParts>
  <Company/>
  <LinksUpToDate>false</LinksUpToDate>
  <CharactersWithSpaces>642949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Xerox Scan_24062026102146</dc:title>
  <dc:subject/>
  <dc:creator>macelam</dc:creator>
  <cp:keywords/>
  <cp:lastModifiedBy>Randusová Irena</cp:lastModifiedBy>
  <cp:revision>2</cp:revision>
  <dcterms:created xsi:type="dcterms:W3CDTF">2026-06-25T08:58:00Z</dcterms:created>
  <dcterms:modified xsi:type="dcterms:W3CDTF">2026-06-25T09:41:00Z</dcterms:modified>
</cp:coreProperties>
</file>