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Default="006B10E3" w:rsidP="003A2394">
      <w:pPr>
        <w:pStyle w:val="Nzev"/>
        <w:spacing w:before="0" w:after="0"/>
        <w:rPr>
          <w:u w:val="none"/>
        </w:rPr>
      </w:pPr>
      <w:r>
        <w:rPr>
          <w:u w:val="none"/>
        </w:rPr>
        <w:t xml:space="preserve">RÁMCOVÁ </w:t>
      </w:r>
      <w:r w:rsidR="001A6741">
        <w:rPr>
          <w:u w:val="none"/>
        </w:rPr>
        <w:t>KUPNÍ SMLOUVA</w:t>
      </w:r>
    </w:p>
    <w:p w:rsidR="000A35F6" w:rsidRPr="00200573" w:rsidRDefault="008F3B03" w:rsidP="000A35F6">
      <w:pPr>
        <w:pStyle w:val="Nzev"/>
        <w:spacing w:before="0" w:after="0"/>
        <w:rPr>
          <w:sz w:val="22"/>
          <w:szCs w:val="22"/>
          <w:u w:val="none"/>
        </w:rPr>
      </w:pPr>
      <w:r w:rsidRPr="00F65497">
        <w:rPr>
          <w:sz w:val="22"/>
          <w:szCs w:val="22"/>
          <w:u w:val="none"/>
        </w:rPr>
        <w:t>č. SLL</w:t>
      </w:r>
      <w:r w:rsidR="00BC2D6F">
        <w:rPr>
          <w:sz w:val="22"/>
          <w:szCs w:val="22"/>
          <w:u w:val="none"/>
        </w:rPr>
        <w:t>S</w:t>
      </w:r>
      <w:r w:rsidRPr="00F65497">
        <w:rPr>
          <w:sz w:val="22"/>
          <w:szCs w:val="22"/>
          <w:u w:val="none"/>
        </w:rPr>
        <w:t>/</w:t>
      </w:r>
      <w:r w:rsidR="00437E14">
        <w:rPr>
          <w:sz w:val="22"/>
          <w:szCs w:val="22"/>
          <w:u w:val="none"/>
        </w:rPr>
        <w:t xml:space="preserve">            </w:t>
      </w:r>
      <w:r w:rsidRPr="00F65497">
        <w:rPr>
          <w:sz w:val="22"/>
          <w:szCs w:val="22"/>
          <w:u w:val="none"/>
        </w:rPr>
        <w:t>/20</w:t>
      </w:r>
      <w:r w:rsidR="00F65497">
        <w:rPr>
          <w:sz w:val="22"/>
          <w:szCs w:val="22"/>
          <w:u w:val="none"/>
        </w:rPr>
        <w:t>2</w:t>
      </w:r>
      <w:r w:rsidR="00010187">
        <w:rPr>
          <w:sz w:val="22"/>
          <w:szCs w:val="22"/>
          <w:u w:val="none"/>
        </w:rPr>
        <w:t>6</w:t>
      </w:r>
    </w:p>
    <w:p w:rsidR="00E51D2F" w:rsidRPr="005C0178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3207A3" w:rsidRDefault="00E51D2F" w:rsidP="003207A3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 w:rsidR="001A6741">
        <w:rPr>
          <w:sz w:val="22"/>
          <w:szCs w:val="22"/>
        </w:rPr>
        <w:t>2079</w:t>
      </w:r>
      <w:r w:rsidR="003A0C5F" w:rsidRPr="003207A3">
        <w:rPr>
          <w:sz w:val="22"/>
          <w:szCs w:val="22"/>
        </w:rPr>
        <w:t xml:space="preserve"> </w:t>
      </w:r>
      <w:r w:rsidRPr="003207A3">
        <w:rPr>
          <w:sz w:val="22"/>
          <w:szCs w:val="22"/>
        </w:rPr>
        <w:t>a násl.</w:t>
      </w:r>
      <w:r w:rsidR="00103032" w:rsidRPr="003207A3">
        <w:rPr>
          <w:sz w:val="22"/>
          <w:szCs w:val="22"/>
        </w:rPr>
        <w:t xml:space="preserve"> zákona č. 89/2012</w:t>
      </w:r>
      <w:r w:rsidRPr="003207A3">
        <w:rPr>
          <w:sz w:val="22"/>
          <w:szCs w:val="22"/>
        </w:rPr>
        <w:t xml:space="preserve"> Sb.</w:t>
      </w:r>
      <w:r w:rsidR="00103032" w:rsidRPr="003207A3">
        <w:rPr>
          <w:sz w:val="22"/>
          <w:szCs w:val="22"/>
        </w:rPr>
        <w:t>, občanského zákoníku,</w:t>
      </w:r>
      <w:r w:rsidRPr="003207A3">
        <w:rPr>
          <w:sz w:val="22"/>
          <w:szCs w:val="22"/>
        </w:rPr>
        <w:t xml:space="preserve"> v platném znění mezi smluvními stranami: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9A448D" w:rsidRDefault="009A448D" w:rsidP="009A448D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404D05" w:rsidRPr="00C903DA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>IČO: 00024007, DIČ: CZ00024007</w:t>
      </w:r>
    </w:p>
    <w:p w:rsidR="00404D05" w:rsidRPr="00C903DA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>se sídlem náměstí Svobody 272, 542 25 Janské Lázně</w:t>
      </w:r>
    </w:p>
    <w:p w:rsidR="00404D05" w:rsidRPr="00C903DA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>zapsán v obchodním rejstříku vedeném Krajským soudem v Hradci Králové, </w:t>
      </w:r>
      <w:proofErr w:type="spellStart"/>
      <w:r w:rsidRPr="00C903DA">
        <w:rPr>
          <w:rFonts w:ascii="Times New Roman" w:hAnsi="Times New Roman" w:cs="Times New Roman"/>
        </w:rPr>
        <w:t>sp</w:t>
      </w:r>
      <w:proofErr w:type="spellEnd"/>
      <w:r w:rsidRPr="00C903DA">
        <w:rPr>
          <w:rFonts w:ascii="Times New Roman" w:hAnsi="Times New Roman" w:cs="Times New Roman"/>
        </w:rPr>
        <w:t>. zn. AXII 253</w:t>
      </w:r>
    </w:p>
    <w:p w:rsidR="00404D05" w:rsidRPr="00C903DA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 xml:space="preserve">zastoupen </w:t>
      </w:r>
      <w:proofErr w:type="spellStart"/>
      <w:r w:rsidR="00437C18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 ředitelem</w:t>
      </w:r>
    </w:p>
    <w:p w:rsidR="00742F54" w:rsidRPr="003207A3" w:rsidRDefault="00404D05" w:rsidP="003207A3">
      <w:pPr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D8119E" w:rsidRPr="003207A3">
        <w:rPr>
          <w:sz w:val="22"/>
          <w:szCs w:val="22"/>
        </w:rPr>
        <w:t>dále jen</w:t>
      </w:r>
      <w:r w:rsidR="00742F54" w:rsidRPr="003207A3">
        <w:rPr>
          <w:sz w:val="22"/>
          <w:szCs w:val="22"/>
        </w:rPr>
        <w:t xml:space="preserve"> „</w:t>
      </w:r>
      <w:r w:rsidR="001A6741" w:rsidRPr="00404D05">
        <w:rPr>
          <w:bCs/>
          <w:sz w:val="22"/>
          <w:szCs w:val="22"/>
        </w:rPr>
        <w:t>Kupující</w:t>
      </w:r>
      <w:r w:rsidR="00742F54" w:rsidRPr="00404D05">
        <w:rPr>
          <w:bCs/>
          <w:sz w:val="22"/>
          <w:szCs w:val="22"/>
        </w:rPr>
        <w:t>“</w:t>
      </w:r>
      <w:r w:rsidRPr="00404D05">
        <w:rPr>
          <w:bCs/>
          <w:sz w:val="22"/>
          <w:szCs w:val="22"/>
        </w:rPr>
        <w:t>)</w:t>
      </w:r>
    </w:p>
    <w:p w:rsidR="00B674D0" w:rsidRPr="003207A3" w:rsidRDefault="00B674D0" w:rsidP="003207A3">
      <w:pPr>
        <w:rPr>
          <w:b/>
          <w:sz w:val="22"/>
          <w:szCs w:val="22"/>
        </w:rPr>
      </w:pPr>
    </w:p>
    <w:p w:rsidR="00742F54" w:rsidRPr="00010187" w:rsidRDefault="00742F54" w:rsidP="003207A3">
      <w:pPr>
        <w:rPr>
          <w:bCs/>
          <w:sz w:val="22"/>
          <w:szCs w:val="22"/>
        </w:rPr>
      </w:pPr>
      <w:r w:rsidRPr="00010187">
        <w:rPr>
          <w:bCs/>
          <w:sz w:val="22"/>
          <w:szCs w:val="22"/>
        </w:rPr>
        <w:t xml:space="preserve">a </w:t>
      </w:r>
    </w:p>
    <w:p w:rsidR="00B674D0" w:rsidRPr="003207A3" w:rsidRDefault="00B674D0" w:rsidP="003207A3">
      <w:pPr>
        <w:rPr>
          <w:b/>
          <w:bCs/>
          <w:sz w:val="22"/>
          <w:szCs w:val="22"/>
        </w:rPr>
      </w:pPr>
    </w:p>
    <w:p w:rsidR="00404D05" w:rsidRPr="00115B8A" w:rsidRDefault="00EE4F66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HIPPOinvest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Development</w:t>
      </w:r>
      <w:proofErr w:type="spellEnd"/>
      <w:r>
        <w:rPr>
          <w:rFonts w:ascii="Times New Roman" w:hAnsi="Times New Roman" w:cs="Times New Roman"/>
          <w:b/>
          <w:bCs/>
        </w:rPr>
        <w:t xml:space="preserve"> a.s.</w:t>
      </w:r>
    </w:p>
    <w:p w:rsidR="00404D05" w:rsidRPr="00C903DA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 xml:space="preserve">se </w:t>
      </w:r>
      <w:proofErr w:type="gramStart"/>
      <w:r w:rsidRPr="00C903DA">
        <w:rPr>
          <w:rFonts w:ascii="Times New Roman" w:hAnsi="Times New Roman" w:cs="Times New Roman"/>
        </w:rPr>
        <w:t xml:space="preserve">sídlem </w:t>
      </w:r>
      <w:r w:rsidR="00EE4F66">
        <w:rPr>
          <w:rFonts w:ascii="Times New Roman" w:hAnsi="Times New Roman" w:cs="Times New Roman"/>
        </w:rPr>
        <w:t>:</w:t>
      </w:r>
      <w:proofErr w:type="gramEnd"/>
      <w:r w:rsidR="00EE4F66">
        <w:rPr>
          <w:rFonts w:ascii="Times New Roman" w:hAnsi="Times New Roman" w:cs="Times New Roman"/>
        </w:rPr>
        <w:t xml:space="preserve"> </w:t>
      </w:r>
      <w:proofErr w:type="spellStart"/>
      <w:r w:rsidR="00EE4F66">
        <w:rPr>
          <w:rFonts w:ascii="Times New Roman" w:hAnsi="Times New Roman" w:cs="Times New Roman"/>
        </w:rPr>
        <w:t>Sehnoutkova</w:t>
      </w:r>
      <w:proofErr w:type="spellEnd"/>
      <w:r w:rsidR="00EE4F66">
        <w:rPr>
          <w:rFonts w:ascii="Times New Roman" w:hAnsi="Times New Roman" w:cs="Times New Roman"/>
        </w:rPr>
        <w:t xml:space="preserve"> 17, 503 04 Černožice</w:t>
      </w:r>
    </w:p>
    <w:p w:rsidR="00404D05" w:rsidRPr="00C903DA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 xml:space="preserve">IČO: </w:t>
      </w:r>
      <w:r w:rsidR="00EE4F66">
        <w:rPr>
          <w:rFonts w:ascii="Times New Roman" w:hAnsi="Times New Roman" w:cs="Times New Roman"/>
        </w:rPr>
        <w:t>25342916</w:t>
      </w:r>
      <w:r>
        <w:rPr>
          <w:rFonts w:ascii="Times New Roman" w:hAnsi="Times New Roman" w:cs="Times New Roman"/>
        </w:rPr>
        <w:t xml:space="preserve">, </w:t>
      </w:r>
      <w:r w:rsidRPr="00C903DA">
        <w:rPr>
          <w:rFonts w:ascii="Times New Roman" w:hAnsi="Times New Roman" w:cs="Times New Roman"/>
        </w:rPr>
        <w:t xml:space="preserve">DIČ: </w:t>
      </w:r>
      <w:r w:rsidR="00EE4F66">
        <w:rPr>
          <w:rFonts w:ascii="Times New Roman" w:hAnsi="Times New Roman" w:cs="Times New Roman"/>
        </w:rPr>
        <w:t>CZ25342916</w:t>
      </w:r>
    </w:p>
    <w:p w:rsidR="00EE4F66" w:rsidRDefault="00404D05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903DA">
        <w:rPr>
          <w:rFonts w:ascii="Times New Roman" w:hAnsi="Times New Roman" w:cs="Times New Roman"/>
        </w:rPr>
        <w:t xml:space="preserve">zapsaná v obchodním rejstříku vedeném </w:t>
      </w:r>
      <w:r w:rsidR="00EE4F66">
        <w:rPr>
          <w:rFonts w:ascii="Times New Roman" w:hAnsi="Times New Roman" w:cs="Times New Roman"/>
        </w:rPr>
        <w:t>Krajským</w:t>
      </w:r>
      <w:r>
        <w:rPr>
          <w:rFonts w:ascii="Times New Roman" w:hAnsi="Times New Roman" w:cs="Times New Roman"/>
        </w:rPr>
        <w:t xml:space="preserve"> </w:t>
      </w:r>
      <w:r w:rsidRPr="00C903DA">
        <w:rPr>
          <w:rFonts w:ascii="Times New Roman" w:hAnsi="Times New Roman" w:cs="Times New Roman"/>
        </w:rPr>
        <w:t>soudem v</w:t>
      </w:r>
      <w:r w:rsidR="00EE4F66">
        <w:rPr>
          <w:rFonts w:ascii="Times New Roman" w:hAnsi="Times New Roman" w:cs="Times New Roman"/>
        </w:rPr>
        <w:t> Hradci Králové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903DA">
        <w:rPr>
          <w:rFonts w:ascii="Times New Roman" w:hAnsi="Times New Roman" w:cs="Times New Roman"/>
        </w:rPr>
        <w:t>sp</w:t>
      </w:r>
      <w:proofErr w:type="spellEnd"/>
      <w:r w:rsidRPr="00C903DA">
        <w:rPr>
          <w:rFonts w:ascii="Times New Roman" w:hAnsi="Times New Roman" w:cs="Times New Roman"/>
        </w:rPr>
        <w:t xml:space="preserve">. zn. </w:t>
      </w:r>
      <w:r w:rsidR="00EE4F66">
        <w:rPr>
          <w:rFonts w:ascii="Times New Roman" w:hAnsi="Times New Roman" w:cs="Times New Roman"/>
        </w:rPr>
        <w:t xml:space="preserve">oddíl B, </w:t>
      </w:r>
    </w:p>
    <w:p w:rsidR="00404D05" w:rsidRPr="00C903DA" w:rsidRDefault="00EE4F66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vložka 2382</w:t>
      </w:r>
    </w:p>
    <w:p w:rsidR="00404D05" w:rsidRPr="00C903DA" w:rsidRDefault="00EE4F66" w:rsidP="00404D05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zastoupena: </w:t>
      </w:r>
      <w:proofErr w:type="spellStart"/>
      <w:r w:rsidR="00437C18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 předseda představenstva</w:t>
      </w:r>
    </w:p>
    <w:p w:rsidR="00742F54" w:rsidRPr="003207A3" w:rsidRDefault="00404D05" w:rsidP="003207A3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D8119E" w:rsidRPr="003207A3">
        <w:rPr>
          <w:sz w:val="22"/>
          <w:szCs w:val="22"/>
        </w:rPr>
        <w:t>dále jen „</w:t>
      </w:r>
      <w:r w:rsidR="001A6741" w:rsidRPr="00404D05">
        <w:rPr>
          <w:bCs/>
          <w:sz w:val="22"/>
          <w:szCs w:val="22"/>
        </w:rPr>
        <w:t>Prodávající</w:t>
      </w:r>
      <w:r w:rsidR="00742F54" w:rsidRPr="003207A3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:rsidR="00742F54" w:rsidRDefault="00742F54" w:rsidP="003207A3">
      <w:pPr>
        <w:rPr>
          <w:sz w:val="22"/>
          <w:szCs w:val="22"/>
        </w:rPr>
      </w:pPr>
    </w:p>
    <w:p w:rsidR="00404D05" w:rsidRDefault="00404D05" w:rsidP="00404D05">
      <w:pPr>
        <w:rPr>
          <w:sz w:val="22"/>
          <w:szCs w:val="22"/>
        </w:rPr>
      </w:pPr>
      <w:r>
        <w:rPr>
          <w:sz w:val="22"/>
          <w:szCs w:val="22"/>
        </w:rPr>
        <w:t>(Kupující</w:t>
      </w:r>
      <w:r w:rsidRPr="001D2BE9">
        <w:rPr>
          <w:sz w:val="22"/>
          <w:szCs w:val="22"/>
        </w:rPr>
        <w:t xml:space="preserve"> a </w:t>
      </w:r>
      <w:r>
        <w:rPr>
          <w:sz w:val="22"/>
          <w:szCs w:val="22"/>
        </w:rPr>
        <w:t>Prodávající</w:t>
      </w:r>
      <w:r w:rsidRPr="001D2BE9">
        <w:rPr>
          <w:sz w:val="22"/>
          <w:szCs w:val="22"/>
        </w:rPr>
        <w:t xml:space="preserve"> dohromady jen „smluvní strany“, nebo každý zvlášť jen „smluvní strana“)</w:t>
      </w:r>
    </w:p>
    <w:p w:rsidR="00407BAB" w:rsidRDefault="00407BAB" w:rsidP="00407BAB">
      <w:pPr>
        <w:rPr>
          <w:sz w:val="22"/>
          <w:szCs w:val="22"/>
        </w:rPr>
      </w:pPr>
    </w:p>
    <w:p w:rsidR="00404D05" w:rsidRDefault="00404D05" w:rsidP="00407BAB">
      <w:pPr>
        <w:rPr>
          <w:sz w:val="22"/>
          <w:szCs w:val="22"/>
        </w:rPr>
      </w:pPr>
    </w:p>
    <w:p w:rsidR="00404D05" w:rsidRDefault="00404D05" w:rsidP="00407BAB">
      <w:pPr>
        <w:rPr>
          <w:sz w:val="22"/>
          <w:szCs w:val="22"/>
        </w:rPr>
      </w:pPr>
    </w:p>
    <w:p w:rsidR="00404D05" w:rsidRPr="003207A3" w:rsidRDefault="00404D05" w:rsidP="00407BAB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CC33C0">
      <w:pPr>
        <w:spacing w:before="60"/>
        <w:ind w:left="567" w:hanging="567"/>
        <w:jc w:val="center"/>
        <w:rPr>
          <w:b/>
          <w:sz w:val="22"/>
          <w:szCs w:val="22"/>
        </w:rPr>
      </w:pPr>
    </w:p>
    <w:p w:rsidR="00407BAB" w:rsidRDefault="00407BAB" w:rsidP="00BE46D0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407BAB">
        <w:rPr>
          <w:color w:val="000000"/>
          <w:sz w:val="22"/>
          <w:szCs w:val="22"/>
        </w:rPr>
        <w:t xml:space="preserve"> uzavírají tuto smlouvu v souladu </w:t>
      </w:r>
      <w:r w:rsidR="00C478D1">
        <w:rPr>
          <w:color w:val="000000"/>
          <w:sz w:val="22"/>
          <w:szCs w:val="22"/>
        </w:rPr>
        <w:t>s ustanovením §§ 6, 2</w:t>
      </w:r>
      <w:r w:rsidR="00C935C1">
        <w:rPr>
          <w:color w:val="000000"/>
          <w:sz w:val="22"/>
          <w:szCs w:val="22"/>
        </w:rPr>
        <w:t>7</w:t>
      </w:r>
      <w:r w:rsidR="00B86B08">
        <w:rPr>
          <w:color w:val="000000"/>
          <w:sz w:val="22"/>
          <w:szCs w:val="22"/>
        </w:rPr>
        <w:t>,</w:t>
      </w:r>
      <w:r w:rsidR="00C478D1">
        <w:rPr>
          <w:color w:val="000000"/>
          <w:sz w:val="22"/>
          <w:szCs w:val="22"/>
        </w:rPr>
        <w:t xml:space="preserve"> </w:t>
      </w:r>
      <w:r w:rsidR="00B86B08">
        <w:rPr>
          <w:color w:val="000000"/>
          <w:sz w:val="22"/>
          <w:szCs w:val="22"/>
        </w:rPr>
        <w:t>5</w:t>
      </w:r>
      <w:r w:rsidR="00C935C1">
        <w:rPr>
          <w:color w:val="000000"/>
          <w:sz w:val="22"/>
          <w:szCs w:val="22"/>
        </w:rPr>
        <w:t>6</w:t>
      </w:r>
      <w:r w:rsidR="00C478D1">
        <w:rPr>
          <w:color w:val="000000"/>
          <w:sz w:val="22"/>
          <w:szCs w:val="22"/>
        </w:rPr>
        <w:t xml:space="preserve"> </w:t>
      </w:r>
      <w:r w:rsidR="006B10E3">
        <w:rPr>
          <w:color w:val="000000"/>
          <w:sz w:val="22"/>
          <w:szCs w:val="22"/>
        </w:rPr>
        <w:t xml:space="preserve">a 131 a násl. </w:t>
      </w:r>
      <w:r w:rsidR="00C478D1">
        <w:rPr>
          <w:color w:val="000000"/>
          <w:sz w:val="22"/>
          <w:szCs w:val="22"/>
        </w:rPr>
        <w:t xml:space="preserve">zákona </w:t>
      </w:r>
      <w:r w:rsidR="00B86B08">
        <w:rPr>
          <w:color w:val="000000"/>
          <w:sz w:val="22"/>
          <w:szCs w:val="22"/>
        </w:rPr>
        <w:t>č. </w:t>
      </w:r>
      <w:r w:rsidR="00C478D1" w:rsidRPr="00C478D1">
        <w:rPr>
          <w:color w:val="000000"/>
          <w:sz w:val="22"/>
          <w:szCs w:val="22"/>
        </w:rPr>
        <w:t>134/2016 Sb., o zadávání veřejných zakázek</w:t>
      </w:r>
      <w:r w:rsidR="00C478D1">
        <w:rPr>
          <w:color w:val="000000"/>
          <w:sz w:val="22"/>
          <w:szCs w:val="22"/>
        </w:rPr>
        <w:t xml:space="preserve"> v platném znění</w:t>
      </w:r>
      <w:r w:rsidR="00C34F34">
        <w:rPr>
          <w:color w:val="000000"/>
          <w:sz w:val="22"/>
          <w:szCs w:val="22"/>
        </w:rPr>
        <w:t xml:space="preserve"> (dále jen „ZZVZ“)</w:t>
      </w:r>
      <w:r w:rsidR="00C478D1" w:rsidRPr="00C478D1">
        <w:rPr>
          <w:color w:val="000000"/>
          <w:sz w:val="22"/>
          <w:szCs w:val="22"/>
        </w:rPr>
        <w:t xml:space="preserve">, </w:t>
      </w:r>
      <w:r w:rsidR="00C478D1">
        <w:rPr>
          <w:color w:val="000000"/>
          <w:sz w:val="22"/>
          <w:szCs w:val="22"/>
        </w:rPr>
        <w:t>a v souladu s </w:t>
      </w:r>
      <w:r w:rsidR="00C478D1" w:rsidRPr="00C478D1">
        <w:rPr>
          <w:color w:val="000000"/>
          <w:sz w:val="22"/>
          <w:szCs w:val="22"/>
        </w:rPr>
        <w:t>nabídk</w:t>
      </w:r>
      <w:r w:rsidR="00C478D1">
        <w:rPr>
          <w:color w:val="000000"/>
          <w:sz w:val="22"/>
          <w:szCs w:val="22"/>
        </w:rPr>
        <w:t>o</w:t>
      </w:r>
      <w:r w:rsidR="00C478D1" w:rsidRPr="00C478D1">
        <w:rPr>
          <w:color w:val="000000"/>
          <w:sz w:val="22"/>
          <w:szCs w:val="22"/>
        </w:rPr>
        <w:t>u</w:t>
      </w:r>
      <w:r w:rsidR="00C478D1">
        <w:rPr>
          <w:color w:val="000000"/>
          <w:sz w:val="22"/>
          <w:szCs w:val="22"/>
        </w:rPr>
        <w:t xml:space="preserve"> </w:t>
      </w:r>
      <w:r w:rsidR="003102D3">
        <w:rPr>
          <w:color w:val="000000"/>
          <w:sz w:val="22"/>
          <w:szCs w:val="22"/>
        </w:rPr>
        <w:t>Prodávajícího</w:t>
      </w:r>
      <w:r w:rsidR="00610076">
        <w:rPr>
          <w:color w:val="000000"/>
          <w:sz w:val="22"/>
          <w:szCs w:val="22"/>
        </w:rPr>
        <w:t xml:space="preserve">, </w:t>
      </w:r>
      <w:r w:rsidR="004719C6" w:rsidRPr="00C478D1">
        <w:rPr>
          <w:color w:val="000000"/>
          <w:sz w:val="22"/>
          <w:szCs w:val="22"/>
        </w:rPr>
        <w:t xml:space="preserve">která byla </w:t>
      </w:r>
      <w:r w:rsidR="00C935C1">
        <w:rPr>
          <w:color w:val="000000"/>
          <w:sz w:val="22"/>
          <w:szCs w:val="22"/>
        </w:rPr>
        <w:t>v</w:t>
      </w:r>
      <w:r w:rsidR="008B14B0">
        <w:rPr>
          <w:color w:val="000000"/>
          <w:sz w:val="22"/>
          <w:szCs w:val="22"/>
        </w:rPr>
        <w:t xml:space="preserve">e výběrovém </w:t>
      </w:r>
      <w:r w:rsidR="004719C6">
        <w:rPr>
          <w:color w:val="000000"/>
          <w:sz w:val="22"/>
          <w:szCs w:val="22"/>
        </w:rPr>
        <w:t xml:space="preserve">řízení pro </w:t>
      </w:r>
      <w:r w:rsidR="00231010" w:rsidRPr="00407BAB">
        <w:rPr>
          <w:color w:val="000000"/>
          <w:sz w:val="22"/>
          <w:szCs w:val="22"/>
        </w:rPr>
        <w:t>veřejn</w:t>
      </w:r>
      <w:r w:rsidR="00231010">
        <w:rPr>
          <w:color w:val="000000"/>
          <w:sz w:val="22"/>
          <w:szCs w:val="22"/>
        </w:rPr>
        <w:t>ou</w:t>
      </w:r>
      <w:r w:rsidR="00231010" w:rsidRPr="00407BAB">
        <w:rPr>
          <w:color w:val="000000"/>
          <w:sz w:val="22"/>
          <w:szCs w:val="22"/>
        </w:rPr>
        <w:t xml:space="preserve"> zakáz</w:t>
      </w:r>
      <w:r w:rsidR="00231010">
        <w:rPr>
          <w:color w:val="000000"/>
          <w:sz w:val="22"/>
          <w:szCs w:val="22"/>
        </w:rPr>
        <w:t>ku</w:t>
      </w:r>
      <w:r w:rsidR="00231010" w:rsidRPr="00407BAB">
        <w:rPr>
          <w:color w:val="000000"/>
          <w:sz w:val="22"/>
          <w:szCs w:val="22"/>
        </w:rPr>
        <w:t xml:space="preserve"> </w:t>
      </w:r>
      <w:r w:rsidR="00C935C1" w:rsidRPr="00C935C1">
        <w:rPr>
          <w:color w:val="000000"/>
          <w:sz w:val="22"/>
          <w:szCs w:val="22"/>
        </w:rPr>
        <w:t>malého rozsahu č. 0</w:t>
      </w:r>
      <w:r w:rsidR="008B14B0">
        <w:rPr>
          <w:color w:val="000000"/>
          <w:sz w:val="22"/>
          <w:szCs w:val="22"/>
        </w:rPr>
        <w:t>14</w:t>
      </w:r>
      <w:r w:rsidR="00C935C1" w:rsidRPr="00C935C1">
        <w:rPr>
          <w:color w:val="000000"/>
          <w:sz w:val="22"/>
          <w:szCs w:val="22"/>
        </w:rPr>
        <w:t>/202</w:t>
      </w:r>
      <w:r w:rsidR="008B14B0">
        <w:rPr>
          <w:color w:val="000000"/>
          <w:sz w:val="22"/>
          <w:szCs w:val="22"/>
        </w:rPr>
        <w:t>6</w:t>
      </w:r>
      <w:r w:rsidR="00C935C1" w:rsidRPr="00C935C1">
        <w:rPr>
          <w:color w:val="000000"/>
          <w:sz w:val="22"/>
          <w:szCs w:val="22"/>
        </w:rPr>
        <w:t>/ZMR</w:t>
      </w:r>
      <w:r w:rsidR="00C935C1">
        <w:rPr>
          <w:color w:val="000000"/>
          <w:sz w:val="22"/>
          <w:szCs w:val="22"/>
        </w:rPr>
        <w:t xml:space="preserve"> </w:t>
      </w:r>
      <w:r w:rsidR="00231010" w:rsidRPr="00AC2189">
        <w:rPr>
          <w:color w:val="000000"/>
          <w:sz w:val="22"/>
          <w:szCs w:val="22"/>
        </w:rPr>
        <w:t>s názvem „</w:t>
      </w:r>
      <w:r w:rsidR="00C935C1" w:rsidRPr="00C935C1">
        <w:rPr>
          <w:b/>
          <w:bCs/>
          <w:color w:val="000000"/>
          <w:sz w:val="22"/>
          <w:szCs w:val="22"/>
        </w:rPr>
        <w:t xml:space="preserve">Rámcová dohoda na dodávky </w:t>
      </w:r>
      <w:r w:rsidR="00BE7D01">
        <w:rPr>
          <w:b/>
          <w:bCs/>
          <w:color w:val="000000"/>
          <w:sz w:val="22"/>
          <w:szCs w:val="22"/>
        </w:rPr>
        <w:t>přikrývek a polštářů</w:t>
      </w:r>
      <w:r w:rsidR="008B14B0">
        <w:rPr>
          <w:b/>
          <w:bCs/>
          <w:color w:val="000000"/>
          <w:sz w:val="22"/>
          <w:szCs w:val="22"/>
        </w:rPr>
        <w:t>“</w:t>
      </w:r>
      <w:r w:rsidR="008F3474">
        <w:rPr>
          <w:color w:val="000000"/>
          <w:sz w:val="22"/>
          <w:szCs w:val="22"/>
        </w:rPr>
        <w:t>,</w:t>
      </w:r>
      <w:r w:rsidR="00C478D1" w:rsidRPr="00A316D7">
        <w:rPr>
          <w:color w:val="000000"/>
          <w:sz w:val="22"/>
          <w:szCs w:val="22"/>
        </w:rPr>
        <w:t xml:space="preserve"> </w:t>
      </w:r>
      <w:r w:rsidR="004719C6" w:rsidRPr="00AC2189">
        <w:rPr>
          <w:color w:val="000000"/>
          <w:sz w:val="22"/>
          <w:szCs w:val="22"/>
        </w:rPr>
        <w:t>vybrána jako nejvýhodnější</w:t>
      </w:r>
      <w:r w:rsidR="00C478D1" w:rsidRPr="00C478D1">
        <w:rPr>
          <w:color w:val="000000"/>
          <w:sz w:val="22"/>
          <w:szCs w:val="22"/>
        </w:rPr>
        <w:t xml:space="preserve">. </w:t>
      </w:r>
    </w:p>
    <w:p w:rsidR="00C34F34" w:rsidRDefault="00C34F34" w:rsidP="00BE46D0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rámcová kupní smlouva je rámcovou dohodou ve smyslu § 131 ZZVZ.</w:t>
      </w:r>
    </w:p>
    <w:p w:rsidR="00407BAB" w:rsidRPr="003207A3" w:rsidRDefault="00407BAB" w:rsidP="00CC33C0">
      <w:pPr>
        <w:spacing w:before="60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CC33C0">
      <w:pPr>
        <w:spacing w:before="60"/>
        <w:ind w:left="567" w:hanging="567"/>
        <w:jc w:val="center"/>
        <w:rPr>
          <w:b/>
          <w:sz w:val="22"/>
          <w:szCs w:val="22"/>
        </w:rPr>
      </w:pPr>
    </w:p>
    <w:p w:rsidR="006B10E3" w:rsidRP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D17BE1">
        <w:rPr>
          <w:color w:val="000000"/>
          <w:sz w:val="22"/>
          <w:szCs w:val="22"/>
        </w:rPr>
        <w:t xml:space="preserve">Předmětem této smlouvy je rámcová úprava práv a povinností smluvních stran při </w:t>
      </w:r>
      <w:r>
        <w:rPr>
          <w:color w:val="000000"/>
          <w:sz w:val="22"/>
          <w:szCs w:val="22"/>
        </w:rPr>
        <w:t>dodávce zboží</w:t>
      </w:r>
      <w:r w:rsidRPr="00D17BE1">
        <w:rPr>
          <w:color w:val="000000"/>
          <w:sz w:val="22"/>
          <w:szCs w:val="22"/>
        </w:rPr>
        <w:t xml:space="preserve"> ze strany</w:t>
      </w:r>
      <w:r>
        <w:rPr>
          <w:color w:val="000000"/>
          <w:sz w:val="22"/>
          <w:szCs w:val="22"/>
        </w:rPr>
        <w:t xml:space="preserve"> Prodávajícího.</w:t>
      </w:r>
      <w:r w:rsidRPr="00D17BE1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od</w:t>
      </w:r>
      <w:r w:rsidRPr="00D17BE1">
        <w:rPr>
          <w:color w:val="000000"/>
          <w:sz w:val="22"/>
          <w:szCs w:val="22"/>
        </w:rPr>
        <w:t>mínkami sjednanými v této rámcové smlouvě se budou řídit veškeré dílčí smlouvy uzavřené mezi smluvními stranami v době platnosti této smlouvy, nebude-li v jednotlivém případě ujednáno jinak</w:t>
      </w:r>
      <w:r>
        <w:rPr>
          <w:color w:val="000000"/>
          <w:sz w:val="22"/>
          <w:szCs w:val="22"/>
        </w:rPr>
        <w:t>.</w:t>
      </w:r>
    </w:p>
    <w:p w:rsidR="00B057AD" w:rsidRDefault="001A6741" w:rsidP="006D4392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6D4392">
        <w:rPr>
          <w:color w:val="000000"/>
          <w:sz w:val="22"/>
          <w:szCs w:val="22"/>
        </w:rPr>
        <w:t>Prodávající</w:t>
      </w:r>
      <w:r w:rsidR="003A0C5F" w:rsidRPr="006D4392">
        <w:rPr>
          <w:color w:val="000000"/>
          <w:sz w:val="22"/>
          <w:szCs w:val="22"/>
        </w:rPr>
        <w:t xml:space="preserve"> se zavazuje </w:t>
      </w:r>
      <w:r w:rsidR="006B10E3" w:rsidRPr="006D4392">
        <w:rPr>
          <w:color w:val="000000"/>
          <w:sz w:val="22"/>
          <w:szCs w:val="22"/>
        </w:rPr>
        <w:t xml:space="preserve">za podmínek sjednaných v této smlouvě </w:t>
      </w:r>
      <w:r w:rsidR="002D34A7" w:rsidRPr="006D4392">
        <w:rPr>
          <w:color w:val="000000"/>
          <w:sz w:val="22"/>
          <w:szCs w:val="22"/>
        </w:rPr>
        <w:t xml:space="preserve">dodat Kupujícímu </w:t>
      </w:r>
      <w:r w:rsidR="004858C1">
        <w:rPr>
          <w:color w:val="000000"/>
          <w:sz w:val="22"/>
          <w:szCs w:val="22"/>
        </w:rPr>
        <w:t>polštáře a přikrývky</w:t>
      </w:r>
      <w:r w:rsidR="00C935C1" w:rsidRPr="00C935C1">
        <w:rPr>
          <w:color w:val="000000"/>
          <w:sz w:val="22"/>
          <w:szCs w:val="22"/>
        </w:rPr>
        <w:t xml:space="preserve">, které jsou specifikovány v příloze č. 1 této smlouvy – Specifikace </w:t>
      </w:r>
      <w:r w:rsidR="004858C1">
        <w:rPr>
          <w:color w:val="000000"/>
          <w:sz w:val="22"/>
          <w:szCs w:val="22"/>
        </w:rPr>
        <w:t>zboží</w:t>
      </w:r>
      <w:r w:rsidR="00C935C1" w:rsidRPr="00C935C1">
        <w:rPr>
          <w:color w:val="000000"/>
          <w:sz w:val="22"/>
          <w:szCs w:val="22"/>
        </w:rPr>
        <w:t>, a to v souladu se zadávací dokumentací a nabídkou Prodávajícího</w:t>
      </w:r>
      <w:r w:rsidR="008C4B36" w:rsidRPr="006D4392">
        <w:rPr>
          <w:color w:val="000000"/>
          <w:sz w:val="22"/>
          <w:szCs w:val="22"/>
        </w:rPr>
        <w:t xml:space="preserve"> </w:t>
      </w:r>
      <w:r w:rsidR="001D207F" w:rsidRPr="006D4392">
        <w:rPr>
          <w:color w:val="000000"/>
          <w:sz w:val="22"/>
          <w:szCs w:val="22"/>
        </w:rPr>
        <w:t>(dále též jen: „</w:t>
      </w:r>
      <w:r w:rsidR="008C4B36" w:rsidRPr="006D4392">
        <w:rPr>
          <w:color w:val="000000"/>
          <w:sz w:val="22"/>
          <w:szCs w:val="22"/>
        </w:rPr>
        <w:t>zboží“),</w:t>
      </w:r>
      <w:r w:rsidRPr="006D4392">
        <w:rPr>
          <w:color w:val="000000"/>
          <w:sz w:val="22"/>
          <w:szCs w:val="22"/>
        </w:rPr>
        <w:t xml:space="preserve"> </w:t>
      </w:r>
      <w:r w:rsidR="006B10E3" w:rsidRPr="006D4392">
        <w:rPr>
          <w:color w:val="000000"/>
          <w:sz w:val="22"/>
          <w:szCs w:val="22"/>
        </w:rPr>
        <w:t xml:space="preserve">v rozsahu dle zadávací dokumentace a nabídky </w:t>
      </w:r>
      <w:r w:rsidR="008B14B0">
        <w:rPr>
          <w:color w:val="000000"/>
          <w:sz w:val="22"/>
          <w:szCs w:val="22"/>
        </w:rPr>
        <w:t>Prodávajícího</w:t>
      </w:r>
      <w:r w:rsidR="006B10E3" w:rsidRPr="006D4392">
        <w:rPr>
          <w:color w:val="000000"/>
          <w:sz w:val="22"/>
          <w:szCs w:val="22"/>
        </w:rPr>
        <w:t xml:space="preserve"> a v rozsahu dle této smlouvy a dílčích smluv</w:t>
      </w:r>
      <w:r w:rsidR="008C4B36" w:rsidRPr="006D4392">
        <w:rPr>
          <w:color w:val="000000"/>
          <w:sz w:val="22"/>
          <w:szCs w:val="22"/>
        </w:rPr>
        <w:t>.</w:t>
      </w:r>
    </w:p>
    <w:p w:rsidR="0078203E" w:rsidRPr="006D4392" w:rsidRDefault="00D85AEC" w:rsidP="006D4392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6D4392">
        <w:rPr>
          <w:color w:val="000000"/>
          <w:sz w:val="22"/>
          <w:szCs w:val="22"/>
        </w:rPr>
        <w:t>Součástí dodávky zboží je té</w:t>
      </w:r>
      <w:r w:rsidR="008C4B36" w:rsidRPr="006D4392">
        <w:rPr>
          <w:color w:val="000000"/>
          <w:sz w:val="22"/>
          <w:szCs w:val="22"/>
        </w:rPr>
        <w:t>ž doprava zboží do místa plnění</w:t>
      </w:r>
      <w:r w:rsidR="0078203E" w:rsidRPr="006D4392">
        <w:rPr>
          <w:color w:val="000000"/>
          <w:sz w:val="22"/>
          <w:szCs w:val="22"/>
        </w:rPr>
        <w:t xml:space="preserve">. </w:t>
      </w:r>
    </w:p>
    <w:p w:rsidR="00AA4210" w:rsidRPr="00BC7E8C" w:rsidRDefault="001A6741" w:rsidP="00BD7C38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BC7E8C">
        <w:rPr>
          <w:color w:val="000000"/>
          <w:sz w:val="22"/>
          <w:szCs w:val="22"/>
        </w:rPr>
        <w:t>Kupující</w:t>
      </w:r>
      <w:r w:rsidR="001D207F" w:rsidRPr="00BC7E8C">
        <w:rPr>
          <w:color w:val="000000"/>
          <w:sz w:val="22"/>
          <w:szCs w:val="22"/>
        </w:rPr>
        <w:t xml:space="preserve"> se zavazuje zaplatit za </w:t>
      </w:r>
      <w:r w:rsidR="00407BAB" w:rsidRPr="00BC7E8C">
        <w:rPr>
          <w:color w:val="000000"/>
          <w:sz w:val="22"/>
          <w:szCs w:val="22"/>
        </w:rPr>
        <w:t xml:space="preserve">řádné </w:t>
      </w:r>
      <w:r w:rsidR="00A07E1B" w:rsidRPr="00BC7E8C">
        <w:rPr>
          <w:color w:val="000000"/>
          <w:sz w:val="22"/>
          <w:szCs w:val="22"/>
        </w:rPr>
        <w:t xml:space="preserve">dodání zboží </w:t>
      </w:r>
      <w:r w:rsidR="009841BC" w:rsidRPr="00BC7E8C">
        <w:rPr>
          <w:color w:val="000000"/>
          <w:sz w:val="22"/>
          <w:szCs w:val="22"/>
        </w:rPr>
        <w:t>v souladu se všemi podmínkami dle této smlouvy</w:t>
      </w:r>
      <w:r w:rsidRPr="00BC7E8C">
        <w:rPr>
          <w:color w:val="000000"/>
          <w:sz w:val="22"/>
          <w:szCs w:val="22"/>
        </w:rPr>
        <w:t xml:space="preserve"> </w:t>
      </w:r>
      <w:r w:rsidR="006B10E3" w:rsidRPr="00BC7E8C">
        <w:rPr>
          <w:color w:val="000000"/>
          <w:sz w:val="22"/>
          <w:szCs w:val="22"/>
        </w:rPr>
        <w:t xml:space="preserve">a dle dílčích smluv </w:t>
      </w:r>
      <w:r w:rsidRPr="00BC7E8C">
        <w:rPr>
          <w:color w:val="000000"/>
          <w:sz w:val="22"/>
          <w:szCs w:val="22"/>
        </w:rPr>
        <w:t xml:space="preserve">cenu </w:t>
      </w:r>
      <w:r w:rsidR="001D207F" w:rsidRPr="00BC7E8C">
        <w:rPr>
          <w:color w:val="000000"/>
          <w:sz w:val="22"/>
          <w:szCs w:val="22"/>
        </w:rPr>
        <w:t>sjednanou v této smlouvě</w:t>
      </w:r>
      <w:r w:rsidR="00E51D2F" w:rsidRPr="00BC7E8C">
        <w:rPr>
          <w:color w:val="000000"/>
          <w:sz w:val="22"/>
          <w:szCs w:val="22"/>
        </w:rPr>
        <w:t xml:space="preserve">. </w:t>
      </w:r>
    </w:p>
    <w:p w:rsidR="006B10E3" w:rsidRPr="00A02234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Jednotlivé dílčí smlouvy budou uzavírány na základě dílčích objednávek Kupujícího</w:t>
      </w:r>
      <w:r w:rsidR="00EB5143" w:rsidRPr="00A02234">
        <w:rPr>
          <w:color w:val="000000"/>
          <w:sz w:val="22"/>
          <w:szCs w:val="22"/>
        </w:rPr>
        <w:t>, učiněných</w:t>
      </w:r>
      <w:r w:rsidR="007849D2">
        <w:rPr>
          <w:color w:val="000000"/>
          <w:sz w:val="22"/>
          <w:szCs w:val="22"/>
        </w:rPr>
        <w:t xml:space="preserve"> </w:t>
      </w:r>
      <w:r w:rsidR="0026699E" w:rsidRPr="00A02234">
        <w:rPr>
          <w:color w:val="000000"/>
          <w:sz w:val="22"/>
          <w:szCs w:val="22"/>
        </w:rPr>
        <w:t>emailem</w:t>
      </w:r>
      <w:r w:rsidRPr="00A02234">
        <w:rPr>
          <w:color w:val="000000"/>
          <w:sz w:val="22"/>
          <w:szCs w:val="22"/>
        </w:rPr>
        <w:t xml:space="preserve">, které budou písemně </w:t>
      </w:r>
      <w:r w:rsidR="00EB5143" w:rsidRPr="00A02234">
        <w:rPr>
          <w:color w:val="000000"/>
          <w:sz w:val="22"/>
          <w:szCs w:val="22"/>
        </w:rPr>
        <w:t xml:space="preserve">(stačí forma emailu) </w:t>
      </w:r>
      <w:r w:rsidRPr="00A02234">
        <w:rPr>
          <w:color w:val="000000"/>
          <w:sz w:val="22"/>
          <w:szCs w:val="22"/>
        </w:rPr>
        <w:t>po</w:t>
      </w:r>
      <w:r w:rsidR="00A02234" w:rsidRPr="00A02234">
        <w:rPr>
          <w:color w:val="000000"/>
          <w:sz w:val="22"/>
          <w:szCs w:val="22"/>
        </w:rPr>
        <w:t>tvrzeny ze strany Prodávajícího</w:t>
      </w:r>
      <w:r w:rsidRPr="00A02234">
        <w:rPr>
          <w:color w:val="000000"/>
          <w:sz w:val="22"/>
          <w:szCs w:val="22"/>
        </w:rPr>
        <w:t xml:space="preserve">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lastRenderedPageBreak/>
        <w:t>Prodávající je povinen provést akceptaci</w:t>
      </w:r>
      <w:r w:rsidR="00EB5143" w:rsidRPr="00A02234">
        <w:rPr>
          <w:color w:val="000000"/>
          <w:sz w:val="22"/>
          <w:szCs w:val="22"/>
        </w:rPr>
        <w:t xml:space="preserve"> (potvrzení)</w:t>
      </w:r>
      <w:r w:rsidRPr="00A02234">
        <w:rPr>
          <w:color w:val="000000"/>
          <w:sz w:val="22"/>
          <w:szCs w:val="22"/>
        </w:rPr>
        <w:t xml:space="preserve"> objednávky </w:t>
      </w:r>
      <w:r w:rsidR="007849D2" w:rsidRPr="007849D2">
        <w:rPr>
          <w:color w:val="000000"/>
          <w:sz w:val="22"/>
          <w:szCs w:val="22"/>
        </w:rPr>
        <w:t>nejpozději do 2 pracovních dnů od jejího obdržení</w:t>
      </w:r>
      <w:r w:rsidRPr="00A02234">
        <w:rPr>
          <w:color w:val="000000"/>
          <w:sz w:val="22"/>
          <w:szCs w:val="22"/>
        </w:rPr>
        <w:t xml:space="preserve">. </w:t>
      </w:r>
      <w:r w:rsidR="00EB5143" w:rsidRPr="00A02234">
        <w:rPr>
          <w:color w:val="000000"/>
          <w:sz w:val="22"/>
          <w:szCs w:val="22"/>
        </w:rPr>
        <w:t>Potvrzení objednávky musí obsahovat podrobný rozpis jednotlivých položek</w:t>
      </w:r>
      <w:r w:rsidR="00EB5143">
        <w:rPr>
          <w:color w:val="000000"/>
          <w:sz w:val="22"/>
          <w:szCs w:val="22"/>
        </w:rPr>
        <w:t xml:space="preserve"> objednaného zboží včetně objednaného množství a dále termín dodání zboží. </w:t>
      </w:r>
      <w:r>
        <w:rPr>
          <w:color w:val="000000"/>
          <w:sz w:val="22"/>
          <w:szCs w:val="22"/>
        </w:rPr>
        <w:t>Prodávající</w:t>
      </w:r>
      <w:r w:rsidRPr="005F7EDD">
        <w:rPr>
          <w:color w:val="000000"/>
          <w:sz w:val="22"/>
          <w:szCs w:val="22"/>
        </w:rPr>
        <w:t xml:space="preserve"> není oprávněn po dobu trvání této </w:t>
      </w:r>
      <w:r>
        <w:rPr>
          <w:color w:val="000000"/>
          <w:sz w:val="22"/>
          <w:szCs w:val="22"/>
        </w:rPr>
        <w:t>smlouvy</w:t>
      </w:r>
      <w:r w:rsidRPr="005F7EDD">
        <w:rPr>
          <w:color w:val="000000"/>
          <w:sz w:val="22"/>
          <w:szCs w:val="22"/>
        </w:rPr>
        <w:t xml:space="preserve"> odmítnout </w:t>
      </w:r>
      <w:r>
        <w:rPr>
          <w:color w:val="000000"/>
          <w:sz w:val="22"/>
          <w:szCs w:val="22"/>
        </w:rPr>
        <w:t>akceptaci</w:t>
      </w:r>
      <w:r w:rsidRPr="005F7EDD">
        <w:rPr>
          <w:color w:val="000000"/>
          <w:sz w:val="22"/>
          <w:szCs w:val="22"/>
        </w:rPr>
        <w:t xml:space="preserve"> objednáv</w:t>
      </w:r>
      <w:r>
        <w:rPr>
          <w:color w:val="000000"/>
          <w:sz w:val="22"/>
          <w:szCs w:val="22"/>
        </w:rPr>
        <w:t>ky Kupujícího.</w:t>
      </w:r>
      <w:r w:rsidR="00EB5143">
        <w:rPr>
          <w:color w:val="000000"/>
          <w:sz w:val="22"/>
          <w:szCs w:val="22"/>
        </w:rPr>
        <w:t xml:space="preserve"> Není-li Prodávající schopen objednané zboží nebo jeho část dodat v objednaném termínu, je povinen tuto skutečnost </w:t>
      </w:r>
      <w:r w:rsidR="0087426C">
        <w:rPr>
          <w:color w:val="000000"/>
          <w:sz w:val="22"/>
          <w:szCs w:val="22"/>
        </w:rPr>
        <w:t>v potvrzení objednávky uvést</w:t>
      </w:r>
      <w:r w:rsidR="00EB5143">
        <w:rPr>
          <w:color w:val="000000"/>
          <w:sz w:val="22"/>
          <w:szCs w:val="22"/>
        </w:rPr>
        <w:t xml:space="preserve">, včetně uvedení konkrétního zboží a množství, které nebude dodáno.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F7EDD">
        <w:rPr>
          <w:color w:val="000000"/>
          <w:sz w:val="22"/>
          <w:szCs w:val="22"/>
        </w:rPr>
        <w:t xml:space="preserve">Tato </w:t>
      </w:r>
      <w:r>
        <w:rPr>
          <w:color w:val="000000"/>
          <w:sz w:val="22"/>
          <w:szCs w:val="22"/>
        </w:rPr>
        <w:t>smlouva</w:t>
      </w:r>
      <w:r w:rsidRPr="005F7EDD">
        <w:rPr>
          <w:color w:val="000000"/>
          <w:sz w:val="22"/>
          <w:szCs w:val="22"/>
        </w:rPr>
        <w:t xml:space="preserve"> nezavazuje </w:t>
      </w:r>
      <w:r>
        <w:rPr>
          <w:color w:val="000000"/>
          <w:sz w:val="22"/>
          <w:szCs w:val="22"/>
        </w:rPr>
        <w:t>Kupujícího</w:t>
      </w:r>
      <w:r w:rsidRPr="005F7EDD">
        <w:rPr>
          <w:color w:val="000000"/>
          <w:sz w:val="22"/>
          <w:szCs w:val="22"/>
        </w:rPr>
        <w:t xml:space="preserve"> k učinění objednávek i jen minimálního množství </w:t>
      </w:r>
      <w:r>
        <w:rPr>
          <w:color w:val="000000"/>
          <w:sz w:val="22"/>
          <w:szCs w:val="22"/>
        </w:rPr>
        <w:t>plnění dle této smlouvy.</w:t>
      </w:r>
      <w:r w:rsidR="00283EFD">
        <w:rPr>
          <w:color w:val="000000"/>
          <w:sz w:val="22"/>
          <w:szCs w:val="22"/>
        </w:rPr>
        <w:t xml:space="preserve"> </w:t>
      </w:r>
      <w:r w:rsidR="00E450FA">
        <w:rPr>
          <w:color w:val="000000"/>
          <w:sz w:val="22"/>
          <w:szCs w:val="22"/>
        </w:rPr>
        <w:t>Z</w:t>
      </w:r>
      <w:r w:rsidR="00E450FA" w:rsidRPr="00E450FA">
        <w:rPr>
          <w:color w:val="000000"/>
          <w:sz w:val="22"/>
          <w:szCs w:val="22"/>
        </w:rPr>
        <w:t>e strany Prodávajícího není možno uplatnit sankce za nižší či vyšší odběr zboží</w:t>
      </w:r>
      <w:r w:rsidR="00E450FA">
        <w:rPr>
          <w:color w:val="000000"/>
          <w:sz w:val="22"/>
          <w:szCs w:val="22"/>
        </w:rPr>
        <w:t>.</w:t>
      </w:r>
    </w:p>
    <w:p w:rsidR="006B10E3" w:rsidRDefault="007849D2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7849D2">
        <w:rPr>
          <w:color w:val="000000"/>
          <w:sz w:val="22"/>
          <w:szCs w:val="22"/>
        </w:rPr>
        <w:t>Ustanovení této rámcové smlouvy mají vždy aplikační přednost před podmínkami uvedenými v dílčí objednávce. Odchylná ujednání v dílčí objednávce jsou platná pouze tehdy, pokud výslovně odkazují na ustanovení této smlouvy, od kterého se odchylují, a pokud taková odchylka není v rozporu se zákonem č. 134/2016 Sb</w:t>
      </w:r>
      <w:r w:rsidR="00186919">
        <w:rPr>
          <w:color w:val="000000"/>
          <w:sz w:val="22"/>
          <w:szCs w:val="22"/>
        </w:rPr>
        <w:t>.</w:t>
      </w:r>
    </w:p>
    <w:p w:rsidR="006C464F" w:rsidRDefault="006C464F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6C464F">
        <w:rPr>
          <w:color w:val="000000"/>
          <w:sz w:val="22"/>
          <w:szCs w:val="22"/>
        </w:rPr>
        <w:t xml:space="preserve">Prodávající </w:t>
      </w:r>
      <w:r w:rsidR="00E450FA" w:rsidRPr="00E450FA">
        <w:rPr>
          <w:color w:val="000000"/>
          <w:sz w:val="22"/>
          <w:szCs w:val="22"/>
        </w:rPr>
        <w:t>prohlašuje a garantuje, že veškeré zboží dodávané na základě této smlouvy bude svými vlastnostmi, technickými parametry a kvalitou plně odpovídat vzorkům a produktovým listům, které Prodávající předložil Kupujícímu v rámci zadávacího řízení veřejné zakázky č. 014/2026/ZMR za účelem prokázání technické kvalifikace a hodnocení kvality</w:t>
      </w:r>
      <w:r w:rsidR="00916938" w:rsidRPr="00916938">
        <w:rPr>
          <w:color w:val="000000"/>
          <w:sz w:val="22"/>
          <w:szCs w:val="22"/>
        </w:rPr>
        <w:t>.</w:t>
      </w:r>
    </w:p>
    <w:p w:rsidR="00E450FA" w:rsidRPr="006B10E3" w:rsidRDefault="00E450FA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E450FA">
        <w:rPr>
          <w:color w:val="000000"/>
          <w:sz w:val="22"/>
          <w:szCs w:val="22"/>
        </w:rPr>
        <w:t>Jakákoliv odchylka dodaného zboží od vlastností otestovaných vzorků či parametrů uvedených v produktových listech bude považována za podstatné porušení smlouvy ze strany Prodávajícího.</w:t>
      </w:r>
    </w:p>
    <w:p w:rsidR="00C80D5E" w:rsidRPr="003207A3" w:rsidRDefault="00C80D5E" w:rsidP="00CC33C0">
      <w:pPr>
        <w:pStyle w:val="Odstavecseseznamem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Default="00AC2189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Vlastnosti a d</w:t>
      </w:r>
      <w:r w:rsidR="00D85AEC">
        <w:rPr>
          <w:b/>
          <w:sz w:val="22"/>
          <w:szCs w:val="22"/>
        </w:rPr>
        <w:t>odávka zboží</w:t>
      </w:r>
    </w:p>
    <w:p w:rsidR="00231010" w:rsidRPr="003207A3" w:rsidRDefault="00231010" w:rsidP="00CC33C0">
      <w:pPr>
        <w:spacing w:before="60"/>
        <w:jc w:val="center"/>
        <w:rPr>
          <w:b/>
          <w:sz w:val="22"/>
          <w:szCs w:val="22"/>
        </w:rPr>
      </w:pPr>
    </w:p>
    <w:p w:rsidR="00212D72" w:rsidRDefault="00212D72" w:rsidP="00BD7C38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12D72">
        <w:rPr>
          <w:color w:val="000000"/>
          <w:sz w:val="22"/>
          <w:szCs w:val="22"/>
        </w:rPr>
        <w:t xml:space="preserve">Prodávající </w:t>
      </w:r>
      <w:r>
        <w:rPr>
          <w:color w:val="000000"/>
          <w:sz w:val="22"/>
          <w:szCs w:val="22"/>
        </w:rPr>
        <w:t xml:space="preserve">se zavazuje dodat Kupujícímu </w:t>
      </w:r>
      <w:r w:rsidRPr="00212D72">
        <w:rPr>
          <w:color w:val="000000"/>
          <w:sz w:val="22"/>
          <w:szCs w:val="22"/>
        </w:rPr>
        <w:t xml:space="preserve">zboží nové, </w:t>
      </w:r>
      <w:r w:rsidR="00CC4335">
        <w:rPr>
          <w:color w:val="000000"/>
          <w:sz w:val="22"/>
          <w:szCs w:val="22"/>
        </w:rPr>
        <w:t>v originálním obalu, v požadované kvalitě</w:t>
      </w:r>
      <w:r w:rsidR="00A3354C">
        <w:rPr>
          <w:color w:val="000000"/>
          <w:sz w:val="22"/>
          <w:szCs w:val="22"/>
        </w:rPr>
        <w:t xml:space="preserve"> a</w:t>
      </w:r>
      <w:r w:rsidR="00BC7E8C">
        <w:rPr>
          <w:color w:val="000000"/>
          <w:sz w:val="22"/>
          <w:szCs w:val="22"/>
        </w:rPr>
        <w:t> </w:t>
      </w:r>
      <w:r w:rsidR="00A3354C">
        <w:rPr>
          <w:color w:val="000000"/>
          <w:sz w:val="22"/>
          <w:szCs w:val="22"/>
        </w:rPr>
        <w:t>v požadovaném množství</w:t>
      </w:r>
      <w:r w:rsidR="00CC4335">
        <w:rPr>
          <w:color w:val="000000"/>
          <w:sz w:val="22"/>
          <w:szCs w:val="22"/>
        </w:rPr>
        <w:t xml:space="preserve">, </w:t>
      </w:r>
      <w:r w:rsidRPr="00212D72">
        <w:rPr>
          <w:color w:val="000000"/>
          <w:sz w:val="22"/>
          <w:szCs w:val="22"/>
        </w:rPr>
        <w:t>bez vad faktických i právních</w:t>
      </w:r>
      <w:r>
        <w:rPr>
          <w:color w:val="000000"/>
          <w:sz w:val="22"/>
          <w:szCs w:val="22"/>
        </w:rPr>
        <w:t>.</w:t>
      </w:r>
    </w:p>
    <w:p w:rsidR="009E0AC0" w:rsidRPr="00A02234" w:rsidRDefault="009E0AC0" w:rsidP="009E0AC0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BC7E8C">
        <w:rPr>
          <w:color w:val="000000"/>
          <w:sz w:val="22"/>
          <w:szCs w:val="22"/>
        </w:rPr>
        <w:t>Dodané zboží musí vždy vyhovět podmínkám popsaným v této smlouvě a v přílo</w:t>
      </w:r>
      <w:r w:rsidR="00A02234" w:rsidRPr="00BC7E8C">
        <w:rPr>
          <w:color w:val="000000"/>
          <w:sz w:val="22"/>
          <w:szCs w:val="22"/>
        </w:rPr>
        <w:t xml:space="preserve">ze č. </w:t>
      </w:r>
      <w:r w:rsidR="00610076">
        <w:rPr>
          <w:color w:val="000000"/>
          <w:sz w:val="22"/>
          <w:szCs w:val="22"/>
        </w:rPr>
        <w:t>1</w:t>
      </w:r>
      <w:r w:rsidRPr="00BC7E8C">
        <w:rPr>
          <w:color w:val="000000"/>
          <w:sz w:val="22"/>
          <w:szCs w:val="22"/>
        </w:rPr>
        <w:t xml:space="preserve"> této smlouvy</w:t>
      </w:r>
      <w:r w:rsidR="00A20CF1">
        <w:rPr>
          <w:color w:val="000000"/>
          <w:sz w:val="22"/>
          <w:szCs w:val="22"/>
        </w:rPr>
        <w:t xml:space="preserve"> a musí </w:t>
      </w:r>
      <w:r w:rsidR="00860305">
        <w:rPr>
          <w:color w:val="000000"/>
          <w:sz w:val="22"/>
          <w:szCs w:val="22"/>
        </w:rPr>
        <w:t>být v souladu</w:t>
      </w:r>
      <w:r w:rsidR="00A20CF1" w:rsidRPr="00A20CF1">
        <w:rPr>
          <w:color w:val="000000"/>
          <w:sz w:val="22"/>
          <w:szCs w:val="22"/>
        </w:rPr>
        <w:t xml:space="preserve"> </w:t>
      </w:r>
      <w:r w:rsidR="00860305" w:rsidRPr="00860305">
        <w:rPr>
          <w:color w:val="000000"/>
          <w:sz w:val="22"/>
          <w:szCs w:val="22"/>
        </w:rPr>
        <w:t xml:space="preserve">českými </w:t>
      </w:r>
      <w:r w:rsidR="00860305">
        <w:rPr>
          <w:color w:val="000000"/>
          <w:sz w:val="22"/>
          <w:szCs w:val="22"/>
        </w:rPr>
        <w:t>právními</w:t>
      </w:r>
      <w:r w:rsidR="00860305" w:rsidRPr="00860305">
        <w:rPr>
          <w:color w:val="000000"/>
          <w:sz w:val="22"/>
          <w:szCs w:val="22"/>
        </w:rPr>
        <w:t xml:space="preserve"> předpisy a harmonizovanými evropskými normami, pokud takové normy existují. Pokud takové normy neexistují, je třeba použít ustanovení českých norem</w:t>
      </w:r>
      <w:r w:rsidR="00860305">
        <w:rPr>
          <w:color w:val="000000"/>
          <w:sz w:val="22"/>
          <w:szCs w:val="22"/>
        </w:rPr>
        <w:t xml:space="preserve"> </w:t>
      </w:r>
      <w:r w:rsidR="00860305" w:rsidRPr="00860305">
        <w:rPr>
          <w:color w:val="000000"/>
          <w:sz w:val="22"/>
          <w:szCs w:val="22"/>
        </w:rPr>
        <w:t>uplatňovaných běžně v odborné praxi</w:t>
      </w:r>
      <w:r w:rsidRPr="00BC7E8C">
        <w:rPr>
          <w:color w:val="000000"/>
          <w:sz w:val="22"/>
          <w:szCs w:val="22"/>
        </w:rPr>
        <w:t>.</w:t>
      </w:r>
      <w:r w:rsidRPr="00A02234">
        <w:rPr>
          <w:color w:val="000000"/>
          <w:sz w:val="22"/>
          <w:szCs w:val="22"/>
        </w:rPr>
        <w:t xml:space="preserve"> Zjistí-li Kupující nesoulad s některou z uvedených podmínek až po převzetí zboží, bude postupováno podle čl. VI. této smlouvy. </w:t>
      </w:r>
    </w:p>
    <w:p w:rsidR="00AC2189" w:rsidRDefault="00AC2189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Prodávající se zavazuje zboží na vlastní náklady dopravit do místa plnění. </w:t>
      </w:r>
      <w:r w:rsidRPr="00A3354C">
        <w:rPr>
          <w:color w:val="000000"/>
          <w:sz w:val="22"/>
          <w:szCs w:val="22"/>
        </w:rPr>
        <w:t xml:space="preserve">Prodávající je povinen </w:t>
      </w:r>
      <w:r>
        <w:rPr>
          <w:color w:val="000000"/>
          <w:sz w:val="22"/>
          <w:szCs w:val="22"/>
        </w:rPr>
        <w:t>z</w:t>
      </w:r>
      <w:r w:rsidRPr="00A3354C">
        <w:rPr>
          <w:color w:val="000000"/>
          <w:sz w:val="22"/>
          <w:szCs w:val="22"/>
        </w:rPr>
        <w:t>boží zabalit nebo opatřit pro přepravu způsobem, který vy</w:t>
      </w:r>
      <w:r>
        <w:rPr>
          <w:color w:val="000000"/>
          <w:sz w:val="22"/>
          <w:szCs w:val="22"/>
        </w:rPr>
        <w:t>plývá z příslušné právní úpravy.</w:t>
      </w:r>
    </w:p>
    <w:p w:rsidR="00F95A88" w:rsidRPr="00F95A88" w:rsidRDefault="00A97522" w:rsidP="001B021C">
      <w:pPr>
        <w:pStyle w:val="Odstavecseseznamem"/>
        <w:numPr>
          <w:ilvl w:val="0"/>
          <w:numId w:val="12"/>
        </w:numPr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F95A88" w:rsidRPr="00F95A88">
        <w:rPr>
          <w:sz w:val="22"/>
          <w:szCs w:val="22"/>
        </w:rPr>
        <w:t xml:space="preserve"> je povinen zajistit </w:t>
      </w:r>
      <w:r>
        <w:rPr>
          <w:sz w:val="22"/>
          <w:szCs w:val="22"/>
        </w:rPr>
        <w:t>Prodávajícímu</w:t>
      </w:r>
      <w:r w:rsidR="00F95A88" w:rsidRPr="00F95A88">
        <w:rPr>
          <w:sz w:val="22"/>
          <w:szCs w:val="22"/>
        </w:rPr>
        <w:t xml:space="preserve"> veškerou součinnost nezbytnou pro řádné </w:t>
      </w:r>
      <w:r w:rsidR="00A07E1B">
        <w:rPr>
          <w:sz w:val="22"/>
          <w:szCs w:val="22"/>
        </w:rPr>
        <w:t>dodání zboží Prodávajícím</w:t>
      </w:r>
      <w:r w:rsidR="00F95A88" w:rsidRPr="00F95A88">
        <w:rPr>
          <w:sz w:val="22"/>
          <w:szCs w:val="22"/>
        </w:rPr>
        <w:t>.</w:t>
      </w:r>
    </w:p>
    <w:p w:rsidR="00961AE8" w:rsidRPr="00906E50" w:rsidRDefault="00231010" w:rsidP="00BD7C38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F95A88">
        <w:rPr>
          <w:color w:val="000000"/>
          <w:sz w:val="22"/>
          <w:szCs w:val="22"/>
        </w:rPr>
        <w:t xml:space="preserve">Předání </w:t>
      </w:r>
      <w:r w:rsidR="00D72FAC" w:rsidRPr="00F95A88">
        <w:rPr>
          <w:color w:val="000000"/>
          <w:sz w:val="22"/>
          <w:szCs w:val="22"/>
        </w:rPr>
        <w:t xml:space="preserve">a převzetí </w:t>
      </w:r>
      <w:r w:rsidR="009841BC" w:rsidRPr="00F95A88">
        <w:rPr>
          <w:color w:val="000000"/>
          <w:sz w:val="22"/>
          <w:szCs w:val="22"/>
        </w:rPr>
        <w:t>zboží</w:t>
      </w:r>
      <w:r w:rsidRPr="00F95A88">
        <w:rPr>
          <w:color w:val="000000"/>
          <w:sz w:val="22"/>
          <w:szCs w:val="22"/>
        </w:rPr>
        <w:t xml:space="preserve"> bude potvrzeno </w:t>
      </w:r>
      <w:r w:rsidR="00283EFD">
        <w:rPr>
          <w:color w:val="000000"/>
          <w:sz w:val="22"/>
          <w:szCs w:val="22"/>
        </w:rPr>
        <w:t xml:space="preserve">podpisem oprávněných zástupců obou smluvních stran </w:t>
      </w:r>
      <w:r w:rsidRPr="00F95A88">
        <w:rPr>
          <w:color w:val="000000"/>
          <w:sz w:val="22"/>
          <w:szCs w:val="22"/>
        </w:rPr>
        <w:t>v</w:t>
      </w:r>
      <w:r w:rsidR="00410BE3" w:rsidRPr="00F95A88">
        <w:rPr>
          <w:color w:val="000000"/>
          <w:sz w:val="22"/>
          <w:szCs w:val="22"/>
        </w:rPr>
        <w:t> </w:t>
      </w:r>
      <w:r w:rsidR="00A07E1B">
        <w:rPr>
          <w:color w:val="000000"/>
          <w:sz w:val="22"/>
          <w:szCs w:val="22"/>
        </w:rPr>
        <w:t>dodacím</w:t>
      </w:r>
      <w:r w:rsidR="009841BC">
        <w:rPr>
          <w:color w:val="000000"/>
          <w:sz w:val="22"/>
          <w:szCs w:val="22"/>
        </w:rPr>
        <w:t xml:space="preserve"> listu</w:t>
      </w:r>
      <w:r w:rsidR="00283EFD">
        <w:rPr>
          <w:color w:val="000000"/>
          <w:sz w:val="22"/>
          <w:szCs w:val="22"/>
        </w:rPr>
        <w:t>, s uvedením data a času dodání</w:t>
      </w:r>
      <w:r w:rsidR="00C15044">
        <w:rPr>
          <w:color w:val="000000"/>
          <w:sz w:val="22"/>
          <w:szCs w:val="22"/>
        </w:rPr>
        <w:t>.</w:t>
      </w:r>
      <w:r w:rsidR="009841BC">
        <w:rPr>
          <w:color w:val="000000"/>
          <w:sz w:val="22"/>
          <w:szCs w:val="22"/>
        </w:rPr>
        <w:t xml:space="preserve"> </w:t>
      </w:r>
      <w:r w:rsidR="000D5E71">
        <w:rPr>
          <w:color w:val="000000"/>
          <w:sz w:val="22"/>
          <w:szCs w:val="22"/>
        </w:rPr>
        <w:t>Kupující není povinen převzít</w:t>
      </w:r>
      <w:r w:rsidR="00283EFD">
        <w:rPr>
          <w:color w:val="000000"/>
          <w:sz w:val="22"/>
          <w:szCs w:val="22"/>
        </w:rPr>
        <w:t xml:space="preserve"> zboží </w:t>
      </w:r>
      <w:r w:rsidR="000D5E71">
        <w:rPr>
          <w:color w:val="000000"/>
          <w:sz w:val="22"/>
          <w:szCs w:val="22"/>
        </w:rPr>
        <w:t xml:space="preserve">či jeho část, které bude </w:t>
      </w:r>
      <w:r w:rsidR="00283EFD">
        <w:rPr>
          <w:color w:val="000000"/>
          <w:sz w:val="22"/>
          <w:szCs w:val="22"/>
        </w:rPr>
        <w:t>vykazovat vady</w:t>
      </w:r>
      <w:r w:rsidR="000D5E71">
        <w:rPr>
          <w:color w:val="000000"/>
          <w:sz w:val="22"/>
          <w:szCs w:val="22"/>
        </w:rPr>
        <w:t>.</w:t>
      </w:r>
      <w:r w:rsidR="00283EFD">
        <w:rPr>
          <w:color w:val="000000"/>
          <w:sz w:val="22"/>
          <w:szCs w:val="22"/>
        </w:rPr>
        <w:t xml:space="preserve"> </w:t>
      </w:r>
      <w:r w:rsidR="000D5E71">
        <w:rPr>
          <w:color w:val="000000"/>
          <w:sz w:val="22"/>
          <w:szCs w:val="22"/>
        </w:rPr>
        <w:t xml:space="preserve">Případně nepřevzetí části zboží </w:t>
      </w:r>
      <w:r w:rsidR="00283EFD">
        <w:rPr>
          <w:color w:val="000000"/>
          <w:sz w:val="22"/>
          <w:szCs w:val="22"/>
        </w:rPr>
        <w:t xml:space="preserve">bude </w:t>
      </w:r>
      <w:r w:rsidR="000D5E71">
        <w:rPr>
          <w:color w:val="000000"/>
          <w:sz w:val="22"/>
          <w:szCs w:val="22"/>
        </w:rPr>
        <w:t xml:space="preserve">zaznamenáno </w:t>
      </w:r>
      <w:r w:rsidR="00283EFD">
        <w:rPr>
          <w:color w:val="000000"/>
          <w:sz w:val="22"/>
          <w:szCs w:val="22"/>
        </w:rPr>
        <w:t xml:space="preserve">v dodacím listu. </w:t>
      </w:r>
      <w:r w:rsidR="00283EFD" w:rsidRPr="00283EFD">
        <w:rPr>
          <w:color w:val="000000"/>
          <w:sz w:val="22"/>
          <w:szCs w:val="22"/>
        </w:rPr>
        <w:t xml:space="preserve">Dodací list </w:t>
      </w:r>
      <w:r w:rsidR="00283EFD">
        <w:rPr>
          <w:color w:val="000000"/>
          <w:sz w:val="22"/>
          <w:szCs w:val="22"/>
        </w:rPr>
        <w:t xml:space="preserve">bude </w:t>
      </w:r>
      <w:r w:rsidR="00283EFD" w:rsidRPr="00283EFD">
        <w:rPr>
          <w:color w:val="000000"/>
          <w:sz w:val="22"/>
          <w:szCs w:val="22"/>
        </w:rPr>
        <w:t>obsah</w:t>
      </w:r>
      <w:r w:rsidR="00283EFD">
        <w:rPr>
          <w:color w:val="000000"/>
          <w:sz w:val="22"/>
          <w:szCs w:val="22"/>
        </w:rPr>
        <w:t>ovat</w:t>
      </w:r>
      <w:r w:rsidR="00283EFD" w:rsidRPr="00283EFD">
        <w:rPr>
          <w:color w:val="000000"/>
          <w:sz w:val="22"/>
          <w:szCs w:val="22"/>
        </w:rPr>
        <w:t xml:space="preserve"> číslo </w:t>
      </w:r>
      <w:r w:rsidR="00283EFD">
        <w:rPr>
          <w:color w:val="000000"/>
          <w:sz w:val="22"/>
          <w:szCs w:val="22"/>
        </w:rPr>
        <w:t>dílčí o</w:t>
      </w:r>
      <w:r w:rsidR="00283EFD" w:rsidRPr="00283EFD">
        <w:rPr>
          <w:color w:val="000000"/>
          <w:sz w:val="22"/>
          <w:szCs w:val="22"/>
        </w:rPr>
        <w:t xml:space="preserve">bjednávky, specifikaci </w:t>
      </w:r>
      <w:r w:rsidR="00283EFD">
        <w:rPr>
          <w:color w:val="000000"/>
          <w:sz w:val="22"/>
          <w:szCs w:val="22"/>
        </w:rPr>
        <w:t>z</w:t>
      </w:r>
      <w:r w:rsidR="00283EFD" w:rsidRPr="00283EFD">
        <w:rPr>
          <w:color w:val="000000"/>
          <w:sz w:val="22"/>
          <w:szCs w:val="22"/>
        </w:rPr>
        <w:t xml:space="preserve">boží, dále pak uvedení </w:t>
      </w:r>
      <w:r w:rsidR="00283EFD" w:rsidRPr="00906E50">
        <w:rPr>
          <w:color w:val="000000"/>
          <w:sz w:val="22"/>
          <w:szCs w:val="22"/>
        </w:rPr>
        <w:t>jednotkové ceny za jednotku bez DPH, celkové ceny bez DPH a výši DPH.</w:t>
      </w:r>
    </w:p>
    <w:p w:rsidR="00283EFD" w:rsidRPr="00906E50" w:rsidRDefault="00283EFD" w:rsidP="001B021C">
      <w:pPr>
        <w:pStyle w:val="Odstavecseseznamem"/>
        <w:numPr>
          <w:ilvl w:val="0"/>
          <w:numId w:val="12"/>
        </w:numPr>
        <w:spacing w:before="60"/>
        <w:ind w:left="426"/>
        <w:jc w:val="both"/>
        <w:rPr>
          <w:sz w:val="22"/>
          <w:szCs w:val="22"/>
        </w:rPr>
      </w:pPr>
      <w:r w:rsidRPr="00906E50">
        <w:rPr>
          <w:sz w:val="22"/>
          <w:szCs w:val="22"/>
        </w:rPr>
        <w:t xml:space="preserve">Osobou </w:t>
      </w:r>
      <w:r w:rsidR="007849D2" w:rsidRPr="007849D2">
        <w:rPr>
          <w:sz w:val="22"/>
          <w:szCs w:val="22"/>
        </w:rPr>
        <w:t>oprávněnou k převzetí zboží a potvrzení dodacího listu je osoba uvedená v dílčí objednávce, případně pracovník skladu Kupujícího ve službě v místě plnění</w:t>
      </w:r>
      <w:r w:rsidRPr="00906E50">
        <w:rPr>
          <w:sz w:val="22"/>
          <w:szCs w:val="22"/>
        </w:rPr>
        <w:t>, nesdělí-li Kupující Prodávajícímu písemně (stačí forma emailu) jinak.</w:t>
      </w:r>
    </w:p>
    <w:p w:rsidR="001B6042" w:rsidRDefault="001B6042" w:rsidP="00BD7C38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06E50">
        <w:rPr>
          <w:iCs/>
          <w:sz w:val="22"/>
          <w:szCs w:val="22"/>
        </w:rPr>
        <w:t>Obaly a odpady vzniklé při plnění předmětu této smlouvy jsou majetkem Prodávajícího, který je</w:t>
      </w:r>
      <w:r>
        <w:rPr>
          <w:iCs/>
          <w:sz w:val="22"/>
          <w:szCs w:val="22"/>
        </w:rPr>
        <w:t xml:space="preserve"> jejich původcem a je povinen je zlikvidovat na své náklady </w:t>
      </w:r>
      <w:r w:rsidR="00A20CF1" w:rsidRPr="00A20CF1">
        <w:rPr>
          <w:iCs/>
          <w:sz w:val="22"/>
          <w:szCs w:val="22"/>
        </w:rPr>
        <w:t>s platnými právními předpisy o odpadech a obalech</w:t>
      </w:r>
      <w:r w:rsidR="006C464F">
        <w:rPr>
          <w:iCs/>
          <w:sz w:val="22"/>
          <w:szCs w:val="22"/>
        </w:rPr>
        <w:t>, ledaže se smluvní strany dohodnou jinak.</w:t>
      </w:r>
    </w:p>
    <w:p w:rsidR="00231010" w:rsidRDefault="00231010" w:rsidP="00CC33C0">
      <w:pPr>
        <w:spacing w:before="60"/>
        <w:ind w:left="1080"/>
        <w:rPr>
          <w:b/>
          <w:sz w:val="22"/>
          <w:szCs w:val="22"/>
        </w:rPr>
      </w:pPr>
    </w:p>
    <w:p w:rsidR="00742F54" w:rsidRPr="00887157" w:rsidRDefault="0088715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a místo plnění</w:t>
      </w:r>
    </w:p>
    <w:p w:rsidR="00BE349C" w:rsidRPr="00887157" w:rsidRDefault="00BE349C" w:rsidP="00CC33C0">
      <w:pPr>
        <w:spacing w:before="60"/>
        <w:jc w:val="center"/>
        <w:rPr>
          <w:b/>
          <w:sz w:val="22"/>
          <w:szCs w:val="22"/>
        </w:rPr>
      </w:pPr>
    </w:p>
    <w:p w:rsidR="00524534" w:rsidRPr="00EF271C" w:rsidRDefault="00B82F2B" w:rsidP="00EF271C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</w:t>
      </w:r>
      <w:r w:rsidR="00CF56D5">
        <w:rPr>
          <w:sz w:val="22"/>
          <w:szCs w:val="22"/>
        </w:rPr>
        <w:t xml:space="preserve">vající </w:t>
      </w:r>
      <w:r w:rsidR="00860305" w:rsidRPr="00860305">
        <w:rPr>
          <w:sz w:val="22"/>
          <w:szCs w:val="22"/>
        </w:rPr>
        <w:t>se zavazuje zboží dodávat dle aktuálních potřeb Kupujícího průběžně po dobu 36 měsíců od nabytí účinnosti této smlouvy, a to na základě dílčích objednávek Kupujícího</w:t>
      </w:r>
      <w:r w:rsidR="006B10E3" w:rsidRPr="005D4D9E">
        <w:rPr>
          <w:color w:val="000000"/>
          <w:sz w:val="22"/>
          <w:szCs w:val="22"/>
        </w:rPr>
        <w:t>.</w:t>
      </w:r>
    </w:p>
    <w:p w:rsidR="00EF271C" w:rsidRPr="00CD2056" w:rsidRDefault="00EF271C" w:rsidP="00EF271C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CD2056">
        <w:rPr>
          <w:color w:val="000000"/>
          <w:sz w:val="22"/>
          <w:szCs w:val="22"/>
        </w:rPr>
        <w:t xml:space="preserve">Prodávající se zavazuje dodat Kupujícímu </w:t>
      </w:r>
      <w:r w:rsidR="00F22A1D" w:rsidRPr="00CD2056">
        <w:rPr>
          <w:color w:val="000000"/>
          <w:sz w:val="22"/>
          <w:szCs w:val="22"/>
        </w:rPr>
        <w:t xml:space="preserve">objednané </w:t>
      </w:r>
      <w:r w:rsidRPr="00A02234">
        <w:rPr>
          <w:color w:val="000000"/>
          <w:sz w:val="22"/>
          <w:szCs w:val="22"/>
        </w:rPr>
        <w:t xml:space="preserve">zboží </w:t>
      </w:r>
      <w:r w:rsidR="00CD2056" w:rsidRPr="00A02234">
        <w:rPr>
          <w:color w:val="000000"/>
          <w:sz w:val="22"/>
          <w:szCs w:val="22"/>
        </w:rPr>
        <w:t xml:space="preserve">do </w:t>
      </w:r>
      <w:r w:rsidR="00F33C74">
        <w:rPr>
          <w:color w:val="000000"/>
          <w:sz w:val="22"/>
          <w:szCs w:val="22"/>
        </w:rPr>
        <w:t>10</w:t>
      </w:r>
      <w:r w:rsidR="00CD2056" w:rsidRPr="00A02234">
        <w:rPr>
          <w:color w:val="000000"/>
          <w:sz w:val="22"/>
          <w:szCs w:val="22"/>
        </w:rPr>
        <w:t xml:space="preserve"> pracovní</w:t>
      </w:r>
      <w:r w:rsidR="00F22A1D" w:rsidRPr="00A02234">
        <w:rPr>
          <w:color w:val="000000"/>
          <w:sz w:val="22"/>
          <w:szCs w:val="22"/>
        </w:rPr>
        <w:t>ch</w:t>
      </w:r>
      <w:r w:rsidR="00CD2056" w:rsidRPr="00A02234">
        <w:rPr>
          <w:color w:val="000000"/>
          <w:sz w:val="22"/>
          <w:szCs w:val="22"/>
        </w:rPr>
        <w:t xml:space="preserve"> dn</w:t>
      </w:r>
      <w:r w:rsidR="00F22A1D" w:rsidRPr="00A02234">
        <w:rPr>
          <w:color w:val="000000"/>
          <w:sz w:val="22"/>
          <w:szCs w:val="22"/>
        </w:rPr>
        <w:t>ů od</w:t>
      </w:r>
      <w:r w:rsidR="00F22A1D">
        <w:rPr>
          <w:color w:val="000000"/>
          <w:sz w:val="22"/>
          <w:szCs w:val="22"/>
        </w:rPr>
        <w:t xml:space="preserve"> doručení objednávky</w:t>
      </w:r>
      <w:r w:rsidR="009824B0">
        <w:rPr>
          <w:color w:val="000000"/>
          <w:sz w:val="22"/>
          <w:szCs w:val="22"/>
        </w:rPr>
        <w:t xml:space="preserve">, </w:t>
      </w:r>
      <w:r w:rsidR="009824B0" w:rsidRPr="009824B0">
        <w:rPr>
          <w:color w:val="000000"/>
          <w:sz w:val="22"/>
          <w:szCs w:val="22"/>
        </w:rPr>
        <w:t>nedohodnou-li se strany v konkrétním případě písemně jinak</w:t>
      </w:r>
      <w:r w:rsidR="00CD2056" w:rsidRPr="00CD2056">
        <w:rPr>
          <w:color w:val="000000"/>
          <w:sz w:val="22"/>
          <w:szCs w:val="22"/>
        </w:rPr>
        <w:t xml:space="preserve">. </w:t>
      </w:r>
    </w:p>
    <w:p w:rsidR="00A905CB" w:rsidRDefault="00A959B6" w:rsidP="00BD7C38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172C0B">
        <w:rPr>
          <w:sz w:val="22"/>
          <w:szCs w:val="22"/>
        </w:rPr>
        <w:lastRenderedPageBreak/>
        <w:t xml:space="preserve">V případě prodlení s termínem dodávky zboží </w:t>
      </w:r>
      <w:r w:rsidR="00524534" w:rsidRPr="00172C0B">
        <w:rPr>
          <w:sz w:val="22"/>
          <w:szCs w:val="22"/>
        </w:rPr>
        <w:t xml:space="preserve">dle předchozího odstavce </w:t>
      </w:r>
      <w:r w:rsidRPr="00172C0B">
        <w:rPr>
          <w:sz w:val="22"/>
          <w:szCs w:val="22"/>
        </w:rPr>
        <w:t xml:space="preserve">se Prodávající zavazuje uhradit Kupujícímu </w:t>
      </w:r>
      <w:r w:rsidR="00D666D5" w:rsidRPr="0087426C">
        <w:rPr>
          <w:sz w:val="22"/>
          <w:szCs w:val="22"/>
        </w:rPr>
        <w:t xml:space="preserve">smluvní </w:t>
      </w:r>
      <w:r w:rsidR="00D666D5" w:rsidRPr="00A02234">
        <w:rPr>
          <w:sz w:val="22"/>
          <w:szCs w:val="22"/>
        </w:rPr>
        <w:t xml:space="preserve">pokutu za </w:t>
      </w:r>
      <w:r w:rsidR="0026699E" w:rsidRPr="00A02234">
        <w:rPr>
          <w:sz w:val="22"/>
          <w:szCs w:val="22"/>
        </w:rPr>
        <w:t>každý den</w:t>
      </w:r>
      <w:r w:rsidR="00524534" w:rsidRPr="00A02234">
        <w:rPr>
          <w:sz w:val="22"/>
          <w:szCs w:val="22"/>
        </w:rPr>
        <w:t xml:space="preserve"> prod</w:t>
      </w:r>
      <w:r w:rsidR="002D34A7" w:rsidRPr="00A02234">
        <w:rPr>
          <w:sz w:val="22"/>
          <w:szCs w:val="22"/>
        </w:rPr>
        <w:t xml:space="preserve">lení s dodávkou zboží ve výši </w:t>
      </w:r>
      <w:r w:rsidR="006C464F">
        <w:rPr>
          <w:sz w:val="22"/>
          <w:szCs w:val="22"/>
        </w:rPr>
        <w:t>0,5</w:t>
      </w:r>
      <w:r w:rsidR="006C464F" w:rsidRPr="00A02234">
        <w:rPr>
          <w:sz w:val="22"/>
          <w:szCs w:val="22"/>
        </w:rPr>
        <w:t xml:space="preserve"> %</w:t>
      </w:r>
      <w:r w:rsidR="0087426C" w:rsidRPr="00A02234">
        <w:rPr>
          <w:sz w:val="22"/>
          <w:szCs w:val="22"/>
        </w:rPr>
        <w:t xml:space="preserve"> </w:t>
      </w:r>
      <w:r w:rsidR="001C0845" w:rsidRPr="00CD380E">
        <w:rPr>
          <w:sz w:val="22"/>
          <w:szCs w:val="22"/>
        </w:rPr>
        <w:t>z</w:t>
      </w:r>
      <w:r w:rsidR="00A905CB">
        <w:rPr>
          <w:sz w:val="22"/>
          <w:szCs w:val="22"/>
        </w:rPr>
        <w:t xml:space="preserve"> ceny </w:t>
      </w:r>
      <w:r w:rsidR="001C0845" w:rsidRPr="00CD380E">
        <w:rPr>
          <w:sz w:val="22"/>
          <w:szCs w:val="22"/>
        </w:rPr>
        <w:t xml:space="preserve">nedodaného zboží </w:t>
      </w:r>
      <w:r w:rsidR="00A905CB">
        <w:rPr>
          <w:sz w:val="22"/>
          <w:szCs w:val="22"/>
        </w:rPr>
        <w:t xml:space="preserve">včetně DPH dle </w:t>
      </w:r>
      <w:r w:rsidR="001C0845" w:rsidRPr="00CD380E">
        <w:rPr>
          <w:sz w:val="22"/>
          <w:szCs w:val="22"/>
        </w:rPr>
        <w:t>potvrzené objednávky</w:t>
      </w:r>
      <w:r w:rsidR="007849D2">
        <w:rPr>
          <w:sz w:val="22"/>
          <w:szCs w:val="22"/>
        </w:rPr>
        <w:t xml:space="preserve">, </w:t>
      </w:r>
      <w:r w:rsidR="007849D2" w:rsidRPr="007849D2">
        <w:rPr>
          <w:sz w:val="22"/>
          <w:szCs w:val="22"/>
        </w:rPr>
        <w:t>minimálně však 500 Kč za každý započatý den prodlení</w:t>
      </w:r>
      <w:r w:rsidR="0087426C" w:rsidRPr="00A02234">
        <w:rPr>
          <w:sz w:val="22"/>
          <w:szCs w:val="22"/>
        </w:rPr>
        <w:t>.</w:t>
      </w:r>
    </w:p>
    <w:p w:rsidR="00B82F2B" w:rsidRDefault="00F6181D" w:rsidP="00BD7C38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A02234">
        <w:rPr>
          <w:sz w:val="22"/>
          <w:szCs w:val="22"/>
        </w:rPr>
        <w:t>Právo Kupujíc</w:t>
      </w:r>
      <w:r w:rsidRPr="00172C0B">
        <w:rPr>
          <w:sz w:val="22"/>
          <w:szCs w:val="22"/>
        </w:rPr>
        <w:t>ího na náhradu škody převyšující smluvní pokutu není zaplacením smluvní pokuty dotčeno.</w:t>
      </w:r>
      <w:r>
        <w:rPr>
          <w:sz w:val="22"/>
          <w:szCs w:val="22"/>
        </w:rPr>
        <w:t xml:space="preserve"> </w:t>
      </w:r>
    </w:p>
    <w:p w:rsidR="00C15044" w:rsidRPr="00524534" w:rsidRDefault="00C15044" w:rsidP="00C15044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Bude-li prodlení Prodávajícího s dodávkou zboží způsobeno výhradně z důvodu neposkytnutí nezbytné součinnosti ze strany Kupujícího, prodlužuje se adekvátně tomuto prodlení termín pro dodávku zboží.</w:t>
      </w:r>
    </w:p>
    <w:p w:rsidR="00A02234" w:rsidRDefault="00A02234" w:rsidP="00D666D5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Prodávající je oprávněn dodat Kupujícímu namísto objednaného zboží jiné zboží shodné nebo vyšší kvality, které má vlastnosti obdobné objednanému zboží a je možné ho za objednané zboží zaměnit</w:t>
      </w:r>
      <w:r w:rsidR="00916938">
        <w:rPr>
          <w:sz w:val="22"/>
          <w:szCs w:val="22"/>
        </w:rPr>
        <w:t xml:space="preserve"> </w:t>
      </w:r>
      <w:r w:rsidR="00916938" w:rsidRPr="00916938">
        <w:rPr>
          <w:sz w:val="22"/>
          <w:szCs w:val="22"/>
        </w:rPr>
        <w:t>pouze po předchozím písemném odsouhlasení Kupujícím</w:t>
      </w:r>
      <w:r>
        <w:rPr>
          <w:sz w:val="22"/>
          <w:szCs w:val="22"/>
        </w:rPr>
        <w:t xml:space="preserve">; cena takového zboží nesmí být vyšší než cena objednaného zboží. </w:t>
      </w:r>
    </w:p>
    <w:p w:rsidR="00C15044" w:rsidRPr="0087426C" w:rsidRDefault="004D08E9" w:rsidP="00D666D5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87426C">
        <w:rPr>
          <w:sz w:val="22"/>
          <w:szCs w:val="22"/>
        </w:rPr>
        <w:t xml:space="preserve">Nebude-li Prodávající schopen zboží dle dílčí objednávky splnit co do druhu, množství a/nebo termínu, je povinen tuto skutečnost neprodleně </w:t>
      </w:r>
      <w:r w:rsidR="009D0AA8" w:rsidRPr="0087426C">
        <w:rPr>
          <w:sz w:val="22"/>
          <w:szCs w:val="22"/>
        </w:rPr>
        <w:t xml:space="preserve">emailem </w:t>
      </w:r>
      <w:r w:rsidRPr="0087426C">
        <w:rPr>
          <w:sz w:val="22"/>
          <w:szCs w:val="22"/>
        </w:rPr>
        <w:t xml:space="preserve">oznámit Kupujícímu. Kupující je oprávněn v takovém případě </w:t>
      </w:r>
      <w:r>
        <w:rPr>
          <w:sz w:val="22"/>
          <w:szCs w:val="22"/>
        </w:rPr>
        <w:t>si dané zboží opatřit sám</w:t>
      </w:r>
      <w:r w:rsidR="00D666D5">
        <w:rPr>
          <w:sz w:val="22"/>
          <w:szCs w:val="22"/>
        </w:rPr>
        <w:t xml:space="preserve"> za obvyklé ceny</w:t>
      </w:r>
      <w:r>
        <w:rPr>
          <w:sz w:val="22"/>
          <w:szCs w:val="22"/>
        </w:rPr>
        <w:t>.</w:t>
      </w:r>
      <w:r w:rsidR="00D666D5">
        <w:rPr>
          <w:sz w:val="22"/>
          <w:szCs w:val="22"/>
        </w:rPr>
        <w:t xml:space="preserve"> </w:t>
      </w:r>
      <w:r w:rsidR="003179CD" w:rsidRPr="009D0AA8">
        <w:rPr>
          <w:sz w:val="22"/>
          <w:szCs w:val="22"/>
        </w:rPr>
        <w:t xml:space="preserve">Opatří-li si Kupující v souladu s předchozí větou zboží sám, je </w:t>
      </w:r>
      <w:r w:rsidR="00D666D5" w:rsidRPr="009D0AA8">
        <w:rPr>
          <w:sz w:val="22"/>
          <w:szCs w:val="22"/>
        </w:rPr>
        <w:t xml:space="preserve">Prodávající povinen uhradit Kupujícímu smluvní pokutu odpovídající výši </w:t>
      </w:r>
      <w:r w:rsidR="00F22A1D" w:rsidRPr="009D0AA8">
        <w:rPr>
          <w:sz w:val="22"/>
          <w:szCs w:val="22"/>
        </w:rPr>
        <w:t xml:space="preserve">rozdílu </w:t>
      </w:r>
      <w:r w:rsidR="0087426C" w:rsidRPr="009D0AA8">
        <w:rPr>
          <w:sz w:val="22"/>
          <w:szCs w:val="22"/>
        </w:rPr>
        <w:t xml:space="preserve">ceny </w:t>
      </w:r>
      <w:r w:rsidR="00D666D5" w:rsidRPr="009D0AA8">
        <w:rPr>
          <w:sz w:val="22"/>
          <w:szCs w:val="22"/>
        </w:rPr>
        <w:t>uhrazené Kupujícím dle předchozí vět</w:t>
      </w:r>
      <w:r w:rsidR="00F22A1D" w:rsidRPr="009D0AA8">
        <w:rPr>
          <w:sz w:val="22"/>
          <w:szCs w:val="22"/>
        </w:rPr>
        <w:t xml:space="preserve">y oproti ceně zboží </w:t>
      </w:r>
      <w:r w:rsidR="007C45BF">
        <w:rPr>
          <w:sz w:val="22"/>
          <w:szCs w:val="22"/>
        </w:rPr>
        <w:t xml:space="preserve">dle přílohy č. </w:t>
      </w:r>
      <w:r w:rsidR="00610076">
        <w:rPr>
          <w:sz w:val="22"/>
          <w:szCs w:val="22"/>
        </w:rPr>
        <w:t>1</w:t>
      </w:r>
      <w:r w:rsidR="00D666D5" w:rsidRPr="009D0AA8">
        <w:rPr>
          <w:sz w:val="22"/>
          <w:szCs w:val="22"/>
        </w:rPr>
        <w:t>.</w:t>
      </w:r>
      <w:r w:rsidRPr="009D0AA8">
        <w:rPr>
          <w:sz w:val="22"/>
          <w:szCs w:val="22"/>
        </w:rPr>
        <w:t xml:space="preserve"> Stejné právo přísluší Kupujícímu též v případě, kdy Prodávající zboží dle dílčí objednávky v požadovaném termínu nedodá</w:t>
      </w:r>
      <w:r w:rsidR="00D666D5" w:rsidRPr="009D0AA8">
        <w:rPr>
          <w:sz w:val="22"/>
          <w:szCs w:val="22"/>
        </w:rPr>
        <w:t xml:space="preserve">; v takovém případě náleží Kupujícímu vedle smluvní pokuty dle předchozí věty též jednorázová smluvní pokuta ve výši </w:t>
      </w:r>
      <w:proofErr w:type="gramStart"/>
      <w:r w:rsidR="001C0845">
        <w:rPr>
          <w:sz w:val="22"/>
          <w:szCs w:val="22"/>
        </w:rPr>
        <w:t>1</w:t>
      </w:r>
      <w:r w:rsidR="001C0845" w:rsidRPr="009D0AA8">
        <w:rPr>
          <w:sz w:val="22"/>
          <w:szCs w:val="22"/>
        </w:rPr>
        <w:t>0</w:t>
      </w:r>
      <w:r w:rsidR="0087426C" w:rsidRPr="009D0AA8">
        <w:rPr>
          <w:sz w:val="22"/>
          <w:szCs w:val="22"/>
        </w:rPr>
        <w:t>%</w:t>
      </w:r>
      <w:proofErr w:type="gramEnd"/>
      <w:r w:rsidR="0087426C" w:rsidRPr="009D0AA8">
        <w:rPr>
          <w:sz w:val="22"/>
          <w:szCs w:val="22"/>
        </w:rPr>
        <w:t xml:space="preserve"> kupní ceny nedodaného </w:t>
      </w:r>
      <w:r w:rsidR="00D666D5" w:rsidRPr="009D0AA8">
        <w:rPr>
          <w:sz w:val="22"/>
          <w:szCs w:val="22"/>
        </w:rPr>
        <w:t>zboží</w:t>
      </w:r>
      <w:r w:rsidRPr="0087426C">
        <w:rPr>
          <w:sz w:val="22"/>
          <w:szCs w:val="22"/>
        </w:rPr>
        <w:t xml:space="preserve">. </w:t>
      </w:r>
    </w:p>
    <w:p w:rsidR="000A35F6" w:rsidRDefault="00B82F2B" w:rsidP="000A35F6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BC7E8C">
        <w:rPr>
          <w:color w:val="000000"/>
          <w:sz w:val="22"/>
          <w:szCs w:val="22"/>
        </w:rPr>
        <w:t xml:space="preserve">Smluvní strany se dohodly, že místem plnění </w:t>
      </w:r>
      <w:r w:rsidR="0026699E" w:rsidRPr="00BC7E8C">
        <w:rPr>
          <w:color w:val="000000"/>
          <w:sz w:val="22"/>
          <w:szCs w:val="22"/>
        </w:rPr>
        <w:t xml:space="preserve">bude </w:t>
      </w:r>
      <w:r w:rsidR="00A905CB">
        <w:rPr>
          <w:color w:val="000000"/>
          <w:sz w:val="22"/>
          <w:szCs w:val="22"/>
        </w:rPr>
        <w:t>sídlo</w:t>
      </w:r>
      <w:r w:rsidR="0026699E" w:rsidRPr="00BC7E8C">
        <w:rPr>
          <w:color w:val="000000"/>
          <w:sz w:val="22"/>
          <w:szCs w:val="22"/>
        </w:rPr>
        <w:t xml:space="preserve"> Kupujícího</w:t>
      </w:r>
      <w:r w:rsidR="009824B0">
        <w:rPr>
          <w:color w:val="000000"/>
          <w:sz w:val="22"/>
          <w:szCs w:val="22"/>
        </w:rPr>
        <w:t>,</w:t>
      </w:r>
      <w:r w:rsidR="006B10E3" w:rsidRPr="00BC7E8C">
        <w:rPr>
          <w:color w:val="000000"/>
          <w:sz w:val="22"/>
          <w:szCs w:val="22"/>
        </w:rPr>
        <w:t xml:space="preserve"> </w:t>
      </w:r>
      <w:r w:rsidR="009824B0">
        <w:rPr>
          <w:color w:val="000000"/>
          <w:sz w:val="22"/>
          <w:szCs w:val="22"/>
        </w:rPr>
        <w:t xml:space="preserve">konkrétně </w:t>
      </w:r>
      <w:r w:rsidR="009824B0" w:rsidRPr="009824B0">
        <w:rPr>
          <w:color w:val="000000"/>
          <w:sz w:val="22"/>
          <w:szCs w:val="22"/>
        </w:rPr>
        <w:t>oddělení materiálně technického zásobování (MTZ)</w:t>
      </w:r>
      <w:r w:rsidR="009824B0">
        <w:rPr>
          <w:color w:val="000000"/>
          <w:sz w:val="22"/>
          <w:szCs w:val="22"/>
        </w:rPr>
        <w:t>. Jiné</w:t>
      </w:r>
      <w:r w:rsidR="006B10E3" w:rsidRPr="00BC7E8C">
        <w:rPr>
          <w:color w:val="000000"/>
          <w:sz w:val="22"/>
          <w:szCs w:val="22"/>
        </w:rPr>
        <w:t xml:space="preserve"> požadované místo dodání </w:t>
      </w:r>
      <w:r w:rsidR="00F33C74">
        <w:rPr>
          <w:color w:val="000000"/>
          <w:sz w:val="22"/>
          <w:szCs w:val="22"/>
        </w:rPr>
        <w:t>může být</w:t>
      </w:r>
      <w:r w:rsidR="006B10E3" w:rsidRPr="00BC7E8C">
        <w:rPr>
          <w:color w:val="000000"/>
          <w:sz w:val="22"/>
          <w:szCs w:val="22"/>
        </w:rPr>
        <w:t xml:space="preserve"> specifikováno v dílčí objednávce</w:t>
      </w:r>
      <w:r w:rsidRPr="00BC7E8C">
        <w:rPr>
          <w:color w:val="000000"/>
          <w:sz w:val="22"/>
          <w:szCs w:val="22"/>
        </w:rPr>
        <w:t>.</w:t>
      </w:r>
    </w:p>
    <w:p w:rsidR="00BC7E8C" w:rsidRDefault="00BC7E8C" w:rsidP="00BC7E8C">
      <w:pPr>
        <w:pStyle w:val="Odstavecseseznamem"/>
        <w:spacing w:before="60"/>
        <w:jc w:val="both"/>
        <w:rPr>
          <w:sz w:val="22"/>
          <w:szCs w:val="22"/>
        </w:rPr>
      </w:pPr>
    </w:p>
    <w:p w:rsidR="00742F54" w:rsidRPr="00A97522" w:rsidRDefault="001B6042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A97522">
        <w:rPr>
          <w:b/>
          <w:sz w:val="22"/>
          <w:szCs w:val="22"/>
        </w:rPr>
        <w:t>Kupní c</w:t>
      </w:r>
      <w:r w:rsidR="007966EE" w:rsidRPr="00A97522">
        <w:rPr>
          <w:b/>
          <w:sz w:val="22"/>
          <w:szCs w:val="22"/>
        </w:rPr>
        <w:t xml:space="preserve">ena </w:t>
      </w:r>
      <w:r w:rsidR="00FB750D" w:rsidRPr="00A97522">
        <w:rPr>
          <w:b/>
          <w:sz w:val="22"/>
          <w:szCs w:val="22"/>
        </w:rPr>
        <w:t>a platební podmínky</w:t>
      </w:r>
    </w:p>
    <w:p w:rsidR="00BE349C" w:rsidRPr="00524534" w:rsidRDefault="00BE349C" w:rsidP="00CC33C0">
      <w:pPr>
        <w:spacing w:before="60"/>
        <w:jc w:val="center"/>
        <w:rPr>
          <w:b/>
          <w:sz w:val="22"/>
          <w:szCs w:val="22"/>
          <w:highlight w:val="yellow"/>
        </w:rPr>
      </w:pPr>
    </w:p>
    <w:p w:rsidR="00B674D0" w:rsidRPr="00487A3A" w:rsidRDefault="00A97522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487A3A">
        <w:rPr>
          <w:sz w:val="22"/>
          <w:szCs w:val="22"/>
        </w:rPr>
        <w:t>Kupní c</w:t>
      </w:r>
      <w:r w:rsidR="00702B56" w:rsidRPr="00487A3A">
        <w:rPr>
          <w:sz w:val="22"/>
          <w:szCs w:val="22"/>
        </w:rPr>
        <w:t xml:space="preserve">ena </w:t>
      </w:r>
      <w:r w:rsidRPr="00487A3A">
        <w:rPr>
          <w:sz w:val="22"/>
          <w:szCs w:val="22"/>
        </w:rPr>
        <w:t xml:space="preserve">zboží </w:t>
      </w:r>
      <w:r w:rsidR="00CC4CA7" w:rsidRPr="00487A3A">
        <w:rPr>
          <w:sz w:val="22"/>
          <w:szCs w:val="22"/>
        </w:rPr>
        <w:t xml:space="preserve">je stanovena na základě výsledků </w:t>
      </w:r>
      <w:r w:rsidR="00906E50">
        <w:rPr>
          <w:sz w:val="22"/>
          <w:szCs w:val="22"/>
        </w:rPr>
        <w:t xml:space="preserve">zadávacího řízení </w:t>
      </w:r>
      <w:r w:rsidR="00071853" w:rsidRPr="00071853">
        <w:rPr>
          <w:sz w:val="22"/>
          <w:szCs w:val="22"/>
        </w:rPr>
        <w:t xml:space="preserve">vedeného v rámci veřejné zakázky malého rozsahu zadávané v otevřeném řízení </w:t>
      </w:r>
      <w:r w:rsidR="00410BE3" w:rsidRPr="00487A3A">
        <w:rPr>
          <w:sz w:val="22"/>
          <w:szCs w:val="22"/>
        </w:rPr>
        <w:t xml:space="preserve">a </w:t>
      </w:r>
      <w:r w:rsidR="00487A3A" w:rsidRPr="00487A3A">
        <w:rPr>
          <w:sz w:val="22"/>
          <w:szCs w:val="22"/>
        </w:rPr>
        <w:t>je pro jednotlivé druhy zb</w:t>
      </w:r>
      <w:r w:rsidR="00114E44">
        <w:rPr>
          <w:sz w:val="22"/>
          <w:szCs w:val="22"/>
        </w:rPr>
        <w:t xml:space="preserve">oží specifikována v příloze č. </w:t>
      </w:r>
      <w:r w:rsidR="00610076">
        <w:rPr>
          <w:sz w:val="22"/>
          <w:szCs w:val="22"/>
        </w:rPr>
        <w:t>1</w:t>
      </w:r>
      <w:r w:rsidR="00487A3A" w:rsidRPr="00487A3A">
        <w:rPr>
          <w:sz w:val="22"/>
          <w:szCs w:val="22"/>
        </w:rPr>
        <w:t xml:space="preserve"> této smlouvy. Ceny uvedené v příloze č. </w:t>
      </w:r>
      <w:r w:rsidR="00610076">
        <w:rPr>
          <w:sz w:val="22"/>
          <w:szCs w:val="22"/>
        </w:rPr>
        <w:t>1</w:t>
      </w:r>
      <w:r w:rsidR="00487A3A" w:rsidRPr="00487A3A">
        <w:rPr>
          <w:sz w:val="22"/>
          <w:szCs w:val="22"/>
        </w:rPr>
        <w:t xml:space="preserve"> neobsahují</w:t>
      </w:r>
      <w:r w:rsidR="00410BE3" w:rsidRPr="00487A3A">
        <w:rPr>
          <w:sz w:val="22"/>
          <w:szCs w:val="22"/>
        </w:rPr>
        <w:t xml:space="preserve"> DPH</w:t>
      </w:r>
      <w:r w:rsidR="00487A3A" w:rsidRPr="00487A3A">
        <w:rPr>
          <w:sz w:val="22"/>
          <w:szCs w:val="22"/>
        </w:rPr>
        <w:t xml:space="preserve"> a bude k nim </w:t>
      </w:r>
      <w:r w:rsidR="00B674D0" w:rsidRPr="00487A3A">
        <w:rPr>
          <w:sz w:val="22"/>
          <w:szCs w:val="22"/>
        </w:rPr>
        <w:t xml:space="preserve">připočtena DPH </w:t>
      </w:r>
      <w:r w:rsidR="00487A3A" w:rsidRPr="00487A3A">
        <w:rPr>
          <w:sz w:val="22"/>
          <w:szCs w:val="22"/>
        </w:rPr>
        <w:t xml:space="preserve">vždy </w:t>
      </w:r>
      <w:r w:rsidR="00B674D0" w:rsidRPr="00487A3A">
        <w:rPr>
          <w:sz w:val="22"/>
          <w:szCs w:val="22"/>
        </w:rPr>
        <w:t>ve výši dle platných právních předpisů.</w:t>
      </w:r>
    </w:p>
    <w:p w:rsidR="00A97522" w:rsidRPr="00A0382A" w:rsidRDefault="00A97522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A0382A">
        <w:rPr>
          <w:sz w:val="22"/>
          <w:szCs w:val="22"/>
        </w:rPr>
        <w:t>Kupní cena zahrnuje všechny náklady spojené s realiza</w:t>
      </w:r>
      <w:r w:rsidR="00CF56D5" w:rsidRPr="00A0382A">
        <w:rPr>
          <w:sz w:val="22"/>
          <w:szCs w:val="22"/>
        </w:rPr>
        <w:t>cí předmětu smlouvy, tj. dodávku</w:t>
      </w:r>
      <w:r w:rsidRPr="00A0382A">
        <w:rPr>
          <w:sz w:val="22"/>
          <w:szCs w:val="22"/>
        </w:rPr>
        <w:t xml:space="preserve"> zboží, balné</w:t>
      </w:r>
      <w:r w:rsidR="00071853">
        <w:rPr>
          <w:sz w:val="22"/>
          <w:szCs w:val="22"/>
        </w:rPr>
        <w:t xml:space="preserve"> a</w:t>
      </w:r>
      <w:r w:rsidRPr="00A0382A">
        <w:rPr>
          <w:sz w:val="22"/>
          <w:szCs w:val="22"/>
        </w:rPr>
        <w:t xml:space="preserve"> dopravné.</w:t>
      </w:r>
    </w:p>
    <w:p w:rsidR="007A0169" w:rsidRDefault="00CC4335" w:rsidP="007A0169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dle tohoto článku smlouvy nejsou závislé na rozsahu objednaného plnění dle této smlouvy. </w:t>
      </w:r>
    </w:p>
    <w:p w:rsidR="00303805" w:rsidRPr="007A0169" w:rsidRDefault="00522DD0" w:rsidP="007A0169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bookmarkStart w:id="0" w:name="_Hlk201236983"/>
      <w:r w:rsidRPr="00522DD0">
        <w:rPr>
          <w:sz w:val="22"/>
          <w:szCs w:val="22"/>
        </w:rPr>
        <w:t>V případě, že průměrný roční index spotřebitelských cen dle údajů Českého statistického úřadu, publikovaných na jeho internetových stránkách, uvedený ke kalendářnímu měsíci odpovídajícímu měsíci podpisu této smlouvy, vzroste oproti předchozímu roku o více než 3 %, je Prodávající oprávněn požádat o přiměřené navýšení jednotkových cen uvedených v příloze č. 1 této smlouvy, a to maximálně o hodnotu tohoto indexu. Oprávnění k úpravě cen však nevzniká automaticky a změna cen podléhá předchozímu písemnému odsouhlasení Kupujícím</w:t>
      </w:r>
      <w:r w:rsidR="007A0169" w:rsidRPr="007A0169">
        <w:rPr>
          <w:sz w:val="22"/>
          <w:szCs w:val="22"/>
        </w:rPr>
        <w:t xml:space="preserve">. Smluvní strany pro odstranění pochybností uvádí, že k úpravě ceny dle tohoto ustanovení smlouvy není třeba uzavírat dodatek ke smlouvě. </w:t>
      </w:r>
      <w:r w:rsidR="00916938" w:rsidRPr="00916938">
        <w:rPr>
          <w:sz w:val="22"/>
          <w:szCs w:val="22"/>
        </w:rPr>
        <w:t xml:space="preserve">Kupující je oprávněn navýšení odmítnout, aniž by tím porušil smlouvu. </w:t>
      </w:r>
      <w:r w:rsidR="007A0169" w:rsidRPr="007A0169">
        <w:rPr>
          <w:sz w:val="22"/>
          <w:szCs w:val="22"/>
        </w:rPr>
        <w:t>Smluvní strany však mohou z důvodu právní jistoty o navýšení ceny sepsat zápis podepsaný oběma smluvními stranami.</w:t>
      </w:r>
      <w:r>
        <w:rPr>
          <w:sz w:val="22"/>
          <w:szCs w:val="22"/>
        </w:rPr>
        <w:t xml:space="preserve"> </w:t>
      </w:r>
      <w:r w:rsidRPr="00522DD0">
        <w:rPr>
          <w:sz w:val="22"/>
          <w:szCs w:val="22"/>
        </w:rPr>
        <w:t>K úpravě cen podle tohoto článku může dojít nejvýše jednou ročně</w:t>
      </w:r>
      <w:bookmarkEnd w:id="0"/>
      <w:r>
        <w:rPr>
          <w:sz w:val="22"/>
          <w:szCs w:val="22"/>
        </w:rPr>
        <w:t>.</w:t>
      </w:r>
    </w:p>
    <w:p w:rsidR="00A44BAA" w:rsidRPr="00CC4CA7" w:rsidRDefault="00A44BAA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Smluvní strany se dohodly, že </w:t>
      </w:r>
      <w:r w:rsidR="00A97522" w:rsidRPr="00CC4CA7">
        <w:rPr>
          <w:sz w:val="22"/>
          <w:szCs w:val="22"/>
        </w:rPr>
        <w:t xml:space="preserve">kupní </w:t>
      </w:r>
      <w:r w:rsidR="00FB750D" w:rsidRPr="00CC4CA7">
        <w:rPr>
          <w:sz w:val="22"/>
          <w:szCs w:val="22"/>
        </w:rPr>
        <w:t xml:space="preserve">cena </w:t>
      </w:r>
      <w:r w:rsidR="00A97522" w:rsidRP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</w:t>
      </w:r>
      <w:r w:rsidR="00CC4335">
        <w:rPr>
          <w:sz w:val="22"/>
          <w:szCs w:val="22"/>
        </w:rPr>
        <w:t xml:space="preserve">dodaného dle dílčí objednávky </w:t>
      </w:r>
      <w:r w:rsidRPr="00CC4CA7">
        <w:rPr>
          <w:sz w:val="22"/>
          <w:szCs w:val="22"/>
        </w:rPr>
        <w:t xml:space="preserve">bude </w:t>
      </w:r>
      <w:r w:rsidR="00A97522" w:rsidRPr="00CC4CA7">
        <w:rPr>
          <w:sz w:val="22"/>
          <w:szCs w:val="22"/>
        </w:rPr>
        <w:t>Kupujícím Prodávajícímu</w:t>
      </w:r>
      <w:r w:rsidR="00FB750D" w:rsidRPr="00CC4CA7">
        <w:rPr>
          <w:sz w:val="22"/>
          <w:szCs w:val="22"/>
        </w:rPr>
        <w:t xml:space="preserve"> uhrazena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na základě faktur</w:t>
      </w:r>
      <w:r w:rsidR="00FB750D" w:rsidRPr="00CC4CA7">
        <w:rPr>
          <w:sz w:val="22"/>
          <w:szCs w:val="22"/>
        </w:rPr>
        <w:t>y-daňového dokladu vystaveného</w:t>
      </w:r>
      <w:r w:rsidRPr="00CC4CA7">
        <w:rPr>
          <w:sz w:val="22"/>
          <w:szCs w:val="22"/>
        </w:rPr>
        <w:t xml:space="preserve"> </w:t>
      </w:r>
      <w:r w:rsidR="00A97522" w:rsidRPr="00CC4CA7">
        <w:rPr>
          <w:sz w:val="22"/>
          <w:szCs w:val="22"/>
        </w:rPr>
        <w:t>Prodávajícím</w:t>
      </w:r>
      <w:r w:rsidR="00FB750D" w:rsidRPr="00CC4CA7">
        <w:rPr>
          <w:sz w:val="22"/>
          <w:szCs w:val="22"/>
        </w:rPr>
        <w:t xml:space="preserve"> nejdříve v den předání a převzetí </w:t>
      </w:r>
      <w:r w:rsidR="003102D3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. </w:t>
      </w:r>
      <w:r w:rsidR="00401094" w:rsidRPr="00401094">
        <w:rPr>
          <w:sz w:val="22"/>
          <w:szCs w:val="22"/>
        </w:rPr>
        <w:t>Fakturace bude probíhat na základě jednotlivě provedených objednávek.</w:t>
      </w:r>
      <w:r w:rsidR="00401094">
        <w:rPr>
          <w:sz w:val="22"/>
          <w:szCs w:val="22"/>
        </w:rPr>
        <w:t xml:space="preserve"> </w:t>
      </w:r>
      <w:r w:rsidR="00FB750D" w:rsidRPr="00CC4CA7">
        <w:rPr>
          <w:sz w:val="22"/>
          <w:szCs w:val="22"/>
        </w:rPr>
        <w:t xml:space="preserve">Nedílnou součástí faktury je stejnopis </w:t>
      </w:r>
      <w:r w:rsidR="00C15044">
        <w:rPr>
          <w:sz w:val="22"/>
          <w:szCs w:val="22"/>
        </w:rPr>
        <w:t>dodacího listu</w:t>
      </w:r>
      <w:r w:rsidR="00FB750D" w:rsidRPr="00CC4CA7">
        <w:rPr>
          <w:sz w:val="22"/>
          <w:szCs w:val="22"/>
        </w:rPr>
        <w:t xml:space="preserve"> potvrzený oběma smluvními stranami. </w:t>
      </w:r>
      <w:r w:rsidR="00FB750D" w:rsidRPr="00B30502">
        <w:rPr>
          <w:b/>
          <w:sz w:val="22"/>
          <w:szCs w:val="22"/>
        </w:rPr>
        <w:t>Splatnost faktury činí</w:t>
      </w:r>
      <w:r w:rsidRPr="00B30502">
        <w:rPr>
          <w:b/>
          <w:sz w:val="22"/>
          <w:szCs w:val="22"/>
        </w:rPr>
        <w:t xml:space="preserve"> 30 dnů</w:t>
      </w:r>
      <w:r w:rsidRPr="00CC4CA7">
        <w:rPr>
          <w:sz w:val="22"/>
          <w:szCs w:val="22"/>
        </w:rPr>
        <w:t xml:space="preserve"> ode dne doručení řádné faktury </w:t>
      </w:r>
      <w:r w:rsidR="003102D3">
        <w:rPr>
          <w:sz w:val="22"/>
          <w:szCs w:val="22"/>
        </w:rPr>
        <w:t>Kupujícímu</w:t>
      </w:r>
      <w:r w:rsidRPr="00CC4CA7">
        <w:rPr>
          <w:sz w:val="22"/>
          <w:szCs w:val="22"/>
        </w:rPr>
        <w:t xml:space="preserve">. </w:t>
      </w:r>
      <w:r w:rsidR="00FB750D" w:rsidRPr="00CC4CA7">
        <w:rPr>
          <w:sz w:val="22"/>
          <w:szCs w:val="22"/>
        </w:rPr>
        <w:t xml:space="preserve">Nebude-li faktura obsahovat </w:t>
      </w:r>
      <w:r w:rsidR="00CC4CA7">
        <w:rPr>
          <w:sz w:val="22"/>
          <w:szCs w:val="22"/>
        </w:rPr>
        <w:t xml:space="preserve">všechny </w:t>
      </w:r>
      <w:r w:rsidR="00FB750D" w:rsidRPr="00CC4CA7">
        <w:rPr>
          <w:sz w:val="22"/>
          <w:szCs w:val="22"/>
        </w:rPr>
        <w:t xml:space="preserve">náležitosti </w:t>
      </w:r>
      <w:r w:rsidR="00BD7C38" w:rsidRPr="00CC4CA7">
        <w:rPr>
          <w:sz w:val="22"/>
          <w:szCs w:val="22"/>
        </w:rPr>
        <w:t xml:space="preserve">stanovené </w:t>
      </w:r>
      <w:r w:rsidR="00BD7C38">
        <w:rPr>
          <w:sz w:val="22"/>
          <w:szCs w:val="22"/>
        </w:rPr>
        <w:t xml:space="preserve">touto smlouvou a platnými právními předpisy ČR, </w:t>
      </w:r>
      <w:r w:rsidR="00FB750D" w:rsidRPr="00CC4CA7">
        <w:rPr>
          <w:sz w:val="22"/>
          <w:szCs w:val="22"/>
        </w:rPr>
        <w:t xml:space="preserve">včetně stejnopisu </w:t>
      </w:r>
      <w:r w:rsidR="00C15044">
        <w:rPr>
          <w:sz w:val="22"/>
          <w:szCs w:val="22"/>
        </w:rPr>
        <w:t>dodacího listu</w:t>
      </w:r>
      <w:r w:rsidR="00FB750D" w:rsidRPr="00CC4CA7">
        <w:rPr>
          <w:sz w:val="22"/>
          <w:szCs w:val="22"/>
        </w:rPr>
        <w:t xml:space="preserve">, je </w:t>
      </w:r>
      <w:r w:rsidR="003102D3">
        <w:rPr>
          <w:sz w:val="22"/>
          <w:szCs w:val="22"/>
        </w:rPr>
        <w:t>Kupující</w:t>
      </w:r>
      <w:r w:rsidR="00FB750D" w:rsidRPr="00CC4CA7">
        <w:rPr>
          <w:sz w:val="22"/>
          <w:szCs w:val="22"/>
        </w:rPr>
        <w:t xml:space="preserve"> oprávněn fakturu </w:t>
      </w:r>
      <w:r w:rsidR="003102D3">
        <w:rPr>
          <w:sz w:val="22"/>
          <w:szCs w:val="22"/>
        </w:rPr>
        <w:t>Prodávajícímu</w:t>
      </w:r>
      <w:r w:rsidR="00FB750D" w:rsidRPr="00CC4CA7">
        <w:rPr>
          <w:sz w:val="22"/>
          <w:szCs w:val="22"/>
        </w:rPr>
        <w:t xml:space="preserve"> ve lhůtě její splatnosti vrátit; v takovém případě se přeruší běh lhůty splatnosti a nová lhůta splatnosti počne běžet </w:t>
      </w:r>
      <w:r w:rsidR="00FB750D" w:rsidRPr="00CC4CA7">
        <w:rPr>
          <w:sz w:val="22"/>
          <w:szCs w:val="22"/>
        </w:rPr>
        <w:lastRenderedPageBreak/>
        <w:t xml:space="preserve">doručením opravené faktury. </w:t>
      </w:r>
      <w:r w:rsidR="00CC4CA7">
        <w:rPr>
          <w:sz w:val="22"/>
          <w:szCs w:val="22"/>
        </w:rPr>
        <w:t>Kupní cena zboží</w:t>
      </w:r>
      <w:r w:rsidR="00FB750D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 xml:space="preserve">se považuje za zaplacenou dnem připsání částky </w:t>
      </w:r>
      <w:r w:rsidR="00CC4CA7">
        <w:rPr>
          <w:sz w:val="22"/>
          <w:szCs w:val="22"/>
        </w:rPr>
        <w:t xml:space="preserve">kupní </w:t>
      </w:r>
      <w:r w:rsidRPr="00CC4CA7">
        <w:rPr>
          <w:sz w:val="22"/>
          <w:szCs w:val="22"/>
        </w:rPr>
        <w:t xml:space="preserve">ceny </w:t>
      </w:r>
      <w:r w:rsid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na účet </w:t>
      </w:r>
      <w:r w:rsidR="00CC4CA7">
        <w:rPr>
          <w:sz w:val="22"/>
          <w:szCs w:val="22"/>
        </w:rPr>
        <w:t>Prodávajícího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specifikovaný v příslušné faktuře.</w:t>
      </w:r>
    </w:p>
    <w:p w:rsidR="004D08E9" w:rsidRPr="004A264A" w:rsidRDefault="00D666D5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4A264A">
        <w:rPr>
          <w:sz w:val="22"/>
          <w:szCs w:val="22"/>
        </w:rPr>
        <w:t xml:space="preserve">Smluvní pokuty dle </w:t>
      </w:r>
      <w:r w:rsidR="00401094">
        <w:rPr>
          <w:sz w:val="22"/>
          <w:szCs w:val="22"/>
        </w:rPr>
        <w:t>této smlouvy</w:t>
      </w:r>
      <w:r w:rsidR="004D08E9" w:rsidRPr="004A264A">
        <w:rPr>
          <w:sz w:val="22"/>
          <w:szCs w:val="22"/>
        </w:rPr>
        <w:t xml:space="preserve"> </w:t>
      </w:r>
      <w:r w:rsidR="004A264A" w:rsidRPr="004A264A">
        <w:rPr>
          <w:sz w:val="22"/>
          <w:szCs w:val="22"/>
        </w:rPr>
        <w:t xml:space="preserve">jsou splatné do 30 dnů od okamžiku, kdy na ně vznikl nárok, a to na základě faktury-daňového dokladu, vystaveného Kupujícím a zaslanému Prodávajícím. Kupující je oprávněn započíst svoji pohledávku na smluvní pokutu oproti kterékoli pohledávce Prodávajícího na úhradu zboží. </w:t>
      </w:r>
    </w:p>
    <w:p w:rsidR="004F1772" w:rsidRDefault="00A44BAA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>Jakékoliv plnění dle této smlouvy podléhající DPH je splatné bezhotovos</w:t>
      </w:r>
      <w:r w:rsidR="006B53FB" w:rsidRPr="00CC4CA7">
        <w:rPr>
          <w:sz w:val="22"/>
          <w:szCs w:val="22"/>
        </w:rPr>
        <w:t>tním převodem na bankovní účet s</w:t>
      </w:r>
      <w:r w:rsidRPr="00CC4CA7">
        <w:rPr>
          <w:sz w:val="22"/>
          <w:szCs w:val="22"/>
        </w:rPr>
        <w:t xml:space="preserve">mluvní strany uvedený </w:t>
      </w:r>
      <w:r w:rsidR="006B53FB" w:rsidRPr="00CC4CA7">
        <w:rPr>
          <w:sz w:val="22"/>
          <w:szCs w:val="22"/>
        </w:rPr>
        <w:t>v</w:t>
      </w:r>
      <w:r w:rsidRPr="00CC4CA7">
        <w:rPr>
          <w:sz w:val="22"/>
          <w:szCs w:val="22"/>
        </w:rPr>
        <w:t xml:space="preserve"> příslušném daňovém </w:t>
      </w:r>
      <w:r w:rsidR="005354A2" w:rsidRPr="00CC4CA7">
        <w:rPr>
          <w:sz w:val="22"/>
          <w:szCs w:val="22"/>
        </w:rPr>
        <w:t>dokladu – faktuře – a</w:t>
      </w:r>
      <w:r w:rsidRPr="00CC4CA7">
        <w:rPr>
          <w:sz w:val="22"/>
          <w:szCs w:val="22"/>
        </w:rPr>
        <w:t xml:space="preserve">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7849D2">
        <w:rPr>
          <w:bCs/>
          <w:sz w:val="22"/>
          <w:szCs w:val="22"/>
        </w:rPr>
        <w:t>ZDPH</w:t>
      </w:r>
      <w:r w:rsidRPr="00CC4CA7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BD7C38" w:rsidRPr="00CC4CA7" w:rsidRDefault="00BD7C38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7C38">
        <w:rPr>
          <w:sz w:val="22"/>
          <w:szCs w:val="22"/>
        </w:rPr>
        <w:t>rodávající</w:t>
      </w:r>
      <w:r>
        <w:rPr>
          <w:sz w:val="22"/>
          <w:szCs w:val="22"/>
        </w:rPr>
        <w:t xml:space="preserve"> bere na vědomí, že</w:t>
      </w:r>
      <w:r w:rsidRPr="00BD7C3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6B53FB" w:rsidRDefault="006B53FB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FB750D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Záruka a odpovědnost za vady zboží</w:t>
      </w:r>
    </w:p>
    <w:p w:rsidR="00FB750D" w:rsidRPr="003207A3" w:rsidRDefault="00FB750D" w:rsidP="00CC33C0">
      <w:pPr>
        <w:spacing w:before="60"/>
        <w:jc w:val="center"/>
        <w:rPr>
          <w:b/>
          <w:sz w:val="22"/>
          <w:szCs w:val="22"/>
        </w:rPr>
      </w:pPr>
    </w:p>
    <w:p w:rsidR="00A3354C" w:rsidRDefault="00A3354C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 prohlašuje, že zboží splňuje veškeré hygienické</w:t>
      </w:r>
      <w:r w:rsidR="00114E44">
        <w:rPr>
          <w:sz w:val="22"/>
          <w:szCs w:val="22"/>
        </w:rPr>
        <w:t>, zdravotní</w:t>
      </w:r>
      <w:r>
        <w:rPr>
          <w:sz w:val="22"/>
          <w:szCs w:val="22"/>
        </w:rPr>
        <w:t xml:space="preserve">, bezpečnostní a jiné </w:t>
      </w:r>
      <w:r w:rsidR="004D08E9">
        <w:rPr>
          <w:sz w:val="22"/>
          <w:szCs w:val="22"/>
        </w:rPr>
        <w:t xml:space="preserve">požadavky, </w:t>
      </w:r>
      <w:r>
        <w:rPr>
          <w:sz w:val="22"/>
          <w:szCs w:val="22"/>
        </w:rPr>
        <w:t xml:space="preserve">standardy a podmínky dle </w:t>
      </w:r>
      <w:r w:rsidR="00114E44">
        <w:rPr>
          <w:sz w:val="22"/>
          <w:szCs w:val="22"/>
        </w:rPr>
        <w:t xml:space="preserve">zadávací dokumentace, nabídky Prodávajícího, této smlouvy, </w:t>
      </w:r>
      <w:r>
        <w:rPr>
          <w:sz w:val="22"/>
          <w:szCs w:val="22"/>
        </w:rPr>
        <w:t>platných právních předpisů a norem Evropské unie a České republiky</w:t>
      </w:r>
      <w:r w:rsidR="004D08E9">
        <w:rPr>
          <w:sz w:val="22"/>
          <w:szCs w:val="22"/>
        </w:rPr>
        <w:t>, včetně požadavků na jeho označení, a prohlašuje, že dodané zboží je zdravotně nezávadné</w:t>
      </w:r>
      <w:r>
        <w:rPr>
          <w:sz w:val="22"/>
          <w:szCs w:val="22"/>
        </w:rPr>
        <w:t>.</w:t>
      </w:r>
      <w:r w:rsidR="007849D2">
        <w:rPr>
          <w:sz w:val="22"/>
          <w:szCs w:val="22"/>
        </w:rPr>
        <w:t xml:space="preserve"> </w:t>
      </w:r>
      <w:r w:rsidR="007849D2" w:rsidRPr="007849D2">
        <w:rPr>
          <w:sz w:val="22"/>
          <w:szCs w:val="22"/>
        </w:rPr>
        <w:t>Prodávající výslovně garantuje, že zboží snese průmyslové praní v počtu cyklů dle předloženého produktového listu bez ztráty tvaru, objemu a funkčnosti.</w:t>
      </w:r>
    </w:p>
    <w:p w:rsidR="00524534" w:rsidRDefault="00524534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524534">
        <w:rPr>
          <w:sz w:val="22"/>
          <w:szCs w:val="22"/>
        </w:rPr>
        <w:t xml:space="preserve">Vlastnické právo </w:t>
      </w:r>
      <w:r>
        <w:rPr>
          <w:sz w:val="22"/>
          <w:szCs w:val="22"/>
        </w:rPr>
        <w:t xml:space="preserve">ke zboží </w:t>
      </w:r>
      <w:r w:rsidRPr="00524534">
        <w:rPr>
          <w:sz w:val="22"/>
          <w:szCs w:val="22"/>
        </w:rPr>
        <w:t>a nebezpečí šk</w:t>
      </w:r>
      <w:r>
        <w:rPr>
          <w:sz w:val="22"/>
          <w:szCs w:val="22"/>
        </w:rPr>
        <w:t>ody na zboží přechází na K</w:t>
      </w:r>
      <w:r w:rsidRPr="00524534">
        <w:rPr>
          <w:sz w:val="22"/>
          <w:szCs w:val="22"/>
        </w:rPr>
        <w:t xml:space="preserve">upujícího </w:t>
      </w:r>
      <w:r>
        <w:rPr>
          <w:sz w:val="22"/>
          <w:szCs w:val="22"/>
        </w:rPr>
        <w:t>okamžikem podpisu</w:t>
      </w:r>
      <w:r w:rsidRPr="00524534">
        <w:rPr>
          <w:sz w:val="22"/>
          <w:szCs w:val="22"/>
        </w:rPr>
        <w:t xml:space="preserve"> </w:t>
      </w:r>
      <w:r w:rsidR="00C15044">
        <w:rPr>
          <w:sz w:val="22"/>
          <w:szCs w:val="22"/>
        </w:rPr>
        <w:t>dodacího listu</w:t>
      </w:r>
      <w:r>
        <w:rPr>
          <w:sz w:val="22"/>
          <w:szCs w:val="22"/>
        </w:rPr>
        <w:t xml:space="preserve"> oběma smluvními stranami v souladu s </w:t>
      </w:r>
      <w:r w:rsidR="004A264A" w:rsidRPr="00610076">
        <w:rPr>
          <w:sz w:val="22"/>
          <w:szCs w:val="22"/>
        </w:rPr>
        <w:t xml:space="preserve">čl. III. odst. </w:t>
      </w:r>
      <w:r w:rsidR="005354A2">
        <w:rPr>
          <w:sz w:val="22"/>
          <w:szCs w:val="22"/>
        </w:rPr>
        <w:t>5</w:t>
      </w:r>
      <w:r w:rsidR="004A264A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smlouvy.</w:t>
      </w:r>
      <w:r w:rsidR="000D6DCA">
        <w:rPr>
          <w:sz w:val="22"/>
          <w:szCs w:val="22"/>
        </w:rPr>
        <w:t xml:space="preserve"> </w:t>
      </w:r>
      <w:r w:rsidR="000D6DCA" w:rsidRPr="000D6DCA">
        <w:rPr>
          <w:sz w:val="22"/>
          <w:szCs w:val="22"/>
        </w:rPr>
        <w:t>V případě částečného převzetí přechází vlastnictví jen k převzaté části.</w:t>
      </w:r>
    </w:p>
    <w:p w:rsidR="00ED511A" w:rsidRPr="004A264A" w:rsidRDefault="00212D72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ED511A">
        <w:rPr>
          <w:sz w:val="22"/>
          <w:szCs w:val="22"/>
        </w:rPr>
        <w:t xml:space="preserve"> poskytuje záruku za jakost </w:t>
      </w:r>
      <w:r>
        <w:rPr>
          <w:sz w:val="22"/>
          <w:szCs w:val="22"/>
        </w:rPr>
        <w:t xml:space="preserve">zboží (tzn. záruku za to, že zboží bude mít po celou dobu trvání záruky vlastnosti odpovídající </w:t>
      </w:r>
      <w:r w:rsidR="005266C0">
        <w:rPr>
          <w:sz w:val="22"/>
          <w:szCs w:val="22"/>
        </w:rPr>
        <w:t>zadávací dokumentaci, nabídce Prodávajícího</w:t>
      </w:r>
      <w:r w:rsidR="00114E44">
        <w:rPr>
          <w:sz w:val="22"/>
          <w:szCs w:val="22"/>
        </w:rPr>
        <w:t>, této smlouvě</w:t>
      </w:r>
      <w:r w:rsidR="005266C0">
        <w:rPr>
          <w:sz w:val="22"/>
          <w:szCs w:val="22"/>
        </w:rPr>
        <w:t xml:space="preserve"> a </w:t>
      </w:r>
      <w:r w:rsidR="00CC4335">
        <w:rPr>
          <w:sz w:val="22"/>
          <w:szCs w:val="22"/>
        </w:rPr>
        <w:t>kvalitě obvyklé pro dané zboží</w:t>
      </w:r>
      <w:r w:rsidR="005266C0">
        <w:rPr>
          <w:sz w:val="22"/>
          <w:szCs w:val="22"/>
        </w:rPr>
        <w:t>)</w:t>
      </w:r>
      <w:r w:rsidR="00ED511A">
        <w:rPr>
          <w:sz w:val="22"/>
          <w:szCs w:val="22"/>
        </w:rPr>
        <w:t xml:space="preserve"> od okamžiku jeho převzetí </w:t>
      </w:r>
      <w:r w:rsidR="000D6DCA">
        <w:rPr>
          <w:sz w:val="22"/>
          <w:szCs w:val="22"/>
        </w:rPr>
        <w:t xml:space="preserve">po dobu </w:t>
      </w:r>
      <w:r w:rsidR="00365ECE">
        <w:rPr>
          <w:sz w:val="22"/>
          <w:szCs w:val="22"/>
        </w:rPr>
        <w:t xml:space="preserve">24 </w:t>
      </w:r>
      <w:r w:rsidR="000D6DCA">
        <w:rPr>
          <w:sz w:val="22"/>
          <w:szCs w:val="22"/>
        </w:rPr>
        <w:t>měsíců</w:t>
      </w:r>
      <w:r w:rsidR="00CC4335" w:rsidRPr="004A264A">
        <w:rPr>
          <w:sz w:val="22"/>
          <w:szCs w:val="22"/>
        </w:rPr>
        <w:t>.</w:t>
      </w:r>
      <w:r w:rsidR="00ED511A" w:rsidRPr="004A264A">
        <w:rPr>
          <w:sz w:val="22"/>
          <w:szCs w:val="22"/>
        </w:rPr>
        <w:t xml:space="preserve"> </w:t>
      </w:r>
      <w:r w:rsidR="00487A3A" w:rsidRPr="004A264A">
        <w:rPr>
          <w:sz w:val="22"/>
          <w:szCs w:val="22"/>
        </w:rPr>
        <w:t>Za vadu zboží se považuje též vada v označení či průvodní dokumentaci</w:t>
      </w:r>
      <w:r w:rsidR="000D6DCA">
        <w:rPr>
          <w:sz w:val="22"/>
          <w:szCs w:val="22"/>
        </w:rPr>
        <w:t xml:space="preserve">. </w:t>
      </w:r>
    </w:p>
    <w:p w:rsidR="00212D72" w:rsidRPr="009D0AA8" w:rsidRDefault="00ED511A" w:rsidP="001447E5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9D0AA8">
        <w:rPr>
          <w:sz w:val="22"/>
          <w:szCs w:val="22"/>
        </w:rPr>
        <w:t xml:space="preserve">V případě zjištění vady </w:t>
      </w:r>
      <w:r w:rsidR="00F6181D" w:rsidRPr="009D0AA8">
        <w:rPr>
          <w:sz w:val="22"/>
          <w:szCs w:val="22"/>
        </w:rPr>
        <w:t>zboží</w:t>
      </w:r>
      <w:r w:rsidRPr="009D0AA8">
        <w:rPr>
          <w:sz w:val="22"/>
          <w:szCs w:val="22"/>
        </w:rPr>
        <w:t xml:space="preserve">, je </w:t>
      </w:r>
      <w:r w:rsidR="00212D72" w:rsidRPr="009D0AA8">
        <w:rPr>
          <w:sz w:val="22"/>
          <w:szCs w:val="22"/>
        </w:rPr>
        <w:t>Kupující</w:t>
      </w:r>
      <w:r w:rsidRPr="009D0AA8">
        <w:rPr>
          <w:sz w:val="22"/>
          <w:szCs w:val="22"/>
        </w:rPr>
        <w:t xml:space="preserve"> povinen tuto vadu </w:t>
      </w:r>
      <w:r w:rsidR="00212D72" w:rsidRPr="009D0AA8">
        <w:rPr>
          <w:sz w:val="22"/>
          <w:szCs w:val="22"/>
        </w:rPr>
        <w:t>Prodávajícímu</w:t>
      </w:r>
      <w:r w:rsidRPr="009D0AA8">
        <w:rPr>
          <w:sz w:val="22"/>
          <w:szCs w:val="22"/>
        </w:rPr>
        <w:t xml:space="preserve"> oznámit včetně její specifikace.</w:t>
      </w:r>
      <w:r w:rsidR="001447E5" w:rsidRPr="009D0AA8">
        <w:rPr>
          <w:sz w:val="22"/>
          <w:szCs w:val="22"/>
        </w:rPr>
        <w:t xml:space="preserve"> </w:t>
      </w:r>
      <w:r w:rsidR="002B4219" w:rsidRPr="009D0AA8">
        <w:rPr>
          <w:sz w:val="22"/>
          <w:szCs w:val="22"/>
        </w:rPr>
        <w:t xml:space="preserve">Kupující je oprávněn dle své volby buď požadovat </w:t>
      </w:r>
      <w:r w:rsidR="002B4219" w:rsidRPr="009D0AA8">
        <w:rPr>
          <w:color w:val="000000"/>
          <w:sz w:val="22"/>
          <w:szCs w:val="22"/>
        </w:rPr>
        <w:t>odstranění vady, kterým se pro účely této smlouvy rozumí pouze výměna zboží za shodné nebo kvalitativně vyšší zboží, nebo odstoupit od dílčí smlouvy v rozsahu vadného plnění.</w:t>
      </w:r>
      <w:r w:rsidR="002B4219" w:rsidRPr="009D0AA8">
        <w:rPr>
          <w:sz w:val="22"/>
          <w:szCs w:val="22"/>
        </w:rPr>
        <w:t xml:space="preserve"> </w:t>
      </w:r>
      <w:r w:rsidR="005266C0" w:rsidRPr="009D0AA8">
        <w:rPr>
          <w:sz w:val="22"/>
          <w:szCs w:val="22"/>
        </w:rPr>
        <w:t xml:space="preserve">Lhůta pro odstranění vad </w:t>
      </w:r>
      <w:r w:rsidR="002B4219" w:rsidRPr="009D0AA8">
        <w:rPr>
          <w:sz w:val="22"/>
          <w:szCs w:val="22"/>
        </w:rPr>
        <w:t xml:space="preserve">(dodání náhradního zboží) </w:t>
      </w:r>
      <w:r w:rsidR="005266C0" w:rsidRPr="009D0AA8">
        <w:rPr>
          <w:sz w:val="22"/>
          <w:szCs w:val="22"/>
        </w:rPr>
        <w:t xml:space="preserve">činí </w:t>
      </w:r>
      <w:r w:rsidR="001C0845">
        <w:rPr>
          <w:sz w:val="22"/>
          <w:szCs w:val="22"/>
        </w:rPr>
        <w:t>10</w:t>
      </w:r>
      <w:r w:rsidR="001C0845" w:rsidRPr="009D0AA8">
        <w:rPr>
          <w:sz w:val="22"/>
          <w:szCs w:val="22"/>
        </w:rPr>
        <w:t xml:space="preserve"> </w:t>
      </w:r>
      <w:r w:rsidR="00AF5208" w:rsidRPr="009D0AA8">
        <w:rPr>
          <w:sz w:val="22"/>
          <w:szCs w:val="22"/>
        </w:rPr>
        <w:t>pracovní</w:t>
      </w:r>
      <w:r w:rsidR="001C0845">
        <w:rPr>
          <w:sz w:val="22"/>
          <w:szCs w:val="22"/>
        </w:rPr>
        <w:t>ch</w:t>
      </w:r>
      <w:r w:rsidR="00114E44" w:rsidRPr="009D0AA8">
        <w:rPr>
          <w:sz w:val="22"/>
          <w:szCs w:val="22"/>
        </w:rPr>
        <w:t xml:space="preserve"> </w:t>
      </w:r>
      <w:r w:rsidR="001C0845" w:rsidRPr="009D0AA8">
        <w:rPr>
          <w:sz w:val="22"/>
          <w:szCs w:val="22"/>
        </w:rPr>
        <w:t>dn</w:t>
      </w:r>
      <w:r w:rsidR="001C0845">
        <w:rPr>
          <w:sz w:val="22"/>
          <w:szCs w:val="22"/>
        </w:rPr>
        <w:t>ů</w:t>
      </w:r>
      <w:r w:rsidR="001C0845" w:rsidRPr="009D0AA8">
        <w:rPr>
          <w:sz w:val="22"/>
          <w:szCs w:val="22"/>
        </w:rPr>
        <w:t xml:space="preserve"> </w:t>
      </w:r>
      <w:r w:rsidR="005266C0" w:rsidRPr="009D0AA8">
        <w:rPr>
          <w:sz w:val="22"/>
          <w:szCs w:val="22"/>
        </w:rPr>
        <w:t xml:space="preserve">od </w:t>
      </w:r>
      <w:r w:rsidR="001447E5" w:rsidRPr="009D0AA8">
        <w:rPr>
          <w:sz w:val="22"/>
          <w:szCs w:val="22"/>
        </w:rPr>
        <w:t xml:space="preserve">jejího </w:t>
      </w:r>
      <w:r w:rsidR="005266C0" w:rsidRPr="009D0AA8">
        <w:rPr>
          <w:sz w:val="22"/>
          <w:szCs w:val="22"/>
        </w:rPr>
        <w:t>nahlášení</w:t>
      </w:r>
      <w:r w:rsidR="00360B19" w:rsidRPr="009D0AA8">
        <w:rPr>
          <w:color w:val="000000"/>
          <w:sz w:val="22"/>
          <w:szCs w:val="22"/>
        </w:rPr>
        <w:t>.</w:t>
      </w:r>
      <w:r w:rsidR="00CC4335" w:rsidRPr="009D0AA8">
        <w:rPr>
          <w:color w:val="000000"/>
          <w:sz w:val="22"/>
          <w:szCs w:val="22"/>
        </w:rPr>
        <w:t xml:space="preserve"> </w:t>
      </w:r>
    </w:p>
    <w:p w:rsidR="004F29D8" w:rsidRDefault="000B7F28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9D0AA8">
        <w:rPr>
          <w:sz w:val="22"/>
          <w:szCs w:val="22"/>
        </w:rPr>
        <w:t xml:space="preserve">V případě prodlení </w:t>
      </w:r>
      <w:r w:rsidR="00F6181D" w:rsidRPr="009D0AA8">
        <w:rPr>
          <w:sz w:val="22"/>
          <w:szCs w:val="22"/>
        </w:rPr>
        <w:t>Prodávajícího</w:t>
      </w:r>
      <w:r w:rsidRPr="009D0AA8">
        <w:rPr>
          <w:sz w:val="22"/>
          <w:szCs w:val="22"/>
        </w:rPr>
        <w:t xml:space="preserve"> s</w:t>
      </w:r>
      <w:r w:rsidR="00F6181D" w:rsidRPr="009D0AA8">
        <w:rPr>
          <w:sz w:val="22"/>
          <w:szCs w:val="22"/>
        </w:rPr>
        <w:t xml:space="preserve"> odstraněním vady </w:t>
      </w:r>
      <w:r w:rsidRPr="009D0AA8">
        <w:rPr>
          <w:sz w:val="22"/>
          <w:szCs w:val="22"/>
        </w:rPr>
        <w:t xml:space="preserve">v termínu dle </w:t>
      </w:r>
      <w:r w:rsidR="00F6181D" w:rsidRPr="009D0AA8">
        <w:rPr>
          <w:sz w:val="22"/>
          <w:szCs w:val="22"/>
        </w:rPr>
        <w:t>tohoto článku smlouvy</w:t>
      </w:r>
      <w:r w:rsidRPr="009D0AA8">
        <w:rPr>
          <w:sz w:val="22"/>
          <w:szCs w:val="22"/>
        </w:rPr>
        <w:t xml:space="preserve"> je </w:t>
      </w:r>
      <w:r w:rsidR="00F6181D" w:rsidRPr="009D0AA8">
        <w:rPr>
          <w:sz w:val="22"/>
          <w:szCs w:val="22"/>
        </w:rPr>
        <w:t>Prodávající</w:t>
      </w:r>
      <w:r w:rsidRPr="009D0AA8">
        <w:rPr>
          <w:sz w:val="22"/>
          <w:szCs w:val="22"/>
        </w:rPr>
        <w:t xml:space="preserve"> povinen uhradit </w:t>
      </w:r>
      <w:r w:rsidR="00F6181D" w:rsidRPr="009D0AA8">
        <w:rPr>
          <w:sz w:val="22"/>
          <w:szCs w:val="22"/>
        </w:rPr>
        <w:t>Kupujícímu</w:t>
      </w:r>
      <w:r w:rsidRPr="009D0AA8">
        <w:rPr>
          <w:sz w:val="22"/>
          <w:szCs w:val="22"/>
        </w:rPr>
        <w:t xml:space="preserve"> smluvní pokutu ve výši </w:t>
      </w:r>
      <w:r w:rsidR="005354A2">
        <w:rPr>
          <w:sz w:val="22"/>
          <w:szCs w:val="22"/>
        </w:rPr>
        <w:t>0,5</w:t>
      </w:r>
      <w:r w:rsidR="005354A2" w:rsidRPr="009D0AA8">
        <w:rPr>
          <w:sz w:val="22"/>
          <w:szCs w:val="22"/>
        </w:rPr>
        <w:t xml:space="preserve"> %</w:t>
      </w:r>
      <w:r w:rsidR="00AF5208" w:rsidRPr="009D0AA8">
        <w:rPr>
          <w:sz w:val="22"/>
          <w:szCs w:val="22"/>
        </w:rPr>
        <w:t xml:space="preserve"> z ceny vadného zboží </w:t>
      </w:r>
      <w:r w:rsidR="00783C16">
        <w:rPr>
          <w:sz w:val="22"/>
          <w:szCs w:val="22"/>
        </w:rPr>
        <w:t xml:space="preserve">včetně DPH </w:t>
      </w:r>
      <w:r w:rsidR="00AF5208" w:rsidRPr="009D0AA8">
        <w:rPr>
          <w:sz w:val="22"/>
          <w:szCs w:val="22"/>
        </w:rPr>
        <w:t>za každ</w:t>
      </w:r>
      <w:r w:rsidR="00114E44" w:rsidRPr="009D0AA8">
        <w:rPr>
          <w:sz w:val="22"/>
          <w:szCs w:val="22"/>
        </w:rPr>
        <w:t>ý den</w:t>
      </w:r>
      <w:r w:rsidR="00AF5208" w:rsidRPr="009D0AA8">
        <w:rPr>
          <w:sz w:val="22"/>
          <w:szCs w:val="22"/>
        </w:rPr>
        <w:t xml:space="preserve"> prodlení</w:t>
      </w:r>
      <w:r w:rsidRPr="009D0AA8">
        <w:rPr>
          <w:sz w:val="22"/>
          <w:szCs w:val="22"/>
        </w:rPr>
        <w:t>.</w:t>
      </w:r>
      <w:r w:rsidR="00964367" w:rsidRPr="009D0AA8">
        <w:rPr>
          <w:sz w:val="22"/>
          <w:szCs w:val="22"/>
        </w:rPr>
        <w:t xml:space="preserve"> Bude-li prodlení </w:t>
      </w:r>
      <w:r w:rsidR="00F6181D" w:rsidRPr="009D0AA8">
        <w:rPr>
          <w:sz w:val="22"/>
          <w:szCs w:val="22"/>
        </w:rPr>
        <w:t>Prodávajícího</w:t>
      </w:r>
      <w:r w:rsidR="00964367" w:rsidRPr="009D0AA8">
        <w:rPr>
          <w:sz w:val="22"/>
          <w:szCs w:val="22"/>
        </w:rPr>
        <w:t xml:space="preserve"> způsobeno výhradně z důvodu neposkytnutí nezbytné součinnosti ze strany </w:t>
      </w:r>
      <w:r w:rsidR="00F6181D" w:rsidRPr="009D0AA8">
        <w:rPr>
          <w:sz w:val="22"/>
          <w:szCs w:val="22"/>
        </w:rPr>
        <w:t>Kupujícího</w:t>
      </w:r>
      <w:r w:rsidR="00964367" w:rsidRPr="009D0AA8">
        <w:rPr>
          <w:sz w:val="22"/>
          <w:szCs w:val="22"/>
        </w:rPr>
        <w:t xml:space="preserve">, prodlužují se adekvátně tomuto prodlení termíny </w:t>
      </w:r>
      <w:r w:rsidR="00F6181D" w:rsidRPr="009D0AA8">
        <w:rPr>
          <w:sz w:val="22"/>
          <w:szCs w:val="22"/>
        </w:rPr>
        <w:t>pro odstranění vady</w:t>
      </w:r>
      <w:r w:rsidR="00964367" w:rsidRPr="009D0AA8">
        <w:rPr>
          <w:sz w:val="22"/>
          <w:szCs w:val="22"/>
        </w:rPr>
        <w:t xml:space="preserve">. Právo </w:t>
      </w:r>
      <w:r w:rsidR="00F6181D" w:rsidRPr="009D0AA8">
        <w:rPr>
          <w:sz w:val="22"/>
          <w:szCs w:val="22"/>
        </w:rPr>
        <w:t>Kupujícího</w:t>
      </w:r>
      <w:r w:rsidR="00964367" w:rsidRPr="009D0AA8">
        <w:rPr>
          <w:sz w:val="22"/>
          <w:szCs w:val="22"/>
        </w:rPr>
        <w:t xml:space="preserve"> na náhradu škody převyšující smluvní pokutu není zaplacením</w:t>
      </w:r>
      <w:r w:rsidR="00964367">
        <w:rPr>
          <w:sz w:val="22"/>
          <w:szCs w:val="22"/>
        </w:rPr>
        <w:t xml:space="preserve"> smluvní pokuty dotčeno.</w:t>
      </w:r>
      <w:r w:rsidR="00EB4BEA">
        <w:rPr>
          <w:sz w:val="22"/>
          <w:szCs w:val="22"/>
        </w:rPr>
        <w:t xml:space="preserve"> </w:t>
      </w:r>
    </w:p>
    <w:p w:rsidR="00CC4335" w:rsidRPr="007C45BF" w:rsidRDefault="004A264A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Nebude-li Prodávající schopen vadu odstranit v termínu dle odst. 4 výše, je povinen tuto skutečnost neprodleně oznámit Kupujícímu. Kupující je oprávněn v takovém případě si dané zboží opatřit sám za obvyklé ceny. Prodávající je povinen uhradit Kupujícímu smluvní pokutu </w:t>
      </w:r>
      <w:r w:rsidRPr="007C45BF">
        <w:rPr>
          <w:sz w:val="22"/>
          <w:szCs w:val="22"/>
        </w:rPr>
        <w:t xml:space="preserve">odpovídající </w:t>
      </w:r>
      <w:r w:rsidR="00114E44" w:rsidRPr="007C45BF">
        <w:rPr>
          <w:sz w:val="22"/>
          <w:szCs w:val="22"/>
        </w:rPr>
        <w:t xml:space="preserve">výši rozdílu ceny uhrazené Kupujícím dle předchozí věty oproti ceně zboží dle přílohy č. </w:t>
      </w:r>
      <w:r w:rsidR="00610076">
        <w:rPr>
          <w:sz w:val="22"/>
          <w:szCs w:val="22"/>
        </w:rPr>
        <w:t>1</w:t>
      </w:r>
      <w:r w:rsidRPr="007C45BF">
        <w:rPr>
          <w:sz w:val="22"/>
          <w:szCs w:val="22"/>
        </w:rPr>
        <w:t xml:space="preserve">. Stejné právo přísluší Kupujícímu též v případě, kdy </w:t>
      </w:r>
      <w:r w:rsidR="00AF5208" w:rsidRPr="007C45BF">
        <w:rPr>
          <w:sz w:val="22"/>
          <w:szCs w:val="22"/>
        </w:rPr>
        <w:t>Kupující odstoupí od dílčí smlouvy v rozsahu vadného plnění dle odst. 4 tohoto článku smlouvy</w:t>
      </w:r>
      <w:r w:rsidR="00CC4335" w:rsidRPr="007C45BF">
        <w:rPr>
          <w:sz w:val="22"/>
          <w:szCs w:val="22"/>
        </w:rPr>
        <w:t>.</w:t>
      </w:r>
    </w:p>
    <w:p w:rsidR="007849D2" w:rsidRDefault="007849D2" w:rsidP="009824B0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437C18" w:rsidRPr="003207A3" w:rsidRDefault="00437C18" w:rsidP="009824B0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F56061" w:rsidRPr="005D4D9E" w:rsidRDefault="00F56061" w:rsidP="00F560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lastRenderedPageBreak/>
        <w:t>Povinnost mlčenlivosti</w:t>
      </w:r>
    </w:p>
    <w:p w:rsidR="00F56061" w:rsidRPr="005D4D9E" w:rsidRDefault="00F56061" w:rsidP="00F56061">
      <w:pPr>
        <w:spacing w:before="60"/>
        <w:jc w:val="center"/>
        <w:rPr>
          <w:b/>
          <w:sz w:val="22"/>
          <w:szCs w:val="22"/>
        </w:rPr>
      </w:pPr>
    </w:p>
    <w:p w:rsidR="00783C16" w:rsidRDefault="00F56061" w:rsidP="00F56061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vzájemně povinny striktně dodržovat mlčenlivost o všech skutečnostech, o kterých se dozví v souvislosti s plněním této smlouvy, s výjimkou skutečností obecně známých (dále jen „důvěrné informace“).</w:t>
      </w:r>
    </w:p>
    <w:p w:rsidR="00F56061" w:rsidRPr="005D4D9E" w:rsidRDefault="00F56061" w:rsidP="00F56061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nejsou za žádných okolností oprávněny poskytnout důvěrné informace třetím osobám, ani užít tyto informace pro jiné </w:t>
      </w:r>
      <w:proofErr w:type="gramStart"/>
      <w:r w:rsidRPr="005D4D9E">
        <w:rPr>
          <w:sz w:val="22"/>
          <w:szCs w:val="22"/>
        </w:rPr>
        <w:t>účely</w:t>
      </w:r>
      <w:proofErr w:type="gramEnd"/>
      <w:r w:rsidRPr="005D4D9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F56061" w:rsidRPr="005D4D9E" w:rsidRDefault="00F56061" w:rsidP="00F56061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oprávněny poskytnout důvěrné informace pouze jejich zaměstnancům a 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</w:p>
    <w:p w:rsidR="00F56061" w:rsidRPr="005D4D9E" w:rsidRDefault="00F56061" w:rsidP="00F56061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F56061" w:rsidRPr="005D4D9E" w:rsidRDefault="00F56061" w:rsidP="00F56061">
      <w:pPr>
        <w:numPr>
          <w:ilvl w:val="0"/>
          <w:numId w:val="10"/>
        </w:numPr>
        <w:spacing w:before="6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:rsidR="00F56061" w:rsidRPr="005D4D9E" w:rsidRDefault="00F56061" w:rsidP="00F56061">
      <w:pPr>
        <w:spacing w:before="60"/>
        <w:jc w:val="center"/>
        <w:rPr>
          <w:b/>
          <w:sz w:val="22"/>
          <w:szCs w:val="22"/>
        </w:rPr>
      </w:pP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</w:t>
      </w:r>
      <w:r>
        <w:rPr>
          <w:sz w:val="22"/>
          <w:szCs w:val="22"/>
        </w:rPr>
        <w:t xml:space="preserve">ato smlouva se uzavírá na dobu </w:t>
      </w:r>
      <w:r w:rsidRPr="005D4D9E">
        <w:rPr>
          <w:sz w:val="22"/>
          <w:szCs w:val="22"/>
        </w:rPr>
        <w:t>určitou</w:t>
      </w:r>
      <w:r>
        <w:rPr>
          <w:sz w:val="22"/>
          <w:szCs w:val="22"/>
        </w:rPr>
        <w:t xml:space="preserve">, a to na dobu </w:t>
      </w:r>
      <w:r w:rsidR="0055760A">
        <w:rPr>
          <w:sz w:val="22"/>
          <w:szCs w:val="22"/>
        </w:rPr>
        <w:t>36 měsíců</w:t>
      </w:r>
      <w:r w:rsidR="00B36577">
        <w:rPr>
          <w:sz w:val="22"/>
          <w:szCs w:val="22"/>
        </w:rPr>
        <w:t xml:space="preserve"> od nabytí účinnosti</w:t>
      </w:r>
      <w:r w:rsidR="00AC2189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>.</w:t>
      </w:r>
      <w:r w:rsidR="00B36577">
        <w:rPr>
          <w:sz w:val="22"/>
          <w:szCs w:val="22"/>
        </w:rPr>
        <w:t xml:space="preserve"> 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:rsidR="00F56061" w:rsidRDefault="00F56061" w:rsidP="00F56061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 w:rsidRPr="00962E9B">
        <w:rPr>
          <w:sz w:val="22"/>
          <w:szCs w:val="22"/>
        </w:rPr>
        <w:t>dohodou smluvních stran</w:t>
      </w:r>
      <w:r>
        <w:rPr>
          <w:sz w:val="22"/>
          <w:szCs w:val="22"/>
        </w:rPr>
        <w:t>;</w:t>
      </w:r>
    </w:p>
    <w:p w:rsidR="00F56061" w:rsidRPr="008F568E" w:rsidRDefault="00F56061" w:rsidP="00F56061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 w:rsidRPr="008F568E">
        <w:rPr>
          <w:sz w:val="22"/>
          <w:szCs w:val="22"/>
        </w:rPr>
        <w:t>odstoupením ze zákonných důvodů</w:t>
      </w:r>
      <w:r w:rsidR="00783C16">
        <w:rPr>
          <w:sz w:val="22"/>
          <w:szCs w:val="22"/>
        </w:rPr>
        <w:t xml:space="preserve"> nebo dle této smlouvy</w:t>
      </w:r>
      <w:r w:rsidRPr="008F568E">
        <w:rPr>
          <w:sz w:val="22"/>
          <w:szCs w:val="22"/>
        </w:rPr>
        <w:t>;</w:t>
      </w:r>
    </w:p>
    <w:p w:rsidR="00F56061" w:rsidRPr="005D4D9E" w:rsidRDefault="00F56061" w:rsidP="00F56061">
      <w:pPr>
        <w:pStyle w:val="Odstavecseseznamem"/>
        <w:numPr>
          <w:ilvl w:val="0"/>
          <w:numId w:val="22"/>
        </w:numPr>
        <w:spacing w:before="60"/>
        <w:jc w:val="both"/>
      </w:pPr>
      <w:r w:rsidRPr="005D4D9E">
        <w:rPr>
          <w:sz w:val="22"/>
          <w:szCs w:val="22"/>
        </w:rPr>
        <w:t>výpovědí bez výpovědní doby:</w:t>
      </w:r>
    </w:p>
    <w:p w:rsidR="00F56061" w:rsidRDefault="00F56061" w:rsidP="00F56061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5D4D9E">
        <w:rPr>
          <w:sz w:val="22"/>
          <w:szCs w:val="22"/>
        </w:rPr>
        <w:t xml:space="preserve"> je oprávněn tuto sml</w:t>
      </w:r>
      <w:r w:rsidR="00306B60">
        <w:rPr>
          <w:sz w:val="22"/>
          <w:szCs w:val="22"/>
        </w:rPr>
        <w:t>ouvu vypovědět, je-li Kupující</w:t>
      </w:r>
      <w:r w:rsidRPr="005D4D9E">
        <w:rPr>
          <w:sz w:val="22"/>
          <w:szCs w:val="22"/>
        </w:rPr>
        <w:t xml:space="preserve"> v prodlení s úhradou ceny </w:t>
      </w:r>
      <w:r>
        <w:rPr>
          <w:sz w:val="22"/>
          <w:szCs w:val="22"/>
        </w:rPr>
        <w:t>dle této smlouvy</w:t>
      </w:r>
      <w:r w:rsidRPr="005D4D9E">
        <w:rPr>
          <w:sz w:val="22"/>
          <w:szCs w:val="22"/>
        </w:rPr>
        <w:t xml:space="preserve"> po dobu delší než 30 dnů, ačkoliv příslušná faktura splňovala všechny náležitosti daňového dokladu a podmínky této smlouvy a</w:t>
      </w:r>
      <w:r w:rsidR="00306B60">
        <w:rPr>
          <w:sz w:val="22"/>
          <w:szCs w:val="22"/>
        </w:rPr>
        <w:t xml:space="preserve"> byla řádně doručena Kupujícímu</w:t>
      </w:r>
      <w:r w:rsidRPr="005D4D9E">
        <w:rPr>
          <w:sz w:val="22"/>
          <w:szCs w:val="22"/>
        </w:rPr>
        <w:t>.</w:t>
      </w:r>
    </w:p>
    <w:p w:rsidR="00F56061" w:rsidRPr="003708AA" w:rsidRDefault="00F56061" w:rsidP="00F56061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5D4D9E">
        <w:rPr>
          <w:sz w:val="22"/>
          <w:szCs w:val="22"/>
        </w:rPr>
        <w:t xml:space="preserve"> je oprávněn tuto smlouvu vypovědět při podstatném porušení povinností </w:t>
      </w:r>
      <w:r>
        <w:rPr>
          <w:sz w:val="22"/>
          <w:szCs w:val="22"/>
        </w:rPr>
        <w:t>Prodávajícího</w:t>
      </w:r>
      <w:r w:rsidRPr="005D4D9E">
        <w:rPr>
          <w:sz w:val="22"/>
          <w:szCs w:val="22"/>
        </w:rPr>
        <w:t xml:space="preserve"> dle této </w:t>
      </w:r>
      <w:r w:rsidRPr="003708AA">
        <w:rPr>
          <w:sz w:val="22"/>
          <w:szCs w:val="22"/>
        </w:rPr>
        <w:t xml:space="preserve">smlouvy, zejména </w:t>
      </w:r>
      <w:r w:rsidRPr="007C45BF">
        <w:rPr>
          <w:sz w:val="22"/>
          <w:szCs w:val="22"/>
        </w:rPr>
        <w:t xml:space="preserve">při </w:t>
      </w:r>
      <w:r w:rsidR="00C94573" w:rsidRPr="007C45BF">
        <w:rPr>
          <w:sz w:val="22"/>
          <w:szCs w:val="22"/>
        </w:rPr>
        <w:t>o</w:t>
      </w:r>
      <w:r w:rsidR="0026699E" w:rsidRPr="007C45BF">
        <w:rPr>
          <w:sz w:val="22"/>
          <w:szCs w:val="22"/>
        </w:rPr>
        <w:t>pakovaném (alespoň 3</w:t>
      </w:r>
      <w:r w:rsidRPr="007C45BF">
        <w:rPr>
          <w:sz w:val="22"/>
          <w:szCs w:val="22"/>
        </w:rPr>
        <w:t xml:space="preserve">x) </w:t>
      </w:r>
      <w:r w:rsidR="00AF5208" w:rsidRPr="007C45BF">
        <w:rPr>
          <w:sz w:val="22"/>
          <w:szCs w:val="22"/>
        </w:rPr>
        <w:t xml:space="preserve">porušení </w:t>
      </w:r>
      <w:r w:rsidR="003708AA" w:rsidRPr="007C45BF">
        <w:rPr>
          <w:sz w:val="22"/>
          <w:szCs w:val="22"/>
        </w:rPr>
        <w:t xml:space="preserve">kterékoli </w:t>
      </w:r>
      <w:r w:rsidR="00AF5208" w:rsidRPr="007C45BF">
        <w:rPr>
          <w:sz w:val="22"/>
          <w:szCs w:val="22"/>
        </w:rPr>
        <w:t>povinností</w:t>
      </w:r>
      <w:r w:rsidRPr="007C45BF">
        <w:rPr>
          <w:sz w:val="22"/>
          <w:szCs w:val="22"/>
        </w:rPr>
        <w:t xml:space="preserve"> Prodávajícího dle čl. </w:t>
      </w:r>
      <w:r w:rsidR="003708AA" w:rsidRPr="007C45BF">
        <w:rPr>
          <w:sz w:val="22"/>
          <w:szCs w:val="22"/>
        </w:rPr>
        <w:t xml:space="preserve">III., čl. </w:t>
      </w:r>
      <w:r w:rsidRPr="007C45BF">
        <w:rPr>
          <w:sz w:val="22"/>
          <w:szCs w:val="22"/>
        </w:rPr>
        <w:t xml:space="preserve">IV. odst. </w:t>
      </w:r>
      <w:r w:rsidR="003708AA" w:rsidRPr="007C45BF">
        <w:rPr>
          <w:sz w:val="22"/>
          <w:szCs w:val="22"/>
        </w:rPr>
        <w:t>2 a čl. VI. odst. 4</w:t>
      </w:r>
      <w:r w:rsidRPr="007C45BF">
        <w:rPr>
          <w:sz w:val="22"/>
          <w:szCs w:val="22"/>
        </w:rPr>
        <w:t xml:space="preserve"> této</w:t>
      </w:r>
      <w:r w:rsidRPr="003708AA">
        <w:rPr>
          <w:sz w:val="22"/>
          <w:szCs w:val="22"/>
        </w:rPr>
        <w:t xml:space="preserve"> smlouvy.</w:t>
      </w:r>
    </w:p>
    <w:p w:rsidR="00F56061" w:rsidRPr="00FB3DB3" w:rsidRDefault="00F56061" w:rsidP="00F56061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F56061" w:rsidRDefault="00C94573" w:rsidP="00F56061">
      <w:pPr>
        <w:widowControl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="00F56061" w:rsidRPr="005D4D9E">
        <w:rPr>
          <w:sz w:val="22"/>
          <w:szCs w:val="22"/>
        </w:rPr>
        <w:t xml:space="preserve"> zaniká okamžikem doručení </w:t>
      </w:r>
      <w:r w:rsidR="00F56061">
        <w:rPr>
          <w:sz w:val="22"/>
          <w:szCs w:val="22"/>
        </w:rPr>
        <w:t xml:space="preserve">písemné </w:t>
      </w:r>
      <w:r w:rsidR="00F56061" w:rsidRPr="005D4D9E">
        <w:rPr>
          <w:sz w:val="22"/>
          <w:szCs w:val="22"/>
        </w:rPr>
        <w:t>výpovědi</w:t>
      </w:r>
      <w:r w:rsidR="00F56061">
        <w:rPr>
          <w:sz w:val="22"/>
          <w:szCs w:val="22"/>
        </w:rPr>
        <w:t xml:space="preserve"> zaslané formou doporučeného dopisu</w:t>
      </w:r>
      <w:r w:rsidR="00F56061" w:rsidRPr="005D4D9E">
        <w:rPr>
          <w:sz w:val="22"/>
          <w:szCs w:val="22"/>
        </w:rPr>
        <w:t xml:space="preserve"> druhé smluvní straně.</w:t>
      </w:r>
      <w:r>
        <w:rPr>
          <w:sz w:val="22"/>
          <w:szCs w:val="22"/>
        </w:rPr>
        <w:t xml:space="preserve"> Prodávající je povinen dodat Kupujícímu zboží dle objednávek přijatých přede dnem zániku této smlouvy a Kupující je povinen uhradit mu cenu za takto dodané zboží, nedohodnou-li se smluvní strany jinak.</w:t>
      </w:r>
    </w:p>
    <w:p w:rsidR="00DB2D4D" w:rsidRPr="00DB2D4D" w:rsidRDefault="00DB2D4D" w:rsidP="00DB2D4D">
      <w:pPr>
        <w:pStyle w:val="Odstavecseseznamem"/>
        <w:numPr>
          <w:ilvl w:val="0"/>
          <w:numId w:val="22"/>
        </w:numPr>
        <w:spacing w:before="60"/>
        <w:jc w:val="both"/>
      </w:pPr>
      <w:r w:rsidRPr="005D4D9E">
        <w:rPr>
          <w:sz w:val="22"/>
          <w:szCs w:val="22"/>
        </w:rPr>
        <w:t xml:space="preserve">výpovědí </w:t>
      </w:r>
      <w:r>
        <w:rPr>
          <w:sz w:val="22"/>
          <w:szCs w:val="22"/>
        </w:rPr>
        <w:t>s výpovědní dobou</w:t>
      </w:r>
      <w:r w:rsidRPr="005D4D9E">
        <w:rPr>
          <w:sz w:val="22"/>
          <w:szCs w:val="22"/>
        </w:rPr>
        <w:t>:</w:t>
      </w:r>
    </w:p>
    <w:p w:rsidR="00DB2D4D" w:rsidRPr="00DB2D4D" w:rsidRDefault="00DB2D4D" w:rsidP="00DB2D4D">
      <w:pPr>
        <w:pStyle w:val="Odstavecseseznamem"/>
        <w:numPr>
          <w:ilvl w:val="4"/>
          <w:numId w:val="2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5D4D9E">
        <w:rPr>
          <w:sz w:val="22"/>
          <w:szCs w:val="22"/>
        </w:rPr>
        <w:t xml:space="preserve"> je oprávněn tuto smlouvu vypovědět</w:t>
      </w:r>
      <w:r>
        <w:rPr>
          <w:sz w:val="22"/>
          <w:szCs w:val="22"/>
        </w:rPr>
        <w:t xml:space="preserve"> i bez udání důvodu s výpovědní lhůtou </w:t>
      </w:r>
      <w:r w:rsidR="00565411">
        <w:rPr>
          <w:sz w:val="22"/>
          <w:szCs w:val="22"/>
        </w:rPr>
        <w:t>3</w:t>
      </w:r>
      <w:r>
        <w:rPr>
          <w:sz w:val="22"/>
          <w:szCs w:val="22"/>
        </w:rPr>
        <w:t xml:space="preserve"> měsíce.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účinnosti této smlouvy.</w:t>
      </w:r>
    </w:p>
    <w:p w:rsidR="00F14161" w:rsidRPr="003207A3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Závěrečná ustanovení</w:t>
      </w:r>
    </w:p>
    <w:p w:rsidR="00BE349C" w:rsidRPr="003207A3" w:rsidRDefault="00BE349C" w:rsidP="00CC33C0">
      <w:pPr>
        <w:spacing w:before="60"/>
        <w:jc w:val="center"/>
        <w:rPr>
          <w:b/>
          <w:sz w:val="22"/>
          <w:szCs w:val="22"/>
        </w:rPr>
      </w:pPr>
    </w:p>
    <w:p w:rsidR="00B36577" w:rsidRDefault="00B36577" w:rsidP="00A0382A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Smlouva nabývá platnosti ke dni podpisu smluvních stran a účinnosti dnem zveřejnění v registru smluv.</w:t>
      </w:r>
    </w:p>
    <w:p w:rsidR="00A0382A" w:rsidRPr="000F4F7E" w:rsidRDefault="00A0382A" w:rsidP="00A0382A">
      <w:pPr>
        <w:numPr>
          <w:ilvl w:val="0"/>
          <w:numId w:val="9"/>
        </w:numPr>
        <w:jc w:val="both"/>
        <w:rPr>
          <w:sz w:val="22"/>
          <w:szCs w:val="22"/>
        </w:rPr>
      </w:pPr>
      <w:r w:rsidRPr="000F4F7E">
        <w:rPr>
          <w:sz w:val="22"/>
          <w:szCs w:val="22"/>
        </w:rPr>
        <w:t>Smluvní strany se dohodly, že kontaktními osobami pro provozní záležitosti dle této smlouvy budou tito zástupci smluvních stran:</w:t>
      </w:r>
    </w:p>
    <w:p w:rsidR="00A0382A" w:rsidRPr="00C366DA" w:rsidRDefault="00306B60" w:rsidP="00A0382A">
      <w:pPr>
        <w:pStyle w:val="Odstavecseseznamem"/>
        <w:spacing w:before="120"/>
        <w:jc w:val="both"/>
        <w:rPr>
          <w:sz w:val="22"/>
          <w:szCs w:val="22"/>
        </w:rPr>
      </w:pPr>
      <w:r w:rsidRPr="00C366DA">
        <w:rPr>
          <w:sz w:val="22"/>
          <w:szCs w:val="22"/>
          <w:u w:val="single"/>
        </w:rPr>
        <w:t>Kupující</w:t>
      </w:r>
      <w:r w:rsidR="00A0382A" w:rsidRPr="00C366DA">
        <w:rPr>
          <w:sz w:val="22"/>
          <w:szCs w:val="22"/>
        </w:rPr>
        <w:t>:</w:t>
      </w:r>
    </w:p>
    <w:p w:rsidR="00A0382A" w:rsidRPr="00545407" w:rsidRDefault="00545407" w:rsidP="00A0382A">
      <w:pPr>
        <w:ind w:left="709" w:firstLine="709"/>
        <w:jc w:val="both"/>
        <w:rPr>
          <w:sz w:val="22"/>
          <w:szCs w:val="22"/>
        </w:rPr>
      </w:pPr>
      <w:r w:rsidRPr="00545407">
        <w:rPr>
          <w:sz w:val="22"/>
          <w:szCs w:val="22"/>
        </w:rPr>
        <w:t>Pavel Fišera</w:t>
      </w:r>
      <w:r w:rsidR="00A0382A" w:rsidRPr="00545407">
        <w:rPr>
          <w:sz w:val="22"/>
          <w:szCs w:val="22"/>
        </w:rPr>
        <w:t xml:space="preserve"> </w:t>
      </w:r>
    </w:p>
    <w:p w:rsidR="00A0382A" w:rsidRPr="000F4F7E" w:rsidRDefault="008B5941" w:rsidP="00A0382A">
      <w:pPr>
        <w:ind w:left="709" w:firstLine="709"/>
        <w:jc w:val="both"/>
        <w:rPr>
          <w:sz w:val="22"/>
          <w:szCs w:val="22"/>
        </w:rPr>
      </w:pPr>
      <w:r w:rsidRPr="00545407">
        <w:rPr>
          <w:sz w:val="22"/>
          <w:szCs w:val="22"/>
        </w:rPr>
        <w:t>tel.:</w:t>
      </w:r>
      <w:r w:rsidR="00545407" w:rsidRPr="00545407">
        <w:rPr>
          <w:sz w:val="22"/>
          <w:szCs w:val="22"/>
        </w:rPr>
        <w:t xml:space="preserve"> +420720844541</w:t>
      </w:r>
      <w:r w:rsidR="00A0382A" w:rsidRPr="00545407">
        <w:rPr>
          <w:sz w:val="22"/>
          <w:szCs w:val="22"/>
        </w:rPr>
        <w:t xml:space="preserve">, </w:t>
      </w:r>
      <w:r w:rsidR="004858C1" w:rsidRPr="00545407">
        <w:rPr>
          <w:sz w:val="22"/>
          <w:szCs w:val="22"/>
        </w:rPr>
        <w:t>e-mail:</w:t>
      </w:r>
      <w:r w:rsidR="00545407" w:rsidRPr="00545407">
        <w:rPr>
          <w:sz w:val="22"/>
          <w:szCs w:val="22"/>
        </w:rPr>
        <w:t xml:space="preserve"> fiserap@janskelazne.com</w:t>
      </w:r>
    </w:p>
    <w:p w:rsidR="00A0382A" w:rsidRPr="000F4F7E" w:rsidRDefault="00A0382A" w:rsidP="00A0382A">
      <w:pPr>
        <w:ind w:left="709"/>
        <w:jc w:val="both"/>
        <w:rPr>
          <w:sz w:val="22"/>
          <w:szCs w:val="22"/>
        </w:rPr>
      </w:pPr>
    </w:p>
    <w:p w:rsidR="00A0382A" w:rsidRDefault="00306B60" w:rsidP="00A0382A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Prodávající</w:t>
      </w:r>
      <w:r w:rsidR="00A0382A" w:rsidRPr="000F4F7E">
        <w:rPr>
          <w:sz w:val="22"/>
          <w:szCs w:val="22"/>
        </w:rPr>
        <w:t>:</w:t>
      </w:r>
      <w:r w:rsidR="00A0382A">
        <w:rPr>
          <w:sz w:val="22"/>
          <w:szCs w:val="22"/>
        </w:rPr>
        <w:tab/>
      </w:r>
    </w:p>
    <w:p w:rsidR="00783C16" w:rsidRPr="000F4F7E" w:rsidRDefault="007E0514" w:rsidP="007E05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Bc. David </w:t>
      </w:r>
      <w:proofErr w:type="spellStart"/>
      <w:r>
        <w:rPr>
          <w:sz w:val="22"/>
          <w:szCs w:val="22"/>
        </w:rPr>
        <w:t>Bernart</w:t>
      </w:r>
      <w:proofErr w:type="spellEnd"/>
      <w:r>
        <w:rPr>
          <w:sz w:val="22"/>
          <w:szCs w:val="22"/>
        </w:rPr>
        <w:t>, obchodní manažer</w:t>
      </w:r>
      <w:r w:rsidR="00783C16" w:rsidRPr="000F4F7E">
        <w:rPr>
          <w:sz w:val="22"/>
          <w:szCs w:val="22"/>
        </w:rPr>
        <w:t xml:space="preserve"> </w:t>
      </w:r>
    </w:p>
    <w:p w:rsidR="00783C16" w:rsidRDefault="007E0514" w:rsidP="00A0382A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tel.: +420607954991, e-mail: </w:t>
      </w:r>
      <w:hyperlink r:id="rId8" w:history="1">
        <w:r w:rsidRPr="00E86259">
          <w:rPr>
            <w:rStyle w:val="Hypertextovodkaz"/>
            <w:sz w:val="22"/>
            <w:szCs w:val="22"/>
          </w:rPr>
          <w:t>obchod@hippoinvestdevelopment.cz</w:t>
        </w:r>
      </w:hyperlink>
    </w:p>
    <w:p w:rsidR="007E0514" w:rsidRPr="00783C16" w:rsidRDefault="007E0514" w:rsidP="00A0382A">
      <w:pPr>
        <w:ind w:left="709"/>
        <w:jc w:val="both"/>
        <w:rPr>
          <w:sz w:val="22"/>
          <w:szCs w:val="22"/>
        </w:rPr>
      </w:pPr>
    </w:p>
    <w:p w:rsidR="00A0382A" w:rsidRPr="00A0382A" w:rsidRDefault="00A0382A" w:rsidP="00A0382A">
      <w:pPr>
        <w:spacing w:before="60"/>
        <w:ind w:left="426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Smluvní strany se dohodly, že změnu kontaktních osob či jejich údajů je možné provést též formou emailu. </w:t>
      </w:r>
    </w:p>
    <w:p w:rsidR="00F95A88" w:rsidRPr="007C45BF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Prodávající na sebe přebírá nebezpečí změny okolností dle § 1765 odst. 2 zákona č. 89/2012 Sb., </w:t>
      </w:r>
      <w:r w:rsidRPr="007C45BF">
        <w:rPr>
          <w:sz w:val="22"/>
          <w:szCs w:val="22"/>
        </w:rPr>
        <w:t xml:space="preserve">občanského zákoníku, v platném znění. </w:t>
      </w:r>
    </w:p>
    <w:p w:rsidR="00CB2983" w:rsidRPr="007C45BF" w:rsidRDefault="00CB298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7C45BF">
        <w:rPr>
          <w:sz w:val="22"/>
          <w:szCs w:val="22"/>
        </w:rPr>
        <w:t>Smluvní strany tímto výslovně vylučují použití ustanovení § 2093 zákona č. 89/2012 Sb., občanský zákoník, v platném znění, tedy v případě, že Prodávající dodá Kupujícímu větší množství zboží, než bylo ujednáno touto smlouvou, není uzavřena kupní smlouva ohledně zboží dodaného navíc, a to ani v případě, že Kupující zboží neodmítne převzít; pokud se smluvní strany nedohodnou jinak, zůstává navíc dodané zboží ve vlastnictví Prodávajícího, který je povinen si jej od Kupujícího odvézt a uhradit mu případně vzniklé náklady na jeho uskladnění.</w:t>
      </w:r>
    </w:p>
    <w:p w:rsidR="00283EFD" w:rsidRDefault="00283EFD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283EFD">
        <w:rPr>
          <w:sz w:val="22"/>
          <w:szCs w:val="22"/>
        </w:rPr>
        <w:t>Prodávající je oprávněn plnit závazky, které mu vyplývají z této Smlouvy i prostřednictvím třetích osob. V takovém případě Prodávající odpovídá, jako by plnil sám</w:t>
      </w:r>
      <w:r>
        <w:rPr>
          <w:sz w:val="22"/>
          <w:szCs w:val="22"/>
        </w:rPr>
        <w:t>.</w:t>
      </w:r>
    </w:p>
    <w:p w:rsidR="00F95A88" w:rsidRP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Mimo případy subdodávek dle zákona č. 134/2016 Sb., o zadávání veřejných zakázek, ve znění pozdějších předpisů, se pro účely této smlouvy vylučuje postoupení smlouvy dle § 1895 </w:t>
      </w:r>
      <w:r>
        <w:rPr>
          <w:sz w:val="22"/>
          <w:szCs w:val="22"/>
        </w:rPr>
        <w:t>občanského zákoníku</w:t>
      </w:r>
      <w:r w:rsidR="003102D3">
        <w:rPr>
          <w:sz w:val="22"/>
          <w:szCs w:val="22"/>
        </w:rPr>
        <w:t xml:space="preserve">, tj. </w:t>
      </w:r>
      <w:r w:rsidR="00C94573">
        <w:rPr>
          <w:sz w:val="22"/>
          <w:szCs w:val="22"/>
        </w:rPr>
        <w:t>smluvní strany</w:t>
      </w:r>
      <w:r w:rsidRPr="00F95A88">
        <w:rPr>
          <w:sz w:val="22"/>
          <w:szCs w:val="22"/>
        </w:rPr>
        <w:t xml:space="preserve"> ne</w:t>
      </w:r>
      <w:r w:rsidR="00C94573">
        <w:rPr>
          <w:sz w:val="22"/>
          <w:szCs w:val="22"/>
        </w:rPr>
        <w:t>jsou</w:t>
      </w:r>
      <w:r w:rsidRPr="00F95A88">
        <w:rPr>
          <w:sz w:val="22"/>
          <w:szCs w:val="22"/>
        </w:rPr>
        <w:t xml:space="preserve"> oprávněn</w:t>
      </w:r>
      <w:r w:rsidR="00C94573">
        <w:rPr>
          <w:sz w:val="22"/>
          <w:szCs w:val="22"/>
        </w:rPr>
        <w:t>y</w:t>
      </w:r>
      <w:r w:rsidRPr="00F95A88">
        <w:rPr>
          <w:sz w:val="22"/>
          <w:szCs w:val="22"/>
        </w:rPr>
        <w:t xml:space="preserve"> postoupit svá práva a povinnosti z této smlouvy nebo její části třetí osobě. </w:t>
      </w:r>
    </w:p>
    <w:p w:rsid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>Prodávajícímu nevzniká nárok na úhradu jakýchkoliv nákladů spojených s přípravou realizace anebo s realizací předmětu smlouvy.</w:t>
      </w:r>
    </w:p>
    <w:p w:rsidR="003207A3" w:rsidRP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listině; to platí i pro vzdání se písemné formy. </w:t>
      </w:r>
    </w:p>
    <w:p w:rsidR="00971545" w:rsidRDefault="004A264A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Veškeré</w:t>
      </w:r>
      <w:r w:rsidR="00232DA2">
        <w:rPr>
          <w:sz w:val="22"/>
          <w:szCs w:val="22"/>
        </w:rPr>
        <w:t xml:space="preserve"> </w:t>
      </w:r>
      <w:r>
        <w:rPr>
          <w:sz w:val="22"/>
          <w:szCs w:val="22"/>
        </w:rPr>
        <w:t>úkony</w:t>
      </w:r>
      <w:r w:rsidR="00232DA2">
        <w:rPr>
          <w:sz w:val="22"/>
          <w:szCs w:val="22"/>
        </w:rPr>
        <w:t xml:space="preserve"> mezi smluvními stranami, kter</w:t>
      </w:r>
      <w:r>
        <w:rPr>
          <w:sz w:val="22"/>
          <w:szCs w:val="22"/>
        </w:rPr>
        <w:t>é mají vliv na platnost, účinnost a obsah této smlouvy</w:t>
      </w:r>
      <w:r w:rsidR="00232DA2">
        <w:rPr>
          <w:sz w:val="22"/>
          <w:szCs w:val="22"/>
        </w:rPr>
        <w:t xml:space="preserve">, musí být učiněna písemně a doručena druhé smluvní straně osobně, prostřednictvím datové schránky či poštou, není-li ve smlouvě uvedeno jinak. </w:t>
      </w:r>
      <w:r>
        <w:rPr>
          <w:sz w:val="22"/>
          <w:szCs w:val="22"/>
        </w:rPr>
        <w:t xml:space="preserve">Ostatní úkony dle této smlouvy mohou být učiněny též formou emailu, v případě oznámení o nemožnosti dodání části zboží též telefonicky; na žádost smluvní strany je druhá smluvní strana povinna své ústní, resp. emailové oznámení potvrdit v písemné podobě. </w:t>
      </w:r>
    </w:p>
    <w:p w:rsidR="003207A3" w:rsidRP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Jakákoliv změna adresy musí být druhé smluvní straně </w:t>
      </w:r>
      <w:r w:rsidR="005921AA">
        <w:rPr>
          <w:sz w:val="22"/>
          <w:szCs w:val="22"/>
        </w:rPr>
        <w:t>sdělena</w:t>
      </w:r>
      <w:r w:rsidRPr="003207A3">
        <w:rPr>
          <w:sz w:val="22"/>
          <w:szCs w:val="22"/>
        </w:rPr>
        <w:t xml:space="preserve"> bez zbytečného prodlení. V případě zaslání písemnosti prostřednictvím poskytovatele poštovních služeb se zásilka považuje za </w:t>
      </w:r>
      <w:r w:rsidR="00B609D4">
        <w:rPr>
          <w:sz w:val="22"/>
          <w:szCs w:val="22"/>
        </w:rPr>
        <w:t>doručenou</w:t>
      </w:r>
      <w:r w:rsidRPr="003207A3">
        <w:rPr>
          <w:sz w:val="22"/>
          <w:szCs w:val="22"/>
        </w:rPr>
        <w:t xml:space="preserve"> i v případě, že si smluvní strana zásilku nevyzvedne</w:t>
      </w:r>
      <w:r w:rsidR="00B609D4">
        <w:rPr>
          <w:sz w:val="22"/>
          <w:szCs w:val="22"/>
        </w:rPr>
        <w:t xml:space="preserve">, a to </w:t>
      </w:r>
      <w:r w:rsidR="00C94573">
        <w:rPr>
          <w:sz w:val="22"/>
          <w:szCs w:val="22"/>
        </w:rPr>
        <w:t>3</w:t>
      </w:r>
      <w:r w:rsidR="00B609D4">
        <w:rPr>
          <w:sz w:val="22"/>
          <w:szCs w:val="22"/>
        </w:rPr>
        <w:t>. dnem poté</w:t>
      </w:r>
      <w:r w:rsidR="00B609D4" w:rsidRPr="003207A3">
        <w:rPr>
          <w:sz w:val="22"/>
          <w:szCs w:val="22"/>
        </w:rPr>
        <w:t>, kdy byla připravena k vyzvednutí</w:t>
      </w:r>
      <w:r w:rsidRPr="003207A3">
        <w:rPr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>
        <w:rPr>
          <w:sz w:val="22"/>
          <w:szCs w:val="22"/>
        </w:rPr>
        <w:t>doručenou</w:t>
      </w:r>
      <w:r w:rsidRPr="003207A3">
        <w:rPr>
          <w:sz w:val="22"/>
          <w:szCs w:val="22"/>
        </w:rPr>
        <w:t>.</w:t>
      </w:r>
    </w:p>
    <w:p w:rsid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A44DE2" w:rsidRPr="003207A3" w:rsidRDefault="00A44DE2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231010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Nedílnou součástí této smlouvy </w:t>
      </w:r>
      <w:r w:rsidR="00231010">
        <w:rPr>
          <w:sz w:val="22"/>
          <w:szCs w:val="22"/>
        </w:rPr>
        <w:t>jsou její přílohy:</w:t>
      </w:r>
      <w:r w:rsidRPr="003207A3">
        <w:rPr>
          <w:sz w:val="22"/>
          <w:szCs w:val="22"/>
        </w:rPr>
        <w:t xml:space="preserve"> </w:t>
      </w:r>
    </w:p>
    <w:p w:rsidR="003207A3" w:rsidRDefault="00231010" w:rsidP="00610076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r w:rsidR="003207A3" w:rsidRPr="003207A3">
        <w:rPr>
          <w:sz w:val="22"/>
          <w:szCs w:val="22"/>
        </w:rPr>
        <w:t xml:space="preserve">č. 1 </w:t>
      </w:r>
      <w:r w:rsidRPr="007C45BF">
        <w:rPr>
          <w:sz w:val="22"/>
          <w:szCs w:val="22"/>
        </w:rPr>
        <w:t xml:space="preserve">– </w:t>
      </w:r>
      <w:r w:rsidR="004858C1" w:rsidRPr="00C935C1">
        <w:rPr>
          <w:color w:val="000000"/>
          <w:sz w:val="22"/>
          <w:szCs w:val="22"/>
        </w:rPr>
        <w:t xml:space="preserve">Specifikace </w:t>
      </w:r>
      <w:r w:rsidR="004858C1">
        <w:rPr>
          <w:color w:val="000000"/>
          <w:sz w:val="22"/>
          <w:szCs w:val="22"/>
        </w:rPr>
        <w:t>zboží</w:t>
      </w:r>
    </w:p>
    <w:p w:rsidR="00404D05" w:rsidRPr="000A7AAA" w:rsidRDefault="00404D05" w:rsidP="00404D05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04"/>
      </w:tblGrid>
      <w:tr w:rsidR="00404D05" w:rsidRPr="000A7AAA">
        <w:tc>
          <w:tcPr>
            <w:tcW w:w="4643" w:type="dxa"/>
          </w:tcPr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  <w:r w:rsidRPr="004724EB">
              <w:rPr>
                <w:kern w:val="28"/>
                <w:sz w:val="22"/>
                <w:szCs w:val="22"/>
                <w:lang w:eastAsia="zh-CN"/>
              </w:rPr>
              <w:t>V Janských Lázních dne ……….</w:t>
            </w:r>
          </w:p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</w:p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</w:p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</w:p>
          <w:p w:rsidR="00404D05" w:rsidRPr="000758CC" w:rsidRDefault="00404D05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24EB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  <w:r w:rsidRPr="004724EB">
              <w:rPr>
                <w:kern w:val="28"/>
                <w:sz w:val="22"/>
                <w:szCs w:val="22"/>
                <w:lang w:eastAsia="zh-CN"/>
              </w:rPr>
              <w:t>V </w:t>
            </w:r>
            <w:r w:rsidR="006546DD">
              <w:rPr>
                <w:kern w:val="28"/>
                <w:sz w:val="22"/>
                <w:szCs w:val="22"/>
                <w:lang w:eastAsia="zh-CN"/>
              </w:rPr>
              <w:t>Černožicích</w:t>
            </w:r>
            <w:r w:rsidRPr="004724EB">
              <w:rPr>
                <w:rFonts w:ascii="Arial" w:hAnsi="Arial" w:cs="Arial"/>
                <w:kern w:val="28"/>
                <w:sz w:val="22"/>
                <w:szCs w:val="22"/>
                <w:lang w:eastAsia="zh-CN"/>
              </w:rPr>
              <w:t xml:space="preserve"> </w:t>
            </w:r>
            <w:r w:rsidR="006546DD">
              <w:rPr>
                <w:kern w:val="28"/>
                <w:sz w:val="22"/>
                <w:szCs w:val="22"/>
                <w:lang w:eastAsia="zh-CN"/>
              </w:rPr>
              <w:t>dne 16.04. 2026</w:t>
            </w:r>
          </w:p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</w:p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</w:p>
          <w:p w:rsidR="00404D05" w:rsidRPr="004724EB" w:rsidRDefault="00404D05">
            <w:pPr>
              <w:spacing w:before="60"/>
              <w:jc w:val="both"/>
              <w:rPr>
                <w:kern w:val="28"/>
                <w:sz w:val="22"/>
                <w:szCs w:val="22"/>
                <w:lang w:eastAsia="zh-CN"/>
              </w:rPr>
            </w:pPr>
          </w:p>
          <w:p w:rsidR="00404D05" w:rsidRPr="000758CC" w:rsidRDefault="00404D05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24EB"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404D05" w:rsidRPr="000A7AAA">
        <w:tc>
          <w:tcPr>
            <w:tcW w:w="4643" w:type="dxa"/>
          </w:tcPr>
          <w:p w:rsidR="00404D05" w:rsidRPr="004724EB" w:rsidRDefault="00404D05">
            <w:pPr>
              <w:spacing w:before="60"/>
              <w:rPr>
                <w:b/>
                <w:sz w:val="22"/>
                <w:szCs w:val="22"/>
              </w:rPr>
            </w:pPr>
            <w:r w:rsidRPr="004724E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404D05" w:rsidRPr="004046D7" w:rsidRDefault="00437C1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404D05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404D05" w:rsidRPr="00ED020D" w:rsidRDefault="006546DD">
            <w:pPr>
              <w:spacing w:before="60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zh-CN"/>
              </w:rPr>
              <w:t>HIPPOinvest</w:t>
            </w:r>
            <w:proofErr w:type="spellEnd"/>
            <w:r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zh-CN"/>
              </w:rPr>
              <w:t>Development</w:t>
            </w:r>
            <w:proofErr w:type="spellEnd"/>
            <w:r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eastAsia="zh-CN"/>
              </w:rPr>
              <w:t xml:space="preserve"> a.s.</w:t>
            </w:r>
          </w:p>
          <w:p w:rsidR="00404D05" w:rsidRPr="00AD340D" w:rsidRDefault="00437C1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6546DD">
              <w:rPr>
                <w:sz w:val="22"/>
                <w:szCs w:val="22"/>
              </w:rPr>
              <w:t xml:space="preserve"> předseda představenstva</w:t>
            </w:r>
          </w:p>
        </w:tc>
      </w:tr>
    </w:tbl>
    <w:p w:rsidR="004858C1" w:rsidRDefault="004858C1" w:rsidP="004858C1">
      <w:pPr>
        <w:pStyle w:val="Odstavecseseznamem"/>
        <w:tabs>
          <w:tab w:val="left" w:pos="426"/>
        </w:tabs>
        <w:spacing w:before="60"/>
        <w:ind w:left="0"/>
        <w:jc w:val="both"/>
        <w:rPr>
          <w:sz w:val="22"/>
          <w:szCs w:val="22"/>
        </w:rPr>
        <w:sectPr w:rsidR="004858C1" w:rsidSect="002F1373">
          <w:headerReference w:type="even" r:id="rId9"/>
          <w:headerReference w:type="default" r:id="rId10"/>
          <w:footerReference w:type="default" r:id="rId11"/>
          <w:pgSz w:w="11906" w:h="16838"/>
          <w:pgMar w:top="1361" w:right="1361" w:bottom="1361" w:left="1361" w:header="708" w:footer="708" w:gutter="0"/>
          <w:cols w:space="708"/>
          <w:docGrid w:linePitch="360"/>
        </w:sectPr>
      </w:pPr>
    </w:p>
    <w:p w:rsidR="004858C1" w:rsidRDefault="004858C1" w:rsidP="004858C1">
      <w:pPr>
        <w:pStyle w:val="Odstavecseseznamem"/>
        <w:tabs>
          <w:tab w:val="left" w:pos="426"/>
        </w:tabs>
        <w:spacing w:before="60"/>
        <w:ind w:left="0"/>
        <w:jc w:val="both"/>
        <w:rPr>
          <w:b/>
          <w:bCs/>
          <w:color w:val="000000"/>
          <w:sz w:val="22"/>
          <w:szCs w:val="22"/>
        </w:rPr>
      </w:pPr>
      <w:r w:rsidRPr="00F33C74">
        <w:rPr>
          <w:b/>
          <w:bCs/>
          <w:sz w:val="22"/>
          <w:szCs w:val="22"/>
        </w:rPr>
        <w:lastRenderedPageBreak/>
        <w:t xml:space="preserve">Příloha č. 1 – </w:t>
      </w:r>
      <w:r w:rsidRPr="00F33C74">
        <w:rPr>
          <w:b/>
          <w:bCs/>
          <w:color w:val="000000"/>
          <w:sz w:val="22"/>
          <w:szCs w:val="22"/>
        </w:rPr>
        <w:t>Specifikace zboží</w:t>
      </w:r>
    </w:p>
    <w:tbl>
      <w:tblPr>
        <w:tblW w:w="14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3081"/>
        <w:gridCol w:w="3083"/>
        <w:gridCol w:w="1820"/>
        <w:gridCol w:w="1272"/>
        <w:gridCol w:w="1220"/>
        <w:gridCol w:w="1360"/>
      </w:tblGrid>
      <w:tr w:rsidR="005E1B6F" w:rsidRPr="005E1B6F" w:rsidTr="005E1B6F">
        <w:trPr>
          <w:trHeight w:val="938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položky s technickými parametry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rozměr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hmotnost výplně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předpokládaná spotřeba MJ za 36 měsíců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Cena za </w:t>
            </w:r>
            <w:proofErr w:type="spellStart"/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mj</w:t>
            </w:r>
            <w:proofErr w:type="spellEnd"/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 Kč bez DPH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B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za požadované množství v Kč bez DPH na 36 měsíců</w:t>
            </w:r>
          </w:p>
        </w:tc>
      </w:tr>
      <w:tr w:rsidR="005E1B6F" w:rsidRPr="005E1B6F" w:rsidTr="00437C18">
        <w:trPr>
          <w:trHeight w:val="25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Polštář; musí splňovat ČSN P CEN/TS 14237-(Textilie pro zdravotnictví a zařízení sociálních služeb) a OS 80-07:2018 (Tabulka č. 2); výplňový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silikonizovaný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polyesterový granulát bez zipu na doplňování obsahu, barva bílá, tvar obdélník , antialergická úprava,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100% polyesterové mikrovlákno, opatřený zipem; materiál umožňující praní na 60°C a sušení v sušičce při zachování všech kvalitativních parametrů (bez ztráty tvaru (shlukování náplně),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oběmu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a funkčnost)  / Hotel TERRA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45x45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E1B6F">
              <w:rPr>
                <w:rFonts w:ascii="Calibri" w:hAnsi="Calibri" w:cs="Calibri"/>
                <w:sz w:val="16"/>
                <w:szCs w:val="16"/>
              </w:rPr>
              <w:t>220g</w:t>
            </w:r>
            <w:proofErr w:type="gram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(±5%)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58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Polštář; musí splňovat ČSN P CEN/TS 14237-(Textilie pro zdravotnictví a zařízení sociálních služeb) a OS 80-07:2018 (Tabulka č. 2)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výplňový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silikonizovaný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polyesterový granulát bez zipu na doplňování obsahu, barva bílá, tvar obdélník , antialergická úprava,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100% polyesterové mikrovlákno prošívaný, opatřený zipem; materiál umožňující praní na 60°C a sušení v sušičce při zachování všech kvalitativních parametrů (bez ztráty tvaru (shlukování náplně),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oběmu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a funkčnost)  /Réva, Evropa, Čechie,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Bellevue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>, Slovan, Kafka/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70x90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E1B6F">
              <w:rPr>
                <w:rFonts w:ascii="Calibri" w:hAnsi="Calibri" w:cs="Calibri"/>
                <w:sz w:val="16"/>
                <w:szCs w:val="16"/>
              </w:rPr>
              <w:t>1100g</w:t>
            </w:r>
            <w:proofErr w:type="gram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(±5%)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689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Polštář; musí splňovat ČSN P CEN/TS 14237-(Textilie pro zdravotnictví a zařízení sociálních služeb) a OS 80-07:2018 (Tabulka č. 2)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výplňový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silikonizovaný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polyesterový granulát bez zipu na doplňování obsahu, barva bílá, tvar obdélník , antialergická úprava,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 materiál: omyvatelný materiál 100% PES se zátěrem - prodyšný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100% polyesterové mikrovlákno, opatřený zipem; materiál umožňující praní na 60°C a sušení v sušičce při zachování všech kvalitativních parametrů (bez ztráty tvaru (shlukování náplně),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oběmu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a funkčnost)   /Janský dvůr, Lázeňský dům/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70x90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E1B6F">
              <w:rPr>
                <w:rFonts w:ascii="Calibri" w:hAnsi="Calibri" w:cs="Calibri"/>
                <w:sz w:val="16"/>
                <w:szCs w:val="16"/>
              </w:rPr>
              <w:t>1100g</w:t>
            </w:r>
            <w:proofErr w:type="gram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(±5%)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88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Polštář; musí splňovat ČSN P CEN/TS 14237-(Textilie pro zdravotnictví a zařízení sociálních služeb) a OS 80-07:2018 (Tabulka č. 2)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výplňový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silikonizovaný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polyesterový granulát bez zipu na doplňování obsahu,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omyvatelný materiál 100% PES se zátěrem - prodyšný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barva bílá, tvar obdélník , antialergická úprava,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100% polyesterové mikrovlákno, opatřený zipem;  materiál umožňující praní na 60°C a sušení v sušičce při zachování všech kvalitativních parametrů (bez ztráty tvaru (shlukování náplně),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oběmu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a funkčnost)  /DL VESNA/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50x70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E1B6F">
              <w:rPr>
                <w:rFonts w:ascii="Calibri" w:hAnsi="Calibri" w:cs="Calibri"/>
                <w:sz w:val="16"/>
                <w:szCs w:val="16"/>
              </w:rPr>
              <w:t>1100g</w:t>
            </w:r>
            <w:proofErr w:type="gram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(±5%)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678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Přikrývka; musí splňovat ČSN P CEN/TS 14237-(Textilie pro zdravotnictví a zařízení sociálních služeb) a OS 80-07:2018 (Tabulka č. 2);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výplňový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jemné duté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silanizované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prostorově tvarované polyesterové vlákno, </w:t>
            </w:r>
            <w:proofErr w:type="spell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prošítí</w:t>
            </w:r>
            <w:proofErr w:type="spell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přikrývky dokončené </w:t>
            </w:r>
            <w:proofErr w:type="spell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oleováním</w:t>
            </w:r>
            <w:proofErr w:type="spell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 fixaci výplně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barva bílá,  antialergická úprava, vrchní materiál 100% polyesterové mikrovlákno; materiál umožňující praní na 60°C a sušení v sušičce při zachování všech kvalitativních parametrů (bez ztráty tvaru (shlukování náplně),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oběmu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a funkčnost)  / DL VESNA /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90x130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E1B6F">
              <w:rPr>
                <w:rFonts w:ascii="Calibri" w:hAnsi="Calibri" w:cs="Calibri"/>
                <w:sz w:val="16"/>
                <w:szCs w:val="16"/>
              </w:rPr>
              <w:t>600g</w:t>
            </w:r>
            <w:proofErr w:type="gram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(±5%)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543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Přikrývka; musí splňovat ČSN P CEN/TS 14237-(Textilie pro zdravotnictví a zařízení sociálních služeb) a OS 80-07:2018 (Tabulka č. 2); výplňový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jemné duté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silanizované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prostorově tvarované polyesterové vlákno, </w:t>
            </w:r>
            <w:proofErr w:type="spell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prošítí</w:t>
            </w:r>
            <w:proofErr w:type="spell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přikrývky dokončené </w:t>
            </w:r>
            <w:proofErr w:type="spell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oleováním</w:t>
            </w:r>
            <w:proofErr w:type="spell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 fixaci výplně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barva bílá, antialergická úprava,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 materiál: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100% polyesterové mikrovlákno; materiál umožňující praní na 60°C a sušení v sušičce při zachování všech kvalitativních parametrů (bez ztráty tvaru (shlukování náplně),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oběmu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a funkčnost)  / Celé SLL/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135x200 cm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E1B6F">
              <w:rPr>
                <w:rFonts w:ascii="Calibri" w:hAnsi="Calibri" w:cs="Calibri"/>
                <w:sz w:val="16"/>
                <w:szCs w:val="16"/>
              </w:rPr>
              <w:t>1300g</w:t>
            </w:r>
            <w:proofErr w:type="gramEnd"/>
            <w:r w:rsidRPr="005E1B6F">
              <w:rPr>
                <w:rFonts w:ascii="Calibri" w:hAnsi="Calibri" w:cs="Calibri"/>
                <w:sz w:val="16"/>
                <w:szCs w:val="16"/>
              </w:rPr>
              <w:t xml:space="preserve"> (±5%)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543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Povlak polštáře náhradní, musí splňovat ČSN P CEN/TS 14237-(Textilie pro zdravotnictví a zařízení sociálních služeb) a OS 80-07:2018 (Tabulka č. 2</w:t>
            </w:r>
            <w:proofErr w:type="gram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</w:t>
            </w:r>
            <w:proofErr w:type="gram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materiál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: omyvatelný materiál 100% PES se zátěrem - prodyšný, 100% polyesterové mikrovlákno, opatřený zipem; materiál umožňující praní na 60°C a sušení v sušičce při zachování všech kvalitativních parametrů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70x50 cm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543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Povlak polštáře náhradní, musí splňovat ČSN P CEN/TS 14237-(Textilie pro zdravotnictví a zařízení sociálních služeb) a OS 80-07:2018 (Tabulka č. 2</w:t>
            </w:r>
            <w:proofErr w:type="gram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</w:t>
            </w:r>
            <w:proofErr w:type="gram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materiál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: omyvatelný materiál 100% PES se zátěrem - prodyšný, 100% polyesterové mikrovlákno, opatřený zipem; materiál umožňující praní na 60°C a sušení v sušičce při zachování všech kvalitativních parametrů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70x90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543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Povlak polštáře náhradní, musí splňovat ČSN P CEN/TS 14237-(Textilie pro zdravotnictví a zařízení sociálních služeb) a OS 80-07:2018 (Tabulka č. 2</w:t>
            </w:r>
            <w:proofErr w:type="gram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,  </w:t>
            </w: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</w:t>
            </w:r>
            <w:proofErr w:type="gram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materiál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: 100% polyesterové mikrovlákno prošívaný, opatřený zipem; materiál umožňující praní na 60°C a sušení v sušičce při zachování všech kvalitativních parametrů /Réva, Evropa, Čechie, </w:t>
            </w:r>
            <w:proofErr w:type="spellStart"/>
            <w:r w:rsidRPr="005E1B6F">
              <w:rPr>
                <w:rFonts w:ascii="Calibri" w:hAnsi="Calibri" w:cs="Calibri"/>
                <w:sz w:val="16"/>
                <w:szCs w:val="16"/>
              </w:rPr>
              <w:t>Bellevue</w:t>
            </w:r>
            <w:proofErr w:type="spellEnd"/>
            <w:r w:rsidRPr="005E1B6F">
              <w:rPr>
                <w:rFonts w:ascii="Calibri" w:hAnsi="Calibri" w:cs="Calibri"/>
                <w:sz w:val="16"/>
                <w:szCs w:val="16"/>
              </w:rPr>
              <w:t>, Slovan, Kafka/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70x90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1B6F" w:rsidRPr="005E1B6F" w:rsidTr="00437C18">
        <w:trPr>
          <w:trHeight w:val="2543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Povlak polštáře; musí splňovat ČSN P CEN/TS 14237-(Textilie pro zdravotnictví a zařízení sociálních služeb) a OS 80-07:2018 (Tabulka č. 2</w:t>
            </w:r>
            <w:proofErr w:type="gramStart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;   </w:t>
            </w:r>
            <w:proofErr w:type="gramEnd"/>
            <w:r w:rsidRPr="005E1B6F">
              <w:rPr>
                <w:rFonts w:ascii="Calibri" w:hAnsi="Calibri" w:cs="Calibri"/>
                <w:b/>
                <w:bCs/>
                <w:sz w:val="16"/>
                <w:szCs w:val="16"/>
              </w:rPr>
              <w:t>vrchní materiál: omyvatelný materiál 100% PES se zátěrem - prodyšný, barva bílá, tvar obdélník , antialergická úprava,</w:t>
            </w:r>
            <w:r w:rsidRPr="005E1B6F">
              <w:rPr>
                <w:rFonts w:ascii="Calibri" w:hAnsi="Calibri" w:cs="Calibri"/>
                <w:sz w:val="16"/>
                <w:szCs w:val="16"/>
              </w:rPr>
              <w:t xml:space="preserve"> 100% polyesterové mikrovlákno, opatřený zipem;  materiál umožňující praní na 60°C a sušení v sušičce při zachování všech kvalitativních parametrů /DL VESNA/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50x70 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E1B6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1B6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B6F" w:rsidRPr="005E1B6F" w:rsidTr="005E1B6F">
        <w:trPr>
          <w:trHeight w:val="683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B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Celková nabídková cena bez DPH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B6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B6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B6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B6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B6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E1B6F" w:rsidRPr="005E1B6F" w:rsidRDefault="005E1B6F" w:rsidP="005E1B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5E1B6F" w:rsidRPr="00F33C74" w:rsidRDefault="005E1B6F" w:rsidP="004858C1">
      <w:pPr>
        <w:pStyle w:val="Odstavecseseznamem"/>
        <w:tabs>
          <w:tab w:val="left" w:pos="426"/>
        </w:tabs>
        <w:spacing w:before="60"/>
        <w:ind w:left="0"/>
        <w:jc w:val="both"/>
        <w:rPr>
          <w:b/>
          <w:bCs/>
          <w:sz w:val="22"/>
          <w:szCs w:val="22"/>
        </w:rPr>
      </w:pPr>
    </w:p>
    <w:sectPr w:rsidR="005E1B6F" w:rsidRPr="00F33C74" w:rsidSect="004858C1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45" w:rsidRDefault="00BA3445" w:rsidP="00790E8B">
      <w:r>
        <w:separator/>
      </w:r>
    </w:p>
  </w:endnote>
  <w:endnote w:type="continuationSeparator" w:id="0">
    <w:p w:rsidR="00BA3445" w:rsidRDefault="00BA3445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437E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46DD">
      <w:rPr>
        <w:noProof/>
      </w:rPr>
      <w:t>6</w:t>
    </w:r>
    <w:r>
      <w:rPr>
        <w:noProof/>
      </w:rP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45" w:rsidRDefault="00BA3445" w:rsidP="00790E8B">
      <w:r>
        <w:separator/>
      </w:r>
    </w:p>
  </w:footnote>
  <w:footnote w:type="continuationSeparator" w:id="0">
    <w:p w:rsidR="00BA3445" w:rsidRDefault="00BA3445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F3397D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B1F0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44034D"/>
    <w:multiLevelType w:val="hybridMultilevel"/>
    <w:tmpl w:val="3C00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B2E21"/>
    <w:multiLevelType w:val="hybridMultilevel"/>
    <w:tmpl w:val="0AC6B82C"/>
    <w:lvl w:ilvl="0" w:tplc="131C795E">
      <w:start w:val="1"/>
      <w:numFmt w:val="lowerLetter"/>
      <w:lvlText w:val="%1."/>
      <w:lvlJc w:val="left"/>
      <w:pPr>
        <w:ind w:left="107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4DA1288"/>
    <w:multiLevelType w:val="hybridMultilevel"/>
    <w:tmpl w:val="DDAA4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FFF29E8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7"/>
  </w:num>
  <w:num w:numId="5">
    <w:abstractNumId w:val="19"/>
  </w:num>
  <w:num w:numId="6">
    <w:abstractNumId w:val="1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2"/>
  </w:num>
  <w:num w:numId="12">
    <w:abstractNumId w:val="13"/>
  </w:num>
  <w:num w:numId="13">
    <w:abstractNumId w:val="23"/>
  </w:num>
  <w:num w:numId="14">
    <w:abstractNumId w:val="7"/>
  </w:num>
  <w:num w:numId="15">
    <w:abstractNumId w:val="3"/>
  </w:num>
  <w:num w:numId="16">
    <w:abstractNumId w:val="18"/>
  </w:num>
  <w:num w:numId="17">
    <w:abstractNumId w:val="4"/>
  </w:num>
  <w:num w:numId="18">
    <w:abstractNumId w:val="5"/>
  </w:num>
  <w:num w:numId="19">
    <w:abstractNumId w:val="16"/>
  </w:num>
  <w:num w:numId="20">
    <w:abstractNumId w:val="11"/>
  </w:num>
  <w:num w:numId="21">
    <w:abstractNumId w:val="0"/>
  </w:num>
  <w:num w:numId="22">
    <w:abstractNumId w:val="15"/>
  </w:num>
  <w:num w:numId="2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0187"/>
    <w:rsid w:val="0001352E"/>
    <w:rsid w:val="00020373"/>
    <w:rsid w:val="000218F0"/>
    <w:rsid w:val="00023A52"/>
    <w:rsid w:val="00023E0C"/>
    <w:rsid w:val="00025B3A"/>
    <w:rsid w:val="00041802"/>
    <w:rsid w:val="00046565"/>
    <w:rsid w:val="0004707B"/>
    <w:rsid w:val="00047FC0"/>
    <w:rsid w:val="0005221F"/>
    <w:rsid w:val="00052CE4"/>
    <w:rsid w:val="00055490"/>
    <w:rsid w:val="00057DA6"/>
    <w:rsid w:val="00061A4D"/>
    <w:rsid w:val="0006424A"/>
    <w:rsid w:val="00071853"/>
    <w:rsid w:val="00071CE1"/>
    <w:rsid w:val="00071F36"/>
    <w:rsid w:val="00072187"/>
    <w:rsid w:val="0007614D"/>
    <w:rsid w:val="000817BC"/>
    <w:rsid w:val="0008447A"/>
    <w:rsid w:val="00091DAC"/>
    <w:rsid w:val="00091FE0"/>
    <w:rsid w:val="00093D42"/>
    <w:rsid w:val="0009648A"/>
    <w:rsid w:val="000A35F6"/>
    <w:rsid w:val="000B1C2E"/>
    <w:rsid w:val="000B4B43"/>
    <w:rsid w:val="000B7F28"/>
    <w:rsid w:val="000C07F2"/>
    <w:rsid w:val="000C7980"/>
    <w:rsid w:val="000D35D1"/>
    <w:rsid w:val="000D5E71"/>
    <w:rsid w:val="000D6DCA"/>
    <w:rsid w:val="000E6DA4"/>
    <w:rsid w:val="000F338F"/>
    <w:rsid w:val="000F6D67"/>
    <w:rsid w:val="000F7C09"/>
    <w:rsid w:val="00103032"/>
    <w:rsid w:val="00104F63"/>
    <w:rsid w:val="00110458"/>
    <w:rsid w:val="001121C5"/>
    <w:rsid w:val="0011386A"/>
    <w:rsid w:val="001144F6"/>
    <w:rsid w:val="00114E44"/>
    <w:rsid w:val="001241BE"/>
    <w:rsid w:val="00124DBB"/>
    <w:rsid w:val="0012631A"/>
    <w:rsid w:val="00127F25"/>
    <w:rsid w:val="001447E5"/>
    <w:rsid w:val="00150180"/>
    <w:rsid w:val="0015146A"/>
    <w:rsid w:val="0015410F"/>
    <w:rsid w:val="00157C1F"/>
    <w:rsid w:val="00160F09"/>
    <w:rsid w:val="00167AAF"/>
    <w:rsid w:val="00167C36"/>
    <w:rsid w:val="00170355"/>
    <w:rsid w:val="00172C0B"/>
    <w:rsid w:val="001814D8"/>
    <w:rsid w:val="0018519F"/>
    <w:rsid w:val="00186919"/>
    <w:rsid w:val="00190F74"/>
    <w:rsid w:val="0019155F"/>
    <w:rsid w:val="00195024"/>
    <w:rsid w:val="00195697"/>
    <w:rsid w:val="001A6741"/>
    <w:rsid w:val="001A7047"/>
    <w:rsid w:val="001B021C"/>
    <w:rsid w:val="001B6042"/>
    <w:rsid w:val="001B727A"/>
    <w:rsid w:val="001C0845"/>
    <w:rsid w:val="001D207F"/>
    <w:rsid w:val="001D68F2"/>
    <w:rsid w:val="001E6527"/>
    <w:rsid w:val="00200888"/>
    <w:rsid w:val="00201553"/>
    <w:rsid w:val="002056CF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501C2"/>
    <w:rsid w:val="0025108E"/>
    <w:rsid w:val="00253E87"/>
    <w:rsid w:val="00261613"/>
    <w:rsid w:val="00261C8F"/>
    <w:rsid w:val="0026699E"/>
    <w:rsid w:val="00270C69"/>
    <w:rsid w:val="00275648"/>
    <w:rsid w:val="00283EFD"/>
    <w:rsid w:val="0028414E"/>
    <w:rsid w:val="00285224"/>
    <w:rsid w:val="00295894"/>
    <w:rsid w:val="0029626C"/>
    <w:rsid w:val="00296BC2"/>
    <w:rsid w:val="00297A71"/>
    <w:rsid w:val="002A317D"/>
    <w:rsid w:val="002B4219"/>
    <w:rsid w:val="002B7C27"/>
    <w:rsid w:val="002C373C"/>
    <w:rsid w:val="002C6F70"/>
    <w:rsid w:val="002D34A7"/>
    <w:rsid w:val="002D5816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3016FF"/>
    <w:rsid w:val="00303805"/>
    <w:rsid w:val="003046B7"/>
    <w:rsid w:val="00306B60"/>
    <w:rsid w:val="003102D3"/>
    <w:rsid w:val="003110E4"/>
    <w:rsid w:val="003179CD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039B"/>
    <w:rsid w:val="00340DEA"/>
    <w:rsid w:val="003451C6"/>
    <w:rsid w:val="00346909"/>
    <w:rsid w:val="00347634"/>
    <w:rsid w:val="00355A11"/>
    <w:rsid w:val="00356DE3"/>
    <w:rsid w:val="00360B19"/>
    <w:rsid w:val="003611D5"/>
    <w:rsid w:val="00365ECE"/>
    <w:rsid w:val="003660F7"/>
    <w:rsid w:val="003708AA"/>
    <w:rsid w:val="00380BBF"/>
    <w:rsid w:val="00387551"/>
    <w:rsid w:val="00394132"/>
    <w:rsid w:val="00396D23"/>
    <w:rsid w:val="003A0C5F"/>
    <w:rsid w:val="003A17F3"/>
    <w:rsid w:val="003A2394"/>
    <w:rsid w:val="003E0322"/>
    <w:rsid w:val="003E4740"/>
    <w:rsid w:val="003E4955"/>
    <w:rsid w:val="003F506C"/>
    <w:rsid w:val="00401094"/>
    <w:rsid w:val="0040404E"/>
    <w:rsid w:val="00404D05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1ACC"/>
    <w:rsid w:val="00432DE5"/>
    <w:rsid w:val="00435247"/>
    <w:rsid w:val="00437C18"/>
    <w:rsid w:val="00437E14"/>
    <w:rsid w:val="004434F9"/>
    <w:rsid w:val="00443FE4"/>
    <w:rsid w:val="00451F01"/>
    <w:rsid w:val="00454DF6"/>
    <w:rsid w:val="00455CFA"/>
    <w:rsid w:val="00457D71"/>
    <w:rsid w:val="0046043E"/>
    <w:rsid w:val="00463E93"/>
    <w:rsid w:val="004654E3"/>
    <w:rsid w:val="00466C24"/>
    <w:rsid w:val="004719C6"/>
    <w:rsid w:val="00474C69"/>
    <w:rsid w:val="0047789D"/>
    <w:rsid w:val="00482977"/>
    <w:rsid w:val="0048386E"/>
    <w:rsid w:val="004849A1"/>
    <w:rsid w:val="004858C1"/>
    <w:rsid w:val="00487A3A"/>
    <w:rsid w:val="004937CD"/>
    <w:rsid w:val="00494E67"/>
    <w:rsid w:val="004960A0"/>
    <w:rsid w:val="00496D77"/>
    <w:rsid w:val="004A264A"/>
    <w:rsid w:val="004B4798"/>
    <w:rsid w:val="004B7DC5"/>
    <w:rsid w:val="004C26A5"/>
    <w:rsid w:val="004C3345"/>
    <w:rsid w:val="004C55CC"/>
    <w:rsid w:val="004D08E9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44B6"/>
    <w:rsid w:val="00504BFA"/>
    <w:rsid w:val="005058B8"/>
    <w:rsid w:val="0051422A"/>
    <w:rsid w:val="00514905"/>
    <w:rsid w:val="005200D3"/>
    <w:rsid w:val="00522DD0"/>
    <w:rsid w:val="00523E2B"/>
    <w:rsid w:val="00524534"/>
    <w:rsid w:val="005266C0"/>
    <w:rsid w:val="00526E7E"/>
    <w:rsid w:val="00531158"/>
    <w:rsid w:val="005354A2"/>
    <w:rsid w:val="00536110"/>
    <w:rsid w:val="005361E9"/>
    <w:rsid w:val="00537007"/>
    <w:rsid w:val="005451E8"/>
    <w:rsid w:val="00545407"/>
    <w:rsid w:val="00550817"/>
    <w:rsid w:val="00552E32"/>
    <w:rsid w:val="0055760A"/>
    <w:rsid w:val="005630AA"/>
    <w:rsid w:val="0056485B"/>
    <w:rsid w:val="00564E5A"/>
    <w:rsid w:val="005650A5"/>
    <w:rsid w:val="00565411"/>
    <w:rsid w:val="0057105A"/>
    <w:rsid w:val="0057130D"/>
    <w:rsid w:val="00581C26"/>
    <w:rsid w:val="00582E88"/>
    <w:rsid w:val="005839EE"/>
    <w:rsid w:val="00584A7B"/>
    <w:rsid w:val="005858B9"/>
    <w:rsid w:val="005874F6"/>
    <w:rsid w:val="00590934"/>
    <w:rsid w:val="005921AA"/>
    <w:rsid w:val="0059498E"/>
    <w:rsid w:val="0059635F"/>
    <w:rsid w:val="005B7E6E"/>
    <w:rsid w:val="005C0178"/>
    <w:rsid w:val="005C59F8"/>
    <w:rsid w:val="005D792E"/>
    <w:rsid w:val="005E13CC"/>
    <w:rsid w:val="005E1B6F"/>
    <w:rsid w:val="005E59A6"/>
    <w:rsid w:val="005E5BDD"/>
    <w:rsid w:val="005E6190"/>
    <w:rsid w:val="005E6347"/>
    <w:rsid w:val="005F1100"/>
    <w:rsid w:val="005F111E"/>
    <w:rsid w:val="00602093"/>
    <w:rsid w:val="00604C65"/>
    <w:rsid w:val="00605B94"/>
    <w:rsid w:val="00606524"/>
    <w:rsid w:val="00607686"/>
    <w:rsid w:val="00610076"/>
    <w:rsid w:val="00610129"/>
    <w:rsid w:val="0061054D"/>
    <w:rsid w:val="00616734"/>
    <w:rsid w:val="006169DF"/>
    <w:rsid w:val="0062652F"/>
    <w:rsid w:val="006330AF"/>
    <w:rsid w:val="00636894"/>
    <w:rsid w:val="0064002C"/>
    <w:rsid w:val="006432F3"/>
    <w:rsid w:val="00646378"/>
    <w:rsid w:val="006543D1"/>
    <w:rsid w:val="006546DD"/>
    <w:rsid w:val="00657A84"/>
    <w:rsid w:val="00664E81"/>
    <w:rsid w:val="0066561F"/>
    <w:rsid w:val="00666CED"/>
    <w:rsid w:val="0067323C"/>
    <w:rsid w:val="00674181"/>
    <w:rsid w:val="00687F69"/>
    <w:rsid w:val="00692BAA"/>
    <w:rsid w:val="006933B5"/>
    <w:rsid w:val="006A50B4"/>
    <w:rsid w:val="006A5863"/>
    <w:rsid w:val="006A6B57"/>
    <w:rsid w:val="006A6E72"/>
    <w:rsid w:val="006B10E3"/>
    <w:rsid w:val="006B53FB"/>
    <w:rsid w:val="006C464F"/>
    <w:rsid w:val="006C4BE2"/>
    <w:rsid w:val="006C76AA"/>
    <w:rsid w:val="006D24F2"/>
    <w:rsid w:val="006D4392"/>
    <w:rsid w:val="006D5989"/>
    <w:rsid w:val="006D5C3B"/>
    <w:rsid w:val="006E15A2"/>
    <w:rsid w:val="006E68E5"/>
    <w:rsid w:val="006E6F0F"/>
    <w:rsid w:val="006F0B6B"/>
    <w:rsid w:val="006F11E3"/>
    <w:rsid w:val="006F220E"/>
    <w:rsid w:val="006F2425"/>
    <w:rsid w:val="006F2825"/>
    <w:rsid w:val="006F488C"/>
    <w:rsid w:val="006F524A"/>
    <w:rsid w:val="006F5E30"/>
    <w:rsid w:val="006F69BA"/>
    <w:rsid w:val="006F7701"/>
    <w:rsid w:val="00702B56"/>
    <w:rsid w:val="00707E9A"/>
    <w:rsid w:val="007132A6"/>
    <w:rsid w:val="00716DB0"/>
    <w:rsid w:val="00723084"/>
    <w:rsid w:val="00736C62"/>
    <w:rsid w:val="00742F54"/>
    <w:rsid w:val="00743055"/>
    <w:rsid w:val="00743C33"/>
    <w:rsid w:val="00747159"/>
    <w:rsid w:val="00752DF1"/>
    <w:rsid w:val="0076213B"/>
    <w:rsid w:val="007671AD"/>
    <w:rsid w:val="00771131"/>
    <w:rsid w:val="00771A6C"/>
    <w:rsid w:val="00772863"/>
    <w:rsid w:val="00772D0A"/>
    <w:rsid w:val="0077709B"/>
    <w:rsid w:val="0078203E"/>
    <w:rsid w:val="00783C16"/>
    <w:rsid w:val="007849D2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0169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C06"/>
    <w:rsid w:val="007D663A"/>
    <w:rsid w:val="007E0514"/>
    <w:rsid w:val="007E2127"/>
    <w:rsid w:val="007E4078"/>
    <w:rsid w:val="007F3B00"/>
    <w:rsid w:val="008013EF"/>
    <w:rsid w:val="008029DA"/>
    <w:rsid w:val="00802F59"/>
    <w:rsid w:val="008128CE"/>
    <w:rsid w:val="00821DE2"/>
    <w:rsid w:val="00823836"/>
    <w:rsid w:val="00831A48"/>
    <w:rsid w:val="00836F24"/>
    <w:rsid w:val="008425A9"/>
    <w:rsid w:val="00846F66"/>
    <w:rsid w:val="00847B4D"/>
    <w:rsid w:val="0085060B"/>
    <w:rsid w:val="008549F4"/>
    <w:rsid w:val="00860305"/>
    <w:rsid w:val="00861F4A"/>
    <w:rsid w:val="00862090"/>
    <w:rsid w:val="008707EF"/>
    <w:rsid w:val="0087426C"/>
    <w:rsid w:val="0087494E"/>
    <w:rsid w:val="008829D9"/>
    <w:rsid w:val="008848BF"/>
    <w:rsid w:val="008852B3"/>
    <w:rsid w:val="00885A4B"/>
    <w:rsid w:val="00887157"/>
    <w:rsid w:val="008961AA"/>
    <w:rsid w:val="008A14D9"/>
    <w:rsid w:val="008A5189"/>
    <w:rsid w:val="008B14B0"/>
    <w:rsid w:val="008B1F63"/>
    <w:rsid w:val="008B2822"/>
    <w:rsid w:val="008B37F3"/>
    <w:rsid w:val="008B5024"/>
    <w:rsid w:val="008B5941"/>
    <w:rsid w:val="008B69C8"/>
    <w:rsid w:val="008C0685"/>
    <w:rsid w:val="008C4B36"/>
    <w:rsid w:val="008D47B5"/>
    <w:rsid w:val="008D690C"/>
    <w:rsid w:val="008D6DFF"/>
    <w:rsid w:val="008E4106"/>
    <w:rsid w:val="008E53C5"/>
    <w:rsid w:val="008E5B25"/>
    <w:rsid w:val="008F3474"/>
    <w:rsid w:val="008F3B03"/>
    <w:rsid w:val="008F4DF3"/>
    <w:rsid w:val="008F568E"/>
    <w:rsid w:val="009003EC"/>
    <w:rsid w:val="00900B72"/>
    <w:rsid w:val="0090187A"/>
    <w:rsid w:val="0090236F"/>
    <w:rsid w:val="00906E50"/>
    <w:rsid w:val="00907B5F"/>
    <w:rsid w:val="009145C4"/>
    <w:rsid w:val="009168B2"/>
    <w:rsid w:val="00916938"/>
    <w:rsid w:val="00916B75"/>
    <w:rsid w:val="00921614"/>
    <w:rsid w:val="00925684"/>
    <w:rsid w:val="00931E0A"/>
    <w:rsid w:val="00934427"/>
    <w:rsid w:val="00945588"/>
    <w:rsid w:val="009501B8"/>
    <w:rsid w:val="009504FF"/>
    <w:rsid w:val="009526CC"/>
    <w:rsid w:val="0095467A"/>
    <w:rsid w:val="00954F80"/>
    <w:rsid w:val="0095739B"/>
    <w:rsid w:val="00960F6C"/>
    <w:rsid w:val="00961AE8"/>
    <w:rsid w:val="00964367"/>
    <w:rsid w:val="00966C68"/>
    <w:rsid w:val="0096731D"/>
    <w:rsid w:val="00971545"/>
    <w:rsid w:val="0097512B"/>
    <w:rsid w:val="009824B0"/>
    <w:rsid w:val="009841BC"/>
    <w:rsid w:val="009852FA"/>
    <w:rsid w:val="0098632E"/>
    <w:rsid w:val="009A1770"/>
    <w:rsid w:val="009A448D"/>
    <w:rsid w:val="009A5DD7"/>
    <w:rsid w:val="009B1666"/>
    <w:rsid w:val="009B2165"/>
    <w:rsid w:val="009B7DA3"/>
    <w:rsid w:val="009C3A3E"/>
    <w:rsid w:val="009C7455"/>
    <w:rsid w:val="009D08C0"/>
    <w:rsid w:val="009D0AA8"/>
    <w:rsid w:val="009D464F"/>
    <w:rsid w:val="009E0AC0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2234"/>
    <w:rsid w:val="00A0382A"/>
    <w:rsid w:val="00A039AC"/>
    <w:rsid w:val="00A05EFE"/>
    <w:rsid w:val="00A05F3B"/>
    <w:rsid w:val="00A07E1B"/>
    <w:rsid w:val="00A1226C"/>
    <w:rsid w:val="00A1364E"/>
    <w:rsid w:val="00A20CF1"/>
    <w:rsid w:val="00A27970"/>
    <w:rsid w:val="00A30184"/>
    <w:rsid w:val="00A316D7"/>
    <w:rsid w:val="00A32DF2"/>
    <w:rsid w:val="00A3354C"/>
    <w:rsid w:val="00A422C8"/>
    <w:rsid w:val="00A44BAA"/>
    <w:rsid w:val="00A44DE2"/>
    <w:rsid w:val="00A5317C"/>
    <w:rsid w:val="00A61A97"/>
    <w:rsid w:val="00A703F2"/>
    <w:rsid w:val="00A72A7E"/>
    <w:rsid w:val="00A75384"/>
    <w:rsid w:val="00A77F88"/>
    <w:rsid w:val="00A80622"/>
    <w:rsid w:val="00A82B55"/>
    <w:rsid w:val="00A82CA3"/>
    <w:rsid w:val="00A905CB"/>
    <w:rsid w:val="00A90EF1"/>
    <w:rsid w:val="00A94591"/>
    <w:rsid w:val="00A959B6"/>
    <w:rsid w:val="00A97522"/>
    <w:rsid w:val="00AA0AF8"/>
    <w:rsid w:val="00AA1BEB"/>
    <w:rsid w:val="00AA4210"/>
    <w:rsid w:val="00AB40AF"/>
    <w:rsid w:val="00AB5584"/>
    <w:rsid w:val="00AC2189"/>
    <w:rsid w:val="00AD23E3"/>
    <w:rsid w:val="00AD3684"/>
    <w:rsid w:val="00AD7B20"/>
    <w:rsid w:val="00AE3583"/>
    <w:rsid w:val="00AE3DA8"/>
    <w:rsid w:val="00AE4E3D"/>
    <w:rsid w:val="00AE7AD5"/>
    <w:rsid w:val="00AF27F4"/>
    <w:rsid w:val="00AF5208"/>
    <w:rsid w:val="00B01C05"/>
    <w:rsid w:val="00B02131"/>
    <w:rsid w:val="00B04786"/>
    <w:rsid w:val="00B057AD"/>
    <w:rsid w:val="00B07F36"/>
    <w:rsid w:val="00B24B4E"/>
    <w:rsid w:val="00B30502"/>
    <w:rsid w:val="00B32095"/>
    <w:rsid w:val="00B3609D"/>
    <w:rsid w:val="00B36577"/>
    <w:rsid w:val="00B37033"/>
    <w:rsid w:val="00B45F0B"/>
    <w:rsid w:val="00B545A3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6235"/>
    <w:rsid w:val="00B77E74"/>
    <w:rsid w:val="00B82F2B"/>
    <w:rsid w:val="00B85C6F"/>
    <w:rsid w:val="00B85F57"/>
    <w:rsid w:val="00B8659E"/>
    <w:rsid w:val="00B86B08"/>
    <w:rsid w:val="00B873C7"/>
    <w:rsid w:val="00B9019E"/>
    <w:rsid w:val="00B93617"/>
    <w:rsid w:val="00BA03E1"/>
    <w:rsid w:val="00BA1076"/>
    <w:rsid w:val="00BA1B56"/>
    <w:rsid w:val="00BA3445"/>
    <w:rsid w:val="00BA3E47"/>
    <w:rsid w:val="00BA5411"/>
    <w:rsid w:val="00BB2A7B"/>
    <w:rsid w:val="00BB5250"/>
    <w:rsid w:val="00BC2D6F"/>
    <w:rsid w:val="00BC73F7"/>
    <w:rsid w:val="00BC7622"/>
    <w:rsid w:val="00BC7E8C"/>
    <w:rsid w:val="00BD274F"/>
    <w:rsid w:val="00BD6CB1"/>
    <w:rsid w:val="00BD7C38"/>
    <w:rsid w:val="00BE349C"/>
    <w:rsid w:val="00BE46D0"/>
    <w:rsid w:val="00BE7D01"/>
    <w:rsid w:val="00BF0BE7"/>
    <w:rsid w:val="00BF3AA5"/>
    <w:rsid w:val="00BF3FE2"/>
    <w:rsid w:val="00BF71A9"/>
    <w:rsid w:val="00C00174"/>
    <w:rsid w:val="00C055AE"/>
    <w:rsid w:val="00C1108E"/>
    <w:rsid w:val="00C113AF"/>
    <w:rsid w:val="00C15044"/>
    <w:rsid w:val="00C24648"/>
    <w:rsid w:val="00C34F34"/>
    <w:rsid w:val="00C35C13"/>
    <w:rsid w:val="00C36358"/>
    <w:rsid w:val="00C366DA"/>
    <w:rsid w:val="00C4352F"/>
    <w:rsid w:val="00C443A4"/>
    <w:rsid w:val="00C478D1"/>
    <w:rsid w:val="00C47F21"/>
    <w:rsid w:val="00C53515"/>
    <w:rsid w:val="00C6292D"/>
    <w:rsid w:val="00C62D4B"/>
    <w:rsid w:val="00C63E98"/>
    <w:rsid w:val="00C64520"/>
    <w:rsid w:val="00C659FC"/>
    <w:rsid w:val="00C708F3"/>
    <w:rsid w:val="00C711BA"/>
    <w:rsid w:val="00C7446B"/>
    <w:rsid w:val="00C74ED4"/>
    <w:rsid w:val="00C75A76"/>
    <w:rsid w:val="00C75E0C"/>
    <w:rsid w:val="00C80D5E"/>
    <w:rsid w:val="00C81C5F"/>
    <w:rsid w:val="00C81FE5"/>
    <w:rsid w:val="00C84562"/>
    <w:rsid w:val="00C86172"/>
    <w:rsid w:val="00C86D5C"/>
    <w:rsid w:val="00C87605"/>
    <w:rsid w:val="00C935C1"/>
    <w:rsid w:val="00C94573"/>
    <w:rsid w:val="00CA03A5"/>
    <w:rsid w:val="00CA3785"/>
    <w:rsid w:val="00CA46C5"/>
    <w:rsid w:val="00CA5534"/>
    <w:rsid w:val="00CB2983"/>
    <w:rsid w:val="00CC12A5"/>
    <w:rsid w:val="00CC33C0"/>
    <w:rsid w:val="00CC4335"/>
    <w:rsid w:val="00CC46E4"/>
    <w:rsid w:val="00CC4CA7"/>
    <w:rsid w:val="00CD2056"/>
    <w:rsid w:val="00CD3674"/>
    <w:rsid w:val="00CD380E"/>
    <w:rsid w:val="00CD3DB4"/>
    <w:rsid w:val="00CE49C3"/>
    <w:rsid w:val="00CE5D02"/>
    <w:rsid w:val="00CE5E89"/>
    <w:rsid w:val="00CF56D5"/>
    <w:rsid w:val="00CF5CB4"/>
    <w:rsid w:val="00CF7BED"/>
    <w:rsid w:val="00D07967"/>
    <w:rsid w:val="00D11125"/>
    <w:rsid w:val="00D15109"/>
    <w:rsid w:val="00D155E4"/>
    <w:rsid w:val="00D26189"/>
    <w:rsid w:val="00D266AB"/>
    <w:rsid w:val="00D27E1B"/>
    <w:rsid w:val="00D307B9"/>
    <w:rsid w:val="00D36D9B"/>
    <w:rsid w:val="00D42FBE"/>
    <w:rsid w:val="00D55633"/>
    <w:rsid w:val="00D61B2A"/>
    <w:rsid w:val="00D61C6A"/>
    <w:rsid w:val="00D62DE1"/>
    <w:rsid w:val="00D639C2"/>
    <w:rsid w:val="00D666D5"/>
    <w:rsid w:val="00D71D47"/>
    <w:rsid w:val="00D72FAC"/>
    <w:rsid w:val="00D761A5"/>
    <w:rsid w:val="00D8119E"/>
    <w:rsid w:val="00D83136"/>
    <w:rsid w:val="00D8376B"/>
    <w:rsid w:val="00D83D5D"/>
    <w:rsid w:val="00D85AEC"/>
    <w:rsid w:val="00D936FA"/>
    <w:rsid w:val="00D95583"/>
    <w:rsid w:val="00DA3C42"/>
    <w:rsid w:val="00DA48BD"/>
    <w:rsid w:val="00DA64D9"/>
    <w:rsid w:val="00DB2D4D"/>
    <w:rsid w:val="00DB784D"/>
    <w:rsid w:val="00DC45E8"/>
    <w:rsid w:val="00DD6739"/>
    <w:rsid w:val="00DE1B09"/>
    <w:rsid w:val="00DE3768"/>
    <w:rsid w:val="00DE6505"/>
    <w:rsid w:val="00DF3364"/>
    <w:rsid w:val="00DF33CB"/>
    <w:rsid w:val="00E03056"/>
    <w:rsid w:val="00E0307C"/>
    <w:rsid w:val="00E04F4B"/>
    <w:rsid w:val="00E06F27"/>
    <w:rsid w:val="00E2593F"/>
    <w:rsid w:val="00E25A73"/>
    <w:rsid w:val="00E26805"/>
    <w:rsid w:val="00E27FF3"/>
    <w:rsid w:val="00E3284E"/>
    <w:rsid w:val="00E32B39"/>
    <w:rsid w:val="00E342EA"/>
    <w:rsid w:val="00E450FA"/>
    <w:rsid w:val="00E51D2F"/>
    <w:rsid w:val="00E54A74"/>
    <w:rsid w:val="00E760FE"/>
    <w:rsid w:val="00E86DAD"/>
    <w:rsid w:val="00E91C62"/>
    <w:rsid w:val="00E92466"/>
    <w:rsid w:val="00E92C8B"/>
    <w:rsid w:val="00EA277F"/>
    <w:rsid w:val="00EA2A49"/>
    <w:rsid w:val="00EA4816"/>
    <w:rsid w:val="00EA7668"/>
    <w:rsid w:val="00EB4BEA"/>
    <w:rsid w:val="00EB5143"/>
    <w:rsid w:val="00EC6086"/>
    <w:rsid w:val="00EC6672"/>
    <w:rsid w:val="00EC707E"/>
    <w:rsid w:val="00EC7F17"/>
    <w:rsid w:val="00ED2356"/>
    <w:rsid w:val="00ED511A"/>
    <w:rsid w:val="00ED695D"/>
    <w:rsid w:val="00EE14B2"/>
    <w:rsid w:val="00EE2B69"/>
    <w:rsid w:val="00EE4F66"/>
    <w:rsid w:val="00EF0515"/>
    <w:rsid w:val="00EF271C"/>
    <w:rsid w:val="00EF5183"/>
    <w:rsid w:val="00F00224"/>
    <w:rsid w:val="00F012FF"/>
    <w:rsid w:val="00F07B29"/>
    <w:rsid w:val="00F11E3C"/>
    <w:rsid w:val="00F12E3B"/>
    <w:rsid w:val="00F13F1A"/>
    <w:rsid w:val="00F14161"/>
    <w:rsid w:val="00F1704C"/>
    <w:rsid w:val="00F215AB"/>
    <w:rsid w:val="00F22155"/>
    <w:rsid w:val="00F22A1D"/>
    <w:rsid w:val="00F23320"/>
    <w:rsid w:val="00F24577"/>
    <w:rsid w:val="00F26891"/>
    <w:rsid w:val="00F27402"/>
    <w:rsid w:val="00F314C2"/>
    <w:rsid w:val="00F3397D"/>
    <w:rsid w:val="00F33C74"/>
    <w:rsid w:val="00F45933"/>
    <w:rsid w:val="00F51E65"/>
    <w:rsid w:val="00F56061"/>
    <w:rsid w:val="00F56675"/>
    <w:rsid w:val="00F6181D"/>
    <w:rsid w:val="00F63A93"/>
    <w:rsid w:val="00F65497"/>
    <w:rsid w:val="00F654B0"/>
    <w:rsid w:val="00F67FF8"/>
    <w:rsid w:val="00F7399F"/>
    <w:rsid w:val="00F75C93"/>
    <w:rsid w:val="00F833AC"/>
    <w:rsid w:val="00F853D7"/>
    <w:rsid w:val="00F85C2F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5F3D1"/>
  <w15:docId w15:val="{4D10DB0A-501F-4D51-B570-9CC56B7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styleId="Normlnweb">
    <w:name w:val="Normal (Web)"/>
    <w:basedOn w:val="Normln"/>
    <w:uiPriority w:val="99"/>
    <w:semiHidden/>
    <w:unhideWhenUsed/>
    <w:rsid w:val="0030380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Zdraznn1">
    <w:name w:val="Zdůraznění1"/>
    <w:uiPriority w:val="20"/>
    <w:qFormat/>
    <w:locked/>
    <w:rsid w:val="00303805"/>
    <w:rPr>
      <w:i/>
      <w:iCs/>
    </w:rPr>
  </w:style>
  <w:style w:type="paragraph" w:styleId="Revize">
    <w:name w:val="Revision"/>
    <w:hidden/>
    <w:uiPriority w:val="99"/>
    <w:semiHidden/>
    <w:rsid w:val="00966C68"/>
  </w:style>
  <w:style w:type="paragraph" w:styleId="Bezmezer">
    <w:name w:val="No Spacing"/>
    <w:uiPriority w:val="99"/>
    <w:qFormat/>
    <w:rsid w:val="00404D0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hippoinvestdevelopmen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0836-1151-4C70-9698-E66F56C1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3732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2022-12-19T07:44:00Z</cp:lastPrinted>
  <dcterms:created xsi:type="dcterms:W3CDTF">2026-06-18T08:48:00Z</dcterms:created>
  <dcterms:modified xsi:type="dcterms:W3CDTF">2026-06-18T08:48:00Z</dcterms:modified>
</cp:coreProperties>
</file>