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10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17"/>
      </w:tblGrid>
      <w:tr>
        <w:trPr>
          <w:trHeight w:val="29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"/>
              <w:gridCol w:w="1685"/>
              <w:gridCol w:w="3560"/>
              <w:gridCol w:w="741"/>
              <w:gridCol w:w="1512"/>
              <w:gridCol w:w="1484"/>
              <w:gridCol w:w="1293"/>
            </w:tblGrid>
            <w:tr>
              <w:trPr>
                <w:trHeight w:val="127" w:hRule="atLeast"/>
              </w:trPr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6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Objednávka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OPR2600233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Dodavatel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98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(číslo objednávky uvádějte ve všech souvisejících dokumentech          a komunikaci – daňový doklad, dodací list, montážní list atd.)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Getinge Czech Republic, s.r.o.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Vystavil: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Petr Povýšil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10"/>
                  </w:tblGrid>
                  <w:tr>
                    <w:trPr>
                      <w:trHeight w:val="271" w:hRule="exact"/>
                    </w:trPr>
                    <w:tc>
                      <w:tcPr>
                        <w:tcW w:w="4210" w:type="dxa"/>
                        <w:shd w:val="clear" w:fill="F5F5F5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0"/>
                          </w:rPr>
                          <w:t xml:space="preserve">Na strži 1702/65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Telefon: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973 407 188 (133), 604 317 937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14000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Praha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E-mail: 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povysilp@vnol.cz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IČO: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03053601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, DIČ: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CZ03053601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Vystaveno: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11.05.2026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right w:val="nil"/>
                  </w:tcBorders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Termín dodání: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Ke smlouvě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7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Objednáváme u Vás: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Při kalibraci hlásí výměnu baterie.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Děkuji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Při kalibraci hlásí výměnu baterie.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Záruka</w:t>
                  </w: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Inventární číslo</w:t>
                  </w: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Výrobní číslo</w:t>
                  </w: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Cena s DPH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Ventilátor plicní, SERVO-U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00502925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22784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33 601,70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nefunkční baterie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br/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 kalibraci všech těchto ventilátorů,hlásí výměnu baterie.Celkem 7 ventilátorů. Děkuji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Ventilátor plicní, SERVO-U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00502923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22782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33 601,70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 kalibraci hlásí výměnu baterie.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Ventilátor plicní, SERVO-U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00502924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22783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33 601,70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 kalibraci hlásí výměnu baterie.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Ventilátor plicní, SERVO-U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00502926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22785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33 601,70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 kalibraci hlásí výměnu baterie.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Ventilátor plicní, SERVO-U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00502927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22786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33 601,70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 kalibraci hlásí výměnu baterie.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Ventilátor plicní, SERVO-U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00502928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22787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33 601,70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 kalibraci hlásí výměnu baterie.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Ventilátor plicní, SERVO-U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00502922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22781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33 601,70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 kalibraci hlásí výměnu baterie.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3900 NIP- B- DNIP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4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5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Celková předpokládaná hodnota objednávky včetně DPH: </w:t>
                  </w: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t xml:space="preserve">235 211,90Kč</w:t>
                  </w: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Bude-li skutečná cena opravy (dodání ND) vyšší než předpokládaná cena, je nutné změnu odsouhlasit vedoucím OZT.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2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Platební podmínky: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 splnění uzavřené smlouvy (bez vad a nedodělků).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 Doba splatnosti faktury 30 dnů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ode dne vystavení faktury.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 případě, že zhotovitelem vystavená faktura obsahuje nesprávné či neúplné údaje dle dohody anebo právních předpisů je právem objednatele takovou fakturu vrátit. U opravené nebo nové faktury běží nová doba splatnosti. Daňové údaje: jsme plátci DPH.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Fakturu zašlete elektronicky na email vystavitele objednávky. Přílohou faktury musí být: kopie potvrzené objednávky, montážní/servisní list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 v případě BTK i protokol o jeho provedení.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Všechny úkony zahrnující zpracování osobních údajů budou provedeny v souladu s platnými pravidly GDPR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6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Vystavení faktury dodavatelem je bráno za potvrzení, že Vaše společnost souhlasila s plněním této objednávky vystavené Vojenskou nemocnicí Olomouc. Obě smluvní strany jsou si vědomy, že u objednávek nad 50.000,- Kč bez DPH se na objednávku a akceptaci vztahuje zákon č. 340/2015 Sb., o registru smluv.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89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Příkazce operace/objednatel nebo jeho zastupující vyjádří svůj souhlas s realizací objednávky slovy schváleno s grafickým symbolem </w:t>
                  </w:r>
                  <w:r>
                    <w:rPr>
                      <w:rFonts w:ascii="Segoe UI Symbol" w:hAnsi="Segoe UI Symbol" w:eastAsia="Segoe UI Symbol"/>
                      <w:b/>
                      <w:color w:val="000000"/>
                      <w:sz w:val="20"/>
                    </w:rPr>
                    <w:t xml:space="preserve">✓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, pokud není schválena, je objednávka neplatná! Zároveň tímto krokem potvrzuje, že tento doklad prošel předběžnou kontrolou při správě veřejných výdajů před vznikem závazku dle zákona 320/2001 Sb. o finanční kontrole, a že prověřil připravovanou operaci ve smyslu §13 Vyhlášky Ministerstva financí 416/2004 Sb.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106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"/>
              <w:gridCol w:w="6513"/>
              <w:gridCol w:w="240"/>
              <w:gridCol w:w="1445"/>
              <w:gridCol w:w="1811"/>
            </w:tblGrid>
            <w:tr>
              <w:trPr>
                <w:trHeight w:val="202" w:hRule="atLeast"/>
              </w:trPr>
              <w:tc>
                <w:tcPr>
                  <w:tcW w:w="507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Schvalování</w:t>
                  </w:r>
                </w:p>
              </w:tc>
              <w:tc>
                <w:tcPr>
                  <w:tcW w:w="6513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0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47" w:hRule="atLeast"/>
              </w:trPr>
              <w:tc>
                <w:tcPr>
                  <w:tcW w:w="5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Příkazce operace</w:t>
                  </w: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: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MUDr. Dušan Javořík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 Symbol" w:hAnsi="Segoe UI Symbol" w:eastAsia="Segoe UI Symbol"/>
                      <w:b/>
                      <w:color w:val="008000"/>
                      <w:sz w:val="22"/>
                    </w:rPr>
                    <w:t xml:space="preserve">✓</w:t>
                  </w:r>
                </w:p>
              </w:tc>
              <w:tc>
                <w:tcPr>
                  <w:tcW w:w="144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05"/>
                  </w:tblGrid>
                  <w:tr>
                    <w:trPr>
                      <w:trHeight w:val="245" w:hRule="exact"/>
                    </w:trPr>
                    <w:tc>
                      <w:tcPr>
                        <w:tcW w:w="1405" w:type="dxa"/>
                        <w:tcBorders>
                          <w:bottom w:val="nil" w:sz="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18"/>
                          </w:rPr>
                          <w:t xml:space="preserve">schváleno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7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8"/>
                    </w:rPr>
                    <w:t xml:space="preserve">11.06.2026 8:52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17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1905" w:h="16837"/>
      <w:pgMar w:top="623" w:right="623" w:bottom="623" w:left="62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328"/>
      <w:gridCol w:w="1976"/>
      <w:gridCol w:w="212"/>
    </w:tblGrid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305"/>
          </w:tblGrid>
          <w:tr>
            <w:trPr>
              <w:trHeight w:val="222" w:hRule="atLeast"/>
            </w:trPr>
            <w:tc>
              <w:tcPr>
                <w:tcW w:w="1030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Bankovní spojení VN Olomouc: Česká národní banka, Na Příkopě 28, 115 03 Praha 1, číslo účtu: 159837881/0710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97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976"/>
          </w:tblGrid>
          <w:tr>
            <w:trPr>
              <w:trHeight w:val="223" w:hRule="atLeast"/>
            </w:trPr>
            <w:tc>
              <w:tcPr>
                <w:tcW w:w="197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strana: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90"/>
      <w:gridCol w:w="2140"/>
      <w:gridCol w:w="605"/>
      <w:gridCol w:w="3294"/>
      <w:gridCol w:w="892"/>
      <w:gridCol w:w="1825"/>
      <w:gridCol w:w="1069"/>
    </w:tblGrid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294"/>
          </w:tblGrid>
          <w:tr>
            <w:trPr>
              <w:trHeight w:val="1141" w:hRule="atLeast"/>
            </w:trPr>
            <w:tc>
              <w:tcPr>
                <w:tcW w:w="329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Vojenská nemocnice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oddělení zdravotnické techniky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Sušilovo náměstí 1/5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779 00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IČO: 60800691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876217" cy="601024"/>
                <wp:docPr id="0" name="img3.jpg"/>
                <a:graphic>
                  <a:graphicData uri="http://schemas.openxmlformats.org/drawingml/2006/picture">
                    <pic:pic>
                      <pic:nvPicPr>
                        <pic:cNvPr id="1" name="img3.jp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876217" cy="601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1159124" cy="587088"/>
                <wp:docPr id="2" name="img4.jpg"/>
                <a:graphic>
                  <a:graphicData uri="http://schemas.openxmlformats.org/drawingml/2006/picture">
                    <pic:pic>
                      <pic:nvPicPr>
                        <pic:cNvPr id="3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1159124" cy="587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image" Target="/word/media/img6.png" Id="rId9" /><Relationship Type="http://schemas.openxmlformats.org/officeDocument/2006/relationships/numbering" Target="/word/numbering.xml" Id="rId11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jpg" Id="rId6" /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ObjednavkaVNOL_OZT</dc:title>
</cp:coreProperties>
</file>