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*KKHKX02VZH9O*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KKHKX02VZH9O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DO2600076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VESNA, a.s.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Čeperka 306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532 15 Pardubice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60108614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CZ60108614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19.06.2026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22.06.2026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Objednáváme u Vás:</w:t>
              <w:br/>
              <w:t xml:space="preserve">- dekorační tkanina BRIL MAXIMA                              212,2 bm </w:t>
              <w:br/>
              <w:t>- nitě ASPO                                                                    11,0  ks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61013,00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