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Rovensko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20.07.2025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20.07.2025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5 791,00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Zábřeh na Moravě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7 321,00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13 112,00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Bušínov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2 457,25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1 997,97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1 198,07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40 038,00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6 525,37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Drozdov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2 176,00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357,84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Filipov u Zábřeha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Hněvkov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1 503,81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7 894,00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1 575,25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Jestřebí u Zábřeha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2 457,00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746,97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Jestřebíčko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2 889,00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500,79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Kosov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159,85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Lupěné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1 185,49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5 022,00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1 185,49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Nemile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Postřelmůvek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1 451,35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1 731,63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2 537,61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39 164,00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8 494,88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Rovensko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4 101,76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1 654,47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1 803,32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1 803,32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1 361,75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2 669,94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61 407,00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15 841,59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Slavoňov u Lukavice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15 655,00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7 091,40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15 655,00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7 091,40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Zábřeh na Moravě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1 465,83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2 646,70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1 397,40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1 344,28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1 644,55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2 170,02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1 075,77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2 567,30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1 310,50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1 996,79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102 709,00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29 035,28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280 785,00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71 576,87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71 577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1 pachtovní smlouvy č. 55N25/63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16.06.2026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