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AKCENT International House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Prague,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družstvo, Bítovská 3, 140 00 Praha 4</w:t>
        <w:br/>
        <w:t>IČ: 48032778, DIČ: CZ48032778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zastoupené Ondřejem Doušou, ředitelem školy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registrace v obchodním rejstříku vedeném u Městského soudu v Praze: </w:t>
      </w:r>
      <w:r>
        <w:rPr>
          <w:rStyle w:val="CharStyle4"/>
        </w:rPr>
        <w:t>1.11.1993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oddíl Dr, vložka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r>
        <w:rPr>
          <w:rStyle w:val="CharStyle4"/>
        </w:rPr>
        <w:t>1105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„škola")</w:t>
        <w:br/>
        <w:t>a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Destinnové, Praha 6, nám. Svobody 3/930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48133892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spacing w:before="0" w:after="264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: Otou Bažantem, ředitelem školy</w:t>
        <w:br/>
        <w:t>(dále jen „klient")</w:t>
      </w:r>
    </w:p>
    <w:p>
      <w:pPr>
        <w:pStyle w:val="Style2"/>
        <w:framePr w:w="9173" w:h="4007" w:hRule="exact" w:wrap="none" w:vAnchor="page" w:hAnchor="page" w:x="1438" w:y="105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smlouvu na jazykovou výuku.</w:t>
      </w:r>
    </w:p>
    <w:p>
      <w:pPr>
        <w:pStyle w:val="Style5"/>
        <w:framePr w:w="9173" w:h="1911" w:hRule="exact" w:wrap="none" w:vAnchor="page" w:hAnchor="page" w:x="1438" w:y="5456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0"/>
    </w:p>
    <w:p>
      <w:pPr>
        <w:pStyle w:val="Style2"/>
        <w:framePr w:w="9173" w:h="1911" w:hRule="exact" w:wrap="none" w:vAnchor="page" w:hAnchor="page" w:x="1438" w:y="5456"/>
        <w:widowControl w:val="0"/>
        <w:keepNext w:val="0"/>
        <w:keepLines w:val="0"/>
        <w:shd w:val="clear" w:color="auto" w:fill="auto"/>
        <w:bidi w:val="0"/>
        <w:spacing w:before="0" w:after="220" w:line="200" w:lineRule="exact"/>
        <w:ind w:left="0" w:right="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Předmět smlouvy</w:t>
      </w:r>
    </w:p>
    <w:p>
      <w:pPr>
        <w:pStyle w:val="Style2"/>
        <w:numPr>
          <w:ilvl w:val="0"/>
          <w:numId w:val="1"/>
        </w:numPr>
        <w:framePr w:w="9173" w:h="1911" w:hRule="exact" w:wrap="none" w:vAnchor="page" w:hAnchor="page" w:x="1438" w:y="5456"/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1" w:line="226" w:lineRule="exact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se zavazuje zajistit výuku jazyka rodilými mluvčími v1. a 2. třídách (8 skupin po 1 vyučovací hodině týdně) na základě rozvrhu výuky, který bude předmětem objednávky ze strany ZS a MŠ Emy Destinnové.</w:t>
      </w:r>
    </w:p>
    <w:p>
      <w:pPr>
        <w:pStyle w:val="Style2"/>
        <w:numPr>
          <w:ilvl w:val="0"/>
          <w:numId w:val="1"/>
        </w:numPr>
        <w:framePr w:w="9173" w:h="1911" w:hRule="exact" w:wrap="none" w:vAnchor="page" w:hAnchor="page" w:x="1438" w:y="5456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 výuky: ZŠ a MŠ Emy Destinnové, Českomalínská 35, Praha 6</w:t>
      </w:r>
    </w:p>
    <w:p>
      <w:pPr>
        <w:pStyle w:val="Style7"/>
        <w:framePr w:w="9173" w:h="510" w:hRule="exact" w:wrap="none" w:vAnchor="page" w:hAnchor="page" w:x="1438" w:y="7776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II.</w:t>
      </w:r>
    </w:p>
    <w:p>
      <w:pPr>
        <w:pStyle w:val="Style2"/>
        <w:framePr w:w="9173" w:h="510" w:hRule="exact" w:wrap="none" w:vAnchor="page" w:hAnchor="page" w:x="1438" w:y="7776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Práva a povinnosti smluvních stran</w:t>
      </w:r>
    </w:p>
    <w:p>
      <w:pPr>
        <w:pStyle w:val="Style2"/>
        <w:numPr>
          <w:ilvl w:val="0"/>
          <w:numId w:val="3"/>
        </w:numPr>
        <w:framePr w:w="9173" w:h="3741" w:hRule="exact" w:wrap="none" w:vAnchor="page" w:hAnchor="page" w:x="1438" w:y="8665"/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 w:line="226" w:lineRule="exact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se zavazuje zajistit pro vyučování kvalifikované/-ho učitele. V případě, že se učitel nebude moci vyučování zúčastnit, škola poskytne náhradního učitele. V případě, pokud škola výjimečně musí zrušit výuku (pouze v případě, že nemůže poslat adekvátní náhradu za příslušného učitele), bude klientovi / posluchačům nabídnut náhradní termín této zrušené lekce.</w:t>
      </w:r>
    </w:p>
    <w:p>
      <w:pPr>
        <w:pStyle w:val="Style2"/>
        <w:numPr>
          <w:ilvl w:val="0"/>
          <w:numId w:val="3"/>
        </w:numPr>
        <w:framePr w:w="9173" w:h="3741" w:hRule="exact" w:wrap="none" w:vAnchor="page" w:hAnchor="page" w:x="1438" w:y="8665"/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7" w:line="221" w:lineRule="exact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Klient může během trvání této smlouvy, po vzájemné dohodě se školou, zvýšit nebo snížit počet vyučovacích hodin.</w:t>
      </w:r>
    </w:p>
    <w:p>
      <w:pPr>
        <w:pStyle w:val="Style2"/>
        <w:numPr>
          <w:ilvl w:val="0"/>
          <w:numId w:val="3"/>
        </w:numPr>
        <w:framePr w:w="9173" w:h="3741" w:hRule="exact" w:wrap="none" w:vAnchor="page" w:hAnchor="page" w:x="1438" w:y="8665"/>
        <w:tabs>
          <w:tab w:leader="none" w:pos="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6" w:line="200" w:lineRule="exact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neposkytuje telefonní čísla učitelů a ani ti nejsou povinni je poskytnout rodičům a žákům.</w:t>
      </w:r>
    </w:p>
    <w:p>
      <w:pPr>
        <w:pStyle w:val="Style2"/>
        <w:numPr>
          <w:ilvl w:val="0"/>
          <w:numId w:val="3"/>
        </w:numPr>
        <w:framePr w:w="9173" w:h="3741" w:hRule="exact" w:wrap="none" w:vAnchor="page" w:hAnchor="page" w:x="1438" w:y="8665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4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Výuka koná v prostorách klienta, klient je povinen zajistit vhodné podmínky pro výuku (učebnu, tabuli/flip-chart a popisovače, případně audiopřehrávač). Pokud je k výuce používán školní audiopřehrávač, musí být k dispozici i pro další kurzy AKCENT 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Prague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firmě.</w:t>
      </w:r>
    </w:p>
    <w:p>
      <w:pPr>
        <w:pStyle w:val="Style2"/>
        <w:numPr>
          <w:ilvl w:val="0"/>
          <w:numId w:val="3"/>
        </w:numPr>
        <w:framePr w:w="9173" w:h="3741" w:hRule="exact" w:wrap="none" w:vAnchor="page" w:hAnchor="page" w:x="1438" w:y="8665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3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 při zahájení spolupráce s klientem poskytne kontaktní osobě uživatelské jméno a heslo pro vstup do informačního systému školy.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="9178" w:h="487" w:hRule="exact" w:wrap="none" w:vAnchor="page" w:hAnchor="page" w:x="1501" w:y="118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III.</w:t>
      </w:r>
    </w:p>
    <w:p>
      <w:pPr>
        <w:pStyle w:val="Style2"/>
        <w:framePr w:w="9178" w:h="487" w:hRule="exact" w:wrap="none" w:vAnchor="page" w:hAnchor="page" w:x="1501" w:y="1185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trváni této smlouvy</w:t>
      </w:r>
    </w:p>
    <w:p>
      <w:pPr>
        <w:pStyle w:val="Style2"/>
        <w:framePr w:w="9178" w:h="524" w:hRule="exact" w:wrap="none" w:vAnchor="page" w:hAnchor="page" w:x="1501" w:y="1853"/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42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1. Tato smlouva se uzavírá na dobu od 18. 9. 2017 do 23. 6. </w:t>
      </w:r>
      <w:r>
        <w:rPr>
          <w:rStyle w:val="CharStyle4"/>
        </w:rPr>
        <w:t>2018.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Výuka poběží nepřetržitě po tuto dobu, kromě státem uznávaných svátků a školních prázdnin</w:t>
      </w:r>
    </w:p>
    <w:p>
      <w:pPr>
        <w:pStyle w:val="Style2"/>
        <w:framePr w:w="9178" w:h="1644" w:hRule="exact" w:wrap="none" w:vAnchor="page" w:hAnchor="page" w:x="1501" w:y="281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IV.</w:t>
      </w:r>
    </w:p>
    <w:p>
      <w:pPr>
        <w:pStyle w:val="Style2"/>
        <w:framePr w:w="9178" w:h="1644" w:hRule="exact" w:wrap="none" w:vAnchor="page" w:hAnchor="page" w:x="1501" w:y="2812"/>
        <w:widowControl w:val="0"/>
        <w:keepNext w:val="0"/>
        <w:keepLines w:val="0"/>
        <w:shd w:val="clear" w:color="auto" w:fill="auto"/>
        <w:bidi w:val="0"/>
        <w:spacing w:before="0" w:after="220" w:line="200" w:lineRule="exact"/>
        <w:ind w:left="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Ukončení smlouvy</w:t>
      </w:r>
    </w:p>
    <w:p>
      <w:pPr>
        <w:pStyle w:val="Style2"/>
        <w:framePr w:w="9178" w:h="1644" w:hRule="exact" w:wrap="none" w:vAnchor="page" w:hAnchor="page" w:x="1501" w:y="2812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420" w:right="0" w:hanging="26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Kterákoliv ze smluvních stran má právo tuto smlouvu i bez uvedení důvodu vypovědět písemnou výpovědí zaslanou druhé smluvní straně. Výpovědní doba činí v takovém případě jeden měsíc a počíná běžet prvním dnem měsíce následujícího po měsíci, ve kterém byla výpověď doručena druhé smluvní straně.</w:t>
      </w:r>
    </w:p>
    <w:p>
      <w:pPr>
        <w:pStyle w:val="Style2"/>
        <w:framePr w:w="9178" w:h="489" w:hRule="exact" w:wrap="none" w:vAnchor="page" w:hAnchor="page" w:x="1501" w:y="490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5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V.</w:t>
      </w:r>
    </w:p>
    <w:p>
      <w:pPr>
        <w:pStyle w:val="Style2"/>
        <w:framePr w:w="9178" w:h="489" w:hRule="exact" w:wrap="none" w:vAnchor="page" w:hAnchor="page" w:x="1501" w:y="490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1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Platební podmínky</w:t>
      </w:r>
    </w:p>
    <w:p>
      <w:pPr>
        <w:pStyle w:val="Style2"/>
        <w:framePr w:w="9178" w:h="1204" w:hRule="exact" w:wrap="none" w:vAnchor="page" w:hAnchor="page" w:x="1501" w:y="5802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80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Cena výuky je 450,- KČ za jednu vyučovací jednotku tj. 45 minut. Dohodnutá cena je platná po celou dobu trvání této smlouvy a je osvobozena od DPH podle § 57 odst. 1, písm. f) zákona o DPH 235/2004 Sb. Škola bude fakturovat za výuku 2x ročně:</w:t>
      </w:r>
    </w:p>
    <w:p>
      <w:pPr>
        <w:pStyle w:val="Style2"/>
        <w:numPr>
          <w:ilvl w:val="0"/>
          <w:numId w:val="5"/>
        </w:numPr>
        <w:framePr w:w="9178" w:h="1204" w:hRule="exact" w:wrap="none" w:vAnchor="page" w:hAnchor="page" w:x="1501" w:y="5802"/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období září - prosinec (14 týdnů) - fakturace proběhne v prosinci</w:t>
      </w:r>
    </w:p>
    <w:p>
      <w:pPr>
        <w:pStyle w:val="Style2"/>
        <w:numPr>
          <w:ilvl w:val="0"/>
          <w:numId w:val="5"/>
        </w:numPr>
        <w:framePr w:w="9178" w:h="1204" w:hRule="exact" w:wrap="none" w:vAnchor="page" w:hAnchor="page" w:x="1501" w:y="5802"/>
        <w:tabs>
          <w:tab w:leader="none" w:pos="11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. za období leden - červen (24 týdnů) - fakturace proběhne v červnu</w:t>
      </w:r>
    </w:p>
    <w:p>
      <w:pPr>
        <w:pStyle w:val="Style2"/>
        <w:framePr w:w="9178" w:h="2545" w:hRule="exact" w:wrap="none" w:vAnchor="page" w:hAnchor="page" w:x="1501" w:y="743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4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VI.</w:t>
      </w:r>
    </w:p>
    <w:p>
      <w:pPr>
        <w:pStyle w:val="Style2"/>
        <w:framePr w:w="9178" w:h="2545" w:hRule="exact" w:wrap="none" w:vAnchor="page" w:hAnchor="page" w:x="1501" w:y="7435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společná a závěrečná</w:t>
      </w:r>
    </w:p>
    <w:p>
      <w:pPr>
        <w:pStyle w:val="Style2"/>
        <w:numPr>
          <w:ilvl w:val="0"/>
          <w:numId w:val="7"/>
        </w:numPr>
        <w:framePr w:w="9178" w:h="2545" w:hRule="exact" w:wrap="none" w:vAnchor="page" w:hAnchor="page" w:x="1501" w:y="7435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podpisem smluvních stran.</w:t>
      </w:r>
    </w:p>
    <w:p>
      <w:pPr>
        <w:pStyle w:val="Style2"/>
        <w:numPr>
          <w:ilvl w:val="0"/>
          <w:numId w:val="7"/>
        </w:numPr>
        <w:framePr w:w="9178" w:h="2545" w:hRule="exact" w:wrap="none" w:vAnchor="page" w:hAnchor="page" w:x="1501" w:y="7435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Veškeré změny této smlouvy budou v písemné formě.</w:t>
      </w:r>
    </w:p>
    <w:p>
      <w:pPr>
        <w:pStyle w:val="Style2"/>
        <w:numPr>
          <w:ilvl w:val="0"/>
          <w:numId w:val="7"/>
        </w:numPr>
        <w:framePr w:w="9178" w:h="2545" w:hRule="exact" w:wrap="none" w:vAnchor="page" w:hAnchor="page" w:x="1501" w:y="7435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57" w:line="221" w:lineRule="exact"/>
        <w:ind w:left="300" w:right="0" w:hanging="30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Smlouva je vyhotovena ve dvou exemplářích, přičemž každá ze smluvních stran obdrží po jednom z nich.</w:t>
      </w:r>
    </w:p>
    <w:p>
      <w:pPr>
        <w:pStyle w:val="Style2"/>
        <w:framePr w:w="9178" w:h="2545" w:hRule="exact" w:wrap="none" w:vAnchor="page" w:hAnchor="page" w:x="1501" w:y="7435"/>
        <w:tabs>
          <w:tab w:leader="none" w:pos="15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■* 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r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i</w:t>
      </w:r>
      <w:r>
        <w:rPr>
          <w:rStyle w:val="CharStyle9"/>
        </w:rPr>
        <w:t>—i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r.r«hiař.ň{ « ci cmíniivn ořed jejím podpisem přečetly, s jejím obsahem souhlasí.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Franklin Gothic Heavy" w:eastAsia="Franklin Gothic Heavy" w:hAnsi="Franklin Gothic Heavy" w:cs="Franklin Gothic Heavy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 (2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character" w:customStyle="1" w:styleId="CharStyle4">
    <w:name w:val="Body text (2) + Spacing 1 pt"/>
    <w:basedOn w:val="CharStyle3"/>
    <w:rPr>
      <w:lang w:val="cs-CZ" w:eastAsia="cs-CZ" w:bidi="cs-CZ"/>
      <w:w w:val="100"/>
      <w:spacing w:val="20"/>
      <w:color w:val="000000"/>
      <w:position w:val="0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Gill Sans MT" w:eastAsia="Gill Sans MT" w:hAnsi="Gill Sans MT" w:cs="Gill Sans MT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8"/>
      <w:szCs w:val="18"/>
      <w:rFonts w:ascii="Impact" w:eastAsia="Impact" w:hAnsi="Impact" w:cs="Impact"/>
    </w:rPr>
  </w:style>
  <w:style w:type="character" w:customStyle="1" w:styleId="CharStyle9">
    <w:name w:val="Body text (2) + Consolas,6.5 pt,Italic"/>
    <w:basedOn w:val="CharStyle3"/>
    <w:rPr>
      <w:lang w:val="cs-CZ" w:eastAsia="cs-CZ" w:bidi="cs-CZ"/>
      <w:i/>
      <w:iCs/>
      <w:sz w:val="13"/>
      <w:szCs w:val="13"/>
      <w:rFonts w:ascii="Consolas" w:eastAsia="Consolas" w:hAnsi="Consolas" w:cs="Consolas"/>
      <w:w w:val="100"/>
      <w:spacing w:val="0"/>
      <w:color w:val="000000"/>
      <w:position w:val="0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jc w:val="center"/>
      <w:spacing w:line="23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Franklin Gothic Heavy" w:eastAsia="Franklin Gothic Heavy" w:hAnsi="Franklin Gothic Heavy" w:cs="Franklin Gothic Heavy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before="480" w:line="25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Gill Sans MT" w:eastAsia="Gill Sans MT" w:hAnsi="Gill Sans MT" w:cs="Gill Sans MT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center"/>
      <w:spacing w:before="480" w:line="224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Impact" w:eastAsia="Impact" w:hAnsi="Impact" w:cs="Impact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