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EC07A6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D7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EC07A6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EC07A6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EC07A6" w:rsidRDefault="00EC07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EC07A6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OB3600/2600149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EC07A6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Juta Agency s.r.o.</w:t>
            </w:r>
          </w:p>
        </w:tc>
      </w:tr>
      <w:tr w:rsidR="00EC07A6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52055E" w:rsidP="0052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Dvořákova 780</w:t>
            </w:r>
          </w:p>
        </w:tc>
      </w:tr>
      <w:tr w:rsidR="00EC07A6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52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73911 Frýdlant nad Ostravicí</w:t>
            </w:r>
          </w:p>
        </w:tc>
      </w:tr>
      <w:tr w:rsidR="00EC07A6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06.05.2026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04496833</w:t>
            </w:r>
          </w:p>
        </w:tc>
      </w:tr>
    </w:tbl>
    <w:p w:rsidR="00EC07A6" w:rsidRDefault="00EC07A6" w:rsidP="0052055E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EC07A6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Slavnosti 2026 – zajištění mobilního oplocení a WC vč. příslušenství a servisu</w:t>
            </w:r>
          </w:p>
        </w:tc>
      </w:tr>
    </w:tbl>
    <w:p w:rsidR="00EC07A6" w:rsidRDefault="00EC07A6" w:rsidP="0052055E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EC07A6" w:rsidRDefault="00F23F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Předmět plnění: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zajištění mobilního oplocení a WC vč. příslušenství a servisu v rámci Slavností Brno 2026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rozpis jednotlivých plnění</w:t>
      </w:r>
      <w:r w:rsidR="00D72D6E">
        <w:rPr>
          <w:rFonts w:ascii="Times New Roman" w:hAnsi="Times New Roman" w:cs="Times New Roman"/>
          <w:color w:val="000000"/>
          <w:sz w:val="17"/>
          <w:szCs w:val="17"/>
        </w:rPr>
        <w:t xml:space="preserve"> vč. termínů tvoří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samostatnou přílohu této objednávky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Cena: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Májové slavnosti:    </w:t>
      </w:r>
      <w:r w:rsidR="00D72D6E">
        <w:rPr>
          <w:rFonts w:ascii="Times New Roman" w:hAnsi="Times New Roman" w:cs="Times New Roman"/>
          <w:color w:val="000000"/>
          <w:sz w:val="17"/>
          <w:szCs w:val="17"/>
        </w:rPr>
        <w:t xml:space="preserve">                      </w:t>
      </w:r>
      <w:r w:rsidR="00D72D6E">
        <w:rPr>
          <w:rFonts w:ascii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sz w:val="17"/>
          <w:szCs w:val="17"/>
        </w:rPr>
        <w:t>34 726,00 Kč bez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Svatojánské slavnosti:                     </w:t>
      </w:r>
      <w:r w:rsidR="00D72D6E">
        <w:rPr>
          <w:rFonts w:ascii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sz w:val="17"/>
          <w:szCs w:val="17"/>
        </w:rPr>
        <w:t>38 351,00 Kč bez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Dožínky+Burčákové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slavnosti:     </w:t>
      </w:r>
      <w:r w:rsidR="00D72D6E">
        <w:rPr>
          <w:rFonts w:ascii="Times New Roman" w:hAnsi="Times New Roman" w:cs="Times New Roman"/>
          <w:color w:val="000000"/>
          <w:sz w:val="17"/>
          <w:szCs w:val="17"/>
        </w:rPr>
        <w:tab/>
      </w:r>
      <w:r w:rsidR="00D72D6E">
        <w:rPr>
          <w:rFonts w:ascii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sz w:val="17"/>
          <w:szCs w:val="17"/>
        </w:rPr>
        <w:t>57 226,00 Kč bez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Vinobraní:                                 37 226,00 Kč</w:t>
      </w:r>
      <w:r w:rsidR="00D72D6E">
        <w:rPr>
          <w:rFonts w:ascii="Times New Roman" w:hAnsi="Times New Roman" w:cs="Times New Roman"/>
          <w:color w:val="000000"/>
          <w:sz w:val="17"/>
          <w:szCs w:val="17"/>
        </w:rPr>
        <w:t xml:space="preserve"> bez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celkem bez DPH:    167 529,00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ce</w:t>
      </w:r>
      <w:r w:rsidR="0052055E">
        <w:rPr>
          <w:rFonts w:ascii="Times New Roman" w:hAnsi="Times New Roman" w:cs="Times New Roman"/>
          <w:color w:val="000000"/>
          <w:sz w:val="17"/>
          <w:szCs w:val="17"/>
        </w:rPr>
        <w:t>lkem vč. DPH:    202 710,09 Kč</w:t>
      </w:r>
      <w:r w:rsidR="0052055E"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EC07A6" w:rsidRDefault="00EC07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EC07A6" w:rsidTr="00D72D6E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167 529,00</w:t>
            </w:r>
            <w:r w:rsidR="00D72D6E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Kč</w:t>
            </w:r>
          </w:p>
        </w:tc>
      </w:tr>
      <w:tr w:rsidR="00EC07A6" w:rsidTr="00D72D6E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D7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F23F63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35 181,09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Kč</w:t>
            </w:r>
          </w:p>
        </w:tc>
      </w:tr>
      <w:tr w:rsidR="00EC07A6" w:rsidTr="00D72D6E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D7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202 710,09 </w:t>
            </w:r>
            <w:r w:rsidR="00F23F63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Kč</w:t>
            </w:r>
          </w:p>
        </w:tc>
      </w:tr>
      <w:tr w:rsidR="00EC07A6" w:rsidTr="00D72D6E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D7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dle termínu konání dílčích Slavností Brno 2026</w:t>
            </w:r>
          </w:p>
        </w:tc>
      </w:tr>
    </w:tbl>
    <w:p w:rsidR="00EC07A6" w:rsidRDefault="00EC07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EC07A6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D7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</w:t>
            </w:r>
            <w:r w:rsidR="00F23F63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EC07A6" w:rsidRDefault="00EC07A6" w:rsidP="00D72D6E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EC07A6" w:rsidRDefault="00F23F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EC07A6" w:rsidRDefault="00F23F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EC07A6" w:rsidRDefault="00EC07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EC07A6" w:rsidRDefault="00F23F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EC07A6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EC07A6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EC07A6" w:rsidRDefault="00EC07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EC07A6" w:rsidTr="00D72D6E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EC07A6" w:rsidTr="00D72D6E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EC07A6" w:rsidTr="00D72D6E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D72D6E" w:rsidRDefault="00D72D6E" w:rsidP="00D72D6E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D72D6E" w:rsidRDefault="00D72D6E" w:rsidP="00D72D6E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EC07A6" w:rsidRDefault="00D72D6E" w:rsidP="00D72D6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EC07A6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D7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7A6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EC07A6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F23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EC07A6" w:rsidRDefault="00EC0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EC07A6" w:rsidRDefault="00F23F6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EC07A6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E"/>
    <w:rsid w:val="0052055E"/>
    <w:rsid w:val="00D72D6E"/>
    <w:rsid w:val="00EC07A6"/>
    <w:rsid w:val="00F2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4344E"/>
  <w14:defaultImageDpi w14:val="0"/>
  <w15:docId w15:val="{8F6AD848-C0E1-4291-8E2B-C1D49082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4</cp:revision>
  <dcterms:created xsi:type="dcterms:W3CDTF">2026-05-06T08:41:00Z</dcterms:created>
  <dcterms:modified xsi:type="dcterms:W3CDTF">2026-05-06T13:32:00Z</dcterms:modified>
</cp:coreProperties>
</file>