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231390" cy="1073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09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45" w:left="1101" w:right="1091" w:bottom="1000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4" w:left="0" w:right="0" w:bottom="1198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Smlouva číslo: 1770-2025-13132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Č.j.: MZE-88142/2025-13132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Ministerstvo zemědělství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0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agentura pro zemědělský výzkum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20" w:line="240" w:lineRule="auto"/>
        <w:ind w:left="0" w:right="0" w:firstLine="0"/>
        <w:jc w:val="center"/>
        <w:rPr>
          <w:sz w:val="56"/>
          <w:szCs w:val="56"/>
        </w:rPr>
      </w:pPr>
      <w:bookmarkStart w:id="0" w:name="bookmark0"/>
      <w:r>
        <w:rPr>
          <w:color w:val="000000"/>
          <w:spacing w:val="0"/>
          <w:w w:val="100"/>
          <w:position w:val="0"/>
          <w:sz w:val="56"/>
          <w:szCs w:val="56"/>
          <w:shd w:val="clear" w:color="auto" w:fill="auto"/>
          <w:lang w:val="cs-CZ" w:eastAsia="cs-CZ" w:bidi="cs-CZ"/>
        </w:rPr>
        <w:t>Smlouva</w:t>
      </w:r>
      <w:bookmarkEnd w:id="0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20" w:line="28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poskytnutí podpory na řešení projektu výzkumu a vývoje</w:t>
        <w:br/>
        <w:t>Programu na podporu aplikovaného výzkumu Ministerstva</w:t>
        <w:br/>
        <w:t>zemědělství na období 2024-2032, ZEMĚ II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240" w:line="240" w:lineRule="auto"/>
        <w:ind w:left="0" w:right="0" w:firstLine="0"/>
        <w:jc w:val="center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3439160</wp:posOffset>
            </wp:positionH>
            <wp:positionV relativeFrom="paragraph">
              <wp:posOffset>546100</wp:posOffset>
            </wp:positionV>
            <wp:extent cx="2414270" cy="1908175"/>
            <wp:wrapTight wrapText="left">
              <wp:wrapPolygon>
                <wp:start x="0" y="0"/>
                <wp:lineTo x="21600" y="0"/>
                <wp:lineTo x="21600" y="21600"/>
                <wp:lineTo x="12436" y="21600"/>
                <wp:lineTo x="12436" y="15310"/>
                <wp:lineTo x="2618" y="15310"/>
                <wp:lineTo x="2618" y="8986"/>
                <wp:lineTo x="0" y="8986"/>
                <wp:lineTo x="0" y="0"/>
              </wp:wrapPolygon>
            </wp:wrapTight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2414270" cy="19081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Verze 1.2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  <w:rPr>
          <w:sz w:val="120"/>
          <w:szCs w:val="120"/>
        </w:rPr>
      </w:pPr>
      <w:r>
        <w:rPr>
          <w:rFonts w:ascii="Lucida Sans Unicode" w:eastAsia="Lucida Sans Unicode" w:hAnsi="Lucida Sans Unicode" w:cs="Lucida Sans Unicode"/>
          <w:color w:val="30428D"/>
          <w:spacing w:val="0"/>
          <w:w w:val="100"/>
          <w:position w:val="0"/>
          <w:sz w:val="120"/>
          <w:szCs w:val="120"/>
          <w:shd w:val="clear" w:color="auto" w:fill="auto"/>
          <w:lang w:val="cs-CZ" w:eastAsia="cs-CZ" w:bidi="cs-CZ"/>
        </w:rPr>
        <w:t>ZEME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500" w:right="0" w:firstLine="0"/>
        <w:jc w:val="left"/>
        <w:rPr>
          <w:sz w:val="22"/>
          <w:szCs w:val="22"/>
        </w:rPr>
      </w:pPr>
      <w:r>
        <w:rPr>
          <w:color w:val="30428D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Program na podporu aplikovaného výzkumu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1500" w:right="0" w:firstLine="0"/>
        <w:jc w:val="left"/>
        <w:rPr>
          <w:sz w:val="22"/>
          <w:szCs w:val="22"/>
        </w:rPr>
      </w:pPr>
      <w:r>
        <w:rPr>
          <w:color w:val="30428D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Ministerstva zemědělství 2024-2032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231390" cy="1073150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2231390" cy="1073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39" w:line="1" w:lineRule="exact"/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SMLOUVA O POSKYTNUTÍ PODPORY NA ŘEŠENÍ PROJEKTU</w:t>
        <w:br/>
        <w:t>QL26020204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Česká republika - Ministerstvo zemědělství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 sídlem: Těšnov 65/17, 110 00 Praha 1 - Nové Město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IČO: 00020478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ČNB, centrální pobočka Praha 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ID datové schránky: yphaax8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Zastoupená: Ing. Petr Jílek, vrchní ředitel sekce, Sekce ekologického zemědělství, komodit, výzkumu a vzdělávání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„poskytovatel“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Národní centrum zemědělského a potravinářského výzkumu, v. v. 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Veřejná výzkumná instituce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 sídlem: Drnovská 507/73 Praha 6 - Ruzyně 16100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ČESKÁ NÁRODNÍ BANKA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Číslo účtu: 94-13423061/0710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ID datové schránky: 3tnj7g7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Zastoupená: Ing. Jiban Kumar, Ph.D., ředitel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„příjemce“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 základě výsledku veřejné soutěže vyhlášené poskytovatelem v rámci Programu ZEMĚ II, uzavřeli podle ustanovení § 9 odst. 1 až 3 a podle ustanovení § 3 odst. 2 písm. b)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 č. 130/2002 Sb.“), podle ustanovení § 161 odst. 1 zákona č. 500/2004 Sb., správní řád, ve znění pozdějších předpisů a v souladu s ustanovením § 17 zákona č. 218/2000 Sb., o rozpočtových pravidlech a o změně některých souvisejících zákonů (rozpočtová pra</w:t>
        <w:softHyphen/>
        <w:t>vidla), ve znění pozdějších předpisů (dále jen „zákon č. 218/2000 Sb., o rozpočtových pravidlech“), dále v souladu s čl. 25 Nařízení Komise (EU) č. 651/2014 ze dne 17. června 2014, kterým se v souladu s články 107 a 108 Smlouvy prohlašují určité kategorie podpory za slučitelné s vnitřním trhem, Úřední věstník EU L 187/1 ze dne 26. 6. 2014 v platném znění (dále jen „GBER“), v souladu se zněním Rámce pro státní podporu výzkumu, vývoje a inovací - Úřední věstník EU ze dne 28. října 2022 č. 2022/C 414/01 (dále jen „Rámec“)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tuto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Smlouvu o poskytnutí podpory</w:t>
        <w:br/>
        <w:t>na řešení projektu QL26020204</w:t>
        <w:br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Smlouva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231390" cy="1073150"/>
            <wp:docPr id="8" name="Picut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2231390" cy="1073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39" w:line="1" w:lineRule="exact"/>
      </w:pP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1</w:t>
        <w:br/>
        <w:t>Předmět a účel Smlouvy a předmět řešení projektu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6" w:val="left"/>
        </w:tabs>
        <w:bidi w:val="0"/>
        <w:spacing w:before="0" w:after="10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Předmětem této Smlouvy je: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80" w:line="276" w:lineRule="auto"/>
        <w:ind w:left="640" w:right="0" w:hanging="26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a. podpora projektu výzkumu a vývoje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erence w:id="2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QL26020204 Komplexní strategie pro spolehlivou autentizaci vybraných rostlinných potravinových komodit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(dále jen „projekt“), jehož před</w:t>
        <w:softHyphen/>
        <w:t>mětem je: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/>
        <w:ind w:left="640" w:right="0" w:firstLine="2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Cílem projektu je vývoj a validace molekulárně-biologických metod pro detekci a kvanti</w:t>
        <w:softHyphen/>
        <w:t>fikaci rostlinných složek ve vybraných potravinách. Zaměřuje se na autentizaci botanic</w:t>
        <w:softHyphen/>
        <w:t>kého původu a odhalování příměsí v kávě, koření a bylinných čajích, včetně legislativně významných složek dle potřeb SZPI. Projekt bude koncipován jako série případových studií s generickou použitelností v úřední i laboratorní praxi s využitím analýzy DNA v kombinaci s prescreeningem a/nebo komplementární analýzou pomocí chemických metod. Výstupem budou certifikované metodiky pro akreditované laboratoře, jako je Referenční laboratoř pro GMO a DNA fingerprinting v rámci CARC a Metrologická a zkušební laboratoř VŠCHT Praha při Ústavu analýzy potravin a výživy, které jsou akredi</w:t>
        <w:softHyphen/>
        <w:t>tované dle ISO 17025.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 w:line="271" w:lineRule="auto"/>
        <w:ind w:left="640" w:right="0" w:hanging="26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b. závazek poskytovatele poskytnout příjemci finanční podporu formou dotace za účelem jejího využití na dosažení deklarovaných výsledků a cílů projektu a současně,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/>
        <w:ind w:left="640" w:right="0" w:hanging="26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c. závazek příjemce řešit projekt a použít tuto podporu pouze na řešení projektu v souladu s touto Smlouvou, s pravidly použití podpory dle § 8 zákona č. 130/2002 Sb., v souladu s Programem aplikovaného výzkumu Ministerstva zemědělství na období 2024-2032, ZEMĚ II (dále jen „Pro</w:t>
        <w:softHyphen/>
        <w:t>gram ZEMĚ II“) a se Závaznými parametry projektu a Zadávací dokumentací pro veřejnou sou</w:t>
        <w:softHyphen/>
        <w:t>těž vyhlášenou v roce 2025.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94" w:val="left"/>
        </w:tabs>
        <w:bidi w:val="0"/>
        <w:spacing w:before="0" w:after="720"/>
        <w:ind w:left="280" w:right="0" w:hanging="28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Předmět, cíle a předpokládané výsledky projektu jsou stanoveny v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Závazných parametrech řešení projektu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které jsou schváleným návrhem projektu ve smyslu § 9 odst. 2 zákona o podpoře výz</w:t>
        <w:softHyphen/>
        <w:t>kumu, experimentálního vývoje a inovací, a tvoří nedílnou součást této Smlouvy (dále jen „Závazné parametry projektu“) 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2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Osoba odpovědná za řešení projektu a další účastníci projektu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231390" cy="1073150"/>
            <wp:docPr id="9" name="Picut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2231390" cy="1073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3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100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vlastněny některým ze subjektů uvedených v písmenu a) tohoto pododstavce Smlouvy, přič</w:t>
        <w:softHyphen/>
        <w:t>emž podíly těchto subjektů se sčítají, nebo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94" w:val="left"/>
        </w:tabs>
        <w:bidi w:val="0"/>
        <w:spacing w:before="0" w:line="271" w:lineRule="auto"/>
        <w:ind w:left="1000" w:right="0" w:hanging="26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fyzickou nebo právnickou osobou, subjektem nebo orgánem, které jednají jménem nebo na pokyn některého ze subjektů uvedených v písmeni a) nebo b) tohoto pododstavce Smlouvy; 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40"/>
        <w:jc w:val="left"/>
      </w:pPr>
      <w:r>
        <w:rPr>
          <w:color w:val="FF73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◦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není osobou, na níž by se vztahovaly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1000" w:right="0" w:hanging="26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a. sankční režimy zavedené Evropskou unií na základě nařízení Rady (EU) č. 269/2014 o omezujících opatřeních vzhledem k činnostem narušujícím nebo ohrožujícím územní celi</w:t>
        <w:softHyphen/>
        <w:t>stvost, svrchovanost a nezávislost Ukrajiny a nařízení Rady (EU) č. 208/2014 o omezujících opatřeních vůči některým osobám, subjektům a orgánům vzhledem k situaci na Ukrajině, stejně jako na základě nařízení (ES) č. 765/2006 o omezujících opatřeních vůči prezidentu Lukašenkovi a některým představitelům Běloruska, a dále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740"/>
        <w:ind w:left="1000" w:right="0" w:hanging="26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b. české právní předpisy zejména zákon č. 69/2006 Sb., o provádění mezinárodních sankcí, v platném znění, navazující na nařízení EU uvedená v tomto a předchozím pododstavci Smlouvy.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3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665" w:val="left"/>
          <w:tab w:pos="1286" w:val="left"/>
          <w:tab w:pos="1771" w:val="left"/>
          <w:tab w:pos="2208" w:val="left"/>
          <w:tab w:pos="2606" w:val="left"/>
          <w:tab w:pos="3382" w:val="left"/>
          <w:tab w:pos="3821" w:val="left"/>
          <w:tab w:pos="4172" w:val="left"/>
          <w:tab w:pos="4338" w:val="left"/>
        </w:tabs>
        <w:bidi w:val="0"/>
        <w:spacing w:before="0" w:after="0" w:line="18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X'</w:t>
        <w:tab/>
        <w:t>■ X' ■</w:t>
        <w:tab/>
      </w:r>
      <w:r>
        <w:rPr>
          <w:i/>
          <w:iCs/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■</w:t>
        <w:tab/>
        <w:t>v</w:t>
        <w:tab/>
        <w:t>X’ V V</w:t>
        <w:tab/>
        <w:t>X'</w:t>
        <w:tab/>
        <w:t>■</w:t>
        <w:tab/>
        <w:t>■</w:t>
        <w:tab/>
        <w:t>-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60" w:line="18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Termíny zahájení a ukončení řešení projektu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8" w:val="left"/>
          <w:tab w:pos="1302" w:val="left"/>
          <w:tab w:pos="3140" w:val="left"/>
          <w:tab w:pos="3879" w:val="left"/>
          <w:tab w:pos="4760" w:val="left"/>
          <w:tab w:pos="5302" w:val="left"/>
          <w:tab w:pos="6044" w:val="left"/>
          <w:tab w:pos="7016" w:val="left"/>
          <w:tab w:pos="883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Řešením</w:t>
        <w:tab/>
        <w:t>projektu se rozumí</w:t>
        <w:tab/>
        <w:t>činnost</w:t>
        <w:tab/>
        <w:t>příjemce</w:t>
        <w:tab/>
        <w:t>nebo</w:t>
        <w:tab/>
        <w:t>dalších</w:t>
        <w:tab/>
        <w:t>účastníků</w:t>
        <w:tab/>
        <w:t>projektu vedoucí k</w:t>
        <w:tab/>
        <w:t>dosažení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cílů a výsledků projektu.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8" w:val="left"/>
        </w:tabs>
        <w:bidi w:val="0"/>
        <w:spacing w:before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Termíny zahájení řešení a ukončení projektu jsou stanoveny v Závazných parametrech projektu.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8" w:val="left"/>
        </w:tabs>
        <w:bidi w:val="0"/>
        <w:spacing w:before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Řešení projektu nesmí být zahájeno před termínem zahájení projektu.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Řešení projektu musí být ukončeno nejpozději do termínu ukončení projektu. V tomto termínu musí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28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být zároveň dosaženo cílů a výsledků projektu.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4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Náklady projektu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6" w:val="left"/>
        </w:tabs>
        <w:bidi w:val="0"/>
        <w:spacing w:before="0" w:line="266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Uznané náklady projektu jsou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17 994 328 Kč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(slovy: sedmnáctmilionůdevětsetdevadesátčtyři- tisícetřistadvacetosm korun českých).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6" w:val="left"/>
        </w:tabs>
        <w:bidi w:val="0"/>
        <w:spacing w:before="0" w:line="271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Poskytovatel poskytne příjemci podporu až do výše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17 994 328 Kč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(slovy: sedmnáctmi- lionůdevětsetdevadesátčtyřitisícetřistadvacetosm korun českých).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6" w:val="left"/>
        </w:tabs>
        <w:bidi w:val="0"/>
        <w:spacing w:before="0" w:after="740" w:line="271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Intenzita podpory nesmí přesáhnout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100 %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(slovy: sto procent) z celkových uznaných nákladů pro</w:t>
        <w:softHyphen/>
        <w:t>jektu.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5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Poskytování podpory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231390" cy="1073150"/>
            <wp:docPr id="10" name="Picut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2231390" cy="1073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39" w:line="1" w:lineRule="exact"/>
      </w:pP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06" w:val="left"/>
        </w:tabs>
        <w:bidi w:val="0"/>
        <w:spacing w:before="0" w:line="266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Poskytovatel poskytne příjemci podporu na řešení projektu na základě této Smlouvy a za podmínek v ní uvedených, a to včetně podpory určené k využití dalšími účastníky.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06" w:val="left"/>
        </w:tabs>
        <w:bidi w:val="0"/>
        <w:spacing w:before="0" w:line="271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Poskytovatel poskytne podporu, včetně podpory určené dalším účastníkům, převodem z výda</w:t>
        <w:softHyphen/>
        <w:t>jového účtu poskytovatele na bankovní účet příjemce uvedený v záhlaví této Smlouvy.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06" w:val="left"/>
        </w:tabs>
        <w:bidi w:val="0"/>
        <w:spacing w:before="0" w:line="259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Poskytovatel se zavazuje poskytnout podporu jednorázově na každý příslušný rok řešení ve výši uvedené v Závazných parametrech řešení projektu, a to ve lhůtách stanovených zákonem č. 130/2002 Sb.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[</w:t>
      </w:r>
      <w:r>
        <w:rPr>
          <w:color w:val="FF73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4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]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06" w:val="left"/>
        </w:tabs>
        <w:bidi w:val="0"/>
        <w:spacing w:before="0" w:line="271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Poskytovatel si v případě zavedení rozpočtového provizoria nebo v případě, že dojde k regulaci čer</w:t>
        <w:softHyphen/>
        <w:t>pání státního rozpočtu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[</w:t>
      </w:r>
      <w:r>
        <w:rPr>
          <w:color w:val="FF73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5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]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v daném roce řešení, vyhrazuje právo změnit výši plateb nebo podporu nevyplatit v souladu s regulací a rozpočtovými pravidly.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06" w:val="left"/>
        </w:tabs>
        <w:bidi w:val="0"/>
        <w:spacing w:before="0" w:after="0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 případě, kdy příjemce nebo další účastník/účastníci projektu poruší jakýkoliv závazek vyplývající z této smlouvy, je poskytovatel oprávněn na základě písemného upozornění pozastavit příjemci poskytování podpory, a to až do doby, než dojde ze strany příjemce nebo dalšího účastníka/dalších účastníků ke splnění všech povinností vyplývajících z této smlouvy. Ustanovením tohoto odstavce nejsou dotčena další práva poskytovatele stanovená Smlouvou.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720"/>
        <w:ind w:left="28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Příjemci nebo dalšímu účastníku/dalším účastníkům projektu nenáleží náhrada škody či jiné újmy, která jim vznikne v důsledku přerušení nebo zastavení poskytování podpory.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6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Základní povinnosti příjemce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06" w:val="left"/>
        </w:tabs>
        <w:bidi w:val="0"/>
        <w:spacing w:before="0" w:line="271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Příjemce je povinen dosáhnout cílů a předpokládaných výsledků projektu stanovených v Závazných parametrech projektu, případně zajistit jejich dosažení dalšími účastníky.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06" w:val="left"/>
        </w:tabs>
        <w:bidi w:val="0"/>
        <w:spacing w:before="0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Příjemce je oprávněn poskytnutou podporu na základě Smlouvy převést dalším účastníkům pro</w:t>
        <w:softHyphen/>
        <w:t>jektu ve výši stanovené v Závazných parametrech projektu, a to za podmínek, které zajistí naplnění účelu a podmínek této Smlouvy.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06" w:val="left"/>
        </w:tabs>
        <w:bidi w:val="0"/>
        <w:spacing w:before="0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Podporu lze použít výhradně na úhradu nebo pokrytí způsobilých nákladů projektu ve smyslu usta</w:t>
        <w:softHyphen/>
        <w:t>novení § 2 odst. 2 písm. m) zákona č. 130/2002 Sb. uvedených v Závazných parametrech projektu, Zadávací dokumentaci pro veřejnou soutěž vyhlášenou v roce 2025 a schválených poskytovatelem ve veřejné soutěži ve výzkumu, vývoji a inovacích.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06" w:val="left"/>
        </w:tabs>
        <w:bidi w:val="0"/>
        <w:spacing w:before="0" w:line="271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Podpora nesmí být použita na úhradu nákladů na pořízení dlouhodobého hmotného majetku ve smyslu § 26 zákona č. 586/1992 Sb., o daních z příjmů a dlouhodobého nehmotného majetku ve smyslu zákona č. 563/1991 Sb., o účetnictví a jeho prováděcích předpisů.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06" w:val="left"/>
        </w:tabs>
        <w:bidi w:val="0"/>
        <w:spacing w:before="0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Příjemce je povinen postupovat podle této Smlouvy a odpovídá za použití podpory, jakož i za postup při řešení projektu v souladu s podmínkami této Smlouvy ze strany řešitele a dalších účast</w:t>
        <w:softHyphen/>
        <w:t>níků.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06" w:val="left"/>
        </w:tabs>
        <w:bidi w:val="0"/>
        <w:spacing w:before="0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Příjemce nebo další účastník/účastníci projektu, kteří vstoupí do likvidace, nebo je proti některému z nich vedeno řízení dle zákona č. 182/2006 Sb., o úpadku a způsobech jeho řešení (insolvenční zákon), ve znění pozdějších předpisů, nebo byl vůči nim vydán dosud nesplacený inkasní příkaz po předcházejícím rozhodnutí Komise prohlašujícím, že podpora je protiprávní a neslučitelná s vnitřním trhem (čl. 1 odst. 4, písm. A) GBER), nebo se stanou podnikem v obtížích ve smyslu čl. 2 odst. 18 GBER, jsou povinni o této skutečnosti bez zbytečného odkladu poskytovatele písemně informovat.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231390" cy="1073150"/>
            <wp:docPr id="11" name="Picut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2231390" cy="1073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39" w:line="1" w:lineRule="exact"/>
      </w:pP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11" w:val="left"/>
        </w:tabs>
        <w:bidi w:val="0"/>
        <w:spacing w:before="0" w:after="100" w:line="271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Příjemce a další účastník/účastníci projektu, podílející se na řešení projektu, jsou povinni písemně informovat poskytovatele o změnách, které se dotýkají nebo mohou dotýkat plnění podmínek vyplývajících z této Smlouvy, nebo které by mohly mít vliv na řešení projektu, zejména změny dotýkající se jeho právní subjektivity (osobnosti), údajů k prokázání způsobilosti příjemce, atd., a to s dostatečným časovým předstihem před provedením takové změny, nejpozději však do 7 (slovy: sedmi) kalendářních dnů ode dne, kdy se o takové skutečnosti příjemce a další účast- ník/účastníci projektu dozvěděli.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11" w:val="left"/>
        </w:tabs>
        <w:bidi w:val="0"/>
        <w:spacing w:before="0" w:after="100" w:line="271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Příjemce a další účastník/účastníci projektu jsou povinni po celou dobu řešení projektu splňovat podmínky stanovené Zadávací dokumentací pro veřejnou soutěž vyhlášenou v roce 2025, která je dostupná na webových stránkách poskytovatele.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11" w:val="left"/>
        </w:tabs>
        <w:bidi w:val="0"/>
        <w:spacing w:before="0" w:after="240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Příjemce je dále povinen postupovat podle Všeobecných podmínek (platných pro veřejnou soutěž vyhlášenou v roce 2025), které jsou dostupné na webových stránkách poskytovatele (dále jen „Všeobecné podmínky“). Příjemce prohlašuje, že jsou mu tyto Všeobecné podmínky známy. Obsa- huje-li Smlouva úpravu odlišnou od Všeobecných podmínek či Závazných parametrů řešení pro</w:t>
        <w:softHyphen/>
        <w:t>jektu, použijí se přednostně ustanovení Smlouvy, dále ustanovení Všeobecných podmínek a dále Závazných parametrů řešení projektu.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7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Vykazování způsobilých výdajů projektu</w:t>
      </w:r>
    </w:p>
    <w:p>
      <w:pPr>
        <w:pStyle w:val="Style10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11" w:val="left"/>
        </w:tabs>
        <w:bidi w:val="0"/>
        <w:spacing w:before="0" w:after="100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Výdaj, který lze uznat za výdaj projektu musí skutečně vzniknout, být vynaložen, zaznamenán na bankovních účtech či v pokladně příjemce finanční podpory nebo dalších účastníků, být identifiko</w:t>
        <w:softHyphen/>
        <w:t>vatelný a kontrolovatelný a musí být doložitelný originály účetních dokladů ve smyslu § 11 zákona č. 563/1991 Sb., o účetnictví, ve znění pozdějších předpisů, resp. originály jiných dokladů ekviva</w:t>
        <w:softHyphen/>
        <w:t>lentní průkazní hodnoty. Každý originál relevantního účetního dokladu je příjemce povinen označit (razítko, text apod.), že se jedná o výdaj financovaný z projektu QL26020204.</w:t>
      </w:r>
    </w:p>
    <w:p>
      <w:pPr>
        <w:pStyle w:val="Style10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11" w:val="left"/>
        </w:tabs>
        <w:bidi w:val="0"/>
        <w:spacing w:before="0" w:after="740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Podrobnosti vykazování a vyúčtování nákladů projektu jsou stanoveny Všeobecnými podmínkami.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8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Zveřejňování výsledků a práva k výsledkům projektu</w:t>
      </w:r>
    </w:p>
    <w:p>
      <w:pPr>
        <w:pStyle w:val="Style1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11" w:val="left"/>
        </w:tabs>
        <w:bidi w:val="0"/>
        <w:spacing w:before="0" w:after="100" w:line="271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Příjemce a další účastník/účastníci projektu jsou povinni zveřejňovat výsledky výzkumného řešení v souladu s Programem ZEMĚ II. Za splnění této povinnosti ze strany dalších účastníků projektu odpovídá příjemce.</w:t>
      </w:r>
    </w:p>
    <w:p>
      <w:pPr>
        <w:pStyle w:val="Style1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11" w:val="left"/>
        </w:tabs>
        <w:bidi w:val="0"/>
        <w:spacing w:before="0" w:after="740" w:line="266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Přístupová práva k výsledkům a využití výsledků z řešení projektu je upraveno Všeobecnými pod</w:t>
        <w:softHyphen/>
        <w:t>mínkami.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9</w:t>
        <w:br/>
        <w:t>Změny Smlouvy a projektu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 w:line="271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1. Smlouva může být doplňována, upravována a měněna pouze písemnými po sobě číslovanými dodatky k této Smlouvě, podepsanými oprávněnými zástupci smluvních stran.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66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2. Závazné parametry projektu lze měnit na základě žádosti příjemce provedením změny v informač</w:t>
        <w:softHyphen/>
        <w:t>ním systému SISTA a doručením nových Závazných parametrů příjemci.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231390" cy="1073150"/>
            <wp:docPr id="12" name="Picut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2231390" cy="1073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39" w:line="1" w:lineRule="exact"/>
      </w:pPr>
    </w:p>
    <w:p>
      <w:pPr>
        <w:pStyle w:val="Style1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09" w:val="left"/>
        </w:tabs>
        <w:bidi w:val="0"/>
        <w:spacing w:before="0" w:after="100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Smlouvu a Závazné parametry projektu lze měnit pouze v odůvodněných případech. Nad rámec Programu ZEMĚ II a nad rámec výsledků veřejné soutěže na projekty ve výzkumu, vývoji a ino</w:t>
        <w:softHyphen/>
        <w:t>vacích v rámci Programu ZEMĚ II lze však Smlouvu měnit jen z důvodů uvedených v čl. 5 odst. 4 této Smlouvy.</w:t>
      </w:r>
    </w:p>
    <w:p>
      <w:pPr>
        <w:pStyle w:val="Style1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09" w:val="left"/>
        </w:tabs>
        <w:bidi w:val="0"/>
        <w:spacing w:before="0" w:after="100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Písemný návrh na změny ke Smlouvě nebo žádost o změnu Závazných parametrů projektu musí být doručeny poskytovateli v dostatečném předstihu před očekávanou realizací žádané změny tak, aby mohl být návrh poskytovatelem náležitě posouzen a v případě jeho akceptace mohla být změna provedena, zpravidla do 60 kalendářních dnů před stanoveným a poskytovatelem schváleným ter</w:t>
        <w:softHyphen/>
        <w:t>mínem ukončení řešení projektu, nebo neprodleně poté, co se příjemce o nutnosti změny dozvěděl. Tímto ustanovením není dotčena zákonná povinnost podávat poskytovateli informace o změnách, které se dotýkají jeho právní subjektivity (osobnosti), údajů k prokázání způsobilosti, nebo které by mohly mít vliv na řešení projektu.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[</w:t>
      </w:r>
      <w:r>
        <w:rPr>
          <w:color w:val="FF73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6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]</w:t>
      </w:r>
    </w:p>
    <w:p>
      <w:pPr>
        <w:pStyle w:val="Style1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09" w:val="left"/>
        </w:tabs>
        <w:bidi w:val="0"/>
        <w:spacing w:before="0" w:after="100" w:line="271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Pokud změna spočívá ve změně či snížení Závazných parametrů projektu, je poskytovatel opráv</w:t>
        <w:softHyphen/>
        <w:t>něn poměrně snížit částku poskytnuté podpory.</w:t>
      </w:r>
    </w:p>
    <w:p>
      <w:pPr>
        <w:pStyle w:val="Style1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09" w:val="left"/>
        </w:tabs>
        <w:bidi w:val="0"/>
        <w:spacing w:before="0" w:after="100" w:line="271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Písemný návrh smlouvy, jakož i informace o změnách6 podává další účastník/účastníci projektu poskytovateli prostřednictvím příjemce. V případě porušení povinnosti informovat poskytovatele o změnách projektu má poskytovatel právo postupovat v souladu s čl. 5 odst. 5 této Smlouvy.</w:t>
      </w:r>
    </w:p>
    <w:p>
      <w:pPr>
        <w:pStyle w:val="Style1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09" w:val="left"/>
        </w:tabs>
        <w:bidi w:val="0"/>
        <w:spacing w:before="0" w:after="100" w:line="271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Mezi změny nevyžadující vyhotovení dodatku ke Smlouvě, podléhající pouze oznamovací povin</w:t>
        <w:softHyphen/>
        <w:t>nosti poskytovateli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[</w:t>
      </w:r>
      <w:r>
        <w:rPr>
          <w:color w:val="FF73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7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]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patří zejména: administrativní změny (změny kontaktních údajů), změna sídla a názvu organizace, změna čísla účtu, změna statutárního orgánu, a jakákoliv další změna, která nemá vliv na řešení projektu, anebo která se nedotýká právní subjektivity (právní osobnosti) příjemce a dalšího účastníka/dalších účastníků.</w:t>
      </w:r>
    </w:p>
    <w:p>
      <w:pPr>
        <w:pStyle w:val="Style1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09" w:val="left"/>
        </w:tabs>
        <w:bidi w:val="0"/>
        <w:spacing w:before="0" w:after="72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Ústní dohody nejsou pro smluvní strany závazné.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10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Kontroly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1. Poskytovatel je oprávněn provádět kontrolu plnění podmínek této Smlouvy v souladu s ustano</w:t>
        <w:softHyphen/>
        <w:t>vením § 13 zákona č. 130/2002 Sb., dále podle zákona č. 320/2001 Sb., o finanční kontrole ve veřejné správě a o změně některých zákonů (zákon o finanční kontrole), ve znění pozdějších před</w:t>
        <w:softHyphen/>
        <w:t>pisů, podle zákona č. 255/2012 Sb., o kontrole (kontrolní řád), ve znění pozdějších předpisů, a s právními normami s tím souvisejícími.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 w:line="276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2. Příjemce je povinen umožnit poskytovateli provést kontrolu ve smyslu ustanovení 10.1 tohoto článku, a to včetně kontroly u dalšího účastníka/účastníků projektu.</w:t>
      </w:r>
    </w:p>
    <w:p>
      <w:pPr>
        <w:pStyle w:val="Style10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09" w:val="left"/>
        </w:tabs>
        <w:bidi w:val="0"/>
        <w:spacing w:before="0" w:after="100" w:line="271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Další podmínky provádění kontrol poskytovatelem u příjemce a dalšího účastníka/dalších účastníků projektu jsou stanoveny Všeobecnými podmínkami.</w:t>
      </w:r>
    </w:p>
    <w:p>
      <w:pPr>
        <w:pStyle w:val="Style10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09" w:val="left"/>
        </w:tabs>
        <w:bidi w:val="0"/>
        <w:spacing w:before="0" w:after="720" w:line="276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Neumožní-li příjemce nebo další účastník/účastníci projektu kontrolu některé z podmínek této smlouvy, považuje se tato podmínka za nesplněnou.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11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Vyúčtování a finanční vypořádání dotace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231390" cy="1073150"/>
            <wp:docPr id="13" name="Picut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2231390" cy="1073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3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1. Příjemce provede za každý rok řešení projektu vyúčtování nákladů a výdajů vynaložených na řešení projektu, včetně nákladů a výdajů vynaložených dalšími účastníky a vyúčtování poskytnuté podpory s poskytovatelem, které předloží spolu s průběžnou zprávou projektu.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2. Závěrečné vyúčtování nákladů a výdajů projektu, zahrnující finanční vypořádání za celé období řešení projektu, předloží příjemce společně se závěrečnou zprávou projektu.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4" w:val="left"/>
        </w:tabs>
        <w:bidi w:val="0"/>
        <w:spacing w:before="0" w:after="740" w:line="257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Finanční vypořádání dotace poskytnuté na základě této Smlouvy se řídí zákonem č. 218/2000 Sb., o rozpočtových pravidlech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[</w:t>
      </w:r>
      <w:r>
        <w:rPr>
          <w:color w:val="FF73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8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]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a jeho prováděcími předpisy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[</w:t>
      </w:r>
      <w:r>
        <w:rPr>
          <w:color w:val="FF73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9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]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12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Důsledky porušení podmínek Smlouvy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1. Porušení podmínek této Smlouvy příjemcem je neoprávněným použitím poskytnutých prostředků podle ustanovení § 3 písm. e) zákona č. 218/2000 Sb., o rozpočtových pravidlech, které je porušením rozpočtové kázně podle ustanovení § 44 odst. 1 písm. b), případně písm. j) téhož zákona a bude řešeno podle tohoto zákona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[</w:t>
      </w:r>
      <w:r>
        <w:rPr>
          <w:color w:val="FF73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10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]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740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2. Pokud tato Smlouva nebo zákon zakládá povinnost vrácení poskytnutých prostředků, nebo pokud na základě této Smlouvy poskytovatel požaduje vrácení poskytnutých prostředků a příjemce tuto povinnost nesplní, dopustí se zadržení poskytnutých prostředků podle ustanovení § 3 písm. f) zákona č. 218/2000 Sb., o rozpočtových pravidlech, které je porušením rozpočtové kázně podle ustanovení § 44 odst. 1 písm. b), téhož zákona a bude řešeno podle tohoto zákona.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60" w:line="27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13</w:t>
        <w:br/>
        <w:t>Používané právo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1. Tato Smlouva se řídí právem České republiky.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740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2. Vztahy, práva a povinnosti smluvních stran neupravené touto Smlouvou nebo jejími přílohami se řídí zákonem č. 130/2002 Sb., zákonem č. 218/2000 Sb., o rozpočtových pravidlech, zákonem č. 500/2004 Sb., správní řád, ve znění pozdějších předpisů, zákonem č. 89/2012 Sb., občanský zákoník, Rámcem a GBER.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14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Závěrečná ustanovení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1. Příjemce prohlašuje a podpisem této Smlouvy svého zástupce nebo zástupců stvrzuje, že jím uve</w:t>
        <w:softHyphen/>
        <w:t>dené údaje, na jejichž základě je uzavřena tato Smlouva a má být poskytnuta podpora poskytovate</w:t>
        <w:softHyphen/>
        <w:t>lem, jsou pravdivé a odpovídají skutečnosti.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2. V souladu s GBER zajistí poskytovatel zápis údajů o režimech podpory, jednotlivých podporách a údaje o jejich příjemcích do souhrnného elektronického systému veřejné podpory. Příjemce a další účastník/účastníci projektu poskytnou nezbytnou součinnost a souhlasí se zveřejněním údajů v tomto systému.</w:t>
      </w:r>
    </w:p>
    <w:p>
      <w:pPr>
        <w:pStyle w:val="Style1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34" w:val="left"/>
        </w:tabs>
        <w:bidi w:val="0"/>
        <w:spacing w:before="0" w:after="180" w:line="271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Příjemce svým podpisem níže potvrzuje, že souhlasí s tím, aby obraz Smlouvy včetně jejích příloh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231390" cy="1073150"/>
            <wp:docPr id="14" name="Picut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2231390" cy="1073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3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32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 případných dodatků a metadata k této Smlouvě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zveřejnění správci registru posky</w:t>
        <w:softHyphen/>
        <w:t>tovatel, tím není dotčeno právo příjemce k jejich odeslání.</w:t>
      </w:r>
    </w:p>
    <w:p>
      <w:pPr>
        <w:pStyle w:val="Style1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56" w:val="left"/>
        </w:tabs>
        <w:bidi w:val="0"/>
        <w:spacing w:before="0" w:line="271" w:lineRule="auto"/>
        <w:ind w:left="320" w:right="0" w:hanging="3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Při uzavření Smlouvy o účasti na řešení projektu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[</w:t>
      </w:r>
      <w:r>
        <w:rPr>
          <w:color w:val="FF73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11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]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příjemce potvrzuje, že uveřejní obraz Smlouvy včetně jejích příloh a případných dodatků a metadata k této Smlouvě v registru smluv v souladu se zákonem č. 340/2015 Sb., o zvláštních podmínkách účinnosti některých smluv, uveřejňování těchto smluv a o registru smluv (zákon o registru smluv), ve znění pozdějších předpisů.</w:t>
      </w:r>
    </w:p>
    <w:p>
      <w:pPr>
        <w:pStyle w:val="Style1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56" w:val="left"/>
        </w:tabs>
        <w:bidi w:val="0"/>
        <w:spacing w:before="0"/>
        <w:ind w:left="320" w:right="0" w:hanging="3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Požadavek písemné formy dle této Smlouvy je splněn i tehdy, pokud je příslušné právní jednání učiněno elektronicky a elektronicky podepsáno. Elektronickou komunikaci ohledně smluvních usta</w:t>
        <w:softHyphen/>
        <w:t>novení Smlouvy (např. ohledně změny Smlouvy nebo jejího ukončení apod.) je možno vést pouze do datové schránky.</w:t>
      </w:r>
    </w:p>
    <w:p>
      <w:pPr>
        <w:pStyle w:val="Style1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56" w:val="left"/>
        </w:tabs>
        <w:bidi w:val="0"/>
        <w:spacing w:before="0" w:line="271" w:lineRule="auto"/>
        <w:ind w:left="320" w:right="0" w:hanging="3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Tato smlouva se vyhotovuje v elektronické podobě ve formátu (PDF/A) přičemž každá ze smluvních stran obdrží oboustranně elektronicky podepsaný datový soubor této smlouvy.</w:t>
      </w:r>
    </w:p>
    <w:p>
      <w:pPr>
        <w:pStyle w:val="Style1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56" w:val="left"/>
        </w:tabs>
        <w:bidi w:val="0"/>
        <w:spacing w:before="0" w:after="22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této Smlouvy je příloha „Závazné parametry řešení projektu“.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20" w:line="26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15</w:t>
        <w:br/>
        <w:t>Účinnost Smlouvy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260" w:line="266" w:lineRule="auto"/>
        <w:ind w:left="320" w:right="0" w:hanging="3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1. Tato Smlouva nabývá účinnosti dnem jejího zveřejnění v Registru smluv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[</w:t>
      </w:r>
      <w:r>
        <w:rPr>
          <w:color w:val="FF73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12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]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a pozbývá účinnosti spl</w:t>
        <w:softHyphen/>
        <w:t>něním závazků a povinností smluvních stran z ní vyplývajících. Tím nejsou dotčeny povinnosti vyplývající z právních předpisů.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[</w:t>
      </w:r>
      <w:r>
        <w:rPr>
          <w:color w:val="FF73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13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]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Podpisy smluvních stran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Poskytovatel: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 Praze, dne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292350" cy="487680"/>
            <wp:docPr id="15" name="Picut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ext cx="2292350" cy="487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2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27.04.2026 11:50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648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Ing. Petr Jílek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480" w:right="0" w:firstLine="0"/>
        <w:jc w:val="left"/>
        <w:rPr>
          <w:sz w:val="15"/>
          <w:szCs w:val="15"/>
        </w:rPr>
      </w:pPr>
      <w:r>
        <w:rPr>
          <w:color w:val="333333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vrchní ředitel sekce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333333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Sekce ekologického zemědělství, komodit, výzkumu a vzdělání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type w:val="continuous"/>
          <w:pgSz w:w="11900" w:h="16840"/>
          <w:pgMar w:top="134" w:left="1134" w:right="1042" w:bottom="1198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Příjemce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1456690</wp:posOffset>
                </wp:positionH>
                <wp:positionV relativeFrom="paragraph">
                  <wp:posOffset>12700</wp:posOffset>
                </wp:positionV>
                <wp:extent cx="1351915" cy="135890"/>
                <wp:wrapSquare wrapText="right"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51915" cy="135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ISTERSTVO ZEMĚDĚLSTVÍ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114.7pt;margin-top:1.pt;width:106.45pt;height:10.69999999999999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ISTERSTVO ZEMĚDĚLSTVÍ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Jiban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6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Kumar Ph.D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2200" w:firstLine="0"/>
        <w:jc w:val="righ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Ing. Jiban Kumar, Ph.D.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2200" w:firstLine="0"/>
        <w:jc w:val="right"/>
        <w:rPr>
          <w:sz w:val="15"/>
          <w:szCs w:val="15"/>
        </w:rPr>
        <w:sectPr>
          <w:headerReference w:type="default" r:id="rId28"/>
          <w:footerReference w:type="default" r:id="rId29"/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1900" w:h="16840"/>
          <w:pgMar w:top="1369" w:left="1149" w:right="1091" w:bottom="1369" w:header="0" w:footer="3" w:gutter="0"/>
          <w:cols w:space="720"/>
          <w:noEndnote/>
          <w:rtlGutter w:val="0"/>
          <w:docGrid w:linePitch="360"/>
        </w:sectPr>
      </w:pPr>
      <w:r>
        <w:rPr>
          <w:color w:val="333333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ředitel</w:t>
      </w:r>
    </w:p>
    <w:p>
      <w:pPr>
        <w:widowControl w:val="0"/>
        <w:spacing w:line="91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headerReference w:type="default" r:id="rId30"/>
          <w:footerReference w:type="default" r:id="rId31"/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1900" w:h="16840"/>
          <w:pgMar w:top="145" w:left="1087" w:right="1083" w:bottom="134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660400" distL="114300" distR="1461770" simplePos="0" relativeHeight="125829381" behindDoc="0" locked="0" layoutInCell="1" allowOverlap="1">
            <wp:simplePos x="0" y="0"/>
            <wp:positionH relativeFrom="page">
              <wp:posOffset>835025</wp:posOffset>
            </wp:positionH>
            <wp:positionV relativeFrom="paragraph">
              <wp:posOffset>12700</wp:posOffset>
            </wp:positionV>
            <wp:extent cx="628015" cy="816610"/>
            <wp:wrapTopAndBottom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ext cx="628015" cy="8166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1246505</wp:posOffset>
                </wp:positionH>
                <wp:positionV relativeFrom="paragraph">
                  <wp:posOffset>659130</wp:posOffset>
                </wp:positionV>
                <wp:extent cx="1563370" cy="135890"/>
                <wp:wrapNone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3370" cy="135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98.150000000000006pt;margin-top:51.899999999999999pt;width:123.09999999999999pt;height:10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4001770</wp:posOffset>
            </wp:positionH>
            <wp:positionV relativeFrom="paragraph">
              <wp:posOffset>5462270</wp:posOffset>
            </wp:positionV>
            <wp:extent cx="1859280" cy="1901825"/>
            <wp:wrapSquare wrapText="left"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ext cx="1859280" cy="19018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1743075</wp:posOffset>
                </wp:positionH>
                <wp:positionV relativeFrom="paragraph">
                  <wp:posOffset>6042660</wp:posOffset>
                </wp:positionV>
                <wp:extent cx="2060575" cy="833755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0575" cy="8337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30428D"/>
                                <w:spacing w:val="0"/>
                                <w:w w:val="100"/>
                                <w:position w:val="0"/>
                                <w:sz w:val="120"/>
                                <w:szCs w:val="120"/>
                                <w:shd w:val="clear" w:color="auto" w:fill="auto"/>
                                <w:lang w:val="cs-CZ" w:eastAsia="cs-CZ" w:bidi="cs-CZ"/>
                              </w:rPr>
                              <w:t>ZEME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137.25pt;margin-top:475.80000000000001pt;width:162.25pt;height:65.650000000000006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30428D"/>
                          <w:spacing w:val="0"/>
                          <w:w w:val="100"/>
                          <w:position w:val="0"/>
                          <w:sz w:val="120"/>
                          <w:szCs w:val="120"/>
                          <w:shd w:val="clear" w:color="auto" w:fill="auto"/>
                          <w:lang w:val="cs-CZ" w:eastAsia="cs-CZ" w:bidi="cs-CZ"/>
                        </w:rPr>
                        <w:t>ZEME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Ministerstvo zemědělství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5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agentura pro zemědělský výzkum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40" w:line="240" w:lineRule="auto"/>
        <w:ind w:left="0" w:right="0" w:firstLine="0"/>
        <w:jc w:val="center"/>
        <w:rPr>
          <w:sz w:val="56"/>
          <w:szCs w:val="56"/>
        </w:rPr>
      </w:pPr>
      <w:r>
        <w:rPr>
          <w:color w:val="000000"/>
          <w:spacing w:val="0"/>
          <w:w w:val="100"/>
          <w:position w:val="0"/>
          <w:sz w:val="56"/>
          <w:szCs w:val="56"/>
          <w:shd w:val="clear" w:color="auto" w:fill="auto"/>
          <w:lang w:val="cs-CZ" w:eastAsia="cs-CZ" w:bidi="cs-CZ"/>
        </w:rPr>
        <w:t>Závazné parametry řešení projektu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Smlouvy o poskytnutí podpory na řešení projektu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(verze 1.2)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40" w:after="40" w:line="240" w:lineRule="auto"/>
        <w:ind w:left="1440" w:right="0" w:firstLine="0"/>
        <w:jc w:val="left"/>
        <w:rPr>
          <w:sz w:val="22"/>
          <w:szCs w:val="22"/>
        </w:rPr>
      </w:pPr>
      <w:r>
        <w:rPr>
          <w:color w:val="30428D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Program na podporu aplikovaného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  <w:rPr>
          <w:sz w:val="22"/>
          <w:szCs w:val="22"/>
        </w:rPr>
      </w:pPr>
      <w:r>
        <w:rPr>
          <w:color w:val="30428D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Ministerstva zemědělství 2024-20:</w:t>
      </w:r>
      <w:r>
        <w:br w:type="page"/>
      </w:r>
    </w:p>
    <w:p>
      <w:pPr>
        <w:widowControl w:val="0"/>
        <w:spacing w:line="1" w:lineRule="exact"/>
      </w:pPr>
      <w:r>
        <w:drawing>
          <wp:anchor distT="0" distB="203200" distL="0" distR="0" simplePos="0" relativeHeight="125829385" behindDoc="0" locked="0" layoutInCell="1" allowOverlap="1">
            <wp:simplePos x="0" y="0"/>
            <wp:positionH relativeFrom="page">
              <wp:posOffset>704215</wp:posOffset>
            </wp:positionH>
            <wp:positionV relativeFrom="paragraph">
              <wp:posOffset>0</wp:posOffset>
            </wp:positionV>
            <wp:extent cx="2231390" cy="1073150"/>
            <wp:wrapTopAndBottom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ext cx="2231390" cy="1073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 informace</w:t>
      </w:r>
      <w:bookmarkEnd w:id="1"/>
      <w:bookmarkEnd w:id="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71" w:lineRule="auto"/>
        <w:ind w:left="0" w:right="0" w:firstLine="240"/>
        <w:jc w:val="lef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734695</wp:posOffset>
                </wp:positionH>
                <wp:positionV relativeFrom="paragraph">
                  <wp:posOffset>12700</wp:posOffset>
                </wp:positionV>
                <wp:extent cx="1578610" cy="1280160"/>
                <wp:wrapSquare wrapText="right"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78610" cy="1280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Kód projektu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Název projektu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Doba řešení projektu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Řešitel</w:t>
                            </w:r>
                          </w:p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333333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Klíčová osoba řešitelského týmu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57.850000000000001pt;margin-top:1.pt;width:124.3pt;height:100.8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projektu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projektu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Doba řešení projektu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Řešitel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Klíčová osoba řešitelského týmu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QL26020204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71" w:lineRule="auto"/>
        <w:ind w:left="24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Komplexní strategie pro spolehlivou autentizaci vybraných rostlinných potravinových komodit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80" w:line="271" w:lineRule="auto"/>
        <w:ind w:left="0" w:right="0" w:firstLine="24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1/2026 až 12/2029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00" w:line="271" w:lineRule="auto"/>
        <w:ind w:left="0" w:right="0" w:firstLine="24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Ing. Tereza Sovová PhD.</w:t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bookmarkStart w:id="3" w:name="bookmark3"/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Cíl projektu (účel podpory)</w:t>
      </w:r>
      <w:bookmarkEnd w:id="3"/>
      <w:bookmarkEnd w:id="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80" w:line="271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Cílem projektu je vývoj a validace molekulárně-biologických metod pro detekci a kvantifikaci rostlinných složek ve vybraných potravinách. Zaměřuje se na autentizaci botanického původu a odhalování příměsí v kávě, koření a bylinných čajích, včetně legislativně významných složek dle potřeb SZPI. Projekt bude koncipován jako série případových studií s generickou použitelností v úřední i laboratorní praxi s využitím analýzy DNA v kombinaci s prescreeningem a/nebo komplementární analýzou pomocí chemic</w:t>
        <w:softHyphen/>
        <w:t>kých metod. Výstupem budou certifikované metodiky pro akreditované laboratoře, jako je Referenční laboratoř pro GMO a DNA fingerprinting v rámci CARC a Metrologická a zkušební laboratoř VŠCHT Praha při Ústavu analýzy potravin a výživy, které jsou akreditované dle ISO 17025.</w:t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5" w:name="bookmark5"/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Plánované výstupy / výsledky projektu</w:t>
      </w:r>
      <w:bookmarkEnd w:id="5"/>
      <w:bookmarkEnd w:id="6"/>
    </w:p>
    <w:tbl>
      <w:tblPr>
        <w:tblOverlap w:val="never"/>
        <w:jc w:val="center"/>
        <w:tblLayout w:type="fixed"/>
      </w:tblPr>
      <w:tblGrid>
        <w:gridCol w:w="2904"/>
        <w:gridCol w:w="6672"/>
      </w:tblGrid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 výsledku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QL26020204-V01</w:t>
            </w: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výsledku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Molekulární přístupy k autentifikaci botanických složek v bylinkách a koření: současné metody, výzvy a budoucí směry</w:t>
            </w:r>
          </w:p>
        </w:tc>
      </w:tr>
      <w:tr>
        <w:trPr>
          <w:trHeight w:val="170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výsledku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Review bude zaměřeno na komplexní přehled a srovnání molekulár</w:t>
              <w:softHyphen/>
              <w:t>ních metod využívaných pro autentifikaci botanických bylinných druhů koření, včetně analýzy jejich výhod a omezení. Součástí bude také výběr vhodných genových oblastí, charakterizace referenčních materiálů a diskuze klíčových výzev, jako je degradace DNA či kom</w:t>
              <w:softHyphen/>
              <w:t>plexní složení analyzovaných směsí.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výsledku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Jost</w:t>
            </w:r>
          </w:p>
        </w:tc>
      </w:tr>
      <w:tr>
        <w:trPr>
          <w:trHeight w:val="53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 výsledku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QL26020204-V02</w:t>
            </w: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výsledku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Vývoj a ověření DNA markerů pro druhově specifickou detekci vybraných botanických druhů bylin a jejich příměsí</w:t>
            </w:r>
          </w:p>
        </w:tc>
      </w:tr>
      <w:tr>
        <w:trPr>
          <w:trHeight w:val="169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výsledku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Odborný článek představí předběžné výsledky získané z vybraných cílových botanických a falšujících druhů. Zaměří se na hodnocení jed</w:t>
              <w:softHyphen/>
              <w:t>notlivých rostlinných druhů určených pro izolaci DNA a porovnání jejich profilů pomocí ověřených DNA markerů (matK, rbcL, trnL) a nově navržených molekulárních markerů. Součástí bude i první srovnání těchto výsledků s výstupy z bioinformatické analýzy dat z NGS.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výsledku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Jost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231390" cy="1073150"/>
            <wp:docPr id="37" name="Picut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ext cx="2231390" cy="1073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914"/>
        <w:gridCol w:w="6778"/>
      </w:tblGrid>
      <w:tr>
        <w:trPr>
          <w:trHeight w:val="33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 výsledku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QL26020204-V03</w:t>
            </w:r>
          </w:p>
        </w:tc>
      </w:tr>
      <w:tr>
        <w:trPr>
          <w:trHeight w:val="9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Multiplexní molekulární detekce falšovaných botanických složek ve vybraných bylinných druzích: vývoj kvantifikačních metod a analýza trhu</w:t>
            </w:r>
          </w:p>
        </w:tc>
      </w:tr>
      <w:tr>
        <w:trPr>
          <w:trHeight w:val="17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Odborný článek bude zaměřen na srovnání vlastností primerových sad (multiplex) vyvíjených pro qPCR a dPCR metody. Hodnoceny budou klíčové parametry jako specifita, senzitivita, linearita a rozsah kvantifi</w:t>
              <w:softHyphen/>
              <w:t>kace. Součástí práce bude aplikace těchto primerových sad na reálné komerční vzorky z trhu s cílem ověřit jejich praktickou použitelnost pro detekci botanických složek a falšujících příměsí.</w:t>
            </w:r>
          </w:p>
        </w:tc>
      </w:tr>
      <w:tr>
        <w:trPr>
          <w:trHeight w:val="422" w:hRule="exact"/>
        </w:trPr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výsledku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Jost</w:t>
            </w: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914"/>
        <w:gridCol w:w="6778"/>
      </w:tblGrid>
      <w:tr>
        <w:trPr>
          <w:trHeight w:val="40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 výsledku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QL26020204-V04</w:t>
            </w:r>
          </w:p>
        </w:tc>
      </w:tr>
      <w:tr>
        <w:trPr>
          <w:trHeight w:val="67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Autentizaci čajů prostřednictvím analýz DNA (PCR, barcoding) a meta- bolomiky (referátový článek)</w:t>
            </w: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Publikovaný článek v recenzovaném časopise bude popisovat a srov</w:t>
              <w:softHyphen/>
              <w:t>návat současné poznatky a metodiky používané pro DNA analýzy čajů.</w:t>
            </w:r>
          </w:p>
        </w:tc>
      </w:tr>
      <w:tr>
        <w:trPr>
          <w:trHeight w:val="418" w:hRule="exact"/>
        </w:trPr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výsledku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Jost</w:t>
            </w: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914"/>
        <w:gridCol w:w="6773"/>
      </w:tblGrid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 výsledku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QL26020204-V05</w:t>
            </w: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Certifikovaná metodika pro detekci příměsí a druhového složení vybraného koření</w:t>
            </w:r>
          </w:p>
        </w:tc>
      </w:tr>
      <w:tr>
        <w:trPr>
          <w:trHeight w:val="168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Metodika slouží k detekci botanických příměsí ve vybraných druzích koření a bylinek a ověření jejich autenticity. Využívá molekulárně-biolo- gické a chemické metody k identifikaci příměsí nebo nedeklarovaných složek v mletém nebo celém koření. U některých komodit může být doplněna o chemické techniky (např. stanovení barviv nebo reziduí), je</w:t>
              <w:softHyphen/>
              <w:t>li to z hlediska typu falšování relevantní.</w:t>
            </w:r>
          </w:p>
        </w:tc>
      </w:tr>
      <w:tr>
        <w:trPr>
          <w:trHeight w:val="432" w:hRule="exact"/>
        </w:trPr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výsledku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NmetC</w:t>
            </w: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914"/>
        <w:gridCol w:w="6773"/>
      </w:tblGrid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 výsledku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QL26020204-V06</w:t>
            </w:r>
          </w:p>
        </w:tc>
      </w:tr>
      <w:tr>
        <w:trPr>
          <w:trHeight w:val="67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Certifikovaná metodika pro autentizaci botanického původu kávových produktů</w:t>
            </w:r>
          </w:p>
        </w:tc>
      </w:tr>
      <w:tr>
        <w:trPr>
          <w:trHeight w:val="169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Metodika umožňuje spolehlivou identifikaci a kvantifikaci zastoupení Coffea arabica a Coffea canephora (Robusta) v různých typech kávových výrobků. Využívá kombinaci molekulárně-biologických přís</w:t>
              <w:softHyphen/>
              <w:t>tupů a chemických metod pro ověření autenticity a detekci příměsí. Spojením obou přístupů je dosaženo vyšší robustnosti, specificity a odolnosti vůči technologickému zpracování suroviny.</w:t>
            </w:r>
          </w:p>
        </w:tc>
      </w:tr>
      <w:tr>
        <w:trPr>
          <w:trHeight w:val="418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výsledku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NmetC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231390" cy="1073150"/>
            <wp:docPr id="38" name="Picut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ext cx="2231390" cy="1073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914"/>
        <w:gridCol w:w="6778"/>
      </w:tblGrid>
      <w:tr>
        <w:trPr>
          <w:trHeight w:val="33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 výsledku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QL26020204-V07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Certifikovaná metodika pro identifikaci složení bylinných čajů</w:t>
            </w:r>
          </w:p>
        </w:tc>
      </w:tr>
      <w:tr>
        <w:trPr>
          <w:trHeight w:val="170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71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Metodika je určena k ověření botanického složení bylinných čajových směsí a detekci falšování formou příměsí, kontaminantů nebo nedekla- rovaných složek. Využívá kombinaci multiplexních DNA markerů a che</w:t>
              <w:softHyphen/>
              <w:t>mických analytických metod pro komplexní ověření obsahu. Tato kom</w:t>
              <w:softHyphen/>
              <w:t>binace umožňuje vysokou citlivost, specifitu a schopnost rozpoznat i technologicky zpracované nebo fragmentované složky.</w:t>
            </w:r>
          </w:p>
        </w:tc>
      </w:tr>
      <w:tr>
        <w:trPr>
          <w:trHeight w:val="418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výsledku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NmetC</w:t>
            </w: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914"/>
        <w:gridCol w:w="6778"/>
      </w:tblGrid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 výsledku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QL26020204-V08</w:t>
            </w: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Série workshopů / webinářů zaměřených na průběžnou komunikaci o výsledcích projektu se zástupci dozorových a kontrolních laboratoří</w:t>
            </w:r>
          </w:p>
        </w:tc>
      </w:tr>
      <w:tr>
        <w:trPr>
          <w:trHeight w:val="170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průběhu řešení projektu budou výsledky každoročně prezentované kontrolním orgánům státní správy i odborné veřejnosti, s cílem nejen informovat, ale i získat zpětnou vazbu pro průběžné zlepšování meto</w:t>
              <w:softHyphen/>
              <w:t>diky a přístupu v rámci projektu. Vzhledem k tomu, že v rámci řešení projektu je plánovaný i odběr vzorků z tržní sítě, diskutováno bude i využití metod pro monitoring trhu ČR.</w:t>
            </w:r>
          </w:p>
        </w:tc>
      </w:tr>
      <w:tr>
        <w:trPr>
          <w:trHeight w:val="418" w:hRule="exact"/>
        </w:trPr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výsledku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W</w:t>
            </w: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914"/>
        <w:gridCol w:w="6778"/>
      </w:tblGrid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 výsledku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QL26020204-V09</w:t>
            </w: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Workshop zaměřený na přenos znalostí o metodách pro odhalení falšování a průkaz autenticity rostlinných komodit</w:t>
            </w:r>
          </w:p>
        </w:tc>
      </w:tr>
      <w:tr>
        <w:trPr>
          <w:trHeight w:val="170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posledním roce řešení projektu bude uspořádán workshop, kde budou odborné veřejnosti a zástupcům státní správy a průmyslu předs</w:t>
              <w:softHyphen/>
              <w:t>taveny metody pro odhalení falšování a průkaz autenticity pro vybrané komodity rostlinného původu. Prezentace ze závěrečného workshopu budou volně přístupné laboratořím, odborné veřejnosti a odborníkům z praxe.</w:t>
            </w:r>
          </w:p>
        </w:tc>
      </w:tr>
      <w:tr>
        <w:trPr>
          <w:trHeight w:val="418" w:hRule="exact"/>
        </w:trPr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výsledku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W</w:t>
            </w: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914"/>
        <w:gridCol w:w="6773"/>
      </w:tblGrid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 výsledku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QL26020204-V10</w:t>
            </w: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Vývoj a ověření metod multiplex qPCR a dPCR pro detekci a kvantifi</w:t>
              <w:softHyphen/>
              <w:t>kaci rostlinných složek v bylinných produktech</w:t>
            </w:r>
          </w:p>
        </w:tc>
      </w:tr>
      <w:tr>
        <w:trPr>
          <w:trHeight w:val="189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Rukopis shrne vývoj a validaci multiplexní qPCR metody pro rychlou, levnou a přesnou identifikaci botanických složek v komerčních vzorcích bylinek. Cílem bude odhalit falšování bylin a nepřiznané příměsi (adul- teranty) v potravinářských produktech rostlinného původu. Metoda mul- tiplex qPCR nabídne vysokou specifitu, citlivost i možnost kvantifikace v jedné reakci, čímž se stane vhodným nástrojem pro rutinní kontrolu autenticity potravin v inspekčních i průmyslových laboratořích.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left"/>
        <w:tblLayout w:type="fixed"/>
      </w:tblPr>
      <w:tblGrid>
        <w:gridCol w:w="2914"/>
        <w:gridCol w:w="6773"/>
      </w:tblGrid>
      <w:tr>
        <w:trPr>
          <w:trHeight w:val="40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686" w:h="2938" w:vSpace="595" w:wrap="notBeside" w:vAnchor="text" w:hAnchor="text" w:x="23" w:y="5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 výsledku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686" w:h="2938" w:vSpace="595" w:wrap="notBeside" w:vAnchor="text" w:hAnchor="text" w:x="23" w:y="5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QL26020204-V11</w:t>
            </w: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86" w:h="2938" w:vSpace="595" w:wrap="notBeside" w:vAnchor="text" w:hAnchor="text" w:x="23" w:y="5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86" w:h="2938" w:vSpace="595" w:wrap="notBeside" w:vAnchor="text" w:hAnchor="text" w:x="23" w:y="596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Sada druhově specifických primerů pro autentifikaci botanických složek v potravinách metodou qPCR/dPCR</w:t>
            </w:r>
          </w:p>
        </w:tc>
      </w:tr>
      <w:tr>
        <w:trPr>
          <w:trHeight w:val="144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86" w:h="2938" w:vSpace="595" w:wrap="notBeside" w:vAnchor="text" w:hAnchor="text" w:x="23" w:y="5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86" w:h="2938" w:vSpace="595" w:wrap="notBeside" w:vAnchor="text" w:hAnchor="text" w:x="23" w:y="596"/>
              <w:widowControl w:val="0"/>
              <w:shd w:val="clear" w:color="auto" w:fill="auto"/>
              <w:bidi w:val="0"/>
              <w:spacing w:before="80" w:after="0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Užitný vzor představuje sadu validovaných druhově specifických pri- merů určených pro detekci konkrétních falšujících botanických druhů v potravinách metodami qPCR a dPCR. Primery umožňují spolehlivou identifikaci a kvantifikaci rostlinných složek v komerčních produktech, jako jsou bylinky a koření</w:t>
            </w:r>
          </w:p>
        </w:tc>
      </w:tr>
      <w:tr>
        <w:trPr>
          <w:trHeight w:val="422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86" w:h="2938" w:vSpace="595" w:wrap="notBeside" w:vAnchor="text" w:hAnchor="text" w:x="23" w:y="5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výsledku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86" w:h="2938" w:vSpace="595" w:wrap="notBeside" w:vAnchor="text" w:hAnchor="text" w:x="23" w:y="596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Fuzit</w:t>
            </w:r>
          </w:p>
        </w:tc>
      </w:tr>
    </w:tbl>
    <w:p>
      <w:pPr>
        <w:pStyle w:val="Style37"/>
        <w:keepNext w:val="0"/>
        <w:keepLines w:val="0"/>
        <w:framePr w:w="1502" w:h="278" w:hSpace="22" w:wrap="notBeside" w:vAnchor="text" w:hAnchor="text" w:x="7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Druh výsledku</w:t>
      </w:r>
    </w:p>
    <w:p>
      <w:pPr>
        <w:pStyle w:val="Style37"/>
        <w:keepNext w:val="0"/>
        <w:keepLines w:val="0"/>
        <w:framePr w:w="526" w:h="278" w:hSpace="22" w:wrap="notBeside" w:vAnchor="text" w:hAnchor="text" w:x="295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spacing w:val="0"/>
          <w:w w:val="100"/>
          <w:position w:val="0"/>
          <w:shd w:val="clear" w:color="auto" w:fill="auto"/>
          <w:lang w:val="cs-CZ" w:eastAsia="cs-CZ" w:bidi="cs-CZ"/>
        </w:rPr>
        <w:t>Jimp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914"/>
        <w:gridCol w:w="6773"/>
      </w:tblGrid>
      <w:tr>
        <w:trPr>
          <w:trHeight w:val="40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 výsledku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QL26020204-V12</w:t>
            </w:r>
          </w:p>
        </w:tc>
      </w:tr>
      <w:tr>
        <w:trPr>
          <w:trHeight w:val="64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Multiplexní qPCR systém pro detekci botanických příměsí v bylinkách a koření</w:t>
            </w:r>
          </w:p>
        </w:tc>
      </w:tr>
      <w:tr>
        <w:trPr>
          <w:trHeight w:val="14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Užitný vzor popisuje laboratorně ověřenou multiplexní qPCR metodu pro detekci a kvantifikaci botanických příměsí v konkrétních falšo</w:t>
              <w:softHyphen/>
              <w:t>vaných bylinkách. Využívá specifické primery pro cílové falšující druhy a nabízí efektivní screening s vysokou citlivostí, specificitou a nízkými náklady. Součástí je optimalizovaný protokol a validační data.</w:t>
            </w:r>
          </w:p>
        </w:tc>
      </w:tr>
      <w:tr>
        <w:trPr>
          <w:trHeight w:val="422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výsledku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Fuzit</w:t>
            </w: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914"/>
        <w:gridCol w:w="6773"/>
      </w:tblGrid>
      <w:tr>
        <w:trPr>
          <w:trHeight w:val="40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686" w:h="4229" w:vSpace="566" w:wrap="notBeside" w:vAnchor="text" w:hAnchor="text" w:x="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 výsledku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686" w:h="4229" w:vSpace="566" w:wrap="notBeside" w:vAnchor="text" w:hAnchor="text" w:x="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QL26020204-V13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686" w:h="4229" w:vSpace="566" w:wrap="notBeside" w:vAnchor="text" w:hAnchor="text" w:x="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686" w:h="4229" w:vSpace="566" w:wrap="notBeside" w:vAnchor="text" w:hAnchor="text" w:x="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Aplikace molekulárních přístupů pro odhalení falšování kávy</w:t>
            </w:r>
          </w:p>
        </w:tc>
      </w:tr>
      <w:tr>
        <w:trPr>
          <w:trHeight w:val="29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86" w:h="4229" w:vSpace="566" w:wrap="notBeside" w:vAnchor="text" w:hAnchor="text" w:x="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686" w:h="4229" w:vSpace="566" w:wrap="notBeside" w:vAnchor="text" w:hAnchor="text" w:x="23" w:y="1"/>
              <w:widowControl w:val="0"/>
              <w:shd w:val="clear" w:color="auto" w:fill="auto"/>
              <w:bidi w:val="0"/>
              <w:spacing w:before="80" w:after="0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připravované publikaci bude představena komplexní metoda pro identifikaci a odlišení dvou hlavních druhů kávovníku - Coffea arabica a Coffea canephora (robusta. K dosažení vysoké specificity a citlivosti budou využity moderní molekulárně-biologické přístupy, zejména multi- plexní oligonukleotidová ligace s následnou PCR (mol-PCR), digitální PCR (ddPCR) a amplifikace indelových oblastí s následnou detekcí pomocí kapilární elektroforézy. Vyvinutá metoda bude podrobně vali- dována z hlediska její spolehlivosti, reprodukovatelnosti a mezí detekce. Následně bude aplikována na reálné komerční vzorky kávy, čímž se ověří její využitelnost v praxi - například v oblasti kontroly autenticity a odhalování falšování kávových produktů.</w:t>
            </w:r>
          </w:p>
        </w:tc>
      </w:tr>
      <w:tr>
        <w:trPr>
          <w:trHeight w:val="422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686" w:h="4229" w:vSpace="566" w:wrap="notBeside" w:vAnchor="text" w:hAnchor="text" w:x="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výsledku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686" w:h="4229" w:vSpace="566" w:wrap="notBeside" w:vAnchor="text" w:hAnchor="text" w:x="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Jimp</w:t>
            </w:r>
          </w:p>
        </w:tc>
      </w:tr>
    </w:tbl>
    <w:p>
      <w:pPr>
        <w:pStyle w:val="Style37"/>
        <w:keepNext w:val="0"/>
        <w:keepLines w:val="0"/>
        <w:framePr w:w="1241" w:h="278" w:hSpace="22" w:wrap="notBeside" w:vAnchor="text" w:hAnchor="text" w:x="61" w:y="45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ID výsledku</w:t>
      </w:r>
    </w:p>
    <w:p>
      <w:pPr>
        <w:pStyle w:val="Style37"/>
        <w:keepNext w:val="0"/>
        <w:keepLines w:val="0"/>
        <w:framePr w:w="1740" w:h="278" w:hSpace="22" w:wrap="notBeside" w:vAnchor="text" w:hAnchor="text" w:x="2953" w:y="45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spacing w:val="0"/>
          <w:w w:val="100"/>
          <w:position w:val="0"/>
          <w:shd w:val="clear" w:color="auto" w:fill="auto"/>
          <w:lang w:val="cs-CZ" w:eastAsia="cs-CZ" w:bidi="cs-CZ"/>
        </w:rPr>
        <w:t>QL26020204-V14</w:t>
      </w:r>
    </w:p>
    <w:p>
      <w:pPr>
        <w:widowControl w:val="0"/>
        <w:spacing w:line="1" w:lineRule="exact"/>
      </w:pPr>
    </w:p>
    <w:p>
      <w:pPr>
        <w:widowControl w:val="0"/>
        <w:spacing w:line="1" w:lineRule="exact"/>
      </w:pPr>
      <w:r>
        <w:drawing>
          <wp:anchor distT="0" distB="241300" distL="0" distR="0" simplePos="0" relativeHeight="125829388" behindDoc="0" locked="0" layoutInCell="1" allowOverlap="1">
            <wp:simplePos x="0" y="0"/>
            <wp:positionH relativeFrom="page">
              <wp:posOffset>697865</wp:posOffset>
            </wp:positionH>
            <wp:positionV relativeFrom="paragraph">
              <wp:posOffset>0</wp:posOffset>
            </wp:positionV>
            <wp:extent cx="2231390" cy="1073150"/>
            <wp:wrapTopAndBottom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ext cx="2231390" cy="1073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12700</wp:posOffset>
                </wp:positionV>
                <wp:extent cx="1027430" cy="175260"/>
                <wp:wrapSquare wrapText="right"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7430" cy="1752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Název výsledku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58.200000000000003pt;margin-top:1.pt;width:80.900000000000006pt;height:13.800000000000001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Aplikace molekulárních analýz pro autentizaci čajů</w:t>
      </w:r>
      <w:r>
        <w:br w:type="page"/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231390" cy="1073150"/>
            <wp:docPr id="43" name="Picutr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ext cx="2231390" cy="1073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914"/>
        <w:gridCol w:w="6773"/>
      </w:tblGrid>
      <w:tr>
        <w:trPr>
          <w:trHeight w:val="186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Rukopis shrne vývoj a validaci multiplexní qPCR metody pro rychlou, levnou a přesnou identifikaci botanických složek v komerčních vzorcích čajů. Cílem bude odhalit falšování a nepřiznané příměsi (adulteranty). Metoda multiplex qPCR nabídne vysokou specifitu, citlivost i možnost kvantifikace v jedné reakci, čímž se stane vhodným nástrojem pro rutinní kontrolu autenticity potravin v inspekčních i průmyslových labo</w:t>
              <w:softHyphen/>
              <w:t>ratořích.</w:t>
            </w:r>
          </w:p>
        </w:tc>
      </w:tr>
      <w:tr>
        <w:trPr>
          <w:trHeight w:val="437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výsledku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Jimp</w:t>
            </w: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914"/>
        <w:gridCol w:w="6773"/>
      </w:tblGrid>
      <w:tr>
        <w:trPr>
          <w:trHeight w:val="41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 výsledku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QL26020204-V15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DNA analýza čajů = multiplexní PCR a/nebo DNA sekvenování</w:t>
            </w:r>
          </w:p>
        </w:tc>
      </w:tr>
      <w:tr>
        <w:trPr>
          <w:trHeight w:val="117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Multiplexní PCR a/nebo DNA barcoding pro analýzy čajů se zaměřením na identifikaci DNA ostropestřce mariánského (Silybum marianum) a heřmánku pravého (Matricaria chamomilla) a jejich adulte- rantů.</w:t>
            </w:r>
          </w:p>
        </w:tc>
      </w:tr>
      <w:tr>
        <w:trPr>
          <w:trHeight w:val="437" w:hRule="exact"/>
        </w:trPr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výsledku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Gfunk</w:t>
            </w: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914"/>
        <w:gridCol w:w="6773"/>
      </w:tblGrid>
      <w:tr>
        <w:trPr>
          <w:trHeight w:val="40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 výsledku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QL26020204-V16</w:t>
            </w: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Sada druhově specifických primerů a sond pro odlišení botanických druhů káv pomocí mol-PCR, amplifikace indelových oblastí a ddPCR</w:t>
            </w:r>
          </w:p>
        </w:tc>
      </w:tr>
      <w:tr>
        <w:trPr>
          <w:trHeight w:val="3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Užitný vzor představuje sady originálně designovaných a validovaných primerových párů určených pro detekci polymorfismů, které umožňují spolehlivě odlišit Coffea arabica od Coffea canephora (robusta). Tyto primery jsou určeny pro použití v metodách ddPCR, qPCR a amplifikaci indelových oblastí, přičemž výsledky jsou vyhodnocovány pomocí kapilární elektroforézy. Součástí užitného vzoru jsou také páry sond a adaptérů navržené pro odlišení druhů kávy metodou mol-PCR, včetně detailního protokolu pro detekci polymorfismů pomocí kapilární elektro- forézy. Všechny primery a sondy budou validovány jak na nepražených, tak na pražených kávových bobech, a to v celém i mletém stavu, což potvrzuje jejich univerzální použitelnost v různých fázích zpracování kávových produktů.</w:t>
            </w:r>
          </w:p>
        </w:tc>
      </w:tr>
      <w:tr>
        <w:trPr>
          <w:trHeight w:val="418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výsledku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Fuzit</w:t>
            </w: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914"/>
        <w:gridCol w:w="6773"/>
      </w:tblGrid>
      <w:tr>
        <w:trPr>
          <w:trHeight w:val="40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 výsledku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QL26020204-V17</w:t>
            </w:r>
          </w:p>
        </w:tc>
      </w:tr>
      <w:tr>
        <w:trPr>
          <w:trHeight w:val="81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výsledku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Sada druhově specifických primerů a sond pro odlišení botanických druhů skořicovníků pomocí mol-PCR, amplifikace indelových oblastí a ddPCR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/>
        <w:ind w:left="1080" w:right="0" w:firstLine="20"/>
        <w:jc w:val="left"/>
      </w:pPr>
      <w:r>
        <w:drawing>
          <wp:anchor distT="0" distB="241300" distL="114300" distR="114300" simplePos="0" relativeHeight="125829391" behindDoc="0" locked="0" layoutInCell="1" allowOverlap="1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wrapTopAndBottom/>
            <wp:docPr id="44" name="Shape 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box 45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ext cx="2231390" cy="10731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7071360" distL="114300" distR="131445" simplePos="0" relativeHeight="125829392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margin">
                  <wp:posOffset>1382395</wp:posOffset>
                </wp:positionV>
                <wp:extent cx="1022350" cy="178435"/>
                <wp:wrapSquare wrapText="right"/>
                <wp:docPr id="46" name="Shape 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2350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Popis výsledku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57.450000000000003pt;margin-top:108.84999999999999pt;width:80.5pt;height:14.050000000000001pt;z-index:-125829361;mso-wrap-distance-left:9.pt;mso-wrap-distance-right:10.35pt;mso-wrap-distance-bottom:556.7999999999999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737360" distB="4075430" distL="114300" distR="114300" simplePos="0" relativeHeight="125829394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margin">
                  <wp:posOffset>3119755</wp:posOffset>
                </wp:positionV>
                <wp:extent cx="1039495" cy="1437005"/>
                <wp:wrapSquare wrapText="right"/>
                <wp:docPr id="48" name="Shape 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9495" cy="143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výsledku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ID výsledku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Název výsledku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Popis výsledku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57.450000000000003pt;margin-top:245.65000000000001pt;width:81.849999999999994pt;height:113.15000000000001pt;z-index:-125829359;mso-wrap-distance-left:9.pt;mso-wrap-distance-top:136.80000000000001pt;mso-wrap-distance-right:9.pt;mso-wrap-distance-bottom:320.89999999999998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 výsledku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898390" distB="0" distL="114300" distR="114300" simplePos="0" relativeHeight="125829396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margin">
                  <wp:posOffset>6280785</wp:posOffset>
                </wp:positionV>
                <wp:extent cx="1039495" cy="2351405"/>
                <wp:wrapSquare wrapText="right"/>
                <wp:docPr id="50" name="Shape 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9495" cy="23514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výsledku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ID výsledku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Název výsledku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Popis výsledku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výsledku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57.450000000000003pt;margin-top:494.55000000000001pt;width:81.849999999999994pt;height:185.15000000000001pt;z-index:-125829357;mso-wrap-distance-left:9.pt;mso-wrap-distance-top:385.69999999999999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 výsledku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Užitný vzor představuje sady originálně designovaných a validovaných primerových párů určených pro detekci polymorfismů, které umožňují spolehlivě odlišit 2 druhy skořicovníků (Cinnamomum verum a Cinna- momum aromaticum). Tyto primery jsou určeny pro použití v metodách ddPCR, qPCR a amplifikaci indelových oblastí, přičemž výsledky jsou vyhodnocovány pomocí kapilární elektroforézy. Součástí užitného vzoru jsou také páry sond a adaptérů navržené pro odlišení druhů kávy metodou mol-PCR, včetně detailního protokolu pro detekci poly- morfismů pomocí kapilární elektroforézy. Všechny primery a sondy budou validovány na koření typu mletá či celá skořice.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80"/>
        <w:ind w:left="108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Fuzit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/>
        <w:ind w:left="108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QL26020204-V18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71" w:lineRule="auto"/>
        <w:ind w:left="1080" w:right="0" w:firstLine="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Sada druhově specifických primerů a sond pro odlišení botanických druhů paprik určených pro výrobu chilli pomocí mol-PCR, amplifikace indelových oblastí a ddPCR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/>
        <w:ind w:left="1080" w:right="0" w:firstLine="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Užitný vzor představuje sady originálně designovaných a validovaných primerových párů určených pro detekci polymorfismů, které umožňují spolehlivě odlišit druhy paprik používaných pro výrobu chilli, jako je například Capsicum chinense, Capsicum bacatum, Capsicum frutes- cens, nebo Capsicum pubescens. Tyto primery jsou určeny pro použití v metodách ddPCR, qPCR a amplifikaci indelových oblastí, přičemž výsledky jsou vyhodnocovány pomocí kapilární elektroforézy. Součástí užitného vzoru jsou také páry sond a adaptérů navržené pro odlišení druhů kávy metodou mol-PCR, včetně detailního protokolu pro detekci polymorfismů pomocí kapilární elektroforézy. Všechny primery a sondy budou validovány na celé sušené plody i na mleté koření.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80"/>
        <w:ind w:left="1080" w:right="0" w:firstLine="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Fuzit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/>
        <w:ind w:left="1080" w:right="0" w:firstLine="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QL26020204-V19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71" w:lineRule="auto"/>
        <w:ind w:left="1080" w:right="0" w:firstLine="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Metabolomika jako nástroj pro průkaz falšování / autenticity kávy, koření a bylinných čajů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71" w:lineRule="auto"/>
        <w:ind w:left="1080" w:right="0" w:firstLine="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Publikace shrne výsledky získané při realizaci pracovních aktivit zaměřených na aplikaci chemických metod, zejména fingerprintingu a profilování a identifikace charakteristických markerů, které přispějí k dosažení cílů projektu. Publikace se také zaměří na zhodnocení kom</w:t>
        <w:softHyphen/>
        <w:t>plementarity chemických analýz k metodám molekulární biologie apli</w:t>
        <w:softHyphen/>
        <w:t>kovaným na stejné sadě vzorků.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80"/>
        <w:ind w:left="108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Jimp</w:t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Identifikační údaje účastníků</w:t>
      </w:r>
      <w:bookmarkEnd w:id="7"/>
      <w:bookmarkEnd w:id="8"/>
      <w:r>
        <w:br w:type="page"/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231390" cy="1073150"/>
            <wp:docPr id="52" name="Picutre 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ext cx="2231390" cy="1073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</w:pP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Národní centrum zemědělského a potravinářského výzkumu, v. v. i.</w:t>
      </w:r>
    </w:p>
    <w:tbl>
      <w:tblPr>
        <w:tblOverlap w:val="never"/>
        <w:jc w:val="center"/>
        <w:tblLayout w:type="fixed"/>
      </w:tblPr>
      <w:tblGrid>
        <w:gridCol w:w="2923"/>
        <w:gridCol w:w="6778"/>
      </w:tblGrid>
      <w:tr>
        <w:trPr>
          <w:trHeight w:val="422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Drnovská 507/73 Praha 6 - Ruzyně 16100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00027006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Právní forma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Veřejná výzkumná instituce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 organizace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 Výzkumná organizace</w:t>
            </w:r>
          </w:p>
        </w:tc>
      </w:tr>
      <w:tr>
        <w:trPr>
          <w:trHeight w:val="528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Vysoká škola chemicko-technologická v Praze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Technická 1905/5 Praha 6 - Dejvice 16000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60461373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Právní forma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Vysoká škola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 organizace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 Výzkumná organizace</w:t>
            </w:r>
          </w:p>
        </w:tc>
      </w:tr>
      <w:tr>
        <w:trPr>
          <w:trHeight w:val="533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Česká zemědělská univerzita v Praze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Kamýcká 129 Praha 16500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60460709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Právní forma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Vysoká škola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 organizace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 Výzkumná organizace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type w:val="continuous"/>
          <w:pgSz w:w="11900" w:h="16840"/>
          <w:pgMar w:top="145" w:left="1087" w:right="1083" w:bottom="134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231390" cy="1073150"/>
            <wp:docPr id="53" name="Picutr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ext cx="2231390" cy="1073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19" w:line="1" w:lineRule="exact"/>
      </w:pPr>
    </w:p>
    <w:p>
      <w:pPr>
        <w:pStyle w:val="Style34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Finance</w:t>
      </w:r>
      <w:bookmarkEnd w:id="10"/>
      <w:bookmarkEnd w:id="9"/>
    </w:p>
    <w:p>
      <w:pPr>
        <w:pStyle w:val="Style40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</w:t>
      </w:r>
      <w:bookmarkEnd w:id="11"/>
      <w:bookmarkEnd w:id="12"/>
    </w:p>
    <w:tbl>
      <w:tblPr>
        <w:tblOverlap w:val="never"/>
        <w:jc w:val="center"/>
        <w:tblLayout w:type="fixed"/>
      </w:tblPr>
      <w:tblGrid>
        <w:gridCol w:w="2453"/>
        <w:gridCol w:w="2424"/>
        <w:gridCol w:w="2424"/>
        <w:gridCol w:w="2429"/>
        <w:gridCol w:w="2429"/>
        <w:gridCol w:w="2453"/>
      </w:tblGrid>
      <w:tr>
        <w:trPr>
          <w:trHeight w:val="43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Položka/rok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Náklady projektu 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5 048 582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4 573 582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4 186 082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4 186 082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17 994 328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Výše podpory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5 048 582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4 573 582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4 186 082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4 186 082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17 994 328</w:t>
            </w:r>
          </w:p>
        </w:tc>
      </w:tr>
      <w:tr>
        <w:trPr>
          <w:trHeight w:val="59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Maximální intenzita podpory projektu [%]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4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Hlavní příjemce</w:t>
      </w:r>
      <w:bookmarkEnd w:id="13"/>
      <w:bookmarkEnd w:id="1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Národní centrum zemědělského a potravinářského výzkumu, v. v. i.</w:t>
      </w:r>
    </w:p>
    <w:tbl>
      <w:tblPr>
        <w:tblOverlap w:val="never"/>
        <w:jc w:val="center"/>
        <w:tblLayout w:type="fixed"/>
      </w:tblPr>
      <w:tblGrid>
        <w:gridCol w:w="2462"/>
        <w:gridCol w:w="2424"/>
        <w:gridCol w:w="2424"/>
        <w:gridCol w:w="2429"/>
        <w:gridCol w:w="2429"/>
        <w:gridCol w:w="2462"/>
      </w:tblGrid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Rozpočet účastníka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výše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Osobní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1 350 000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1 020 000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4 560 000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přímé náklady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1 200 000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Ochrana duš. vlastnictví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Další přímé náklady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1 200 000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Nepřímé náklady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375 000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297 500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317 500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1 440 000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Subdodávky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Celkové [Kč]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2 250 000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1 875 000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1 487 500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1 587 500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7 200 000</w:t>
            </w:r>
          </w:p>
        </w:tc>
      </w:tr>
      <w:tr>
        <w:trPr>
          <w:trHeight w:val="72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Výpočet režijních nák</w:t>
              <w:softHyphen/>
              <w:t>ladů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Flat rate (25 %)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231390" cy="1073150"/>
            <wp:docPr id="54" name="Picutre 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ext cx="2231390" cy="1073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99" w:line="1" w:lineRule="exact"/>
      </w:pPr>
    </w:p>
    <w:tbl>
      <w:tblPr>
        <w:tblOverlap w:val="never"/>
        <w:jc w:val="center"/>
        <w:tblLayout w:type="fixed"/>
      </w:tblPr>
      <w:tblGrid>
        <w:gridCol w:w="2462"/>
        <w:gridCol w:w="2429"/>
        <w:gridCol w:w="2424"/>
        <w:gridCol w:w="2429"/>
        <w:gridCol w:w="2429"/>
        <w:gridCol w:w="2458"/>
      </w:tblGrid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Rozpočet účastníka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výše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Poskytnutá podpora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2 250 000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1 875 000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1 487 500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1 587 500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7 200 000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4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5" w:name="bookmark15"/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příjemce</w:t>
      </w:r>
      <w:bookmarkEnd w:id="15"/>
      <w:bookmarkEnd w:id="16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Vysoká škola chemicko-technologická v Praze</w:t>
      </w:r>
    </w:p>
    <w:tbl>
      <w:tblPr>
        <w:tblOverlap w:val="never"/>
        <w:jc w:val="center"/>
        <w:tblLayout w:type="fixed"/>
      </w:tblPr>
      <w:tblGrid>
        <w:gridCol w:w="2462"/>
        <w:gridCol w:w="2424"/>
        <w:gridCol w:w="2424"/>
        <w:gridCol w:w="2429"/>
        <w:gridCol w:w="2429"/>
        <w:gridCol w:w="2462"/>
      </w:tblGrid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Rozpočet účastníka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výše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Osobní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1 012 866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1 012 866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1 012 866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1 012 866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4 051 464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přímé náklady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266 000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266 000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266 000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266 000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1 064 000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Ochrana duš. vlastnictví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Další přímé náklady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266 000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266 000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266 000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266 000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1 064 000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Nepřímé náklady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319 716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319 716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319 716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319 716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1 278 864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Subdodávky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Celkové [Kč]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1 598 582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1 598 582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1 598 582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1 598 582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6 394 328</w:t>
            </w: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Výpočet režijních nák</w:t>
              <w:softHyphen/>
              <w:t>ladů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Flat rate (25 %)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Poskytnutá podpora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1 598 582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1 598 582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1 598 582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1 598 582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6 394 328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4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7" w:name="bookmark17"/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příjemce</w:t>
      </w:r>
      <w:bookmarkEnd w:id="17"/>
      <w:bookmarkEnd w:id="18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Česká zemědělská univerzita v Praze</w:t>
      </w:r>
      <w:r>
        <w:br w:type="page"/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231390" cy="1073150"/>
            <wp:docPr id="55" name="Picutr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54"/>
                    <a:stretch/>
                  </pic:blipFill>
                  <pic:spPr>
                    <a:xfrm>
                      <a:ext cx="2231390" cy="1073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99" w:line="1" w:lineRule="exact"/>
      </w:pPr>
    </w:p>
    <w:tbl>
      <w:tblPr>
        <w:tblOverlap w:val="never"/>
        <w:jc w:val="center"/>
        <w:tblLayout w:type="fixed"/>
      </w:tblPr>
      <w:tblGrid>
        <w:gridCol w:w="2453"/>
        <w:gridCol w:w="2424"/>
        <w:gridCol w:w="2424"/>
        <w:gridCol w:w="2429"/>
        <w:gridCol w:w="2429"/>
        <w:gridCol w:w="2453"/>
      </w:tblGrid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Rozpočet účastníka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výše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Osobní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1 600 000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přímé náklady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1 920 000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Ochrana duš. vlastnictví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Další přímé náklady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1 920 000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Nepřímé náklady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880 000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Subdodávky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Celkové [Kč]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4 400 000</w:t>
            </w: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71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Výpočet režijních nák</w:t>
              <w:softHyphen/>
              <w:t>ladů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Flat rate (25 %)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Poskytnutá podpora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1 000 000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4 400 000</w:t>
            </w:r>
          </w:p>
        </w:tc>
      </w:tr>
    </w:tbl>
    <w:p>
      <w:pPr>
        <w:widowControl w:val="0"/>
        <w:spacing w:after="559" w:line="1" w:lineRule="exact"/>
      </w:pPr>
    </w:p>
    <w:p>
      <w:pPr>
        <w:pStyle w:val="Style2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§ 3 odst. 2 písm. b) zákona č. 130/2002 Sb.</w:t>
      </w:r>
    </w:p>
    <w:p>
      <w:pPr>
        <w:pStyle w:val="Style2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§ 9 odst. 1 písm. e) zákona č. 130/2002 Sb.</w:t>
      </w:r>
    </w:p>
    <w:p>
      <w:pPr>
        <w:pStyle w:val="Style2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§ 2 odst. 2 písm. j) zákona č. 130/2002 Sb.</w:t>
      </w:r>
    </w:p>
    <w:p>
      <w:pPr>
        <w:pStyle w:val="Style2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§ 10 odst. 1 zákona č. 130/2002 Sb.</w:t>
      </w:r>
    </w:p>
    <w:p>
      <w:pPr>
        <w:pStyle w:val="Style2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§ 25 odst. 8 zákona č. 218/2000 Sb. o rozpočtových pravidlech</w:t>
      </w:r>
    </w:p>
    <w:p>
      <w:pPr>
        <w:pStyle w:val="Style2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§ 9 odst. 8 zákona č. 130/2002 Sb.</w:t>
      </w:r>
    </w:p>
    <w:p>
      <w:pPr>
        <w:pStyle w:val="Style2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Čl. 4 bod 2 písm. f) Všeobecných podmínek</w:t>
      </w:r>
    </w:p>
    <w:p>
      <w:pPr>
        <w:pStyle w:val="Style2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§ 75 zákona č. 218/2000 Sb., o rozpočtových pravidlech.</w:t>
      </w:r>
    </w:p>
    <w:p>
      <w:pPr>
        <w:pStyle w:val="Style2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Vyhláška č. 433/2024 Sb., o zásadách a lhůtách finančního vypořádání vztahů se státním rozpočtem, státními finančními aktivy a Národním fondem (vyhláška o finančním vypořádání), ve znění pozdějších předpisů</w:t>
      </w:r>
    </w:p>
    <w:p>
      <w:pPr>
        <w:pStyle w:val="Style2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69" w:val="left"/>
        </w:tabs>
        <w:bidi w:val="0"/>
        <w:spacing w:before="0" w:after="0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§ 14 odst. 1 zákona č. 130/2002 Sb.</w:t>
      </w:r>
    </w:p>
    <w:p>
      <w:pPr>
        <w:pStyle w:val="Style2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69" w:val="left"/>
        </w:tabs>
        <w:bidi w:val="0"/>
        <w:spacing w:before="0" w:after="0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Čl. 5 Všeobecných podmínek</w:t>
      </w:r>
    </w:p>
    <w:p>
      <w:pPr>
        <w:pStyle w:val="Style2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69" w:val="left"/>
        </w:tabs>
        <w:bidi w:val="0"/>
        <w:spacing w:before="0" w:after="0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§ 6 odst. 1 zákona č. 340/2015 Sb., o registru smluv</w:t>
      </w:r>
    </w:p>
    <w:p>
      <w:pPr>
        <w:pStyle w:val="Style2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69" w:val="left"/>
        </w:tabs>
        <w:bidi w:val="0"/>
        <w:spacing w:before="0" w:after="0"/>
        <w:ind w:left="0" w:right="0" w:firstLine="0"/>
        <w:jc w:val="both"/>
        <w:sectPr>
          <w:headerReference w:type="default" r:id="rId56"/>
          <w:footerReference w:type="default" r:id="rId57"/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6840" w:h="11900" w:orient="landscape"/>
          <w:pgMar w:top="143" w:left="1090" w:right="1102" w:bottom="1208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Např. § 44 a § 44a zákona č. 218/2000 Sb., o rozpočtových pravidlech, zákon č. 320/2000 Sb., o finanční kontrole.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66" w:val="left"/>
        </w:tabs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2.</w:t>
        <w:tab/>
        <w:t>Příjemce prohlašuje, že: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640" w:right="0" w:hanging="200"/>
        <w:jc w:val="both"/>
      </w:pPr>
      <w:r>
        <w:rPr>
          <w:color w:val="FF73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◦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není s odkazem na čl. 5k nařízení Rady (EU) 2022/576 ze dne 8. dubna 2022, kterým se mění nařízení (EU) č. 833/2014 o omezujících opatřeních vzhledem k činnostem Ruska destabili- zujícím situaci na Ukrajině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2" w:val="left"/>
        </w:tabs>
        <w:bidi w:val="0"/>
        <w:spacing w:before="0"/>
        <w:ind w:left="1000" w:right="0" w:hanging="26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ruským státním příslušníkem, fyzickou či právnickou osobou nebo subjektem či orgánem se sídlem v Rusku,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7" w:val="left"/>
        </w:tabs>
        <w:bidi w:val="0"/>
        <w:spacing w:before="0"/>
        <w:ind w:left="0" w:right="0" w:firstLine="74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právnickou osobou, subjektem nebo orgánem, které jsou z více než 50 % přímo či nepřímo</w:t>
      </w:r>
    </w:p>
    <w:sectPr>
      <w:footnotePr>
        <w:pos w:val="pageBottom"/>
        <w:numFmt w:val="decimal"/>
        <w:numStart w:val="1"/>
        <w:numRestart w:val="continuous"/>
        <w15:footnoteColumns w:val="1"/>
      </w:footnotePr>
      <w:type w:val="continuous"/>
      <w:pgSz w:w="16840" w:h="11900" w:orient="landscape"/>
      <w:pgMar w:top="143" w:left="1090" w:right="1102" w:bottom="120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5774055</wp:posOffset>
              </wp:positionH>
              <wp:positionV relativeFrom="page">
                <wp:posOffset>9995535</wp:posOffset>
              </wp:positionV>
              <wp:extent cx="1052830" cy="21971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52830" cy="2197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MZe / 1.0 | Version: 1.0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333333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/ 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4.64999999999998pt;margin-top:787.04999999999995pt;width:82.900000000000006pt;height:17.3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1.0 | Version: 1.0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5772150</wp:posOffset>
              </wp:positionH>
              <wp:positionV relativeFrom="page">
                <wp:posOffset>9994900</wp:posOffset>
              </wp:positionV>
              <wp:extent cx="1052830" cy="21971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52830" cy="2197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MZe / 1.0 | Version: 1.0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333333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/ 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54.5pt;margin-top:787.pt;width:82.900000000000006pt;height:17.300000000000001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1.0 | Version: 1.0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5774055</wp:posOffset>
              </wp:positionH>
              <wp:positionV relativeFrom="page">
                <wp:posOffset>9995535</wp:posOffset>
              </wp:positionV>
              <wp:extent cx="1052830" cy="21971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52830" cy="2197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MZe / 1.0 | Version: 1.0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333333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/ 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454.64999999999998pt;margin-top:787.04999999999995pt;width:82.900000000000006pt;height:17.300000000000001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1.0 | Version: 1.0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8908415</wp:posOffset>
              </wp:positionH>
              <wp:positionV relativeFrom="page">
                <wp:posOffset>6860540</wp:posOffset>
              </wp:positionV>
              <wp:extent cx="1052830" cy="219710"/>
              <wp:wrapNone/>
              <wp:docPr id="56" name="Shape 5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52830" cy="2197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MZe / 1.0 | Version: 1.0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333333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/ 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2" type="#_x0000_t202" style="position:absolute;margin-left:701.45000000000005pt;margin-top:540.20000000000005pt;width:82.900000000000006pt;height:17.300000000000001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1.0 | Version: 1.0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721360</wp:posOffset>
              </wp:positionH>
              <wp:positionV relativeFrom="page">
                <wp:posOffset>6797675</wp:posOffset>
              </wp:positionV>
              <wp:extent cx="9253855" cy="0"/>
              <wp:wrapNone/>
              <wp:docPr id="58" name="Shape 5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925385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99999999999997pt;margin-top:535.25pt;width:72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tabs>
          <w:tab w:pos="259" w:val="left"/>
        </w:tabs>
        <w:bidi w:val="0"/>
        <w:spacing w:before="0" w:after="0" w:line="276" w:lineRule="auto"/>
        <w:ind w:left="280" w:right="0" w:hanging="2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footnoteRef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ab/>
        <w:t>Řešitel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[</w:t>
      </w:r>
      <w:r>
        <w:rPr>
          <w:color w:val="FF73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]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- člen nebo členka řešitelského týmu příjemce, osoba odpovědná příjemci za odbornou úroveň projektu a další účastníci projektu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[</w:t>
      </w:r>
      <w:r>
        <w:rPr>
          <w:color w:val="FF73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]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jsou uvedeni v Závazných parametrech projektu. Řešitel musí mít úvazek na řešení projektu minimálně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0,2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za rok.</w:t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5563870</wp:posOffset>
              </wp:positionH>
              <wp:positionV relativeFrom="page">
                <wp:posOffset>895350</wp:posOffset>
              </wp:positionV>
              <wp:extent cx="791210" cy="285115"/>
              <wp:wrapNone/>
              <wp:docPr id="18" name="Shape 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1210" cy="2851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color w:val="000000"/>
                              <w:spacing w:val="0"/>
                              <w:w w:val="100"/>
                              <w:position w:val="0"/>
                              <w:sz w:val="9"/>
                              <w:szCs w:val="9"/>
                              <w:shd w:val="clear" w:color="auto" w:fill="auto"/>
                              <w:lang w:val="cs-CZ" w:eastAsia="cs-CZ" w:bidi="cs-CZ"/>
                            </w:rPr>
                            <w:t>Digitálně podepsal Ing. Jiban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color w:val="000000"/>
                              <w:spacing w:val="0"/>
                              <w:w w:val="100"/>
                              <w:position w:val="0"/>
                              <w:sz w:val="9"/>
                              <w:szCs w:val="9"/>
                              <w:shd w:val="clear" w:color="auto" w:fill="auto"/>
                              <w:lang w:val="cs-CZ" w:eastAsia="cs-CZ" w:bidi="cs-CZ"/>
                            </w:rPr>
                            <w:t>Kumar Ph.D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color w:val="000000"/>
                              <w:spacing w:val="0"/>
                              <w:w w:val="100"/>
                              <w:position w:val="0"/>
                              <w:sz w:val="9"/>
                              <w:szCs w:val="9"/>
                              <w:shd w:val="clear" w:color="auto" w:fill="auto"/>
                              <w:lang w:val="cs-CZ" w:eastAsia="cs-CZ" w:bidi="cs-CZ"/>
                            </w:rPr>
                            <w:t>Datum: 2026.04.10 11:57:44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color w:val="000000"/>
                              <w:spacing w:val="0"/>
                              <w:w w:val="100"/>
                              <w:position w:val="0"/>
                              <w:sz w:val="9"/>
                              <w:szCs w:val="9"/>
                              <w:shd w:val="clear" w:color="auto" w:fill="auto"/>
                              <w:lang w:val="cs-CZ" w:eastAsia="cs-CZ" w:bidi="cs-CZ"/>
                            </w:rPr>
                            <w:t>+02'00'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438.10000000000002pt;margin-top:70.5pt;width:62.299999999999997pt;height:22.449999999999999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Segoe UI" w:eastAsia="Segoe UI" w:hAnsi="Segoe UI" w:cs="Segoe UI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Digitálně podepsal Ing. Jiban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Segoe UI" w:eastAsia="Segoe UI" w:hAnsi="Segoe UI" w:cs="Segoe UI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Kumar Ph.D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Segoe UI" w:eastAsia="Segoe UI" w:hAnsi="Segoe UI" w:cs="Segoe UI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Datum: 2026.04.10 11:57:44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Segoe UI" w:eastAsia="Segoe UI" w:hAnsi="Segoe UI" w:cs="Segoe UI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+02'00'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717550</wp:posOffset>
              </wp:positionH>
              <wp:positionV relativeFrom="page">
                <wp:posOffset>1259205</wp:posOffset>
              </wp:positionV>
              <wp:extent cx="6123305" cy="0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12330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5pt;margin-top:99.150000000000006pt;width:482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00"/>
      <w:numFmt w:val="lowerRoman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3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1"/>
      <w:numFmt w:val="decimal"/>
      <w:lvlText w:val="[%1]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Poznámka pod čaro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Základní text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CharStyle13">
    <w:name w:val="Základní text (4)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15">
    <w:name w:val="Jiné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CharStyle22">
    <w:name w:val="Základní text (3)_"/>
    <w:basedOn w:val="DefaultParagraphFont"/>
    <w:link w:val="Style2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28">
    <w:name w:val="Základní text (2)_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character" w:customStyle="1" w:styleId="CharStyle33">
    <w:name w:val="Titulek obrázku_"/>
    <w:basedOn w:val="DefaultParagraphFont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35">
    <w:name w:val="Nadpis #1_"/>
    <w:basedOn w:val="DefaultParagraphFont"/>
    <w:link w:val="Style3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38">
    <w:name w:val="Titulek tabulky_"/>
    <w:basedOn w:val="DefaultParagraphFont"/>
    <w:link w:val="Style37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CharStyle41">
    <w:name w:val="Nadpis #2_"/>
    <w:basedOn w:val="DefaultParagraphFont"/>
    <w:link w:val="Style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Poznámka pod čarou"/>
    <w:basedOn w:val="Normal"/>
    <w:link w:val="CharStyle3"/>
    <w:pPr>
      <w:widowControl w:val="0"/>
      <w:shd w:val="clear" w:color="auto" w:fill="FFFFFF"/>
      <w:spacing w:after="120" w:line="271" w:lineRule="auto"/>
      <w:ind w:left="460" w:hanging="23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FFFFFF"/>
      <w:spacing w:after="120" w:line="26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paragraph" w:customStyle="1" w:styleId="Style12">
    <w:name w:val="Základní text (4)"/>
    <w:basedOn w:val="Normal"/>
    <w:link w:val="CharStyle13"/>
    <w:pPr>
      <w:widowControl w:val="0"/>
      <w:shd w:val="clear" w:color="auto" w:fill="FFFFFF"/>
      <w:spacing w:after="26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after="120" w:line="26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paragraph" w:customStyle="1" w:styleId="Style21">
    <w:name w:val="Základní text (3)"/>
    <w:basedOn w:val="Normal"/>
    <w:link w:val="CharStyle22"/>
    <w:pPr>
      <w:widowControl w:val="0"/>
      <w:shd w:val="clear" w:color="auto" w:fill="FFFFFF"/>
      <w:spacing w:after="24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7">
    <w:name w:val="Základní text (2)"/>
    <w:basedOn w:val="Normal"/>
    <w:link w:val="CharStyle28"/>
    <w:pPr>
      <w:widowControl w:val="0"/>
      <w:shd w:val="clear" w:color="auto" w:fill="FFFFFF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paragraph" w:customStyle="1" w:styleId="Style32">
    <w:name w:val="Titulek obrázku"/>
    <w:basedOn w:val="Normal"/>
    <w:link w:val="CharStyle3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34">
    <w:name w:val="Nadpis #1"/>
    <w:basedOn w:val="Normal"/>
    <w:link w:val="CharStyle35"/>
    <w:pPr>
      <w:widowControl w:val="0"/>
      <w:shd w:val="clear" w:color="auto" w:fill="FFFFFF"/>
      <w:spacing w:after="2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37">
    <w:name w:val="Titulek tabulky"/>
    <w:basedOn w:val="Normal"/>
    <w:link w:val="CharStyle38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0"/>
      <w:szCs w:val="20"/>
      <w:u w:val="none"/>
    </w:rPr>
  </w:style>
  <w:style w:type="paragraph" w:customStyle="1" w:styleId="Style40">
    <w:name w:val="Nadpis #2"/>
    <w:basedOn w:val="Normal"/>
    <w:link w:val="CharStyle41"/>
    <w:pPr>
      <w:widowControl w:val="0"/>
      <w:shd w:val="clear" w:color="auto" w:fill="FFFFFF"/>
      <w:spacing w:after="22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5.jpeg" TargetMode="External"/><Relationship Id="rId16" Type="http://schemas.openxmlformats.org/officeDocument/2006/relationships/image" Target="media/image6.jpeg"/><Relationship Id="rId17" Type="http://schemas.openxmlformats.org/officeDocument/2006/relationships/image" Target="media/image6.jpeg" TargetMode="External"/><Relationship Id="rId18" Type="http://schemas.openxmlformats.org/officeDocument/2006/relationships/image" Target="media/image7.jpeg"/><Relationship Id="rId19" Type="http://schemas.openxmlformats.org/officeDocument/2006/relationships/image" Target="media/image7.jpeg" TargetMode="External"/><Relationship Id="rId20" Type="http://schemas.openxmlformats.org/officeDocument/2006/relationships/image" Target="media/image8.jpeg"/><Relationship Id="rId21" Type="http://schemas.openxmlformats.org/officeDocument/2006/relationships/image" Target="media/image8.jpeg" TargetMode="External"/><Relationship Id="rId22" Type="http://schemas.openxmlformats.org/officeDocument/2006/relationships/image" Target="media/image9.jpeg"/><Relationship Id="rId23" Type="http://schemas.openxmlformats.org/officeDocument/2006/relationships/image" Target="media/image9.jpeg" TargetMode="External"/><Relationship Id="rId24" Type="http://schemas.openxmlformats.org/officeDocument/2006/relationships/image" Target="media/image10.jpeg"/><Relationship Id="rId25" Type="http://schemas.openxmlformats.org/officeDocument/2006/relationships/image" Target="media/image10.jpeg" TargetMode="External"/><Relationship Id="rId26" Type="http://schemas.openxmlformats.org/officeDocument/2006/relationships/image" Target="media/image11.png"/><Relationship Id="rId27" Type="http://schemas.openxmlformats.org/officeDocument/2006/relationships/image" Target="media/image11.png" TargetMode="External"/><Relationship Id="rId28" Type="http://schemas.openxmlformats.org/officeDocument/2006/relationships/header" Target="header1.xml"/><Relationship Id="rId29" Type="http://schemas.openxmlformats.org/officeDocument/2006/relationships/footer" Target="footer2.xml"/><Relationship Id="rId30" Type="http://schemas.openxmlformats.org/officeDocument/2006/relationships/header" Target="header2.xml"/><Relationship Id="rId31" Type="http://schemas.openxmlformats.org/officeDocument/2006/relationships/footer" Target="footer3.xml"/><Relationship Id="rId32" Type="http://schemas.openxmlformats.org/officeDocument/2006/relationships/image" Target="media/image12.jpeg"/><Relationship Id="rId33" Type="http://schemas.openxmlformats.org/officeDocument/2006/relationships/image" Target="media/image12.jpeg" TargetMode="External"/><Relationship Id="rId34" Type="http://schemas.openxmlformats.org/officeDocument/2006/relationships/image" Target="media/image13.jpeg"/><Relationship Id="rId35" Type="http://schemas.openxmlformats.org/officeDocument/2006/relationships/image" Target="media/image13.jpeg" TargetMode="External"/><Relationship Id="rId36" Type="http://schemas.openxmlformats.org/officeDocument/2006/relationships/image" Target="media/image14.jpeg"/><Relationship Id="rId37" Type="http://schemas.openxmlformats.org/officeDocument/2006/relationships/image" Target="media/image14.jpeg" TargetMode="External"/><Relationship Id="rId38" Type="http://schemas.openxmlformats.org/officeDocument/2006/relationships/image" Target="media/image15.jpeg"/><Relationship Id="rId39" Type="http://schemas.openxmlformats.org/officeDocument/2006/relationships/image" Target="media/image15.jpeg" TargetMode="External"/><Relationship Id="rId40" Type="http://schemas.openxmlformats.org/officeDocument/2006/relationships/image" Target="media/image16.jpeg"/><Relationship Id="rId41" Type="http://schemas.openxmlformats.org/officeDocument/2006/relationships/image" Target="media/image16.jpeg" TargetMode="External"/><Relationship Id="rId42" Type="http://schemas.openxmlformats.org/officeDocument/2006/relationships/image" Target="media/image17.jpeg"/><Relationship Id="rId43" Type="http://schemas.openxmlformats.org/officeDocument/2006/relationships/image" Target="media/image17.jpeg" TargetMode="External"/><Relationship Id="rId44" Type="http://schemas.openxmlformats.org/officeDocument/2006/relationships/image" Target="media/image18.jpeg"/><Relationship Id="rId45" Type="http://schemas.openxmlformats.org/officeDocument/2006/relationships/image" Target="media/image18.jpeg" TargetMode="External"/><Relationship Id="rId46" Type="http://schemas.openxmlformats.org/officeDocument/2006/relationships/image" Target="media/image19.jpeg"/><Relationship Id="rId47" Type="http://schemas.openxmlformats.org/officeDocument/2006/relationships/image" Target="media/image19.jpeg" TargetMode="External"/><Relationship Id="rId48" Type="http://schemas.openxmlformats.org/officeDocument/2006/relationships/image" Target="media/image20.jpeg"/><Relationship Id="rId49" Type="http://schemas.openxmlformats.org/officeDocument/2006/relationships/image" Target="media/image20.jpeg" TargetMode="External"/><Relationship Id="rId50" Type="http://schemas.openxmlformats.org/officeDocument/2006/relationships/image" Target="media/image21.jpeg"/><Relationship Id="rId51" Type="http://schemas.openxmlformats.org/officeDocument/2006/relationships/image" Target="media/image21.jpeg" TargetMode="External"/><Relationship Id="rId52" Type="http://schemas.openxmlformats.org/officeDocument/2006/relationships/image" Target="media/image22.jpeg"/><Relationship Id="rId53" Type="http://schemas.openxmlformats.org/officeDocument/2006/relationships/image" Target="media/image22.jpeg" TargetMode="External"/><Relationship Id="rId54" Type="http://schemas.openxmlformats.org/officeDocument/2006/relationships/image" Target="media/image23.jpeg"/><Relationship Id="rId55" Type="http://schemas.openxmlformats.org/officeDocument/2006/relationships/image" Target="media/image23.jpeg" TargetMode="External"/><Relationship Id="rId56" Type="http://schemas.openxmlformats.org/officeDocument/2006/relationships/header" Target="header3.xml"/><Relationship Id="rId57" Type="http://schemas.openxmlformats.org/officeDocument/2006/relationships/footer" Target="footer4.xml"/></Relationships>
</file>

<file path=docProps/core.xml><?xml version="1.0" encoding="utf-8"?>
<cp:coreProperties xmlns:cp="http://schemas.openxmlformats.org/package/2006/metadata/core-properties" xmlns:dc="http://purl.org/dc/elements/1.1/">
  <dc:title>Smlouva o poskytnutí podpory - program MZE Země</dc:title>
  <dc:subject>Šablona smlouvy o poskytnutí podpory</dc:subject>
  <dc:creator>Sdílený informační systém TA ČR</dc:creator>
  <cp:keywords>smlouva, šablona, závazné parametry, program Země</cp:keywords>
</cp:coreProperties>
</file>