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11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 M L O U V Y O D Í L O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v souladu s § 2586 a násl. zákona č. 89/2012 Sb., občanského zákoníku, ve znění</w:t>
        <w:br/>
        <w:t>pozdějších předpisů (dále jen „občanský zákoník“), (dále jen „smlouva“)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left"/>
        <w:rPr>
          <w:sz w:val="22"/>
          <w:szCs w:val="22"/>
        </w:rPr>
      </w:pPr>
      <w:bookmarkStart w:id="0" w:name="bookmark0"/>
      <w:bookmarkStart w:id="1" w:name="bookmark1"/>
      <w:bookmarkStart w:id="2" w:name="bookmark2"/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Číslo smlouvy objednatele: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970/2025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Radčický potok (Lom) oprava KP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opevnění koryta</w:t>
        <w:br/>
        <w:t>a</w:t>
      </w:r>
      <w:bookmarkEnd w:id="3"/>
      <w:bookmarkEnd w:id="4"/>
      <w:bookmarkEnd w:id="5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Lomský potok (Lom) oprava KP</w:t>
      </w:r>
      <w:bookmarkEnd w:id="3"/>
      <w:bookmarkEnd w:id="4"/>
      <w:bookmarkEnd w:id="6"/>
      <w:bookmarkEnd w:id="7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projektová dokumentace (DPZ/DPS)</w:t>
      </w:r>
      <w:bookmarkEnd w:id="10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11"/>
      <w:bookmarkEnd w:id="12"/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HG partner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Smetanova 200, 250 82 Úvaly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27221253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CZ27221253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Městský soud v Praze, oddíl C, vložka 105510</w:t>
      </w:r>
      <w:bookmarkEnd w:id="14"/>
      <w:bookmarkEnd w:id="15"/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uzavírán z důvodu stále probíhajícího jednání mezi projektantem a objednatelem o technické řešení akce.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III. TERMÍNY PLNĚNÍ: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  <w:bookmarkEnd w:id="17"/>
      <w:bookmarkEnd w:id="18"/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line="240" w:lineRule="auto"/>
        <w:ind w:left="660" w:right="0" w:hanging="36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 PD (1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30.06.2026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7" w:val="left"/>
        </w:tabs>
        <w:bidi w:val="0"/>
        <w:spacing w:before="0" w:line="240" w:lineRule="auto"/>
        <w:ind w:left="660" w:right="0" w:hanging="36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 PD (1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26.02.2027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214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0" w:right="0" w:firstLine="40"/>
        <w:jc w:val="left"/>
      </w:pPr>
      <w:r>
        <mc:AlternateContent>
          <mc:Choice Requires="wps">
            <w:drawing>
              <wp:anchor distT="0" distB="1444625" distL="114300" distR="672465" simplePos="0" relativeHeight="125829378" behindDoc="0" locked="0" layoutInCell="1" allowOverlap="1">
                <wp:simplePos x="0" y="0"/>
                <wp:positionH relativeFrom="page">
                  <wp:posOffset>3941445</wp:posOffset>
                </wp:positionH>
                <wp:positionV relativeFrom="margin">
                  <wp:posOffset>481330</wp:posOffset>
                </wp:positionV>
                <wp:extent cx="819785" cy="2286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0.35000000000002pt;margin-top:37.899999999999999pt;width:64.549999999999997pt;height:18.pt;z-index:-125829375;mso-wrap-distance-left:9.pt;mso-wrap-distance-right:52.950000000000003pt;mso-wrap-distance-bottom:113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24585" distB="0" distL="114300" distR="114300" simplePos="0" relativeHeight="125829380" behindDoc="0" locked="0" layoutInCell="1" allowOverlap="1">
                <wp:simplePos x="0" y="0"/>
                <wp:positionH relativeFrom="page">
                  <wp:posOffset>3941445</wp:posOffset>
                </wp:positionH>
                <wp:positionV relativeFrom="margin">
                  <wp:posOffset>1605915</wp:posOffset>
                </wp:positionV>
                <wp:extent cx="1377950" cy="54864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HG partner s.r.o. elektronicky podepsal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0.35000000000002pt;margin-top:126.45pt;width:108.5pt;height:43.200000000000003pt;z-index:-125829373;mso-wrap-distance-left:9.pt;mso-wrap-distance-top:88.549999999999997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HG partner s.r.o. elektronicky podepsal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elektronicky podepsal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224" w:left="1249" w:right="824" w:bottom="1694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6201410</wp:posOffset>
              </wp:positionH>
              <wp:positionV relativeFrom="page">
                <wp:posOffset>10064115</wp:posOffset>
              </wp:positionV>
              <wp:extent cx="822960" cy="19812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198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8.30000000000001pt;margin-top:792.45000000000005pt;width:64.799999999999997pt;height:15.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5162550</wp:posOffset>
              </wp:positionH>
              <wp:positionV relativeFrom="page">
                <wp:posOffset>435610</wp:posOffset>
              </wp:positionV>
              <wp:extent cx="1862455" cy="1892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6245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Dodatek č.1 ke SoD 970/2025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06.5pt;margin-top:34.300000000000004pt;width:146.65000000000001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Dodatek č.1 ke SoD 970/2025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before="26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44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Pána Pavel</dc:creator>
  <cp:keywords/>
</cp:coreProperties>
</file>