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1A1DAE" w:rsidRDefault="00AE2874" w:rsidP="005C1C2C">
      <w:pPr>
        <w:pStyle w:val="Nzev"/>
        <w:widowControl/>
        <w:tabs>
          <w:tab w:val="left" w:pos="426"/>
        </w:tabs>
        <w:rPr>
          <w:rFonts w:ascii="Arial" w:hAnsi="Arial" w:cs="Arial"/>
          <w:i w:val="0"/>
          <w:sz w:val="22"/>
          <w:szCs w:val="22"/>
        </w:rPr>
      </w:pPr>
      <w:r w:rsidRPr="001A1DAE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1A1DAE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1A1DAE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1A1DAE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D56CDE" w14:textId="31FD7A58" w:rsidR="00AA327C" w:rsidRPr="001A1DAE" w:rsidRDefault="00AA327C" w:rsidP="00AA327C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ev. č. MMJN: SD/202</w:t>
      </w:r>
      <w:r w:rsidR="00AD2828">
        <w:rPr>
          <w:rFonts w:ascii="Arial" w:hAnsi="Arial" w:cs="Arial"/>
          <w:snapToGrid w:val="0"/>
          <w:sz w:val="22"/>
          <w:szCs w:val="22"/>
        </w:rPr>
        <w:t>6</w:t>
      </w:r>
      <w:r w:rsidRPr="001A1DAE">
        <w:rPr>
          <w:rFonts w:ascii="Arial" w:hAnsi="Arial" w:cs="Arial"/>
          <w:snapToGrid w:val="0"/>
          <w:sz w:val="22"/>
          <w:szCs w:val="22"/>
        </w:rPr>
        <w:t>/</w:t>
      </w:r>
      <w:r w:rsidR="00BA4962">
        <w:rPr>
          <w:rFonts w:ascii="Arial" w:hAnsi="Arial" w:cs="Arial"/>
          <w:snapToGrid w:val="0"/>
          <w:sz w:val="22"/>
          <w:szCs w:val="22"/>
        </w:rPr>
        <w:t>065</w:t>
      </w:r>
      <w:r w:rsidR="006F54E2">
        <w:rPr>
          <w:rFonts w:ascii="Arial" w:hAnsi="Arial" w:cs="Arial"/>
          <w:snapToGrid w:val="0"/>
          <w:sz w:val="22"/>
          <w:szCs w:val="22"/>
        </w:rPr>
        <w:t>0</w:t>
      </w:r>
    </w:p>
    <w:p w14:paraId="20BE29DC" w14:textId="77777777" w:rsidR="00AA327C" w:rsidRPr="001A1DAE" w:rsidRDefault="00AA327C" w:rsidP="00AA327C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3A58B304" w14:textId="77777777" w:rsidR="00AA327C" w:rsidRPr="001A1DAE" w:rsidRDefault="00AA327C" w:rsidP="00AA327C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7D86EFA" w14:textId="77777777" w:rsidR="00AA327C" w:rsidRPr="001A1DAE" w:rsidRDefault="00AA327C" w:rsidP="00AA327C">
      <w:pPr>
        <w:spacing w:after="60"/>
        <w:ind w:left="5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AA327C" w:rsidRPr="001A1DAE" w14:paraId="2AC2C852" w14:textId="77777777" w:rsidTr="00144D65">
        <w:tc>
          <w:tcPr>
            <w:tcW w:w="2376" w:type="dxa"/>
          </w:tcPr>
          <w:p w14:paraId="45265472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6A827B58" w14:textId="59781D0C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Mírové nám</w:t>
            </w:r>
            <w:r>
              <w:rPr>
                <w:rFonts w:ascii="Arial" w:hAnsi="Arial" w:cs="Arial"/>
                <w:szCs w:val="22"/>
              </w:rPr>
              <w:t>ěstí</w:t>
            </w:r>
            <w:r w:rsidRPr="001A1DAE">
              <w:rPr>
                <w:rFonts w:ascii="Arial" w:hAnsi="Arial" w:cs="Arial"/>
                <w:szCs w:val="22"/>
              </w:rPr>
              <w:t xml:space="preserve"> 3100/19, 466 01 Jablonec nad Nisou</w:t>
            </w:r>
          </w:p>
        </w:tc>
      </w:tr>
      <w:tr w:rsidR="00AA327C" w:rsidRPr="001A1DAE" w14:paraId="7DAE699D" w14:textId="77777777" w:rsidTr="00144D65">
        <w:tc>
          <w:tcPr>
            <w:tcW w:w="2376" w:type="dxa"/>
          </w:tcPr>
          <w:p w14:paraId="0D8BB41B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438919C5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1A1DAE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1A1DAE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AA327C" w:rsidRPr="001A1DAE" w14:paraId="0C57642E" w14:textId="77777777" w:rsidTr="00144D65">
        <w:tc>
          <w:tcPr>
            <w:tcW w:w="2376" w:type="dxa"/>
          </w:tcPr>
          <w:p w14:paraId="27169E14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29BB2A6D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Komerční banka, a.s.</w:t>
            </w:r>
            <w:r>
              <w:rPr>
                <w:rFonts w:ascii="Arial" w:hAnsi="Arial" w:cs="Arial"/>
                <w:szCs w:val="22"/>
              </w:rPr>
              <w:t>,</w:t>
            </w:r>
            <w:r w:rsidRPr="001A1DAE">
              <w:rPr>
                <w:rFonts w:ascii="Arial" w:hAnsi="Arial" w:cs="Arial"/>
                <w:szCs w:val="22"/>
              </w:rPr>
              <w:t xml:space="preserve"> č. </w:t>
            </w:r>
            <w:proofErr w:type="spellStart"/>
            <w:r w:rsidRPr="001A1DAE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1A1DAE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AA327C" w:rsidRPr="001A1DAE" w14:paraId="5C0E7EE6" w14:textId="77777777" w:rsidTr="00144D65">
        <w:tc>
          <w:tcPr>
            <w:tcW w:w="2376" w:type="dxa"/>
          </w:tcPr>
          <w:p w14:paraId="0FAADE41" w14:textId="77777777" w:rsidR="00AA327C" w:rsidRPr="001A1DAE" w:rsidRDefault="00AA327C" w:rsidP="00144D6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1A1DAE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291D172A" w14:textId="77777777" w:rsidR="00AA327C" w:rsidRPr="001A1DAE" w:rsidRDefault="00AA327C" w:rsidP="00144D65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1A1DAE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AA327C" w:rsidRPr="001A1DAE" w14:paraId="025F40D9" w14:textId="77777777" w:rsidTr="00144D65">
        <w:tc>
          <w:tcPr>
            <w:tcW w:w="2376" w:type="dxa"/>
          </w:tcPr>
          <w:p w14:paraId="332712D3" w14:textId="77777777" w:rsidR="00AA327C" w:rsidRPr="001A1DAE" w:rsidRDefault="00AA327C" w:rsidP="00144D65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</w:p>
        </w:tc>
        <w:tc>
          <w:tcPr>
            <w:tcW w:w="7403" w:type="dxa"/>
          </w:tcPr>
          <w:p w14:paraId="7D09F740" w14:textId="77777777" w:rsidR="00AA327C" w:rsidRPr="001A1DAE" w:rsidRDefault="00AA327C" w:rsidP="00144D65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</w:p>
        </w:tc>
      </w:tr>
    </w:tbl>
    <w:p w14:paraId="1B477C35" w14:textId="77777777" w:rsidR="00AA327C" w:rsidRPr="001A1DAE" w:rsidRDefault="00AA327C" w:rsidP="00AA327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dále jen</w:t>
      </w: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2074B9A7" w14:textId="77777777" w:rsidR="00AA327C" w:rsidRPr="001A1DAE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02EF38" w14:textId="77777777" w:rsidR="00AA327C" w:rsidRPr="001A1DAE" w:rsidRDefault="00AA327C" w:rsidP="00AA327C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a</w:t>
      </w:r>
    </w:p>
    <w:p w14:paraId="40A00FFC" w14:textId="77777777" w:rsidR="00AA327C" w:rsidRPr="001A1DAE" w:rsidRDefault="00AA327C" w:rsidP="00AA327C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0C656C4B" w14:textId="77777777" w:rsidR="00BA4962" w:rsidRPr="006E229D" w:rsidRDefault="00BA4962" w:rsidP="00BA4962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5308">
        <w:rPr>
          <w:rFonts w:ascii="Arial" w:hAnsi="Arial" w:cs="Arial"/>
          <w:b/>
          <w:bCs/>
          <w:noProof/>
          <w:snapToGrid w:val="0"/>
          <w:sz w:val="22"/>
          <w:szCs w:val="22"/>
        </w:rPr>
        <w:t>Folklorní soubor Nisanka,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BA4962" w:rsidRPr="006E229D" w14:paraId="4812085F" w14:textId="77777777" w:rsidTr="00542175">
        <w:tc>
          <w:tcPr>
            <w:tcW w:w="2376" w:type="dxa"/>
          </w:tcPr>
          <w:p w14:paraId="29F8406E" w14:textId="77777777" w:rsidR="00BA4962" w:rsidRPr="006E229D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33CC84DE" w14:textId="77777777" w:rsidR="00BA4962" w:rsidRPr="00812D44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snapToGrid/>
                <w:szCs w:val="22"/>
              </w:rPr>
            </w:pPr>
            <w:r w:rsidRPr="00812D44">
              <w:rPr>
                <w:rFonts w:ascii="Arial" w:hAnsi="Arial" w:cs="Arial"/>
                <w:noProof/>
                <w:szCs w:val="22"/>
              </w:rPr>
              <w:t>Jižní 144, Kokonín, 468 01 Jablonec nad Nisou</w:t>
            </w:r>
          </w:p>
        </w:tc>
      </w:tr>
      <w:tr w:rsidR="00BA4962" w:rsidRPr="006E229D" w14:paraId="38C1F4D2" w14:textId="77777777" w:rsidTr="00542175">
        <w:tc>
          <w:tcPr>
            <w:tcW w:w="2376" w:type="dxa"/>
          </w:tcPr>
          <w:p w14:paraId="76D8088A" w14:textId="77777777" w:rsidR="00BA4962" w:rsidRPr="006E229D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58CC82C7" w14:textId="77777777" w:rsidR="00BA4962" w:rsidRPr="00812D44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snapToGrid/>
                <w:szCs w:val="22"/>
              </w:rPr>
            </w:pPr>
            <w:r w:rsidRPr="00812D44">
              <w:rPr>
                <w:rFonts w:ascii="Arial" w:hAnsi="Arial" w:cs="Arial"/>
                <w:noProof/>
                <w:szCs w:val="22"/>
              </w:rPr>
              <w:t>Ing. Janou Hamplovou</w:t>
            </w:r>
            <w:r w:rsidRPr="00812D44">
              <w:rPr>
                <w:rFonts w:ascii="Arial" w:hAnsi="Arial" w:cs="Arial"/>
                <w:snapToGrid/>
                <w:szCs w:val="22"/>
              </w:rPr>
              <w:t xml:space="preserve">, </w:t>
            </w:r>
            <w:r w:rsidRPr="00812D44">
              <w:rPr>
                <w:rFonts w:ascii="Arial" w:hAnsi="Arial" w:cs="Arial"/>
                <w:noProof/>
                <w:szCs w:val="22"/>
              </w:rPr>
              <w:t>předsedkyní</w:t>
            </w:r>
            <w:r>
              <w:rPr>
                <w:rFonts w:ascii="Arial" w:hAnsi="Arial" w:cs="Arial"/>
                <w:noProof/>
                <w:szCs w:val="22"/>
              </w:rPr>
              <w:t xml:space="preserve"> spolku</w:t>
            </w:r>
          </w:p>
        </w:tc>
      </w:tr>
      <w:tr w:rsidR="00BA4962" w:rsidRPr="006E229D" w14:paraId="3A34B202" w14:textId="77777777" w:rsidTr="00542175">
        <w:tc>
          <w:tcPr>
            <w:tcW w:w="2376" w:type="dxa"/>
          </w:tcPr>
          <w:p w14:paraId="03D9DEAE" w14:textId="77777777" w:rsidR="00BA4962" w:rsidRPr="006E229D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58406A23" w14:textId="77777777" w:rsidR="00BA4962" w:rsidRPr="00812D44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snapToGrid/>
                <w:szCs w:val="22"/>
              </w:rPr>
            </w:pPr>
            <w:r w:rsidRPr="00812D44">
              <w:rPr>
                <w:rFonts w:ascii="Arial" w:hAnsi="Arial" w:cs="Arial"/>
                <w:noProof/>
                <w:szCs w:val="22"/>
              </w:rPr>
              <w:t>Československá obchodní banka, a. s.</w:t>
            </w:r>
            <w:r w:rsidRPr="00812D44">
              <w:rPr>
                <w:rFonts w:ascii="Arial" w:hAnsi="Arial" w:cs="Arial"/>
                <w:snapToGrid/>
                <w:szCs w:val="22"/>
              </w:rPr>
              <w:t xml:space="preserve">, č. </w:t>
            </w:r>
            <w:proofErr w:type="spellStart"/>
            <w:r w:rsidRPr="00812D44">
              <w:rPr>
                <w:rFonts w:ascii="Arial" w:hAnsi="Arial" w:cs="Arial"/>
                <w:snapToGrid/>
                <w:szCs w:val="22"/>
              </w:rPr>
              <w:t>ú.</w:t>
            </w:r>
            <w:proofErr w:type="spellEnd"/>
            <w:r w:rsidRPr="00812D44">
              <w:rPr>
                <w:rFonts w:ascii="Arial" w:hAnsi="Arial" w:cs="Arial"/>
                <w:snapToGrid/>
                <w:szCs w:val="22"/>
              </w:rPr>
              <w:t xml:space="preserve"> </w:t>
            </w:r>
            <w:r w:rsidRPr="00812D44">
              <w:rPr>
                <w:rFonts w:ascii="Arial" w:hAnsi="Arial" w:cs="Arial"/>
                <w:noProof/>
                <w:szCs w:val="22"/>
              </w:rPr>
              <w:t>1806091233/0300</w:t>
            </w:r>
          </w:p>
        </w:tc>
      </w:tr>
      <w:tr w:rsidR="00BA4962" w:rsidRPr="006E229D" w14:paraId="254B3FD7" w14:textId="77777777" w:rsidTr="00542175">
        <w:tc>
          <w:tcPr>
            <w:tcW w:w="2376" w:type="dxa"/>
          </w:tcPr>
          <w:p w14:paraId="129DC2C8" w14:textId="77777777" w:rsidR="00BA4962" w:rsidRPr="006E229D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49463425" w14:textId="77777777" w:rsidR="00BA4962" w:rsidRPr="00812D44" w:rsidRDefault="00BA4962" w:rsidP="00542175">
            <w:pPr>
              <w:pStyle w:val="Zkladntext"/>
              <w:jc w:val="both"/>
              <w:rPr>
                <w:rFonts w:ascii="Arial" w:hAnsi="Arial" w:cs="Arial"/>
                <w:snapToGrid/>
                <w:szCs w:val="22"/>
              </w:rPr>
            </w:pPr>
            <w:r w:rsidRPr="00812D44">
              <w:rPr>
                <w:rFonts w:ascii="Arial" w:hAnsi="Arial" w:cs="Arial"/>
                <w:noProof/>
                <w:szCs w:val="22"/>
              </w:rPr>
              <w:t>60254319</w:t>
            </w:r>
          </w:p>
        </w:tc>
      </w:tr>
      <w:tr w:rsidR="00BA4962" w:rsidRPr="006E229D" w14:paraId="271D19FD" w14:textId="77777777" w:rsidTr="00542175">
        <w:tc>
          <w:tcPr>
            <w:tcW w:w="2376" w:type="dxa"/>
          </w:tcPr>
          <w:p w14:paraId="52DCF11F" w14:textId="77777777" w:rsidR="00BA4962" w:rsidRPr="006E229D" w:rsidRDefault="00BA4962" w:rsidP="00542175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011B2030" w14:textId="77777777" w:rsidR="00BA4962" w:rsidRDefault="00BA4962" w:rsidP="00542175">
            <w:pPr>
              <w:pStyle w:val="Zkladntext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Spolkovým rejstříkem vedeným u </w:t>
            </w:r>
            <w:r w:rsidRPr="003D5308">
              <w:rPr>
                <w:rFonts w:ascii="Arial" w:hAnsi="Arial" w:cs="Arial"/>
                <w:noProof/>
                <w:szCs w:val="22"/>
              </w:rPr>
              <w:t>Krajského soudu v Ústí nad Labem</w:t>
            </w:r>
            <w:r>
              <w:rPr>
                <w:rFonts w:ascii="Arial" w:hAnsi="Arial" w:cs="Arial"/>
                <w:noProof/>
                <w:szCs w:val="22"/>
              </w:rPr>
              <w:t xml:space="preserve">, spisová značka </w:t>
            </w:r>
            <w:r w:rsidRPr="003D5308">
              <w:rPr>
                <w:rFonts w:ascii="Arial" w:hAnsi="Arial" w:cs="Arial"/>
                <w:noProof/>
                <w:szCs w:val="22"/>
              </w:rPr>
              <w:t>L 2252</w:t>
            </w:r>
          </w:p>
          <w:p w14:paraId="08AE7076" w14:textId="77777777" w:rsidR="00BA4962" w:rsidRPr="006E229D" w:rsidRDefault="00BA4962" w:rsidP="00542175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4367144" w14:textId="1BC75BD7" w:rsidR="00AA327C" w:rsidRPr="001A1DAE" w:rsidRDefault="00AA327C" w:rsidP="00AA327C">
      <w:pPr>
        <w:pStyle w:val="Zkladntext"/>
        <w:jc w:val="both"/>
        <w:rPr>
          <w:rFonts w:ascii="Arial" w:hAnsi="Arial" w:cs="Arial"/>
          <w:szCs w:val="22"/>
        </w:rPr>
      </w:pPr>
      <w:r w:rsidRPr="001A1DAE">
        <w:rPr>
          <w:rFonts w:ascii="Arial" w:hAnsi="Arial" w:cs="Arial"/>
          <w:szCs w:val="22"/>
        </w:rPr>
        <w:t>dále jen</w:t>
      </w:r>
      <w:r w:rsidRPr="001A1DAE">
        <w:rPr>
          <w:rFonts w:ascii="Arial" w:hAnsi="Arial" w:cs="Arial"/>
          <w:b/>
          <w:szCs w:val="22"/>
        </w:rPr>
        <w:t xml:space="preserve"> "příjemce"</w:t>
      </w:r>
    </w:p>
    <w:p w14:paraId="27A40A5B" w14:textId="77777777" w:rsidR="00AA327C" w:rsidRPr="001A1DAE" w:rsidRDefault="00AA327C" w:rsidP="00AA327C">
      <w:pPr>
        <w:jc w:val="both"/>
        <w:rPr>
          <w:rFonts w:ascii="Arial" w:hAnsi="Arial" w:cs="Arial"/>
        </w:rPr>
      </w:pPr>
    </w:p>
    <w:p w14:paraId="5B2E17EE" w14:textId="77777777" w:rsidR="00AA327C" w:rsidRPr="001A1DAE" w:rsidRDefault="00AA327C" w:rsidP="00AA327C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1A1DAE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1258DB42" w14:textId="77777777" w:rsidR="00AA327C" w:rsidRPr="001A1DAE" w:rsidRDefault="00AA327C" w:rsidP="00AA327C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1A1DAE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75E025A0" w14:textId="77777777" w:rsidR="00AA327C" w:rsidRPr="001A1DAE" w:rsidRDefault="00AA327C" w:rsidP="00AA327C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1A1DAE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3310633C" w14:textId="77777777" w:rsidR="00AA327C" w:rsidRPr="001A1DAE" w:rsidRDefault="00AA327C" w:rsidP="00AA327C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16BBD53C" w14:textId="77777777" w:rsidR="00AA327C" w:rsidRPr="001A1DAE" w:rsidRDefault="00AA327C" w:rsidP="00AA327C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 w:rsidRPr="001A1DAE">
        <w:rPr>
          <w:rFonts w:ascii="Arial" w:hAnsi="Arial" w:cs="Arial"/>
          <w:b/>
          <w:snapToGrid/>
          <w:szCs w:val="22"/>
          <w:u w:val="single"/>
        </w:rPr>
        <w:t xml:space="preserve"> Předmět smlouvy</w:t>
      </w:r>
    </w:p>
    <w:p w14:paraId="3EF00982" w14:textId="37C0A062" w:rsidR="00AA327C" w:rsidRPr="001A1DAE" w:rsidRDefault="00AA327C" w:rsidP="00AA327C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250C08">
        <w:rPr>
          <w:rFonts w:ascii="Arial" w:hAnsi="Arial" w:cs="Arial"/>
          <w:snapToGrid w:val="0"/>
          <w:sz w:val="22"/>
          <w:szCs w:val="22"/>
        </w:rPr>
        <w:t>6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</w:t>
      </w: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BA4962">
        <w:rPr>
          <w:rFonts w:ascii="Arial" w:hAnsi="Arial" w:cs="Arial"/>
          <w:b/>
          <w:snapToGrid w:val="0"/>
          <w:sz w:val="22"/>
          <w:szCs w:val="22"/>
        </w:rPr>
        <w:t>52</w:t>
      </w:r>
      <w:r w:rsidRPr="003D5308">
        <w:rPr>
          <w:rFonts w:ascii="Arial" w:hAnsi="Arial" w:cs="Arial"/>
          <w:b/>
          <w:noProof/>
          <w:snapToGrid w:val="0"/>
          <w:sz w:val="22"/>
          <w:szCs w:val="22"/>
        </w:rPr>
        <w:t xml:space="preserve"> </w:t>
      </w:r>
      <w:r w:rsidR="00BA4962">
        <w:rPr>
          <w:rFonts w:ascii="Arial" w:hAnsi="Arial" w:cs="Arial"/>
          <w:b/>
          <w:noProof/>
          <w:snapToGrid w:val="0"/>
          <w:sz w:val="22"/>
          <w:szCs w:val="22"/>
        </w:rPr>
        <w:t>000</w:t>
      </w: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BA4962">
        <w:rPr>
          <w:rFonts w:ascii="Arial" w:hAnsi="Arial" w:cs="Arial"/>
          <w:b/>
          <w:snapToGrid w:val="0"/>
          <w:sz w:val="22"/>
          <w:szCs w:val="22"/>
        </w:rPr>
        <w:t xml:space="preserve">padesát dva </w:t>
      </w:r>
      <w:r w:rsidRPr="003D5308">
        <w:rPr>
          <w:rFonts w:ascii="Arial" w:hAnsi="Arial" w:cs="Arial"/>
          <w:b/>
          <w:noProof/>
          <w:snapToGrid w:val="0"/>
          <w:sz w:val="22"/>
          <w:szCs w:val="22"/>
        </w:rPr>
        <w:t>tisíc korun českých</w:t>
      </w:r>
      <w:r w:rsidRPr="001A1DAE">
        <w:rPr>
          <w:rFonts w:ascii="Arial" w:hAnsi="Arial" w:cs="Arial"/>
          <w:b/>
          <w:snapToGrid w:val="0"/>
          <w:sz w:val="22"/>
          <w:szCs w:val="22"/>
        </w:rPr>
        <w:t>)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, a to na základě žádosti č. </w:t>
      </w:r>
      <w:r w:rsidR="006F54E2">
        <w:rPr>
          <w:rFonts w:ascii="Arial" w:hAnsi="Arial" w:cs="Arial"/>
          <w:snapToGrid w:val="0"/>
          <w:sz w:val="22"/>
          <w:szCs w:val="22"/>
        </w:rPr>
        <w:t>6</w:t>
      </w:r>
      <w:r w:rsidRPr="001A1DAE">
        <w:rPr>
          <w:rFonts w:ascii="Arial" w:hAnsi="Arial" w:cs="Arial"/>
          <w:snapToGrid w:val="0"/>
          <w:sz w:val="22"/>
          <w:szCs w:val="22"/>
        </w:rPr>
        <w:t>/202</w:t>
      </w:r>
      <w:r w:rsidR="00A3646C">
        <w:rPr>
          <w:rFonts w:ascii="Arial" w:hAnsi="Arial" w:cs="Arial"/>
          <w:snapToGrid w:val="0"/>
          <w:sz w:val="22"/>
          <w:szCs w:val="22"/>
        </w:rPr>
        <w:t>6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ze dne</w:t>
      </w:r>
      <w:r w:rsidRPr="001A1DAE">
        <w:rPr>
          <w:rFonts w:ascii="Arial" w:hAnsi="Arial" w:cs="Arial"/>
          <w:snapToGrid w:val="0"/>
          <w:sz w:val="22"/>
          <w:szCs w:val="22"/>
        </w:rPr>
        <w:br/>
      </w:r>
      <w:r w:rsidR="00BA4962">
        <w:rPr>
          <w:rFonts w:ascii="Arial" w:hAnsi="Arial" w:cs="Arial"/>
          <w:noProof/>
          <w:snapToGrid w:val="0"/>
          <w:sz w:val="22"/>
          <w:szCs w:val="22"/>
        </w:rPr>
        <w:t>16</w:t>
      </w:r>
      <w:r w:rsidRPr="003D5308">
        <w:rPr>
          <w:rFonts w:ascii="Arial" w:hAnsi="Arial" w:cs="Arial"/>
          <w:noProof/>
          <w:snapToGrid w:val="0"/>
          <w:sz w:val="22"/>
          <w:szCs w:val="22"/>
        </w:rPr>
        <w:t>.</w:t>
      </w:r>
      <w:r w:rsidR="00512167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BA4962">
        <w:rPr>
          <w:rFonts w:ascii="Arial" w:hAnsi="Arial" w:cs="Arial"/>
          <w:noProof/>
          <w:snapToGrid w:val="0"/>
          <w:sz w:val="22"/>
          <w:szCs w:val="22"/>
        </w:rPr>
        <w:t>1</w:t>
      </w:r>
      <w:r w:rsidRPr="003D5308">
        <w:rPr>
          <w:rFonts w:ascii="Arial" w:hAnsi="Arial" w:cs="Arial"/>
          <w:noProof/>
          <w:snapToGrid w:val="0"/>
          <w:sz w:val="22"/>
          <w:szCs w:val="22"/>
        </w:rPr>
        <w:t>.</w:t>
      </w:r>
      <w:r w:rsidR="00512167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3D5308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A3646C">
        <w:rPr>
          <w:rFonts w:ascii="Arial" w:hAnsi="Arial" w:cs="Arial"/>
          <w:noProof/>
          <w:snapToGrid w:val="0"/>
          <w:sz w:val="22"/>
          <w:szCs w:val="22"/>
        </w:rPr>
        <w:t>6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(dále jen „Žádost“) podané v rámci </w:t>
      </w:r>
      <w:r w:rsidRPr="009F41D0">
        <w:rPr>
          <w:rFonts w:ascii="Arial" w:hAnsi="Arial" w:cs="Arial"/>
          <w:snapToGrid w:val="0"/>
          <w:sz w:val="22"/>
          <w:szCs w:val="22"/>
        </w:rPr>
        <w:t xml:space="preserve">Dotačního programu na podporu </w:t>
      </w:r>
      <w:r>
        <w:rPr>
          <w:rFonts w:ascii="Arial" w:hAnsi="Arial" w:cs="Arial"/>
          <w:snapToGrid w:val="0"/>
          <w:sz w:val="22"/>
          <w:szCs w:val="22"/>
        </w:rPr>
        <w:t xml:space="preserve">akcí / cyklu akcí v </w:t>
      </w:r>
      <w:r w:rsidRPr="009F41D0">
        <w:rPr>
          <w:rFonts w:ascii="Arial" w:hAnsi="Arial" w:cs="Arial"/>
          <w:snapToGrid w:val="0"/>
          <w:sz w:val="22"/>
          <w:szCs w:val="22"/>
        </w:rPr>
        <w:t xml:space="preserve">oblasti </w:t>
      </w:r>
      <w:r>
        <w:rPr>
          <w:rFonts w:ascii="Arial" w:hAnsi="Arial" w:cs="Arial"/>
          <w:snapToGrid w:val="0"/>
          <w:sz w:val="22"/>
          <w:szCs w:val="22"/>
        </w:rPr>
        <w:t>kultur</w:t>
      </w:r>
      <w:r w:rsidRPr="009F41D0">
        <w:rPr>
          <w:rFonts w:ascii="Arial" w:hAnsi="Arial" w:cs="Arial"/>
          <w:snapToGrid w:val="0"/>
          <w:sz w:val="22"/>
          <w:szCs w:val="22"/>
        </w:rPr>
        <w:t>y.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19A9883C" w14:textId="77777777" w:rsidR="00AA327C" w:rsidRPr="001A1DAE" w:rsidRDefault="00AA327C" w:rsidP="00AA327C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1A1DAE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17DC2EA1" w14:textId="77777777" w:rsidR="00AA327C" w:rsidRPr="001A1DAE" w:rsidRDefault="00AA327C" w:rsidP="00AA327C">
      <w:pPr>
        <w:jc w:val="both"/>
        <w:rPr>
          <w:rFonts w:ascii="Arial" w:hAnsi="Arial" w:cs="Arial"/>
        </w:rPr>
      </w:pPr>
    </w:p>
    <w:p w14:paraId="74F59F3E" w14:textId="4EA5F059" w:rsidR="00AA327C" w:rsidRPr="001A1DAE" w:rsidRDefault="00AA327C" w:rsidP="00AA327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</w:rPr>
        <w:t>„</w:t>
      </w:r>
      <w:r w:rsidR="00BA4962" w:rsidRPr="003D5308">
        <w:rPr>
          <w:rFonts w:ascii="Arial" w:hAnsi="Arial" w:cs="Arial"/>
          <w:b/>
          <w:noProof/>
          <w:snapToGrid w:val="0"/>
          <w:sz w:val="22"/>
          <w:szCs w:val="22"/>
        </w:rPr>
        <w:t>V</w:t>
      </w:r>
      <w:r w:rsidR="006F54E2">
        <w:rPr>
          <w:rFonts w:ascii="Arial" w:hAnsi="Arial" w:cs="Arial"/>
          <w:b/>
          <w:noProof/>
          <w:snapToGrid w:val="0"/>
          <w:sz w:val="22"/>
          <w:szCs w:val="22"/>
        </w:rPr>
        <w:t>EČER S CIMB</w:t>
      </w:r>
      <w:r w:rsidR="00BA4962" w:rsidRPr="003D5308">
        <w:rPr>
          <w:rFonts w:ascii="Arial" w:hAnsi="Arial" w:cs="Arial"/>
          <w:b/>
          <w:noProof/>
          <w:snapToGrid w:val="0"/>
          <w:sz w:val="22"/>
          <w:szCs w:val="22"/>
        </w:rPr>
        <w:t>Á</w:t>
      </w:r>
      <w:r w:rsidR="006F54E2">
        <w:rPr>
          <w:rFonts w:ascii="Arial" w:hAnsi="Arial" w:cs="Arial"/>
          <w:b/>
          <w:noProof/>
          <w:snapToGrid w:val="0"/>
          <w:sz w:val="22"/>
          <w:szCs w:val="22"/>
        </w:rPr>
        <w:t>LEM</w:t>
      </w:r>
      <w:r w:rsidRPr="001A1DAE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0DEAF5AD" w14:textId="77777777" w:rsidR="00AA327C" w:rsidRPr="001A1DAE" w:rsidRDefault="00AA327C" w:rsidP="00AA327C">
      <w:pPr>
        <w:jc w:val="both"/>
        <w:rPr>
          <w:rFonts w:ascii="Arial" w:hAnsi="Arial" w:cs="Arial"/>
        </w:rPr>
      </w:pPr>
    </w:p>
    <w:p w14:paraId="7E2F26A2" w14:textId="19466E44" w:rsidR="00B47C15" w:rsidRDefault="00B47C15" w:rsidP="00B47C15">
      <w:pPr>
        <w:spacing w:after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- termín realizace Projektu: </w:t>
      </w:r>
      <w:r w:rsidR="00CF0EF7" w:rsidRPr="001A1DAE">
        <w:rPr>
          <w:rFonts w:ascii="Arial" w:hAnsi="Arial" w:cs="Arial"/>
          <w:b/>
          <w:snapToGrid w:val="0"/>
          <w:sz w:val="22"/>
          <w:szCs w:val="22"/>
        </w:rPr>
        <w:t>1. 1. 202</w:t>
      </w:r>
      <w:r w:rsidR="00CF0EF7">
        <w:rPr>
          <w:rFonts w:ascii="Arial" w:hAnsi="Arial" w:cs="Arial"/>
          <w:b/>
          <w:snapToGrid w:val="0"/>
          <w:sz w:val="22"/>
          <w:szCs w:val="22"/>
        </w:rPr>
        <w:t>6</w:t>
      </w:r>
      <w:r w:rsidR="00CF0EF7" w:rsidRPr="001A1DAE">
        <w:rPr>
          <w:rFonts w:ascii="Arial" w:hAnsi="Arial" w:cs="Arial"/>
          <w:b/>
          <w:snapToGrid w:val="0"/>
          <w:sz w:val="22"/>
          <w:szCs w:val="22"/>
        </w:rPr>
        <w:t xml:space="preserve"> – 3</w:t>
      </w:r>
      <w:r w:rsidR="00CF0EF7">
        <w:rPr>
          <w:rFonts w:ascii="Arial" w:hAnsi="Arial" w:cs="Arial"/>
          <w:b/>
          <w:snapToGrid w:val="0"/>
          <w:sz w:val="22"/>
          <w:szCs w:val="22"/>
        </w:rPr>
        <w:t>1</w:t>
      </w:r>
      <w:r w:rsidR="00CF0EF7" w:rsidRPr="001A1DA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CF0EF7">
        <w:rPr>
          <w:rFonts w:ascii="Arial" w:hAnsi="Arial" w:cs="Arial"/>
          <w:b/>
          <w:snapToGrid w:val="0"/>
          <w:sz w:val="22"/>
          <w:szCs w:val="22"/>
        </w:rPr>
        <w:t>7</w:t>
      </w:r>
      <w:r w:rsidR="00CF0EF7" w:rsidRPr="001A1DAE">
        <w:rPr>
          <w:rFonts w:ascii="Arial" w:hAnsi="Arial" w:cs="Arial"/>
          <w:b/>
          <w:snapToGrid w:val="0"/>
          <w:sz w:val="22"/>
          <w:szCs w:val="22"/>
        </w:rPr>
        <w:t>. 202</w:t>
      </w:r>
      <w:r w:rsidR="00CF0EF7">
        <w:rPr>
          <w:rFonts w:ascii="Arial" w:hAnsi="Arial" w:cs="Arial"/>
          <w:b/>
          <w:snapToGrid w:val="0"/>
          <w:sz w:val="22"/>
          <w:szCs w:val="22"/>
        </w:rPr>
        <w:t>6</w:t>
      </w:r>
      <w:r w:rsidR="00CF0EF7" w:rsidRPr="001A1DA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71EA0551" w14:textId="34AEE4BE" w:rsidR="00B47C15" w:rsidRPr="001A1DAE" w:rsidRDefault="00B47C15" w:rsidP="00B47C15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- formát akce: </w:t>
      </w:r>
      <w:r w:rsidR="00CF0EF7">
        <w:rPr>
          <w:rFonts w:ascii="Arial" w:hAnsi="Arial" w:cs="Arial"/>
          <w:b/>
          <w:snapToGrid w:val="0"/>
          <w:sz w:val="22"/>
          <w:szCs w:val="22"/>
        </w:rPr>
        <w:t>jednorázová akce (3. 4. 2026, Klub EX v Jablonci nad Nisou).</w:t>
      </w:r>
    </w:p>
    <w:p w14:paraId="00A812EE" w14:textId="77777777" w:rsidR="00AA327C" w:rsidRPr="001A1DAE" w:rsidRDefault="00AA327C" w:rsidP="00AA327C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AEAEC82" w14:textId="7457CD34" w:rsidR="00AA327C" w:rsidRPr="001A1DAE" w:rsidRDefault="00AA327C" w:rsidP="00AA327C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1A1DAE">
        <w:rPr>
          <w:rFonts w:ascii="Arial" w:hAnsi="Arial" w:cs="Arial"/>
          <w:snapToGrid w:val="0"/>
          <w:sz w:val="22"/>
          <w:szCs w:val="22"/>
        </w:rPr>
        <w:t>„</w:t>
      </w:r>
      <w:r w:rsidR="00BA4962">
        <w:rPr>
          <w:rFonts w:ascii="Arial" w:hAnsi="Arial" w:cs="Arial"/>
          <w:snapToGrid w:val="0"/>
          <w:sz w:val="22"/>
          <w:szCs w:val="22"/>
        </w:rPr>
        <w:t>V</w:t>
      </w:r>
      <w:r w:rsidR="006F54E2">
        <w:rPr>
          <w:rFonts w:ascii="Arial" w:hAnsi="Arial" w:cs="Arial"/>
          <w:snapToGrid w:val="0"/>
          <w:sz w:val="22"/>
          <w:szCs w:val="22"/>
        </w:rPr>
        <w:t xml:space="preserve">EČER </w:t>
      </w:r>
      <w:r w:rsidR="00BA4962">
        <w:rPr>
          <w:rFonts w:ascii="Arial" w:hAnsi="Arial" w:cs="Arial"/>
          <w:snapToGrid w:val="0"/>
          <w:sz w:val="22"/>
          <w:szCs w:val="22"/>
        </w:rPr>
        <w:t xml:space="preserve">S </w:t>
      </w:r>
      <w:r w:rsidR="006F54E2">
        <w:rPr>
          <w:rFonts w:ascii="Arial" w:hAnsi="Arial" w:cs="Arial"/>
          <w:snapToGrid w:val="0"/>
          <w:sz w:val="22"/>
          <w:szCs w:val="22"/>
        </w:rPr>
        <w:t>C</w:t>
      </w:r>
      <w:r w:rsidR="00BA4962">
        <w:rPr>
          <w:rFonts w:ascii="Arial" w:hAnsi="Arial" w:cs="Arial"/>
          <w:snapToGrid w:val="0"/>
          <w:sz w:val="22"/>
          <w:szCs w:val="22"/>
        </w:rPr>
        <w:t>I</w:t>
      </w:r>
      <w:r w:rsidR="006F54E2">
        <w:rPr>
          <w:rFonts w:ascii="Arial" w:hAnsi="Arial" w:cs="Arial"/>
          <w:snapToGrid w:val="0"/>
          <w:sz w:val="22"/>
          <w:szCs w:val="22"/>
        </w:rPr>
        <w:t>MBÁLEM</w:t>
      </w:r>
      <w:r w:rsidRPr="001A1DAE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31800BF9" w14:textId="77777777" w:rsidR="00AA327C" w:rsidRPr="001A1DAE" w:rsidRDefault="00AA327C" w:rsidP="00AA327C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18581F1C" w14:textId="77777777" w:rsidR="00AA327C" w:rsidRPr="001A1DAE" w:rsidRDefault="00AA327C" w:rsidP="00AA327C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vyhlášeným dotačním programem a žádostí příjemce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07AE2BE0" w14:textId="77777777" w:rsidR="00AA327C" w:rsidRPr="001A1DAE" w:rsidRDefault="00AA327C" w:rsidP="00AA327C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3FD5D46A" w14:textId="77777777" w:rsidR="00AA327C" w:rsidRPr="001A1DAE" w:rsidRDefault="00AA327C" w:rsidP="00AA327C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Poskytovatel poskytne dotaci příjemci bezhotovostní formou na bankovní účet příjemce do 30 dnů od uzavření smlouvy o poskytnutí účelové neinvestiční dotace.</w:t>
      </w:r>
    </w:p>
    <w:p w14:paraId="0942CE83" w14:textId="77777777" w:rsidR="00AA327C" w:rsidRPr="001A1DAE" w:rsidRDefault="00AA327C" w:rsidP="00AA327C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62F92F8F" w14:textId="77777777" w:rsidR="00AA327C" w:rsidRPr="001A1DAE" w:rsidRDefault="00AA327C" w:rsidP="00AA327C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CA27517" w14:textId="77777777" w:rsidR="00AA327C" w:rsidRPr="001A1DAE" w:rsidRDefault="00AA327C" w:rsidP="00AA327C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Základní ustanovení</w:t>
      </w:r>
    </w:p>
    <w:p w14:paraId="4F72BBA9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7F962718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3E66C8B8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082EFE35" w14:textId="77777777" w:rsidR="00AA327C" w:rsidRPr="001A1DAE" w:rsidRDefault="00AA327C" w:rsidP="00AA327C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DDAF60C" w14:textId="77777777" w:rsidR="00AA327C" w:rsidRPr="001A1DAE" w:rsidRDefault="00AA327C" w:rsidP="00AA327C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241DE614" w14:textId="6988CD44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Příjemce je oprávněn čerpat dotaci nejpozději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do 3</w:t>
      </w:r>
      <w:r w:rsidR="00A3646C">
        <w:rPr>
          <w:rFonts w:ascii="Arial" w:hAnsi="Arial" w:cs="Arial"/>
          <w:b/>
          <w:snapToGrid w:val="0"/>
          <w:sz w:val="22"/>
          <w:szCs w:val="22"/>
        </w:rPr>
        <w:t>1</w:t>
      </w:r>
      <w:r w:rsidRPr="001A1DA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CF0EF7">
        <w:rPr>
          <w:rFonts w:ascii="Arial" w:hAnsi="Arial" w:cs="Arial"/>
          <w:b/>
          <w:snapToGrid w:val="0"/>
          <w:sz w:val="22"/>
          <w:szCs w:val="22"/>
        </w:rPr>
        <w:t>7</w:t>
      </w:r>
      <w:r w:rsidRPr="001A1DAE">
        <w:rPr>
          <w:rFonts w:ascii="Arial" w:hAnsi="Arial" w:cs="Arial"/>
          <w:b/>
          <w:snapToGrid w:val="0"/>
          <w:sz w:val="22"/>
          <w:szCs w:val="22"/>
        </w:rPr>
        <w:t>. 202</w:t>
      </w:r>
      <w:r w:rsidR="00A3646C">
        <w:rPr>
          <w:rFonts w:ascii="Arial" w:hAnsi="Arial" w:cs="Arial"/>
          <w:b/>
          <w:snapToGrid w:val="0"/>
          <w:sz w:val="22"/>
          <w:szCs w:val="22"/>
        </w:rPr>
        <w:t>6</w:t>
      </w:r>
      <w:r w:rsidRPr="001A1DAE">
        <w:rPr>
          <w:rFonts w:ascii="Arial" w:hAnsi="Arial" w:cs="Arial"/>
          <w:b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Prostředky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DPH, resp. nemůže uplatnit </w:t>
      </w:r>
      <w:r w:rsidRPr="001A1DAE">
        <w:rPr>
          <w:rFonts w:ascii="Arial" w:hAnsi="Arial" w:cs="Arial"/>
          <w:sz w:val="22"/>
          <w:szCs w:val="22"/>
        </w:rPr>
        <w:t>v souvislosti s realizací Projektu dle čl. I. této smlouvy nárok na odpočet DPH na vstupu.</w:t>
      </w:r>
    </w:p>
    <w:p w14:paraId="2A105E31" w14:textId="02E170D1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z w:val="22"/>
          <w:szCs w:val="22"/>
        </w:rPr>
        <w:t xml:space="preserve">Příjemce dotace je povinen nejpozději </w:t>
      </w:r>
      <w:r w:rsidRPr="001A1DAE">
        <w:rPr>
          <w:rFonts w:ascii="Arial" w:hAnsi="Arial" w:cs="Arial"/>
          <w:b/>
          <w:sz w:val="22"/>
          <w:szCs w:val="22"/>
        </w:rPr>
        <w:t>do 3</w:t>
      </w:r>
      <w:r w:rsidR="00CF0EF7">
        <w:rPr>
          <w:rFonts w:ascii="Arial" w:hAnsi="Arial" w:cs="Arial"/>
          <w:b/>
          <w:sz w:val="22"/>
          <w:szCs w:val="22"/>
        </w:rPr>
        <w:t>0</w:t>
      </w:r>
      <w:r w:rsidRPr="001A1DAE">
        <w:rPr>
          <w:rFonts w:ascii="Arial" w:hAnsi="Arial" w:cs="Arial"/>
          <w:b/>
          <w:sz w:val="22"/>
          <w:szCs w:val="22"/>
        </w:rPr>
        <w:t xml:space="preserve">. </w:t>
      </w:r>
      <w:r w:rsidR="00CF0EF7">
        <w:rPr>
          <w:rFonts w:ascii="Arial" w:hAnsi="Arial" w:cs="Arial"/>
          <w:b/>
          <w:sz w:val="22"/>
          <w:szCs w:val="22"/>
        </w:rPr>
        <w:t>září</w:t>
      </w:r>
      <w:r w:rsidRPr="001A1DAE">
        <w:rPr>
          <w:rFonts w:ascii="Arial" w:hAnsi="Arial" w:cs="Arial"/>
          <w:b/>
          <w:sz w:val="22"/>
          <w:szCs w:val="22"/>
        </w:rPr>
        <w:t xml:space="preserve"> 202</w:t>
      </w:r>
      <w:r w:rsidR="00CF0EF7">
        <w:rPr>
          <w:rFonts w:ascii="Arial" w:hAnsi="Arial" w:cs="Arial"/>
          <w:b/>
          <w:sz w:val="22"/>
          <w:szCs w:val="22"/>
        </w:rPr>
        <w:t>6</w:t>
      </w:r>
      <w:r w:rsidRPr="001A1DAE">
        <w:rPr>
          <w:rFonts w:ascii="Arial" w:hAnsi="Arial" w:cs="Arial"/>
          <w:sz w:val="22"/>
          <w:szCs w:val="22"/>
        </w:rPr>
        <w:t xml:space="preserve"> písemně poskytovateli doložit úplné vyúčtování poskytnuté účelové neinvestiční dotace podle této smlouvy. Vyúčtování předloží na formuláři „Závěrečná hodnotící zpráva“ Magistrátu města Jablonec nad Nisou. Příjemce dotace může uplatnit do výše </w:t>
      </w:r>
      <w:r>
        <w:rPr>
          <w:rFonts w:ascii="Arial" w:hAnsi="Arial" w:cs="Arial"/>
          <w:sz w:val="22"/>
          <w:szCs w:val="22"/>
        </w:rPr>
        <w:t xml:space="preserve">15 </w:t>
      </w:r>
      <w:r w:rsidRPr="001A1DAE">
        <w:rPr>
          <w:rFonts w:ascii="Arial" w:hAnsi="Arial" w:cs="Arial"/>
          <w:sz w:val="22"/>
          <w:szCs w:val="22"/>
        </w:rPr>
        <w:t xml:space="preserve">000 Kč (slovy </w:t>
      </w:r>
      <w:r>
        <w:rPr>
          <w:rFonts w:ascii="Arial" w:hAnsi="Arial" w:cs="Arial"/>
          <w:sz w:val="22"/>
          <w:szCs w:val="22"/>
        </w:rPr>
        <w:t xml:space="preserve">patnáct </w:t>
      </w:r>
      <w:r w:rsidRPr="001A1DAE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 xml:space="preserve"> </w:t>
      </w:r>
      <w:r w:rsidRPr="001A1DAE">
        <w:rPr>
          <w:rFonts w:ascii="Arial" w:hAnsi="Arial" w:cs="Arial"/>
          <w:sz w:val="22"/>
          <w:szCs w:val="22"/>
        </w:rPr>
        <w:t>korun českých) paušální výdaje, které nemusí prokazovat v rámci předkládaného vyúčtování účelové neinvestiční dotace. Paušální výdaje musí být v souladu s článkem č. I. Předmět smlouvy. Příjemce dotace musí paušální výdaje prokázat při kontrole dotace dle čl. IV. Kontrola dotace.</w:t>
      </w:r>
    </w:p>
    <w:p w14:paraId="50FA37DF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z w:val="22"/>
          <w:szCs w:val="22"/>
        </w:rPr>
        <w:t>O použití a využití poskytovatelem poskytnutých finančních prostředků je příjemce povinen vést samostatnou (analytickou) průkaznou 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2A3E3716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1A1DAE">
        <w:rPr>
          <w:rFonts w:ascii="Arial" w:hAnsi="Arial" w:cs="Arial"/>
          <w:sz w:val="22"/>
          <w:szCs w:val="22"/>
        </w:rPr>
        <w:t>příjemce se statutárním městem Jablonec nad Nisou:</w:t>
      </w:r>
    </w:p>
    <w:p w14:paraId="2FD40F00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ind w:left="17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75503BD4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ind w:left="17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22142323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ind w:left="17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Všechny doklady musí být označeny pořadovými čísly uvedenými v prvním sloupci soupisu účetních dokladů formuláře závěrečné hodnotící zprávy. Doklady o zaplacení pak pořadovými čísly dokladů, ke kterým se platba vztahuje. Označení dokladů provede příjemce dotace nejpozději do termínu stanoveného pro předložení vyúčtování.</w:t>
      </w:r>
    </w:p>
    <w:p w14:paraId="7994B793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9E219D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95375A4" w14:textId="77777777" w:rsidR="00AA327C" w:rsidRPr="009E219D" w:rsidRDefault="00AA327C" w:rsidP="00AA327C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lastRenderedPageBreak/>
        <w:t>zjednodušené daňové doklady (paragon) a výdajové pokladní doklady společně s prvotními daňovými doklady, tj. doklady, které byly podkladem pro platbu,</w:t>
      </w:r>
    </w:p>
    <w:p w14:paraId="71D4FC80" w14:textId="77777777" w:rsidR="00AA327C" w:rsidRPr="009E219D" w:rsidRDefault="00AA327C" w:rsidP="00AA327C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12E7B83C" w14:textId="77777777" w:rsidR="00AA327C" w:rsidRPr="009E219D" w:rsidRDefault="00AA327C" w:rsidP="00AA327C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cestovní příkazy vyplněné dle zákona č. 262/2006 Sb., doplněné o vnitřní směrnice o hrazení nákladů za služební cesty osobním automobilem, jízdními doklady, knihami jízd,</w:t>
      </w:r>
    </w:p>
    <w:p w14:paraId="5E93817B" w14:textId="77777777" w:rsidR="00AA327C" w:rsidRPr="009E219D" w:rsidRDefault="00AA327C" w:rsidP="00AA327C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5BDB218D" w14:textId="77777777" w:rsidR="00AA327C" w:rsidRPr="009E219D" w:rsidRDefault="00AA327C" w:rsidP="00AA327C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00A2FE36" w14:textId="77777777" w:rsidR="00AA327C" w:rsidRPr="009E219D" w:rsidRDefault="00AA327C" w:rsidP="00AA327C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07FF04E2" w14:textId="77777777" w:rsidR="00AA327C" w:rsidRPr="009E219D" w:rsidRDefault="00AA327C" w:rsidP="00AA327C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5D6B0C78" w14:textId="77777777" w:rsidR="00AA327C" w:rsidRPr="009E219D" w:rsidRDefault="00AA327C" w:rsidP="00AA327C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6ECA500A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626D7C21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Obecně formulované doklady (jako např. „materiál“, „ozvučení“) nebudou považovány za uznatelné výdaje. Z dokladů musí vyplývat konkrétní účel, tj. na co, kolik kusů, za jakou službu apod. V případě pořádání akcí musí být z dokladu patrné, že se vztahuje k dané akci.</w:t>
      </w:r>
    </w:p>
    <w:p w14:paraId="1D3FD86E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527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Pr="008E426E">
        <w:rPr>
          <w:rFonts w:ascii="Arial" w:hAnsi="Arial" w:cs="Arial"/>
          <w:snapToGrid w:val="0"/>
          <w:sz w:val="22"/>
          <w:szCs w:val="22"/>
        </w:rPr>
        <w:t>20 000 Kč</w:t>
      </w:r>
      <w:r w:rsidRPr="009E219D">
        <w:rPr>
          <w:rFonts w:ascii="Arial" w:hAnsi="Arial" w:cs="Arial"/>
          <w:snapToGrid w:val="0"/>
          <w:sz w:val="22"/>
          <w:szCs w:val="22"/>
        </w:rPr>
        <w:t xml:space="preserve"> se příjemce zavazuje uskutečnit bezhotovostním převodem.</w:t>
      </w:r>
    </w:p>
    <w:p w14:paraId="355EB0A7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0CABD575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Na vyzvání poskytovatele předloží příjemce dotace kopie účetních, resp. prvotních daňových dokladů nebo zjednodušených daňových dokladů (např. faktury, účtenky, paragony, výdajové pokladní doklady) týkající se celého realizovaného Projektu a doklady prokazující úhradu jednotlivých účetních, resp. prvotních daňových dokladů nebo zjednodušených daňových dokladů, ze kterých bude zřejmý účel a způsob využití poskytnutých finančních prostředků.</w:t>
      </w:r>
    </w:p>
    <w:p w14:paraId="3728945D" w14:textId="360900D0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8E426E">
        <w:rPr>
          <w:rFonts w:ascii="Arial" w:hAnsi="Arial" w:cs="Arial"/>
          <w:snapToGrid w:val="0"/>
          <w:sz w:val="22"/>
          <w:szCs w:val="22"/>
        </w:rPr>
        <w:t>od 1. 1. 202</w:t>
      </w:r>
      <w:r w:rsidR="00A3646C">
        <w:rPr>
          <w:rFonts w:ascii="Arial" w:hAnsi="Arial" w:cs="Arial"/>
          <w:snapToGrid w:val="0"/>
          <w:sz w:val="22"/>
          <w:szCs w:val="22"/>
        </w:rPr>
        <w:t>6</w:t>
      </w:r>
      <w:r w:rsidRPr="008E426E">
        <w:rPr>
          <w:rFonts w:ascii="Arial" w:hAnsi="Arial" w:cs="Arial"/>
          <w:snapToGrid w:val="0"/>
          <w:sz w:val="22"/>
          <w:szCs w:val="22"/>
        </w:rPr>
        <w:t xml:space="preserve"> do 3</w:t>
      </w:r>
      <w:r w:rsidR="00A3646C">
        <w:rPr>
          <w:rFonts w:ascii="Arial" w:hAnsi="Arial" w:cs="Arial"/>
          <w:snapToGrid w:val="0"/>
          <w:sz w:val="22"/>
          <w:szCs w:val="22"/>
        </w:rPr>
        <w:t>1</w:t>
      </w:r>
      <w:r w:rsidRPr="008E426E">
        <w:rPr>
          <w:rFonts w:ascii="Arial" w:hAnsi="Arial" w:cs="Arial"/>
          <w:snapToGrid w:val="0"/>
          <w:sz w:val="22"/>
          <w:szCs w:val="22"/>
        </w:rPr>
        <w:t xml:space="preserve">. </w:t>
      </w:r>
      <w:r w:rsidR="00CF0EF7">
        <w:rPr>
          <w:rFonts w:ascii="Arial" w:hAnsi="Arial" w:cs="Arial"/>
          <w:snapToGrid w:val="0"/>
          <w:sz w:val="22"/>
          <w:szCs w:val="22"/>
        </w:rPr>
        <w:t>7</w:t>
      </w:r>
      <w:r w:rsidRPr="008E426E">
        <w:rPr>
          <w:rFonts w:ascii="Arial" w:hAnsi="Arial" w:cs="Arial"/>
          <w:snapToGrid w:val="0"/>
          <w:sz w:val="22"/>
          <w:szCs w:val="22"/>
        </w:rPr>
        <w:t>. 202</w:t>
      </w:r>
      <w:r w:rsidR="00A3646C">
        <w:rPr>
          <w:rFonts w:ascii="Arial" w:hAnsi="Arial" w:cs="Arial"/>
          <w:snapToGrid w:val="0"/>
          <w:sz w:val="22"/>
          <w:szCs w:val="22"/>
        </w:rPr>
        <w:t>6</w:t>
      </w:r>
      <w:r w:rsidRPr="008E426E">
        <w:rPr>
          <w:rFonts w:ascii="Arial" w:hAnsi="Arial" w:cs="Arial"/>
          <w:snapToGrid w:val="0"/>
          <w:sz w:val="22"/>
          <w:szCs w:val="22"/>
        </w:rPr>
        <w:t>.</w:t>
      </w:r>
      <w:r w:rsidRPr="009E219D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 </w:t>
      </w:r>
    </w:p>
    <w:p w14:paraId="2AD089BB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1D408B86" w14:textId="77777777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50355D2F" w14:textId="4A2AC5D2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</w:t>
      </w:r>
      <w:r w:rsidR="00A127AF">
        <w:rPr>
          <w:rFonts w:ascii="Arial" w:hAnsi="Arial" w:cs="Arial"/>
          <w:snapToGrid w:val="0"/>
          <w:sz w:val="22"/>
          <w:szCs w:val="22"/>
        </w:rPr>
        <w:t>oskytovateli</w:t>
      </w:r>
      <w:r w:rsidRPr="009E219D">
        <w:rPr>
          <w:rFonts w:ascii="Arial" w:hAnsi="Arial" w:cs="Arial"/>
          <w:snapToGrid w:val="0"/>
          <w:sz w:val="22"/>
          <w:szCs w:val="22"/>
        </w:rPr>
        <w:t xml:space="preserve"> s průvodním dopisem na účet statutárního města Jablonec nad Nisou.</w:t>
      </w:r>
    </w:p>
    <w:p w14:paraId="2A44B52F" w14:textId="6C04DB71" w:rsidR="00AA327C" w:rsidRPr="009E219D" w:rsidRDefault="00B47C15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="00CF0EF7" w:rsidRPr="004F1550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 w:rsidR="00CF0EF7">
        <w:rPr>
          <w:rFonts w:ascii="Arial" w:hAnsi="Arial" w:cs="Arial"/>
          <w:b/>
          <w:snapToGrid w:val="0"/>
          <w:sz w:val="22"/>
          <w:szCs w:val="22"/>
        </w:rPr>
        <w:t>října</w:t>
      </w:r>
      <w:r w:rsidR="00CF0EF7" w:rsidRPr="004F1550">
        <w:rPr>
          <w:rFonts w:ascii="Arial" w:hAnsi="Arial" w:cs="Arial"/>
          <w:b/>
          <w:snapToGrid w:val="0"/>
          <w:sz w:val="22"/>
          <w:szCs w:val="22"/>
        </w:rPr>
        <w:t xml:space="preserve"> roku, </w:t>
      </w:r>
      <w:r w:rsidR="00CF0EF7">
        <w:rPr>
          <w:rFonts w:ascii="Arial" w:hAnsi="Arial" w:cs="Arial"/>
          <w:b/>
          <w:snapToGrid w:val="0"/>
          <w:sz w:val="22"/>
          <w:szCs w:val="22"/>
        </w:rPr>
        <w:t>ve kterém</w:t>
      </w:r>
      <w:r w:rsidR="00CF0EF7" w:rsidRPr="004F1550">
        <w:rPr>
          <w:rFonts w:ascii="Arial" w:hAnsi="Arial" w:cs="Arial"/>
          <w:b/>
          <w:snapToGrid w:val="0"/>
          <w:sz w:val="22"/>
          <w:szCs w:val="22"/>
        </w:rPr>
        <w:t xml:space="preserve"> je dotace poskytnuta</w:t>
      </w:r>
      <w:r w:rsidR="00CF0EF7" w:rsidRPr="009E219D">
        <w:rPr>
          <w:rFonts w:ascii="Arial" w:hAnsi="Arial" w:cs="Arial"/>
          <w:b/>
          <w:bCs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E219D">
        <w:rPr>
          <w:rFonts w:ascii="Arial" w:hAnsi="Arial" w:cs="Arial"/>
          <w:snapToGrid w:val="0"/>
          <w:sz w:val="22"/>
          <w:szCs w:val="22"/>
        </w:rPr>
        <w:t>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9E219D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28E78F23" w14:textId="1947171C" w:rsidR="00AA327C" w:rsidRPr="009E219D" w:rsidRDefault="00AA327C" w:rsidP="00AA327C">
      <w:pPr>
        <w:pStyle w:val="Odstavecseseznamem"/>
        <w:numPr>
          <w:ilvl w:val="1"/>
          <w:numId w:val="8"/>
        </w:numPr>
        <w:spacing w:after="60"/>
        <w:ind w:left="17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E219D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č.121451/0100 (úhrada do 31. 12. 202</w:t>
      </w:r>
      <w:r w:rsidR="00A3646C">
        <w:rPr>
          <w:rFonts w:ascii="Arial" w:hAnsi="Arial" w:cs="Arial"/>
          <w:snapToGrid w:val="0"/>
          <w:sz w:val="22"/>
          <w:szCs w:val="22"/>
        </w:rPr>
        <w:t>6</w:t>
      </w:r>
      <w:r w:rsidRPr="009E219D">
        <w:rPr>
          <w:rFonts w:ascii="Arial" w:hAnsi="Arial" w:cs="Arial"/>
          <w:snapToGrid w:val="0"/>
          <w:sz w:val="22"/>
          <w:szCs w:val="22"/>
        </w:rPr>
        <w:t>) nebo č. 19-121451/0100 (úhrada po 31. 12. 202</w:t>
      </w:r>
      <w:r w:rsidR="00A3646C">
        <w:rPr>
          <w:rFonts w:ascii="Arial" w:hAnsi="Arial" w:cs="Arial"/>
          <w:snapToGrid w:val="0"/>
          <w:sz w:val="22"/>
          <w:szCs w:val="22"/>
        </w:rPr>
        <w:t>6</w:t>
      </w:r>
      <w:r w:rsidRPr="009E219D">
        <w:rPr>
          <w:rFonts w:ascii="Arial" w:hAnsi="Arial" w:cs="Arial"/>
          <w:snapToGrid w:val="0"/>
          <w:sz w:val="22"/>
          <w:szCs w:val="22"/>
        </w:rPr>
        <w:t>), vedený u Komerční banky a.s., jako variabilní symbol platby uvést číslo smlouvy.</w:t>
      </w:r>
    </w:p>
    <w:p w14:paraId="566AFAFE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lastRenderedPageBreak/>
        <w:t xml:space="preserve">Příjemce je povinen písemně oznámit poskytovateli všechny významné změny související s podpořeným projektem 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1A1DAE">
        <w:rPr>
          <w:rFonts w:ascii="Arial" w:hAnsi="Arial" w:cs="Arial"/>
          <w:sz w:val="22"/>
          <w:szCs w:val="22"/>
        </w:rPr>
        <w:t>a s jeho osobou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1A1DAE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zahájení exekučního řízení proti příjemci jako dlužníku, vstup příjemce do likvidace, přeměnu příjemce, nebo jinou skutečnost směřující k zániku příjemce, a to bez zbytečného odkladu - 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 a počíná běžet prvním dnem následujícím po doručení výpovědi příjemci. V případě výpovědi je příjemce povinen provést finanční vypořádání dotace viz čl. III. a vrátit na účet poskytovatele uvedený v bodě 4.1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. nevyčerpanou část dotace s variabilním symbolem čísla smlouvy nejpozději do 30 dnů od doručení výpovědi příjemci. Pokud příjemce nevrátí do stanovených lhůt poskytnutou dotaci, stávají se prostředky dotace zadrženými ve smyslu </w:t>
      </w:r>
      <w:proofErr w:type="spellStart"/>
      <w:r w:rsidRPr="001A1DAE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1A1DAE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612BD4D6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Uvedení nepravdivých údajů v podkladech (např. žádost, čestné prohlášení apod.), na jejichž základě byla dotace poskytnuta, nebo finančně vypořádána, může být v odůvodněných případech považováno za porušení této smlouvy srovnatelné s porušením účelu dotace a posuzováno jako porušení rozpočtové kázně dle zákona č. 250/2000 Sb.</w:t>
      </w:r>
    </w:p>
    <w:p w14:paraId="69910B87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 a Dotačním programem.</w:t>
      </w:r>
    </w:p>
    <w:p w14:paraId="7C74288F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se zavazuje, že na vyzvání Magistrátu města Jablonec nad Nisou se bezplatně zapojí do akcí organizovaných statutárním městem Jablonec nad Nisou.</w:t>
      </w:r>
    </w:p>
    <w:p w14:paraId="0F44F315" w14:textId="77777777" w:rsidR="00AA327C" w:rsidRPr="001A1DA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Příjemce je povinen prokázat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finanční spoluúčast ve výši minimálně 20 %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z poskytnuté účelové neinvestiční dotace podle této smlouvy.</w:t>
      </w:r>
    </w:p>
    <w:p w14:paraId="632E2D4A" w14:textId="77777777" w:rsidR="00AA327C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7D8C66B7" w14:textId="77777777" w:rsidR="00AA327C" w:rsidRPr="008E426E" w:rsidRDefault="00AA327C" w:rsidP="00AA327C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Příjemce je povinen doložit realizaci projektu uvedeného v čl. I následujícím způsobem: </w:t>
      </w:r>
    </w:p>
    <w:p w14:paraId="0E4D7DD5" w14:textId="77777777" w:rsidR="00AA327C" w:rsidRPr="008E426E" w:rsidRDefault="00AA327C" w:rsidP="00AA327C">
      <w:pPr>
        <w:pStyle w:val="Odstavecseseznamem"/>
        <w:numPr>
          <w:ilvl w:val="0"/>
          <w:numId w:val="22"/>
        </w:numPr>
        <w:spacing w:after="60"/>
        <w:ind w:left="284" w:firstLine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0E77B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Cyklus akcí: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 Soupis všech realizovaných akcí včetně uvedení termínu, místa a programu akce; propagační materiály ke každé akci (plakáty; letáky; screenshoty z webu a sociálních sítí). Čtyři fotografie, n</w:t>
      </w:r>
      <w:r>
        <w:rPr>
          <w:rFonts w:ascii="Arial" w:hAnsi="Arial" w:cs="Arial"/>
          <w:b/>
          <w:bCs/>
          <w:snapToGrid w:val="0"/>
          <w:sz w:val="22"/>
          <w:szCs w:val="22"/>
        </w:rPr>
        <w:t>a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 kterých je prokazatelně zachycena realizace projektu, případně prezenční listiny a tiskoviny realizované v rámci projektu.</w:t>
      </w:r>
    </w:p>
    <w:p w14:paraId="4DE117E4" w14:textId="77777777" w:rsidR="00AA327C" w:rsidRPr="008E426E" w:rsidRDefault="00AA327C" w:rsidP="00AA327C">
      <w:pPr>
        <w:pStyle w:val="Odstavecseseznamem"/>
        <w:numPr>
          <w:ilvl w:val="0"/>
          <w:numId w:val="22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0E77B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Jednorázová akce: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 Propagační materiály k akci (plakáty; letáky; screenshoty z webu a sociálních sítí). Dvě fotografie, na kterých je prokazatelně zachycena realizace projektu, případně prezenční listiny a tiskoviny realizované v rámci projektu.</w:t>
      </w:r>
    </w:p>
    <w:p w14:paraId="4F5E528E" w14:textId="77777777" w:rsidR="00AA327C" w:rsidRPr="001A1DAE" w:rsidRDefault="00AA327C" w:rsidP="00AA327C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091EB6C" w14:textId="77777777" w:rsidR="00AA327C" w:rsidRPr="001A1DAE" w:rsidRDefault="00AA327C" w:rsidP="00AA327C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Kontrola dotace</w:t>
      </w:r>
    </w:p>
    <w:p w14:paraId="29018645" w14:textId="77777777" w:rsidR="00AA327C" w:rsidRPr="001A1DAE" w:rsidRDefault="00AA327C" w:rsidP="00AA327C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3A88DE9B" w14:textId="77777777" w:rsidR="00AA327C" w:rsidRPr="001A1DAE" w:rsidRDefault="00AA327C" w:rsidP="00AA327C">
      <w:pPr>
        <w:pStyle w:val="Odstavecseseznamem"/>
        <w:numPr>
          <w:ilvl w:val="3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2FD0BC79" w14:textId="77777777" w:rsidR="00AA327C" w:rsidRPr="001A1DAE" w:rsidRDefault="00AA327C" w:rsidP="00AA327C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5DB3177" w14:textId="77777777" w:rsidR="00AA327C" w:rsidRPr="001A1DAE" w:rsidRDefault="00AA327C" w:rsidP="00AA327C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Sankce za porušení podmínek a výpověď smlouvy</w:t>
      </w:r>
    </w:p>
    <w:p w14:paraId="75059551" w14:textId="77777777" w:rsidR="00AA327C" w:rsidRPr="001A1DAE" w:rsidRDefault="00AA327C" w:rsidP="00AA327C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723E44A0" w14:textId="77777777" w:rsidR="00AA327C" w:rsidRPr="001A1DAE" w:rsidRDefault="00AA327C" w:rsidP="00AA327C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1A1DAE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1A1DAE">
        <w:rPr>
          <w:rFonts w:ascii="Arial" w:hAnsi="Arial" w:cs="Arial"/>
          <w:snapToGrid w:val="0"/>
          <w:sz w:val="22"/>
          <w:szCs w:val="22"/>
        </w:rPr>
        <w:t xml:space="preserve">. § 22 zákona č. 250/2000 Sb., o rozpočtových pravidlech </w:t>
      </w:r>
      <w:r w:rsidRPr="001A1DAE">
        <w:rPr>
          <w:rFonts w:ascii="Arial" w:hAnsi="Arial" w:cs="Arial"/>
          <w:snapToGrid w:val="0"/>
          <w:sz w:val="22"/>
          <w:szCs w:val="22"/>
        </w:rPr>
        <w:lastRenderedPageBreak/>
        <w:t>územních rozpočtů, v platném znění, a to v případě, pokud příjemce nesplní povinnost k vrácení dotace nebo její části dobrovolně na výzvu poskytovatele.</w:t>
      </w:r>
    </w:p>
    <w:p w14:paraId="59DBA63C" w14:textId="77777777" w:rsidR="00AA327C" w:rsidRPr="001A1DAE" w:rsidRDefault="00AA327C" w:rsidP="00AA327C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1A1DAE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1A1DAE">
        <w:rPr>
          <w:rFonts w:ascii="Arial" w:hAnsi="Arial" w:cs="Arial"/>
          <w:b/>
          <w:sz w:val="22"/>
          <w:szCs w:val="22"/>
        </w:rPr>
        <w:t>20 dnů</w:t>
      </w:r>
      <w:r w:rsidRPr="001A1DAE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5A852C3A" w14:textId="77777777" w:rsidR="00AA327C" w:rsidRPr="001A1DAE" w:rsidRDefault="00AA327C" w:rsidP="00AA327C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1A1DAE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>
        <w:rPr>
          <w:rFonts w:ascii="Arial" w:hAnsi="Arial" w:cs="Arial"/>
          <w:sz w:val="22"/>
          <w:szCs w:val="22"/>
        </w:rPr>
        <w:t>.</w:t>
      </w:r>
      <w:r w:rsidRPr="001A1DAE">
        <w:rPr>
          <w:rFonts w:ascii="Arial" w:hAnsi="Arial" w:cs="Arial"/>
          <w:sz w:val="22"/>
          <w:szCs w:val="22"/>
        </w:rPr>
        <w:t xml:space="preserve"> odst. 4.1</w:t>
      </w:r>
      <w:r>
        <w:rPr>
          <w:rFonts w:ascii="Arial" w:hAnsi="Arial" w:cs="Arial"/>
          <w:sz w:val="22"/>
          <w:szCs w:val="22"/>
        </w:rPr>
        <w:t>4.</w:t>
      </w:r>
      <w:r w:rsidRPr="001A1DAE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AA327C" w:rsidRPr="001A1DAE" w14:paraId="6BC2E1A0" w14:textId="77777777" w:rsidTr="00144D65">
        <w:tc>
          <w:tcPr>
            <w:tcW w:w="4691" w:type="dxa"/>
          </w:tcPr>
          <w:p w14:paraId="41FEA482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</w:tcPr>
          <w:p w14:paraId="60F9D73B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výše odvodu z poskytnuté dotace</w:t>
            </w:r>
          </w:p>
        </w:tc>
      </w:tr>
      <w:tr w:rsidR="00AA327C" w:rsidRPr="001A1DAE" w14:paraId="723C12A0" w14:textId="77777777" w:rsidTr="00144D65">
        <w:tc>
          <w:tcPr>
            <w:tcW w:w="4691" w:type="dxa"/>
          </w:tcPr>
          <w:p w14:paraId="2E56A63F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21–30 kalendářních dnů vč.</w:t>
            </w:r>
          </w:p>
        </w:tc>
        <w:tc>
          <w:tcPr>
            <w:tcW w:w="4691" w:type="dxa"/>
          </w:tcPr>
          <w:p w14:paraId="4D3480C0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5 %</w:t>
            </w:r>
          </w:p>
        </w:tc>
      </w:tr>
      <w:tr w:rsidR="00AA327C" w:rsidRPr="001A1DAE" w14:paraId="6CED7E57" w14:textId="77777777" w:rsidTr="00144D65">
        <w:tc>
          <w:tcPr>
            <w:tcW w:w="4691" w:type="dxa"/>
          </w:tcPr>
          <w:p w14:paraId="05A36BE8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31–40 kalendářních dnů vč.</w:t>
            </w:r>
          </w:p>
        </w:tc>
        <w:tc>
          <w:tcPr>
            <w:tcW w:w="4691" w:type="dxa"/>
          </w:tcPr>
          <w:p w14:paraId="696F466C" w14:textId="77777777" w:rsidR="00AA327C" w:rsidRPr="001A1DAE" w:rsidRDefault="00AA327C" w:rsidP="00144D65">
            <w:pPr>
              <w:jc w:val="both"/>
              <w:rPr>
                <w:rFonts w:ascii="Arial" w:hAnsi="Arial" w:cs="Arial"/>
              </w:rPr>
            </w:pPr>
            <w:r w:rsidRPr="001A1DAE">
              <w:rPr>
                <w:rFonts w:ascii="Arial" w:hAnsi="Arial" w:cs="Arial"/>
              </w:rPr>
              <w:t>10 %</w:t>
            </w:r>
          </w:p>
        </w:tc>
      </w:tr>
    </w:tbl>
    <w:p w14:paraId="6E14B907" w14:textId="77777777" w:rsidR="00AA327C" w:rsidRPr="001A1DAE" w:rsidRDefault="00AA327C" w:rsidP="00AA327C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1A1DAE">
        <w:rPr>
          <w:rFonts w:ascii="Arial" w:hAnsi="Arial" w:cs="Arial"/>
          <w:b/>
          <w:sz w:val="22"/>
          <w:szCs w:val="22"/>
        </w:rPr>
        <w:t>úplné</w:t>
      </w:r>
      <w:r w:rsidRPr="001A1DAE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>
        <w:rPr>
          <w:rFonts w:ascii="Arial" w:hAnsi="Arial" w:cs="Arial"/>
          <w:sz w:val="22"/>
          <w:szCs w:val="22"/>
        </w:rPr>
        <w:t>.</w:t>
      </w:r>
      <w:r w:rsidRPr="001A1DAE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A327C" w:rsidRPr="001A1DAE" w14:paraId="3E360EC4" w14:textId="77777777" w:rsidTr="00144D65">
        <w:tc>
          <w:tcPr>
            <w:tcW w:w="4747" w:type="dxa"/>
          </w:tcPr>
          <w:p w14:paraId="2C0B3143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446DAA96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výše odvodu z poskytnuté dotace</w:t>
            </w:r>
          </w:p>
        </w:tc>
      </w:tr>
      <w:tr w:rsidR="00AA327C" w:rsidRPr="001A1DAE" w14:paraId="65A16EC7" w14:textId="77777777" w:rsidTr="00144D65">
        <w:tc>
          <w:tcPr>
            <w:tcW w:w="4747" w:type="dxa"/>
          </w:tcPr>
          <w:p w14:paraId="3AE1399D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21–30 kalendářních dnů vč.</w:t>
            </w:r>
          </w:p>
        </w:tc>
        <w:tc>
          <w:tcPr>
            <w:tcW w:w="4747" w:type="dxa"/>
          </w:tcPr>
          <w:p w14:paraId="6D6C0FA7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3 %</w:t>
            </w:r>
          </w:p>
        </w:tc>
      </w:tr>
      <w:tr w:rsidR="00AA327C" w:rsidRPr="001A1DAE" w14:paraId="667FE0FC" w14:textId="77777777" w:rsidTr="00144D65">
        <w:tc>
          <w:tcPr>
            <w:tcW w:w="4747" w:type="dxa"/>
          </w:tcPr>
          <w:p w14:paraId="7D23C4E5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31–40 kalendářních dnů vč.</w:t>
            </w:r>
          </w:p>
        </w:tc>
        <w:tc>
          <w:tcPr>
            <w:tcW w:w="4747" w:type="dxa"/>
          </w:tcPr>
          <w:p w14:paraId="60458804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5 %</w:t>
            </w:r>
          </w:p>
        </w:tc>
      </w:tr>
    </w:tbl>
    <w:p w14:paraId="52E71417" w14:textId="77777777" w:rsidR="00AA327C" w:rsidRPr="001A1DAE" w:rsidRDefault="00AA327C" w:rsidP="00AA327C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1A1DAE">
        <w:rPr>
          <w:rFonts w:ascii="Arial" w:hAnsi="Arial" w:cs="Arial"/>
          <w:b/>
          <w:sz w:val="22"/>
          <w:szCs w:val="22"/>
        </w:rPr>
        <w:t>v termínu</w:t>
      </w:r>
      <w:r w:rsidRPr="001A1DAE">
        <w:rPr>
          <w:rFonts w:ascii="Arial" w:hAnsi="Arial" w:cs="Arial"/>
          <w:sz w:val="22"/>
          <w:szCs w:val="22"/>
        </w:rPr>
        <w:t xml:space="preserve"> vyúčtování dle čl. III. odst. 2</w:t>
      </w:r>
      <w:r>
        <w:rPr>
          <w:rFonts w:ascii="Arial" w:hAnsi="Arial" w:cs="Arial"/>
          <w:sz w:val="22"/>
          <w:szCs w:val="22"/>
        </w:rPr>
        <w:t>.</w:t>
      </w:r>
      <w:r w:rsidRPr="001A1DAE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A327C" w:rsidRPr="001A1DAE" w14:paraId="4E9173F9" w14:textId="77777777" w:rsidTr="00144D65">
        <w:tc>
          <w:tcPr>
            <w:tcW w:w="4747" w:type="dxa"/>
          </w:tcPr>
          <w:p w14:paraId="05FA8974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7777EB79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výše odvodu z poskytnuté dotace</w:t>
            </w:r>
          </w:p>
        </w:tc>
      </w:tr>
      <w:tr w:rsidR="00AA327C" w:rsidRPr="001A1DAE" w14:paraId="16870F9C" w14:textId="77777777" w:rsidTr="00144D65">
        <w:tc>
          <w:tcPr>
            <w:tcW w:w="4747" w:type="dxa"/>
          </w:tcPr>
          <w:p w14:paraId="3D1AEA67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21–30 kalendářních dnů vč.</w:t>
            </w:r>
          </w:p>
        </w:tc>
        <w:tc>
          <w:tcPr>
            <w:tcW w:w="4747" w:type="dxa"/>
          </w:tcPr>
          <w:p w14:paraId="4C9F4E2E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5 %</w:t>
            </w:r>
          </w:p>
        </w:tc>
      </w:tr>
      <w:tr w:rsidR="00AA327C" w:rsidRPr="001A1DAE" w14:paraId="01691CFA" w14:textId="77777777" w:rsidTr="00144D65">
        <w:tc>
          <w:tcPr>
            <w:tcW w:w="4747" w:type="dxa"/>
          </w:tcPr>
          <w:p w14:paraId="566E7F6E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31–40 kalendářních dnů vč.</w:t>
            </w:r>
          </w:p>
        </w:tc>
        <w:tc>
          <w:tcPr>
            <w:tcW w:w="4747" w:type="dxa"/>
          </w:tcPr>
          <w:p w14:paraId="681B7BCC" w14:textId="77777777" w:rsidR="00AA327C" w:rsidRPr="001A1DAE" w:rsidRDefault="00AA327C" w:rsidP="00144D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AE">
              <w:rPr>
                <w:rFonts w:ascii="Arial" w:hAnsi="Arial" w:cs="Arial"/>
              </w:rPr>
              <w:t>10 %</w:t>
            </w:r>
          </w:p>
        </w:tc>
      </w:tr>
    </w:tbl>
    <w:p w14:paraId="38894A75" w14:textId="77777777" w:rsidR="00AA327C" w:rsidRPr="001A1DAE" w:rsidRDefault="00AA327C" w:rsidP="00AA327C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</w:t>
      </w:r>
      <w:r>
        <w:rPr>
          <w:rFonts w:ascii="Arial" w:hAnsi="Arial" w:cs="Arial"/>
          <w:sz w:val="22"/>
          <w:szCs w:val="22"/>
        </w:rPr>
        <w:t>.</w:t>
      </w:r>
      <w:r w:rsidRPr="001A1DAE">
        <w:rPr>
          <w:rFonts w:ascii="Arial" w:hAnsi="Arial" w:cs="Arial"/>
          <w:sz w:val="22"/>
          <w:szCs w:val="22"/>
        </w:rPr>
        <w:t xml:space="preserve"> odst. 5</w:t>
      </w:r>
      <w:r>
        <w:rPr>
          <w:rFonts w:ascii="Arial" w:hAnsi="Arial" w:cs="Arial"/>
          <w:sz w:val="22"/>
          <w:szCs w:val="22"/>
        </w:rPr>
        <w:t>.</w:t>
      </w:r>
      <w:r w:rsidRPr="001A1DAE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05FA47B8" w14:textId="77777777" w:rsidR="00AA327C" w:rsidRPr="00587A75" w:rsidRDefault="00AA327C" w:rsidP="00AA327C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6D9E1B48" w14:textId="77777777" w:rsidR="00AA327C" w:rsidRPr="008E426E" w:rsidRDefault="00AA327C" w:rsidP="00AA327C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Za nedodržení podmínek povinné propagace uvedených v čl. VI. odst. 1. bude stanoven odvod ve výši 5 % z poskytnuté dotace.</w:t>
      </w:r>
    </w:p>
    <w:p w14:paraId="65899742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1A1DAE">
        <w:rPr>
          <w:rFonts w:ascii="Arial" w:hAnsi="Arial" w:cs="Arial"/>
          <w:snapToGrid w:val="0"/>
          <w:sz w:val="22"/>
          <w:szCs w:val="22"/>
        </w:rPr>
        <w:t>způsoby.</w:t>
      </w:r>
    </w:p>
    <w:p w14:paraId="6A7CB3CA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4D0A2D0A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1A1DAE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1A6EBE9D" w14:textId="77777777" w:rsidR="00AA327C" w:rsidRPr="001A1DAE" w:rsidRDefault="00AA327C" w:rsidP="00AA327C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1A1DAE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259348AE" w14:textId="77777777" w:rsidR="00AA327C" w:rsidRPr="001A1DAE" w:rsidRDefault="00AA327C" w:rsidP="00AA327C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1A1DAE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1E58052B" w14:textId="77777777" w:rsidR="00AA327C" w:rsidRPr="001A1DAE" w:rsidRDefault="00AA327C" w:rsidP="00AA327C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1A1DAE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31CB00D0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1A1DAE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této smlouvy, a to do 30 dnů po uplynutí výpovědní lhůty.</w:t>
      </w:r>
    </w:p>
    <w:p w14:paraId="53EAFC42" w14:textId="77777777" w:rsidR="00AA327C" w:rsidRPr="001A1DAE" w:rsidRDefault="00AA327C" w:rsidP="00AA327C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</w:t>
      </w:r>
      <w:r w:rsidRPr="001A1DAE">
        <w:rPr>
          <w:rFonts w:ascii="Arial" w:hAnsi="Arial" w:cs="Arial"/>
          <w:snapToGrid w:val="0"/>
          <w:sz w:val="22"/>
          <w:szCs w:val="22"/>
        </w:rPr>
        <w:lastRenderedPageBreak/>
        <w:t xml:space="preserve">dotace a vrátit na účet poskytovatele nevyčerpanou část dotace, a to buď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1A1DAE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1A1DAE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78DC61DD" w14:textId="77777777" w:rsidR="00AA327C" w:rsidRPr="001A1DAE" w:rsidRDefault="00AA327C" w:rsidP="00AA327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39A35F16" w14:textId="77777777" w:rsidR="00AA327C" w:rsidRPr="001A1DAE" w:rsidRDefault="00AA327C" w:rsidP="00AA327C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4B8395F3" w14:textId="77777777" w:rsidR="00AA327C" w:rsidRPr="008E426E" w:rsidRDefault="00AA327C" w:rsidP="00AA327C">
      <w:pPr>
        <w:pStyle w:val="Odstavecseseznamem"/>
        <w:numPr>
          <w:ilvl w:val="3"/>
          <w:numId w:val="15"/>
        </w:numPr>
        <w:ind w:left="0" w:firstLine="0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Příjemce je povinen při realizaci Projektu dle ustanovení čl. I. odst. 2. této smlouvy informovat veřejnost o podpoře ze strany SMJN důstojným a viditelným způsobem:</w:t>
      </w:r>
    </w:p>
    <w:p w14:paraId="121C65A5" w14:textId="77777777" w:rsidR="00AA327C" w:rsidRPr="008E426E" w:rsidRDefault="00AA327C" w:rsidP="00AA327C">
      <w:pPr>
        <w:pStyle w:val="Odstavecseseznamem"/>
        <w:numPr>
          <w:ilvl w:val="0"/>
          <w:numId w:val="21"/>
        </w:numPr>
        <w:ind w:left="284" w:firstLine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Příjemce dotace má povinnost na všech formách prezentace akce/cyklu akcí uvádět logo SMJN.</w:t>
      </w:r>
    </w:p>
    <w:p w14:paraId="667420AA" w14:textId="77777777" w:rsidR="00AA327C" w:rsidRPr="008E426E" w:rsidRDefault="00AA327C" w:rsidP="00AA327C">
      <w:pPr>
        <w:pStyle w:val="Odstavecseseznamem"/>
        <w:numPr>
          <w:ilvl w:val="0"/>
          <w:numId w:val="21"/>
        </w:numPr>
        <w:ind w:left="284" w:firstLine="0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V případě, že k pořádání akce/cyklu akcí, došlo před vyrozuměním příjemce o poskytnutí dotace na email uvedený v článku VI. </w:t>
      </w:r>
      <w:r>
        <w:rPr>
          <w:rFonts w:ascii="Arial" w:hAnsi="Arial" w:cs="Arial"/>
          <w:b/>
          <w:bCs/>
          <w:snapToGrid w:val="0"/>
          <w:sz w:val="22"/>
          <w:szCs w:val="22"/>
        </w:rPr>
        <w:t>o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dst</w:t>
      </w:r>
      <w:r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 8</w:t>
      </w:r>
      <w:r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1015FCAB" w14:textId="77777777" w:rsidR="00AA327C" w:rsidRPr="008E426E" w:rsidRDefault="00AA327C" w:rsidP="00AA327C">
      <w:pPr>
        <w:pStyle w:val="Odstavecseseznamem"/>
        <w:numPr>
          <w:ilvl w:val="0"/>
          <w:numId w:val="20"/>
        </w:numPr>
        <w:ind w:left="754" w:hanging="3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umístit logotyp SMJN na webu příjemce dotace na stejné pozici s ostatními partnery; </w:t>
      </w:r>
      <w:r w:rsidRPr="008E426E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- je-li provozován</w:t>
      </w: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;</w:t>
      </w:r>
    </w:p>
    <w:p w14:paraId="09443B1B" w14:textId="79BF2658" w:rsidR="000C4E1D" w:rsidRPr="000C4E1D" w:rsidRDefault="00AA327C" w:rsidP="000C4E1D">
      <w:pPr>
        <w:pStyle w:val="Odstavecseseznamem"/>
        <w:numPr>
          <w:ilvl w:val="0"/>
          <w:numId w:val="20"/>
        </w:numPr>
        <w:ind w:left="754" w:hanging="3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 xml:space="preserve">zveřejnění příspěvku s poděkováním na Facebooku, Instagramu, nebo jiných sociálních sítích příjemce dotace (logotyp SMJN + informace o tom, že projekt byl podpořen z rozpočtu SMJN) – </w:t>
      </w:r>
      <w:r w:rsidRPr="008E426E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pouze v případě, že příjemce má zřízeny profily na těchto sociálních sítích.</w:t>
      </w:r>
    </w:p>
    <w:p w14:paraId="0757D1C7" w14:textId="77777777" w:rsidR="00AA327C" w:rsidRPr="008E426E" w:rsidRDefault="00AA327C" w:rsidP="00AA327C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8E426E">
        <w:rPr>
          <w:rFonts w:ascii="Arial" w:hAnsi="Arial" w:cs="Arial"/>
          <w:b/>
          <w:bCs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6801C27C" w14:textId="4CA9FE0F" w:rsidR="000C4E1D" w:rsidRPr="006E704E" w:rsidRDefault="000C4E1D" w:rsidP="00AA327C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213751328"/>
      <w:r w:rsidRPr="006E704E">
        <w:rPr>
          <w:rFonts w:ascii="Arial" w:hAnsi="Arial" w:cs="Arial"/>
          <w:snapToGrid w:val="0"/>
          <w:sz w:val="22"/>
          <w:szCs w:val="22"/>
        </w:rPr>
        <w:t xml:space="preserve">Příjemce </w:t>
      </w:r>
      <w:r w:rsidR="00721964" w:rsidRPr="006E704E">
        <w:rPr>
          <w:rFonts w:ascii="Arial" w:hAnsi="Arial" w:cs="Arial"/>
          <w:snapToGrid w:val="0"/>
          <w:sz w:val="22"/>
          <w:szCs w:val="22"/>
        </w:rPr>
        <w:t xml:space="preserve">dotace </w:t>
      </w:r>
      <w:r w:rsidRPr="006E704E">
        <w:rPr>
          <w:rFonts w:ascii="Arial" w:hAnsi="Arial" w:cs="Arial"/>
          <w:snapToGrid w:val="0"/>
          <w:sz w:val="22"/>
          <w:szCs w:val="22"/>
        </w:rPr>
        <w:t>je zároveň povinen při jakékoliv propagaci akce nebo cyklu akcí uvádět, kdo je pořadatelem akce. Tato povinnost se vztahuje na všechny formy výše uvedené propagace.</w:t>
      </w:r>
      <w:r w:rsidRPr="006E704E">
        <w:t xml:space="preserve"> </w:t>
      </w:r>
      <w:r w:rsidRPr="006E704E">
        <w:rPr>
          <w:rFonts w:ascii="Arial" w:hAnsi="Arial" w:cs="Arial"/>
          <w:snapToGrid w:val="0"/>
          <w:sz w:val="22"/>
          <w:szCs w:val="22"/>
        </w:rPr>
        <w:t>Doporučená textace pro propagační materiály:</w:t>
      </w:r>
      <w:r w:rsidRPr="006E704E">
        <w:t xml:space="preserve"> </w:t>
      </w:r>
      <w:r w:rsidRPr="006E704E">
        <w:rPr>
          <w:rFonts w:ascii="Arial" w:hAnsi="Arial" w:cs="Arial"/>
          <w:snapToGrid w:val="0"/>
          <w:sz w:val="22"/>
          <w:szCs w:val="22"/>
        </w:rPr>
        <w:t xml:space="preserve">„Akci pořádá [název organizace / jméno a příjmení podnikající fyzické osoby] za finanční podpory statutárního města Jablonec nad Nisou.“  </w:t>
      </w:r>
    </w:p>
    <w:bookmarkEnd w:id="0"/>
    <w:p w14:paraId="4F176E1F" w14:textId="352F05E4" w:rsidR="00AA327C" w:rsidRPr="001A1DAE" w:rsidRDefault="00AA327C" w:rsidP="00AA327C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1A1DAE">
        <w:rPr>
          <w:rFonts w:ascii="Arial" w:hAnsi="Arial" w:cs="Arial"/>
          <w:sz w:val="22"/>
          <w:szCs w:val="22"/>
        </w:rPr>
        <w:t xml:space="preserve">Logo SMJN je ke stažení na: </w:t>
      </w:r>
      <w:hyperlink r:id="rId8" w:history="1">
        <w:r w:rsidRPr="001A1DAE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https://www.mestojablonec.cz/cs/mesto/symboly-mesta/logo-mesta.html.</w:t>
        </w:r>
      </w:hyperlink>
    </w:p>
    <w:p w14:paraId="50E88941" w14:textId="77777777" w:rsidR="00AA327C" w:rsidRPr="001A1DAE" w:rsidRDefault="00AA327C" w:rsidP="00AA327C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03E67555" w14:textId="77777777" w:rsidR="00AA327C" w:rsidRPr="001A1DAE" w:rsidRDefault="00AA327C" w:rsidP="00AA327C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3B2FF4E0" w14:textId="77777777" w:rsidR="00AA327C" w:rsidRPr="001A1DAE" w:rsidRDefault="00AA327C" w:rsidP="00AA327C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39D21BA7" w14:textId="77777777" w:rsidR="00AA327C" w:rsidRPr="001A1DAE" w:rsidRDefault="00AA327C" w:rsidP="00AA327C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4C7BAD2F" w14:textId="77777777" w:rsidR="00AA327C" w:rsidRPr="00A53D79" w:rsidRDefault="00AA327C" w:rsidP="00AA327C">
      <w:pPr>
        <w:pStyle w:val="Odstavecseseznamem"/>
        <w:numPr>
          <w:ilvl w:val="3"/>
          <w:numId w:val="15"/>
        </w:numPr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1A1DAE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3FAFC3E8" w14:textId="3BB95A73" w:rsidR="00AA327C" w:rsidRPr="00A53D79" w:rsidRDefault="00AA327C" w:rsidP="00AA327C">
      <w:pPr>
        <w:pStyle w:val="Odstavecseseznamem"/>
        <w:numPr>
          <w:ilvl w:val="3"/>
          <w:numId w:val="15"/>
        </w:numPr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8E426E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BA4962" w:rsidRPr="000F42C9">
          <w:rPr>
            <w:rStyle w:val="Hypertextovodkaz"/>
            <w:rFonts w:ascii="Arial" w:hAnsi="Arial" w:cs="Arial"/>
            <w:snapToGrid w:val="0"/>
            <w:sz w:val="22"/>
            <w:szCs w:val="24"/>
          </w:rPr>
          <w:t>nisankajablonec@gmail.com</w:t>
        </w:r>
      </w:hyperlink>
      <w:r w:rsidRPr="008E426E">
        <w:rPr>
          <w:rFonts w:ascii="Arial" w:hAnsi="Arial" w:cs="Arial"/>
          <w:snapToGrid w:val="0"/>
          <w:sz w:val="22"/>
          <w:szCs w:val="22"/>
        </w:rPr>
        <w:t>.</w:t>
      </w:r>
    </w:p>
    <w:p w14:paraId="54FB8155" w14:textId="77777777" w:rsidR="00AA327C" w:rsidRDefault="00AA327C" w:rsidP="00AA327C">
      <w:pPr>
        <w:pStyle w:val="Odstavecseseznamem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FD36C53" w14:textId="77777777" w:rsidR="00250C08" w:rsidRPr="00053195" w:rsidRDefault="00250C08" w:rsidP="00250C08">
      <w:pPr>
        <w:spacing w:before="160" w:after="160"/>
        <w:ind w:left="36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VII. </w:t>
      </w:r>
      <w:r w:rsidRPr="0005319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Závěrečná ustanovení</w:t>
      </w:r>
    </w:p>
    <w:p w14:paraId="4022A752" w14:textId="77777777" w:rsidR="008970E4" w:rsidRPr="003F15FA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F15FA">
        <w:rPr>
          <w:rFonts w:ascii="Arial" w:hAnsi="Arial" w:cs="Arial"/>
          <w:snapToGrid w:val="0"/>
          <w:sz w:val="22"/>
          <w:szCs w:val="22"/>
        </w:rPr>
        <w:t>Tato smlouva je podepsaná vlastnoručně nebo elektronicky. Platnou se stává dnem podpisu oběma smluvními stranami. Je-li smlouva podepsaná vlastnoručně, poskytovatel dotace obdrží 3 vyhotovení a příjemce dotace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0C79BB00" w14:textId="77777777" w:rsidR="008970E4" w:rsidRPr="007F4331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jc w:val="both"/>
        <w:rPr>
          <w:rFonts w:ascii="Arial" w:hAnsi="Arial" w:cs="Arial"/>
          <w:b/>
          <w:bCs/>
          <w:i/>
          <w:iCs/>
          <w:snapToGrid w:val="0"/>
          <w:sz w:val="22"/>
          <w:szCs w:val="22"/>
          <w:u w:val="single"/>
        </w:rPr>
      </w:pPr>
      <w:r w:rsidRPr="007F4331">
        <w:rPr>
          <w:rFonts w:ascii="Arial" w:hAnsi="Arial" w:cs="Arial"/>
          <w:snapToGrid w:val="0"/>
          <w:sz w:val="22"/>
          <w:szCs w:val="22"/>
        </w:rPr>
        <w:lastRenderedPageBreak/>
        <w:t>Právní vztahy plynoucí z této smlouvy se výhradně řídí českým právním řádem, zejména pak zák. č. 250/2000 Sb., o rozpočtových pravidlech územních rozpočtů, v platném znění.</w:t>
      </w:r>
      <w:r w:rsidRPr="007F4331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5F579A">
        <w:rPr>
          <w:rFonts w:ascii="Arial" w:hAnsi="Arial" w:cs="Arial"/>
          <w:snapToGrid w:val="0"/>
          <w:sz w:val="22"/>
          <w:szCs w:val="22"/>
        </w:rPr>
        <w:t>Tato smlouva se stává účinnou dnem jejího zveřejnění v souladu se zák. č. 340/2015 Sb., zákon o registru smluv, na oficiálních webových stránkách Portálu veřejné správy na síti internet (</w:t>
      </w:r>
      <w:hyperlink r:id="rId10" w:history="1">
        <w:r w:rsidRPr="005F579A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5F579A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3507AA0B" w14:textId="7D815621" w:rsidR="008970E4" w:rsidRPr="003F15FA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F15FA">
        <w:rPr>
          <w:rFonts w:ascii="Arial" w:hAnsi="Arial" w:cs="Arial"/>
          <w:snapToGrid w:val="0"/>
          <w:sz w:val="22"/>
          <w:szCs w:val="22"/>
        </w:rPr>
        <w:t>Tato smlouva byla schválena Radou města Jablonec nad Nisou usnesením č. RM/</w:t>
      </w:r>
      <w:r w:rsidR="00BA4962">
        <w:rPr>
          <w:rFonts w:ascii="Arial" w:hAnsi="Arial" w:cs="Arial"/>
          <w:snapToGrid w:val="0"/>
          <w:sz w:val="22"/>
          <w:szCs w:val="22"/>
        </w:rPr>
        <w:t>252</w:t>
      </w:r>
      <w:r w:rsidRPr="003F15FA">
        <w:rPr>
          <w:rFonts w:ascii="Arial" w:hAnsi="Arial" w:cs="Arial"/>
          <w:snapToGrid w:val="0"/>
          <w:sz w:val="22"/>
          <w:szCs w:val="22"/>
        </w:rPr>
        <w:t>/202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3F15FA">
        <w:rPr>
          <w:rFonts w:ascii="Arial" w:hAnsi="Arial" w:cs="Arial"/>
          <w:snapToGrid w:val="0"/>
          <w:sz w:val="22"/>
          <w:szCs w:val="22"/>
        </w:rPr>
        <w:t>/</w:t>
      </w:r>
      <w:r w:rsidR="00BA4962">
        <w:rPr>
          <w:rFonts w:ascii="Arial" w:hAnsi="Arial" w:cs="Arial"/>
          <w:snapToGrid w:val="0"/>
          <w:sz w:val="22"/>
          <w:szCs w:val="22"/>
        </w:rPr>
        <w:t>B/3</w:t>
      </w:r>
      <w:r w:rsidRPr="003F15FA">
        <w:rPr>
          <w:rFonts w:ascii="Arial" w:hAnsi="Arial" w:cs="Arial"/>
          <w:snapToGrid w:val="0"/>
          <w:sz w:val="22"/>
          <w:szCs w:val="22"/>
        </w:rPr>
        <w:t xml:space="preserve"> ze dne </w:t>
      </w:r>
      <w:r>
        <w:rPr>
          <w:rFonts w:ascii="Arial" w:hAnsi="Arial" w:cs="Arial"/>
          <w:snapToGrid w:val="0"/>
          <w:sz w:val="22"/>
          <w:szCs w:val="22"/>
        </w:rPr>
        <w:t>21</w:t>
      </w:r>
      <w:r w:rsidRPr="003F15FA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3F15FA">
        <w:rPr>
          <w:rFonts w:ascii="Arial" w:hAnsi="Arial" w:cs="Arial"/>
          <w:snapToGrid w:val="0"/>
          <w:sz w:val="22"/>
          <w:szCs w:val="22"/>
        </w:rPr>
        <w:t>. 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3F15FA">
        <w:rPr>
          <w:rFonts w:ascii="Arial" w:hAnsi="Arial" w:cs="Arial"/>
          <w:snapToGrid w:val="0"/>
          <w:sz w:val="22"/>
          <w:szCs w:val="22"/>
        </w:rPr>
        <w:t>.</w:t>
      </w:r>
    </w:p>
    <w:p w14:paraId="021346EF" w14:textId="77777777" w:rsidR="008970E4" w:rsidRPr="004F1550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Jakékoliv změny této smlouvy lze provádět pouze formou písemných postupně číslovaných dodatků na základě dohody obou smluvních stran.</w:t>
      </w:r>
    </w:p>
    <w:p w14:paraId="3894F79F" w14:textId="77777777" w:rsidR="008970E4" w:rsidRPr="004F1550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45EC5C77" w14:textId="77777777" w:rsidR="008970E4" w:rsidRPr="004F1550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prohlašuje, že veškeré údaje a informace obsažené v Žádosti, této smlouvě, jakož i v souvisejících přílohách a podkladech jsou správné a pravdivé a v souladu se Zásadami, Dotačním programem a příslušnými předpisy.</w:t>
      </w:r>
    </w:p>
    <w:p w14:paraId="17A41993" w14:textId="77777777" w:rsidR="008970E4" w:rsidRPr="004F1550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bere na vědomí, že v případě zjištění závažných nedostatků při realizaci Projektu je poskytovatel oprávněn vyloučit v následujících 5 letech jeho žádosti o poskytnutí dotací, finančních darů a návratných finančních výpomocí z prostředků poskytovatele.</w:t>
      </w:r>
    </w:p>
    <w:p w14:paraId="2937F2C6" w14:textId="0D75D5CD" w:rsidR="00250C08" w:rsidRPr="0085116C" w:rsidRDefault="008970E4" w:rsidP="008970E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Obě smluvní strany si řádně přečetly obsah této smlouvy a souhlasí bez výhrad s jejím obsahem a v této smlouvě uvedenými podmínkami.</w:t>
      </w:r>
    </w:p>
    <w:p w14:paraId="744E703F" w14:textId="77777777" w:rsidR="00250C08" w:rsidRDefault="00250C08" w:rsidP="00AA327C">
      <w:pPr>
        <w:pStyle w:val="Odstavecseseznamem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644"/>
        <w:gridCol w:w="397"/>
        <w:gridCol w:w="4342"/>
      </w:tblGrid>
      <w:tr w:rsidR="00AA327C" w:rsidRPr="001A1DAE" w14:paraId="2401E387" w14:textId="77777777" w:rsidTr="00144D65">
        <w:trPr>
          <w:trHeight w:val="423"/>
        </w:trPr>
        <w:tc>
          <w:tcPr>
            <w:tcW w:w="4644" w:type="dxa"/>
            <w:vAlign w:val="center"/>
          </w:tcPr>
          <w:p w14:paraId="2B7D3B97" w14:textId="24B22A78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CB3E73">
              <w:rPr>
                <w:rFonts w:ascii="Arial" w:hAnsi="Arial" w:cs="Arial"/>
                <w:snapToGrid w:val="0"/>
                <w:sz w:val="22"/>
                <w:szCs w:val="22"/>
              </w:rPr>
              <w:t>16. 6. 2026</w:t>
            </w:r>
          </w:p>
        </w:tc>
        <w:tc>
          <w:tcPr>
            <w:tcW w:w="397" w:type="dxa"/>
            <w:vAlign w:val="center"/>
          </w:tcPr>
          <w:p w14:paraId="7E63DEE7" w14:textId="77777777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342" w:type="dxa"/>
            <w:vAlign w:val="center"/>
          </w:tcPr>
          <w:p w14:paraId="586B35F5" w14:textId="27712BEB" w:rsidR="00AA327C" w:rsidRPr="001A1DAE" w:rsidRDefault="00AA327C" w:rsidP="00144D65">
            <w:pPr>
              <w:widowControl w:val="0"/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Jablonci nad Nisou 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CB3E73">
              <w:rPr>
                <w:rFonts w:ascii="Arial" w:hAnsi="Arial" w:cs="Arial"/>
                <w:snapToGrid w:val="0"/>
                <w:sz w:val="22"/>
                <w:szCs w:val="22"/>
              </w:rPr>
              <w:t>9. 6. 2026</w:t>
            </w:r>
          </w:p>
        </w:tc>
      </w:tr>
      <w:tr w:rsidR="00AA327C" w:rsidRPr="001A1DAE" w14:paraId="4A257AFE" w14:textId="77777777" w:rsidTr="00144D65">
        <w:trPr>
          <w:trHeight w:val="423"/>
        </w:trPr>
        <w:tc>
          <w:tcPr>
            <w:tcW w:w="4644" w:type="dxa"/>
            <w:vAlign w:val="center"/>
          </w:tcPr>
          <w:p w14:paraId="77827E9E" w14:textId="77777777" w:rsidR="00AA327C" w:rsidRDefault="00AA327C" w:rsidP="00144D65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44065AA" w14:textId="77777777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397" w:type="dxa"/>
            <w:vAlign w:val="center"/>
          </w:tcPr>
          <w:p w14:paraId="158904C0" w14:textId="77777777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342" w:type="dxa"/>
            <w:vAlign w:val="center"/>
          </w:tcPr>
          <w:p w14:paraId="4487F2FF" w14:textId="77777777" w:rsidR="00AA327C" w:rsidRDefault="00AA327C" w:rsidP="00144D65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2E81F1C9" w14:textId="77777777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AA327C" w:rsidRPr="001A1DAE" w14:paraId="09EB4F51" w14:textId="77777777" w:rsidTr="00144D65">
        <w:trPr>
          <w:trHeight w:val="1541"/>
        </w:trPr>
        <w:tc>
          <w:tcPr>
            <w:tcW w:w="4644" w:type="dxa"/>
            <w:vAlign w:val="center"/>
          </w:tcPr>
          <w:p w14:paraId="1AEC4D59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6601876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5F974B7F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A381EE1" w14:textId="08FBC84E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</w:t>
            </w:r>
            <w:r w:rsidR="00C52A01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  <w:p w14:paraId="66056C1C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79116E39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</w:tc>
        <w:tc>
          <w:tcPr>
            <w:tcW w:w="397" w:type="dxa"/>
            <w:vAlign w:val="center"/>
          </w:tcPr>
          <w:p w14:paraId="2CBE6ACF" w14:textId="77777777" w:rsidR="00AA327C" w:rsidRPr="001A1DAE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342" w:type="dxa"/>
            <w:vAlign w:val="center"/>
          </w:tcPr>
          <w:p w14:paraId="20144278" w14:textId="77777777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446C312" w14:textId="77777777" w:rsidR="00AA327C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szCs w:val="22"/>
              </w:rPr>
            </w:pPr>
          </w:p>
          <w:p w14:paraId="69B65C55" w14:textId="35333E7D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CF0EF7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</w:p>
          <w:p w14:paraId="14011E12" w14:textId="4A61FE60" w:rsidR="00AA327C" w:rsidRPr="001A1DAE" w:rsidRDefault="00CF0EF7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Jana Hamplová, předsedkyně spolku</w:t>
            </w:r>
          </w:p>
        </w:tc>
      </w:tr>
      <w:tr w:rsidR="00AA327C" w14:paraId="130E8FB1" w14:textId="77777777" w:rsidTr="00144D65">
        <w:trPr>
          <w:trHeight w:val="1541"/>
        </w:trPr>
        <w:tc>
          <w:tcPr>
            <w:tcW w:w="4644" w:type="dxa"/>
            <w:vAlign w:val="center"/>
          </w:tcPr>
          <w:p w14:paraId="234E8170" w14:textId="77777777" w:rsidR="00AA327C" w:rsidRPr="001A1DAE" w:rsidRDefault="00AA327C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5C86335" w14:textId="77777777" w:rsidR="00AA327C" w:rsidRPr="001A1DAE" w:rsidRDefault="00AA327C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392A09A" w14:textId="77777777" w:rsidR="00AA327C" w:rsidRDefault="00AA327C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27FE32" w14:textId="77777777" w:rsidR="00AA327C" w:rsidRDefault="00AA327C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0D544E" w14:textId="77777777" w:rsidR="00BA4962" w:rsidRPr="001A1DAE" w:rsidRDefault="00BA4962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84FC497" w14:textId="3E400D9C" w:rsidR="00AA327C" w:rsidRPr="001A1DAE" w:rsidRDefault="00AA327C" w:rsidP="00144D65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………</w:t>
            </w:r>
            <w:r w:rsidR="00C52A01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  <w:p w14:paraId="2735BB96" w14:textId="77777777" w:rsidR="00AA327C" w:rsidRPr="001A1DAE" w:rsidRDefault="00AA327C" w:rsidP="00144D65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 </w:t>
            </w:r>
          </w:p>
          <w:p w14:paraId="536A1E2A" w14:textId="77777777" w:rsidR="00AA327C" w:rsidRDefault="00AA327C" w:rsidP="00144D65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1A1DAE"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</w:tc>
        <w:tc>
          <w:tcPr>
            <w:tcW w:w="397" w:type="dxa"/>
            <w:vAlign w:val="center"/>
          </w:tcPr>
          <w:p w14:paraId="291425B3" w14:textId="77777777" w:rsidR="00AA327C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342" w:type="dxa"/>
            <w:vAlign w:val="center"/>
          </w:tcPr>
          <w:p w14:paraId="04F701D9" w14:textId="77777777" w:rsidR="00AA327C" w:rsidRDefault="00AA327C" w:rsidP="00144D65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0AB3312" w14:textId="77777777" w:rsidR="00AA327C" w:rsidRPr="00585F46" w:rsidRDefault="00AA327C" w:rsidP="00AA327C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558FE485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45DCAC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C3E9929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8868160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1E24A7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710046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0243C99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D97D0B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9ED668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940B3A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7F99CC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3BE5F9" w14:textId="77777777" w:rsidR="00AA327C" w:rsidRDefault="00AA327C" w:rsidP="00AA327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F26A82" w14:textId="77777777" w:rsidR="00AA327C" w:rsidRPr="00176253" w:rsidRDefault="00AA327C" w:rsidP="00AA327C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AA327C" w:rsidRPr="00176253" w:rsidSect="00AA327C">
      <w:footerReference w:type="default" r:id="rId11"/>
      <w:pgSz w:w="11906" w:h="16838"/>
      <w:pgMar w:top="1134" w:right="1077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6C22" w14:textId="77777777" w:rsidR="00023166" w:rsidRDefault="00023166" w:rsidP="00585F46">
      <w:r>
        <w:separator/>
      </w:r>
    </w:p>
  </w:endnote>
  <w:endnote w:type="continuationSeparator" w:id="0">
    <w:p w14:paraId="0BFDFB4C" w14:textId="77777777" w:rsidR="00023166" w:rsidRDefault="00023166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323072"/>
      <w:docPartObj>
        <w:docPartGallery w:val="Page Numbers (Bottom of Page)"/>
        <w:docPartUnique/>
      </w:docPartObj>
    </w:sdtPr>
    <w:sdtEndPr/>
    <w:sdtContent>
      <w:p w14:paraId="0B97E01C" w14:textId="77777777" w:rsidR="00585F46" w:rsidRDefault="00585F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7</w:t>
        </w:r>
      </w:p>
    </w:sdtContent>
  </w:sdt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BF91" w14:textId="77777777" w:rsidR="00023166" w:rsidRDefault="00023166" w:rsidP="00585F46">
      <w:r>
        <w:separator/>
      </w:r>
    </w:p>
  </w:footnote>
  <w:footnote w:type="continuationSeparator" w:id="0">
    <w:p w14:paraId="43FEAEDD" w14:textId="77777777" w:rsidR="00023166" w:rsidRDefault="00023166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DA"/>
    <w:multiLevelType w:val="multilevel"/>
    <w:tmpl w:val="E0048366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15FA53D4"/>
    <w:multiLevelType w:val="hybridMultilevel"/>
    <w:tmpl w:val="0AFA7018"/>
    <w:lvl w:ilvl="0" w:tplc="C3622F58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2FB2"/>
    <w:multiLevelType w:val="hybridMultilevel"/>
    <w:tmpl w:val="51C2E578"/>
    <w:lvl w:ilvl="0" w:tplc="F26A53A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2A63CD"/>
    <w:multiLevelType w:val="hybridMultilevel"/>
    <w:tmpl w:val="62E6A3F2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23107FA"/>
    <w:multiLevelType w:val="hybridMultilevel"/>
    <w:tmpl w:val="E4A6661A"/>
    <w:lvl w:ilvl="0" w:tplc="382AFC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F60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4A2E3224">
      <w:start w:val="2"/>
      <w:numFmt w:val="decimal"/>
      <w:suff w:val="space"/>
      <w:lvlText w:val="%3."/>
      <w:lvlJc w:val="left"/>
      <w:pPr>
        <w:ind w:left="0" w:firstLine="0"/>
      </w:pPr>
      <w:rPr>
        <w:rFonts w:hint="default"/>
        <w:b/>
        <w:bCs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6"/>
  </w:num>
  <w:num w:numId="2" w16cid:durableId="2023120500">
    <w:abstractNumId w:val="7"/>
  </w:num>
  <w:num w:numId="3" w16cid:durableId="1111321645">
    <w:abstractNumId w:val="13"/>
  </w:num>
  <w:num w:numId="4" w16cid:durableId="1703238061">
    <w:abstractNumId w:val="17"/>
  </w:num>
  <w:num w:numId="5" w16cid:durableId="1075084504">
    <w:abstractNumId w:val="15"/>
  </w:num>
  <w:num w:numId="6" w16cid:durableId="1907837075">
    <w:abstractNumId w:val="1"/>
  </w:num>
  <w:num w:numId="7" w16cid:durableId="819543257">
    <w:abstractNumId w:val="21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9"/>
  </w:num>
  <w:num w:numId="11" w16cid:durableId="54818840">
    <w:abstractNumId w:val="10"/>
  </w:num>
  <w:num w:numId="12" w16cid:durableId="978612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6"/>
  </w:num>
  <w:num w:numId="14" w16cid:durableId="10188921">
    <w:abstractNumId w:val="4"/>
  </w:num>
  <w:num w:numId="15" w16cid:durableId="119687375">
    <w:abstractNumId w:val="11"/>
  </w:num>
  <w:num w:numId="16" w16cid:durableId="287929741">
    <w:abstractNumId w:val="19"/>
  </w:num>
  <w:num w:numId="17" w16cid:durableId="2057318054">
    <w:abstractNumId w:val="14"/>
  </w:num>
  <w:num w:numId="18" w16cid:durableId="1598899497">
    <w:abstractNumId w:val="8"/>
  </w:num>
  <w:num w:numId="19" w16cid:durableId="676150445">
    <w:abstractNumId w:val="20"/>
  </w:num>
  <w:num w:numId="20" w16cid:durableId="1846437399">
    <w:abstractNumId w:val="18"/>
  </w:num>
  <w:num w:numId="21" w16cid:durableId="1331327310">
    <w:abstractNumId w:val="5"/>
  </w:num>
  <w:num w:numId="22" w16cid:durableId="877283014">
    <w:abstractNumId w:val="3"/>
  </w:num>
  <w:num w:numId="23" w16cid:durableId="341736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791B"/>
    <w:rsid w:val="00023166"/>
    <w:rsid w:val="00032E5D"/>
    <w:rsid w:val="000404DB"/>
    <w:rsid w:val="00056DFE"/>
    <w:rsid w:val="00082708"/>
    <w:rsid w:val="00082CFD"/>
    <w:rsid w:val="000A553F"/>
    <w:rsid w:val="000B16B2"/>
    <w:rsid w:val="000C02B0"/>
    <w:rsid w:val="000C4E1D"/>
    <w:rsid w:val="000E40D1"/>
    <w:rsid w:val="00101686"/>
    <w:rsid w:val="00123085"/>
    <w:rsid w:val="001231FE"/>
    <w:rsid w:val="00135ECC"/>
    <w:rsid w:val="001413A6"/>
    <w:rsid w:val="00162060"/>
    <w:rsid w:val="00163027"/>
    <w:rsid w:val="001640B4"/>
    <w:rsid w:val="0017500D"/>
    <w:rsid w:val="001752A5"/>
    <w:rsid w:val="00184D2A"/>
    <w:rsid w:val="00187FF6"/>
    <w:rsid w:val="001A1DAE"/>
    <w:rsid w:val="001A2E0E"/>
    <w:rsid w:val="001C5D80"/>
    <w:rsid w:val="001D0D0B"/>
    <w:rsid w:val="001E27FE"/>
    <w:rsid w:val="001E2B7D"/>
    <w:rsid w:val="001E62A7"/>
    <w:rsid w:val="001F2E03"/>
    <w:rsid w:val="00201B69"/>
    <w:rsid w:val="00203A7A"/>
    <w:rsid w:val="00207375"/>
    <w:rsid w:val="00214736"/>
    <w:rsid w:val="00216F26"/>
    <w:rsid w:val="002223E2"/>
    <w:rsid w:val="00235762"/>
    <w:rsid w:val="00250C08"/>
    <w:rsid w:val="00253163"/>
    <w:rsid w:val="00255DEF"/>
    <w:rsid w:val="002624BE"/>
    <w:rsid w:val="002625BC"/>
    <w:rsid w:val="002808A9"/>
    <w:rsid w:val="00284BB7"/>
    <w:rsid w:val="00286644"/>
    <w:rsid w:val="00295C21"/>
    <w:rsid w:val="00296A72"/>
    <w:rsid w:val="002A2130"/>
    <w:rsid w:val="002A6EF3"/>
    <w:rsid w:val="002F441E"/>
    <w:rsid w:val="002F6A26"/>
    <w:rsid w:val="00317469"/>
    <w:rsid w:val="0032618D"/>
    <w:rsid w:val="00326842"/>
    <w:rsid w:val="00353E52"/>
    <w:rsid w:val="0035468C"/>
    <w:rsid w:val="00354AC7"/>
    <w:rsid w:val="003574B6"/>
    <w:rsid w:val="00375448"/>
    <w:rsid w:val="0037691F"/>
    <w:rsid w:val="00384979"/>
    <w:rsid w:val="00385C6B"/>
    <w:rsid w:val="00391B8C"/>
    <w:rsid w:val="003A3CF5"/>
    <w:rsid w:val="003B0BD5"/>
    <w:rsid w:val="003B3AE7"/>
    <w:rsid w:val="003B7970"/>
    <w:rsid w:val="003C4239"/>
    <w:rsid w:val="003C7EA7"/>
    <w:rsid w:val="003D08EC"/>
    <w:rsid w:val="003D2D8A"/>
    <w:rsid w:val="003E76FA"/>
    <w:rsid w:val="00401FFB"/>
    <w:rsid w:val="00403966"/>
    <w:rsid w:val="00412A21"/>
    <w:rsid w:val="00427A94"/>
    <w:rsid w:val="0043046C"/>
    <w:rsid w:val="00451289"/>
    <w:rsid w:val="00471B0E"/>
    <w:rsid w:val="004851A4"/>
    <w:rsid w:val="004A459D"/>
    <w:rsid w:val="004D212A"/>
    <w:rsid w:val="00512167"/>
    <w:rsid w:val="0051428F"/>
    <w:rsid w:val="005245E8"/>
    <w:rsid w:val="00532642"/>
    <w:rsid w:val="00534775"/>
    <w:rsid w:val="00544078"/>
    <w:rsid w:val="00545E34"/>
    <w:rsid w:val="00545E3C"/>
    <w:rsid w:val="00553FA9"/>
    <w:rsid w:val="00585F46"/>
    <w:rsid w:val="0058708A"/>
    <w:rsid w:val="00587A75"/>
    <w:rsid w:val="00590E60"/>
    <w:rsid w:val="00591CD2"/>
    <w:rsid w:val="00597DCA"/>
    <w:rsid w:val="005A20CF"/>
    <w:rsid w:val="005B144B"/>
    <w:rsid w:val="005B55D1"/>
    <w:rsid w:val="005C1C2C"/>
    <w:rsid w:val="005D5518"/>
    <w:rsid w:val="005F4A3B"/>
    <w:rsid w:val="005F72A7"/>
    <w:rsid w:val="00602A42"/>
    <w:rsid w:val="006215E1"/>
    <w:rsid w:val="0062655F"/>
    <w:rsid w:val="00630C4C"/>
    <w:rsid w:val="0063268D"/>
    <w:rsid w:val="00647E38"/>
    <w:rsid w:val="00652851"/>
    <w:rsid w:val="00652D47"/>
    <w:rsid w:val="0065556B"/>
    <w:rsid w:val="006611B4"/>
    <w:rsid w:val="00664EDF"/>
    <w:rsid w:val="00670EFB"/>
    <w:rsid w:val="0067328D"/>
    <w:rsid w:val="00694FDF"/>
    <w:rsid w:val="006A647B"/>
    <w:rsid w:val="006B186D"/>
    <w:rsid w:val="006D40E7"/>
    <w:rsid w:val="006D422F"/>
    <w:rsid w:val="006E229D"/>
    <w:rsid w:val="006E704E"/>
    <w:rsid w:val="006F0D22"/>
    <w:rsid w:val="006F54E2"/>
    <w:rsid w:val="007062AC"/>
    <w:rsid w:val="00715B1D"/>
    <w:rsid w:val="00720811"/>
    <w:rsid w:val="00721964"/>
    <w:rsid w:val="007437D3"/>
    <w:rsid w:val="00755DA2"/>
    <w:rsid w:val="00762882"/>
    <w:rsid w:val="00764D07"/>
    <w:rsid w:val="00784880"/>
    <w:rsid w:val="007849CB"/>
    <w:rsid w:val="007A2F01"/>
    <w:rsid w:val="007A7FCF"/>
    <w:rsid w:val="007C64F1"/>
    <w:rsid w:val="007E1CA3"/>
    <w:rsid w:val="007E3151"/>
    <w:rsid w:val="007F327B"/>
    <w:rsid w:val="007F7FC3"/>
    <w:rsid w:val="00806655"/>
    <w:rsid w:val="00813B22"/>
    <w:rsid w:val="00823575"/>
    <w:rsid w:val="008272E5"/>
    <w:rsid w:val="00834445"/>
    <w:rsid w:val="00840023"/>
    <w:rsid w:val="0084534A"/>
    <w:rsid w:val="008642CB"/>
    <w:rsid w:val="008970E4"/>
    <w:rsid w:val="008A1152"/>
    <w:rsid w:val="008B290C"/>
    <w:rsid w:val="008B7C3B"/>
    <w:rsid w:val="008E0CCA"/>
    <w:rsid w:val="008E1452"/>
    <w:rsid w:val="008E426E"/>
    <w:rsid w:val="00900771"/>
    <w:rsid w:val="00901998"/>
    <w:rsid w:val="00914731"/>
    <w:rsid w:val="009256B4"/>
    <w:rsid w:val="009256E2"/>
    <w:rsid w:val="00937601"/>
    <w:rsid w:val="00937FDF"/>
    <w:rsid w:val="00941F83"/>
    <w:rsid w:val="0096276C"/>
    <w:rsid w:val="00962AC5"/>
    <w:rsid w:val="009677CB"/>
    <w:rsid w:val="009705F9"/>
    <w:rsid w:val="009740E7"/>
    <w:rsid w:val="00983A2A"/>
    <w:rsid w:val="00987074"/>
    <w:rsid w:val="0099637E"/>
    <w:rsid w:val="009D4E44"/>
    <w:rsid w:val="009D4FDA"/>
    <w:rsid w:val="009E219D"/>
    <w:rsid w:val="009E25D3"/>
    <w:rsid w:val="009E4D7C"/>
    <w:rsid w:val="009F526F"/>
    <w:rsid w:val="00A02946"/>
    <w:rsid w:val="00A02B11"/>
    <w:rsid w:val="00A033D8"/>
    <w:rsid w:val="00A07AAF"/>
    <w:rsid w:val="00A127AF"/>
    <w:rsid w:val="00A12B24"/>
    <w:rsid w:val="00A13D7D"/>
    <w:rsid w:val="00A2710B"/>
    <w:rsid w:val="00A3646C"/>
    <w:rsid w:val="00A4289D"/>
    <w:rsid w:val="00A46E1B"/>
    <w:rsid w:val="00A530CD"/>
    <w:rsid w:val="00A53D79"/>
    <w:rsid w:val="00A61119"/>
    <w:rsid w:val="00A91FA0"/>
    <w:rsid w:val="00A96FB9"/>
    <w:rsid w:val="00AA327C"/>
    <w:rsid w:val="00AA7A3C"/>
    <w:rsid w:val="00AC151B"/>
    <w:rsid w:val="00AC19C2"/>
    <w:rsid w:val="00AC2DB8"/>
    <w:rsid w:val="00AD0191"/>
    <w:rsid w:val="00AD2828"/>
    <w:rsid w:val="00AE2874"/>
    <w:rsid w:val="00AE47F6"/>
    <w:rsid w:val="00AE6657"/>
    <w:rsid w:val="00AF0210"/>
    <w:rsid w:val="00AF2AFA"/>
    <w:rsid w:val="00B115BD"/>
    <w:rsid w:val="00B14DC6"/>
    <w:rsid w:val="00B24F1C"/>
    <w:rsid w:val="00B25249"/>
    <w:rsid w:val="00B300BB"/>
    <w:rsid w:val="00B423E0"/>
    <w:rsid w:val="00B43EBD"/>
    <w:rsid w:val="00B47C15"/>
    <w:rsid w:val="00B52D7D"/>
    <w:rsid w:val="00B53D7A"/>
    <w:rsid w:val="00B57CDF"/>
    <w:rsid w:val="00B83656"/>
    <w:rsid w:val="00B865EA"/>
    <w:rsid w:val="00B97A08"/>
    <w:rsid w:val="00BA2202"/>
    <w:rsid w:val="00BA4235"/>
    <w:rsid w:val="00BA4962"/>
    <w:rsid w:val="00BC56F9"/>
    <w:rsid w:val="00BD07F2"/>
    <w:rsid w:val="00BD6F0C"/>
    <w:rsid w:val="00BE32E3"/>
    <w:rsid w:val="00BF2CAE"/>
    <w:rsid w:val="00C21A28"/>
    <w:rsid w:val="00C348B1"/>
    <w:rsid w:val="00C52A01"/>
    <w:rsid w:val="00C55C52"/>
    <w:rsid w:val="00C81E2E"/>
    <w:rsid w:val="00C8338D"/>
    <w:rsid w:val="00C9117B"/>
    <w:rsid w:val="00C94927"/>
    <w:rsid w:val="00C95B59"/>
    <w:rsid w:val="00C960E6"/>
    <w:rsid w:val="00CA61C9"/>
    <w:rsid w:val="00CB31F8"/>
    <w:rsid w:val="00CB3E73"/>
    <w:rsid w:val="00CB467D"/>
    <w:rsid w:val="00CC3BA0"/>
    <w:rsid w:val="00CD3511"/>
    <w:rsid w:val="00CD4C0B"/>
    <w:rsid w:val="00CD6107"/>
    <w:rsid w:val="00CF0EF7"/>
    <w:rsid w:val="00CF5AAD"/>
    <w:rsid w:val="00D0114D"/>
    <w:rsid w:val="00D04070"/>
    <w:rsid w:val="00D10C0A"/>
    <w:rsid w:val="00D1222D"/>
    <w:rsid w:val="00D131FA"/>
    <w:rsid w:val="00D22ACD"/>
    <w:rsid w:val="00D24045"/>
    <w:rsid w:val="00D369C8"/>
    <w:rsid w:val="00D44AB9"/>
    <w:rsid w:val="00D475DF"/>
    <w:rsid w:val="00D51964"/>
    <w:rsid w:val="00D62D56"/>
    <w:rsid w:val="00D93EBE"/>
    <w:rsid w:val="00DA5506"/>
    <w:rsid w:val="00DC098B"/>
    <w:rsid w:val="00DC4BF6"/>
    <w:rsid w:val="00DC613A"/>
    <w:rsid w:val="00DE2C10"/>
    <w:rsid w:val="00DF2577"/>
    <w:rsid w:val="00DF63BE"/>
    <w:rsid w:val="00E02193"/>
    <w:rsid w:val="00E0707A"/>
    <w:rsid w:val="00E07DD8"/>
    <w:rsid w:val="00E2387F"/>
    <w:rsid w:val="00E248DC"/>
    <w:rsid w:val="00E37A24"/>
    <w:rsid w:val="00E4050D"/>
    <w:rsid w:val="00E575F9"/>
    <w:rsid w:val="00E768F7"/>
    <w:rsid w:val="00E80812"/>
    <w:rsid w:val="00E80AB1"/>
    <w:rsid w:val="00E90EA5"/>
    <w:rsid w:val="00E94FEA"/>
    <w:rsid w:val="00EA6886"/>
    <w:rsid w:val="00EB3640"/>
    <w:rsid w:val="00EE5AB7"/>
    <w:rsid w:val="00F10A80"/>
    <w:rsid w:val="00F27663"/>
    <w:rsid w:val="00F32060"/>
    <w:rsid w:val="00F37AE3"/>
    <w:rsid w:val="00F41971"/>
    <w:rsid w:val="00F55833"/>
    <w:rsid w:val="00F56AF4"/>
    <w:rsid w:val="00F617CE"/>
    <w:rsid w:val="00F65C64"/>
    <w:rsid w:val="00F82724"/>
    <w:rsid w:val="00F83323"/>
    <w:rsid w:val="00F92B47"/>
    <w:rsid w:val="00F944D5"/>
    <w:rsid w:val="00FA5BFB"/>
    <w:rsid w:val="00FB4633"/>
    <w:rsid w:val="00FD1049"/>
    <w:rsid w:val="00FD2A67"/>
    <w:rsid w:val="00FE002A"/>
    <w:rsid w:val="00FE3B9E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56B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C0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C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0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sankajablonec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3482</Words>
  <Characters>20548</Characters>
  <Application>Microsoft Office Word</Application>
  <DocSecurity>4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2026-06-09T05:52:00Z</cp:lastPrinted>
  <dcterms:created xsi:type="dcterms:W3CDTF">2026-06-16T06:24:00Z</dcterms:created>
  <dcterms:modified xsi:type="dcterms:W3CDTF">2026-06-16T06:24:00Z</dcterms:modified>
</cp:coreProperties>
</file>