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5F73" w14:textId="77777777" w:rsidR="00335684" w:rsidRPr="00F44D15" w:rsidRDefault="003865AB" w:rsidP="00F31EB4">
      <w:pPr>
        <w:jc w:val="right"/>
      </w:pPr>
      <w:r w:rsidRPr="00F44D15">
        <w:rPr>
          <w:noProof/>
        </w:rPr>
        <w:drawing>
          <wp:anchor distT="0" distB="0" distL="114300" distR="114300" simplePos="0" relativeHeight="251658240"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31BF5D41" w14:textId="5C6B6318" w:rsidR="00E479DB" w:rsidRPr="00F44D15" w:rsidRDefault="008C70C4" w:rsidP="00D7357B">
      <w:pPr>
        <w:rPr>
          <w:rFonts w:cs="Arial"/>
          <w:b/>
          <w:sz w:val="32"/>
        </w:rPr>
      </w:pPr>
      <w:bookmarkStart w:id="0" w:name="Priloha_1"/>
      <w:bookmarkEnd w:id="0"/>
      <w:r w:rsidRPr="00F44D15">
        <w:rPr>
          <w:rFonts w:cs="Arial"/>
          <w:b/>
          <w:sz w:val="32"/>
        </w:rPr>
        <w:t xml:space="preserve">Dodatek č. </w:t>
      </w:r>
      <w:r w:rsidR="00B9326E">
        <w:rPr>
          <w:rFonts w:cs="Arial"/>
          <w:b/>
          <w:sz w:val="32"/>
        </w:rPr>
        <w:t>20</w:t>
      </w:r>
    </w:p>
    <w:p w14:paraId="08466A24" w14:textId="4D339946"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AD0946" w:rsidRPr="00AD0946">
        <w:rPr>
          <w:rFonts w:cs="Arial"/>
          <w:b/>
          <w:sz w:val="32"/>
        </w:rPr>
        <w:t>7720904410</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39A653D0" w:rsidR="002F2BF8" w:rsidRPr="00F44D15" w:rsidRDefault="00EA60B9" w:rsidP="002F2BF8">
      <w:pPr>
        <w:jc w:val="both"/>
        <w:rPr>
          <w:rFonts w:cs="Arial"/>
          <w:sz w:val="20"/>
        </w:rPr>
      </w:pPr>
      <w:r w:rsidRPr="00F44D15">
        <w:rPr>
          <w:rFonts w:cs="Arial"/>
          <w:sz w:val="20"/>
        </w:rPr>
        <w:t>Z</w:t>
      </w:r>
      <w:r w:rsidR="002F2BF8" w:rsidRPr="00F44D15">
        <w:rPr>
          <w:rFonts w:cs="Arial"/>
          <w:sz w:val="20"/>
        </w:rPr>
        <w:t>astoupená</w:t>
      </w:r>
      <w:r>
        <w:rPr>
          <w:rFonts w:cs="Arial"/>
          <w:sz w:val="20"/>
        </w:rPr>
        <w:t xml:space="preserve"> níže podepsanou osobou</w:t>
      </w:r>
      <w:r w:rsidR="002F2BF8" w:rsidRPr="00F44D15">
        <w:rPr>
          <w:rFonts w:cs="Arial"/>
          <w:sz w:val="20"/>
        </w:rPr>
        <w:t xml:space="preserve">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tvoří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t>Výše uvedená pojistná smlouva (včetně výše uvedených údajů o výše uvedených subjektech) nově zní takto:</w:t>
      </w:r>
    </w:p>
    <w:p w14:paraId="4726BFA8" w14:textId="77777777" w:rsidR="00EF6D62" w:rsidRDefault="00EF6D62" w:rsidP="003725E1">
      <w:pPr>
        <w:jc w:val="center"/>
        <w:rPr>
          <w:rFonts w:cs="Arial"/>
          <w:b/>
          <w:sz w:val="24"/>
        </w:rPr>
      </w:pPr>
      <w:bookmarkStart w:id="1" w:name="_Toc367839357"/>
    </w:p>
    <w:p w14:paraId="4EABDA9E" w14:textId="77777777" w:rsidR="00C649A4" w:rsidRPr="00F44D15" w:rsidRDefault="00C649A4" w:rsidP="00C649A4">
      <w:pPr>
        <w:jc w:val="center"/>
        <w:rPr>
          <w:rFonts w:cs="Arial"/>
          <w:b/>
          <w:sz w:val="24"/>
        </w:rPr>
      </w:pPr>
      <w:r w:rsidRPr="00F44D15">
        <w:rPr>
          <w:rFonts w:cs="Arial"/>
          <w:b/>
          <w:sz w:val="24"/>
        </w:rPr>
        <w:t>Článek I.</w:t>
      </w:r>
    </w:p>
    <w:p w14:paraId="31EEAFA6" w14:textId="77777777" w:rsidR="00C649A4" w:rsidRPr="00F44D15" w:rsidRDefault="00C649A4" w:rsidP="00C649A4">
      <w:pPr>
        <w:jc w:val="center"/>
        <w:rPr>
          <w:rFonts w:cs="Arial"/>
          <w:b/>
          <w:sz w:val="24"/>
        </w:rPr>
      </w:pPr>
      <w:r w:rsidRPr="00F44D15">
        <w:rPr>
          <w:rFonts w:cs="Arial"/>
          <w:b/>
          <w:sz w:val="24"/>
        </w:rPr>
        <w:t>Úvodní ustanovení</w:t>
      </w:r>
    </w:p>
    <w:p w14:paraId="2CD53B63" w14:textId="77777777" w:rsidR="00C649A4" w:rsidRPr="00F44D15" w:rsidRDefault="00C649A4" w:rsidP="00C649A4">
      <w:pPr>
        <w:keepNext/>
        <w:numPr>
          <w:ilvl w:val="0"/>
          <w:numId w:val="13"/>
        </w:numPr>
        <w:tabs>
          <w:tab w:val="left" w:pos="-1418"/>
        </w:tabs>
        <w:spacing w:before="120"/>
        <w:jc w:val="both"/>
        <w:rPr>
          <w:rFonts w:cs="Arial"/>
          <w:sz w:val="20"/>
        </w:rPr>
      </w:pPr>
      <w:r w:rsidRPr="00F44D15">
        <w:rPr>
          <w:rFonts w:cs="Arial"/>
          <w:sz w:val="20"/>
        </w:rPr>
        <w:t>Pojištěným je pojistník.</w:t>
      </w:r>
    </w:p>
    <w:p w14:paraId="0B5414C4" w14:textId="77777777" w:rsidR="00C649A4" w:rsidRPr="00F44D15" w:rsidRDefault="00C649A4" w:rsidP="00C649A4">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33AD67D7" w14:textId="77777777" w:rsidR="00C649A4" w:rsidRPr="00F44D15" w:rsidRDefault="00C649A4" w:rsidP="00C649A4">
      <w:pPr>
        <w:keepNext/>
        <w:tabs>
          <w:tab w:val="left" w:pos="-720"/>
        </w:tabs>
        <w:ind w:left="425"/>
        <w:jc w:val="both"/>
        <w:rPr>
          <w:rFonts w:cs="Arial"/>
          <w:sz w:val="20"/>
          <w:szCs w:val="20"/>
        </w:rPr>
      </w:pPr>
    </w:p>
    <w:p w14:paraId="1E756545" w14:textId="77777777" w:rsidR="00C649A4" w:rsidRPr="00F44D15" w:rsidRDefault="00C649A4" w:rsidP="00C649A4">
      <w:pPr>
        <w:ind w:left="425"/>
        <w:jc w:val="both"/>
        <w:rPr>
          <w:b/>
          <w:bCs/>
          <w:sz w:val="20"/>
          <w:szCs w:val="20"/>
        </w:rPr>
      </w:pPr>
      <w:r w:rsidRPr="00F44D15">
        <w:rPr>
          <w:b/>
          <w:bCs/>
          <w:sz w:val="20"/>
          <w:szCs w:val="20"/>
        </w:rPr>
        <w:t xml:space="preserve">Všeobecné pojistné podmínky </w:t>
      </w:r>
    </w:p>
    <w:p w14:paraId="18BACA75" w14:textId="77777777" w:rsidR="00C649A4" w:rsidRPr="00F44D15" w:rsidRDefault="00C649A4" w:rsidP="00C649A4">
      <w:pPr>
        <w:tabs>
          <w:tab w:val="left" w:pos="426"/>
        </w:tabs>
        <w:ind w:left="459" w:hanging="33"/>
        <w:jc w:val="both"/>
        <w:rPr>
          <w:sz w:val="20"/>
          <w:szCs w:val="20"/>
        </w:rPr>
      </w:pPr>
      <w:r w:rsidRPr="00F44D15">
        <w:rPr>
          <w:sz w:val="20"/>
          <w:szCs w:val="20"/>
        </w:rPr>
        <w:t>VPP P-100/14 - pro pojištění majetku a odpovědnosti</w:t>
      </w:r>
    </w:p>
    <w:p w14:paraId="50F59B6E" w14:textId="77777777" w:rsidR="00C649A4" w:rsidRPr="00F44D15" w:rsidRDefault="00C649A4" w:rsidP="00C649A4">
      <w:pPr>
        <w:keepNext/>
        <w:tabs>
          <w:tab w:val="left" w:pos="-720"/>
        </w:tabs>
        <w:rPr>
          <w:rFonts w:cs="Arial"/>
          <w:b/>
          <w:bCs/>
          <w:sz w:val="20"/>
        </w:rPr>
      </w:pPr>
    </w:p>
    <w:p w14:paraId="7958BC40" w14:textId="77777777" w:rsidR="00C649A4" w:rsidRPr="00F44D15" w:rsidRDefault="00C649A4" w:rsidP="00C649A4">
      <w:pPr>
        <w:keepNext/>
        <w:tabs>
          <w:tab w:val="left" w:pos="-720"/>
          <w:tab w:val="left" w:pos="426"/>
        </w:tabs>
        <w:ind w:firstLine="426"/>
        <w:rPr>
          <w:rFonts w:cs="Arial"/>
          <w:b/>
          <w:bCs/>
          <w:sz w:val="20"/>
        </w:rPr>
      </w:pPr>
      <w:r w:rsidRPr="00F44D15">
        <w:rPr>
          <w:rFonts w:cs="Arial"/>
          <w:b/>
          <w:bCs/>
          <w:sz w:val="20"/>
        </w:rPr>
        <w:t>Zvláštní pojistné podmínky</w:t>
      </w:r>
    </w:p>
    <w:p w14:paraId="5C3AD5AA" w14:textId="77777777" w:rsidR="00C649A4" w:rsidRPr="00F44D15" w:rsidRDefault="00C649A4" w:rsidP="00C649A4">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živelní pojištění</w:t>
      </w:r>
    </w:p>
    <w:p w14:paraId="5823C2AF" w14:textId="77777777" w:rsidR="00C649A4" w:rsidRPr="00F44D15" w:rsidRDefault="00C649A4" w:rsidP="00C649A4">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6EF08AF0" w14:textId="77777777" w:rsidR="00C649A4" w:rsidRDefault="00C649A4" w:rsidP="00C649A4">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1D0F1173" w14:textId="77777777" w:rsidR="00C649A4" w:rsidRPr="00F44D15" w:rsidRDefault="00C649A4" w:rsidP="00C649A4">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14:paraId="661D30C8" w14:textId="77777777" w:rsidR="00C649A4" w:rsidRPr="00F44D15" w:rsidRDefault="00C649A4" w:rsidP="00C649A4">
      <w:pPr>
        <w:keepNext/>
        <w:tabs>
          <w:tab w:val="left" w:pos="426"/>
        </w:tabs>
        <w:spacing w:before="120"/>
        <w:ind w:left="426"/>
        <w:rPr>
          <w:rFonts w:cs="Arial"/>
          <w:b/>
          <w:bCs/>
          <w:sz w:val="20"/>
        </w:rPr>
      </w:pPr>
      <w:r w:rsidRPr="00F44D15">
        <w:rPr>
          <w:rFonts w:cs="Arial"/>
          <w:b/>
          <w:bCs/>
          <w:sz w:val="20"/>
        </w:rPr>
        <w:t>Dodatkové pojistné podmínky</w:t>
      </w:r>
    </w:p>
    <w:p w14:paraId="08E557DB" w14:textId="77777777" w:rsidR="00C649A4" w:rsidRPr="00F44D15" w:rsidRDefault="00C649A4" w:rsidP="00C649A4">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61680EF3" w14:textId="77777777" w:rsidR="00C649A4" w:rsidRPr="00F44D15" w:rsidRDefault="00C649A4" w:rsidP="00C649A4">
      <w:pPr>
        <w:keepNext/>
        <w:tabs>
          <w:tab w:val="left" w:pos="426"/>
          <w:tab w:val="left" w:pos="1440"/>
        </w:tabs>
        <w:spacing w:before="120"/>
        <w:ind w:left="426"/>
        <w:rPr>
          <w:rFonts w:cs="Arial"/>
          <w:b/>
          <w:sz w:val="20"/>
        </w:rPr>
      </w:pPr>
      <w:r w:rsidRPr="00F44D15">
        <w:rPr>
          <w:rFonts w:cs="Arial"/>
          <w:b/>
          <w:sz w:val="20"/>
        </w:rPr>
        <w:t>Živel</w:t>
      </w:r>
    </w:p>
    <w:p w14:paraId="7012686D" w14:textId="77777777" w:rsidR="00C649A4" w:rsidRPr="00F44D15" w:rsidRDefault="00C649A4" w:rsidP="00C649A4">
      <w:pPr>
        <w:keepNext/>
        <w:tabs>
          <w:tab w:val="left" w:pos="426"/>
          <w:tab w:val="left" w:pos="1440"/>
        </w:tabs>
        <w:ind w:left="425" w:firstLine="1"/>
        <w:rPr>
          <w:rFonts w:cs="Arial"/>
          <w:sz w:val="20"/>
        </w:rPr>
      </w:pPr>
      <w:proofErr w:type="gramStart"/>
      <w:r w:rsidRPr="00F44D15">
        <w:rPr>
          <w:rFonts w:cs="Arial"/>
          <w:sz w:val="20"/>
        </w:rPr>
        <w:t>DZ101 - Lehké</w:t>
      </w:r>
      <w:proofErr w:type="gramEnd"/>
      <w:r w:rsidRPr="00F44D15">
        <w:rPr>
          <w:rFonts w:cs="Arial"/>
          <w:sz w:val="20"/>
        </w:rPr>
        <w:t xml:space="preserve"> stavby, dřevostavby </w:t>
      </w:r>
      <w:r w:rsidRPr="00F44D15">
        <w:rPr>
          <w:sz w:val="20"/>
          <w:szCs w:val="20"/>
        </w:rPr>
        <w:t xml:space="preserve">- </w:t>
      </w:r>
      <w:r w:rsidRPr="00F44D15">
        <w:rPr>
          <w:rFonts w:cs="Arial"/>
          <w:sz w:val="20"/>
        </w:rPr>
        <w:t>Výluka (1401)</w:t>
      </w:r>
    </w:p>
    <w:p w14:paraId="0D3D09DF" w14:textId="77777777" w:rsidR="00C649A4" w:rsidRPr="00F44D15" w:rsidRDefault="00C649A4" w:rsidP="00C649A4">
      <w:pPr>
        <w:tabs>
          <w:tab w:val="left" w:pos="426"/>
          <w:tab w:val="left" w:pos="1440"/>
        </w:tabs>
        <w:ind w:firstLine="426"/>
        <w:rPr>
          <w:rFonts w:cs="Arial"/>
          <w:sz w:val="20"/>
        </w:rPr>
      </w:pPr>
      <w:proofErr w:type="gramStart"/>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Fotovoltaická</w:t>
      </w:r>
      <w:proofErr w:type="gramEnd"/>
      <w:r w:rsidRPr="00F44D15">
        <w:rPr>
          <w:rFonts w:cs="Arial"/>
          <w:bCs/>
          <w:sz w:val="20"/>
        </w:rPr>
        <w:t xml:space="preserve"> elektrárna - Výluka </w:t>
      </w:r>
      <w:r w:rsidRPr="00F44D15">
        <w:rPr>
          <w:rFonts w:cs="Arial"/>
          <w:sz w:val="20"/>
        </w:rPr>
        <w:t>(1401)</w:t>
      </w:r>
    </w:p>
    <w:p w14:paraId="79B0759E" w14:textId="77777777" w:rsidR="00C649A4" w:rsidRPr="00F44D15" w:rsidRDefault="00C649A4" w:rsidP="00C649A4">
      <w:pPr>
        <w:tabs>
          <w:tab w:val="left" w:pos="426"/>
          <w:tab w:val="left" w:pos="1440"/>
        </w:tabs>
        <w:ind w:firstLine="426"/>
        <w:rPr>
          <w:rFonts w:cs="Arial"/>
          <w:bCs/>
          <w:sz w:val="20"/>
          <w:szCs w:val="20"/>
        </w:rPr>
      </w:pPr>
      <w:proofErr w:type="gramStart"/>
      <w:r w:rsidRPr="00F44D15">
        <w:rPr>
          <w:rFonts w:cs="Arial"/>
          <w:bCs/>
          <w:sz w:val="20"/>
          <w:szCs w:val="20"/>
        </w:rPr>
        <w:t xml:space="preserve">DZ113 - </w:t>
      </w:r>
      <w:r w:rsidRPr="00F44D15">
        <w:rPr>
          <w:sz w:val="20"/>
          <w:szCs w:val="20"/>
        </w:rPr>
        <w:t>Atmosférické</w:t>
      </w:r>
      <w:proofErr w:type="gramEnd"/>
      <w:r w:rsidRPr="00F44D15">
        <w:rPr>
          <w:sz w:val="20"/>
          <w:szCs w:val="20"/>
        </w:rPr>
        <w:t xml:space="preserve"> srážky- Rozšíření rozsahu pojištění </w:t>
      </w:r>
      <w:r w:rsidRPr="00F44D15">
        <w:rPr>
          <w:rFonts w:cs="Arial"/>
          <w:sz w:val="20"/>
          <w:szCs w:val="20"/>
        </w:rPr>
        <w:t>(1401)</w:t>
      </w:r>
      <w:r w:rsidRPr="00F44D15">
        <w:rPr>
          <w:rFonts w:cs="Arial"/>
          <w:bCs/>
          <w:sz w:val="20"/>
          <w:szCs w:val="20"/>
        </w:rPr>
        <w:t xml:space="preserve"> </w:t>
      </w:r>
    </w:p>
    <w:p w14:paraId="019D24CA" w14:textId="77777777" w:rsidR="00C649A4" w:rsidRPr="00F44D15" w:rsidRDefault="00C649A4" w:rsidP="00C649A4">
      <w:pPr>
        <w:tabs>
          <w:tab w:val="left" w:pos="426"/>
          <w:tab w:val="left" w:pos="1440"/>
        </w:tabs>
        <w:ind w:firstLine="426"/>
        <w:rPr>
          <w:rFonts w:cs="Arial"/>
          <w:bCs/>
          <w:sz w:val="20"/>
        </w:rPr>
      </w:pPr>
      <w:proofErr w:type="gramStart"/>
      <w:r w:rsidRPr="00F44D15">
        <w:rPr>
          <w:rFonts w:cs="Arial"/>
          <w:bCs/>
          <w:sz w:val="20"/>
          <w:szCs w:val="20"/>
        </w:rPr>
        <w:t>DZ114 - Nepřímý</w:t>
      </w:r>
      <w:proofErr w:type="gramEnd"/>
      <w:r w:rsidRPr="00F44D15">
        <w:rPr>
          <w:rFonts w:cs="Arial"/>
          <w:bCs/>
          <w:sz w:val="20"/>
          <w:szCs w:val="20"/>
        </w:rPr>
        <w:t xml:space="preserve"> úder blesku - Rozšíření rozsahu pojištění (1404)</w:t>
      </w:r>
    </w:p>
    <w:p w14:paraId="04990C90" w14:textId="77777777" w:rsidR="00C649A4" w:rsidRPr="00F44D15" w:rsidRDefault="00C649A4" w:rsidP="00C649A4">
      <w:pPr>
        <w:keepNext/>
        <w:tabs>
          <w:tab w:val="left" w:pos="426"/>
        </w:tabs>
        <w:spacing w:before="120"/>
        <w:ind w:firstLine="426"/>
        <w:rPr>
          <w:rFonts w:cs="Arial"/>
          <w:b/>
          <w:sz w:val="20"/>
        </w:rPr>
      </w:pPr>
      <w:r w:rsidRPr="00F44D15">
        <w:rPr>
          <w:rFonts w:cs="Arial"/>
          <w:b/>
          <w:sz w:val="20"/>
        </w:rPr>
        <w:t>Zabezpečení</w:t>
      </w:r>
    </w:p>
    <w:p w14:paraId="7E83A61C" w14:textId="77777777" w:rsidR="00C649A4" w:rsidRPr="00F44D15" w:rsidRDefault="00C649A4" w:rsidP="00C649A4">
      <w:pPr>
        <w:tabs>
          <w:tab w:val="left" w:pos="426"/>
          <w:tab w:val="left" w:pos="1276"/>
        </w:tabs>
        <w:ind w:left="1729" w:hanging="1303"/>
        <w:rPr>
          <w:rFonts w:cs="Arial"/>
          <w:b/>
          <w:bCs/>
          <w:sz w:val="20"/>
          <w:szCs w:val="20"/>
        </w:rPr>
      </w:pPr>
      <w:proofErr w:type="gramStart"/>
      <w:r w:rsidRPr="00F44D15">
        <w:rPr>
          <w:rFonts w:cs="Arial"/>
          <w:bCs/>
          <w:sz w:val="20"/>
          <w:szCs w:val="20"/>
        </w:rPr>
        <w:t>DOZ101 - Předepsané</w:t>
      </w:r>
      <w:proofErr w:type="gramEnd"/>
      <w:r w:rsidRPr="00F44D15">
        <w:rPr>
          <w:rFonts w:cs="Arial"/>
          <w:bCs/>
          <w:sz w:val="20"/>
          <w:szCs w:val="20"/>
        </w:rPr>
        <w:t xml:space="preserve"> způsoby zabezpečení pojištěných věcí (netýká se finančních prostředků a cenných předmětů) (1401)</w:t>
      </w:r>
    </w:p>
    <w:p w14:paraId="1B88758B" w14:textId="77777777" w:rsidR="00C649A4" w:rsidRPr="00F44D15" w:rsidRDefault="00C649A4" w:rsidP="00C649A4">
      <w:pPr>
        <w:tabs>
          <w:tab w:val="left" w:pos="426"/>
          <w:tab w:val="left" w:pos="1304"/>
          <w:tab w:val="left" w:pos="1389"/>
        </w:tabs>
        <w:ind w:left="1389" w:hanging="963"/>
        <w:rPr>
          <w:rFonts w:cs="Arial"/>
          <w:bCs/>
          <w:sz w:val="20"/>
          <w:szCs w:val="20"/>
        </w:rPr>
      </w:pPr>
      <w:proofErr w:type="gramStart"/>
      <w:r w:rsidRPr="00F44D15">
        <w:rPr>
          <w:rFonts w:cs="Arial"/>
          <w:bCs/>
          <w:sz w:val="20"/>
          <w:szCs w:val="20"/>
        </w:rPr>
        <w:t>DOZ102 - Předepsané</w:t>
      </w:r>
      <w:proofErr w:type="gramEnd"/>
      <w:r w:rsidRPr="00F44D15">
        <w:rPr>
          <w:rFonts w:cs="Arial"/>
          <w:bCs/>
          <w:sz w:val="20"/>
          <w:szCs w:val="20"/>
        </w:rPr>
        <w:t xml:space="preserve"> způsoby zabezpečení finančních prostředků a cenných předmětů (1401)</w:t>
      </w:r>
    </w:p>
    <w:p w14:paraId="5D122957" w14:textId="77777777" w:rsidR="00C649A4" w:rsidRPr="00F44D15" w:rsidRDefault="00C649A4" w:rsidP="00C649A4">
      <w:pPr>
        <w:tabs>
          <w:tab w:val="left" w:pos="426"/>
          <w:tab w:val="left" w:pos="1304"/>
          <w:tab w:val="left" w:pos="1389"/>
        </w:tabs>
        <w:ind w:left="1389" w:hanging="963"/>
        <w:rPr>
          <w:rFonts w:cs="Arial"/>
          <w:b/>
          <w:bCs/>
          <w:sz w:val="20"/>
          <w:szCs w:val="20"/>
        </w:rPr>
      </w:pPr>
      <w:proofErr w:type="gramStart"/>
      <w:r w:rsidRPr="00F44D15">
        <w:rPr>
          <w:rFonts w:cs="Arial"/>
          <w:bCs/>
          <w:sz w:val="20"/>
          <w:szCs w:val="20"/>
        </w:rPr>
        <w:t>DOZ105 - Předepsané</w:t>
      </w:r>
      <w:proofErr w:type="gramEnd"/>
      <w:r w:rsidRPr="00F44D15">
        <w:rPr>
          <w:rFonts w:cs="Arial"/>
          <w:bCs/>
          <w:sz w:val="20"/>
          <w:szCs w:val="20"/>
        </w:rPr>
        <w:t xml:space="preserve"> způsoby zabezpečení - Výklad pojmů (1401)</w:t>
      </w:r>
    </w:p>
    <w:p w14:paraId="1CC8D243" w14:textId="77777777" w:rsidR="00C649A4" w:rsidRPr="00F44D15" w:rsidRDefault="00C649A4" w:rsidP="00C649A4">
      <w:pPr>
        <w:keepNext/>
        <w:tabs>
          <w:tab w:val="left" w:pos="426"/>
        </w:tabs>
        <w:spacing w:before="120"/>
        <w:ind w:firstLine="426"/>
        <w:rPr>
          <w:rFonts w:cs="Arial"/>
          <w:b/>
          <w:sz w:val="20"/>
          <w:szCs w:val="20"/>
        </w:rPr>
      </w:pPr>
      <w:r w:rsidRPr="00F44D15">
        <w:rPr>
          <w:rFonts w:cs="Arial"/>
          <w:b/>
          <w:sz w:val="20"/>
          <w:szCs w:val="20"/>
        </w:rPr>
        <w:t>Obecné</w:t>
      </w:r>
    </w:p>
    <w:p w14:paraId="5F371E25" w14:textId="77777777" w:rsidR="00C649A4" w:rsidRPr="00F44D15" w:rsidRDefault="00C649A4" w:rsidP="00C649A4">
      <w:pPr>
        <w:tabs>
          <w:tab w:val="left" w:pos="426"/>
        </w:tabs>
        <w:ind w:firstLine="426"/>
        <w:rPr>
          <w:rFonts w:cs="Arial"/>
          <w:sz w:val="20"/>
          <w:szCs w:val="20"/>
        </w:rPr>
      </w:pPr>
      <w:proofErr w:type="gramStart"/>
      <w:r w:rsidRPr="00F44D15">
        <w:rPr>
          <w:rFonts w:cs="Arial"/>
          <w:sz w:val="20"/>
          <w:szCs w:val="20"/>
        </w:rPr>
        <w:t>DOB101 - Elektronická</w:t>
      </w:r>
      <w:proofErr w:type="gramEnd"/>
      <w:r w:rsidRPr="00F44D15">
        <w:rPr>
          <w:rFonts w:cs="Arial"/>
          <w:sz w:val="20"/>
          <w:szCs w:val="20"/>
        </w:rPr>
        <w:t xml:space="preserve"> rizika - Výluka (1401)</w:t>
      </w:r>
    </w:p>
    <w:p w14:paraId="608C480F" w14:textId="77777777" w:rsidR="00C649A4" w:rsidRPr="00F44D15" w:rsidRDefault="00C649A4" w:rsidP="00C649A4">
      <w:pPr>
        <w:tabs>
          <w:tab w:val="left" w:pos="426"/>
        </w:tabs>
        <w:ind w:firstLine="426"/>
        <w:rPr>
          <w:rFonts w:cs="Arial"/>
          <w:sz w:val="20"/>
          <w:szCs w:val="20"/>
        </w:rPr>
      </w:pPr>
      <w:proofErr w:type="gramStart"/>
      <w:r w:rsidRPr="00F44D15">
        <w:rPr>
          <w:rFonts w:cs="Arial"/>
          <w:sz w:val="20"/>
          <w:szCs w:val="20"/>
        </w:rPr>
        <w:t>DOB103 - Výklad</w:t>
      </w:r>
      <w:proofErr w:type="gramEnd"/>
      <w:r w:rsidRPr="00F44D15">
        <w:rPr>
          <w:rFonts w:cs="Arial"/>
          <w:sz w:val="20"/>
          <w:szCs w:val="20"/>
        </w:rPr>
        <w:t xml:space="preserve"> pojmů pro účely pojistné smlouvy (1401)</w:t>
      </w:r>
    </w:p>
    <w:p w14:paraId="00B54065" w14:textId="77777777" w:rsidR="00C649A4" w:rsidRDefault="00C649A4" w:rsidP="00C649A4">
      <w:pPr>
        <w:tabs>
          <w:tab w:val="left" w:pos="426"/>
          <w:tab w:val="left" w:pos="1389"/>
          <w:tab w:val="left" w:pos="1701"/>
        </w:tabs>
        <w:ind w:left="1729" w:hanging="1303"/>
        <w:rPr>
          <w:rFonts w:cs="Arial"/>
          <w:bCs/>
          <w:sz w:val="20"/>
          <w:szCs w:val="20"/>
        </w:rPr>
      </w:pPr>
      <w:proofErr w:type="gramStart"/>
      <w:r w:rsidRPr="00F44D15">
        <w:rPr>
          <w:rFonts w:cs="Arial"/>
          <w:bCs/>
          <w:sz w:val="20"/>
          <w:szCs w:val="20"/>
        </w:rPr>
        <w:t>DOB107 - Definice</w:t>
      </w:r>
      <w:proofErr w:type="gramEnd"/>
      <w:r w:rsidRPr="00F44D15">
        <w:rPr>
          <w:rFonts w:cs="Arial"/>
          <w:bCs/>
          <w:sz w:val="20"/>
          <w:szCs w:val="20"/>
        </w:rPr>
        <w:t xml:space="preserve"> jedné pojistné události pro pojistná nebezpečí povodeň, záplava, vichřice, krupobití (1401)</w:t>
      </w:r>
    </w:p>
    <w:p w14:paraId="6103228B" w14:textId="50510CAE" w:rsidR="00041BEB" w:rsidRPr="00F44D15" w:rsidRDefault="00041BEB" w:rsidP="00C649A4">
      <w:pPr>
        <w:tabs>
          <w:tab w:val="left" w:pos="426"/>
          <w:tab w:val="left" w:pos="1389"/>
          <w:tab w:val="left" w:pos="1701"/>
        </w:tabs>
        <w:ind w:left="1729" w:hanging="1303"/>
        <w:rPr>
          <w:rFonts w:cs="Arial"/>
          <w:bCs/>
          <w:sz w:val="20"/>
          <w:szCs w:val="20"/>
        </w:rPr>
      </w:pPr>
      <w:proofErr w:type="gramStart"/>
      <w:r w:rsidRPr="00041BEB">
        <w:rPr>
          <w:rFonts w:cs="Arial"/>
          <w:bCs/>
          <w:sz w:val="20"/>
          <w:szCs w:val="20"/>
        </w:rPr>
        <w:t>DOB110 -</w:t>
      </w:r>
      <w:r w:rsidRPr="00041BEB">
        <w:rPr>
          <w:rFonts w:cs="Arial"/>
          <w:bCs/>
          <w:sz w:val="20"/>
          <w:szCs w:val="20"/>
        </w:rPr>
        <w:tab/>
        <w:t>Výluky</w:t>
      </w:r>
      <w:proofErr w:type="gramEnd"/>
      <w:r w:rsidRPr="00041BEB">
        <w:rPr>
          <w:rFonts w:cs="Arial"/>
          <w:bCs/>
          <w:sz w:val="20"/>
          <w:szCs w:val="20"/>
        </w:rPr>
        <w:t xml:space="preserve"> války, terorismu a jaderné energie (2604) – Tato doložka je platná pro všechna pojištění sjednaná touto pojistnou smlouvou</w:t>
      </w:r>
    </w:p>
    <w:p w14:paraId="4474071B" w14:textId="77777777" w:rsidR="00C649A4" w:rsidRPr="00F44D15" w:rsidRDefault="00C649A4" w:rsidP="00C649A4">
      <w:pPr>
        <w:tabs>
          <w:tab w:val="left" w:pos="426"/>
        </w:tabs>
        <w:spacing w:before="120"/>
        <w:ind w:firstLine="426"/>
        <w:rPr>
          <w:b/>
          <w:sz w:val="20"/>
          <w:szCs w:val="20"/>
        </w:rPr>
      </w:pPr>
      <w:r w:rsidRPr="00F44D15">
        <w:rPr>
          <w:b/>
          <w:sz w:val="20"/>
          <w:szCs w:val="20"/>
        </w:rPr>
        <w:t>Jiné</w:t>
      </w:r>
    </w:p>
    <w:p w14:paraId="32417B4A" w14:textId="77777777" w:rsidR="00C649A4" w:rsidRPr="00F44D15" w:rsidRDefault="00C649A4" w:rsidP="00C649A4">
      <w:pPr>
        <w:tabs>
          <w:tab w:val="left" w:pos="426"/>
          <w:tab w:val="left" w:pos="1276"/>
          <w:tab w:val="left" w:pos="1418"/>
        </w:tabs>
        <w:ind w:left="426"/>
        <w:rPr>
          <w:b/>
          <w:sz w:val="20"/>
          <w:szCs w:val="20"/>
        </w:rPr>
      </w:pPr>
      <w:proofErr w:type="gramStart"/>
      <w:r w:rsidRPr="00F44D15">
        <w:rPr>
          <w:sz w:val="20"/>
          <w:szCs w:val="20"/>
        </w:rPr>
        <w:t xml:space="preserve">DODC102- </w:t>
      </w:r>
      <w:r w:rsidRPr="00F44D15">
        <w:rPr>
          <w:bCs/>
          <w:sz w:val="20"/>
          <w:szCs w:val="20"/>
        </w:rPr>
        <w:t>Malby</w:t>
      </w:r>
      <w:proofErr w:type="gramEnd"/>
      <w:r w:rsidRPr="00F44D15">
        <w:rPr>
          <w:bCs/>
          <w:sz w:val="20"/>
          <w:szCs w:val="20"/>
        </w:rPr>
        <w:t>, nástřiky nebo polepení - Rozšíření rozsahu pojištění (1401)</w:t>
      </w:r>
    </w:p>
    <w:p w14:paraId="15239B14" w14:textId="77777777" w:rsidR="00C649A4" w:rsidRPr="00F44D15" w:rsidRDefault="00C649A4" w:rsidP="00C649A4">
      <w:pPr>
        <w:jc w:val="center"/>
        <w:rPr>
          <w:rFonts w:cs="Arial"/>
          <w:b/>
          <w:sz w:val="24"/>
        </w:rPr>
      </w:pPr>
    </w:p>
    <w:p w14:paraId="120115E6" w14:textId="77777777" w:rsidR="00C649A4" w:rsidRPr="00F44D15" w:rsidRDefault="00C649A4" w:rsidP="00C649A4">
      <w:pPr>
        <w:jc w:val="center"/>
        <w:rPr>
          <w:rFonts w:cs="Arial"/>
          <w:b/>
          <w:bCs/>
          <w:sz w:val="24"/>
        </w:rPr>
      </w:pPr>
      <w:r w:rsidRPr="00F44D15">
        <w:rPr>
          <w:rFonts w:cs="Arial"/>
          <w:b/>
          <w:bCs/>
          <w:sz w:val="24"/>
        </w:rPr>
        <w:t>Článek II.</w:t>
      </w:r>
    </w:p>
    <w:p w14:paraId="4EB1E4E8" w14:textId="77777777" w:rsidR="00C649A4" w:rsidRPr="00F44D15" w:rsidRDefault="00C649A4" w:rsidP="00C649A4">
      <w:pPr>
        <w:jc w:val="center"/>
        <w:rPr>
          <w:rFonts w:cs="Arial"/>
          <w:b/>
          <w:bCs/>
          <w:sz w:val="24"/>
        </w:rPr>
      </w:pPr>
      <w:r w:rsidRPr="00F44D15">
        <w:rPr>
          <w:b/>
          <w:bCs/>
          <w:sz w:val="24"/>
        </w:rPr>
        <w:t>Druhy a způsoby pojištění, předměty a rozsah pojištění</w:t>
      </w:r>
    </w:p>
    <w:p w14:paraId="19A775A5" w14:textId="77777777" w:rsidR="00C649A4" w:rsidRPr="00F44D15" w:rsidRDefault="00C649A4" w:rsidP="00C649A4">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4858FADB" w14:textId="77777777" w:rsidR="00C649A4" w:rsidRPr="00F44D15" w:rsidRDefault="00C649A4" w:rsidP="00C649A4">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89C7B14" w14:textId="77777777" w:rsidR="00C649A4" w:rsidRPr="00F44D15" w:rsidRDefault="00C649A4" w:rsidP="00C649A4">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462A67BC" w14:textId="77777777" w:rsidR="00C649A4" w:rsidRPr="00F44D15" w:rsidRDefault="00C649A4" w:rsidP="00C649A4">
      <w:pPr>
        <w:tabs>
          <w:tab w:val="left" w:pos="-720"/>
        </w:tabs>
        <w:ind w:firstLine="426"/>
        <w:jc w:val="both"/>
        <w:rPr>
          <w:rFonts w:cs="Arial"/>
          <w:sz w:val="20"/>
        </w:rPr>
      </w:pPr>
      <w:r w:rsidRPr="00F44D15">
        <w:rPr>
          <w:rFonts w:cs="Arial"/>
          <w:sz w:val="20"/>
        </w:rPr>
        <w:tab/>
        <w:t>jednotlivá místa pojištění uvedená na příloze č. 1,</w:t>
      </w:r>
    </w:p>
    <w:p w14:paraId="63DA7D59" w14:textId="77777777" w:rsidR="00C649A4" w:rsidRPr="00F44D15" w:rsidRDefault="00C649A4" w:rsidP="00C649A4">
      <w:pPr>
        <w:tabs>
          <w:tab w:val="left" w:pos="-720"/>
        </w:tabs>
        <w:ind w:firstLine="426"/>
        <w:jc w:val="both"/>
        <w:rPr>
          <w:rFonts w:cs="Arial"/>
          <w:sz w:val="20"/>
        </w:rPr>
      </w:pPr>
      <w:r w:rsidRPr="00F44D15">
        <w:rPr>
          <w:rFonts w:cs="Arial"/>
          <w:sz w:val="20"/>
        </w:rPr>
        <w:tab/>
        <w:t>místa pojištění na území ČR, která pojištěný oprávněně užívá,</w:t>
      </w:r>
    </w:p>
    <w:p w14:paraId="5007A84E" w14:textId="209B4E54" w:rsidR="00C649A4" w:rsidRPr="00F44D15" w:rsidRDefault="00041BEB" w:rsidP="00C649A4">
      <w:pPr>
        <w:tabs>
          <w:tab w:val="left" w:pos="-720"/>
        </w:tabs>
        <w:ind w:left="709" w:hanging="283"/>
        <w:jc w:val="both"/>
        <w:rPr>
          <w:rFonts w:cs="Arial"/>
          <w:sz w:val="20"/>
        </w:rPr>
      </w:pPr>
      <w:r>
        <w:rPr>
          <w:rFonts w:cs="Arial"/>
          <w:sz w:val="20"/>
        </w:rPr>
        <w:tab/>
      </w:r>
      <w:r w:rsidR="00C649A4" w:rsidRPr="00F44D15">
        <w:rPr>
          <w:rFonts w:cs="Arial"/>
          <w:sz w:val="20"/>
        </w:rPr>
        <w:t>není-li dále uvedeno jinak.</w:t>
      </w:r>
    </w:p>
    <w:p w14:paraId="50D0A488" w14:textId="77777777" w:rsidR="00C649A4" w:rsidRPr="00F44D15" w:rsidRDefault="00C649A4" w:rsidP="00C649A4">
      <w:pPr>
        <w:tabs>
          <w:tab w:val="left" w:pos="-720"/>
        </w:tabs>
        <w:ind w:left="709" w:hanging="283"/>
        <w:jc w:val="both"/>
        <w:rPr>
          <w:rFonts w:cs="Arial"/>
          <w:sz w:val="20"/>
        </w:rPr>
      </w:pPr>
    </w:p>
    <w:p w14:paraId="6F44DA55" w14:textId="77777777" w:rsidR="00C649A4" w:rsidRPr="00F44D15" w:rsidRDefault="00C649A4" w:rsidP="00C649A4">
      <w:pPr>
        <w:keepNext/>
        <w:numPr>
          <w:ilvl w:val="0"/>
          <w:numId w:val="9"/>
        </w:numPr>
        <w:spacing w:before="120"/>
        <w:ind w:left="425" w:hanging="425"/>
        <w:rPr>
          <w:rFonts w:cs="Arial"/>
          <w:b/>
          <w:sz w:val="20"/>
        </w:rPr>
      </w:pPr>
      <w:r w:rsidRPr="00F44D15">
        <w:rPr>
          <w:rFonts w:cs="Arial"/>
          <w:b/>
          <w:sz w:val="20"/>
        </w:rPr>
        <w:t>Přehled sjednaných pojištění</w:t>
      </w:r>
    </w:p>
    <w:p w14:paraId="3F78E26B" w14:textId="77777777" w:rsidR="00C649A4" w:rsidRPr="00F44D15" w:rsidRDefault="00C649A4" w:rsidP="00C649A4">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1B93004F" w14:textId="77777777" w:rsidR="00C649A4" w:rsidRPr="00F44D15" w:rsidRDefault="00C649A4" w:rsidP="00C649A4">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17F9D94" w14:textId="77777777" w:rsidR="00C649A4" w:rsidRPr="00F44D15" w:rsidRDefault="00C649A4" w:rsidP="00C649A4">
      <w:pPr>
        <w:keepNext/>
        <w:rPr>
          <w:b/>
          <w:sz w:val="20"/>
          <w:szCs w:val="20"/>
        </w:rPr>
      </w:pPr>
      <w:r w:rsidRPr="00F44D15">
        <w:rPr>
          <w:b/>
          <w:sz w:val="20"/>
          <w:szCs w:val="20"/>
        </w:rPr>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C649A4" w:rsidRPr="00F44D15" w14:paraId="25CB64F7" w14:textId="77777777" w:rsidTr="009A09E4">
        <w:tc>
          <w:tcPr>
            <w:tcW w:w="9498" w:type="dxa"/>
            <w:gridSpan w:val="7"/>
          </w:tcPr>
          <w:p w14:paraId="47CD3086" w14:textId="77777777" w:rsidR="00C649A4" w:rsidRPr="00F44D15" w:rsidRDefault="00C649A4" w:rsidP="009A09E4">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C649A4" w:rsidRPr="00F44D15" w14:paraId="512C86E5" w14:textId="77777777" w:rsidTr="009A09E4">
        <w:tc>
          <w:tcPr>
            <w:tcW w:w="9498" w:type="dxa"/>
            <w:gridSpan w:val="7"/>
          </w:tcPr>
          <w:p w14:paraId="06ED1ADF" w14:textId="77777777" w:rsidR="00C649A4" w:rsidRPr="00F44D15" w:rsidRDefault="00C649A4" w:rsidP="009A09E4">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C649A4" w:rsidRPr="00F44D15" w14:paraId="138C5604" w14:textId="77777777" w:rsidTr="009A09E4">
        <w:tc>
          <w:tcPr>
            <w:tcW w:w="9498" w:type="dxa"/>
            <w:gridSpan w:val="7"/>
          </w:tcPr>
          <w:p w14:paraId="343FEDA3" w14:textId="31414FEF" w:rsidR="00C649A4" w:rsidRPr="00F44D15" w:rsidRDefault="00C649A4" w:rsidP="009A09E4">
            <w:pPr>
              <w:rPr>
                <w:sz w:val="20"/>
                <w:szCs w:val="20"/>
              </w:rPr>
            </w:pPr>
            <w:r w:rsidRPr="00F44D15">
              <w:rPr>
                <w:b/>
                <w:sz w:val="20"/>
                <w:szCs w:val="20"/>
              </w:rPr>
              <w:t>Pojištění se řídí:</w:t>
            </w:r>
            <w:r w:rsidRPr="00F44D15">
              <w:rPr>
                <w:sz w:val="20"/>
                <w:szCs w:val="20"/>
              </w:rPr>
              <w:t xml:space="preserve"> VPP P-100/14, ZPP P-150/14 a doložkami DOB101, DOB103, DOB107,</w:t>
            </w:r>
            <w:r w:rsidR="005253D9">
              <w:rPr>
                <w:sz w:val="20"/>
                <w:szCs w:val="20"/>
              </w:rPr>
              <w:t xml:space="preserve"> DOB110,</w:t>
            </w:r>
            <w:r w:rsidRPr="00F44D15">
              <w:rPr>
                <w:rFonts w:cs="Arial"/>
                <w:sz w:val="20"/>
              </w:rPr>
              <w:t xml:space="preserve"> DZ101, </w:t>
            </w:r>
            <w:r w:rsidRPr="00F44D15">
              <w:rPr>
                <w:rFonts w:cs="Arial"/>
                <w:bCs/>
                <w:sz w:val="20"/>
                <w:szCs w:val="20"/>
              </w:rPr>
              <w:t>DZ112, DZ113, DZ114</w:t>
            </w:r>
          </w:p>
        </w:tc>
      </w:tr>
      <w:tr w:rsidR="00C649A4" w:rsidRPr="00F44D15" w14:paraId="0EF21546" w14:textId="77777777" w:rsidTr="009A09E4">
        <w:tc>
          <w:tcPr>
            <w:tcW w:w="709" w:type="dxa"/>
            <w:vAlign w:val="center"/>
          </w:tcPr>
          <w:p w14:paraId="09CC9C17" w14:textId="77777777" w:rsidR="00C649A4" w:rsidRPr="00F44D15" w:rsidRDefault="00C649A4" w:rsidP="009A09E4">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098CE085" w14:textId="77777777" w:rsidR="00C649A4" w:rsidRPr="00F44D15" w:rsidRDefault="00C649A4" w:rsidP="009A09E4">
            <w:pPr>
              <w:jc w:val="center"/>
              <w:rPr>
                <w:b/>
                <w:sz w:val="20"/>
                <w:szCs w:val="20"/>
              </w:rPr>
            </w:pPr>
            <w:r w:rsidRPr="00F44D15">
              <w:rPr>
                <w:b/>
                <w:sz w:val="20"/>
                <w:szCs w:val="20"/>
              </w:rPr>
              <w:t>Předmět pojištění</w:t>
            </w:r>
          </w:p>
        </w:tc>
        <w:tc>
          <w:tcPr>
            <w:tcW w:w="1701" w:type="dxa"/>
            <w:vAlign w:val="center"/>
          </w:tcPr>
          <w:p w14:paraId="7C8E10B3" w14:textId="77777777" w:rsidR="00C649A4" w:rsidRPr="00F44D15" w:rsidRDefault="00C649A4" w:rsidP="009A09E4">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7123A0AE" w14:textId="77777777" w:rsidR="00C649A4" w:rsidRPr="00F44D15" w:rsidRDefault="00C649A4" w:rsidP="009A09E4">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7ED82493" w14:textId="77777777" w:rsidR="00C649A4" w:rsidRPr="00F44D15" w:rsidRDefault="00C649A4" w:rsidP="009A09E4">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50014DC" w14:textId="77777777" w:rsidR="00C649A4" w:rsidRPr="00F44D15" w:rsidRDefault="00C649A4" w:rsidP="009A09E4">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2F2D26B2" w14:textId="77777777" w:rsidR="00C649A4" w:rsidRPr="00F44D15" w:rsidRDefault="00C649A4" w:rsidP="009A09E4">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72324E48" w14:textId="77777777" w:rsidR="00C649A4" w:rsidRPr="00F44D15" w:rsidRDefault="00C649A4" w:rsidP="009A09E4">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C649A4" w:rsidRPr="00F44D15" w14:paraId="49C216F1" w14:textId="77777777" w:rsidTr="009A09E4">
        <w:tc>
          <w:tcPr>
            <w:tcW w:w="709" w:type="dxa"/>
            <w:vAlign w:val="center"/>
          </w:tcPr>
          <w:p w14:paraId="7826CE4E" w14:textId="77777777" w:rsidR="00C649A4" w:rsidRPr="00F44D15" w:rsidRDefault="00C649A4" w:rsidP="009A09E4">
            <w:pPr>
              <w:rPr>
                <w:sz w:val="20"/>
                <w:szCs w:val="20"/>
              </w:rPr>
            </w:pPr>
            <w:r w:rsidRPr="00F44D15">
              <w:rPr>
                <w:sz w:val="20"/>
                <w:szCs w:val="20"/>
              </w:rPr>
              <w:t>1.</w:t>
            </w:r>
          </w:p>
        </w:tc>
        <w:tc>
          <w:tcPr>
            <w:tcW w:w="1276" w:type="dxa"/>
            <w:vAlign w:val="center"/>
          </w:tcPr>
          <w:p w14:paraId="03C5892A" w14:textId="77777777" w:rsidR="00C649A4" w:rsidRPr="00F44D15" w:rsidRDefault="00C649A4" w:rsidP="009A09E4">
            <w:pPr>
              <w:rPr>
                <w:sz w:val="20"/>
                <w:szCs w:val="20"/>
              </w:rPr>
            </w:pPr>
            <w:r w:rsidRPr="00F44D15">
              <w:rPr>
                <w:sz w:val="20"/>
                <w:szCs w:val="20"/>
              </w:rPr>
              <w:t>Soubor vlastních budov a ostatních staveb</w:t>
            </w:r>
          </w:p>
        </w:tc>
        <w:tc>
          <w:tcPr>
            <w:tcW w:w="1701" w:type="dxa"/>
            <w:vAlign w:val="center"/>
          </w:tcPr>
          <w:p w14:paraId="4C2BC96D" w14:textId="467595EC" w:rsidR="00C649A4" w:rsidRPr="00FC2A03" w:rsidRDefault="00C649A4" w:rsidP="009A09E4">
            <w:pPr>
              <w:jc w:val="center"/>
              <w:rPr>
                <w:sz w:val="20"/>
                <w:szCs w:val="20"/>
              </w:rPr>
            </w:pPr>
            <w:r w:rsidRPr="00FC2A03">
              <w:rPr>
                <w:sz w:val="20"/>
                <w:szCs w:val="20"/>
              </w:rPr>
              <w:t>1</w:t>
            </w:r>
            <w:r>
              <w:rPr>
                <w:sz w:val="20"/>
                <w:szCs w:val="20"/>
              </w:rPr>
              <w:t>2</w:t>
            </w:r>
            <w:r w:rsidRPr="00FC2A03">
              <w:rPr>
                <w:sz w:val="20"/>
                <w:szCs w:val="20"/>
              </w:rPr>
              <w:t> </w:t>
            </w:r>
            <w:r w:rsidR="009E2B1F">
              <w:rPr>
                <w:sz w:val="20"/>
                <w:szCs w:val="20"/>
              </w:rPr>
              <w:t>480</w:t>
            </w:r>
            <w:r w:rsidRPr="00FC2A03">
              <w:rPr>
                <w:sz w:val="20"/>
                <w:szCs w:val="20"/>
              </w:rPr>
              <w:t xml:space="preserve"> 000 000 Kč</w:t>
            </w:r>
          </w:p>
        </w:tc>
        <w:tc>
          <w:tcPr>
            <w:tcW w:w="1417" w:type="dxa"/>
            <w:vAlign w:val="center"/>
          </w:tcPr>
          <w:p w14:paraId="46DB4B24" w14:textId="77777777" w:rsidR="00C649A4" w:rsidRPr="00FC2A03" w:rsidRDefault="00C649A4" w:rsidP="009A09E4">
            <w:pPr>
              <w:rPr>
                <w:sz w:val="20"/>
                <w:szCs w:val="20"/>
              </w:rPr>
            </w:pPr>
            <w:r w:rsidRPr="00FC2A03">
              <w:rPr>
                <w:sz w:val="20"/>
                <w:szCs w:val="20"/>
              </w:rPr>
              <w:t>500 000 Kč</w:t>
            </w:r>
          </w:p>
        </w:tc>
        <w:tc>
          <w:tcPr>
            <w:tcW w:w="1418" w:type="dxa"/>
            <w:vAlign w:val="center"/>
          </w:tcPr>
          <w:p w14:paraId="65DE772C" w14:textId="77777777" w:rsidR="00C649A4" w:rsidRPr="00FC2A03" w:rsidRDefault="00C649A4" w:rsidP="009A09E4">
            <w:pPr>
              <w:rPr>
                <w:sz w:val="20"/>
                <w:szCs w:val="20"/>
                <w:vertAlign w:val="superscript"/>
              </w:rPr>
            </w:pPr>
            <w:r w:rsidRPr="00FC2A03">
              <w:rPr>
                <w:sz w:val="20"/>
                <w:szCs w:val="20"/>
              </w:rPr>
              <w:t>*)</w:t>
            </w:r>
          </w:p>
        </w:tc>
        <w:tc>
          <w:tcPr>
            <w:tcW w:w="1417" w:type="dxa"/>
            <w:vAlign w:val="center"/>
          </w:tcPr>
          <w:p w14:paraId="228EBDAF" w14:textId="77777777" w:rsidR="00C649A4" w:rsidRPr="00F44D15" w:rsidRDefault="00C649A4" w:rsidP="009A09E4">
            <w:pPr>
              <w:rPr>
                <w:sz w:val="20"/>
                <w:szCs w:val="20"/>
              </w:rPr>
            </w:pPr>
            <w:r w:rsidRPr="00F44D15">
              <w:rPr>
                <w:rFonts w:cs="Arial"/>
                <w:sz w:val="20"/>
                <w:szCs w:val="20"/>
              </w:rPr>
              <w:t>nesjednává se</w:t>
            </w:r>
          </w:p>
        </w:tc>
        <w:tc>
          <w:tcPr>
            <w:tcW w:w="1560" w:type="dxa"/>
            <w:vAlign w:val="center"/>
          </w:tcPr>
          <w:p w14:paraId="590FAF3A"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5D9DB0C3" w14:textId="77777777" w:rsidTr="009A09E4">
        <w:tc>
          <w:tcPr>
            <w:tcW w:w="709" w:type="dxa"/>
            <w:vAlign w:val="center"/>
          </w:tcPr>
          <w:p w14:paraId="35F6F158" w14:textId="77777777" w:rsidR="00C649A4" w:rsidRPr="00F44D15" w:rsidRDefault="00C649A4" w:rsidP="009A09E4">
            <w:pPr>
              <w:rPr>
                <w:sz w:val="20"/>
                <w:szCs w:val="20"/>
              </w:rPr>
            </w:pPr>
            <w:r w:rsidRPr="00F44D15">
              <w:rPr>
                <w:sz w:val="20"/>
                <w:szCs w:val="20"/>
              </w:rPr>
              <w:t>2.</w:t>
            </w:r>
          </w:p>
        </w:tc>
        <w:tc>
          <w:tcPr>
            <w:tcW w:w="1276" w:type="dxa"/>
            <w:vAlign w:val="center"/>
          </w:tcPr>
          <w:p w14:paraId="5D9595FB" w14:textId="77777777" w:rsidR="00C649A4" w:rsidRPr="00F44D15" w:rsidRDefault="00C649A4" w:rsidP="009A09E4">
            <w:pPr>
              <w:rPr>
                <w:sz w:val="20"/>
                <w:szCs w:val="20"/>
              </w:rPr>
            </w:pPr>
            <w:r w:rsidRPr="00F44D15">
              <w:rPr>
                <w:sz w:val="20"/>
                <w:szCs w:val="20"/>
              </w:rPr>
              <w:t>Soubor vlastních movitých zařízení a vybavení a soubor cizích předmětů užívaných</w:t>
            </w:r>
          </w:p>
        </w:tc>
        <w:tc>
          <w:tcPr>
            <w:tcW w:w="1701" w:type="dxa"/>
            <w:vAlign w:val="center"/>
          </w:tcPr>
          <w:p w14:paraId="4EA7B64B" w14:textId="77777777" w:rsidR="00C649A4" w:rsidRPr="00FC2A03" w:rsidRDefault="00C649A4" w:rsidP="009A09E4">
            <w:pPr>
              <w:jc w:val="center"/>
              <w:rPr>
                <w:sz w:val="20"/>
                <w:szCs w:val="20"/>
              </w:rPr>
            </w:pPr>
            <w:r w:rsidRPr="00FC2A03">
              <w:rPr>
                <w:sz w:val="20"/>
                <w:szCs w:val="20"/>
              </w:rPr>
              <w:t>3 843 000 000 Kč</w:t>
            </w:r>
          </w:p>
        </w:tc>
        <w:tc>
          <w:tcPr>
            <w:tcW w:w="1417" w:type="dxa"/>
            <w:vAlign w:val="center"/>
          </w:tcPr>
          <w:p w14:paraId="13093B9B" w14:textId="77777777" w:rsidR="00C649A4" w:rsidRPr="00FC2A03" w:rsidRDefault="00C649A4" w:rsidP="009A09E4">
            <w:pPr>
              <w:rPr>
                <w:sz w:val="20"/>
                <w:szCs w:val="20"/>
              </w:rPr>
            </w:pPr>
            <w:r w:rsidRPr="00FC2A03">
              <w:rPr>
                <w:sz w:val="20"/>
                <w:szCs w:val="20"/>
              </w:rPr>
              <w:t>500 000 Kč</w:t>
            </w:r>
          </w:p>
        </w:tc>
        <w:tc>
          <w:tcPr>
            <w:tcW w:w="1418" w:type="dxa"/>
            <w:vAlign w:val="center"/>
          </w:tcPr>
          <w:p w14:paraId="64407369" w14:textId="77777777" w:rsidR="00C649A4" w:rsidRPr="00FC2A03" w:rsidRDefault="00C649A4" w:rsidP="009A09E4">
            <w:pPr>
              <w:rPr>
                <w:sz w:val="20"/>
                <w:szCs w:val="20"/>
                <w:vertAlign w:val="superscript"/>
              </w:rPr>
            </w:pPr>
            <w:r w:rsidRPr="00FC2A03">
              <w:rPr>
                <w:sz w:val="20"/>
                <w:szCs w:val="20"/>
              </w:rPr>
              <w:t>*)</w:t>
            </w:r>
          </w:p>
        </w:tc>
        <w:tc>
          <w:tcPr>
            <w:tcW w:w="1417" w:type="dxa"/>
            <w:vAlign w:val="center"/>
          </w:tcPr>
          <w:p w14:paraId="179875A3" w14:textId="77777777" w:rsidR="00C649A4" w:rsidRPr="00F44D15" w:rsidRDefault="00C649A4" w:rsidP="009A09E4">
            <w:pPr>
              <w:rPr>
                <w:sz w:val="20"/>
                <w:szCs w:val="20"/>
              </w:rPr>
            </w:pPr>
            <w:r w:rsidRPr="00F44D15">
              <w:rPr>
                <w:rFonts w:cs="Arial"/>
                <w:sz w:val="20"/>
                <w:szCs w:val="20"/>
              </w:rPr>
              <w:t>nesjednává se</w:t>
            </w:r>
          </w:p>
        </w:tc>
        <w:tc>
          <w:tcPr>
            <w:tcW w:w="1560" w:type="dxa"/>
            <w:vAlign w:val="center"/>
          </w:tcPr>
          <w:p w14:paraId="4EE5B6AB"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6BA2DC95" w14:textId="77777777" w:rsidTr="009A09E4">
        <w:tc>
          <w:tcPr>
            <w:tcW w:w="709" w:type="dxa"/>
            <w:vAlign w:val="center"/>
          </w:tcPr>
          <w:p w14:paraId="0592FF3C" w14:textId="77777777" w:rsidR="00C649A4" w:rsidRPr="00F44D15" w:rsidRDefault="00C649A4" w:rsidP="009A09E4">
            <w:pPr>
              <w:rPr>
                <w:sz w:val="20"/>
                <w:szCs w:val="20"/>
              </w:rPr>
            </w:pPr>
            <w:r w:rsidRPr="00F44D15">
              <w:rPr>
                <w:sz w:val="20"/>
                <w:szCs w:val="20"/>
              </w:rPr>
              <w:t>3.</w:t>
            </w:r>
          </w:p>
        </w:tc>
        <w:tc>
          <w:tcPr>
            <w:tcW w:w="1276" w:type="dxa"/>
            <w:vAlign w:val="center"/>
          </w:tcPr>
          <w:p w14:paraId="735664D4" w14:textId="77777777" w:rsidR="00C649A4" w:rsidRPr="00F44D15" w:rsidRDefault="00C649A4" w:rsidP="009A09E4">
            <w:pPr>
              <w:rPr>
                <w:sz w:val="20"/>
                <w:szCs w:val="20"/>
              </w:rPr>
            </w:pPr>
            <w:r w:rsidRPr="00F44D15">
              <w:rPr>
                <w:sz w:val="20"/>
                <w:szCs w:val="20"/>
              </w:rPr>
              <w:t>Soubor zásob</w:t>
            </w:r>
          </w:p>
        </w:tc>
        <w:tc>
          <w:tcPr>
            <w:tcW w:w="1701" w:type="dxa"/>
            <w:vAlign w:val="center"/>
          </w:tcPr>
          <w:p w14:paraId="54671685" w14:textId="1A1AA7A2" w:rsidR="00C649A4" w:rsidRPr="00FC2A03" w:rsidRDefault="009E2B1F" w:rsidP="009A09E4">
            <w:pPr>
              <w:rPr>
                <w:sz w:val="20"/>
                <w:szCs w:val="20"/>
              </w:rPr>
            </w:pPr>
            <w:r>
              <w:rPr>
                <w:sz w:val="20"/>
                <w:szCs w:val="20"/>
              </w:rPr>
              <w:t>329</w:t>
            </w:r>
            <w:r w:rsidR="00C649A4" w:rsidRPr="00FC2A03">
              <w:rPr>
                <w:sz w:val="20"/>
                <w:szCs w:val="20"/>
              </w:rPr>
              <w:t> </w:t>
            </w:r>
            <w:r>
              <w:rPr>
                <w:sz w:val="20"/>
                <w:szCs w:val="20"/>
              </w:rPr>
              <w:t>700</w:t>
            </w:r>
            <w:r w:rsidR="00C649A4" w:rsidRPr="00FC2A03">
              <w:rPr>
                <w:sz w:val="20"/>
                <w:szCs w:val="20"/>
              </w:rPr>
              <w:t> 000 Kč</w:t>
            </w:r>
          </w:p>
        </w:tc>
        <w:tc>
          <w:tcPr>
            <w:tcW w:w="1417" w:type="dxa"/>
            <w:vAlign w:val="center"/>
          </w:tcPr>
          <w:p w14:paraId="11D7CFC0" w14:textId="77777777" w:rsidR="00C649A4" w:rsidRPr="00FC2A03" w:rsidRDefault="00C649A4" w:rsidP="009A09E4">
            <w:pPr>
              <w:rPr>
                <w:sz w:val="20"/>
                <w:szCs w:val="20"/>
              </w:rPr>
            </w:pPr>
            <w:r w:rsidRPr="00FC2A03">
              <w:rPr>
                <w:sz w:val="20"/>
                <w:szCs w:val="20"/>
              </w:rPr>
              <w:t>500 000 Kč</w:t>
            </w:r>
          </w:p>
        </w:tc>
        <w:tc>
          <w:tcPr>
            <w:tcW w:w="1418" w:type="dxa"/>
            <w:vAlign w:val="center"/>
          </w:tcPr>
          <w:p w14:paraId="1F49ADA7" w14:textId="77777777" w:rsidR="00C649A4" w:rsidRPr="00FC2A03" w:rsidRDefault="00C649A4" w:rsidP="009A09E4">
            <w:pPr>
              <w:rPr>
                <w:sz w:val="20"/>
                <w:szCs w:val="20"/>
                <w:vertAlign w:val="superscript"/>
              </w:rPr>
            </w:pPr>
            <w:r w:rsidRPr="00FC2A03">
              <w:rPr>
                <w:sz w:val="20"/>
                <w:szCs w:val="20"/>
              </w:rPr>
              <w:t>*)</w:t>
            </w:r>
          </w:p>
        </w:tc>
        <w:tc>
          <w:tcPr>
            <w:tcW w:w="1417" w:type="dxa"/>
            <w:vAlign w:val="center"/>
          </w:tcPr>
          <w:p w14:paraId="68979C48" w14:textId="77777777" w:rsidR="00C649A4" w:rsidRPr="00F44D15" w:rsidRDefault="00C649A4" w:rsidP="009A09E4">
            <w:pPr>
              <w:rPr>
                <w:sz w:val="20"/>
                <w:szCs w:val="20"/>
              </w:rPr>
            </w:pPr>
            <w:r w:rsidRPr="00F44D15">
              <w:rPr>
                <w:rFonts w:cs="Arial"/>
                <w:sz w:val="20"/>
                <w:szCs w:val="20"/>
              </w:rPr>
              <w:t>nesjednává se</w:t>
            </w:r>
          </w:p>
        </w:tc>
        <w:tc>
          <w:tcPr>
            <w:tcW w:w="1560" w:type="dxa"/>
            <w:vAlign w:val="center"/>
          </w:tcPr>
          <w:p w14:paraId="1B537457"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1914BD76" w14:textId="77777777" w:rsidTr="009A09E4">
        <w:tc>
          <w:tcPr>
            <w:tcW w:w="709" w:type="dxa"/>
            <w:vAlign w:val="center"/>
          </w:tcPr>
          <w:p w14:paraId="61F53C0F" w14:textId="77777777" w:rsidR="00C649A4" w:rsidRPr="00F44D15" w:rsidRDefault="00C649A4" w:rsidP="009A09E4">
            <w:pPr>
              <w:rPr>
                <w:sz w:val="20"/>
                <w:szCs w:val="20"/>
              </w:rPr>
            </w:pPr>
            <w:r w:rsidRPr="00F44D15">
              <w:rPr>
                <w:sz w:val="20"/>
                <w:szCs w:val="20"/>
              </w:rPr>
              <w:t>4.</w:t>
            </w:r>
          </w:p>
        </w:tc>
        <w:tc>
          <w:tcPr>
            <w:tcW w:w="1276" w:type="dxa"/>
            <w:vAlign w:val="center"/>
          </w:tcPr>
          <w:p w14:paraId="180DF613" w14:textId="77777777" w:rsidR="00C649A4" w:rsidRPr="00F44D15" w:rsidRDefault="00C649A4" w:rsidP="009A09E4">
            <w:pPr>
              <w:rPr>
                <w:sz w:val="20"/>
                <w:szCs w:val="20"/>
              </w:rPr>
            </w:pPr>
            <w:r w:rsidRPr="00F44D15">
              <w:rPr>
                <w:sz w:val="20"/>
                <w:szCs w:val="20"/>
              </w:rPr>
              <w:t>Soubor cenných předmětů a finančních prostředků</w:t>
            </w:r>
          </w:p>
        </w:tc>
        <w:tc>
          <w:tcPr>
            <w:tcW w:w="1701" w:type="dxa"/>
            <w:vAlign w:val="center"/>
          </w:tcPr>
          <w:p w14:paraId="6AA5FC95" w14:textId="77777777" w:rsidR="00C649A4" w:rsidRPr="00FC2A03" w:rsidRDefault="00C649A4" w:rsidP="009A09E4">
            <w:pPr>
              <w:rPr>
                <w:sz w:val="20"/>
                <w:szCs w:val="20"/>
              </w:rPr>
            </w:pPr>
            <w:r w:rsidRPr="00FC2A03">
              <w:rPr>
                <w:rFonts w:cs="Arial"/>
                <w:sz w:val="20"/>
                <w:szCs w:val="20"/>
              </w:rPr>
              <w:t>nesjednává se</w:t>
            </w:r>
          </w:p>
        </w:tc>
        <w:tc>
          <w:tcPr>
            <w:tcW w:w="1417" w:type="dxa"/>
            <w:vAlign w:val="center"/>
          </w:tcPr>
          <w:p w14:paraId="7CD7DD7B" w14:textId="77777777" w:rsidR="00C649A4" w:rsidRPr="00FC2A03" w:rsidRDefault="00C649A4" w:rsidP="009A09E4">
            <w:pPr>
              <w:rPr>
                <w:sz w:val="20"/>
                <w:szCs w:val="20"/>
              </w:rPr>
            </w:pPr>
            <w:r w:rsidRPr="00FC2A03">
              <w:rPr>
                <w:sz w:val="20"/>
                <w:szCs w:val="20"/>
              </w:rPr>
              <w:t>100 000 Kč</w:t>
            </w:r>
          </w:p>
        </w:tc>
        <w:tc>
          <w:tcPr>
            <w:tcW w:w="1418" w:type="dxa"/>
            <w:vAlign w:val="center"/>
          </w:tcPr>
          <w:p w14:paraId="0058B378" w14:textId="77777777" w:rsidR="00C649A4" w:rsidRPr="00FC2A03" w:rsidRDefault="00C649A4" w:rsidP="009A09E4">
            <w:pPr>
              <w:rPr>
                <w:sz w:val="20"/>
                <w:szCs w:val="20"/>
                <w:vertAlign w:val="superscript"/>
              </w:rPr>
            </w:pPr>
            <w:r w:rsidRPr="00FC2A03">
              <w:rPr>
                <w:sz w:val="20"/>
                <w:szCs w:val="20"/>
              </w:rPr>
              <w:t>*)</w:t>
            </w:r>
          </w:p>
        </w:tc>
        <w:tc>
          <w:tcPr>
            <w:tcW w:w="1417" w:type="dxa"/>
            <w:vAlign w:val="center"/>
          </w:tcPr>
          <w:p w14:paraId="65E9B8C4" w14:textId="77777777" w:rsidR="00C649A4" w:rsidRPr="00F44D15" w:rsidRDefault="00C649A4" w:rsidP="009A09E4">
            <w:pPr>
              <w:rPr>
                <w:sz w:val="20"/>
                <w:szCs w:val="20"/>
              </w:rPr>
            </w:pPr>
            <w:r w:rsidRPr="00F44D15">
              <w:rPr>
                <w:rFonts w:cs="Arial"/>
                <w:sz w:val="20"/>
                <w:szCs w:val="20"/>
              </w:rPr>
              <w:t>1 500 000 Kč</w:t>
            </w:r>
          </w:p>
        </w:tc>
        <w:tc>
          <w:tcPr>
            <w:tcW w:w="1560" w:type="dxa"/>
            <w:vAlign w:val="center"/>
          </w:tcPr>
          <w:p w14:paraId="52621D8E"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50289A5C" w14:textId="77777777" w:rsidTr="009A09E4">
        <w:tc>
          <w:tcPr>
            <w:tcW w:w="709" w:type="dxa"/>
            <w:vAlign w:val="center"/>
          </w:tcPr>
          <w:p w14:paraId="4BB5086C" w14:textId="77777777" w:rsidR="00C649A4" w:rsidRPr="00F44D15" w:rsidRDefault="00C649A4" w:rsidP="009A09E4">
            <w:pPr>
              <w:rPr>
                <w:sz w:val="20"/>
                <w:szCs w:val="20"/>
              </w:rPr>
            </w:pPr>
            <w:r w:rsidRPr="00F44D15">
              <w:rPr>
                <w:sz w:val="20"/>
                <w:szCs w:val="20"/>
              </w:rPr>
              <w:t>5.</w:t>
            </w:r>
          </w:p>
        </w:tc>
        <w:tc>
          <w:tcPr>
            <w:tcW w:w="1276" w:type="dxa"/>
            <w:vAlign w:val="center"/>
          </w:tcPr>
          <w:p w14:paraId="7B10E5AE" w14:textId="77777777" w:rsidR="00C649A4" w:rsidRPr="00F44D15" w:rsidRDefault="00C649A4" w:rsidP="009A09E4">
            <w:pPr>
              <w:rPr>
                <w:sz w:val="20"/>
                <w:szCs w:val="20"/>
              </w:rPr>
            </w:pPr>
            <w:r w:rsidRPr="00F44D15">
              <w:rPr>
                <w:sz w:val="20"/>
                <w:szCs w:val="20"/>
              </w:rPr>
              <w:t>Cizí předmět užívaný</w:t>
            </w:r>
          </w:p>
        </w:tc>
        <w:tc>
          <w:tcPr>
            <w:tcW w:w="1701" w:type="dxa"/>
            <w:vAlign w:val="center"/>
          </w:tcPr>
          <w:p w14:paraId="52484B3B" w14:textId="77777777" w:rsidR="00C649A4" w:rsidRPr="00F44D15" w:rsidRDefault="00C649A4" w:rsidP="009A09E4">
            <w:pPr>
              <w:rPr>
                <w:sz w:val="20"/>
                <w:szCs w:val="20"/>
              </w:rPr>
            </w:pPr>
            <w:r w:rsidRPr="00F44D15">
              <w:rPr>
                <w:rFonts w:cs="Arial"/>
                <w:sz w:val="20"/>
                <w:szCs w:val="20"/>
              </w:rPr>
              <w:t>nesjednává se</w:t>
            </w:r>
          </w:p>
        </w:tc>
        <w:tc>
          <w:tcPr>
            <w:tcW w:w="1417" w:type="dxa"/>
            <w:vAlign w:val="center"/>
          </w:tcPr>
          <w:p w14:paraId="3A7AFC90" w14:textId="77777777" w:rsidR="00C649A4" w:rsidRPr="00F44D15" w:rsidRDefault="00C649A4" w:rsidP="009A09E4">
            <w:pPr>
              <w:rPr>
                <w:sz w:val="20"/>
                <w:szCs w:val="20"/>
              </w:rPr>
            </w:pPr>
            <w:r w:rsidRPr="00F44D15">
              <w:rPr>
                <w:sz w:val="20"/>
                <w:szCs w:val="20"/>
              </w:rPr>
              <w:t>viz poznámka</w:t>
            </w:r>
          </w:p>
        </w:tc>
        <w:tc>
          <w:tcPr>
            <w:tcW w:w="1418" w:type="dxa"/>
            <w:vAlign w:val="center"/>
          </w:tcPr>
          <w:p w14:paraId="1B37E9E5" w14:textId="77777777" w:rsidR="00C649A4" w:rsidRPr="00F44D15" w:rsidRDefault="00C649A4" w:rsidP="009A09E4">
            <w:pPr>
              <w:rPr>
                <w:sz w:val="20"/>
                <w:szCs w:val="20"/>
                <w:vertAlign w:val="superscript"/>
              </w:rPr>
            </w:pPr>
            <w:r w:rsidRPr="00F44D15">
              <w:rPr>
                <w:sz w:val="20"/>
                <w:szCs w:val="20"/>
              </w:rPr>
              <w:t>*)</w:t>
            </w:r>
          </w:p>
        </w:tc>
        <w:tc>
          <w:tcPr>
            <w:tcW w:w="1417" w:type="dxa"/>
            <w:vAlign w:val="center"/>
          </w:tcPr>
          <w:p w14:paraId="4B14B7E7" w14:textId="77777777" w:rsidR="00C649A4" w:rsidRPr="00F44D15" w:rsidRDefault="00C649A4" w:rsidP="009A09E4">
            <w:pPr>
              <w:rPr>
                <w:sz w:val="20"/>
                <w:szCs w:val="20"/>
              </w:rPr>
            </w:pPr>
            <w:r w:rsidRPr="00F44D15">
              <w:rPr>
                <w:rFonts w:cs="Arial"/>
                <w:sz w:val="20"/>
                <w:szCs w:val="20"/>
              </w:rPr>
              <w:t>1 000 000 Kč</w:t>
            </w:r>
          </w:p>
        </w:tc>
        <w:tc>
          <w:tcPr>
            <w:tcW w:w="1560" w:type="dxa"/>
            <w:vAlign w:val="center"/>
          </w:tcPr>
          <w:p w14:paraId="74DFFE38"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38F3DA10" w14:textId="77777777" w:rsidTr="009A09E4">
        <w:tc>
          <w:tcPr>
            <w:tcW w:w="9498" w:type="dxa"/>
            <w:gridSpan w:val="7"/>
          </w:tcPr>
          <w:p w14:paraId="40B6AA8A" w14:textId="77777777" w:rsidR="00C649A4" w:rsidRPr="00F44D15" w:rsidRDefault="00C649A4" w:rsidP="009A09E4">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3AB95849" w14:textId="77777777" w:rsidR="00C649A4" w:rsidRPr="00F44D15" w:rsidRDefault="00C649A4" w:rsidP="009A09E4">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w:t>
            </w:r>
            <w:proofErr w:type="gramStart"/>
            <w:r w:rsidRPr="00F44D15">
              <w:rPr>
                <w:sz w:val="20"/>
                <w:szCs w:val="20"/>
              </w:rPr>
              <w:t>5. :</w:t>
            </w:r>
            <w:proofErr w:type="gramEnd"/>
            <w:r w:rsidRPr="00F44D15">
              <w:rPr>
                <w:sz w:val="20"/>
                <w:szCs w:val="20"/>
              </w:rPr>
              <w:t xml:space="preserve"> </w:t>
            </w:r>
          </w:p>
          <w:p w14:paraId="737CAE6D" w14:textId="77777777" w:rsidR="00C649A4" w:rsidRPr="00F44D15" w:rsidRDefault="00C649A4" w:rsidP="009A09E4">
            <w:pPr>
              <w:numPr>
                <w:ilvl w:val="0"/>
                <w:numId w:val="19"/>
              </w:numPr>
              <w:tabs>
                <w:tab w:val="left" w:pos="426"/>
              </w:tabs>
              <w:jc w:val="both"/>
              <w:rPr>
                <w:sz w:val="20"/>
                <w:szCs w:val="20"/>
              </w:rPr>
            </w:pPr>
            <w:r w:rsidRPr="00F44D15">
              <w:rPr>
                <w:sz w:val="20"/>
                <w:szCs w:val="20"/>
              </w:rPr>
              <w:t>požární nebezpečí, náraz nebo pád, kouř ve výši 5 000 Kč,</w:t>
            </w:r>
          </w:p>
          <w:p w14:paraId="113C777F" w14:textId="77777777" w:rsidR="00C649A4" w:rsidRPr="00F44D15" w:rsidRDefault="00C649A4" w:rsidP="009A09E4">
            <w:pPr>
              <w:numPr>
                <w:ilvl w:val="0"/>
                <w:numId w:val="19"/>
              </w:numPr>
              <w:tabs>
                <w:tab w:val="left" w:pos="426"/>
              </w:tabs>
              <w:jc w:val="both"/>
              <w:rPr>
                <w:sz w:val="20"/>
                <w:szCs w:val="20"/>
              </w:rPr>
            </w:pPr>
            <w:r w:rsidRPr="00F44D15">
              <w:rPr>
                <w:sz w:val="20"/>
                <w:szCs w:val="20"/>
              </w:rPr>
              <w:t>vichřice nebo krupobití, vodovodní nebezpečí ve výši 20 000 Kč.</w:t>
            </w:r>
          </w:p>
          <w:p w14:paraId="57C10C31" w14:textId="77777777" w:rsidR="00C649A4" w:rsidRPr="00F44D15" w:rsidRDefault="00C649A4" w:rsidP="009A09E4">
            <w:pPr>
              <w:jc w:val="both"/>
              <w:rPr>
                <w:sz w:val="20"/>
                <w:szCs w:val="20"/>
              </w:rPr>
            </w:pPr>
            <w:r w:rsidRPr="00F44D15">
              <w:rPr>
                <w:sz w:val="20"/>
                <w:szCs w:val="20"/>
              </w:rPr>
              <w:t>Ujednává se, že se ustanovení čl. 3 odst. 3) ZPP P-150/14 ruší a nově zní:</w:t>
            </w:r>
          </w:p>
          <w:p w14:paraId="23FD9177" w14:textId="77777777" w:rsidR="00C649A4" w:rsidRPr="00F44D15" w:rsidRDefault="00C649A4" w:rsidP="009A09E4">
            <w:pPr>
              <w:pStyle w:val="Styl10bZarovnatdobloku"/>
            </w:pPr>
            <w:r w:rsidRPr="00F44D15">
              <w:t>„Z pojištění nevzniká právo na plnění pojistitele za škody vzniklé na pojištěné věci během její přepravy jako nákladu.“</w:t>
            </w:r>
          </w:p>
          <w:p w14:paraId="51C237A7" w14:textId="77777777" w:rsidR="00C649A4" w:rsidRPr="00F44D15" w:rsidRDefault="00C649A4" w:rsidP="009A09E4">
            <w:pPr>
              <w:tabs>
                <w:tab w:val="left" w:pos="426"/>
              </w:tabs>
              <w:jc w:val="both"/>
              <w:rPr>
                <w:sz w:val="20"/>
                <w:szCs w:val="20"/>
              </w:rPr>
            </w:pPr>
          </w:p>
          <w:p w14:paraId="22DDEF11" w14:textId="77777777" w:rsidR="00C649A4" w:rsidRPr="00F44D15" w:rsidRDefault="00C649A4" w:rsidP="009A09E4">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37291A25" w14:textId="77777777" w:rsidR="00C649A4" w:rsidRPr="00F44D15" w:rsidRDefault="00C649A4" w:rsidP="009A09E4">
            <w:pPr>
              <w:tabs>
                <w:tab w:val="left" w:pos="426"/>
              </w:tabs>
              <w:jc w:val="both"/>
              <w:rPr>
                <w:sz w:val="20"/>
                <w:szCs w:val="20"/>
              </w:rPr>
            </w:pPr>
          </w:p>
          <w:p w14:paraId="3EDCD568" w14:textId="77777777" w:rsidR="00C649A4" w:rsidRPr="00F44D15" w:rsidRDefault="00C649A4" w:rsidP="009A09E4">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7E016523" w14:textId="77777777" w:rsidR="00C649A4" w:rsidRDefault="00C649A4" w:rsidP="00C649A4">
      <w:pPr>
        <w:keepNext/>
        <w:rPr>
          <w:sz w:val="16"/>
          <w:szCs w:val="16"/>
        </w:rPr>
      </w:pPr>
      <w:r w:rsidRPr="00F44D15">
        <w:rPr>
          <w:sz w:val="16"/>
          <w:szCs w:val="16"/>
        </w:rPr>
        <w:t>*) není-li uvedeno, sjednává se pojištění s pojistnou hodnotou uvedenou v příslušných pojistných podmínkách</w:t>
      </w:r>
    </w:p>
    <w:p w14:paraId="1691DAF1" w14:textId="77777777" w:rsidR="00C649A4" w:rsidRDefault="00C649A4" w:rsidP="00C649A4">
      <w:pPr>
        <w:keepNext/>
        <w:rPr>
          <w:b/>
          <w:sz w:val="20"/>
          <w:szCs w:val="20"/>
        </w:rPr>
      </w:pPr>
    </w:p>
    <w:p w14:paraId="74890054" w14:textId="77777777" w:rsidR="00C649A4" w:rsidRPr="00F44D15" w:rsidRDefault="00C649A4" w:rsidP="00C649A4">
      <w:pPr>
        <w:keepNext/>
        <w:rPr>
          <w:b/>
          <w:sz w:val="20"/>
          <w:szCs w:val="20"/>
        </w:rPr>
      </w:pPr>
      <w:r w:rsidRPr="00F44D15">
        <w:rPr>
          <w:b/>
          <w:sz w:val="20"/>
          <w:szCs w:val="20"/>
        </w:rPr>
        <w:t>2.1.</w:t>
      </w:r>
      <w:r>
        <w:rPr>
          <w:b/>
          <w:sz w:val="20"/>
          <w:szCs w:val="20"/>
        </w:rPr>
        <w:t>2</w:t>
      </w:r>
      <w:r w:rsidRPr="00F44D15">
        <w:rPr>
          <w:b/>
          <w:sz w:val="20"/>
          <w:szCs w:val="20"/>
        </w:rPr>
        <w:t xml:space="preserve">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C649A4" w:rsidRPr="00F44D15" w14:paraId="5EB622E9" w14:textId="77777777" w:rsidTr="009A09E4">
        <w:tc>
          <w:tcPr>
            <w:tcW w:w="9498" w:type="dxa"/>
            <w:gridSpan w:val="7"/>
          </w:tcPr>
          <w:p w14:paraId="46DE79DF" w14:textId="77777777" w:rsidR="00C649A4" w:rsidRDefault="00C649A4" w:rsidP="009A09E4">
            <w:pPr>
              <w:rPr>
                <w:b/>
                <w:sz w:val="20"/>
                <w:szCs w:val="20"/>
              </w:rPr>
            </w:pPr>
            <w:r w:rsidRPr="00F44D15">
              <w:rPr>
                <w:b/>
                <w:sz w:val="20"/>
                <w:szCs w:val="20"/>
              </w:rPr>
              <w:t>Místo pojištění:</w:t>
            </w:r>
          </w:p>
          <w:p w14:paraId="5FF63474" w14:textId="77777777" w:rsidR="00C649A4" w:rsidRPr="001A5A3D" w:rsidRDefault="00C649A4" w:rsidP="009A09E4">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3473B2F" w14:textId="77777777" w:rsidR="00C649A4" w:rsidRPr="0023510A" w:rsidRDefault="00C649A4" w:rsidP="009A09E4">
            <w:pPr>
              <w:autoSpaceDE w:val="0"/>
              <w:autoSpaceDN w:val="0"/>
              <w:adjustRightInd w:val="0"/>
              <w:rPr>
                <w:rFonts w:cs="Arial"/>
                <w:sz w:val="20"/>
              </w:rPr>
            </w:pPr>
            <w:r w:rsidRPr="00060D69">
              <w:rPr>
                <w:rFonts w:cs="Arial"/>
                <w:sz w:val="20"/>
              </w:rPr>
              <w:t>Praha 2, U nemocnice 499/2 – areál nemocnice</w:t>
            </w:r>
          </w:p>
        </w:tc>
      </w:tr>
      <w:tr w:rsidR="00C649A4" w:rsidRPr="00F44D15" w14:paraId="44A3C41C" w14:textId="77777777" w:rsidTr="009A09E4">
        <w:tc>
          <w:tcPr>
            <w:tcW w:w="9498" w:type="dxa"/>
            <w:gridSpan w:val="7"/>
          </w:tcPr>
          <w:p w14:paraId="0C661E44" w14:textId="77777777" w:rsidR="00C649A4" w:rsidRPr="00F44D15" w:rsidRDefault="00C649A4" w:rsidP="009A09E4">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C649A4" w:rsidRPr="00F44D15" w14:paraId="00BCBFDA" w14:textId="77777777" w:rsidTr="009A09E4">
        <w:tc>
          <w:tcPr>
            <w:tcW w:w="9498" w:type="dxa"/>
            <w:gridSpan w:val="7"/>
          </w:tcPr>
          <w:p w14:paraId="59A742DB" w14:textId="23B5E68F" w:rsidR="00C649A4" w:rsidRPr="00F44D15" w:rsidRDefault="00C649A4" w:rsidP="009A09E4">
            <w:pPr>
              <w:rPr>
                <w:sz w:val="20"/>
                <w:szCs w:val="20"/>
              </w:rPr>
            </w:pPr>
            <w:r w:rsidRPr="00F44D15">
              <w:rPr>
                <w:b/>
                <w:sz w:val="20"/>
                <w:szCs w:val="20"/>
              </w:rPr>
              <w:t>Pojištění se řídí:</w:t>
            </w:r>
            <w:r w:rsidRPr="00F44D15">
              <w:rPr>
                <w:sz w:val="20"/>
                <w:szCs w:val="20"/>
              </w:rPr>
              <w:t xml:space="preserve"> VPP P-100/14, ZPP P-150/14 a doložkami DOB101, DOB103, DOB107</w:t>
            </w:r>
            <w:r w:rsidR="005253D9">
              <w:rPr>
                <w:sz w:val="20"/>
                <w:szCs w:val="20"/>
              </w:rPr>
              <w:t>, DOB110</w:t>
            </w:r>
          </w:p>
        </w:tc>
      </w:tr>
      <w:tr w:rsidR="00C649A4" w:rsidRPr="00F44D15" w14:paraId="6BD332AC" w14:textId="77777777" w:rsidTr="009A09E4">
        <w:tc>
          <w:tcPr>
            <w:tcW w:w="709" w:type="dxa"/>
            <w:vAlign w:val="center"/>
          </w:tcPr>
          <w:p w14:paraId="6418BE13" w14:textId="77777777" w:rsidR="00C649A4" w:rsidRPr="00F44D15" w:rsidRDefault="00C649A4" w:rsidP="009A09E4">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2440BB5E" w14:textId="77777777" w:rsidR="00C649A4" w:rsidRPr="00F44D15" w:rsidRDefault="00C649A4" w:rsidP="009A09E4">
            <w:pPr>
              <w:jc w:val="center"/>
              <w:rPr>
                <w:b/>
                <w:sz w:val="20"/>
                <w:szCs w:val="20"/>
              </w:rPr>
            </w:pPr>
            <w:r w:rsidRPr="00F44D15">
              <w:rPr>
                <w:b/>
                <w:sz w:val="20"/>
                <w:szCs w:val="20"/>
              </w:rPr>
              <w:t>Předmět pojištění</w:t>
            </w:r>
          </w:p>
        </w:tc>
        <w:tc>
          <w:tcPr>
            <w:tcW w:w="1247" w:type="dxa"/>
            <w:vAlign w:val="center"/>
          </w:tcPr>
          <w:p w14:paraId="6260C9A2" w14:textId="77777777" w:rsidR="00C649A4" w:rsidRPr="00F44D15" w:rsidRDefault="00C649A4" w:rsidP="009A09E4">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6242671" w14:textId="77777777" w:rsidR="00C649A4" w:rsidRPr="00F44D15" w:rsidRDefault="00C649A4" w:rsidP="009A09E4">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23E387AE" w14:textId="77777777" w:rsidR="00C649A4" w:rsidRPr="00F44D15" w:rsidRDefault="00C649A4" w:rsidP="009A09E4">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AD8F4C0" w14:textId="77777777" w:rsidR="00C649A4" w:rsidRPr="00F44D15" w:rsidRDefault="00C649A4" w:rsidP="009A09E4">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20326216" w14:textId="77777777" w:rsidR="00C649A4" w:rsidRPr="00F44D15" w:rsidRDefault="00C649A4" w:rsidP="009A09E4">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7E9B50B" w14:textId="77777777" w:rsidR="00C649A4" w:rsidRPr="00F44D15" w:rsidRDefault="00C649A4" w:rsidP="009A09E4">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C649A4" w:rsidRPr="00F44D15" w14:paraId="6F80335F" w14:textId="77777777" w:rsidTr="009A09E4">
        <w:tc>
          <w:tcPr>
            <w:tcW w:w="709" w:type="dxa"/>
            <w:vAlign w:val="center"/>
          </w:tcPr>
          <w:p w14:paraId="204BDBDC" w14:textId="77777777" w:rsidR="00C649A4" w:rsidRPr="00F44D15" w:rsidRDefault="00C649A4" w:rsidP="009A09E4">
            <w:pPr>
              <w:rPr>
                <w:sz w:val="20"/>
                <w:szCs w:val="20"/>
              </w:rPr>
            </w:pPr>
            <w:r w:rsidRPr="00F44D15">
              <w:rPr>
                <w:sz w:val="20"/>
                <w:szCs w:val="20"/>
              </w:rPr>
              <w:lastRenderedPageBreak/>
              <w:t>1.</w:t>
            </w:r>
          </w:p>
        </w:tc>
        <w:tc>
          <w:tcPr>
            <w:tcW w:w="1730" w:type="dxa"/>
            <w:vAlign w:val="center"/>
          </w:tcPr>
          <w:p w14:paraId="193E45A4" w14:textId="77777777" w:rsidR="00C649A4" w:rsidRPr="00F44D15" w:rsidRDefault="00C649A4" w:rsidP="009A09E4">
            <w:pPr>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05025955" w14:textId="77777777" w:rsidR="00C649A4" w:rsidRPr="00F44D15" w:rsidRDefault="00C649A4" w:rsidP="009A09E4">
            <w:pPr>
              <w:jc w:val="center"/>
              <w:rPr>
                <w:sz w:val="20"/>
                <w:szCs w:val="20"/>
              </w:rPr>
            </w:pPr>
            <w:r w:rsidRPr="00F44D15">
              <w:rPr>
                <w:sz w:val="20"/>
                <w:szCs w:val="20"/>
              </w:rPr>
              <w:t>1 </w:t>
            </w:r>
            <w:r>
              <w:rPr>
                <w:sz w:val="20"/>
                <w:szCs w:val="20"/>
              </w:rPr>
              <w:t>321</w:t>
            </w:r>
            <w:r w:rsidRPr="00F44D15">
              <w:rPr>
                <w:sz w:val="20"/>
                <w:szCs w:val="20"/>
              </w:rPr>
              <w:t> </w:t>
            </w:r>
            <w:r>
              <w:rPr>
                <w:sz w:val="20"/>
                <w:szCs w:val="20"/>
              </w:rPr>
              <w:t>915</w:t>
            </w:r>
            <w:r w:rsidRPr="00F44D15">
              <w:rPr>
                <w:sz w:val="20"/>
                <w:szCs w:val="20"/>
              </w:rPr>
              <w:t xml:space="preserve"> Kč</w:t>
            </w:r>
          </w:p>
        </w:tc>
        <w:tc>
          <w:tcPr>
            <w:tcW w:w="1417" w:type="dxa"/>
            <w:vAlign w:val="center"/>
          </w:tcPr>
          <w:p w14:paraId="4629C08F" w14:textId="77777777" w:rsidR="00C649A4" w:rsidRPr="00F44D15" w:rsidRDefault="00C649A4" w:rsidP="009A09E4">
            <w:pPr>
              <w:rPr>
                <w:sz w:val="20"/>
                <w:szCs w:val="20"/>
              </w:rPr>
            </w:pPr>
            <w:r>
              <w:rPr>
                <w:sz w:val="20"/>
                <w:szCs w:val="20"/>
              </w:rPr>
              <w:t>10 000 Kč</w:t>
            </w:r>
          </w:p>
        </w:tc>
        <w:tc>
          <w:tcPr>
            <w:tcW w:w="1418" w:type="dxa"/>
            <w:vAlign w:val="center"/>
          </w:tcPr>
          <w:p w14:paraId="4ACD0E02" w14:textId="77777777" w:rsidR="00C649A4" w:rsidRPr="00F44D15" w:rsidRDefault="00C649A4" w:rsidP="009A09E4">
            <w:pPr>
              <w:rPr>
                <w:sz w:val="20"/>
                <w:szCs w:val="20"/>
                <w:vertAlign w:val="superscript"/>
              </w:rPr>
            </w:pPr>
            <w:r w:rsidRPr="00F44D15">
              <w:rPr>
                <w:sz w:val="20"/>
                <w:szCs w:val="20"/>
              </w:rPr>
              <w:t>*)</w:t>
            </w:r>
          </w:p>
        </w:tc>
        <w:tc>
          <w:tcPr>
            <w:tcW w:w="1417" w:type="dxa"/>
            <w:vAlign w:val="center"/>
          </w:tcPr>
          <w:p w14:paraId="379F3752" w14:textId="77777777" w:rsidR="00C649A4" w:rsidRPr="00F44D15" w:rsidRDefault="00C649A4" w:rsidP="009A09E4">
            <w:pPr>
              <w:rPr>
                <w:sz w:val="20"/>
                <w:szCs w:val="20"/>
              </w:rPr>
            </w:pPr>
            <w:r w:rsidRPr="00F44D15">
              <w:rPr>
                <w:rFonts w:cs="Arial"/>
                <w:sz w:val="20"/>
                <w:szCs w:val="20"/>
              </w:rPr>
              <w:t>nesjednává se</w:t>
            </w:r>
          </w:p>
        </w:tc>
        <w:tc>
          <w:tcPr>
            <w:tcW w:w="1560" w:type="dxa"/>
            <w:vAlign w:val="center"/>
          </w:tcPr>
          <w:p w14:paraId="721A2166"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7EA2DBF4" w14:textId="77777777" w:rsidTr="009A09E4">
        <w:tc>
          <w:tcPr>
            <w:tcW w:w="709" w:type="dxa"/>
            <w:vAlign w:val="center"/>
          </w:tcPr>
          <w:p w14:paraId="243FC451" w14:textId="77777777" w:rsidR="00C649A4" w:rsidRPr="00F44D15" w:rsidRDefault="00C649A4" w:rsidP="009A09E4">
            <w:pPr>
              <w:rPr>
                <w:sz w:val="20"/>
                <w:szCs w:val="20"/>
              </w:rPr>
            </w:pPr>
            <w:r>
              <w:rPr>
                <w:sz w:val="20"/>
                <w:szCs w:val="20"/>
              </w:rPr>
              <w:t>2</w:t>
            </w:r>
            <w:r w:rsidRPr="00F44D15">
              <w:rPr>
                <w:sz w:val="20"/>
                <w:szCs w:val="20"/>
              </w:rPr>
              <w:t>.</w:t>
            </w:r>
          </w:p>
        </w:tc>
        <w:tc>
          <w:tcPr>
            <w:tcW w:w="1730" w:type="dxa"/>
            <w:vAlign w:val="center"/>
          </w:tcPr>
          <w:p w14:paraId="3D5B1431" w14:textId="77777777" w:rsidR="00C649A4" w:rsidRPr="00F44D15" w:rsidRDefault="00C649A4" w:rsidP="009A09E4">
            <w:pPr>
              <w:rPr>
                <w:sz w:val="20"/>
                <w:szCs w:val="20"/>
              </w:rPr>
            </w:pPr>
            <w:r w:rsidRPr="00F44D15">
              <w:rPr>
                <w:sz w:val="20"/>
                <w:szCs w:val="20"/>
              </w:rPr>
              <w:t>Soubor cenných předmětů a finančních prostředků</w:t>
            </w:r>
          </w:p>
        </w:tc>
        <w:tc>
          <w:tcPr>
            <w:tcW w:w="1247" w:type="dxa"/>
            <w:vAlign w:val="center"/>
          </w:tcPr>
          <w:p w14:paraId="6A22818D" w14:textId="77777777" w:rsidR="00C649A4" w:rsidRPr="00F44D15" w:rsidRDefault="00C649A4" w:rsidP="009A09E4">
            <w:pPr>
              <w:rPr>
                <w:sz w:val="20"/>
                <w:szCs w:val="20"/>
              </w:rPr>
            </w:pPr>
            <w:r w:rsidRPr="00F44D15">
              <w:rPr>
                <w:rFonts w:cs="Arial"/>
                <w:sz w:val="20"/>
                <w:szCs w:val="20"/>
              </w:rPr>
              <w:t>nesjednává se</w:t>
            </w:r>
          </w:p>
        </w:tc>
        <w:tc>
          <w:tcPr>
            <w:tcW w:w="1417" w:type="dxa"/>
            <w:vAlign w:val="center"/>
          </w:tcPr>
          <w:p w14:paraId="48D0F1B0" w14:textId="77777777" w:rsidR="00C649A4" w:rsidRPr="00F44D15" w:rsidRDefault="00C649A4" w:rsidP="009A09E4">
            <w:pPr>
              <w:rPr>
                <w:sz w:val="20"/>
                <w:szCs w:val="20"/>
              </w:rPr>
            </w:pPr>
            <w:r>
              <w:rPr>
                <w:sz w:val="20"/>
                <w:szCs w:val="20"/>
              </w:rPr>
              <w:t>10 000 Kč</w:t>
            </w:r>
          </w:p>
        </w:tc>
        <w:tc>
          <w:tcPr>
            <w:tcW w:w="1418" w:type="dxa"/>
            <w:vAlign w:val="center"/>
          </w:tcPr>
          <w:p w14:paraId="12D4C342" w14:textId="77777777" w:rsidR="00C649A4" w:rsidRPr="00F44D15" w:rsidRDefault="00C649A4" w:rsidP="009A09E4">
            <w:pPr>
              <w:rPr>
                <w:sz w:val="20"/>
                <w:szCs w:val="20"/>
                <w:vertAlign w:val="superscript"/>
              </w:rPr>
            </w:pPr>
            <w:r w:rsidRPr="00F44D15">
              <w:rPr>
                <w:sz w:val="20"/>
                <w:szCs w:val="20"/>
              </w:rPr>
              <w:t>*)</w:t>
            </w:r>
          </w:p>
        </w:tc>
        <w:tc>
          <w:tcPr>
            <w:tcW w:w="1417" w:type="dxa"/>
            <w:vAlign w:val="center"/>
          </w:tcPr>
          <w:p w14:paraId="0753780C" w14:textId="77777777" w:rsidR="00C649A4" w:rsidRPr="00F44D15" w:rsidRDefault="00C649A4" w:rsidP="009A09E4">
            <w:pPr>
              <w:rPr>
                <w:sz w:val="20"/>
                <w:szCs w:val="20"/>
              </w:rPr>
            </w:pPr>
            <w:r>
              <w:rPr>
                <w:rFonts w:cs="Arial"/>
                <w:sz w:val="20"/>
                <w:szCs w:val="20"/>
              </w:rPr>
              <w:t>2</w:t>
            </w:r>
            <w:r w:rsidRPr="00F44D15">
              <w:rPr>
                <w:rFonts w:cs="Arial"/>
                <w:sz w:val="20"/>
                <w:szCs w:val="20"/>
              </w:rPr>
              <w:t>00 000 Kč</w:t>
            </w:r>
          </w:p>
        </w:tc>
        <w:tc>
          <w:tcPr>
            <w:tcW w:w="1560" w:type="dxa"/>
            <w:vAlign w:val="center"/>
          </w:tcPr>
          <w:p w14:paraId="28311943"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65CDD6A1" w14:textId="77777777" w:rsidTr="009A09E4">
        <w:tc>
          <w:tcPr>
            <w:tcW w:w="9498" w:type="dxa"/>
            <w:gridSpan w:val="7"/>
          </w:tcPr>
          <w:p w14:paraId="48DD1DD2" w14:textId="77777777" w:rsidR="00C649A4" w:rsidRPr="00F44D15" w:rsidRDefault="00C649A4" w:rsidP="009A09E4">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24AFDA6C" w14:textId="77777777" w:rsidR="00C649A4" w:rsidRPr="00F44D15" w:rsidRDefault="00C649A4" w:rsidP="00C649A4">
      <w:pPr>
        <w:keepNext/>
        <w:rPr>
          <w:sz w:val="16"/>
          <w:szCs w:val="16"/>
        </w:rPr>
      </w:pPr>
      <w:r w:rsidRPr="00F44D15">
        <w:rPr>
          <w:sz w:val="16"/>
          <w:szCs w:val="16"/>
        </w:rPr>
        <w:t>*) není-li uvedeno, sjednává se pojištění s pojistnou hodnotou uvedenou v příslušných pojistných podmínkách</w:t>
      </w:r>
    </w:p>
    <w:p w14:paraId="095B2559" w14:textId="77777777" w:rsidR="00C649A4" w:rsidRPr="00F44D15" w:rsidRDefault="00C649A4" w:rsidP="00C649A4">
      <w:pPr>
        <w:keepNext/>
        <w:rPr>
          <w:sz w:val="16"/>
          <w:szCs w:val="16"/>
        </w:rPr>
      </w:pPr>
    </w:p>
    <w:p w14:paraId="08B47F15" w14:textId="77777777" w:rsidR="00C649A4" w:rsidRPr="00F44D15" w:rsidRDefault="00C649A4" w:rsidP="00C649A4">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C649A4" w:rsidRPr="00F44D15" w14:paraId="2352602C" w14:textId="77777777" w:rsidTr="009A09E4">
        <w:tc>
          <w:tcPr>
            <w:tcW w:w="9498" w:type="dxa"/>
            <w:gridSpan w:val="7"/>
          </w:tcPr>
          <w:p w14:paraId="0F7C0181" w14:textId="77777777" w:rsidR="00C649A4" w:rsidRPr="00F44D15" w:rsidRDefault="00C649A4" w:rsidP="009A09E4">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C649A4" w:rsidRPr="00F44D15" w14:paraId="7C45CEB9" w14:textId="77777777" w:rsidTr="009A09E4">
        <w:tc>
          <w:tcPr>
            <w:tcW w:w="9498" w:type="dxa"/>
            <w:gridSpan w:val="7"/>
          </w:tcPr>
          <w:p w14:paraId="2A403534" w14:textId="77777777" w:rsidR="00C649A4" w:rsidRPr="00F44D15" w:rsidRDefault="00C649A4" w:rsidP="009A09E4">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C649A4" w:rsidRPr="00F44D15" w14:paraId="5264FF57" w14:textId="77777777" w:rsidTr="009A09E4">
        <w:tc>
          <w:tcPr>
            <w:tcW w:w="9498" w:type="dxa"/>
            <w:gridSpan w:val="7"/>
          </w:tcPr>
          <w:p w14:paraId="1D189050" w14:textId="78531FE2" w:rsidR="00C649A4" w:rsidRPr="00F44D15" w:rsidRDefault="00C649A4" w:rsidP="009A09E4">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005253D9">
              <w:rPr>
                <w:sz w:val="20"/>
                <w:szCs w:val="20"/>
              </w:rPr>
              <w:t xml:space="preserve">DOB110, </w:t>
            </w:r>
            <w:r w:rsidRPr="00F44D15">
              <w:rPr>
                <w:bCs/>
                <w:sz w:val="20"/>
                <w:szCs w:val="20"/>
              </w:rPr>
              <w:t xml:space="preserve">DOZ101, DOZ102, </w:t>
            </w:r>
            <w:r w:rsidRPr="00F44D15">
              <w:rPr>
                <w:sz w:val="20"/>
                <w:szCs w:val="20"/>
              </w:rPr>
              <w:t>DOZ105</w:t>
            </w:r>
          </w:p>
        </w:tc>
      </w:tr>
      <w:tr w:rsidR="00C649A4" w:rsidRPr="00F44D15" w14:paraId="4B72C087" w14:textId="77777777" w:rsidTr="009A09E4">
        <w:tc>
          <w:tcPr>
            <w:tcW w:w="709" w:type="dxa"/>
            <w:vAlign w:val="center"/>
          </w:tcPr>
          <w:p w14:paraId="07A481E1" w14:textId="77777777" w:rsidR="00C649A4" w:rsidRPr="00F44D15" w:rsidRDefault="00C649A4" w:rsidP="009A09E4">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4D173CF9" w14:textId="77777777" w:rsidR="00C649A4" w:rsidRPr="00F44D15" w:rsidRDefault="00C649A4" w:rsidP="009A09E4">
            <w:pPr>
              <w:jc w:val="both"/>
              <w:rPr>
                <w:b/>
                <w:sz w:val="20"/>
                <w:szCs w:val="20"/>
              </w:rPr>
            </w:pPr>
            <w:r w:rsidRPr="00F44D15">
              <w:rPr>
                <w:b/>
                <w:sz w:val="20"/>
                <w:szCs w:val="20"/>
              </w:rPr>
              <w:t>Předmět pojištění</w:t>
            </w:r>
          </w:p>
        </w:tc>
        <w:tc>
          <w:tcPr>
            <w:tcW w:w="1701" w:type="dxa"/>
            <w:vAlign w:val="center"/>
          </w:tcPr>
          <w:p w14:paraId="0F8B0B0E" w14:textId="77777777" w:rsidR="00C649A4" w:rsidRPr="00F44D15" w:rsidRDefault="00C649A4" w:rsidP="009A09E4">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6433CF75" w14:textId="77777777" w:rsidR="00C649A4" w:rsidRPr="00F44D15" w:rsidRDefault="00C649A4" w:rsidP="009A09E4">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9E43" w14:textId="77777777" w:rsidR="00C649A4" w:rsidRPr="00F44D15" w:rsidRDefault="00C649A4" w:rsidP="009A09E4">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6863340"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7568FFF4" w14:textId="77777777" w:rsidR="00C649A4" w:rsidRPr="00F44D15" w:rsidRDefault="00C649A4" w:rsidP="009A09E4">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58302E72"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C649A4" w:rsidRPr="00F44D15" w14:paraId="134348B7" w14:textId="77777777" w:rsidTr="009A09E4">
        <w:tc>
          <w:tcPr>
            <w:tcW w:w="709" w:type="dxa"/>
            <w:vAlign w:val="center"/>
          </w:tcPr>
          <w:p w14:paraId="0C50D137" w14:textId="77777777" w:rsidR="00C649A4" w:rsidRPr="00F44D15" w:rsidRDefault="00C649A4" w:rsidP="009A09E4">
            <w:pPr>
              <w:jc w:val="both"/>
              <w:rPr>
                <w:sz w:val="20"/>
                <w:szCs w:val="20"/>
              </w:rPr>
            </w:pPr>
            <w:r w:rsidRPr="00F44D15">
              <w:rPr>
                <w:sz w:val="20"/>
                <w:szCs w:val="20"/>
              </w:rPr>
              <w:t>1.</w:t>
            </w:r>
          </w:p>
        </w:tc>
        <w:tc>
          <w:tcPr>
            <w:tcW w:w="1276" w:type="dxa"/>
            <w:vAlign w:val="center"/>
          </w:tcPr>
          <w:p w14:paraId="1376DA1D" w14:textId="77777777" w:rsidR="00C649A4" w:rsidRPr="00F44D15" w:rsidRDefault="00C649A4" w:rsidP="009A09E4">
            <w:pPr>
              <w:jc w:val="both"/>
              <w:rPr>
                <w:sz w:val="20"/>
                <w:szCs w:val="20"/>
              </w:rPr>
            </w:pPr>
            <w:r w:rsidRPr="00F44D15">
              <w:rPr>
                <w:sz w:val="20"/>
                <w:szCs w:val="20"/>
              </w:rPr>
              <w:t>Předměty pojištění uvedené v tabulce 2.1.1 Živelní pojištění této pojistné smlouvy</w:t>
            </w:r>
          </w:p>
        </w:tc>
        <w:tc>
          <w:tcPr>
            <w:tcW w:w="1701" w:type="dxa"/>
            <w:vAlign w:val="center"/>
          </w:tcPr>
          <w:p w14:paraId="519A47AD" w14:textId="77777777" w:rsidR="00C649A4" w:rsidRPr="00F44D15" w:rsidRDefault="00C649A4" w:rsidP="009A09E4">
            <w:pPr>
              <w:jc w:val="both"/>
              <w:rPr>
                <w:sz w:val="20"/>
                <w:szCs w:val="20"/>
              </w:rPr>
            </w:pPr>
            <w:r w:rsidRPr="00F44D15">
              <w:rPr>
                <w:sz w:val="20"/>
                <w:szCs w:val="20"/>
              </w:rPr>
              <w:t>nesjednává se</w:t>
            </w:r>
          </w:p>
        </w:tc>
        <w:tc>
          <w:tcPr>
            <w:tcW w:w="1417" w:type="dxa"/>
            <w:vAlign w:val="center"/>
          </w:tcPr>
          <w:p w14:paraId="26BC9A15" w14:textId="77777777" w:rsidR="00C649A4" w:rsidRPr="00FC2A03" w:rsidRDefault="00C649A4" w:rsidP="009A09E4">
            <w:pPr>
              <w:jc w:val="both"/>
              <w:rPr>
                <w:sz w:val="20"/>
                <w:szCs w:val="20"/>
              </w:rPr>
            </w:pPr>
            <w:r w:rsidRPr="00FC2A03">
              <w:rPr>
                <w:sz w:val="20"/>
                <w:szCs w:val="20"/>
              </w:rPr>
              <w:t>50 000 Kč</w:t>
            </w:r>
          </w:p>
        </w:tc>
        <w:tc>
          <w:tcPr>
            <w:tcW w:w="1418" w:type="dxa"/>
            <w:vAlign w:val="center"/>
          </w:tcPr>
          <w:p w14:paraId="2C6FD020" w14:textId="77777777" w:rsidR="00C649A4" w:rsidRPr="00F44D15" w:rsidRDefault="00C649A4" w:rsidP="009A09E4">
            <w:pPr>
              <w:jc w:val="both"/>
              <w:rPr>
                <w:sz w:val="20"/>
                <w:szCs w:val="20"/>
                <w:vertAlign w:val="superscript"/>
              </w:rPr>
            </w:pPr>
            <w:r w:rsidRPr="00F44D15">
              <w:rPr>
                <w:sz w:val="20"/>
                <w:szCs w:val="20"/>
              </w:rPr>
              <w:t>*)</w:t>
            </w:r>
          </w:p>
        </w:tc>
        <w:tc>
          <w:tcPr>
            <w:tcW w:w="1417" w:type="dxa"/>
            <w:vAlign w:val="center"/>
          </w:tcPr>
          <w:p w14:paraId="589033D0" w14:textId="77777777" w:rsidR="00C649A4" w:rsidRPr="00F44D15" w:rsidRDefault="00C649A4" w:rsidP="009A09E4">
            <w:pPr>
              <w:jc w:val="center"/>
              <w:rPr>
                <w:sz w:val="20"/>
                <w:szCs w:val="20"/>
              </w:rPr>
            </w:pPr>
            <w:r w:rsidRPr="00F44D15">
              <w:rPr>
                <w:sz w:val="20"/>
                <w:szCs w:val="20"/>
              </w:rPr>
              <w:t>10 000 000 Kč</w:t>
            </w:r>
          </w:p>
        </w:tc>
        <w:tc>
          <w:tcPr>
            <w:tcW w:w="1560" w:type="dxa"/>
            <w:vAlign w:val="center"/>
          </w:tcPr>
          <w:p w14:paraId="2F20AAC0" w14:textId="77777777" w:rsidR="00C649A4" w:rsidRPr="00F44D15" w:rsidRDefault="00C649A4" w:rsidP="009A09E4">
            <w:pPr>
              <w:jc w:val="both"/>
              <w:rPr>
                <w:sz w:val="20"/>
                <w:szCs w:val="20"/>
              </w:rPr>
            </w:pPr>
            <w:r w:rsidRPr="00F44D15">
              <w:rPr>
                <w:sz w:val="20"/>
                <w:szCs w:val="20"/>
              </w:rPr>
              <w:t>nesjednává se</w:t>
            </w:r>
          </w:p>
        </w:tc>
      </w:tr>
      <w:tr w:rsidR="00C649A4" w:rsidRPr="00F44D15" w14:paraId="742053BB" w14:textId="77777777" w:rsidTr="009A09E4">
        <w:tc>
          <w:tcPr>
            <w:tcW w:w="9498" w:type="dxa"/>
            <w:gridSpan w:val="7"/>
          </w:tcPr>
          <w:p w14:paraId="17495A77" w14:textId="77777777" w:rsidR="00C649A4" w:rsidRPr="00F44D15" w:rsidRDefault="00C649A4" w:rsidP="009A09E4">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1739183C" w14:textId="77777777" w:rsidR="00C649A4" w:rsidRPr="00F44D15" w:rsidRDefault="00C649A4" w:rsidP="00C649A4">
      <w:pPr>
        <w:jc w:val="both"/>
        <w:rPr>
          <w:sz w:val="16"/>
          <w:szCs w:val="16"/>
        </w:rPr>
      </w:pPr>
      <w:r w:rsidRPr="00F44D15">
        <w:rPr>
          <w:sz w:val="16"/>
          <w:szCs w:val="16"/>
        </w:rPr>
        <w:t xml:space="preserve">*) není-li uvedeno, sjednává se pojištění s pojistnou hodnotou uvedenou v příslušných pojistných podmínkách </w:t>
      </w:r>
    </w:p>
    <w:p w14:paraId="04636D79" w14:textId="77777777" w:rsidR="00C649A4" w:rsidRDefault="00C649A4" w:rsidP="00C649A4">
      <w:pPr>
        <w:jc w:val="both"/>
        <w:rPr>
          <w:sz w:val="20"/>
          <w:szCs w:val="20"/>
        </w:rPr>
      </w:pPr>
    </w:p>
    <w:p w14:paraId="756B6CDB" w14:textId="77777777" w:rsidR="00C649A4" w:rsidRPr="00F44D15" w:rsidRDefault="00C649A4" w:rsidP="00C649A4">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C649A4" w:rsidRPr="00F44D15" w14:paraId="06ECDF77" w14:textId="77777777" w:rsidTr="009A09E4">
        <w:tc>
          <w:tcPr>
            <w:tcW w:w="9498" w:type="dxa"/>
            <w:gridSpan w:val="7"/>
          </w:tcPr>
          <w:p w14:paraId="353C0CB7" w14:textId="77777777" w:rsidR="00C649A4" w:rsidRDefault="00C649A4" w:rsidP="009A09E4">
            <w:pPr>
              <w:rPr>
                <w:b/>
                <w:sz w:val="20"/>
                <w:szCs w:val="20"/>
              </w:rPr>
            </w:pPr>
            <w:r w:rsidRPr="00F44D15">
              <w:rPr>
                <w:b/>
                <w:sz w:val="20"/>
                <w:szCs w:val="20"/>
              </w:rPr>
              <w:t>Místo pojištění:</w:t>
            </w:r>
          </w:p>
          <w:p w14:paraId="5BC08565" w14:textId="77777777" w:rsidR="00C649A4" w:rsidRPr="001A5A3D" w:rsidRDefault="00C649A4" w:rsidP="009A09E4">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3CA6762" w14:textId="77777777" w:rsidR="00C649A4" w:rsidRPr="00F44D15" w:rsidRDefault="00C649A4" w:rsidP="009A09E4">
            <w:pPr>
              <w:jc w:val="both"/>
              <w:rPr>
                <w:b/>
                <w:sz w:val="20"/>
                <w:szCs w:val="20"/>
              </w:rPr>
            </w:pPr>
            <w:r w:rsidRPr="00060D69">
              <w:rPr>
                <w:rFonts w:cs="Arial"/>
                <w:sz w:val="20"/>
              </w:rPr>
              <w:t>Praha 2, U nemocnice 499/2 – areál nemocnice</w:t>
            </w:r>
          </w:p>
        </w:tc>
      </w:tr>
      <w:tr w:rsidR="00C649A4" w:rsidRPr="00F44D15" w14:paraId="2EA31536" w14:textId="77777777" w:rsidTr="009A09E4">
        <w:tc>
          <w:tcPr>
            <w:tcW w:w="9498" w:type="dxa"/>
            <w:gridSpan w:val="7"/>
          </w:tcPr>
          <w:p w14:paraId="484588EF" w14:textId="77777777" w:rsidR="00C649A4" w:rsidRPr="00F44D15" w:rsidRDefault="00C649A4" w:rsidP="009A09E4">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C649A4" w:rsidRPr="00F44D15" w14:paraId="3CD5C6A2" w14:textId="77777777" w:rsidTr="009A09E4">
        <w:tc>
          <w:tcPr>
            <w:tcW w:w="9498" w:type="dxa"/>
            <w:gridSpan w:val="7"/>
          </w:tcPr>
          <w:p w14:paraId="41719108" w14:textId="68A6BA2B" w:rsidR="00C649A4" w:rsidRPr="00F44D15" w:rsidRDefault="00C649A4" w:rsidP="009A09E4">
            <w:pPr>
              <w:jc w:val="both"/>
              <w:rPr>
                <w:sz w:val="20"/>
                <w:szCs w:val="20"/>
              </w:rPr>
            </w:pPr>
            <w:r w:rsidRPr="00F44D15">
              <w:rPr>
                <w:b/>
                <w:sz w:val="20"/>
                <w:szCs w:val="20"/>
              </w:rPr>
              <w:t>Pojištění se řídí:</w:t>
            </w:r>
            <w:r w:rsidRPr="00F44D15">
              <w:rPr>
                <w:sz w:val="20"/>
                <w:szCs w:val="20"/>
              </w:rPr>
              <w:t xml:space="preserve"> VPP P-100/14, ZPP P-200/14 a doložkami DOB101, DOB103</w:t>
            </w:r>
            <w:r>
              <w:rPr>
                <w:sz w:val="20"/>
                <w:szCs w:val="20"/>
              </w:rPr>
              <w:t>,</w:t>
            </w:r>
            <w:r w:rsidR="005253D9">
              <w:rPr>
                <w:sz w:val="20"/>
                <w:szCs w:val="20"/>
              </w:rPr>
              <w:t xml:space="preserve"> DOB110,</w:t>
            </w:r>
            <w:r>
              <w:rPr>
                <w:sz w:val="20"/>
                <w:szCs w:val="20"/>
              </w:rPr>
              <w:t xml:space="preserve"> DOZ105</w:t>
            </w:r>
          </w:p>
        </w:tc>
      </w:tr>
      <w:tr w:rsidR="00C649A4" w:rsidRPr="00F44D15" w14:paraId="098764A6" w14:textId="77777777" w:rsidTr="009A09E4">
        <w:tc>
          <w:tcPr>
            <w:tcW w:w="709" w:type="dxa"/>
            <w:vAlign w:val="center"/>
          </w:tcPr>
          <w:p w14:paraId="70320FD0" w14:textId="77777777" w:rsidR="00C649A4" w:rsidRPr="00F44D15" w:rsidRDefault="00C649A4" w:rsidP="009A09E4">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4B958C08" w14:textId="77777777" w:rsidR="00C649A4" w:rsidRPr="00F44D15" w:rsidRDefault="00C649A4" w:rsidP="009A09E4">
            <w:pPr>
              <w:jc w:val="both"/>
              <w:rPr>
                <w:b/>
                <w:sz w:val="20"/>
                <w:szCs w:val="20"/>
              </w:rPr>
            </w:pPr>
            <w:r w:rsidRPr="00F44D15">
              <w:rPr>
                <w:b/>
                <w:sz w:val="20"/>
                <w:szCs w:val="20"/>
              </w:rPr>
              <w:t>Předmět pojištění</w:t>
            </w:r>
          </w:p>
        </w:tc>
        <w:tc>
          <w:tcPr>
            <w:tcW w:w="1247" w:type="dxa"/>
            <w:vAlign w:val="center"/>
          </w:tcPr>
          <w:p w14:paraId="4329F748" w14:textId="77777777" w:rsidR="00C649A4" w:rsidRPr="00F44D15" w:rsidRDefault="00C649A4" w:rsidP="009A09E4">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C005FF8" w14:textId="77777777" w:rsidR="00C649A4" w:rsidRPr="00F44D15" w:rsidRDefault="00C649A4" w:rsidP="009A09E4">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756E8CA0" w14:textId="77777777" w:rsidR="00C649A4" w:rsidRPr="00F44D15" w:rsidRDefault="00C649A4" w:rsidP="009A09E4">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2D15C6AB"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3773615E" w14:textId="77777777" w:rsidR="00C649A4" w:rsidRPr="00F44D15" w:rsidRDefault="00C649A4" w:rsidP="009A09E4">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06B256B"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C649A4" w:rsidRPr="00F44D15" w14:paraId="4110D832" w14:textId="77777777" w:rsidTr="009A09E4">
        <w:tc>
          <w:tcPr>
            <w:tcW w:w="709" w:type="dxa"/>
            <w:vAlign w:val="center"/>
          </w:tcPr>
          <w:p w14:paraId="2A2CE190" w14:textId="77777777" w:rsidR="00C649A4" w:rsidRPr="00F44D15" w:rsidRDefault="00C649A4" w:rsidP="009A09E4">
            <w:pPr>
              <w:jc w:val="both"/>
              <w:rPr>
                <w:sz w:val="20"/>
                <w:szCs w:val="20"/>
              </w:rPr>
            </w:pPr>
            <w:r w:rsidRPr="00F44D15">
              <w:rPr>
                <w:sz w:val="20"/>
                <w:szCs w:val="20"/>
              </w:rPr>
              <w:t>1.</w:t>
            </w:r>
          </w:p>
        </w:tc>
        <w:tc>
          <w:tcPr>
            <w:tcW w:w="1730" w:type="dxa"/>
            <w:vAlign w:val="center"/>
          </w:tcPr>
          <w:p w14:paraId="16D62011" w14:textId="77777777" w:rsidR="00C649A4" w:rsidRPr="00F44D15" w:rsidRDefault="00C649A4" w:rsidP="009A09E4">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2F98DBFB" w14:textId="77777777" w:rsidR="00C649A4" w:rsidRPr="00F44D15" w:rsidRDefault="00C649A4" w:rsidP="009A09E4">
            <w:pPr>
              <w:jc w:val="both"/>
              <w:rPr>
                <w:sz w:val="20"/>
                <w:szCs w:val="20"/>
              </w:rPr>
            </w:pPr>
            <w:r w:rsidRPr="00F44D15">
              <w:rPr>
                <w:sz w:val="20"/>
                <w:szCs w:val="20"/>
              </w:rPr>
              <w:t>nesjednává se</w:t>
            </w:r>
          </w:p>
        </w:tc>
        <w:tc>
          <w:tcPr>
            <w:tcW w:w="1417" w:type="dxa"/>
            <w:vAlign w:val="center"/>
          </w:tcPr>
          <w:p w14:paraId="163C01AE" w14:textId="77777777" w:rsidR="00C649A4" w:rsidRPr="00F44D15" w:rsidRDefault="00C649A4" w:rsidP="009A09E4">
            <w:pPr>
              <w:jc w:val="both"/>
              <w:rPr>
                <w:sz w:val="20"/>
                <w:szCs w:val="20"/>
              </w:rPr>
            </w:pPr>
            <w:r w:rsidRPr="00F44D15">
              <w:rPr>
                <w:sz w:val="20"/>
                <w:szCs w:val="20"/>
              </w:rPr>
              <w:t>10 000 Kč</w:t>
            </w:r>
          </w:p>
        </w:tc>
        <w:tc>
          <w:tcPr>
            <w:tcW w:w="1418" w:type="dxa"/>
            <w:vAlign w:val="center"/>
          </w:tcPr>
          <w:p w14:paraId="17192D5B" w14:textId="77777777" w:rsidR="00C649A4" w:rsidRPr="00F44D15" w:rsidRDefault="00C649A4" w:rsidP="009A09E4">
            <w:pPr>
              <w:jc w:val="both"/>
              <w:rPr>
                <w:sz w:val="20"/>
                <w:szCs w:val="20"/>
                <w:vertAlign w:val="superscript"/>
              </w:rPr>
            </w:pPr>
            <w:r w:rsidRPr="00F44D15">
              <w:rPr>
                <w:sz w:val="20"/>
                <w:szCs w:val="20"/>
              </w:rPr>
              <w:t>*)</w:t>
            </w:r>
          </w:p>
        </w:tc>
        <w:tc>
          <w:tcPr>
            <w:tcW w:w="1417" w:type="dxa"/>
            <w:vAlign w:val="center"/>
          </w:tcPr>
          <w:p w14:paraId="3BEDB7ED" w14:textId="77777777" w:rsidR="00C649A4" w:rsidRPr="00F44D15" w:rsidRDefault="00C649A4" w:rsidP="009A09E4">
            <w:pPr>
              <w:jc w:val="center"/>
              <w:rPr>
                <w:sz w:val="20"/>
                <w:szCs w:val="20"/>
              </w:rPr>
            </w:pPr>
            <w:r>
              <w:rPr>
                <w:sz w:val="20"/>
                <w:szCs w:val="20"/>
              </w:rPr>
              <w:t>331</w:t>
            </w:r>
            <w:r w:rsidRPr="00F44D15">
              <w:rPr>
                <w:sz w:val="20"/>
                <w:szCs w:val="20"/>
              </w:rPr>
              <w:t> 000 Kč</w:t>
            </w:r>
          </w:p>
        </w:tc>
        <w:tc>
          <w:tcPr>
            <w:tcW w:w="1560" w:type="dxa"/>
            <w:vAlign w:val="center"/>
          </w:tcPr>
          <w:p w14:paraId="29B5DDF5" w14:textId="77777777" w:rsidR="00C649A4" w:rsidRPr="00F44D15" w:rsidRDefault="00C649A4" w:rsidP="009A09E4">
            <w:pPr>
              <w:jc w:val="both"/>
              <w:rPr>
                <w:sz w:val="20"/>
                <w:szCs w:val="20"/>
              </w:rPr>
            </w:pPr>
            <w:r w:rsidRPr="00F44D15">
              <w:rPr>
                <w:sz w:val="20"/>
                <w:szCs w:val="20"/>
              </w:rPr>
              <w:t>nesjednává se</w:t>
            </w:r>
          </w:p>
        </w:tc>
      </w:tr>
      <w:tr w:rsidR="00C649A4" w:rsidRPr="00F44D15" w14:paraId="5D8E45DD" w14:textId="77777777" w:rsidTr="009A09E4">
        <w:tc>
          <w:tcPr>
            <w:tcW w:w="709" w:type="dxa"/>
            <w:vAlign w:val="center"/>
          </w:tcPr>
          <w:p w14:paraId="3E42C7FC" w14:textId="77777777" w:rsidR="00C649A4" w:rsidRPr="00F44D15" w:rsidRDefault="00C649A4" w:rsidP="009A09E4">
            <w:pPr>
              <w:jc w:val="both"/>
              <w:rPr>
                <w:sz w:val="20"/>
                <w:szCs w:val="20"/>
              </w:rPr>
            </w:pPr>
            <w:r>
              <w:rPr>
                <w:sz w:val="20"/>
                <w:szCs w:val="20"/>
              </w:rPr>
              <w:t>2.</w:t>
            </w:r>
          </w:p>
        </w:tc>
        <w:tc>
          <w:tcPr>
            <w:tcW w:w="1730" w:type="dxa"/>
            <w:vAlign w:val="center"/>
          </w:tcPr>
          <w:p w14:paraId="22FEF5E0" w14:textId="77777777" w:rsidR="00C649A4" w:rsidRPr="00F44D15" w:rsidRDefault="00C649A4" w:rsidP="009A09E4">
            <w:pPr>
              <w:jc w:val="both"/>
              <w:rPr>
                <w:sz w:val="20"/>
                <w:szCs w:val="20"/>
              </w:rPr>
            </w:pPr>
            <w:r w:rsidRPr="00F44D15">
              <w:rPr>
                <w:sz w:val="20"/>
                <w:szCs w:val="20"/>
              </w:rPr>
              <w:t>Soubor cenných předmětů a finančních prostředků</w:t>
            </w:r>
          </w:p>
        </w:tc>
        <w:tc>
          <w:tcPr>
            <w:tcW w:w="1247" w:type="dxa"/>
            <w:vAlign w:val="center"/>
          </w:tcPr>
          <w:p w14:paraId="2A2B585C" w14:textId="77777777" w:rsidR="00C649A4" w:rsidRPr="00F44D15" w:rsidRDefault="00C649A4" w:rsidP="009A09E4">
            <w:pPr>
              <w:jc w:val="both"/>
              <w:rPr>
                <w:sz w:val="20"/>
                <w:szCs w:val="20"/>
              </w:rPr>
            </w:pPr>
            <w:r w:rsidRPr="00F44D15">
              <w:rPr>
                <w:sz w:val="20"/>
                <w:szCs w:val="20"/>
              </w:rPr>
              <w:t>nesjednává se</w:t>
            </w:r>
          </w:p>
        </w:tc>
        <w:tc>
          <w:tcPr>
            <w:tcW w:w="1417" w:type="dxa"/>
            <w:vAlign w:val="center"/>
          </w:tcPr>
          <w:p w14:paraId="5BE98DEC" w14:textId="77777777" w:rsidR="00C649A4" w:rsidRPr="00F44D15" w:rsidRDefault="00C649A4" w:rsidP="009A09E4">
            <w:pPr>
              <w:jc w:val="both"/>
              <w:rPr>
                <w:sz w:val="20"/>
                <w:szCs w:val="20"/>
              </w:rPr>
            </w:pPr>
            <w:r w:rsidRPr="00F44D15">
              <w:rPr>
                <w:sz w:val="20"/>
                <w:szCs w:val="20"/>
              </w:rPr>
              <w:t>10 000 Kč</w:t>
            </w:r>
          </w:p>
        </w:tc>
        <w:tc>
          <w:tcPr>
            <w:tcW w:w="1418" w:type="dxa"/>
            <w:vAlign w:val="center"/>
          </w:tcPr>
          <w:p w14:paraId="29F68209" w14:textId="77777777" w:rsidR="00C649A4" w:rsidRPr="00F44D15" w:rsidRDefault="00C649A4" w:rsidP="009A09E4">
            <w:pPr>
              <w:jc w:val="both"/>
              <w:rPr>
                <w:sz w:val="20"/>
                <w:szCs w:val="20"/>
              </w:rPr>
            </w:pPr>
            <w:r w:rsidRPr="00F44D15">
              <w:rPr>
                <w:sz w:val="20"/>
                <w:szCs w:val="20"/>
              </w:rPr>
              <w:t>*)</w:t>
            </w:r>
          </w:p>
        </w:tc>
        <w:tc>
          <w:tcPr>
            <w:tcW w:w="1417" w:type="dxa"/>
            <w:vAlign w:val="center"/>
          </w:tcPr>
          <w:p w14:paraId="70E74AF0" w14:textId="77777777" w:rsidR="00C649A4" w:rsidRPr="00F44D15" w:rsidRDefault="00C649A4" w:rsidP="009A09E4">
            <w:pPr>
              <w:jc w:val="center"/>
              <w:rPr>
                <w:sz w:val="20"/>
                <w:szCs w:val="20"/>
              </w:rPr>
            </w:pPr>
            <w:r>
              <w:rPr>
                <w:sz w:val="20"/>
                <w:szCs w:val="20"/>
              </w:rPr>
              <w:t>200</w:t>
            </w:r>
            <w:r w:rsidRPr="00F44D15">
              <w:rPr>
                <w:sz w:val="20"/>
                <w:szCs w:val="20"/>
              </w:rPr>
              <w:t> 000 Kč</w:t>
            </w:r>
          </w:p>
        </w:tc>
        <w:tc>
          <w:tcPr>
            <w:tcW w:w="1560" w:type="dxa"/>
            <w:vAlign w:val="center"/>
          </w:tcPr>
          <w:p w14:paraId="7432D7D0" w14:textId="77777777" w:rsidR="00C649A4" w:rsidRPr="00F44D15" w:rsidRDefault="00C649A4" w:rsidP="009A09E4">
            <w:pPr>
              <w:jc w:val="both"/>
              <w:rPr>
                <w:sz w:val="20"/>
                <w:szCs w:val="20"/>
              </w:rPr>
            </w:pPr>
            <w:r w:rsidRPr="00F44D15">
              <w:rPr>
                <w:sz w:val="20"/>
                <w:szCs w:val="20"/>
              </w:rPr>
              <w:t>nesjednává se</w:t>
            </w:r>
          </w:p>
        </w:tc>
      </w:tr>
      <w:tr w:rsidR="00C649A4" w:rsidRPr="00F44D15" w14:paraId="49BAB9F2" w14:textId="77777777" w:rsidTr="009A09E4">
        <w:tc>
          <w:tcPr>
            <w:tcW w:w="9498" w:type="dxa"/>
            <w:gridSpan w:val="7"/>
          </w:tcPr>
          <w:p w14:paraId="361B2081" w14:textId="77777777" w:rsidR="00C649A4" w:rsidRPr="00F44D15" w:rsidRDefault="00C649A4" w:rsidP="009A09E4">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1B7C64E3" w14:textId="77777777" w:rsidR="00C649A4" w:rsidRPr="00F44D15" w:rsidRDefault="00C649A4" w:rsidP="00C649A4">
      <w:pPr>
        <w:jc w:val="both"/>
        <w:rPr>
          <w:sz w:val="16"/>
          <w:szCs w:val="16"/>
        </w:rPr>
      </w:pPr>
      <w:r w:rsidRPr="00F44D15">
        <w:rPr>
          <w:sz w:val="16"/>
          <w:szCs w:val="16"/>
        </w:rPr>
        <w:t xml:space="preserve">*) není-li uvedeno, sjednává se pojištění s pojistnou hodnotou uvedenou v příslušných pojistných podmínkách </w:t>
      </w:r>
    </w:p>
    <w:p w14:paraId="0E37287E" w14:textId="77777777" w:rsidR="00C649A4" w:rsidRPr="00F44D15" w:rsidRDefault="00C649A4" w:rsidP="00C649A4">
      <w:pPr>
        <w:jc w:val="both"/>
        <w:rPr>
          <w:sz w:val="20"/>
          <w:szCs w:val="20"/>
        </w:rPr>
      </w:pPr>
    </w:p>
    <w:p w14:paraId="75191CF2" w14:textId="77777777" w:rsidR="00C649A4" w:rsidRDefault="00C649A4" w:rsidP="00C649A4">
      <w:pPr>
        <w:jc w:val="both"/>
        <w:rPr>
          <w:b/>
          <w:sz w:val="20"/>
          <w:szCs w:val="20"/>
        </w:rPr>
      </w:pPr>
    </w:p>
    <w:p w14:paraId="5F787270" w14:textId="77777777" w:rsidR="00C649A4" w:rsidRDefault="00C649A4" w:rsidP="00C649A4">
      <w:pPr>
        <w:jc w:val="both"/>
        <w:rPr>
          <w:b/>
          <w:sz w:val="20"/>
          <w:szCs w:val="20"/>
        </w:rPr>
      </w:pPr>
    </w:p>
    <w:p w14:paraId="2ACB1CB6" w14:textId="77777777" w:rsidR="00C649A4" w:rsidRDefault="00C649A4" w:rsidP="00C649A4">
      <w:pPr>
        <w:jc w:val="both"/>
        <w:rPr>
          <w:b/>
          <w:sz w:val="20"/>
          <w:szCs w:val="20"/>
        </w:rPr>
      </w:pPr>
    </w:p>
    <w:p w14:paraId="4D194CC8" w14:textId="77777777" w:rsidR="00C649A4" w:rsidRPr="00F44D15" w:rsidRDefault="00C649A4" w:rsidP="00C649A4">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C649A4" w:rsidRPr="00F44D15" w14:paraId="3D969E09" w14:textId="77777777" w:rsidTr="009A09E4">
        <w:tc>
          <w:tcPr>
            <w:tcW w:w="9498" w:type="dxa"/>
            <w:gridSpan w:val="7"/>
          </w:tcPr>
          <w:p w14:paraId="5EA36640" w14:textId="77777777" w:rsidR="00C649A4" w:rsidRPr="00F44D15" w:rsidRDefault="00C649A4" w:rsidP="009A09E4">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C649A4" w:rsidRPr="00F44D15" w14:paraId="799425C6" w14:textId="77777777" w:rsidTr="009A09E4">
        <w:tc>
          <w:tcPr>
            <w:tcW w:w="9498" w:type="dxa"/>
            <w:gridSpan w:val="7"/>
          </w:tcPr>
          <w:p w14:paraId="5639919D" w14:textId="77777777" w:rsidR="00C649A4" w:rsidRPr="00F44D15" w:rsidRDefault="00C649A4" w:rsidP="009A09E4">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49A4" w:rsidRPr="00F44D15" w14:paraId="3D2FC4F2" w14:textId="77777777" w:rsidTr="009A09E4">
        <w:tc>
          <w:tcPr>
            <w:tcW w:w="9498" w:type="dxa"/>
            <w:gridSpan w:val="7"/>
          </w:tcPr>
          <w:p w14:paraId="437A12CB" w14:textId="56FE23B8" w:rsidR="00C649A4" w:rsidRPr="00F44D15" w:rsidRDefault="00C649A4" w:rsidP="009A09E4">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xml:space="preserve">, </w:t>
            </w:r>
            <w:r w:rsidR="005253D9">
              <w:rPr>
                <w:sz w:val="20"/>
                <w:szCs w:val="20"/>
              </w:rPr>
              <w:t xml:space="preserve">DOB110, </w:t>
            </w:r>
            <w:r w:rsidRPr="00F44D15">
              <w:rPr>
                <w:bCs/>
                <w:sz w:val="20"/>
                <w:szCs w:val="20"/>
              </w:rPr>
              <w:t>DODC102</w:t>
            </w:r>
          </w:p>
        </w:tc>
      </w:tr>
      <w:tr w:rsidR="00C649A4" w:rsidRPr="00F44D15" w14:paraId="0E1F65C5" w14:textId="77777777" w:rsidTr="009A09E4">
        <w:tc>
          <w:tcPr>
            <w:tcW w:w="709" w:type="dxa"/>
            <w:vAlign w:val="center"/>
          </w:tcPr>
          <w:p w14:paraId="6CA35187" w14:textId="77777777" w:rsidR="00C649A4" w:rsidRPr="00F44D15" w:rsidRDefault="00C649A4" w:rsidP="009A09E4">
            <w:pPr>
              <w:jc w:val="both"/>
              <w:rPr>
                <w:b/>
                <w:sz w:val="20"/>
                <w:szCs w:val="20"/>
              </w:rPr>
            </w:pPr>
            <w:proofErr w:type="spellStart"/>
            <w:r w:rsidRPr="00F44D15">
              <w:rPr>
                <w:b/>
                <w:sz w:val="20"/>
                <w:szCs w:val="20"/>
              </w:rPr>
              <w:lastRenderedPageBreak/>
              <w:t>Poř</w:t>
            </w:r>
            <w:proofErr w:type="spellEnd"/>
            <w:r w:rsidRPr="00F44D15">
              <w:rPr>
                <w:b/>
                <w:sz w:val="20"/>
                <w:szCs w:val="20"/>
              </w:rPr>
              <w:t>. číslo</w:t>
            </w:r>
          </w:p>
        </w:tc>
        <w:tc>
          <w:tcPr>
            <w:tcW w:w="1276" w:type="dxa"/>
            <w:vAlign w:val="center"/>
          </w:tcPr>
          <w:p w14:paraId="507B8B2C" w14:textId="77777777" w:rsidR="00C649A4" w:rsidRPr="00F44D15" w:rsidRDefault="00C649A4" w:rsidP="009A09E4">
            <w:pPr>
              <w:jc w:val="both"/>
              <w:rPr>
                <w:b/>
                <w:sz w:val="20"/>
                <w:szCs w:val="20"/>
              </w:rPr>
            </w:pPr>
            <w:r w:rsidRPr="00F44D15">
              <w:rPr>
                <w:b/>
                <w:sz w:val="20"/>
                <w:szCs w:val="20"/>
              </w:rPr>
              <w:t>Předmět pojištění</w:t>
            </w:r>
          </w:p>
        </w:tc>
        <w:tc>
          <w:tcPr>
            <w:tcW w:w="1276" w:type="dxa"/>
            <w:vAlign w:val="center"/>
          </w:tcPr>
          <w:p w14:paraId="2E96FCD0" w14:textId="77777777" w:rsidR="00C649A4" w:rsidRPr="00F44D15" w:rsidRDefault="00C649A4" w:rsidP="009A09E4">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716D8BA1" w14:textId="77777777" w:rsidR="00C649A4" w:rsidRPr="00F44D15" w:rsidRDefault="00C649A4" w:rsidP="009A09E4">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1292980D" w14:textId="77777777" w:rsidR="00C649A4" w:rsidRPr="00F44D15" w:rsidRDefault="00C649A4" w:rsidP="009A09E4">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1CDFE83E"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54DD4ADE" w14:textId="77777777" w:rsidR="00C649A4" w:rsidRPr="00F44D15" w:rsidRDefault="00C649A4" w:rsidP="009A09E4">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88E1744"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C649A4" w:rsidRPr="00F44D15" w14:paraId="38E09A3D" w14:textId="77777777" w:rsidTr="009A09E4">
        <w:tc>
          <w:tcPr>
            <w:tcW w:w="709" w:type="dxa"/>
            <w:vAlign w:val="center"/>
          </w:tcPr>
          <w:p w14:paraId="658FF6C7" w14:textId="77777777" w:rsidR="00C649A4" w:rsidRPr="00F44D15" w:rsidRDefault="00C649A4" w:rsidP="009A09E4">
            <w:pPr>
              <w:jc w:val="both"/>
              <w:rPr>
                <w:sz w:val="20"/>
                <w:szCs w:val="20"/>
              </w:rPr>
            </w:pPr>
            <w:r w:rsidRPr="00F44D15">
              <w:rPr>
                <w:sz w:val="20"/>
                <w:szCs w:val="20"/>
              </w:rPr>
              <w:t>1.</w:t>
            </w:r>
          </w:p>
        </w:tc>
        <w:tc>
          <w:tcPr>
            <w:tcW w:w="1276" w:type="dxa"/>
            <w:vAlign w:val="center"/>
          </w:tcPr>
          <w:p w14:paraId="5EFB23AE" w14:textId="77777777" w:rsidR="00C649A4" w:rsidRPr="00F44D15" w:rsidRDefault="00C649A4" w:rsidP="009A09E4">
            <w:pPr>
              <w:jc w:val="both"/>
              <w:rPr>
                <w:sz w:val="20"/>
                <w:szCs w:val="20"/>
              </w:rPr>
            </w:pPr>
            <w:r w:rsidRPr="00F44D15">
              <w:rPr>
                <w:sz w:val="20"/>
                <w:szCs w:val="20"/>
              </w:rPr>
              <w:t>Předměty pojištění uvedené v tabulce 2.1.1 Živelní pojištění této pojistné smlouvy</w:t>
            </w:r>
          </w:p>
        </w:tc>
        <w:tc>
          <w:tcPr>
            <w:tcW w:w="1276" w:type="dxa"/>
            <w:vAlign w:val="center"/>
          </w:tcPr>
          <w:p w14:paraId="6394BFEC" w14:textId="77777777" w:rsidR="00C649A4" w:rsidRPr="00F44D15" w:rsidRDefault="00C649A4" w:rsidP="009A09E4">
            <w:pPr>
              <w:jc w:val="both"/>
              <w:rPr>
                <w:sz w:val="20"/>
                <w:szCs w:val="20"/>
              </w:rPr>
            </w:pPr>
            <w:r w:rsidRPr="00F44D15">
              <w:rPr>
                <w:sz w:val="20"/>
                <w:szCs w:val="20"/>
              </w:rPr>
              <w:t>nesjednává se</w:t>
            </w:r>
          </w:p>
        </w:tc>
        <w:tc>
          <w:tcPr>
            <w:tcW w:w="1417" w:type="dxa"/>
            <w:vAlign w:val="center"/>
          </w:tcPr>
          <w:p w14:paraId="5C93A849" w14:textId="77777777" w:rsidR="00C649A4" w:rsidRPr="00FC2A03" w:rsidRDefault="00C649A4" w:rsidP="009A09E4">
            <w:pPr>
              <w:jc w:val="both"/>
              <w:rPr>
                <w:sz w:val="20"/>
                <w:szCs w:val="20"/>
              </w:rPr>
            </w:pPr>
            <w:r w:rsidRPr="00FC2A03">
              <w:rPr>
                <w:sz w:val="20"/>
                <w:szCs w:val="20"/>
              </w:rPr>
              <w:t>50 000 Kč</w:t>
            </w:r>
          </w:p>
        </w:tc>
        <w:tc>
          <w:tcPr>
            <w:tcW w:w="1701" w:type="dxa"/>
            <w:vAlign w:val="center"/>
          </w:tcPr>
          <w:p w14:paraId="27ABD369" w14:textId="77777777" w:rsidR="00C649A4" w:rsidRPr="00F44D15" w:rsidRDefault="00C649A4" w:rsidP="009A09E4">
            <w:pPr>
              <w:jc w:val="both"/>
              <w:rPr>
                <w:sz w:val="20"/>
                <w:szCs w:val="20"/>
                <w:vertAlign w:val="superscript"/>
              </w:rPr>
            </w:pPr>
            <w:r w:rsidRPr="00F44D15">
              <w:rPr>
                <w:sz w:val="20"/>
                <w:szCs w:val="20"/>
                <w:vertAlign w:val="superscript"/>
              </w:rPr>
              <w:t>*)</w:t>
            </w:r>
          </w:p>
        </w:tc>
        <w:tc>
          <w:tcPr>
            <w:tcW w:w="1559" w:type="dxa"/>
            <w:vAlign w:val="center"/>
          </w:tcPr>
          <w:p w14:paraId="05DA2349" w14:textId="77777777" w:rsidR="00C649A4" w:rsidRPr="00F44D15" w:rsidRDefault="00C649A4" w:rsidP="009A09E4">
            <w:pPr>
              <w:jc w:val="both"/>
              <w:rPr>
                <w:sz w:val="20"/>
                <w:szCs w:val="20"/>
              </w:rPr>
            </w:pPr>
            <w:r w:rsidRPr="00F44D15">
              <w:rPr>
                <w:sz w:val="20"/>
                <w:szCs w:val="20"/>
              </w:rPr>
              <w:t>2 000 000 Kč</w:t>
            </w:r>
          </w:p>
        </w:tc>
        <w:tc>
          <w:tcPr>
            <w:tcW w:w="1560" w:type="dxa"/>
            <w:vAlign w:val="center"/>
          </w:tcPr>
          <w:p w14:paraId="1C886D94" w14:textId="77777777" w:rsidR="00C649A4" w:rsidRPr="00F44D15" w:rsidRDefault="00C649A4" w:rsidP="009A09E4">
            <w:pPr>
              <w:jc w:val="both"/>
              <w:rPr>
                <w:sz w:val="20"/>
                <w:szCs w:val="20"/>
              </w:rPr>
            </w:pPr>
            <w:r w:rsidRPr="00F44D15">
              <w:rPr>
                <w:sz w:val="20"/>
                <w:szCs w:val="20"/>
              </w:rPr>
              <w:t>nesjednává se</w:t>
            </w:r>
          </w:p>
        </w:tc>
      </w:tr>
      <w:tr w:rsidR="00C649A4" w:rsidRPr="00F44D15" w14:paraId="1208ECDF" w14:textId="77777777" w:rsidTr="009A09E4">
        <w:tc>
          <w:tcPr>
            <w:tcW w:w="9498" w:type="dxa"/>
            <w:gridSpan w:val="7"/>
          </w:tcPr>
          <w:p w14:paraId="1B89D6FA" w14:textId="77777777" w:rsidR="00C649A4" w:rsidRPr="00F44D15" w:rsidRDefault="00C649A4" w:rsidP="009A09E4">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xml:space="preserve">. č. 1. - včetně litinové sochy Josefa II. vypůjčená od Alšovy jihočeské galerie, výška 2 metry, neznámý autor, pro pojištění této sochy se odchylně od výše uvedeného sjednává spoluúčast ve výši </w:t>
            </w:r>
            <w:proofErr w:type="gramStart"/>
            <w:r w:rsidRPr="00F44D15">
              <w:rPr>
                <w:sz w:val="20"/>
                <w:szCs w:val="20"/>
              </w:rPr>
              <w:t>10%</w:t>
            </w:r>
            <w:proofErr w:type="gramEnd"/>
            <w:r w:rsidRPr="00F44D15">
              <w:rPr>
                <w:sz w:val="20"/>
                <w:szCs w:val="20"/>
              </w:rPr>
              <w:t>, min. 5 000 Kč. K pojištění této litinové sochy se dále vztahují Zvláštní ujednání uvedená v Článku V. tohoto dodatku pojistné smlouvy.</w:t>
            </w:r>
          </w:p>
        </w:tc>
      </w:tr>
    </w:tbl>
    <w:p w14:paraId="7B73D564" w14:textId="77777777" w:rsidR="00C649A4" w:rsidRPr="00F44D15" w:rsidRDefault="00C649A4" w:rsidP="00C649A4">
      <w:pPr>
        <w:keepNext/>
        <w:rPr>
          <w:sz w:val="16"/>
          <w:szCs w:val="16"/>
        </w:rPr>
      </w:pPr>
      <w:r w:rsidRPr="00F44D15">
        <w:rPr>
          <w:sz w:val="16"/>
          <w:szCs w:val="16"/>
        </w:rPr>
        <w:t>*) není-li uvedeno, sjednává se pojištění s pojistnou hodnotou uvedenou v příslušných pojistných podmínkách</w:t>
      </w:r>
    </w:p>
    <w:p w14:paraId="25CE47E1" w14:textId="77777777" w:rsidR="00C649A4" w:rsidRPr="00F44D15" w:rsidRDefault="00C649A4" w:rsidP="00C649A4">
      <w:pPr>
        <w:keepNext/>
        <w:rPr>
          <w:sz w:val="16"/>
          <w:szCs w:val="16"/>
        </w:rPr>
      </w:pPr>
    </w:p>
    <w:p w14:paraId="75A8419A" w14:textId="77777777" w:rsidR="00C649A4" w:rsidRPr="00F44D15" w:rsidRDefault="00C649A4" w:rsidP="00C649A4">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1276"/>
        <w:gridCol w:w="1105"/>
        <w:gridCol w:w="1701"/>
        <w:gridCol w:w="1559"/>
        <w:gridCol w:w="1560"/>
      </w:tblGrid>
      <w:tr w:rsidR="00C649A4" w:rsidRPr="00F44D15" w14:paraId="32E56678" w14:textId="77777777" w:rsidTr="009A09E4">
        <w:tc>
          <w:tcPr>
            <w:tcW w:w="9498" w:type="dxa"/>
            <w:gridSpan w:val="7"/>
          </w:tcPr>
          <w:p w14:paraId="52E999FE" w14:textId="77777777" w:rsidR="00C649A4" w:rsidRDefault="00C649A4" w:rsidP="009A09E4">
            <w:pPr>
              <w:rPr>
                <w:b/>
                <w:sz w:val="20"/>
                <w:szCs w:val="20"/>
              </w:rPr>
            </w:pPr>
            <w:r w:rsidRPr="00F44D15">
              <w:rPr>
                <w:b/>
                <w:sz w:val="20"/>
                <w:szCs w:val="20"/>
              </w:rPr>
              <w:t>Místo pojištění:</w:t>
            </w:r>
          </w:p>
          <w:p w14:paraId="66C59896" w14:textId="77777777" w:rsidR="00C649A4" w:rsidRPr="001A5A3D" w:rsidRDefault="00C649A4" w:rsidP="009A09E4">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457BA13C" w14:textId="77777777" w:rsidR="00C649A4" w:rsidRPr="00F44D15" w:rsidRDefault="00C649A4" w:rsidP="009A09E4">
            <w:pPr>
              <w:jc w:val="both"/>
              <w:rPr>
                <w:b/>
                <w:sz w:val="20"/>
                <w:szCs w:val="20"/>
              </w:rPr>
            </w:pPr>
            <w:r w:rsidRPr="00060D69">
              <w:rPr>
                <w:rFonts w:cs="Arial"/>
                <w:sz w:val="20"/>
              </w:rPr>
              <w:t>Praha 2, U nemocnice 499/2 – areál nemocnice</w:t>
            </w:r>
          </w:p>
        </w:tc>
      </w:tr>
      <w:tr w:rsidR="00C649A4" w:rsidRPr="00F44D15" w14:paraId="7573C9D4" w14:textId="77777777" w:rsidTr="009A09E4">
        <w:tc>
          <w:tcPr>
            <w:tcW w:w="9498" w:type="dxa"/>
            <w:gridSpan w:val="7"/>
          </w:tcPr>
          <w:p w14:paraId="2598E41C" w14:textId="77777777" w:rsidR="00C649A4" w:rsidRPr="00F44D15" w:rsidRDefault="00C649A4" w:rsidP="009A09E4">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49A4" w:rsidRPr="00F44D15" w14:paraId="4A0436BE" w14:textId="77777777" w:rsidTr="009A09E4">
        <w:tc>
          <w:tcPr>
            <w:tcW w:w="9498" w:type="dxa"/>
            <w:gridSpan w:val="7"/>
          </w:tcPr>
          <w:p w14:paraId="7612CB0A" w14:textId="653C45E8" w:rsidR="00C649A4" w:rsidRPr="00F44D15" w:rsidRDefault="00C649A4" w:rsidP="009A09E4">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5253D9">
              <w:rPr>
                <w:sz w:val="20"/>
                <w:szCs w:val="20"/>
              </w:rPr>
              <w:t>, DOB110</w:t>
            </w:r>
          </w:p>
        </w:tc>
      </w:tr>
      <w:tr w:rsidR="00C649A4" w:rsidRPr="00F44D15" w14:paraId="48D4B59F" w14:textId="77777777" w:rsidTr="009A09E4">
        <w:tc>
          <w:tcPr>
            <w:tcW w:w="709" w:type="dxa"/>
            <w:vAlign w:val="center"/>
          </w:tcPr>
          <w:p w14:paraId="1EB4F775" w14:textId="77777777" w:rsidR="00C649A4" w:rsidRPr="00F44D15" w:rsidRDefault="00C649A4" w:rsidP="009A09E4">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1F861494" w14:textId="77777777" w:rsidR="00C649A4" w:rsidRPr="00F44D15" w:rsidRDefault="00C649A4" w:rsidP="009A09E4">
            <w:pPr>
              <w:jc w:val="both"/>
              <w:rPr>
                <w:b/>
                <w:sz w:val="20"/>
                <w:szCs w:val="20"/>
              </w:rPr>
            </w:pPr>
            <w:r w:rsidRPr="00F44D15">
              <w:rPr>
                <w:b/>
                <w:sz w:val="20"/>
                <w:szCs w:val="20"/>
              </w:rPr>
              <w:t>Předmět pojištění</w:t>
            </w:r>
          </w:p>
        </w:tc>
        <w:tc>
          <w:tcPr>
            <w:tcW w:w="1276" w:type="dxa"/>
            <w:vAlign w:val="center"/>
          </w:tcPr>
          <w:p w14:paraId="75D039C5" w14:textId="77777777" w:rsidR="00C649A4" w:rsidRPr="00F44D15" w:rsidRDefault="00C649A4" w:rsidP="009A09E4">
            <w:pPr>
              <w:jc w:val="both"/>
              <w:rPr>
                <w:b/>
                <w:sz w:val="20"/>
                <w:szCs w:val="20"/>
              </w:rPr>
            </w:pPr>
            <w:r w:rsidRPr="00F44D15">
              <w:rPr>
                <w:b/>
                <w:sz w:val="20"/>
                <w:szCs w:val="20"/>
              </w:rPr>
              <w:t>Pojistná částka</w:t>
            </w:r>
            <w:r w:rsidRPr="00F44D15">
              <w:rPr>
                <w:b/>
                <w:sz w:val="20"/>
                <w:szCs w:val="20"/>
                <w:vertAlign w:val="superscript"/>
              </w:rPr>
              <w:t>10)</w:t>
            </w:r>
          </w:p>
        </w:tc>
        <w:tc>
          <w:tcPr>
            <w:tcW w:w="1105" w:type="dxa"/>
            <w:vAlign w:val="center"/>
          </w:tcPr>
          <w:p w14:paraId="504529C2" w14:textId="77777777" w:rsidR="00C649A4" w:rsidRPr="00F44D15" w:rsidRDefault="00C649A4" w:rsidP="009A09E4">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85FE699" w14:textId="77777777" w:rsidR="00C649A4" w:rsidRPr="00F44D15" w:rsidRDefault="00C649A4" w:rsidP="009A09E4">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21E3D5E"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3D252B6C" w14:textId="77777777" w:rsidR="00C649A4" w:rsidRPr="00F44D15" w:rsidRDefault="00C649A4" w:rsidP="009A09E4">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55FF93C4" w14:textId="77777777" w:rsidR="00C649A4" w:rsidRPr="00F44D15" w:rsidRDefault="00C649A4" w:rsidP="009A09E4">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C649A4" w:rsidRPr="00F44D15" w14:paraId="429335A0" w14:textId="77777777" w:rsidTr="009A09E4">
        <w:tc>
          <w:tcPr>
            <w:tcW w:w="709" w:type="dxa"/>
            <w:vAlign w:val="center"/>
          </w:tcPr>
          <w:p w14:paraId="2348726D" w14:textId="77777777" w:rsidR="00C649A4" w:rsidRPr="00F44D15" w:rsidRDefault="00C649A4" w:rsidP="009A09E4">
            <w:pPr>
              <w:jc w:val="both"/>
              <w:rPr>
                <w:sz w:val="20"/>
                <w:szCs w:val="20"/>
              </w:rPr>
            </w:pPr>
            <w:r w:rsidRPr="00F44D15">
              <w:rPr>
                <w:sz w:val="20"/>
                <w:szCs w:val="20"/>
              </w:rPr>
              <w:t>1.</w:t>
            </w:r>
          </w:p>
        </w:tc>
        <w:tc>
          <w:tcPr>
            <w:tcW w:w="1588" w:type="dxa"/>
            <w:vAlign w:val="center"/>
          </w:tcPr>
          <w:p w14:paraId="2D5A7506" w14:textId="77777777" w:rsidR="00C649A4" w:rsidRPr="00F44D15" w:rsidRDefault="00C649A4" w:rsidP="009A09E4">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76" w:type="dxa"/>
            <w:vAlign w:val="center"/>
          </w:tcPr>
          <w:p w14:paraId="02482E37" w14:textId="77777777" w:rsidR="00C649A4" w:rsidRPr="00F44D15" w:rsidRDefault="00C649A4" w:rsidP="009A09E4">
            <w:pPr>
              <w:jc w:val="both"/>
              <w:rPr>
                <w:sz w:val="20"/>
                <w:szCs w:val="20"/>
              </w:rPr>
            </w:pPr>
            <w:r w:rsidRPr="00F44D15">
              <w:rPr>
                <w:sz w:val="20"/>
                <w:szCs w:val="20"/>
              </w:rPr>
              <w:t>nesjednává se</w:t>
            </w:r>
          </w:p>
        </w:tc>
        <w:tc>
          <w:tcPr>
            <w:tcW w:w="1105" w:type="dxa"/>
            <w:vAlign w:val="center"/>
          </w:tcPr>
          <w:p w14:paraId="2621AEF3" w14:textId="77777777" w:rsidR="00C649A4" w:rsidRPr="00F44D15" w:rsidRDefault="00C649A4" w:rsidP="009A09E4">
            <w:pPr>
              <w:jc w:val="both"/>
              <w:rPr>
                <w:sz w:val="20"/>
                <w:szCs w:val="20"/>
              </w:rPr>
            </w:pPr>
            <w:r w:rsidRPr="00F44D15">
              <w:rPr>
                <w:sz w:val="20"/>
                <w:szCs w:val="20"/>
              </w:rPr>
              <w:t>10 000 Kč</w:t>
            </w:r>
          </w:p>
        </w:tc>
        <w:tc>
          <w:tcPr>
            <w:tcW w:w="1701" w:type="dxa"/>
            <w:vAlign w:val="center"/>
          </w:tcPr>
          <w:p w14:paraId="7541783E" w14:textId="77777777" w:rsidR="00C649A4" w:rsidRPr="00F44D15" w:rsidRDefault="00C649A4" w:rsidP="009A09E4">
            <w:pPr>
              <w:jc w:val="both"/>
              <w:rPr>
                <w:sz w:val="20"/>
                <w:szCs w:val="20"/>
                <w:vertAlign w:val="superscript"/>
              </w:rPr>
            </w:pPr>
            <w:r w:rsidRPr="00F44D15">
              <w:rPr>
                <w:sz w:val="20"/>
                <w:szCs w:val="20"/>
                <w:vertAlign w:val="superscript"/>
              </w:rPr>
              <w:t>*)</w:t>
            </w:r>
          </w:p>
        </w:tc>
        <w:tc>
          <w:tcPr>
            <w:tcW w:w="1559" w:type="dxa"/>
            <w:vAlign w:val="center"/>
          </w:tcPr>
          <w:p w14:paraId="6BAEDCCE" w14:textId="77777777" w:rsidR="00C649A4" w:rsidRPr="00F44D15" w:rsidRDefault="00C649A4" w:rsidP="009A09E4">
            <w:pPr>
              <w:jc w:val="both"/>
              <w:rPr>
                <w:sz w:val="20"/>
                <w:szCs w:val="20"/>
              </w:rPr>
            </w:pPr>
            <w:r>
              <w:rPr>
                <w:sz w:val="20"/>
                <w:szCs w:val="20"/>
              </w:rPr>
              <w:t>10</w:t>
            </w:r>
            <w:r w:rsidRPr="00F44D15">
              <w:rPr>
                <w:sz w:val="20"/>
                <w:szCs w:val="20"/>
              </w:rPr>
              <w:t>0 000 Kč</w:t>
            </w:r>
          </w:p>
        </w:tc>
        <w:tc>
          <w:tcPr>
            <w:tcW w:w="1560" w:type="dxa"/>
            <w:vAlign w:val="center"/>
          </w:tcPr>
          <w:p w14:paraId="2E59B576" w14:textId="77777777" w:rsidR="00C649A4" w:rsidRPr="00F44D15" w:rsidRDefault="00C649A4" w:rsidP="009A09E4">
            <w:pPr>
              <w:jc w:val="both"/>
              <w:rPr>
                <w:sz w:val="20"/>
                <w:szCs w:val="20"/>
              </w:rPr>
            </w:pPr>
            <w:r w:rsidRPr="00F44D15">
              <w:rPr>
                <w:sz w:val="20"/>
                <w:szCs w:val="20"/>
              </w:rPr>
              <w:t>nesjednává se</w:t>
            </w:r>
          </w:p>
        </w:tc>
      </w:tr>
      <w:tr w:rsidR="00C649A4" w:rsidRPr="00F44D15" w14:paraId="6E383249" w14:textId="77777777" w:rsidTr="009A09E4">
        <w:tc>
          <w:tcPr>
            <w:tcW w:w="9498" w:type="dxa"/>
            <w:gridSpan w:val="7"/>
          </w:tcPr>
          <w:p w14:paraId="247D1916" w14:textId="77777777" w:rsidR="00C649A4" w:rsidRPr="00F44D15" w:rsidRDefault="00C649A4" w:rsidP="009A09E4">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7CEE1DCA" w14:textId="77777777" w:rsidR="00C649A4" w:rsidRDefault="00C649A4" w:rsidP="00C649A4">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55F9D793" w14:textId="77777777" w:rsidR="00C649A4" w:rsidRPr="00F44D15" w:rsidRDefault="00C649A4" w:rsidP="00C649A4">
      <w:pPr>
        <w:rPr>
          <w:b/>
          <w:sz w:val="20"/>
          <w:szCs w:val="20"/>
        </w:rPr>
      </w:pPr>
    </w:p>
    <w:p w14:paraId="6CD012B8" w14:textId="77777777" w:rsidR="00C649A4" w:rsidRPr="00F44D15" w:rsidRDefault="00C649A4" w:rsidP="00C649A4">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C649A4" w:rsidRPr="00F44D15" w14:paraId="752176E6" w14:textId="77777777" w:rsidTr="009A09E4">
        <w:tc>
          <w:tcPr>
            <w:tcW w:w="9498" w:type="dxa"/>
            <w:gridSpan w:val="7"/>
          </w:tcPr>
          <w:p w14:paraId="056B0167" w14:textId="77777777" w:rsidR="00C649A4" w:rsidRPr="00F44D15" w:rsidRDefault="00C649A4" w:rsidP="009A09E4">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C649A4" w:rsidRPr="00F44D15" w14:paraId="3C6765F2" w14:textId="77777777" w:rsidTr="009A09E4">
        <w:tc>
          <w:tcPr>
            <w:tcW w:w="9498" w:type="dxa"/>
            <w:gridSpan w:val="7"/>
          </w:tcPr>
          <w:p w14:paraId="1FDB5562" w14:textId="77777777" w:rsidR="00C649A4" w:rsidRPr="00F44D15" w:rsidRDefault="00C649A4" w:rsidP="009A09E4">
            <w:pPr>
              <w:rPr>
                <w:sz w:val="20"/>
                <w:szCs w:val="20"/>
              </w:rPr>
            </w:pPr>
            <w:r w:rsidRPr="00F44D15">
              <w:rPr>
                <w:b/>
                <w:sz w:val="20"/>
                <w:szCs w:val="20"/>
              </w:rPr>
              <w:t xml:space="preserve">Rozsah pojištění: </w:t>
            </w:r>
            <w:r w:rsidRPr="00F44D15">
              <w:rPr>
                <w:sz w:val="20"/>
                <w:szCs w:val="20"/>
              </w:rPr>
              <w:t xml:space="preserve">poj. nebezpečí dle Článku 2 ZPP </w:t>
            </w:r>
            <w:proofErr w:type="gramStart"/>
            <w:r w:rsidRPr="00F44D15">
              <w:rPr>
                <w:sz w:val="20"/>
                <w:szCs w:val="20"/>
              </w:rPr>
              <w:t>P- 250</w:t>
            </w:r>
            <w:proofErr w:type="gramEnd"/>
            <w:r w:rsidRPr="00F44D15">
              <w:rPr>
                <w:sz w:val="20"/>
                <w:szCs w:val="20"/>
              </w:rPr>
              <w:t>/14</w:t>
            </w:r>
          </w:p>
        </w:tc>
      </w:tr>
      <w:tr w:rsidR="00C649A4" w:rsidRPr="00F44D15" w14:paraId="636ABB28" w14:textId="77777777" w:rsidTr="009A09E4">
        <w:tc>
          <w:tcPr>
            <w:tcW w:w="9498" w:type="dxa"/>
            <w:gridSpan w:val="7"/>
          </w:tcPr>
          <w:p w14:paraId="65BECA7B" w14:textId="2CE3BB98" w:rsidR="00C649A4" w:rsidRPr="00F44D15" w:rsidRDefault="00C649A4" w:rsidP="009A09E4">
            <w:pPr>
              <w:rPr>
                <w:sz w:val="20"/>
                <w:szCs w:val="20"/>
              </w:rPr>
            </w:pPr>
            <w:r w:rsidRPr="00F44D15">
              <w:rPr>
                <w:b/>
                <w:sz w:val="20"/>
                <w:szCs w:val="20"/>
              </w:rPr>
              <w:t xml:space="preserve">Pojištění se řídí: </w:t>
            </w:r>
            <w:r w:rsidRPr="00F44D15">
              <w:rPr>
                <w:sz w:val="20"/>
                <w:szCs w:val="20"/>
              </w:rPr>
              <w:t>VPP P-100/14, ZPP P-250/14 a doložkami DOB101, DOB103</w:t>
            </w:r>
            <w:r w:rsidR="005253D9">
              <w:rPr>
                <w:sz w:val="20"/>
                <w:szCs w:val="20"/>
              </w:rPr>
              <w:t>, DOB110</w:t>
            </w:r>
          </w:p>
        </w:tc>
      </w:tr>
      <w:tr w:rsidR="00C649A4" w:rsidRPr="00F44D15" w14:paraId="2396E38A" w14:textId="77777777" w:rsidTr="009A09E4">
        <w:tc>
          <w:tcPr>
            <w:tcW w:w="709" w:type="dxa"/>
            <w:vAlign w:val="center"/>
          </w:tcPr>
          <w:p w14:paraId="109ACBA5" w14:textId="77777777" w:rsidR="00C649A4" w:rsidRPr="00F44D15" w:rsidRDefault="00C649A4" w:rsidP="009A09E4">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1D8331D0" w14:textId="77777777" w:rsidR="00C649A4" w:rsidRPr="00F44D15" w:rsidRDefault="00C649A4" w:rsidP="009A09E4">
            <w:pPr>
              <w:jc w:val="center"/>
              <w:rPr>
                <w:b/>
                <w:sz w:val="20"/>
                <w:szCs w:val="20"/>
              </w:rPr>
            </w:pPr>
            <w:r w:rsidRPr="00F44D15">
              <w:rPr>
                <w:b/>
                <w:sz w:val="20"/>
                <w:szCs w:val="20"/>
              </w:rPr>
              <w:t>Předmět pojištění</w:t>
            </w:r>
          </w:p>
        </w:tc>
        <w:tc>
          <w:tcPr>
            <w:tcW w:w="1276" w:type="dxa"/>
            <w:vAlign w:val="center"/>
          </w:tcPr>
          <w:p w14:paraId="4D1ACD3B" w14:textId="77777777" w:rsidR="00C649A4" w:rsidRPr="00F44D15" w:rsidRDefault="00C649A4" w:rsidP="009A09E4">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18403404" w14:textId="77777777" w:rsidR="00C649A4" w:rsidRPr="00F44D15" w:rsidRDefault="00C649A4" w:rsidP="009A09E4">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2184049" w14:textId="77777777" w:rsidR="00C649A4" w:rsidRPr="00F44D15" w:rsidRDefault="00C649A4" w:rsidP="009A09E4">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2767319F" w14:textId="77777777" w:rsidR="00C649A4" w:rsidRPr="00F44D15" w:rsidRDefault="00C649A4" w:rsidP="009A09E4">
            <w:pPr>
              <w:jc w:val="center"/>
              <w:rPr>
                <w:b/>
                <w:sz w:val="20"/>
                <w:szCs w:val="20"/>
                <w:vertAlign w:val="superscript"/>
              </w:rPr>
            </w:pPr>
            <w:r w:rsidRPr="00F44D15">
              <w:rPr>
                <w:b/>
                <w:sz w:val="20"/>
                <w:szCs w:val="20"/>
              </w:rPr>
              <w:t>MRLP</w:t>
            </w:r>
            <w:r w:rsidRPr="00F44D15">
              <w:rPr>
                <w:b/>
                <w:sz w:val="20"/>
                <w:szCs w:val="20"/>
                <w:vertAlign w:val="superscript"/>
              </w:rPr>
              <w:t>3)</w:t>
            </w:r>
          </w:p>
          <w:p w14:paraId="3CE77967" w14:textId="77777777" w:rsidR="00C649A4" w:rsidRPr="00F44D15" w:rsidRDefault="00C649A4" w:rsidP="009A09E4">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72939B0" w14:textId="77777777" w:rsidR="00C649A4" w:rsidRPr="00F44D15" w:rsidRDefault="00C649A4" w:rsidP="009A09E4">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C649A4" w:rsidRPr="00F44D15" w14:paraId="479574CF" w14:textId="77777777" w:rsidTr="009A09E4">
        <w:tc>
          <w:tcPr>
            <w:tcW w:w="709" w:type="dxa"/>
            <w:vAlign w:val="center"/>
          </w:tcPr>
          <w:p w14:paraId="6EA3ED5C" w14:textId="77777777" w:rsidR="00C649A4" w:rsidRPr="00F44D15" w:rsidRDefault="00C649A4" w:rsidP="009A09E4">
            <w:pPr>
              <w:rPr>
                <w:sz w:val="20"/>
                <w:szCs w:val="20"/>
              </w:rPr>
            </w:pPr>
            <w:r w:rsidRPr="00F44D15">
              <w:rPr>
                <w:sz w:val="20"/>
                <w:szCs w:val="20"/>
              </w:rPr>
              <w:t>1.</w:t>
            </w:r>
          </w:p>
        </w:tc>
        <w:tc>
          <w:tcPr>
            <w:tcW w:w="1276" w:type="dxa"/>
            <w:vAlign w:val="center"/>
          </w:tcPr>
          <w:p w14:paraId="21D5E686" w14:textId="77777777" w:rsidR="00C649A4" w:rsidRPr="00F44D15" w:rsidRDefault="00C649A4" w:rsidP="009A09E4">
            <w:pPr>
              <w:rPr>
                <w:sz w:val="20"/>
                <w:szCs w:val="20"/>
              </w:rPr>
            </w:pPr>
            <w:r w:rsidRPr="00F44D15">
              <w:rPr>
                <w:sz w:val="20"/>
                <w:szCs w:val="20"/>
              </w:rPr>
              <w:t>Soubor vlastních skel</w:t>
            </w:r>
          </w:p>
        </w:tc>
        <w:tc>
          <w:tcPr>
            <w:tcW w:w="1276" w:type="dxa"/>
            <w:vAlign w:val="center"/>
          </w:tcPr>
          <w:p w14:paraId="25F95F26" w14:textId="77777777" w:rsidR="00C649A4" w:rsidRPr="00F44D15" w:rsidRDefault="00C649A4" w:rsidP="009A09E4">
            <w:pPr>
              <w:rPr>
                <w:sz w:val="20"/>
                <w:szCs w:val="20"/>
              </w:rPr>
            </w:pPr>
            <w:r w:rsidRPr="00F44D15">
              <w:rPr>
                <w:rFonts w:cs="Arial"/>
                <w:sz w:val="20"/>
                <w:szCs w:val="20"/>
              </w:rPr>
              <w:t>nesjednává se</w:t>
            </w:r>
          </w:p>
        </w:tc>
        <w:tc>
          <w:tcPr>
            <w:tcW w:w="1417" w:type="dxa"/>
            <w:vAlign w:val="center"/>
          </w:tcPr>
          <w:p w14:paraId="6AC3FEAF" w14:textId="77777777" w:rsidR="00C649A4" w:rsidRPr="00F44D15" w:rsidRDefault="00C649A4" w:rsidP="009A09E4">
            <w:pPr>
              <w:rPr>
                <w:sz w:val="20"/>
                <w:szCs w:val="20"/>
              </w:rPr>
            </w:pPr>
            <w:r w:rsidRPr="00F44D15">
              <w:rPr>
                <w:sz w:val="20"/>
                <w:szCs w:val="20"/>
              </w:rPr>
              <w:t>10 000 Kč</w:t>
            </w:r>
          </w:p>
        </w:tc>
        <w:tc>
          <w:tcPr>
            <w:tcW w:w="1701" w:type="dxa"/>
            <w:vAlign w:val="center"/>
          </w:tcPr>
          <w:p w14:paraId="7C0E5D28" w14:textId="77777777" w:rsidR="00C649A4" w:rsidRPr="00F44D15" w:rsidRDefault="00C649A4" w:rsidP="009A09E4">
            <w:pPr>
              <w:rPr>
                <w:sz w:val="20"/>
                <w:szCs w:val="20"/>
                <w:vertAlign w:val="superscript"/>
              </w:rPr>
            </w:pPr>
            <w:r w:rsidRPr="00F44D15">
              <w:rPr>
                <w:sz w:val="16"/>
                <w:szCs w:val="16"/>
                <w:vertAlign w:val="superscript"/>
              </w:rPr>
              <w:t>*)</w:t>
            </w:r>
          </w:p>
        </w:tc>
        <w:tc>
          <w:tcPr>
            <w:tcW w:w="1559" w:type="dxa"/>
            <w:vAlign w:val="center"/>
          </w:tcPr>
          <w:p w14:paraId="4E18C2B6" w14:textId="77777777" w:rsidR="00C649A4" w:rsidRPr="00F44D15" w:rsidRDefault="00C649A4" w:rsidP="009A09E4">
            <w:pPr>
              <w:rPr>
                <w:sz w:val="20"/>
                <w:szCs w:val="20"/>
              </w:rPr>
            </w:pPr>
            <w:r w:rsidRPr="00F44D15">
              <w:rPr>
                <w:rFonts w:cs="Arial"/>
                <w:sz w:val="20"/>
                <w:szCs w:val="20"/>
              </w:rPr>
              <w:t>200 000 Kč</w:t>
            </w:r>
          </w:p>
        </w:tc>
        <w:tc>
          <w:tcPr>
            <w:tcW w:w="1560" w:type="dxa"/>
            <w:vAlign w:val="center"/>
          </w:tcPr>
          <w:p w14:paraId="26F2B1A3" w14:textId="77777777" w:rsidR="00C649A4" w:rsidRPr="00F44D15" w:rsidRDefault="00C649A4" w:rsidP="009A09E4">
            <w:pPr>
              <w:rPr>
                <w:sz w:val="20"/>
                <w:szCs w:val="20"/>
              </w:rPr>
            </w:pPr>
            <w:r w:rsidRPr="00F44D15">
              <w:rPr>
                <w:rFonts w:cs="Arial"/>
                <w:sz w:val="20"/>
                <w:szCs w:val="20"/>
              </w:rPr>
              <w:t>nesjednává se</w:t>
            </w:r>
          </w:p>
        </w:tc>
      </w:tr>
      <w:tr w:rsidR="00C649A4" w:rsidRPr="00F44D15" w14:paraId="67FF6B51" w14:textId="77777777" w:rsidTr="009A09E4">
        <w:tc>
          <w:tcPr>
            <w:tcW w:w="9498" w:type="dxa"/>
            <w:gridSpan w:val="7"/>
          </w:tcPr>
          <w:p w14:paraId="4BAF04B0" w14:textId="77777777" w:rsidR="00C649A4" w:rsidRPr="00F44D15" w:rsidRDefault="00C649A4" w:rsidP="009A09E4">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1453A576" w14:textId="77777777" w:rsidR="00C649A4" w:rsidRPr="00F44D15" w:rsidRDefault="00C649A4" w:rsidP="009A09E4">
            <w:pPr>
              <w:jc w:val="both"/>
              <w:rPr>
                <w:b/>
                <w:bCs/>
                <w:sz w:val="20"/>
              </w:rPr>
            </w:pPr>
            <w:r w:rsidRPr="00F44D15">
              <w:rPr>
                <w:bCs/>
                <w:sz w:val="20"/>
              </w:rPr>
              <w:t>Poznámky:</w:t>
            </w:r>
            <w:r w:rsidRPr="00F44D15">
              <w:rPr>
                <w:b/>
                <w:bCs/>
                <w:sz w:val="20"/>
              </w:rPr>
              <w:t xml:space="preserve"> </w:t>
            </w:r>
          </w:p>
        </w:tc>
      </w:tr>
    </w:tbl>
    <w:p w14:paraId="4CC4FF41" w14:textId="77777777" w:rsidR="00C649A4" w:rsidRPr="00F44D15" w:rsidRDefault="00C649A4" w:rsidP="00C649A4">
      <w:pPr>
        <w:keepNext/>
        <w:rPr>
          <w:sz w:val="16"/>
          <w:szCs w:val="16"/>
        </w:rPr>
      </w:pPr>
      <w:r w:rsidRPr="00F44D15">
        <w:rPr>
          <w:sz w:val="16"/>
          <w:szCs w:val="16"/>
        </w:rPr>
        <w:t xml:space="preserve">*) není-li uvedeno, sjednává se pojištění s pojistnou hodnotou uvedenou v příslušných pojistných podmínkách </w:t>
      </w:r>
    </w:p>
    <w:p w14:paraId="3C8151FB" w14:textId="77777777" w:rsidR="00C649A4" w:rsidRDefault="00C649A4" w:rsidP="00C649A4">
      <w:pPr>
        <w:ind w:left="284" w:hanging="284"/>
        <w:rPr>
          <w:sz w:val="20"/>
          <w:szCs w:val="20"/>
        </w:rPr>
      </w:pPr>
    </w:p>
    <w:p w14:paraId="4832DD34" w14:textId="77777777" w:rsidR="00C649A4" w:rsidRDefault="00C649A4" w:rsidP="00C649A4">
      <w:pPr>
        <w:ind w:left="284" w:hanging="284"/>
        <w:rPr>
          <w:sz w:val="20"/>
          <w:szCs w:val="20"/>
        </w:rPr>
      </w:pPr>
    </w:p>
    <w:p w14:paraId="625CF79E" w14:textId="77777777" w:rsidR="00C649A4" w:rsidRPr="006368D9" w:rsidRDefault="00C649A4" w:rsidP="00C649A4">
      <w:pPr>
        <w:rPr>
          <w:b/>
          <w:sz w:val="20"/>
          <w:szCs w:val="20"/>
        </w:rPr>
      </w:pPr>
      <w:r>
        <w:rPr>
          <w:b/>
          <w:sz w:val="20"/>
          <w:szCs w:val="20"/>
        </w:rPr>
        <w:t>2.5</w:t>
      </w:r>
      <w:r w:rsidRPr="006368D9">
        <w:rPr>
          <w:b/>
          <w:sz w:val="20"/>
          <w:szCs w:val="20"/>
        </w:rPr>
        <w:t>.1 Pojištění elektronických zařízení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559"/>
        <w:gridCol w:w="1701"/>
        <w:gridCol w:w="1560"/>
      </w:tblGrid>
      <w:tr w:rsidR="00C649A4" w:rsidRPr="006368D9" w14:paraId="0E21DD45" w14:textId="77777777" w:rsidTr="009A09E4">
        <w:tc>
          <w:tcPr>
            <w:tcW w:w="9498" w:type="dxa"/>
            <w:gridSpan w:val="7"/>
          </w:tcPr>
          <w:p w14:paraId="23945F89" w14:textId="77777777" w:rsidR="00C649A4" w:rsidRPr="00B95D6C" w:rsidRDefault="00C649A4" w:rsidP="009A09E4">
            <w:pPr>
              <w:rPr>
                <w:b/>
                <w:sz w:val="20"/>
                <w:szCs w:val="20"/>
              </w:rPr>
            </w:pPr>
            <w:r w:rsidRPr="00B95D6C">
              <w:rPr>
                <w:b/>
                <w:sz w:val="20"/>
                <w:szCs w:val="20"/>
              </w:rPr>
              <w:t>Místo pojištění:</w:t>
            </w:r>
            <w:r w:rsidRPr="00B95D6C">
              <w:rPr>
                <w:rFonts w:cs="Arial"/>
                <w:sz w:val="20"/>
                <w:szCs w:val="20"/>
              </w:rPr>
              <w:t xml:space="preserve"> jednotlivá místa pojištění uvedená na příloze č. 1; místa pojištění na území ČR, která pojištěný oprávněně užívá</w:t>
            </w:r>
          </w:p>
        </w:tc>
      </w:tr>
      <w:tr w:rsidR="00C649A4" w:rsidRPr="006368D9" w14:paraId="59A7AE12" w14:textId="77777777" w:rsidTr="009A09E4">
        <w:tc>
          <w:tcPr>
            <w:tcW w:w="9498" w:type="dxa"/>
            <w:gridSpan w:val="7"/>
          </w:tcPr>
          <w:p w14:paraId="44325305" w14:textId="5BD5AD2F" w:rsidR="00C649A4" w:rsidRPr="00B95D6C" w:rsidRDefault="00C649A4" w:rsidP="009A09E4">
            <w:pPr>
              <w:rPr>
                <w:sz w:val="20"/>
                <w:szCs w:val="20"/>
              </w:rPr>
            </w:pPr>
            <w:r w:rsidRPr="00B95D6C">
              <w:rPr>
                <w:b/>
                <w:sz w:val="20"/>
                <w:szCs w:val="20"/>
              </w:rPr>
              <w:t xml:space="preserve">Pojištění se řídí: </w:t>
            </w:r>
            <w:r w:rsidRPr="00B95D6C">
              <w:rPr>
                <w:sz w:val="20"/>
                <w:szCs w:val="20"/>
              </w:rPr>
              <w:t>VPP P-100/14, ZPP P-320/14 a doložkou DOB103</w:t>
            </w:r>
            <w:r w:rsidR="005253D9">
              <w:rPr>
                <w:sz w:val="20"/>
                <w:szCs w:val="20"/>
              </w:rPr>
              <w:t>, DOB110</w:t>
            </w:r>
          </w:p>
        </w:tc>
      </w:tr>
      <w:tr w:rsidR="00C649A4" w:rsidRPr="006368D9" w14:paraId="7FB510E0" w14:textId="77777777" w:rsidTr="009A09E4">
        <w:tc>
          <w:tcPr>
            <w:tcW w:w="709" w:type="dxa"/>
            <w:vAlign w:val="center"/>
          </w:tcPr>
          <w:p w14:paraId="10CDDEC7" w14:textId="77777777" w:rsidR="00C649A4" w:rsidRPr="00B95D6C" w:rsidRDefault="00C649A4" w:rsidP="009A09E4">
            <w:pPr>
              <w:jc w:val="center"/>
              <w:rPr>
                <w:b/>
                <w:sz w:val="20"/>
                <w:szCs w:val="20"/>
              </w:rPr>
            </w:pPr>
            <w:proofErr w:type="spellStart"/>
            <w:r w:rsidRPr="00B95D6C">
              <w:rPr>
                <w:b/>
                <w:sz w:val="20"/>
                <w:szCs w:val="20"/>
              </w:rPr>
              <w:t>Poř</w:t>
            </w:r>
            <w:proofErr w:type="spellEnd"/>
            <w:r w:rsidRPr="00B95D6C">
              <w:rPr>
                <w:b/>
                <w:sz w:val="20"/>
                <w:szCs w:val="20"/>
              </w:rPr>
              <w:t>. číslo</w:t>
            </w:r>
          </w:p>
        </w:tc>
        <w:tc>
          <w:tcPr>
            <w:tcW w:w="1588" w:type="dxa"/>
            <w:vAlign w:val="center"/>
          </w:tcPr>
          <w:p w14:paraId="44E843E5" w14:textId="77777777" w:rsidR="00C649A4" w:rsidRPr="00B95D6C" w:rsidRDefault="00C649A4" w:rsidP="009A09E4">
            <w:pPr>
              <w:jc w:val="center"/>
              <w:rPr>
                <w:b/>
                <w:sz w:val="20"/>
                <w:szCs w:val="20"/>
              </w:rPr>
            </w:pPr>
            <w:r w:rsidRPr="00B95D6C">
              <w:rPr>
                <w:b/>
                <w:sz w:val="20"/>
                <w:szCs w:val="20"/>
              </w:rPr>
              <w:t>Předmět pojištění</w:t>
            </w:r>
          </w:p>
        </w:tc>
        <w:tc>
          <w:tcPr>
            <w:tcW w:w="964" w:type="dxa"/>
            <w:vAlign w:val="center"/>
          </w:tcPr>
          <w:p w14:paraId="1D818C99" w14:textId="77777777" w:rsidR="00C649A4" w:rsidRPr="00B95D6C" w:rsidRDefault="00C649A4" w:rsidP="009A09E4">
            <w:pPr>
              <w:jc w:val="center"/>
              <w:rPr>
                <w:b/>
                <w:sz w:val="20"/>
                <w:szCs w:val="20"/>
              </w:rPr>
            </w:pPr>
            <w:r w:rsidRPr="00B95D6C">
              <w:rPr>
                <w:b/>
                <w:sz w:val="20"/>
                <w:szCs w:val="20"/>
              </w:rPr>
              <w:t>Pojistná částka</w:t>
            </w:r>
            <w:r w:rsidRPr="00B95D6C">
              <w:rPr>
                <w:b/>
                <w:sz w:val="20"/>
                <w:szCs w:val="20"/>
                <w:vertAlign w:val="superscript"/>
              </w:rPr>
              <w:t>10)</w:t>
            </w:r>
          </w:p>
        </w:tc>
        <w:tc>
          <w:tcPr>
            <w:tcW w:w="1417" w:type="dxa"/>
            <w:vAlign w:val="center"/>
          </w:tcPr>
          <w:p w14:paraId="0DFB8C59" w14:textId="77777777" w:rsidR="00C649A4" w:rsidRPr="00B95D6C" w:rsidRDefault="00C649A4" w:rsidP="009A09E4">
            <w:pPr>
              <w:jc w:val="center"/>
              <w:rPr>
                <w:b/>
                <w:sz w:val="20"/>
                <w:szCs w:val="20"/>
              </w:rPr>
            </w:pPr>
            <w:r w:rsidRPr="00B95D6C">
              <w:rPr>
                <w:b/>
                <w:sz w:val="20"/>
                <w:szCs w:val="20"/>
              </w:rPr>
              <w:t>Spoluúčast</w:t>
            </w:r>
            <w:r w:rsidRPr="00B95D6C">
              <w:rPr>
                <w:b/>
                <w:sz w:val="20"/>
                <w:szCs w:val="20"/>
                <w:vertAlign w:val="superscript"/>
              </w:rPr>
              <w:t>5)</w:t>
            </w:r>
          </w:p>
        </w:tc>
        <w:tc>
          <w:tcPr>
            <w:tcW w:w="1559" w:type="dxa"/>
            <w:vAlign w:val="center"/>
          </w:tcPr>
          <w:p w14:paraId="0643DFBE" w14:textId="77777777" w:rsidR="00C649A4" w:rsidRPr="00B95D6C" w:rsidRDefault="00C649A4" w:rsidP="009A09E4">
            <w:pPr>
              <w:jc w:val="center"/>
              <w:rPr>
                <w:b/>
                <w:sz w:val="20"/>
                <w:szCs w:val="20"/>
              </w:rPr>
            </w:pPr>
            <w:r w:rsidRPr="00B95D6C">
              <w:rPr>
                <w:b/>
                <w:sz w:val="20"/>
                <w:szCs w:val="20"/>
              </w:rPr>
              <w:t>Pojištění se sjednává na cenu</w:t>
            </w:r>
            <w:r w:rsidRPr="00B95D6C">
              <w:rPr>
                <w:b/>
                <w:sz w:val="20"/>
                <w:szCs w:val="20"/>
                <w:vertAlign w:val="superscript"/>
              </w:rPr>
              <w:t>*1)</w:t>
            </w:r>
          </w:p>
        </w:tc>
        <w:tc>
          <w:tcPr>
            <w:tcW w:w="1701" w:type="dxa"/>
            <w:vAlign w:val="center"/>
          </w:tcPr>
          <w:p w14:paraId="74EB3258" w14:textId="77777777" w:rsidR="00C649A4" w:rsidRPr="00B95D6C" w:rsidRDefault="00C649A4" w:rsidP="009A09E4">
            <w:pPr>
              <w:jc w:val="center"/>
              <w:rPr>
                <w:b/>
                <w:sz w:val="20"/>
                <w:szCs w:val="20"/>
                <w:vertAlign w:val="superscript"/>
              </w:rPr>
            </w:pPr>
            <w:r w:rsidRPr="00B95D6C">
              <w:rPr>
                <w:b/>
                <w:sz w:val="20"/>
                <w:szCs w:val="20"/>
              </w:rPr>
              <w:t>MRLP</w:t>
            </w:r>
            <w:r w:rsidRPr="00B95D6C">
              <w:rPr>
                <w:b/>
                <w:sz w:val="20"/>
                <w:szCs w:val="20"/>
                <w:vertAlign w:val="superscript"/>
              </w:rPr>
              <w:t>3)</w:t>
            </w:r>
          </w:p>
          <w:p w14:paraId="7DF74E41" w14:textId="77777777" w:rsidR="00C649A4" w:rsidRPr="00B95D6C" w:rsidRDefault="00C649A4" w:rsidP="009A09E4">
            <w:pPr>
              <w:jc w:val="center"/>
              <w:rPr>
                <w:b/>
                <w:sz w:val="20"/>
                <w:szCs w:val="20"/>
              </w:rPr>
            </w:pPr>
            <w:r w:rsidRPr="00B95D6C">
              <w:rPr>
                <w:b/>
                <w:sz w:val="20"/>
                <w:szCs w:val="20"/>
              </w:rPr>
              <w:t>První riziko</w:t>
            </w:r>
            <w:r w:rsidRPr="00B95D6C">
              <w:rPr>
                <w:b/>
                <w:sz w:val="20"/>
                <w:szCs w:val="20"/>
                <w:vertAlign w:val="superscript"/>
              </w:rPr>
              <w:t>2)</w:t>
            </w:r>
          </w:p>
        </w:tc>
        <w:tc>
          <w:tcPr>
            <w:tcW w:w="1560" w:type="dxa"/>
            <w:vAlign w:val="center"/>
          </w:tcPr>
          <w:p w14:paraId="13821039" w14:textId="77777777" w:rsidR="00C649A4" w:rsidRPr="00B95D6C" w:rsidRDefault="00C649A4" w:rsidP="009A09E4">
            <w:pPr>
              <w:jc w:val="center"/>
              <w:rPr>
                <w:b/>
                <w:sz w:val="20"/>
                <w:szCs w:val="20"/>
              </w:rPr>
            </w:pPr>
            <w:r w:rsidRPr="00B95D6C">
              <w:rPr>
                <w:b/>
                <w:sz w:val="20"/>
                <w:szCs w:val="20"/>
              </w:rPr>
              <w:t>MRLP</w:t>
            </w:r>
            <w:r w:rsidRPr="00B95D6C">
              <w:rPr>
                <w:b/>
                <w:sz w:val="20"/>
                <w:szCs w:val="20"/>
                <w:vertAlign w:val="superscript"/>
              </w:rPr>
              <w:t>3)</w:t>
            </w:r>
          </w:p>
        </w:tc>
      </w:tr>
      <w:tr w:rsidR="00C649A4" w:rsidRPr="006368D9" w14:paraId="0571292B" w14:textId="77777777" w:rsidTr="009A09E4">
        <w:tc>
          <w:tcPr>
            <w:tcW w:w="709" w:type="dxa"/>
            <w:vAlign w:val="center"/>
          </w:tcPr>
          <w:p w14:paraId="60556E17" w14:textId="77777777" w:rsidR="00C649A4" w:rsidRPr="00B95D6C" w:rsidRDefault="00C649A4" w:rsidP="009A09E4">
            <w:pPr>
              <w:rPr>
                <w:sz w:val="20"/>
                <w:szCs w:val="20"/>
              </w:rPr>
            </w:pPr>
            <w:r w:rsidRPr="00B95D6C">
              <w:rPr>
                <w:sz w:val="20"/>
                <w:szCs w:val="20"/>
              </w:rPr>
              <w:lastRenderedPageBreak/>
              <w:t>1.</w:t>
            </w:r>
          </w:p>
        </w:tc>
        <w:tc>
          <w:tcPr>
            <w:tcW w:w="1588" w:type="dxa"/>
            <w:vAlign w:val="center"/>
          </w:tcPr>
          <w:p w14:paraId="486D46FD" w14:textId="77777777" w:rsidR="00C649A4" w:rsidRPr="00B95D6C" w:rsidRDefault="00C649A4" w:rsidP="009A09E4">
            <w:pPr>
              <w:rPr>
                <w:sz w:val="20"/>
                <w:szCs w:val="20"/>
              </w:rPr>
            </w:pPr>
            <w:r w:rsidRPr="00B95D6C">
              <w:rPr>
                <w:sz w:val="20"/>
                <w:szCs w:val="20"/>
              </w:rPr>
              <w:t>Soubor vlastních elektronických zařízení</w:t>
            </w:r>
          </w:p>
        </w:tc>
        <w:tc>
          <w:tcPr>
            <w:tcW w:w="964" w:type="dxa"/>
            <w:vAlign w:val="center"/>
          </w:tcPr>
          <w:p w14:paraId="23494190" w14:textId="77777777" w:rsidR="00C649A4" w:rsidRPr="00B95D6C" w:rsidRDefault="00C649A4" w:rsidP="009A09E4">
            <w:pPr>
              <w:rPr>
                <w:sz w:val="20"/>
                <w:szCs w:val="20"/>
              </w:rPr>
            </w:pPr>
          </w:p>
        </w:tc>
        <w:tc>
          <w:tcPr>
            <w:tcW w:w="1417" w:type="dxa"/>
            <w:vAlign w:val="center"/>
          </w:tcPr>
          <w:p w14:paraId="4C64E922" w14:textId="77777777" w:rsidR="00C649A4" w:rsidRPr="00FC2A03" w:rsidRDefault="00C649A4" w:rsidP="009A09E4">
            <w:pPr>
              <w:spacing w:line="480" w:lineRule="auto"/>
              <w:rPr>
                <w:sz w:val="20"/>
                <w:szCs w:val="20"/>
              </w:rPr>
            </w:pPr>
            <w:r w:rsidRPr="00FC2A03">
              <w:rPr>
                <w:sz w:val="20"/>
                <w:szCs w:val="20"/>
              </w:rPr>
              <w:t>200 000 Kč</w:t>
            </w:r>
          </w:p>
        </w:tc>
        <w:tc>
          <w:tcPr>
            <w:tcW w:w="1559" w:type="dxa"/>
            <w:vAlign w:val="center"/>
          </w:tcPr>
          <w:p w14:paraId="5650A38D" w14:textId="77777777" w:rsidR="00C649A4" w:rsidRPr="00B95D6C" w:rsidRDefault="00C649A4" w:rsidP="009A09E4">
            <w:pPr>
              <w:rPr>
                <w:sz w:val="20"/>
                <w:szCs w:val="20"/>
                <w:vertAlign w:val="superscript"/>
              </w:rPr>
            </w:pPr>
            <w:r w:rsidRPr="00B95D6C">
              <w:rPr>
                <w:sz w:val="20"/>
                <w:szCs w:val="20"/>
                <w:vertAlign w:val="superscript"/>
              </w:rPr>
              <w:t>*)</w:t>
            </w:r>
          </w:p>
        </w:tc>
        <w:tc>
          <w:tcPr>
            <w:tcW w:w="1701" w:type="dxa"/>
            <w:vAlign w:val="center"/>
          </w:tcPr>
          <w:p w14:paraId="6E9F4F22" w14:textId="77777777" w:rsidR="00C649A4" w:rsidRPr="00B95D6C" w:rsidRDefault="00C649A4" w:rsidP="009A09E4">
            <w:pPr>
              <w:rPr>
                <w:sz w:val="20"/>
                <w:szCs w:val="20"/>
              </w:rPr>
            </w:pPr>
            <w:r w:rsidRPr="00B95D6C">
              <w:rPr>
                <w:rFonts w:cs="Arial"/>
                <w:sz w:val="20"/>
                <w:szCs w:val="20"/>
              </w:rPr>
              <w:t>1</w:t>
            </w:r>
            <w:r>
              <w:rPr>
                <w:rFonts w:cs="Arial"/>
                <w:sz w:val="20"/>
                <w:szCs w:val="20"/>
              </w:rPr>
              <w:t>3</w:t>
            </w:r>
            <w:r w:rsidRPr="00B95D6C">
              <w:rPr>
                <w:rFonts w:cs="Arial"/>
                <w:sz w:val="20"/>
                <w:szCs w:val="20"/>
              </w:rPr>
              <w:t> 000 000 Kč</w:t>
            </w:r>
          </w:p>
        </w:tc>
        <w:tc>
          <w:tcPr>
            <w:tcW w:w="1560" w:type="dxa"/>
            <w:vAlign w:val="center"/>
          </w:tcPr>
          <w:p w14:paraId="70ABAF4E" w14:textId="77777777" w:rsidR="00C649A4" w:rsidRPr="00B95D6C" w:rsidRDefault="00C649A4" w:rsidP="009A09E4">
            <w:pPr>
              <w:rPr>
                <w:sz w:val="20"/>
                <w:szCs w:val="20"/>
              </w:rPr>
            </w:pPr>
            <w:r w:rsidRPr="00B95D6C">
              <w:rPr>
                <w:rFonts w:cs="Arial"/>
                <w:sz w:val="20"/>
                <w:szCs w:val="20"/>
              </w:rPr>
              <w:t>nesjednává se</w:t>
            </w:r>
          </w:p>
        </w:tc>
      </w:tr>
      <w:tr w:rsidR="00C649A4" w:rsidRPr="006368D9" w14:paraId="649948F3" w14:textId="77777777" w:rsidTr="009A09E4">
        <w:tc>
          <w:tcPr>
            <w:tcW w:w="9498" w:type="dxa"/>
            <w:gridSpan w:val="7"/>
          </w:tcPr>
          <w:p w14:paraId="61450467" w14:textId="77777777" w:rsidR="00C649A4" w:rsidRDefault="00C649A4" w:rsidP="009A09E4">
            <w:pPr>
              <w:rPr>
                <w:sz w:val="20"/>
                <w:szCs w:val="20"/>
              </w:rPr>
            </w:pPr>
            <w:r w:rsidRPr="00793522">
              <w:rPr>
                <w:sz w:val="20"/>
                <w:szCs w:val="20"/>
              </w:rPr>
              <w:t>Poznámky:</w:t>
            </w:r>
          </w:p>
          <w:p w14:paraId="2FC6BC95" w14:textId="77777777" w:rsidR="00C649A4" w:rsidRPr="00BE6289" w:rsidRDefault="00C649A4" w:rsidP="009A09E4">
            <w:pPr>
              <w:jc w:val="both"/>
              <w:rPr>
                <w:i/>
                <w:sz w:val="20"/>
                <w:szCs w:val="20"/>
              </w:rPr>
            </w:pPr>
            <w:r w:rsidRPr="00BE6289">
              <w:rPr>
                <w:i/>
                <w:sz w:val="20"/>
                <w:szCs w:val="20"/>
              </w:rPr>
              <w:t>Ujednává se, že se ustanovení čl. 3 odst. 2) písm. h) ZPP P-320/14 ruší a nově zní:</w:t>
            </w:r>
          </w:p>
          <w:p w14:paraId="763D7FCF" w14:textId="77777777" w:rsidR="00C649A4" w:rsidRDefault="00C649A4" w:rsidP="009A09E4">
            <w:pPr>
              <w:rPr>
                <w:i/>
                <w:sz w:val="20"/>
                <w:szCs w:val="20"/>
              </w:rPr>
            </w:pPr>
            <w:r w:rsidRPr="00BE6289">
              <w:rPr>
                <w:i/>
                <w:sz w:val="20"/>
                <w:szCs w:val="20"/>
              </w:rPr>
              <w:t>„Z pojištění nevzniká právo na plnění pojistitele za škody vzniklé na pojištěném zařízení během jeho přepravy jako nákladu.“</w:t>
            </w:r>
          </w:p>
          <w:p w14:paraId="305D26AE" w14:textId="77777777" w:rsidR="00C649A4" w:rsidRDefault="00C649A4" w:rsidP="009A09E4">
            <w:pPr>
              <w:rPr>
                <w:sz w:val="20"/>
                <w:szCs w:val="20"/>
              </w:rPr>
            </w:pPr>
          </w:p>
          <w:p w14:paraId="00A1AC12" w14:textId="77777777" w:rsidR="00C649A4" w:rsidRDefault="00C649A4" w:rsidP="009A09E4">
            <w:pPr>
              <w:rPr>
                <w:sz w:val="20"/>
                <w:szCs w:val="20"/>
              </w:rPr>
            </w:pPr>
            <w:r w:rsidRPr="00BE6289">
              <w:rPr>
                <w:i/>
                <w:sz w:val="20"/>
                <w:szCs w:val="20"/>
              </w:rPr>
              <w:t xml:space="preserve">Ujednává se, že se ustanovení čl. </w:t>
            </w:r>
            <w:r>
              <w:rPr>
                <w:i/>
                <w:sz w:val="20"/>
                <w:szCs w:val="20"/>
              </w:rPr>
              <w:t>1</w:t>
            </w:r>
            <w:r w:rsidRPr="00BE6289">
              <w:rPr>
                <w:i/>
                <w:sz w:val="20"/>
                <w:szCs w:val="20"/>
              </w:rPr>
              <w:t xml:space="preserve"> odst. </w:t>
            </w:r>
            <w:r>
              <w:rPr>
                <w:i/>
                <w:sz w:val="20"/>
                <w:szCs w:val="20"/>
              </w:rPr>
              <w:t>4</w:t>
            </w:r>
            <w:r w:rsidRPr="00BE6289">
              <w:rPr>
                <w:i/>
                <w:sz w:val="20"/>
                <w:szCs w:val="20"/>
              </w:rPr>
              <w:t>) ZPP P-320/14 ruší a nově zní:</w:t>
            </w:r>
          </w:p>
          <w:p w14:paraId="5552CD42" w14:textId="77777777" w:rsidR="00C649A4" w:rsidRPr="00793522" w:rsidRDefault="00C649A4" w:rsidP="009A09E4">
            <w:pPr>
              <w:rPr>
                <w:sz w:val="20"/>
                <w:szCs w:val="20"/>
              </w:rPr>
            </w:pPr>
            <w:r w:rsidRPr="00404260">
              <w:rPr>
                <w:sz w:val="20"/>
                <w:szCs w:val="22"/>
              </w:rPr>
              <w:t xml:space="preserve">V případě pojištění souboru se pojištění vztahuje pouze na zařízení, jejichž stáří nepřesáhlo v době vzniku škody 5 let, resp. 10 let v případě zdravotnických přístrojů.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w:t>
            </w:r>
            <w:proofErr w:type="gramStart"/>
            <w:r w:rsidRPr="00404260">
              <w:rPr>
                <w:sz w:val="20"/>
                <w:szCs w:val="22"/>
              </w:rPr>
              <w:t>5 leté</w:t>
            </w:r>
            <w:proofErr w:type="gramEnd"/>
            <w:r w:rsidRPr="00404260">
              <w:rPr>
                <w:sz w:val="20"/>
                <w:szCs w:val="22"/>
              </w:rPr>
              <w:t>, resp. 10 leté doby stáří zařízení nezapočítává.</w:t>
            </w:r>
          </w:p>
        </w:tc>
      </w:tr>
    </w:tbl>
    <w:p w14:paraId="67906DC3" w14:textId="77777777" w:rsidR="00C649A4" w:rsidRPr="00F44D15" w:rsidRDefault="00C649A4" w:rsidP="00C649A4">
      <w:pPr>
        <w:ind w:left="284" w:hanging="284"/>
        <w:rPr>
          <w:sz w:val="20"/>
          <w:szCs w:val="20"/>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14:paraId="2ACFC9BA" w14:textId="77777777" w:rsidR="00C649A4" w:rsidRPr="00F44D15" w:rsidRDefault="00C649A4" w:rsidP="00C649A4">
      <w:pPr>
        <w:rPr>
          <w:sz w:val="20"/>
          <w:szCs w:val="20"/>
        </w:rPr>
      </w:pPr>
    </w:p>
    <w:p w14:paraId="007AB007" w14:textId="77777777" w:rsidR="00C649A4" w:rsidRPr="00F44D15" w:rsidRDefault="00C649A4" w:rsidP="00C649A4">
      <w:pPr>
        <w:keepNext/>
        <w:tabs>
          <w:tab w:val="left" w:pos="284"/>
        </w:tabs>
        <w:jc w:val="both"/>
        <w:rPr>
          <w:rFonts w:cs="Arial"/>
          <w:bCs/>
          <w:sz w:val="18"/>
        </w:rPr>
      </w:pPr>
      <w:r w:rsidRPr="00F44D15">
        <w:rPr>
          <w:b/>
          <w:sz w:val="20"/>
          <w:szCs w:val="20"/>
          <w:vertAlign w:val="superscript"/>
        </w:rPr>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7DBFACA5" w14:textId="77777777" w:rsidR="00C649A4" w:rsidRPr="00F44D15" w:rsidRDefault="00C649A4" w:rsidP="00C649A4">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3D4F274F" w14:textId="77777777" w:rsidR="00C649A4" w:rsidRPr="00F44D15" w:rsidRDefault="00C649A4" w:rsidP="00C649A4">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20A3E056" w14:textId="77777777" w:rsidR="00C649A4" w:rsidRPr="00F44D15" w:rsidRDefault="00C649A4" w:rsidP="00C649A4">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49E20687" w14:textId="77777777" w:rsidR="00C649A4" w:rsidRPr="00F44D15" w:rsidRDefault="00C649A4" w:rsidP="00C649A4">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F214739" w14:textId="77777777" w:rsidR="00C649A4" w:rsidRPr="00F44D15" w:rsidRDefault="00C649A4" w:rsidP="00C649A4">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MRLP je horní hranicí pojistného plnění v souhrnu ze všech pojistných událostí vzniklých v jednom pojistném roce. Je-li pojištění sjednáno na dobu kratší</w:t>
      </w:r>
      <w:r>
        <w:rPr>
          <w:rFonts w:cs="Arial"/>
          <w:bCs/>
          <w:sz w:val="18"/>
        </w:rPr>
        <w:t>,</w:t>
      </w:r>
      <w:r w:rsidRPr="00F44D15">
        <w:rPr>
          <w:rFonts w:cs="Arial"/>
          <w:bCs/>
          <w:sz w:val="18"/>
        </w:rPr>
        <w:t xml:space="preserve"> než jeden pojistný rok je MRLP horní hranicí pojistného plnění v souhrnu ze všech pojistných událostí vzniklých za dobu trvání pojištění</w:t>
      </w:r>
      <w:r w:rsidRPr="00F44D15">
        <w:rPr>
          <w:rFonts w:cs="Arial"/>
          <w:sz w:val="18"/>
        </w:rPr>
        <w:t xml:space="preserve">. </w:t>
      </w:r>
    </w:p>
    <w:p w14:paraId="3AB66246" w14:textId="77777777" w:rsidR="00C649A4" w:rsidRPr="00F44D15" w:rsidRDefault="00C649A4" w:rsidP="00C649A4">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01E4E7FB" w14:textId="77777777" w:rsidR="00C649A4" w:rsidRPr="00F44D15" w:rsidRDefault="00C649A4" w:rsidP="00C649A4">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45A445C6" w14:textId="77777777" w:rsidR="00C649A4" w:rsidRPr="00F44D15" w:rsidRDefault="00C649A4" w:rsidP="00C649A4">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4A15A29C" w14:textId="77777777" w:rsidR="00C649A4" w:rsidRPr="00F44D15" w:rsidRDefault="00C649A4" w:rsidP="00C649A4">
      <w:pPr>
        <w:ind w:left="284" w:hanging="284"/>
        <w:rPr>
          <w:i/>
          <w:sz w:val="20"/>
          <w:szCs w:val="20"/>
        </w:rPr>
      </w:pPr>
    </w:p>
    <w:p w14:paraId="3B0C17CF" w14:textId="77777777" w:rsidR="00C649A4" w:rsidRPr="00F44D15" w:rsidRDefault="00C649A4" w:rsidP="00C649A4">
      <w:pPr>
        <w:rPr>
          <w:rFonts w:cs="Arial"/>
          <w:b/>
          <w:szCs w:val="22"/>
        </w:rPr>
      </w:pPr>
    </w:p>
    <w:p w14:paraId="59FA3192" w14:textId="77777777" w:rsidR="00C649A4" w:rsidRPr="00F44D15" w:rsidRDefault="00C649A4" w:rsidP="00C649A4">
      <w:pPr>
        <w:keepNext/>
        <w:numPr>
          <w:ilvl w:val="0"/>
          <w:numId w:val="9"/>
        </w:numPr>
        <w:rPr>
          <w:rFonts w:cs="Arial"/>
          <w:b/>
          <w:szCs w:val="22"/>
        </w:rPr>
      </w:pPr>
      <w:r w:rsidRPr="00F44D15">
        <w:rPr>
          <w:rFonts w:cs="Arial"/>
          <w:b/>
          <w:szCs w:val="22"/>
        </w:rPr>
        <w:t xml:space="preserve">Pojistné plnění </w:t>
      </w:r>
    </w:p>
    <w:p w14:paraId="6E4C91EA" w14:textId="77777777" w:rsidR="00C649A4" w:rsidRPr="00F44D15" w:rsidRDefault="00C649A4" w:rsidP="00C649A4">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0A86C316" w14:textId="77777777" w:rsidR="00C649A4" w:rsidRPr="00F44D15" w:rsidRDefault="00C649A4" w:rsidP="00C649A4">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6EF6C6E1" w14:textId="77777777" w:rsidR="00C649A4" w:rsidRPr="00F44D15" w:rsidRDefault="00C649A4" w:rsidP="00C649A4">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10 000 000 Kč</w:t>
      </w:r>
      <w:r w:rsidRPr="00F44D15">
        <w:rPr>
          <w:rFonts w:cs="Arial"/>
          <w:sz w:val="20"/>
        </w:rPr>
        <w:t>; tím nejsou dotčena jiná ujednání, z nichž vyplývá povinnost pojistitele poskytnout pojistné plnění v nižší nebo stejné výši.</w:t>
      </w:r>
    </w:p>
    <w:p w14:paraId="0C38A62B" w14:textId="77777777" w:rsidR="00C649A4" w:rsidRPr="00F44D15" w:rsidRDefault="00C649A4" w:rsidP="00C649A4">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744B7FFB" w14:textId="77777777" w:rsidR="00C649A4" w:rsidRPr="00F44D15" w:rsidRDefault="00C649A4" w:rsidP="00C649A4">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lastRenderedPageBreak/>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0F79C183" w:rsidR="003725E1" w:rsidRPr="00F44D15" w:rsidRDefault="00C649A4" w:rsidP="00C649A4">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r w:rsidR="00E74200" w:rsidRPr="00F44D15">
        <w:rPr>
          <w:rFonts w:cs="Arial"/>
          <w:sz w:val="20"/>
        </w:rPr>
        <w:t>.</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26C963F0" w14:textId="678440C6" w:rsidR="00ED3BD2" w:rsidRPr="00F44D15" w:rsidRDefault="00ED3BD2" w:rsidP="00ED3BD2">
      <w:pPr>
        <w:keepNext/>
        <w:numPr>
          <w:ilvl w:val="0"/>
          <w:numId w:val="12"/>
        </w:numPr>
        <w:tabs>
          <w:tab w:val="left" w:pos="-1560"/>
        </w:tabs>
        <w:spacing w:before="120"/>
        <w:jc w:val="both"/>
        <w:rPr>
          <w:rFonts w:cs="Arial"/>
          <w:b/>
          <w:sz w:val="20"/>
        </w:rPr>
      </w:pPr>
      <w:r w:rsidRPr="00F44D15">
        <w:rPr>
          <w:rFonts w:cs="Arial"/>
          <w:b/>
          <w:sz w:val="20"/>
        </w:rPr>
        <w:t>Pojistné za jeden pojistný rok od 15. 5. 202</w:t>
      </w:r>
      <w:r w:rsidR="00621595">
        <w:rPr>
          <w:rFonts w:cs="Arial"/>
          <w:b/>
          <w:sz w:val="20"/>
        </w:rPr>
        <w:t>5</w:t>
      </w:r>
      <w:r w:rsidRPr="00F44D15">
        <w:rPr>
          <w:rFonts w:cs="Arial"/>
          <w:b/>
          <w:sz w:val="20"/>
        </w:rPr>
        <w:t xml:space="preserve"> činí:</w:t>
      </w:r>
    </w:p>
    <w:p w14:paraId="170BBDD7"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Živelní pojištění</w:t>
      </w:r>
    </w:p>
    <w:p w14:paraId="387E97CE" w14:textId="0E75296E"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D2234">
        <w:rPr>
          <w:rFonts w:cs="Arial"/>
          <w:sz w:val="20"/>
        </w:rPr>
        <w:t>4 006 135</w:t>
      </w:r>
      <w:r w:rsidRPr="00F44D15">
        <w:rPr>
          <w:rFonts w:cs="Arial"/>
          <w:sz w:val="20"/>
        </w:rPr>
        <w:t xml:space="preserve"> Kč</w:t>
      </w:r>
    </w:p>
    <w:p w14:paraId="6B92843D"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pro případ odcizení</w:t>
      </w:r>
    </w:p>
    <w:p w14:paraId="6EE80028" w14:textId="6B0EC2EE"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322263">
        <w:rPr>
          <w:rFonts w:cs="Arial"/>
          <w:sz w:val="20"/>
        </w:rPr>
        <w:t>43 055</w:t>
      </w:r>
      <w:r w:rsidRPr="00F44D15">
        <w:rPr>
          <w:rFonts w:cs="Arial"/>
          <w:sz w:val="20"/>
        </w:rPr>
        <w:t xml:space="preserve"> Kč</w:t>
      </w:r>
    </w:p>
    <w:p w14:paraId="555B033A"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pro případ vandalismu</w:t>
      </w:r>
    </w:p>
    <w:p w14:paraId="1F97BC49" w14:textId="6C1E5598"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45E61">
        <w:rPr>
          <w:rFonts w:cs="Arial"/>
          <w:sz w:val="20"/>
        </w:rPr>
        <w:t xml:space="preserve">12 800 </w:t>
      </w:r>
      <w:r w:rsidRPr="00F44D15">
        <w:rPr>
          <w:rFonts w:cs="Arial"/>
          <w:sz w:val="20"/>
        </w:rPr>
        <w:t>Kč</w:t>
      </w:r>
    </w:p>
    <w:p w14:paraId="1B1F0BCC"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skla</w:t>
      </w:r>
    </w:p>
    <w:p w14:paraId="11144B55" w14:textId="64A04836" w:rsidR="00ED3BD2"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45E61">
        <w:rPr>
          <w:rFonts w:cs="Arial"/>
          <w:sz w:val="20"/>
        </w:rPr>
        <w:t>10</w:t>
      </w:r>
      <w:r w:rsidR="002F2422">
        <w:rPr>
          <w:rFonts w:cs="Arial"/>
          <w:sz w:val="20"/>
        </w:rPr>
        <w:t> </w:t>
      </w:r>
      <w:r w:rsidR="00E45E61">
        <w:rPr>
          <w:rFonts w:cs="Arial"/>
          <w:sz w:val="20"/>
        </w:rPr>
        <w:t>000</w:t>
      </w:r>
      <w:r w:rsidR="002F2422">
        <w:rPr>
          <w:rFonts w:cs="Arial"/>
          <w:sz w:val="20"/>
        </w:rPr>
        <w:t xml:space="preserve"> </w:t>
      </w:r>
      <w:r w:rsidRPr="00F44D15">
        <w:rPr>
          <w:rFonts w:cs="Arial"/>
          <w:sz w:val="20"/>
        </w:rPr>
        <w:t>Kč</w:t>
      </w:r>
    </w:p>
    <w:p w14:paraId="68B61EE1" w14:textId="55E3A695" w:rsidR="002244A7" w:rsidRPr="00F44D15" w:rsidRDefault="002244A7" w:rsidP="002244A7">
      <w:pPr>
        <w:keepNext/>
        <w:numPr>
          <w:ilvl w:val="0"/>
          <w:numId w:val="11"/>
        </w:numPr>
        <w:tabs>
          <w:tab w:val="left" w:pos="-1560"/>
        </w:tabs>
        <w:jc w:val="both"/>
        <w:rPr>
          <w:rFonts w:cs="Arial"/>
          <w:b/>
          <w:sz w:val="20"/>
        </w:rPr>
      </w:pPr>
      <w:r w:rsidRPr="00F44D15">
        <w:rPr>
          <w:rFonts w:cs="Arial"/>
          <w:b/>
          <w:sz w:val="20"/>
        </w:rPr>
        <w:t xml:space="preserve">Pojištění </w:t>
      </w:r>
      <w:r>
        <w:rPr>
          <w:rFonts w:cs="Arial"/>
          <w:b/>
          <w:sz w:val="20"/>
        </w:rPr>
        <w:t>elektronických zařízení</w:t>
      </w:r>
    </w:p>
    <w:p w14:paraId="2DCB7A80" w14:textId="02DF1A5A" w:rsidR="002244A7" w:rsidRPr="00F44D15" w:rsidRDefault="002244A7" w:rsidP="002244A7">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E45E61">
        <w:rPr>
          <w:rFonts w:cs="Arial"/>
          <w:sz w:val="20"/>
        </w:rPr>
        <w:t>1 391 304</w:t>
      </w:r>
      <w:r w:rsidRPr="00F44D15">
        <w:rPr>
          <w:rFonts w:cs="Arial"/>
          <w:sz w:val="20"/>
        </w:rPr>
        <w:t xml:space="preserve"> Kč</w:t>
      </w:r>
    </w:p>
    <w:p w14:paraId="33A1FEBB" w14:textId="77777777" w:rsidR="002244A7" w:rsidRPr="00F44D15" w:rsidRDefault="002244A7" w:rsidP="00ED3BD2">
      <w:pPr>
        <w:numPr>
          <w:ilvl w:val="12"/>
          <w:numId w:val="0"/>
        </w:numPr>
        <w:tabs>
          <w:tab w:val="right" w:leader="dot" w:pos="9638"/>
        </w:tabs>
        <w:ind w:left="425"/>
        <w:jc w:val="both"/>
        <w:rPr>
          <w:rFonts w:cs="Arial"/>
          <w:sz w:val="20"/>
        </w:rPr>
      </w:pPr>
    </w:p>
    <w:p w14:paraId="529AB486" w14:textId="70848704" w:rsidR="00ED3BD2" w:rsidRPr="00F44D15" w:rsidRDefault="00ED3BD2" w:rsidP="00ED3BD2">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sjednaná pojištění za jeden pojistný rok činí </w:t>
      </w:r>
      <w:r w:rsidRPr="00F44D15">
        <w:rPr>
          <w:rFonts w:cs="Arial"/>
          <w:b/>
          <w:sz w:val="20"/>
        </w:rPr>
        <w:tab/>
        <w:t xml:space="preserve"> </w:t>
      </w:r>
      <w:r w:rsidR="00477C40" w:rsidRPr="002F2422">
        <w:rPr>
          <w:rFonts w:cs="Arial"/>
          <w:b/>
          <w:sz w:val="20"/>
        </w:rPr>
        <w:t>5</w:t>
      </w:r>
      <w:r w:rsidR="00441EC8" w:rsidRPr="002F2422">
        <w:rPr>
          <w:rFonts w:cs="Arial"/>
          <w:b/>
          <w:sz w:val="20"/>
        </w:rPr>
        <w:t> </w:t>
      </w:r>
      <w:r w:rsidR="000F34E2">
        <w:rPr>
          <w:rFonts w:cs="Arial"/>
          <w:b/>
          <w:sz w:val="20"/>
        </w:rPr>
        <w:t>463</w:t>
      </w:r>
      <w:r w:rsidR="00441EC8" w:rsidRPr="002F2422">
        <w:rPr>
          <w:rFonts w:cs="Arial"/>
          <w:b/>
          <w:sz w:val="20"/>
        </w:rPr>
        <w:t> </w:t>
      </w:r>
      <w:r w:rsidR="000F34E2">
        <w:rPr>
          <w:rFonts w:cs="Arial"/>
          <w:b/>
          <w:sz w:val="20"/>
        </w:rPr>
        <w:t>618</w:t>
      </w:r>
      <w:r w:rsidR="00441EC8" w:rsidRPr="002F2422">
        <w:rPr>
          <w:rFonts w:cs="Arial"/>
          <w:b/>
          <w:sz w:val="20"/>
        </w:rPr>
        <w:t xml:space="preserve"> </w:t>
      </w:r>
      <w:r w:rsidRPr="002F2422">
        <w:rPr>
          <w:rFonts w:cs="Arial"/>
          <w:b/>
          <w:sz w:val="20"/>
        </w:rPr>
        <w:t>Kč</w:t>
      </w:r>
    </w:p>
    <w:p w14:paraId="7BC45E5D" w14:textId="77777777" w:rsidR="00ED3BD2" w:rsidRPr="00F44D15" w:rsidRDefault="00ED3BD2" w:rsidP="00ED3BD2">
      <w:pPr>
        <w:keepNext/>
        <w:tabs>
          <w:tab w:val="left" w:pos="-1560"/>
        </w:tabs>
        <w:jc w:val="both"/>
        <w:rPr>
          <w:rFonts w:cs="Arial"/>
          <w:b/>
          <w:sz w:val="20"/>
        </w:rPr>
      </w:pPr>
    </w:p>
    <w:p w14:paraId="37652174" w14:textId="77777777" w:rsidR="00ED3BD2" w:rsidRPr="00F44D15" w:rsidRDefault="00ED3BD2" w:rsidP="00ED3BD2">
      <w:pPr>
        <w:keepNext/>
        <w:numPr>
          <w:ilvl w:val="0"/>
          <w:numId w:val="20"/>
        </w:numPr>
        <w:tabs>
          <w:tab w:val="left" w:pos="-1560"/>
        </w:tabs>
        <w:jc w:val="both"/>
        <w:rPr>
          <w:rFonts w:cs="Arial"/>
          <w:b/>
          <w:sz w:val="20"/>
        </w:rPr>
      </w:pPr>
      <w:r w:rsidRPr="00F44D15">
        <w:rPr>
          <w:rFonts w:cs="Arial"/>
          <w:sz w:val="20"/>
        </w:rPr>
        <w:t>Pojistné je sjednáno jako běžné.</w:t>
      </w:r>
    </w:p>
    <w:p w14:paraId="3DC128CC" w14:textId="77777777" w:rsidR="00ED3BD2" w:rsidRPr="00F44D15" w:rsidRDefault="00ED3BD2" w:rsidP="00ED3BD2">
      <w:pPr>
        <w:tabs>
          <w:tab w:val="left" w:pos="-1418"/>
        </w:tabs>
        <w:ind w:left="425"/>
        <w:jc w:val="both"/>
        <w:rPr>
          <w:rFonts w:cs="Arial"/>
          <w:sz w:val="20"/>
        </w:rPr>
      </w:pPr>
      <w:r w:rsidRPr="00F44D15">
        <w:rPr>
          <w:rFonts w:cs="Arial"/>
          <w:sz w:val="20"/>
        </w:rPr>
        <w:t xml:space="preserve">Pojistné období je tříměsíční. Pojistné je splatné k datům a v částkách takto: </w:t>
      </w:r>
    </w:p>
    <w:p w14:paraId="3646E2CA" w14:textId="77777777" w:rsidR="00ED3BD2" w:rsidRPr="00F44D15" w:rsidRDefault="00ED3BD2" w:rsidP="00ED3BD2">
      <w:pPr>
        <w:tabs>
          <w:tab w:val="left" w:pos="-1560"/>
          <w:tab w:val="left" w:pos="-1418"/>
          <w:tab w:val="left" w:pos="3969"/>
        </w:tabs>
        <w:spacing w:before="120"/>
        <w:ind w:left="426"/>
        <w:jc w:val="both"/>
        <w:rPr>
          <w:rFonts w:cs="Arial"/>
          <w:sz w:val="20"/>
        </w:rPr>
      </w:pPr>
      <w:r w:rsidRPr="00F44D15">
        <w:rPr>
          <w:rFonts w:cs="Arial"/>
          <w:sz w:val="20"/>
        </w:rPr>
        <w:t>datum:</w:t>
      </w:r>
      <w:r w:rsidRPr="00F44D15">
        <w:rPr>
          <w:rFonts w:cs="Arial"/>
          <w:sz w:val="20"/>
        </w:rPr>
        <w:tab/>
        <w:t>částka:</w:t>
      </w:r>
    </w:p>
    <w:p w14:paraId="58774090" w14:textId="27D10258" w:rsidR="00ED3BD2" w:rsidRPr="00F44D15" w:rsidRDefault="00ED3BD2" w:rsidP="00ED3BD2">
      <w:pPr>
        <w:tabs>
          <w:tab w:val="left" w:pos="-1560"/>
          <w:tab w:val="left" w:pos="-1418"/>
          <w:tab w:val="left" w:pos="3969"/>
        </w:tabs>
        <w:spacing w:before="120"/>
        <w:ind w:left="426"/>
        <w:jc w:val="both"/>
        <w:rPr>
          <w:rFonts w:cs="Arial"/>
          <w:sz w:val="20"/>
        </w:rPr>
      </w:pPr>
      <w:r w:rsidRPr="00F44D15">
        <w:rPr>
          <w:rFonts w:cs="Arial"/>
          <w:sz w:val="20"/>
        </w:rPr>
        <w:t>30. 5. 202</w:t>
      </w:r>
      <w:r w:rsidR="000F34E2">
        <w:rPr>
          <w:rFonts w:cs="Arial"/>
          <w:sz w:val="20"/>
        </w:rPr>
        <w:t>6</w:t>
      </w:r>
      <w:r w:rsidRPr="00F44D15">
        <w:rPr>
          <w:rFonts w:cs="Arial"/>
          <w:sz w:val="20"/>
        </w:rPr>
        <w:tab/>
      </w:r>
      <w:r w:rsidR="002F2422">
        <w:rPr>
          <w:rFonts w:cs="Arial"/>
          <w:sz w:val="20"/>
        </w:rPr>
        <w:t>1</w:t>
      </w:r>
      <w:r w:rsidR="0041779B">
        <w:rPr>
          <w:rFonts w:cs="Arial"/>
          <w:sz w:val="20"/>
        </w:rPr>
        <w:t> </w:t>
      </w:r>
      <w:r w:rsidR="002F2422">
        <w:rPr>
          <w:rFonts w:cs="Arial"/>
          <w:sz w:val="20"/>
        </w:rPr>
        <w:t>3</w:t>
      </w:r>
      <w:r w:rsidR="0041779B">
        <w:rPr>
          <w:rFonts w:cs="Arial"/>
          <w:sz w:val="20"/>
        </w:rPr>
        <w:t>65 905</w:t>
      </w:r>
      <w:r w:rsidRPr="00F44D15">
        <w:rPr>
          <w:rFonts w:cs="Arial"/>
          <w:sz w:val="20"/>
        </w:rPr>
        <w:t xml:space="preserve"> Kč</w:t>
      </w:r>
    </w:p>
    <w:p w14:paraId="71F4C4B4" w14:textId="4FD0CFFE"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15. 8. 202</w:t>
      </w:r>
      <w:r w:rsidR="000F34E2">
        <w:rPr>
          <w:rFonts w:cs="Arial"/>
          <w:sz w:val="20"/>
        </w:rPr>
        <w:t>6</w:t>
      </w:r>
      <w:r w:rsidRPr="00F44D15">
        <w:rPr>
          <w:rFonts w:cs="Arial"/>
          <w:sz w:val="20"/>
        </w:rPr>
        <w:tab/>
      </w:r>
      <w:r w:rsidR="002F2422">
        <w:rPr>
          <w:rFonts w:cs="Arial"/>
          <w:sz w:val="20"/>
        </w:rPr>
        <w:t>1</w:t>
      </w:r>
      <w:r w:rsidR="0041779B">
        <w:rPr>
          <w:rFonts w:cs="Arial"/>
          <w:sz w:val="20"/>
        </w:rPr>
        <w:t> </w:t>
      </w:r>
      <w:r w:rsidR="002F2422">
        <w:rPr>
          <w:rFonts w:cs="Arial"/>
          <w:sz w:val="20"/>
        </w:rPr>
        <w:t>3</w:t>
      </w:r>
      <w:r w:rsidR="0041779B">
        <w:rPr>
          <w:rFonts w:cs="Arial"/>
          <w:sz w:val="20"/>
        </w:rPr>
        <w:t>65 905</w:t>
      </w:r>
      <w:r w:rsidR="002F2422" w:rsidRPr="00F44D15">
        <w:rPr>
          <w:rFonts w:cs="Arial"/>
          <w:sz w:val="20"/>
        </w:rPr>
        <w:t xml:space="preserve"> Kč</w:t>
      </w:r>
    </w:p>
    <w:p w14:paraId="562B18E9" w14:textId="1FF074A0"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15. 11. 202</w:t>
      </w:r>
      <w:r w:rsidR="000F34E2">
        <w:rPr>
          <w:rFonts w:cs="Arial"/>
          <w:sz w:val="20"/>
        </w:rPr>
        <w:t>6</w:t>
      </w:r>
      <w:r w:rsidRPr="00F44D15">
        <w:rPr>
          <w:rFonts w:cs="Arial"/>
          <w:sz w:val="20"/>
        </w:rPr>
        <w:tab/>
      </w:r>
      <w:r w:rsidR="002F2422">
        <w:rPr>
          <w:rFonts w:cs="Arial"/>
          <w:sz w:val="20"/>
        </w:rPr>
        <w:t>1 3</w:t>
      </w:r>
      <w:r w:rsidR="0041779B">
        <w:rPr>
          <w:rFonts w:cs="Arial"/>
          <w:sz w:val="20"/>
        </w:rPr>
        <w:t>65</w:t>
      </w:r>
      <w:r w:rsidR="002F2422">
        <w:rPr>
          <w:rFonts w:cs="Arial"/>
          <w:sz w:val="20"/>
        </w:rPr>
        <w:t xml:space="preserve"> </w:t>
      </w:r>
      <w:r w:rsidR="0041779B">
        <w:rPr>
          <w:rFonts w:cs="Arial"/>
          <w:sz w:val="20"/>
        </w:rPr>
        <w:t>904</w:t>
      </w:r>
      <w:r w:rsidR="002F2422" w:rsidRPr="00F44D15">
        <w:rPr>
          <w:rFonts w:cs="Arial"/>
          <w:sz w:val="20"/>
        </w:rPr>
        <w:t xml:space="preserve"> Kč </w:t>
      </w:r>
    </w:p>
    <w:p w14:paraId="4E6795A9" w14:textId="128279ED"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15. 2. 202</w:t>
      </w:r>
      <w:r w:rsidR="000F34E2">
        <w:rPr>
          <w:rFonts w:cs="Arial"/>
          <w:sz w:val="20"/>
        </w:rPr>
        <w:t>7</w:t>
      </w:r>
      <w:r w:rsidRPr="00F44D15">
        <w:rPr>
          <w:rFonts w:cs="Arial"/>
          <w:sz w:val="20"/>
        </w:rPr>
        <w:tab/>
      </w:r>
      <w:r w:rsidR="002F2422">
        <w:rPr>
          <w:rFonts w:cs="Arial"/>
          <w:sz w:val="20"/>
        </w:rPr>
        <w:t>1 3</w:t>
      </w:r>
      <w:r w:rsidR="0041779B">
        <w:rPr>
          <w:rFonts w:cs="Arial"/>
          <w:sz w:val="20"/>
        </w:rPr>
        <w:t>65</w:t>
      </w:r>
      <w:r w:rsidR="002F2422">
        <w:rPr>
          <w:rFonts w:cs="Arial"/>
          <w:sz w:val="20"/>
        </w:rPr>
        <w:t xml:space="preserve"> </w:t>
      </w:r>
      <w:r w:rsidR="0041779B">
        <w:rPr>
          <w:rFonts w:cs="Arial"/>
          <w:sz w:val="20"/>
        </w:rPr>
        <w:t>904</w:t>
      </w:r>
      <w:r w:rsidR="002F2422" w:rsidRPr="00F44D15">
        <w:rPr>
          <w:rFonts w:cs="Arial"/>
          <w:sz w:val="20"/>
        </w:rPr>
        <w:t xml:space="preserve"> Kč</w:t>
      </w:r>
      <w:r w:rsidR="002F2422">
        <w:rPr>
          <w:rFonts w:cs="Arial"/>
          <w:sz w:val="20"/>
        </w:rPr>
        <w:t>.</w:t>
      </w:r>
    </w:p>
    <w:p w14:paraId="5F7307B9" w14:textId="76E54743" w:rsidR="003725E1" w:rsidRPr="00F44D15" w:rsidRDefault="00ED3BD2" w:rsidP="00ED3BD2">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7720904410</w:t>
      </w:r>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1"/>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6ACCE364" w:rsidR="001C6B2C" w:rsidRPr="00F44D15" w:rsidRDefault="001C6B2C" w:rsidP="001C6B2C">
      <w:pPr>
        <w:spacing w:before="60" w:after="60"/>
        <w:ind w:left="425"/>
        <w:rPr>
          <w:sz w:val="20"/>
        </w:rPr>
      </w:pPr>
      <w:r w:rsidRPr="00F44D15">
        <w:rPr>
          <w:sz w:val="20"/>
        </w:rPr>
        <w:t xml:space="preserve">tel.: </w:t>
      </w:r>
      <w:proofErr w:type="spellStart"/>
      <w:r w:rsidR="00E50056">
        <w:rPr>
          <w:sz w:val="20"/>
        </w:rPr>
        <w:t>xxx</w:t>
      </w:r>
      <w:proofErr w:type="spellEnd"/>
    </w:p>
    <w:p w14:paraId="09C050E5" w14:textId="5C582D5E" w:rsidR="001C6B2C" w:rsidRPr="00F44D15" w:rsidRDefault="001C6B2C" w:rsidP="001C6B2C">
      <w:pPr>
        <w:spacing w:after="60"/>
        <w:ind w:left="425"/>
        <w:rPr>
          <w:sz w:val="20"/>
        </w:rPr>
      </w:pPr>
      <w:r w:rsidRPr="00F44D15">
        <w:rPr>
          <w:sz w:val="20"/>
        </w:rPr>
        <w:t xml:space="preserve">fax: </w:t>
      </w:r>
      <w:proofErr w:type="spellStart"/>
      <w:r w:rsidR="00E50056">
        <w:rPr>
          <w:sz w:val="20"/>
        </w:rPr>
        <w:t>xxx</w:t>
      </w:r>
      <w:proofErr w:type="spellEnd"/>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t>Na výzvu pojistitele je pojistník (pojištěný nebo jakákoliv jiná osoba) povinen oznámit vznik škodné události písemnou formou</w:t>
      </w:r>
      <w:r w:rsidR="003725E1" w:rsidRPr="00F44D15">
        <w:t>.</w:t>
      </w:r>
    </w:p>
    <w:p w14:paraId="05FBDFE1" w14:textId="03381EE2" w:rsidR="003725E1" w:rsidRPr="00F44D15" w:rsidRDefault="003725E1" w:rsidP="003725E1">
      <w:pPr>
        <w:jc w:val="center"/>
        <w:rPr>
          <w:rFonts w:cs="Arial"/>
          <w:b/>
          <w:bCs/>
          <w:sz w:val="24"/>
        </w:rPr>
      </w:pPr>
      <w:r w:rsidRPr="00F44D15">
        <w:rPr>
          <w:rFonts w:cs="Arial"/>
          <w:b/>
          <w:bCs/>
          <w:sz w:val="24"/>
        </w:rPr>
        <w:lastRenderedPageBreak/>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t xml:space="preserve">Ujednává se, že se ruší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w:t>
      </w:r>
      <w:proofErr w:type="gramStart"/>
      <w:r w:rsidRPr="00F44D15">
        <w:rPr>
          <w:sz w:val="20"/>
        </w:rPr>
        <w:t xml:space="preserve">užívaného - </w:t>
      </w:r>
      <w:r w:rsidRPr="00F44D15">
        <w:rPr>
          <w:sz w:val="20"/>
          <w:szCs w:val="20"/>
        </w:rPr>
        <w:t>lit</w:t>
      </w:r>
      <w:r w:rsidR="00B7187A" w:rsidRPr="00F44D15">
        <w:rPr>
          <w:sz w:val="20"/>
          <w:szCs w:val="20"/>
        </w:rPr>
        <w:t>inové</w:t>
      </w:r>
      <w:proofErr w:type="gramEnd"/>
      <w:r w:rsidR="00B7187A" w:rsidRPr="00F44D15">
        <w:rPr>
          <w:sz w:val="20"/>
          <w:szCs w:val="20"/>
        </w:rPr>
        <w:t xml:space="preserve">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lastRenderedPageBreak/>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3FC648C0" w14:textId="5097E951" w:rsidR="00F42AC2" w:rsidRPr="00484118" w:rsidRDefault="00484118" w:rsidP="00F42AC2">
      <w:pPr>
        <w:pStyle w:val="Odstavecseseznamem"/>
        <w:numPr>
          <w:ilvl w:val="0"/>
          <w:numId w:val="15"/>
        </w:numPr>
        <w:spacing w:before="120" w:after="120" w:line="240" w:lineRule="auto"/>
        <w:contextualSpacing w:val="0"/>
        <w:jc w:val="both"/>
        <w:rPr>
          <w:rFonts w:ascii="Koop Office" w:hAnsi="Koop Office"/>
          <w:sz w:val="20"/>
          <w:szCs w:val="20"/>
        </w:rPr>
      </w:pPr>
      <w:r w:rsidRPr="00484118">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F42AC2" w:rsidRPr="00484118">
        <w:rPr>
          <w:rFonts w:ascii="Koop Office" w:hAnsi="Koop Office"/>
          <w:sz w:val="20"/>
          <w:szCs w:val="20"/>
        </w:rPr>
        <w:t>.</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lastRenderedPageBreak/>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lastRenderedPageBreak/>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47D5E6B8"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41779B">
        <w:rPr>
          <w:sz w:val="20"/>
          <w:szCs w:val="20"/>
        </w:rPr>
        <w:t>7</w:t>
      </w:r>
      <w:r w:rsidR="00F42AC2" w:rsidRPr="00F44D15">
        <w:rPr>
          <w:sz w:val="20"/>
          <w:szCs w:val="20"/>
        </w:rPr>
        <w:t xml:space="preserve"> </w:t>
      </w:r>
      <w:r w:rsidRPr="00F44D15">
        <w:rPr>
          <w:sz w:val="20"/>
          <w:szCs w:val="20"/>
        </w:rPr>
        <w:t xml:space="preserve">(konec pojištění). </w:t>
      </w:r>
    </w:p>
    <w:p w14:paraId="5CC2E3E3" w14:textId="77777777" w:rsidR="00C06AA0" w:rsidRPr="00C06AA0" w:rsidRDefault="00C06AA0" w:rsidP="00C06AA0">
      <w:pPr>
        <w:pStyle w:val="Odstavecseseznamem"/>
        <w:ind w:left="425"/>
        <w:rPr>
          <w:rFonts w:ascii="Koop Office" w:hAnsi="Koop Office"/>
          <w:sz w:val="20"/>
          <w:szCs w:val="20"/>
        </w:rPr>
      </w:pPr>
    </w:p>
    <w:p w14:paraId="41E31AF8" w14:textId="64FCB8FA" w:rsidR="00C06AA0" w:rsidRPr="00C06AA0" w:rsidRDefault="00C06AA0" w:rsidP="00C06AA0">
      <w:pPr>
        <w:pStyle w:val="Odstavecseseznamem"/>
        <w:ind w:left="425"/>
        <w:rPr>
          <w:rFonts w:ascii="Koop Office" w:hAnsi="Koop Office"/>
          <w:sz w:val="20"/>
          <w:szCs w:val="20"/>
        </w:rPr>
      </w:pPr>
      <w:r w:rsidRPr="00C06AA0">
        <w:rPr>
          <w:rFonts w:ascii="Koop Office" w:hAnsi="Koop Office"/>
          <w:sz w:val="20"/>
          <w:szCs w:val="20"/>
        </w:rPr>
        <w:t xml:space="preserve">Počátek změn provedených tímto dodatkem: </w:t>
      </w:r>
      <w:r w:rsidR="00621595">
        <w:rPr>
          <w:rFonts w:ascii="Koop Office" w:hAnsi="Koop Office"/>
          <w:sz w:val="20"/>
          <w:szCs w:val="20"/>
        </w:rPr>
        <w:t>15</w:t>
      </w:r>
      <w:r w:rsidRPr="00C06AA0">
        <w:rPr>
          <w:rFonts w:ascii="Koop Office" w:hAnsi="Koop Office"/>
          <w:sz w:val="20"/>
          <w:szCs w:val="20"/>
        </w:rPr>
        <w:t>.</w:t>
      </w:r>
      <w:r w:rsidR="00621595">
        <w:rPr>
          <w:rFonts w:ascii="Koop Office" w:hAnsi="Koop Office"/>
          <w:sz w:val="20"/>
          <w:szCs w:val="20"/>
        </w:rPr>
        <w:t xml:space="preserve"> 5</w:t>
      </w:r>
      <w:r w:rsidRPr="00C06AA0">
        <w:rPr>
          <w:rFonts w:ascii="Koop Office" w:hAnsi="Koop Office"/>
          <w:sz w:val="20"/>
          <w:szCs w:val="20"/>
        </w:rPr>
        <w:t>.</w:t>
      </w:r>
      <w:r w:rsidR="00621595">
        <w:rPr>
          <w:rFonts w:ascii="Koop Office" w:hAnsi="Koop Office"/>
          <w:sz w:val="20"/>
          <w:szCs w:val="20"/>
        </w:rPr>
        <w:t xml:space="preserve"> </w:t>
      </w:r>
      <w:r w:rsidRPr="00C06AA0">
        <w:rPr>
          <w:rFonts w:ascii="Koop Office" w:hAnsi="Koop Office"/>
          <w:sz w:val="20"/>
          <w:szCs w:val="20"/>
        </w:rPr>
        <w:t>202</w:t>
      </w:r>
      <w:r w:rsidR="0041779B">
        <w:rPr>
          <w:rFonts w:ascii="Koop Office" w:hAnsi="Koop Office"/>
          <w:sz w:val="20"/>
          <w:szCs w:val="20"/>
        </w:rPr>
        <w:t>6</w:t>
      </w:r>
      <w:r w:rsidRPr="00C06AA0">
        <w:rPr>
          <w:rFonts w:ascii="Koop Office" w:hAnsi="Koop Office"/>
          <w:sz w:val="20"/>
          <w:szCs w:val="20"/>
        </w:rPr>
        <w:t>.</w:t>
      </w:r>
    </w:p>
    <w:p w14:paraId="033E480E" w14:textId="77777777" w:rsidR="00C06AA0" w:rsidRPr="00C06AA0" w:rsidRDefault="00C06AA0" w:rsidP="00C06AA0">
      <w:pPr>
        <w:pStyle w:val="Odstavecseseznamem"/>
        <w:ind w:left="425"/>
        <w:jc w:val="both"/>
        <w:rPr>
          <w:rFonts w:ascii="Koop Office" w:hAnsi="Koop Office"/>
          <w:sz w:val="20"/>
          <w:szCs w:val="20"/>
        </w:rPr>
      </w:pPr>
    </w:p>
    <w:p w14:paraId="13A22C38" w14:textId="3BAD5262" w:rsidR="0000723D" w:rsidRPr="00C06AA0" w:rsidRDefault="00C06AA0" w:rsidP="00C06AA0">
      <w:pPr>
        <w:pStyle w:val="Odstavecseseznamem"/>
        <w:ind w:left="425"/>
        <w:jc w:val="both"/>
        <w:rPr>
          <w:rFonts w:ascii="Koop Office" w:hAnsi="Koop Office"/>
          <w:sz w:val="20"/>
          <w:szCs w:val="20"/>
        </w:rPr>
      </w:pPr>
      <w:r w:rsidRPr="00C06AA0">
        <w:rPr>
          <w:rFonts w:ascii="Koop Office" w:hAnsi="Koop Office"/>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r w:rsidR="0000723D" w:rsidRPr="00C06AA0">
        <w:rPr>
          <w:rFonts w:ascii="Koop Office" w:hAnsi="Koop Office"/>
          <w:sz w:val="20"/>
          <w:szCs w:val="20"/>
        </w:rPr>
        <w:t>.</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0B73C6E2" w14:textId="597B93FE" w:rsidR="00F0416C" w:rsidRPr="00F0416C" w:rsidRDefault="00F0416C" w:rsidP="0030333C">
      <w:pPr>
        <w:numPr>
          <w:ilvl w:val="0"/>
          <w:numId w:val="14"/>
        </w:numPr>
        <w:tabs>
          <w:tab w:val="left" w:pos="-1418"/>
        </w:tabs>
        <w:spacing w:before="120"/>
        <w:jc w:val="both"/>
        <w:rPr>
          <w:rFonts w:cs="Arial"/>
          <w:sz w:val="18"/>
          <w:szCs w:val="22"/>
        </w:rPr>
      </w:pPr>
      <w:r w:rsidRPr="00F0416C">
        <w:rPr>
          <w:b/>
          <w:bCs/>
          <w:sz w:val="20"/>
          <w:szCs w:val="22"/>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F0416C">
        <w:rPr>
          <w:sz w:val="20"/>
          <w:szCs w:val="22"/>
        </w:rPr>
        <w:t xml:space="preserve">ve smyslu zákona č. 297/2016 Sb., o službách vytvářejících </w:t>
      </w:r>
      <w:r w:rsidRPr="00F0416C">
        <w:rPr>
          <w:sz w:val="20"/>
          <w:szCs w:val="22"/>
        </w:rPr>
        <w:lastRenderedPageBreak/>
        <w:t>důvěru pro elektronické transakce,</w:t>
      </w:r>
      <w:r w:rsidRPr="00F0416C">
        <w:rPr>
          <w:b/>
          <w:bCs/>
          <w:sz w:val="20"/>
          <w:szCs w:val="22"/>
        </w:rPr>
        <w:t xml:space="preserve"> a nezaplatí-li tímto dodatkem předepsané jednorázové pojistné nebo běžné pojistné za tímto dodatkem sjednané první pojistné období řádně a včas, tento dodatek se od počátku ruší.</w:t>
      </w:r>
    </w:p>
    <w:p w14:paraId="0CDE8ABE" w14:textId="7FC0CCE3" w:rsidR="00F42AC2" w:rsidRPr="00482353" w:rsidRDefault="00482353" w:rsidP="00F42AC2">
      <w:pPr>
        <w:numPr>
          <w:ilvl w:val="0"/>
          <w:numId w:val="14"/>
        </w:numPr>
        <w:tabs>
          <w:tab w:val="left" w:pos="-1418"/>
        </w:tabs>
        <w:spacing w:before="120"/>
        <w:jc w:val="both"/>
        <w:rPr>
          <w:sz w:val="20"/>
        </w:rPr>
      </w:pPr>
      <w:r w:rsidRPr="00482353">
        <w:rPr>
          <w:sz w:val="20"/>
        </w:rPr>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482353">
        <w:rPr>
          <w:sz w:val="20"/>
        </w:rPr>
        <w:t>z.ú</w:t>
      </w:r>
      <w:proofErr w:type="spellEnd"/>
      <w:r w:rsidRPr="00482353">
        <w:rPr>
          <w:sz w:val="20"/>
        </w:rPr>
        <w:t>., Elišky Krásnohorské 135/7, 110 00 Praha 1, www.ombudsmancap.cz</w:t>
      </w:r>
      <w:r w:rsidR="00AE4DE0" w:rsidRPr="00482353">
        <w:rPr>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4D15">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3B8AC58D" w14:textId="40CAACFE" w:rsidR="00621595" w:rsidRDefault="002D5673" w:rsidP="00902577">
      <w:pPr>
        <w:numPr>
          <w:ilvl w:val="0"/>
          <w:numId w:val="14"/>
        </w:numPr>
        <w:spacing w:before="120"/>
        <w:jc w:val="both"/>
        <w:rPr>
          <w:rFonts w:cs="Arial"/>
          <w:bCs/>
          <w:sz w:val="20"/>
          <w:szCs w:val="20"/>
        </w:rPr>
      </w:pPr>
      <w:bookmarkStart w:id="19" w:name="_Ref489759092"/>
      <w:r w:rsidRPr="002D5673">
        <w:rPr>
          <w:rFonts w:cs="Arial"/>
          <w:bCs/>
          <w:sz w:val="20"/>
          <w:szCs w:val="20"/>
        </w:rPr>
        <w:t>Pojistník i pojistitel a samostatný zprostředkovatel v postavení pojišťovacího makléře obdrží originál tohoto dodatku</w:t>
      </w:r>
      <w:r>
        <w:rPr>
          <w:rFonts w:cs="Arial"/>
          <w:bCs/>
          <w:sz w:val="20"/>
          <w:szCs w:val="20"/>
        </w:rPr>
        <w:t>.</w:t>
      </w:r>
      <w:r w:rsidRPr="002D5673">
        <w:rPr>
          <w:rFonts w:cs="Arial"/>
          <w:bCs/>
          <w:sz w:val="20"/>
          <w:szCs w:val="20"/>
        </w:rPr>
        <w:t xml:space="preserve"> </w:t>
      </w:r>
    </w:p>
    <w:p w14:paraId="3A5B55A1" w14:textId="77777777" w:rsidR="00621595" w:rsidRDefault="00621595">
      <w:pPr>
        <w:rPr>
          <w:rFonts w:cs="Arial"/>
          <w:bCs/>
          <w:sz w:val="20"/>
          <w:szCs w:val="20"/>
        </w:rPr>
      </w:pPr>
      <w:r>
        <w:rPr>
          <w:rFonts w:cs="Arial"/>
          <w:bCs/>
          <w:sz w:val="20"/>
          <w:szCs w:val="20"/>
        </w:rPr>
        <w:br w:type="page"/>
      </w:r>
    </w:p>
    <w:p w14:paraId="6A8BD590" w14:textId="1DF81B70" w:rsidR="001132FB" w:rsidRPr="004B12B8" w:rsidRDefault="00964BBE" w:rsidP="00902577">
      <w:pPr>
        <w:numPr>
          <w:ilvl w:val="0"/>
          <w:numId w:val="14"/>
        </w:numPr>
        <w:spacing w:before="120"/>
        <w:jc w:val="both"/>
        <w:rPr>
          <w:sz w:val="20"/>
          <w:szCs w:val="20"/>
        </w:rPr>
      </w:pPr>
      <w:r w:rsidRPr="004B12B8">
        <w:rPr>
          <w:rFonts w:cs="Arial"/>
          <w:sz w:val="20"/>
        </w:rPr>
        <w:lastRenderedPageBreak/>
        <w:t>Tento dodatek</w:t>
      </w:r>
      <w:r w:rsidR="00D7357B" w:rsidRPr="004B12B8">
        <w:rPr>
          <w:rFonts w:cs="Arial"/>
          <w:sz w:val="20"/>
        </w:rPr>
        <w:t xml:space="preserve"> obsahuje </w:t>
      </w:r>
      <w:r w:rsidR="00621994" w:rsidRPr="004B12B8">
        <w:rPr>
          <w:rFonts w:cs="Arial"/>
          <w:sz w:val="20"/>
        </w:rPr>
        <w:t>1</w:t>
      </w:r>
      <w:r w:rsidR="002D5673">
        <w:rPr>
          <w:rFonts w:cs="Arial"/>
          <w:sz w:val="20"/>
        </w:rPr>
        <w:t>3</w:t>
      </w:r>
      <w:r w:rsidR="003679A4" w:rsidRPr="004B12B8">
        <w:rPr>
          <w:rFonts w:cs="Arial"/>
          <w:sz w:val="20"/>
        </w:rPr>
        <w:t xml:space="preserve"> stran</w:t>
      </w:r>
      <w:bookmarkEnd w:id="19"/>
      <w:r w:rsidR="001132FB" w:rsidRPr="004B12B8">
        <w:rPr>
          <w:rFonts w:cs="Arial"/>
          <w:sz w:val="20"/>
        </w:rPr>
        <w:t>, k pojistné smlouvě ve znění tohoto dodatku náleží 1 příloha,</w:t>
      </w:r>
      <w:r w:rsidR="00992817" w:rsidRPr="004B12B8">
        <w:rPr>
          <w:rFonts w:cs="Arial"/>
          <w:sz w:val="20"/>
        </w:rPr>
        <w:t xml:space="preserve"> která </w:t>
      </w:r>
      <w:r w:rsidR="004B12B8">
        <w:rPr>
          <w:rFonts w:cs="Arial"/>
          <w:sz w:val="20"/>
        </w:rPr>
        <w:t>je fyzicky</w:t>
      </w:r>
      <w:r w:rsidR="001132FB" w:rsidRPr="004B12B8">
        <w:rPr>
          <w:rFonts w:cs="Arial"/>
          <w:bCs/>
          <w:sz w:val="20"/>
          <w:szCs w:val="20"/>
        </w:rPr>
        <w:t xml:space="preserve"> přiložena k tomuto dodatku</w:t>
      </w:r>
      <w:r w:rsidR="00D7357B" w:rsidRPr="004B12B8">
        <w:rPr>
          <w:rFonts w:cs="Arial"/>
          <w:sz w:val="20"/>
        </w:rPr>
        <w:t>.</w:t>
      </w:r>
      <w:r w:rsidR="00B750EE" w:rsidRPr="004B12B8">
        <w:rPr>
          <w:rFonts w:cs="Arial"/>
          <w:sz w:val="20"/>
        </w:rPr>
        <w:t xml:space="preserve"> Součástí pojistné smlouvy </w:t>
      </w:r>
      <w:r w:rsidR="00846E11" w:rsidRPr="004B12B8">
        <w:rPr>
          <w:rFonts w:cs="Arial"/>
          <w:sz w:val="20"/>
        </w:rPr>
        <w:t xml:space="preserve">ve znění tohoto dodatku </w:t>
      </w:r>
      <w:r w:rsidR="00B750EE" w:rsidRPr="004B12B8">
        <w:rPr>
          <w:rFonts w:cs="Arial"/>
          <w:sz w:val="20"/>
        </w:rPr>
        <w:t>jsou pojistné podmínky pojistitele uvedené v čl. I. této pojistné smlouvy</w:t>
      </w:r>
      <w:r w:rsidR="00F42AC2" w:rsidRPr="004B12B8">
        <w:rPr>
          <w:rFonts w:cs="Arial"/>
          <w:sz w:val="20"/>
        </w:rPr>
        <w:t>.</w:t>
      </w:r>
      <w:r w:rsidR="00484118" w:rsidRPr="004B12B8">
        <w:rPr>
          <w:rFonts w:cs="Arial"/>
          <w:sz w:val="20"/>
        </w:rPr>
        <w:t xml:space="preserve"> </w:t>
      </w:r>
      <w:r w:rsidR="00CF25C8">
        <w:rPr>
          <w:rFonts w:cs="Arial"/>
          <w:sz w:val="20"/>
        </w:rPr>
        <w:t>Nově sjednaná doložka DOB110 je fyzicky přiložena k tomuto dodatku.</w:t>
      </w:r>
    </w:p>
    <w:p w14:paraId="562CBC15" w14:textId="77777777" w:rsidR="004B12B8" w:rsidRPr="004B12B8" w:rsidRDefault="004B12B8" w:rsidP="004B12B8">
      <w:pPr>
        <w:spacing w:before="120"/>
        <w:ind w:left="425"/>
        <w:jc w:val="both"/>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982083" w:rsidRDefault="001132FB" w:rsidP="001132FB">
      <w:pPr>
        <w:tabs>
          <w:tab w:val="left" w:pos="2977"/>
        </w:tabs>
        <w:rPr>
          <w:sz w:val="20"/>
          <w:szCs w:val="20"/>
        </w:rPr>
      </w:pPr>
      <w:r w:rsidRPr="00982083">
        <w:rPr>
          <w:sz w:val="20"/>
          <w:szCs w:val="20"/>
        </w:rPr>
        <w:t xml:space="preserve">příloha č. 1 – seznam míst pojištění </w:t>
      </w:r>
    </w:p>
    <w:p w14:paraId="2440526C" w14:textId="77777777" w:rsidR="00F42AC2" w:rsidRPr="00982083" w:rsidRDefault="00F42AC2" w:rsidP="001132FB">
      <w:pPr>
        <w:rPr>
          <w:rFonts w:cs="Arial"/>
          <w:sz w:val="20"/>
        </w:rPr>
      </w:pPr>
    </w:p>
    <w:p w14:paraId="31821159" w14:textId="77777777" w:rsidR="009F47CF" w:rsidRPr="00982083" w:rsidRDefault="009F47CF" w:rsidP="001132FB">
      <w:pPr>
        <w:keepNext/>
        <w:tabs>
          <w:tab w:val="left" w:pos="-1418"/>
          <w:tab w:val="left" w:pos="2835"/>
        </w:tabs>
        <w:spacing w:before="120"/>
        <w:jc w:val="both"/>
        <w:rPr>
          <w:rFonts w:cs="Arial"/>
          <w:sz w:val="20"/>
        </w:rPr>
      </w:pPr>
    </w:p>
    <w:p w14:paraId="65E03FDF" w14:textId="77777777" w:rsidR="00AD5EE6" w:rsidRPr="00982083" w:rsidRDefault="00AD5EE6" w:rsidP="001132FB">
      <w:pPr>
        <w:keepNext/>
        <w:tabs>
          <w:tab w:val="left" w:pos="-1418"/>
          <w:tab w:val="left" w:pos="2835"/>
        </w:tabs>
        <w:spacing w:before="120"/>
        <w:jc w:val="both"/>
        <w:rPr>
          <w:rFonts w:cs="Arial"/>
          <w:sz w:val="20"/>
        </w:rPr>
      </w:pPr>
    </w:p>
    <w:p w14:paraId="58BCCF22" w14:textId="77777777" w:rsidR="006B738E" w:rsidRPr="006B738E" w:rsidRDefault="006B738E" w:rsidP="006B738E">
      <w:pPr>
        <w:keepNext/>
        <w:keepLines/>
        <w:tabs>
          <w:tab w:val="left" w:pos="3402"/>
          <w:tab w:val="right" w:leader="dot" w:pos="6237"/>
          <w:tab w:val="left" w:pos="6521"/>
          <w:tab w:val="right" w:leader="dot" w:pos="9356"/>
        </w:tabs>
        <w:spacing w:before="480"/>
        <w:rPr>
          <w:sz w:val="20"/>
          <w:szCs w:val="22"/>
        </w:rPr>
      </w:pPr>
      <w:r w:rsidRPr="006B738E">
        <w:rPr>
          <w:sz w:val="20"/>
          <w:szCs w:val="22"/>
        </w:rPr>
        <w:t>Podepsáno dne</w:t>
      </w:r>
      <w:r w:rsidRPr="006B738E">
        <w:rPr>
          <w:sz w:val="20"/>
          <w:szCs w:val="22"/>
          <w:vertAlign w:val="superscript"/>
        </w:rPr>
        <w:t>+</w:t>
      </w:r>
      <w:r w:rsidRPr="006B738E">
        <w:rPr>
          <w:sz w:val="20"/>
          <w:szCs w:val="22"/>
        </w:rPr>
        <w:t xml:space="preserve"> ............................</w:t>
      </w:r>
      <w:r w:rsidRPr="006B738E">
        <w:rPr>
          <w:sz w:val="20"/>
          <w:szCs w:val="22"/>
        </w:rPr>
        <w:tab/>
      </w:r>
      <w:r w:rsidRPr="006B738E">
        <w:rPr>
          <w:sz w:val="20"/>
          <w:szCs w:val="22"/>
        </w:rPr>
        <w:tab/>
      </w:r>
      <w:r w:rsidRPr="006B738E">
        <w:rPr>
          <w:sz w:val="20"/>
          <w:szCs w:val="22"/>
        </w:rPr>
        <w:tab/>
      </w:r>
      <w:r w:rsidRPr="006B738E">
        <w:rPr>
          <w:sz w:val="20"/>
          <w:szCs w:val="22"/>
        </w:rPr>
        <w:tab/>
      </w:r>
    </w:p>
    <w:p w14:paraId="5E633BF8" w14:textId="77777777" w:rsidR="006B738E" w:rsidRPr="006B738E" w:rsidRDefault="006B738E" w:rsidP="006B738E">
      <w:pPr>
        <w:keepNext/>
        <w:keepLines/>
        <w:tabs>
          <w:tab w:val="center" w:pos="4820"/>
          <w:tab w:val="center" w:pos="7938"/>
        </w:tabs>
        <w:spacing w:after="720"/>
        <w:rPr>
          <w:sz w:val="20"/>
          <w:szCs w:val="22"/>
        </w:rPr>
      </w:pPr>
      <w:r w:rsidRPr="006B738E">
        <w:rPr>
          <w:sz w:val="20"/>
          <w:szCs w:val="22"/>
        </w:rPr>
        <w:tab/>
        <w:t>za pojistitele</w:t>
      </w:r>
      <w:r w:rsidRPr="006B738E">
        <w:rPr>
          <w:sz w:val="20"/>
          <w:szCs w:val="22"/>
        </w:rPr>
        <w:tab/>
        <w:t>za pojistitele</w:t>
      </w:r>
    </w:p>
    <w:p w14:paraId="20007329" w14:textId="77777777" w:rsidR="006B738E" w:rsidRPr="006B738E" w:rsidRDefault="006B738E" w:rsidP="006B738E">
      <w:pPr>
        <w:keepNext/>
        <w:keepLines/>
        <w:tabs>
          <w:tab w:val="left" w:pos="3402"/>
          <w:tab w:val="right" w:leader="dot" w:pos="6237"/>
          <w:tab w:val="left" w:pos="6804"/>
          <w:tab w:val="right" w:leader="dot" w:pos="9072"/>
        </w:tabs>
        <w:spacing w:before="720"/>
        <w:rPr>
          <w:sz w:val="20"/>
          <w:szCs w:val="22"/>
        </w:rPr>
      </w:pPr>
    </w:p>
    <w:p w14:paraId="4C4EAC1C" w14:textId="77777777" w:rsidR="006B738E" w:rsidRPr="006B738E" w:rsidRDefault="006B738E" w:rsidP="006B738E">
      <w:pPr>
        <w:keepNext/>
        <w:keepLines/>
        <w:tabs>
          <w:tab w:val="left" w:pos="3402"/>
          <w:tab w:val="right" w:leader="dot" w:pos="6237"/>
          <w:tab w:val="left" w:pos="6804"/>
          <w:tab w:val="right" w:leader="dot" w:pos="9072"/>
        </w:tabs>
        <w:spacing w:before="720"/>
        <w:rPr>
          <w:sz w:val="20"/>
          <w:szCs w:val="22"/>
        </w:rPr>
      </w:pPr>
      <w:r w:rsidRPr="006B738E">
        <w:rPr>
          <w:sz w:val="20"/>
          <w:szCs w:val="22"/>
        </w:rPr>
        <w:t>Podepsáno dne</w:t>
      </w:r>
      <w:r w:rsidRPr="006B738E">
        <w:rPr>
          <w:sz w:val="20"/>
          <w:szCs w:val="22"/>
          <w:vertAlign w:val="superscript"/>
        </w:rPr>
        <w:t>+</w:t>
      </w:r>
      <w:r w:rsidRPr="006B738E">
        <w:rPr>
          <w:sz w:val="20"/>
          <w:szCs w:val="22"/>
        </w:rPr>
        <w:t xml:space="preserve"> ............................</w:t>
      </w:r>
      <w:r w:rsidRPr="006B738E">
        <w:rPr>
          <w:sz w:val="20"/>
          <w:szCs w:val="22"/>
        </w:rPr>
        <w:tab/>
      </w:r>
      <w:r w:rsidRPr="006B738E">
        <w:rPr>
          <w:sz w:val="20"/>
          <w:szCs w:val="22"/>
        </w:rPr>
        <w:tab/>
      </w:r>
    </w:p>
    <w:p w14:paraId="012D7B34" w14:textId="77777777" w:rsidR="006B738E" w:rsidRPr="006B738E" w:rsidRDefault="006B738E" w:rsidP="006B738E">
      <w:pPr>
        <w:keepNext/>
        <w:keepLines/>
        <w:tabs>
          <w:tab w:val="center" w:pos="4820"/>
          <w:tab w:val="center" w:pos="7938"/>
        </w:tabs>
        <w:spacing w:after="480"/>
        <w:rPr>
          <w:sz w:val="20"/>
          <w:szCs w:val="22"/>
        </w:rPr>
      </w:pPr>
      <w:r w:rsidRPr="006B738E">
        <w:rPr>
          <w:sz w:val="20"/>
          <w:szCs w:val="22"/>
        </w:rPr>
        <w:tab/>
        <w:t>za pojistníka</w:t>
      </w:r>
      <w:r w:rsidRPr="006B738E">
        <w:rPr>
          <w:sz w:val="20"/>
          <w:szCs w:val="22"/>
          <w:vertAlign w:val="superscript"/>
        </w:rPr>
        <w:t>++</w:t>
      </w:r>
    </w:p>
    <w:p w14:paraId="4FEAA2B4" w14:textId="77777777" w:rsidR="008F6936" w:rsidRDefault="008F6936" w:rsidP="006B738E">
      <w:pPr>
        <w:rPr>
          <w:sz w:val="16"/>
          <w:szCs w:val="16"/>
          <w:vertAlign w:val="superscript"/>
        </w:rPr>
      </w:pPr>
      <w:bookmarkStart w:id="20" w:name="_Hlk25570604"/>
    </w:p>
    <w:p w14:paraId="3B72C26C" w14:textId="77777777" w:rsidR="008F6936" w:rsidRDefault="008F6936" w:rsidP="006B738E">
      <w:pPr>
        <w:rPr>
          <w:sz w:val="16"/>
          <w:szCs w:val="16"/>
          <w:vertAlign w:val="superscript"/>
        </w:rPr>
      </w:pPr>
    </w:p>
    <w:p w14:paraId="27380141" w14:textId="77777777" w:rsidR="0041779B" w:rsidRDefault="0041779B" w:rsidP="006B738E">
      <w:pPr>
        <w:rPr>
          <w:sz w:val="16"/>
          <w:szCs w:val="16"/>
          <w:vertAlign w:val="superscript"/>
        </w:rPr>
      </w:pPr>
    </w:p>
    <w:p w14:paraId="2BEF204B" w14:textId="77777777" w:rsidR="0041779B" w:rsidRDefault="0041779B" w:rsidP="006B738E">
      <w:pPr>
        <w:rPr>
          <w:sz w:val="16"/>
          <w:szCs w:val="16"/>
          <w:vertAlign w:val="superscript"/>
        </w:rPr>
      </w:pPr>
    </w:p>
    <w:p w14:paraId="48DC22E0" w14:textId="2A94DD00" w:rsidR="006B738E" w:rsidRPr="00F025DC" w:rsidRDefault="006B738E" w:rsidP="006B738E">
      <w:pPr>
        <w:rPr>
          <w:sz w:val="16"/>
          <w:szCs w:val="16"/>
        </w:rPr>
      </w:pPr>
      <w:r w:rsidRPr="00F025DC">
        <w:rPr>
          <w:sz w:val="16"/>
          <w:szCs w:val="16"/>
          <w:vertAlign w:val="superscript"/>
        </w:rPr>
        <w:t xml:space="preserve">+ </w:t>
      </w:r>
      <w:r w:rsidRPr="00F025DC">
        <w:rPr>
          <w:sz w:val="16"/>
          <w:szCs w:val="16"/>
        </w:rPr>
        <w:t>Je-li tento dodatek podepsán uznávaným elektronickým podpisem, je okamžik podpisu vždy obsažen v tomto podpisu.</w:t>
      </w:r>
    </w:p>
    <w:p w14:paraId="4032D2ED" w14:textId="77777777" w:rsidR="006B738E" w:rsidRPr="00F025DC" w:rsidRDefault="006B738E" w:rsidP="0041779B">
      <w:pPr>
        <w:tabs>
          <w:tab w:val="left" w:pos="142"/>
          <w:tab w:val="left" w:pos="426"/>
        </w:tabs>
        <w:ind w:left="426" w:hanging="426"/>
        <w:jc w:val="both"/>
        <w:rPr>
          <w:sz w:val="16"/>
          <w:szCs w:val="16"/>
        </w:rPr>
      </w:pPr>
      <w:r w:rsidRPr="00F025DC">
        <w:rPr>
          <w:sz w:val="16"/>
          <w:szCs w:val="16"/>
          <w:vertAlign w:val="superscript"/>
        </w:rPr>
        <w:t>++</w:t>
      </w:r>
      <w:r w:rsidRPr="00F025DC">
        <w:rPr>
          <w:sz w:val="16"/>
          <w:szCs w:val="16"/>
        </w:rPr>
        <w:tab/>
        <w:t xml:space="preserve">a) </w:t>
      </w:r>
      <w:r w:rsidRPr="00F025DC">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8D2B472" w14:textId="77777777" w:rsidR="006B738E" w:rsidRPr="00F025DC" w:rsidRDefault="006B738E" w:rsidP="0041779B">
      <w:pPr>
        <w:tabs>
          <w:tab w:val="left" w:pos="142"/>
          <w:tab w:val="left" w:pos="426"/>
        </w:tabs>
        <w:ind w:left="426" w:hanging="426"/>
        <w:jc w:val="both"/>
        <w:rPr>
          <w:sz w:val="16"/>
          <w:szCs w:val="16"/>
        </w:rPr>
      </w:pPr>
      <w:r w:rsidRPr="00F025DC">
        <w:rPr>
          <w:sz w:val="16"/>
          <w:szCs w:val="16"/>
        </w:rPr>
        <w:tab/>
        <w:t xml:space="preserve">b) </w:t>
      </w:r>
      <w:r w:rsidRPr="00F025DC">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F025DC">
        <w:rPr>
          <w:sz w:val="16"/>
          <w:szCs w:val="16"/>
        </w:rPr>
        <w:t>jiného</w:t>
      </w:r>
      <w:proofErr w:type="gramEnd"/>
      <w:r w:rsidRPr="00F025DC">
        <w:rPr>
          <w:sz w:val="16"/>
          <w:szCs w:val="16"/>
        </w:rPr>
        <w:t xml:space="preserve"> než uznávaného vložte jméno, příjmení a funkci podepisující/ch osob/y do poznámky tohoto elektronického dokumentu, včetně uvedení data podpisu.</w:t>
      </w:r>
      <w:bookmarkStart w:id="21" w:name="_Hlk35628228"/>
      <w:r w:rsidRPr="00F025DC">
        <w:rPr>
          <w:sz w:val="16"/>
          <w:szCs w:val="16"/>
        </w:rPr>
        <w:t xml:space="preserve"> </w:t>
      </w:r>
      <w:bookmarkStart w:id="22" w:name="_Hlk35685927"/>
      <w:r w:rsidRPr="00F025DC">
        <w:rPr>
          <w:sz w:val="16"/>
          <w:szCs w:val="16"/>
        </w:rPr>
        <w:t>Takto tento elektronickým podpisem podepsaný elektronický dokument doručte pojistiteli elektronickým prostředkem.</w:t>
      </w:r>
      <w:bookmarkEnd w:id="21"/>
      <w:r w:rsidRPr="00F025DC">
        <w:rPr>
          <w:sz w:val="16"/>
          <w:szCs w:val="16"/>
        </w:rPr>
        <w:t xml:space="preserve"> </w:t>
      </w:r>
      <w:bookmarkEnd w:id="20"/>
      <w:bookmarkEnd w:id="22"/>
    </w:p>
    <w:p w14:paraId="7F89332C" w14:textId="77777777" w:rsidR="00F42AC2" w:rsidRPr="00F44D15" w:rsidRDefault="00F42AC2" w:rsidP="00F42AC2">
      <w:pPr>
        <w:keepNext/>
        <w:rPr>
          <w:rFonts w:cs="Arial"/>
          <w:sz w:val="20"/>
        </w:rPr>
      </w:pPr>
    </w:p>
    <w:p w14:paraId="4D7D22A2" w14:textId="77777777" w:rsidR="00F42AC2" w:rsidRPr="00F44D15" w:rsidRDefault="00F42AC2" w:rsidP="00F42AC2">
      <w:pPr>
        <w:rPr>
          <w:sz w:val="20"/>
        </w:rPr>
      </w:pPr>
    </w:p>
    <w:p w14:paraId="54A6803C" w14:textId="77777777" w:rsidR="00F42AC2" w:rsidRPr="00F44D15" w:rsidRDefault="00F42AC2" w:rsidP="00F42AC2">
      <w:pPr>
        <w:tabs>
          <w:tab w:val="left" w:pos="3261"/>
          <w:tab w:val="left" w:pos="6379"/>
        </w:tabs>
        <w:rPr>
          <w:sz w:val="20"/>
        </w:rPr>
      </w:pPr>
    </w:p>
    <w:p w14:paraId="12926068" w14:textId="77777777" w:rsidR="00F42AC2" w:rsidRPr="00F44D15" w:rsidRDefault="00F42AC2" w:rsidP="00F42AC2">
      <w:pPr>
        <w:tabs>
          <w:tab w:val="left" w:pos="3261"/>
          <w:tab w:val="left" w:pos="6379"/>
        </w:tabs>
        <w:rPr>
          <w:sz w:val="20"/>
        </w:rPr>
      </w:pPr>
    </w:p>
    <w:p w14:paraId="62EF4231" w14:textId="77777777" w:rsidR="00621595" w:rsidRDefault="00621595" w:rsidP="00F42AC2">
      <w:pPr>
        <w:pStyle w:val="Zkladntextodsazen3"/>
        <w:tabs>
          <w:tab w:val="left" w:pos="1418"/>
        </w:tabs>
        <w:ind w:hanging="284"/>
        <w:rPr>
          <w:rFonts w:ascii="Koop Office" w:hAnsi="Koop Office"/>
          <w:sz w:val="20"/>
        </w:rPr>
      </w:pPr>
    </w:p>
    <w:p w14:paraId="6D5E9266" w14:textId="77777777" w:rsidR="0041779B" w:rsidRDefault="0041779B" w:rsidP="00F42AC2">
      <w:pPr>
        <w:pStyle w:val="Zkladntextodsazen3"/>
        <w:tabs>
          <w:tab w:val="left" w:pos="1418"/>
        </w:tabs>
        <w:ind w:hanging="284"/>
        <w:rPr>
          <w:rFonts w:ascii="Koop Office" w:hAnsi="Koop Office"/>
          <w:sz w:val="20"/>
        </w:rPr>
      </w:pPr>
    </w:p>
    <w:p w14:paraId="14892AC2" w14:textId="52219AFD" w:rsidR="00207BD3" w:rsidRDefault="00F42AC2" w:rsidP="00F42AC2">
      <w:pPr>
        <w:pStyle w:val="Zkladntextodsazen3"/>
        <w:tabs>
          <w:tab w:val="left" w:pos="1418"/>
        </w:tabs>
        <w:ind w:hanging="284"/>
        <w:rPr>
          <w:rFonts w:ascii="Koop Office" w:hAnsi="Koop Office"/>
          <w:sz w:val="20"/>
        </w:rPr>
      </w:pPr>
      <w:r w:rsidRPr="00F44D15">
        <w:rPr>
          <w:rFonts w:ascii="Koop Office" w:hAnsi="Koop Office"/>
          <w:sz w:val="20"/>
        </w:rPr>
        <w:t xml:space="preserve">Dodatek vypracoval: </w:t>
      </w:r>
      <w:proofErr w:type="spellStart"/>
      <w:r w:rsidR="008E0682">
        <w:rPr>
          <w:rFonts w:ascii="Koop Office" w:hAnsi="Koop Office"/>
          <w:sz w:val="20"/>
        </w:rPr>
        <w:t>xxx</w:t>
      </w:r>
      <w:proofErr w:type="spellEnd"/>
    </w:p>
    <w:p w14:paraId="46EB3539" w14:textId="77777777" w:rsidR="001163FD" w:rsidRDefault="001163FD" w:rsidP="00F42AC2">
      <w:pPr>
        <w:pStyle w:val="Zkladntextodsazen3"/>
        <w:tabs>
          <w:tab w:val="left" w:pos="1418"/>
        </w:tabs>
        <w:ind w:hanging="284"/>
        <w:rPr>
          <w:rFonts w:ascii="Koop Office" w:hAnsi="Koop Office"/>
          <w:sz w:val="20"/>
        </w:rPr>
      </w:pPr>
    </w:p>
    <w:p w14:paraId="00922642" w14:textId="77777777" w:rsidR="001163FD" w:rsidRDefault="001163FD" w:rsidP="00F42AC2">
      <w:pPr>
        <w:pStyle w:val="Zkladntextodsazen3"/>
        <w:tabs>
          <w:tab w:val="left" w:pos="1418"/>
        </w:tabs>
        <w:ind w:hanging="284"/>
        <w:rPr>
          <w:rFonts w:ascii="Koop Office" w:hAnsi="Koop Office"/>
          <w:sz w:val="20"/>
        </w:rPr>
      </w:pPr>
    </w:p>
    <w:p w14:paraId="7D8B3BD5" w14:textId="77777777" w:rsidR="001163FD" w:rsidRDefault="001163FD" w:rsidP="00F42AC2">
      <w:pPr>
        <w:pStyle w:val="Zkladntextodsazen3"/>
        <w:tabs>
          <w:tab w:val="left" w:pos="1418"/>
        </w:tabs>
        <w:ind w:hanging="284"/>
        <w:rPr>
          <w:rFonts w:ascii="Koop Office" w:hAnsi="Koop Office"/>
          <w:sz w:val="20"/>
        </w:rPr>
      </w:pPr>
    </w:p>
    <w:p w14:paraId="03D137F6" w14:textId="77777777" w:rsidR="001163FD" w:rsidRDefault="001163FD" w:rsidP="00F42AC2">
      <w:pPr>
        <w:pStyle w:val="Zkladntextodsazen3"/>
        <w:tabs>
          <w:tab w:val="left" w:pos="1418"/>
        </w:tabs>
        <w:ind w:hanging="284"/>
        <w:rPr>
          <w:rFonts w:ascii="Koop Office" w:hAnsi="Koop Office"/>
          <w:sz w:val="20"/>
        </w:rPr>
      </w:pPr>
    </w:p>
    <w:p w14:paraId="5456DBAF" w14:textId="77777777" w:rsidR="001163FD" w:rsidRDefault="001163FD" w:rsidP="00F42AC2">
      <w:pPr>
        <w:pStyle w:val="Zkladntextodsazen3"/>
        <w:tabs>
          <w:tab w:val="left" w:pos="1418"/>
        </w:tabs>
        <w:ind w:hanging="284"/>
        <w:rPr>
          <w:rFonts w:ascii="Koop Office" w:hAnsi="Koop Office"/>
          <w:sz w:val="20"/>
        </w:rPr>
      </w:pPr>
    </w:p>
    <w:p w14:paraId="045A5328" w14:textId="77777777" w:rsidR="001163FD" w:rsidRDefault="001163FD" w:rsidP="00F42AC2">
      <w:pPr>
        <w:pStyle w:val="Zkladntextodsazen3"/>
        <w:tabs>
          <w:tab w:val="left" w:pos="1418"/>
        </w:tabs>
        <w:ind w:hanging="284"/>
        <w:rPr>
          <w:rFonts w:ascii="Koop Office" w:hAnsi="Koop Office"/>
          <w:sz w:val="20"/>
        </w:rPr>
      </w:pPr>
    </w:p>
    <w:p w14:paraId="3BCCB20D" w14:textId="77777777" w:rsidR="001163FD" w:rsidRDefault="001163FD" w:rsidP="00F42AC2">
      <w:pPr>
        <w:pStyle w:val="Zkladntextodsazen3"/>
        <w:tabs>
          <w:tab w:val="left" w:pos="1418"/>
        </w:tabs>
        <w:ind w:hanging="284"/>
        <w:rPr>
          <w:rFonts w:ascii="Koop Office" w:hAnsi="Koop Office"/>
          <w:sz w:val="20"/>
        </w:rPr>
      </w:pPr>
    </w:p>
    <w:p w14:paraId="7FBEC894" w14:textId="77777777" w:rsidR="001163FD" w:rsidRDefault="001163FD" w:rsidP="00F42AC2">
      <w:pPr>
        <w:pStyle w:val="Zkladntextodsazen3"/>
        <w:tabs>
          <w:tab w:val="left" w:pos="1418"/>
        </w:tabs>
        <w:ind w:hanging="284"/>
        <w:rPr>
          <w:rFonts w:ascii="Koop Office" w:hAnsi="Koop Office"/>
          <w:sz w:val="20"/>
        </w:rPr>
      </w:pPr>
    </w:p>
    <w:p w14:paraId="1056632F" w14:textId="77777777" w:rsidR="001163FD" w:rsidRDefault="001163FD" w:rsidP="00F42AC2">
      <w:pPr>
        <w:pStyle w:val="Zkladntextodsazen3"/>
        <w:tabs>
          <w:tab w:val="left" w:pos="1418"/>
        </w:tabs>
        <w:ind w:hanging="284"/>
        <w:rPr>
          <w:rFonts w:ascii="Koop Office" w:hAnsi="Koop Office"/>
          <w:sz w:val="20"/>
        </w:rPr>
      </w:pPr>
    </w:p>
    <w:p w14:paraId="57475593" w14:textId="77777777" w:rsidR="001163FD" w:rsidRDefault="001163FD" w:rsidP="00F42AC2">
      <w:pPr>
        <w:pStyle w:val="Zkladntextodsazen3"/>
        <w:tabs>
          <w:tab w:val="left" w:pos="1418"/>
        </w:tabs>
        <w:ind w:hanging="284"/>
        <w:rPr>
          <w:rFonts w:ascii="Koop Office" w:hAnsi="Koop Office"/>
          <w:sz w:val="20"/>
        </w:rPr>
      </w:pPr>
    </w:p>
    <w:p w14:paraId="604EA7B1" w14:textId="77777777" w:rsidR="00732959" w:rsidRPr="00374FD7" w:rsidRDefault="00732959" w:rsidP="00732959">
      <w:pPr>
        <w:autoSpaceDE w:val="0"/>
        <w:autoSpaceDN w:val="0"/>
        <w:adjustRightInd w:val="0"/>
        <w:rPr>
          <w:rFonts w:cs="Arial"/>
          <w:b/>
          <w:sz w:val="20"/>
        </w:rPr>
      </w:pPr>
      <w:r w:rsidRPr="00374FD7">
        <w:rPr>
          <w:rFonts w:cs="Arial"/>
          <w:b/>
          <w:sz w:val="20"/>
        </w:rPr>
        <w:lastRenderedPageBreak/>
        <w:t>Příloha č. 1 - seznam míst pojištění</w:t>
      </w:r>
    </w:p>
    <w:p w14:paraId="44842477" w14:textId="77777777" w:rsidR="00732959" w:rsidRPr="00374FD7" w:rsidRDefault="00732959" w:rsidP="00732959">
      <w:pPr>
        <w:autoSpaceDE w:val="0"/>
        <w:autoSpaceDN w:val="0"/>
        <w:adjustRightInd w:val="0"/>
        <w:rPr>
          <w:rFonts w:cs="Arial"/>
          <w:sz w:val="20"/>
        </w:rPr>
      </w:pPr>
    </w:p>
    <w:p w14:paraId="1C77CA0A" w14:textId="77777777" w:rsidR="00732959" w:rsidRPr="001A5A3D" w:rsidRDefault="00732959" w:rsidP="00732959">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8EAF2F" w14:textId="77777777" w:rsidR="00732959" w:rsidRPr="00060D69" w:rsidRDefault="00732959" w:rsidP="00732959">
      <w:pPr>
        <w:autoSpaceDE w:val="0"/>
        <w:autoSpaceDN w:val="0"/>
        <w:adjustRightInd w:val="0"/>
        <w:rPr>
          <w:rFonts w:cs="Arial"/>
          <w:sz w:val="20"/>
        </w:rPr>
      </w:pPr>
      <w:r w:rsidRPr="00060D69">
        <w:rPr>
          <w:rFonts w:cs="Arial"/>
          <w:sz w:val="20"/>
        </w:rPr>
        <w:t>Praha 2, U nemocnice 499/2 – areál nemocnice</w:t>
      </w:r>
    </w:p>
    <w:p w14:paraId="0EE377D7" w14:textId="77777777" w:rsidR="00732959" w:rsidRPr="00060D69" w:rsidRDefault="00732959" w:rsidP="00732959">
      <w:pPr>
        <w:autoSpaceDE w:val="0"/>
        <w:autoSpaceDN w:val="0"/>
        <w:adjustRightInd w:val="0"/>
        <w:rPr>
          <w:rFonts w:cs="Arial"/>
          <w:sz w:val="20"/>
        </w:rPr>
      </w:pPr>
      <w:r w:rsidRPr="00060D69">
        <w:rPr>
          <w:rFonts w:cs="Arial"/>
          <w:sz w:val="20"/>
        </w:rPr>
        <w:t>Praha 2, Na Bojišti 1771/1</w:t>
      </w:r>
    </w:p>
    <w:p w14:paraId="47793DCF" w14:textId="77777777" w:rsidR="00732959" w:rsidRPr="00060D69" w:rsidRDefault="00732959" w:rsidP="00732959">
      <w:pPr>
        <w:autoSpaceDE w:val="0"/>
        <w:autoSpaceDN w:val="0"/>
        <w:adjustRightInd w:val="0"/>
        <w:rPr>
          <w:rFonts w:cs="Arial"/>
          <w:sz w:val="20"/>
        </w:rPr>
      </w:pPr>
      <w:r w:rsidRPr="00060D69">
        <w:rPr>
          <w:rFonts w:cs="Arial"/>
          <w:sz w:val="20"/>
        </w:rPr>
        <w:t>Praha 2, Kateřinská 521/19</w:t>
      </w:r>
    </w:p>
    <w:p w14:paraId="11450BB7" w14:textId="77777777" w:rsidR="00732959" w:rsidRPr="00060D69" w:rsidRDefault="00732959" w:rsidP="00732959">
      <w:pPr>
        <w:autoSpaceDE w:val="0"/>
        <w:autoSpaceDN w:val="0"/>
        <w:adjustRightInd w:val="0"/>
        <w:rPr>
          <w:rFonts w:cs="Arial"/>
          <w:sz w:val="20"/>
        </w:rPr>
      </w:pPr>
      <w:r w:rsidRPr="00060D69">
        <w:rPr>
          <w:rFonts w:cs="Arial"/>
          <w:sz w:val="20"/>
        </w:rPr>
        <w:t>Praha 2, Kateřinská 468/30</w:t>
      </w:r>
    </w:p>
    <w:p w14:paraId="20DF12F8" w14:textId="77777777" w:rsidR="00732959" w:rsidRPr="00060D69" w:rsidRDefault="00732959" w:rsidP="00732959">
      <w:pPr>
        <w:autoSpaceDE w:val="0"/>
        <w:autoSpaceDN w:val="0"/>
        <w:adjustRightInd w:val="0"/>
        <w:rPr>
          <w:rFonts w:cs="Arial"/>
          <w:sz w:val="20"/>
        </w:rPr>
      </w:pPr>
      <w:r w:rsidRPr="00060D69">
        <w:rPr>
          <w:rFonts w:cs="Arial"/>
          <w:sz w:val="20"/>
        </w:rPr>
        <w:t>Praha 2, Viničná 481/9</w:t>
      </w:r>
    </w:p>
    <w:p w14:paraId="28E7835F" w14:textId="77777777" w:rsidR="00732959" w:rsidRPr="00060D69" w:rsidRDefault="00732959" w:rsidP="00732959">
      <w:pPr>
        <w:autoSpaceDE w:val="0"/>
        <w:autoSpaceDN w:val="0"/>
        <w:adjustRightInd w:val="0"/>
        <w:rPr>
          <w:rFonts w:cs="Arial"/>
          <w:sz w:val="20"/>
        </w:rPr>
      </w:pPr>
      <w:r w:rsidRPr="00060D69">
        <w:rPr>
          <w:rFonts w:cs="Arial"/>
          <w:sz w:val="20"/>
        </w:rPr>
        <w:t>Praha 2, Ke Karlovu 11</w:t>
      </w:r>
    </w:p>
    <w:p w14:paraId="54A78DBB" w14:textId="77777777" w:rsidR="00732959" w:rsidRPr="00060D69" w:rsidRDefault="00732959" w:rsidP="00732959">
      <w:pPr>
        <w:autoSpaceDE w:val="0"/>
        <w:autoSpaceDN w:val="0"/>
        <w:adjustRightInd w:val="0"/>
        <w:rPr>
          <w:rFonts w:cs="Arial"/>
          <w:sz w:val="20"/>
        </w:rPr>
      </w:pPr>
      <w:r w:rsidRPr="00060D69">
        <w:rPr>
          <w:rFonts w:cs="Arial"/>
          <w:sz w:val="20"/>
        </w:rPr>
        <w:t>Praha 2, Ke Karlovu 2118/13</w:t>
      </w:r>
    </w:p>
    <w:p w14:paraId="3AF51DF1" w14:textId="77777777" w:rsidR="00732959" w:rsidRPr="00060D69" w:rsidRDefault="00732959" w:rsidP="00732959">
      <w:pPr>
        <w:autoSpaceDE w:val="0"/>
        <w:autoSpaceDN w:val="0"/>
        <w:adjustRightInd w:val="0"/>
        <w:rPr>
          <w:rFonts w:cs="Arial"/>
          <w:sz w:val="20"/>
        </w:rPr>
      </w:pPr>
      <w:r w:rsidRPr="00060D69">
        <w:rPr>
          <w:rFonts w:cs="Arial"/>
          <w:sz w:val="20"/>
        </w:rPr>
        <w:t>Praha 2, Albertov 7</w:t>
      </w:r>
    </w:p>
    <w:p w14:paraId="688A8CAD" w14:textId="77777777" w:rsidR="00732959" w:rsidRPr="00060D69" w:rsidRDefault="00732959" w:rsidP="00732959">
      <w:pPr>
        <w:autoSpaceDE w:val="0"/>
        <w:autoSpaceDN w:val="0"/>
        <w:adjustRightInd w:val="0"/>
        <w:rPr>
          <w:rFonts w:cs="Arial"/>
          <w:sz w:val="20"/>
        </w:rPr>
      </w:pPr>
      <w:r w:rsidRPr="00060D69">
        <w:rPr>
          <w:rFonts w:cs="Arial"/>
          <w:sz w:val="20"/>
        </w:rPr>
        <w:t>Praha 2, Ke Karlovu 455/2</w:t>
      </w:r>
    </w:p>
    <w:p w14:paraId="2643B8CB" w14:textId="77777777" w:rsidR="00732959" w:rsidRPr="00060D69" w:rsidRDefault="00732959" w:rsidP="00732959">
      <w:pPr>
        <w:autoSpaceDE w:val="0"/>
        <w:autoSpaceDN w:val="0"/>
        <w:adjustRightInd w:val="0"/>
        <w:rPr>
          <w:rFonts w:cs="Arial"/>
          <w:sz w:val="20"/>
        </w:rPr>
      </w:pPr>
      <w:r w:rsidRPr="00060D69">
        <w:rPr>
          <w:rFonts w:cs="Arial"/>
          <w:sz w:val="20"/>
        </w:rPr>
        <w:t>Praha 2, Ke Karlovu 459/6</w:t>
      </w:r>
    </w:p>
    <w:p w14:paraId="0F150576" w14:textId="77777777" w:rsidR="00732959" w:rsidRPr="00060D69" w:rsidRDefault="00732959" w:rsidP="00732959">
      <w:pPr>
        <w:autoSpaceDE w:val="0"/>
        <w:autoSpaceDN w:val="0"/>
        <w:adjustRightInd w:val="0"/>
        <w:rPr>
          <w:rFonts w:cs="Arial"/>
          <w:sz w:val="20"/>
        </w:rPr>
      </w:pPr>
      <w:r w:rsidRPr="00060D69">
        <w:rPr>
          <w:rFonts w:cs="Arial"/>
          <w:sz w:val="20"/>
        </w:rPr>
        <w:t>Praha 2, Ke Karlovu 457/7</w:t>
      </w:r>
    </w:p>
    <w:p w14:paraId="347F3ECF" w14:textId="77777777" w:rsidR="00732959" w:rsidRPr="00060D69" w:rsidRDefault="00732959" w:rsidP="00732959">
      <w:pPr>
        <w:autoSpaceDE w:val="0"/>
        <w:autoSpaceDN w:val="0"/>
        <w:adjustRightInd w:val="0"/>
        <w:rPr>
          <w:rFonts w:cs="Arial"/>
          <w:sz w:val="20"/>
        </w:rPr>
      </w:pPr>
      <w:r w:rsidRPr="00060D69">
        <w:rPr>
          <w:rFonts w:cs="Arial"/>
          <w:sz w:val="20"/>
        </w:rPr>
        <w:t>Praha 2, Žitná 569/24</w:t>
      </w:r>
    </w:p>
    <w:p w14:paraId="109954DB" w14:textId="77777777" w:rsidR="00732959" w:rsidRPr="00060D69" w:rsidRDefault="00732959" w:rsidP="00732959">
      <w:pPr>
        <w:autoSpaceDE w:val="0"/>
        <w:autoSpaceDN w:val="0"/>
        <w:adjustRightInd w:val="0"/>
        <w:rPr>
          <w:rFonts w:cs="Arial"/>
          <w:sz w:val="20"/>
        </w:rPr>
      </w:pPr>
      <w:r w:rsidRPr="00060D69">
        <w:rPr>
          <w:rFonts w:cs="Arial"/>
          <w:sz w:val="20"/>
        </w:rPr>
        <w:t>Praha 2, Londýnská 545/15</w:t>
      </w:r>
    </w:p>
    <w:p w14:paraId="65591E3D" w14:textId="77777777" w:rsidR="00732959" w:rsidRPr="00060D69" w:rsidRDefault="00732959" w:rsidP="00732959">
      <w:pPr>
        <w:autoSpaceDE w:val="0"/>
        <w:autoSpaceDN w:val="0"/>
        <w:adjustRightInd w:val="0"/>
        <w:rPr>
          <w:rFonts w:cs="Arial"/>
          <w:sz w:val="20"/>
        </w:rPr>
      </w:pPr>
      <w:r w:rsidRPr="00060D69">
        <w:rPr>
          <w:rFonts w:cs="Arial"/>
          <w:sz w:val="20"/>
        </w:rPr>
        <w:t>Praha 2, Kateřinská 32</w:t>
      </w:r>
    </w:p>
    <w:p w14:paraId="26E9EB58" w14:textId="77777777" w:rsidR="00732959" w:rsidRPr="00060D69" w:rsidRDefault="00732959" w:rsidP="00732959">
      <w:pPr>
        <w:autoSpaceDE w:val="0"/>
        <w:autoSpaceDN w:val="0"/>
        <w:adjustRightInd w:val="0"/>
        <w:rPr>
          <w:rFonts w:cs="Arial"/>
          <w:sz w:val="20"/>
        </w:rPr>
      </w:pPr>
      <w:r w:rsidRPr="00060D69">
        <w:rPr>
          <w:rFonts w:cs="Arial"/>
          <w:sz w:val="20"/>
        </w:rPr>
        <w:t>Praha 2, Apolinářská 441/18</w:t>
      </w:r>
    </w:p>
    <w:p w14:paraId="76F658FF" w14:textId="77777777" w:rsidR="00732959" w:rsidRPr="00060D69" w:rsidRDefault="00732959" w:rsidP="00732959">
      <w:pPr>
        <w:autoSpaceDE w:val="0"/>
        <w:autoSpaceDN w:val="0"/>
        <w:adjustRightInd w:val="0"/>
        <w:rPr>
          <w:rFonts w:cs="Arial"/>
          <w:sz w:val="20"/>
        </w:rPr>
      </w:pPr>
      <w:r w:rsidRPr="00060D69">
        <w:rPr>
          <w:rFonts w:cs="Arial"/>
          <w:sz w:val="20"/>
        </w:rPr>
        <w:t>Praha 2, Apolinářská 447/4</w:t>
      </w:r>
    </w:p>
    <w:p w14:paraId="63C11A28" w14:textId="77777777" w:rsidR="00732959" w:rsidRPr="00060D69" w:rsidRDefault="00732959" w:rsidP="00732959">
      <w:pPr>
        <w:autoSpaceDE w:val="0"/>
        <w:autoSpaceDN w:val="0"/>
        <w:adjustRightInd w:val="0"/>
        <w:rPr>
          <w:rFonts w:cs="Arial"/>
          <w:sz w:val="20"/>
        </w:rPr>
      </w:pPr>
      <w:r w:rsidRPr="00060D69">
        <w:rPr>
          <w:rFonts w:cs="Arial"/>
          <w:sz w:val="20"/>
        </w:rPr>
        <w:t>Praha 2, Apolinářská 2119</w:t>
      </w:r>
    </w:p>
    <w:p w14:paraId="0215638D" w14:textId="77777777" w:rsidR="00732959" w:rsidRPr="00060D69" w:rsidRDefault="00732959" w:rsidP="00732959">
      <w:pPr>
        <w:autoSpaceDE w:val="0"/>
        <w:autoSpaceDN w:val="0"/>
        <w:adjustRightInd w:val="0"/>
        <w:rPr>
          <w:rFonts w:cs="Arial"/>
          <w:sz w:val="20"/>
        </w:rPr>
      </w:pPr>
      <w:r w:rsidRPr="00060D69">
        <w:rPr>
          <w:rFonts w:cs="Arial"/>
          <w:sz w:val="20"/>
        </w:rPr>
        <w:t>Praha 2, U Nemocnice 4</w:t>
      </w:r>
    </w:p>
    <w:p w14:paraId="0998C4BC" w14:textId="77777777" w:rsidR="00732959" w:rsidRPr="00060D69" w:rsidRDefault="00732959" w:rsidP="00732959">
      <w:pPr>
        <w:autoSpaceDE w:val="0"/>
        <w:autoSpaceDN w:val="0"/>
        <w:adjustRightInd w:val="0"/>
        <w:rPr>
          <w:rFonts w:cs="Arial"/>
          <w:sz w:val="20"/>
        </w:rPr>
      </w:pPr>
      <w:r w:rsidRPr="00060D69">
        <w:rPr>
          <w:rFonts w:cs="Arial"/>
          <w:sz w:val="20"/>
        </w:rPr>
        <w:t>Praha 2, U Nemocnice 5</w:t>
      </w:r>
    </w:p>
    <w:p w14:paraId="44C00FBB" w14:textId="77777777" w:rsidR="00732959" w:rsidRPr="00060D69" w:rsidRDefault="00732959" w:rsidP="00732959">
      <w:pPr>
        <w:autoSpaceDE w:val="0"/>
        <w:autoSpaceDN w:val="0"/>
        <w:adjustRightInd w:val="0"/>
        <w:rPr>
          <w:rFonts w:cs="Arial"/>
          <w:sz w:val="20"/>
        </w:rPr>
      </w:pPr>
      <w:r w:rsidRPr="00060D69">
        <w:rPr>
          <w:rFonts w:cs="Arial"/>
          <w:sz w:val="20"/>
        </w:rPr>
        <w:t>Praha 2, Studničková 7</w:t>
      </w:r>
    </w:p>
    <w:p w14:paraId="17284295" w14:textId="77777777" w:rsidR="00732959" w:rsidRPr="00060D69" w:rsidRDefault="00732959" w:rsidP="00732959">
      <w:pPr>
        <w:autoSpaceDE w:val="0"/>
        <w:autoSpaceDN w:val="0"/>
        <w:adjustRightInd w:val="0"/>
        <w:rPr>
          <w:rFonts w:cs="Arial"/>
          <w:sz w:val="20"/>
        </w:rPr>
      </w:pPr>
      <w:r w:rsidRPr="00060D69">
        <w:rPr>
          <w:rFonts w:cs="Arial"/>
          <w:sz w:val="20"/>
        </w:rPr>
        <w:t>Praha 2, Studničková 4</w:t>
      </w:r>
    </w:p>
    <w:p w14:paraId="7E8F0785" w14:textId="77777777" w:rsidR="00732959" w:rsidRPr="00060D69" w:rsidRDefault="00732959" w:rsidP="00732959">
      <w:pPr>
        <w:autoSpaceDE w:val="0"/>
        <w:autoSpaceDN w:val="0"/>
        <w:adjustRightInd w:val="0"/>
        <w:rPr>
          <w:rFonts w:cs="Arial"/>
          <w:sz w:val="20"/>
        </w:rPr>
      </w:pPr>
      <w:r w:rsidRPr="00060D69">
        <w:rPr>
          <w:rFonts w:cs="Arial"/>
          <w:sz w:val="20"/>
        </w:rPr>
        <w:t>Praha 2, Salmovská 219/13 (ubytovna)</w:t>
      </w:r>
    </w:p>
    <w:p w14:paraId="50207EC3" w14:textId="77777777" w:rsidR="00732959" w:rsidRPr="00060D69" w:rsidRDefault="00732959" w:rsidP="00732959">
      <w:pPr>
        <w:autoSpaceDE w:val="0"/>
        <w:autoSpaceDN w:val="0"/>
        <w:adjustRightInd w:val="0"/>
        <w:rPr>
          <w:rFonts w:cs="Arial"/>
          <w:sz w:val="20"/>
        </w:rPr>
      </w:pPr>
      <w:r w:rsidRPr="00060D69">
        <w:rPr>
          <w:rFonts w:cs="Arial"/>
          <w:sz w:val="20"/>
        </w:rPr>
        <w:t>Praha 2, Karlovo nám. 554/32</w:t>
      </w:r>
    </w:p>
    <w:p w14:paraId="09ABEC04" w14:textId="77777777" w:rsidR="00732959" w:rsidRPr="00060D69" w:rsidRDefault="00732959" w:rsidP="00732959">
      <w:pPr>
        <w:autoSpaceDE w:val="0"/>
        <w:autoSpaceDN w:val="0"/>
        <w:adjustRightInd w:val="0"/>
        <w:rPr>
          <w:rFonts w:cs="Arial"/>
          <w:sz w:val="20"/>
        </w:rPr>
      </w:pPr>
      <w:r w:rsidRPr="00060D69">
        <w:rPr>
          <w:rFonts w:cs="Arial"/>
          <w:sz w:val="20"/>
        </w:rPr>
        <w:t>Praha 2, Karlovo nám. 501/39</w:t>
      </w:r>
    </w:p>
    <w:p w14:paraId="2389FB85" w14:textId="77777777" w:rsidR="00732959" w:rsidRPr="00060D69" w:rsidRDefault="00732959" w:rsidP="00732959">
      <w:pPr>
        <w:autoSpaceDE w:val="0"/>
        <w:autoSpaceDN w:val="0"/>
        <w:adjustRightInd w:val="0"/>
        <w:rPr>
          <w:rFonts w:cs="Arial"/>
          <w:sz w:val="20"/>
        </w:rPr>
      </w:pPr>
      <w:r w:rsidRPr="00060D69">
        <w:rPr>
          <w:rFonts w:cs="Arial"/>
          <w:sz w:val="20"/>
        </w:rPr>
        <w:t>Praha 2, Albertov 4</w:t>
      </w:r>
    </w:p>
    <w:p w14:paraId="7F82DB47" w14:textId="77777777" w:rsidR="00732959" w:rsidRPr="00060D69" w:rsidRDefault="00732959" w:rsidP="00732959">
      <w:pPr>
        <w:autoSpaceDE w:val="0"/>
        <w:autoSpaceDN w:val="0"/>
        <w:adjustRightInd w:val="0"/>
        <w:rPr>
          <w:rFonts w:cs="Arial"/>
          <w:sz w:val="20"/>
        </w:rPr>
      </w:pPr>
      <w:r w:rsidRPr="00060D69">
        <w:rPr>
          <w:rFonts w:cs="Arial"/>
          <w:sz w:val="20"/>
        </w:rPr>
        <w:t>Praha 6, U Vojenské nemocnice 1200</w:t>
      </w:r>
    </w:p>
    <w:p w14:paraId="5A233B50" w14:textId="77777777" w:rsidR="00732959" w:rsidRPr="00060D69" w:rsidRDefault="00732959" w:rsidP="00732959">
      <w:pPr>
        <w:autoSpaceDE w:val="0"/>
        <w:autoSpaceDN w:val="0"/>
        <w:adjustRightInd w:val="0"/>
        <w:rPr>
          <w:rFonts w:cs="Arial"/>
          <w:sz w:val="20"/>
        </w:rPr>
      </w:pPr>
      <w:r w:rsidRPr="00060D69">
        <w:rPr>
          <w:rFonts w:cs="Arial"/>
          <w:sz w:val="20"/>
        </w:rPr>
        <w:t>Praha 6, Šermířská 1921/4</w:t>
      </w:r>
    </w:p>
    <w:p w14:paraId="14A7441B" w14:textId="77777777" w:rsidR="00732959" w:rsidRDefault="00732959" w:rsidP="00732959">
      <w:pPr>
        <w:autoSpaceDE w:val="0"/>
        <w:autoSpaceDN w:val="0"/>
        <w:adjustRightInd w:val="0"/>
        <w:rPr>
          <w:rFonts w:cs="Arial"/>
          <w:sz w:val="20"/>
        </w:rPr>
      </w:pPr>
      <w:r w:rsidRPr="00060D69">
        <w:rPr>
          <w:rFonts w:cs="Arial"/>
          <w:sz w:val="20"/>
        </w:rPr>
        <w:t xml:space="preserve">Praha 5, U </w:t>
      </w:r>
      <w:proofErr w:type="spellStart"/>
      <w:r w:rsidRPr="00060D69">
        <w:rPr>
          <w:rFonts w:cs="Arial"/>
          <w:sz w:val="20"/>
        </w:rPr>
        <w:t>Nesypky</w:t>
      </w:r>
      <w:proofErr w:type="spellEnd"/>
      <w:r w:rsidRPr="00060D69">
        <w:rPr>
          <w:rFonts w:cs="Arial"/>
          <w:sz w:val="20"/>
        </w:rPr>
        <w:t xml:space="preserve"> 110/28</w:t>
      </w:r>
    </w:p>
    <w:p w14:paraId="6FEC83B1" w14:textId="77777777" w:rsidR="00732959" w:rsidRPr="00576987" w:rsidRDefault="00732959" w:rsidP="00732959">
      <w:pPr>
        <w:autoSpaceDE w:val="0"/>
        <w:autoSpaceDN w:val="0"/>
        <w:adjustRightInd w:val="0"/>
        <w:rPr>
          <w:rFonts w:cs="Arial"/>
          <w:sz w:val="20"/>
        </w:rPr>
      </w:pPr>
      <w:r w:rsidRPr="00826C8E">
        <w:rPr>
          <w:rFonts w:cs="Arial"/>
          <w:sz w:val="20"/>
        </w:rPr>
        <w:t xml:space="preserve">Praha 5, Zbraslav 639, </w:t>
      </w:r>
      <w:proofErr w:type="gramStart"/>
      <w:r w:rsidRPr="00826C8E">
        <w:rPr>
          <w:rFonts w:cs="Arial"/>
          <w:sz w:val="20"/>
        </w:rPr>
        <w:t>640  (</w:t>
      </w:r>
      <w:proofErr w:type="gramEnd"/>
      <w:r w:rsidRPr="00826C8E">
        <w:rPr>
          <w:rFonts w:cs="Arial"/>
          <w:sz w:val="20"/>
        </w:rPr>
        <w:t>pracoviště transfúzního oddělení)</w:t>
      </w:r>
    </w:p>
    <w:p w14:paraId="5F850CDE" w14:textId="77777777" w:rsidR="00732959" w:rsidRPr="00060D69" w:rsidRDefault="00732959" w:rsidP="00732959">
      <w:pPr>
        <w:autoSpaceDE w:val="0"/>
        <w:autoSpaceDN w:val="0"/>
        <w:adjustRightInd w:val="0"/>
        <w:rPr>
          <w:rFonts w:cs="Arial"/>
          <w:sz w:val="20"/>
        </w:rPr>
      </w:pPr>
      <w:r w:rsidRPr="00060D69">
        <w:rPr>
          <w:rFonts w:cs="Arial"/>
          <w:sz w:val="20"/>
        </w:rPr>
        <w:t>Praha, Neklanova 101/6 (ubytovna)</w:t>
      </w:r>
    </w:p>
    <w:p w14:paraId="0E4B8C53" w14:textId="77777777" w:rsidR="00732959" w:rsidRPr="00060D69" w:rsidRDefault="00732959" w:rsidP="00732959">
      <w:pPr>
        <w:autoSpaceDE w:val="0"/>
        <w:autoSpaceDN w:val="0"/>
        <w:adjustRightInd w:val="0"/>
        <w:rPr>
          <w:rFonts w:cs="Arial"/>
          <w:sz w:val="20"/>
        </w:rPr>
      </w:pPr>
      <w:r w:rsidRPr="00060D69">
        <w:rPr>
          <w:rFonts w:cs="Arial"/>
          <w:sz w:val="20"/>
        </w:rPr>
        <w:t>Praha, Kloknerova 1245/1</w:t>
      </w:r>
    </w:p>
    <w:p w14:paraId="0353004E" w14:textId="77777777" w:rsidR="00732959" w:rsidRPr="00060D69" w:rsidRDefault="00732959" w:rsidP="00732959">
      <w:pPr>
        <w:autoSpaceDE w:val="0"/>
        <w:autoSpaceDN w:val="0"/>
        <w:adjustRightInd w:val="0"/>
        <w:rPr>
          <w:rFonts w:cs="Arial"/>
          <w:sz w:val="20"/>
        </w:rPr>
      </w:pPr>
      <w:r w:rsidRPr="00060D69">
        <w:rPr>
          <w:rFonts w:cs="Arial"/>
          <w:sz w:val="20"/>
        </w:rPr>
        <w:t>Praha, Klimentská 1236/9 (ubytovna)</w:t>
      </w:r>
    </w:p>
    <w:p w14:paraId="223F7400" w14:textId="77777777" w:rsidR="00732959" w:rsidRPr="00060D69" w:rsidRDefault="00732959" w:rsidP="00732959">
      <w:pPr>
        <w:autoSpaceDE w:val="0"/>
        <w:autoSpaceDN w:val="0"/>
        <w:adjustRightInd w:val="0"/>
        <w:rPr>
          <w:rFonts w:cs="Arial"/>
          <w:sz w:val="20"/>
        </w:rPr>
      </w:pPr>
      <w:r w:rsidRPr="00060D69">
        <w:rPr>
          <w:rFonts w:cs="Arial"/>
          <w:sz w:val="20"/>
        </w:rPr>
        <w:t>Unhošť 773</w:t>
      </w:r>
    </w:p>
    <w:p w14:paraId="7751D84D" w14:textId="77777777" w:rsidR="00732959" w:rsidRPr="00060D69" w:rsidRDefault="00732959" w:rsidP="00732959">
      <w:pPr>
        <w:autoSpaceDE w:val="0"/>
        <w:autoSpaceDN w:val="0"/>
        <w:adjustRightInd w:val="0"/>
        <w:rPr>
          <w:rFonts w:cs="Arial"/>
          <w:sz w:val="20"/>
        </w:rPr>
      </w:pPr>
      <w:r w:rsidRPr="00060D69">
        <w:rPr>
          <w:rFonts w:cs="Arial"/>
          <w:sz w:val="20"/>
        </w:rPr>
        <w:t>Praha 2, Londýnská 544/15</w:t>
      </w:r>
    </w:p>
    <w:p w14:paraId="19E3EA93" w14:textId="77777777" w:rsidR="00732959" w:rsidRPr="00060D69" w:rsidRDefault="00732959" w:rsidP="00732959">
      <w:pPr>
        <w:autoSpaceDE w:val="0"/>
        <w:autoSpaceDN w:val="0"/>
        <w:adjustRightInd w:val="0"/>
        <w:rPr>
          <w:rFonts w:cs="Arial"/>
          <w:sz w:val="20"/>
        </w:rPr>
      </w:pPr>
      <w:r w:rsidRPr="00060D69">
        <w:rPr>
          <w:rFonts w:cs="Arial"/>
          <w:sz w:val="20"/>
        </w:rPr>
        <w:t>Praha 2, Záhřebská 5</w:t>
      </w:r>
    </w:p>
    <w:p w14:paraId="57AAD2C2" w14:textId="77777777" w:rsidR="00732959" w:rsidRDefault="00732959" w:rsidP="00732959">
      <w:pPr>
        <w:autoSpaceDE w:val="0"/>
        <w:autoSpaceDN w:val="0"/>
        <w:adjustRightInd w:val="0"/>
        <w:rPr>
          <w:rFonts w:cs="Arial"/>
          <w:sz w:val="20"/>
        </w:rPr>
      </w:pPr>
      <w:r w:rsidRPr="00060D69">
        <w:rPr>
          <w:rFonts w:cs="Arial"/>
          <w:sz w:val="20"/>
        </w:rPr>
        <w:t>Praha 2, Karlovo náměstí čp. 502/40</w:t>
      </w:r>
    </w:p>
    <w:p w14:paraId="4F642FA5" w14:textId="77777777" w:rsidR="00732959" w:rsidRDefault="00732959" w:rsidP="00732959">
      <w:pPr>
        <w:autoSpaceDE w:val="0"/>
        <w:autoSpaceDN w:val="0"/>
        <w:adjustRightInd w:val="0"/>
        <w:rPr>
          <w:rFonts w:cs="Arial"/>
          <w:sz w:val="20"/>
        </w:rPr>
      </w:pPr>
      <w:r w:rsidRPr="001A5A3D">
        <w:rPr>
          <w:rFonts w:cs="Arial"/>
          <w:sz w:val="20"/>
        </w:rPr>
        <w:t>Praha 2, Wenzigova 2083/1</w:t>
      </w:r>
    </w:p>
    <w:p w14:paraId="5184BE9B" w14:textId="77777777" w:rsidR="00732959" w:rsidRDefault="00732959" w:rsidP="00732959">
      <w:pPr>
        <w:autoSpaceDE w:val="0"/>
        <w:autoSpaceDN w:val="0"/>
        <w:adjustRightInd w:val="0"/>
        <w:rPr>
          <w:rFonts w:cs="Arial"/>
          <w:sz w:val="20"/>
        </w:rPr>
      </w:pPr>
      <w:r>
        <w:rPr>
          <w:rFonts w:cs="Arial"/>
          <w:sz w:val="20"/>
        </w:rPr>
        <w:t xml:space="preserve">Praha 2, Salmovská 3/478 </w:t>
      </w:r>
    </w:p>
    <w:p w14:paraId="6C912F33" w14:textId="77777777" w:rsidR="00732959" w:rsidRDefault="00732959" w:rsidP="00732959">
      <w:pPr>
        <w:autoSpaceDE w:val="0"/>
        <w:autoSpaceDN w:val="0"/>
        <w:adjustRightInd w:val="0"/>
        <w:rPr>
          <w:rFonts w:cs="Arial"/>
          <w:sz w:val="20"/>
        </w:rPr>
      </w:pPr>
      <w:r w:rsidRPr="00440145">
        <w:rPr>
          <w:rFonts w:cs="Arial"/>
          <w:sz w:val="20"/>
        </w:rPr>
        <w:t>Třeboň</w:t>
      </w:r>
      <w:r>
        <w:rPr>
          <w:rFonts w:cs="Arial"/>
          <w:sz w:val="20"/>
        </w:rPr>
        <w:t xml:space="preserve">, </w:t>
      </w:r>
      <w:r w:rsidRPr="00440145">
        <w:rPr>
          <w:rFonts w:cs="Arial"/>
          <w:sz w:val="20"/>
        </w:rPr>
        <w:t>Krokova č.p. 595</w:t>
      </w:r>
    </w:p>
    <w:p w14:paraId="18CCB124" w14:textId="77777777" w:rsidR="00732959" w:rsidRPr="001A5A3D" w:rsidRDefault="00732959" w:rsidP="00732959">
      <w:pPr>
        <w:autoSpaceDE w:val="0"/>
        <w:autoSpaceDN w:val="0"/>
        <w:adjustRightInd w:val="0"/>
        <w:rPr>
          <w:rFonts w:cs="Arial"/>
          <w:sz w:val="20"/>
        </w:rPr>
      </w:pPr>
      <w:r w:rsidRPr="00211CA1">
        <w:rPr>
          <w:sz w:val="20"/>
        </w:rPr>
        <w:t xml:space="preserve">Faustův dům č.p. 502 – parcely 1648/6, 1643/1, 1648/5, 1648/1 a 1648/4 </w:t>
      </w:r>
      <w:proofErr w:type="spellStart"/>
      <w:r w:rsidRPr="00211CA1">
        <w:rPr>
          <w:sz w:val="20"/>
        </w:rPr>
        <w:t>k.ú</w:t>
      </w:r>
      <w:proofErr w:type="spellEnd"/>
      <w:r w:rsidRPr="00211CA1">
        <w:rPr>
          <w:sz w:val="20"/>
        </w:rPr>
        <w:t>. Nové Město v katastrálním území Nové Město</w:t>
      </w:r>
    </w:p>
    <w:p w14:paraId="7FB45E0F" w14:textId="77777777" w:rsidR="00732959" w:rsidRPr="00374FD7" w:rsidRDefault="00732959" w:rsidP="00732959"/>
    <w:p w14:paraId="4220DCB8" w14:textId="77777777" w:rsidR="001163FD" w:rsidRPr="00F42AC2" w:rsidRDefault="001163FD" w:rsidP="00F42AC2">
      <w:pPr>
        <w:pStyle w:val="Zkladntextodsazen3"/>
        <w:tabs>
          <w:tab w:val="left" w:pos="1418"/>
        </w:tabs>
        <w:ind w:hanging="284"/>
        <w:rPr>
          <w:rFonts w:ascii="Koop Office" w:hAnsi="Koop Office"/>
          <w:sz w:val="20"/>
        </w:rPr>
      </w:pPr>
    </w:p>
    <w:sectPr w:rsidR="001163FD" w:rsidRPr="00F42AC2" w:rsidSect="00877EFF">
      <w:headerReference w:type="default" r:id="rId14"/>
      <w:footerReference w:type="default" r:id="rId15"/>
      <w:headerReference w:type="first" r:id="rId16"/>
      <w:footerReference w:type="first" r:id="rId17"/>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B6F7" w14:textId="77777777" w:rsidR="00F6546A" w:rsidRDefault="00F6546A">
      <w:r>
        <w:separator/>
      </w:r>
    </w:p>
  </w:endnote>
  <w:endnote w:type="continuationSeparator" w:id="0">
    <w:p w14:paraId="4B2F16A5" w14:textId="77777777" w:rsidR="00F6546A" w:rsidRDefault="00F6546A">
      <w:r>
        <w:continuationSeparator/>
      </w:r>
    </w:p>
  </w:endnote>
  <w:endnote w:type="continuationNotice" w:id="1">
    <w:p w14:paraId="421888F9" w14:textId="77777777" w:rsidR="00F6546A" w:rsidRDefault="00F6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ahnschrift">
    <w:panose1 w:val="020B0502040204020203"/>
    <w:charset w:val="EE"/>
    <w:family w:val="swiss"/>
    <w:pitch w:val="variable"/>
    <w:sig w:usb0="A00002C7"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F210" w14:textId="77777777" w:rsidR="00F6546A" w:rsidRDefault="00F6546A">
      <w:r>
        <w:separator/>
      </w:r>
    </w:p>
  </w:footnote>
  <w:footnote w:type="continuationSeparator" w:id="0">
    <w:p w14:paraId="17DED429" w14:textId="77777777" w:rsidR="00F6546A" w:rsidRDefault="00F6546A">
      <w:r>
        <w:continuationSeparator/>
      </w:r>
    </w:p>
  </w:footnote>
  <w:footnote w:type="continuationNotice" w:id="1">
    <w:p w14:paraId="2B8FC243" w14:textId="77777777" w:rsidR="00F6546A" w:rsidRDefault="00F6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19631F9"/>
    <w:multiLevelType w:val="multilevel"/>
    <w:tmpl w:val="919A2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16cid:durableId="988435256">
    <w:abstractNumId w:val="8"/>
  </w:num>
  <w:num w:numId="2" w16cid:durableId="1717586983">
    <w:abstractNumId w:val="26"/>
  </w:num>
  <w:num w:numId="3" w16cid:durableId="984236066">
    <w:abstractNumId w:val="9"/>
  </w:num>
  <w:num w:numId="4" w16cid:durableId="545025602">
    <w:abstractNumId w:val="25"/>
  </w:num>
  <w:num w:numId="5" w16cid:durableId="1178349952">
    <w:abstractNumId w:val="15"/>
  </w:num>
  <w:num w:numId="6" w16cid:durableId="1329943982">
    <w:abstractNumId w:val="16"/>
  </w:num>
  <w:num w:numId="7" w16cid:durableId="1424687727">
    <w:abstractNumId w:val="14"/>
  </w:num>
  <w:num w:numId="8" w16cid:durableId="1492216087">
    <w:abstractNumId w:val="12"/>
  </w:num>
  <w:num w:numId="9" w16cid:durableId="1807621468">
    <w:abstractNumId w:val="27"/>
  </w:num>
  <w:num w:numId="10" w16cid:durableId="514808929">
    <w:abstractNumId w:val="2"/>
  </w:num>
  <w:num w:numId="11" w16cid:durableId="816266365">
    <w:abstractNumId w:val="21"/>
  </w:num>
  <w:num w:numId="12" w16cid:durableId="1206129">
    <w:abstractNumId w:val="17"/>
  </w:num>
  <w:num w:numId="13" w16cid:durableId="445929566">
    <w:abstractNumId w:val="29"/>
  </w:num>
  <w:num w:numId="14" w16cid:durableId="661810554">
    <w:abstractNumId w:val="22"/>
  </w:num>
  <w:num w:numId="15" w16cid:durableId="365641394">
    <w:abstractNumId w:val="19"/>
  </w:num>
  <w:num w:numId="16" w16cid:durableId="199712251">
    <w:abstractNumId w:val="28"/>
  </w:num>
  <w:num w:numId="17" w16cid:durableId="1302075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670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700140">
    <w:abstractNumId w:val="30"/>
  </w:num>
  <w:num w:numId="20" w16cid:durableId="931007258">
    <w:abstractNumId w:val="7"/>
  </w:num>
  <w:num w:numId="21" w16cid:durableId="218397879">
    <w:abstractNumId w:val="4"/>
  </w:num>
  <w:num w:numId="22" w16cid:durableId="7144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805588">
    <w:abstractNumId w:val="11"/>
  </w:num>
  <w:num w:numId="24" w16cid:durableId="772018080">
    <w:abstractNumId w:val="23"/>
  </w:num>
  <w:num w:numId="25" w16cid:durableId="836964268">
    <w:abstractNumId w:val="10"/>
  </w:num>
  <w:num w:numId="26" w16cid:durableId="606741633">
    <w:abstractNumId w:val="24"/>
  </w:num>
  <w:num w:numId="27" w16cid:durableId="1644001889">
    <w:abstractNumId w:val="3"/>
  </w:num>
  <w:num w:numId="28" w16cid:durableId="1513965">
    <w:abstractNumId w:val="18"/>
  </w:num>
  <w:num w:numId="29" w16cid:durableId="747852318">
    <w:abstractNumId w:val="4"/>
  </w:num>
  <w:num w:numId="30" w16cid:durableId="3296927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26A4"/>
    <w:rsid w:val="000031E3"/>
    <w:rsid w:val="00004162"/>
    <w:rsid w:val="000049A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1BEB"/>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8FC"/>
    <w:rsid w:val="000A6CC5"/>
    <w:rsid w:val="000A7B53"/>
    <w:rsid w:val="000B0C00"/>
    <w:rsid w:val="000B0F48"/>
    <w:rsid w:val="000B1956"/>
    <w:rsid w:val="000B2265"/>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34E2"/>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63FD"/>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77E3D"/>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1900"/>
    <w:rsid w:val="00213AAC"/>
    <w:rsid w:val="0021491A"/>
    <w:rsid w:val="002153D3"/>
    <w:rsid w:val="00215E8B"/>
    <w:rsid w:val="002160DA"/>
    <w:rsid w:val="00216C2E"/>
    <w:rsid w:val="00221407"/>
    <w:rsid w:val="002228DC"/>
    <w:rsid w:val="00224037"/>
    <w:rsid w:val="002244A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661A7"/>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44A5"/>
    <w:rsid w:val="00296295"/>
    <w:rsid w:val="00297FCC"/>
    <w:rsid w:val="002A1588"/>
    <w:rsid w:val="002A1AA1"/>
    <w:rsid w:val="002A23E6"/>
    <w:rsid w:val="002A2FC0"/>
    <w:rsid w:val="002A341D"/>
    <w:rsid w:val="002A58DB"/>
    <w:rsid w:val="002A5CE1"/>
    <w:rsid w:val="002A62DC"/>
    <w:rsid w:val="002A67F1"/>
    <w:rsid w:val="002B08EB"/>
    <w:rsid w:val="002B091F"/>
    <w:rsid w:val="002B4B57"/>
    <w:rsid w:val="002B57A6"/>
    <w:rsid w:val="002B6EAE"/>
    <w:rsid w:val="002C18E9"/>
    <w:rsid w:val="002C2B1D"/>
    <w:rsid w:val="002C4130"/>
    <w:rsid w:val="002C6A91"/>
    <w:rsid w:val="002D15A4"/>
    <w:rsid w:val="002D22B3"/>
    <w:rsid w:val="002D4783"/>
    <w:rsid w:val="002D5673"/>
    <w:rsid w:val="002D5E6F"/>
    <w:rsid w:val="002E138A"/>
    <w:rsid w:val="002E370E"/>
    <w:rsid w:val="002E6FFB"/>
    <w:rsid w:val="002F05B2"/>
    <w:rsid w:val="002F0718"/>
    <w:rsid w:val="002F0CD4"/>
    <w:rsid w:val="002F2422"/>
    <w:rsid w:val="002F2BF8"/>
    <w:rsid w:val="002F40FB"/>
    <w:rsid w:val="0030333C"/>
    <w:rsid w:val="003068FE"/>
    <w:rsid w:val="00311B0D"/>
    <w:rsid w:val="003120BB"/>
    <w:rsid w:val="00312551"/>
    <w:rsid w:val="003154F3"/>
    <w:rsid w:val="00317AD3"/>
    <w:rsid w:val="00320BB3"/>
    <w:rsid w:val="0032209A"/>
    <w:rsid w:val="00322263"/>
    <w:rsid w:val="00324AC7"/>
    <w:rsid w:val="00326087"/>
    <w:rsid w:val="00326953"/>
    <w:rsid w:val="00330496"/>
    <w:rsid w:val="0033123B"/>
    <w:rsid w:val="00331D89"/>
    <w:rsid w:val="00332B78"/>
    <w:rsid w:val="00335684"/>
    <w:rsid w:val="00335E55"/>
    <w:rsid w:val="00341B9F"/>
    <w:rsid w:val="003425D8"/>
    <w:rsid w:val="00342919"/>
    <w:rsid w:val="0034317C"/>
    <w:rsid w:val="00344F8E"/>
    <w:rsid w:val="003450CC"/>
    <w:rsid w:val="0034551F"/>
    <w:rsid w:val="003464F6"/>
    <w:rsid w:val="003465BD"/>
    <w:rsid w:val="00347C44"/>
    <w:rsid w:val="00350DB1"/>
    <w:rsid w:val="0035101F"/>
    <w:rsid w:val="00356A38"/>
    <w:rsid w:val="003572A6"/>
    <w:rsid w:val="00360BB0"/>
    <w:rsid w:val="00360E3C"/>
    <w:rsid w:val="00361B45"/>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673E"/>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289"/>
    <w:rsid w:val="004024CA"/>
    <w:rsid w:val="004036F1"/>
    <w:rsid w:val="00404260"/>
    <w:rsid w:val="00404905"/>
    <w:rsid w:val="00406A5F"/>
    <w:rsid w:val="00411FD3"/>
    <w:rsid w:val="00412AA3"/>
    <w:rsid w:val="004149EA"/>
    <w:rsid w:val="00415DC6"/>
    <w:rsid w:val="0041779B"/>
    <w:rsid w:val="0041792E"/>
    <w:rsid w:val="0042166D"/>
    <w:rsid w:val="004239DC"/>
    <w:rsid w:val="00425023"/>
    <w:rsid w:val="00426552"/>
    <w:rsid w:val="00430EC6"/>
    <w:rsid w:val="004337FE"/>
    <w:rsid w:val="00433D9F"/>
    <w:rsid w:val="00433E27"/>
    <w:rsid w:val="00441EC8"/>
    <w:rsid w:val="004458BA"/>
    <w:rsid w:val="00445C2C"/>
    <w:rsid w:val="00445E75"/>
    <w:rsid w:val="0044603E"/>
    <w:rsid w:val="00447CEE"/>
    <w:rsid w:val="00452183"/>
    <w:rsid w:val="00453225"/>
    <w:rsid w:val="00453F72"/>
    <w:rsid w:val="00456426"/>
    <w:rsid w:val="0046026A"/>
    <w:rsid w:val="00462042"/>
    <w:rsid w:val="0046297D"/>
    <w:rsid w:val="00463D3E"/>
    <w:rsid w:val="00464C42"/>
    <w:rsid w:val="00465726"/>
    <w:rsid w:val="004658EB"/>
    <w:rsid w:val="0046667D"/>
    <w:rsid w:val="004726C0"/>
    <w:rsid w:val="00473800"/>
    <w:rsid w:val="00476D9C"/>
    <w:rsid w:val="00477C40"/>
    <w:rsid w:val="00477CF1"/>
    <w:rsid w:val="00481386"/>
    <w:rsid w:val="00482353"/>
    <w:rsid w:val="004827DC"/>
    <w:rsid w:val="00483E40"/>
    <w:rsid w:val="00484118"/>
    <w:rsid w:val="00484BB4"/>
    <w:rsid w:val="004909E0"/>
    <w:rsid w:val="00490AF8"/>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0AD6"/>
    <w:rsid w:val="004B12B8"/>
    <w:rsid w:val="004B2B44"/>
    <w:rsid w:val="004B5C30"/>
    <w:rsid w:val="004C475B"/>
    <w:rsid w:val="004D25AB"/>
    <w:rsid w:val="004D3225"/>
    <w:rsid w:val="004D35B3"/>
    <w:rsid w:val="004D44B3"/>
    <w:rsid w:val="004D4F69"/>
    <w:rsid w:val="004D7F8A"/>
    <w:rsid w:val="004E0C7F"/>
    <w:rsid w:val="004E11DA"/>
    <w:rsid w:val="004E1835"/>
    <w:rsid w:val="004E2C12"/>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53D9"/>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6AA"/>
    <w:rsid w:val="0058382A"/>
    <w:rsid w:val="00587741"/>
    <w:rsid w:val="00593137"/>
    <w:rsid w:val="00593FB6"/>
    <w:rsid w:val="00597601"/>
    <w:rsid w:val="005A24AA"/>
    <w:rsid w:val="005A375C"/>
    <w:rsid w:val="005A43DD"/>
    <w:rsid w:val="005A79D1"/>
    <w:rsid w:val="005B2AFE"/>
    <w:rsid w:val="005B48CB"/>
    <w:rsid w:val="005B65E3"/>
    <w:rsid w:val="005C18ED"/>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595"/>
    <w:rsid w:val="00621994"/>
    <w:rsid w:val="00621D8C"/>
    <w:rsid w:val="00626C01"/>
    <w:rsid w:val="00627496"/>
    <w:rsid w:val="00627B14"/>
    <w:rsid w:val="006319A5"/>
    <w:rsid w:val="00631EC4"/>
    <w:rsid w:val="0063279B"/>
    <w:rsid w:val="006342C6"/>
    <w:rsid w:val="00634335"/>
    <w:rsid w:val="006368D9"/>
    <w:rsid w:val="0063722B"/>
    <w:rsid w:val="00637581"/>
    <w:rsid w:val="006404B6"/>
    <w:rsid w:val="00641ABC"/>
    <w:rsid w:val="00643A65"/>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3354"/>
    <w:rsid w:val="00684356"/>
    <w:rsid w:val="00685928"/>
    <w:rsid w:val="00686F62"/>
    <w:rsid w:val="0068794D"/>
    <w:rsid w:val="006879E1"/>
    <w:rsid w:val="00690862"/>
    <w:rsid w:val="00690A7B"/>
    <w:rsid w:val="00690C61"/>
    <w:rsid w:val="0069250C"/>
    <w:rsid w:val="00695652"/>
    <w:rsid w:val="006A07D3"/>
    <w:rsid w:val="006A0B1A"/>
    <w:rsid w:val="006A14DD"/>
    <w:rsid w:val="006A228B"/>
    <w:rsid w:val="006A3365"/>
    <w:rsid w:val="006A5330"/>
    <w:rsid w:val="006A6442"/>
    <w:rsid w:val="006A7984"/>
    <w:rsid w:val="006B3EA9"/>
    <w:rsid w:val="006B4A79"/>
    <w:rsid w:val="006B6671"/>
    <w:rsid w:val="006B6F68"/>
    <w:rsid w:val="006B718D"/>
    <w:rsid w:val="006B738E"/>
    <w:rsid w:val="006C2792"/>
    <w:rsid w:val="006C349E"/>
    <w:rsid w:val="006C3690"/>
    <w:rsid w:val="006C7AF6"/>
    <w:rsid w:val="006D0421"/>
    <w:rsid w:val="006D0E81"/>
    <w:rsid w:val="006D3277"/>
    <w:rsid w:val="006D3B94"/>
    <w:rsid w:val="006D52CD"/>
    <w:rsid w:val="006D5327"/>
    <w:rsid w:val="006D7684"/>
    <w:rsid w:val="006E0163"/>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2959"/>
    <w:rsid w:val="00734423"/>
    <w:rsid w:val="007378A8"/>
    <w:rsid w:val="00737B01"/>
    <w:rsid w:val="007440FF"/>
    <w:rsid w:val="007451FC"/>
    <w:rsid w:val="007459FA"/>
    <w:rsid w:val="00745B01"/>
    <w:rsid w:val="00746947"/>
    <w:rsid w:val="00747005"/>
    <w:rsid w:val="00747EE5"/>
    <w:rsid w:val="00752B1B"/>
    <w:rsid w:val="007533F4"/>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2B7"/>
    <w:rsid w:val="007A0D3C"/>
    <w:rsid w:val="007A2068"/>
    <w:rsid w:val="007A2187"/>
    <w:rsid w:val="007A24DE"/>
    <w:rsid w:val="007A3437"/>
    <w:rsid w:val="007A3504"/>
    <w:rsid w:val="007A4087"/>
    <w:rsid w:val="007A4E91"/>
    <w:rsid w:val="007A7820"/>
    <w:rsid w:val="007B07B3"/>
    <w:rsid w:val="007B0D43"/>
    <w:rsid w:val="007B4FC6"/>
    <w:rsid w:val="007B5A3D"/>
    <w:rsid w:val="007C2954"/>
    <w:rsid w:val="007C3392"/>
    <w:rsid w:val="007C5C59"/>
    <w:rsid w:val="007C6242"/>
    <w:rsid w:val="007D03A0"/>
    <w:rsid w:val="007D1F7E"/>
    <w:rsid w:val="007D6E4C"/>
    <w:rsid w:val="007D7C4F"/>
    <w:rsid w:val="007E252E"/>
    <w:rsid w:val="007E5D56"/>
    <w:rsid w:val="007E77EC"/>
    <w:rsid w:val="007F03FE"/>
    <w:rsid w:val="007F4CA7"/>
    <w:rsid w:val="007F4F87"/>
    <w:rsid w:val="007F5278"/>
    <w:rsid w:val="007F610A"/>
    <w:rsid w:val="007F61BB"/>
    <w:rsid w:val="007F7E07"/>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2546"/>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04F"/>
    <w:rsid w:val="008D79F6"/>
    <w:rsid w:val="008D7E60"/>
    <w:rsid w:val="008E0682"/>
    <w:rsid w:val="008E3FA7"/>
    <w:rsid w:val="008E5B62"/>
    <w:rsid w:val="008F1C82"/>
    <w:rsid w:val="008F213B"/>
    <w:rsid w:val="008F3E07"/>
    <w:rsid w:val="008F5671"/>
    <w:rsid w:val="008F5954"/>
    <w:rsid w:val="008F6936"/>
    <w:rsid w:val="009006E2"/>
    <w:rsid w:val="00900B3F"/>
    <w:rsid w:val="00907146"/>
    <w:rsid w:val="00911BFE"/>
    <w:rsid w:val="00912346"/>
    <w:rsid w:val="00914805"/>
    <w:rsid w:val="00915200"/>
    <w:rsid w:val="00915A77"/>
    <w:rsid w:val="00923432"/>
    <w:rsid w:val="0092495E"/>
    <w:rsid w:val="009259B5"/>
    <w:rsid w:val="0092682D"/>
    <w:rsid w:val="00930F4A"/>
    <w:rsid w:val="00931F93"/>
    <w:rsid w:val="00934C3A"/>
    <w:rsid w:val="00941328"/>
    <w:rsid w:val="009504F0"/>
    <w:rsid w:val="0095074F"/>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2083"/>
    <w:rsid w:val="00983369"/>
    <w:rsid w:val="00983472"/>
    <w:rsid w:val="00983DD5"/>
    <w:rsid w:val="00987D6B"/>
    <w:rsid w:val="00987DBC"/>
    <w:rsid w:val="009908CB"/>
    <w:rsid w:val="00991A45"/>
    <w:rsid w:val="00992296"/>
    <w:rsid w:val="00992426"/>
    <w:rsid w:val="00992817"/>
    <w:rsid w:val="009928BB"/>
    <w:rsid w:val="00995112"/>
    <w:rsid w:val="00997131"/>
    <w:rsid w:val="009978F5"/>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1C8"/>
    <w:rsid w:val="009D26B7"/>
    <w:rsid w:val="009D326D"/>
    <w:rsid w:val="009D6BB4"/>
    <w:rsid w:val="009E187D"/>
    <w:rsid w:val="009E2B1F"/>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3C77"/>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0946"/>
    <w:rsid w:val="00AD40EB"/>
    <w:rsid w:val="00AD4560"/>
    <w:rsid w:val="00AD4E9C"/>
    <w:rsid w:val="00AD5EE6"/>
    <w:rsid w:val="00AD7116"/>
    <w:rsid w:val="00AE3A79"/>
    <w:rsid w:val="00AE3AC9"/>
    <w:rsid w:val="00AE4DE0"/>
    <w:rsid w:val="00AE57F9"/>
    <w:rsid w:val="00AE61F5"/>
    <w:rsid w:val="00AF154A"/>
    <w:rsid w:val="00AF43F9"/>
    <w:rsid w:val="00AF4C35"/>
    <w:rsid w:val="00AF521E"/>
    <w:rsid w:val="00AF59C8"/>
    <w:rsid w:val="00AF6C78"/>
    <w:rsid w:val="00AF6F51"/>
    <w:rsid w:val="00B03EC1"/>
    <w:rsid w:val="00B06AD7"/>
    <w:rsid w:val="00B12CD0"/>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04BA"/>
    <w:rsid w:val="00B81AAA"/>
    <w:rsid w:val="00B828DD"/>
    <w:rsid w:val="00B829D8"/>
    <w:rsid w:val="00B82B8A"/>
    <w:rsid w:val="00B84CFC"/>
    <w:rsid w:val="00B85533"/>
    <w:rsid w:val="00B857B0"/>
    <w:rsid w:val="00B85824"/>
    <w:rsid w:val="00B86DA0"/>
    <w:rsid w:val="00B87CD8"/>
    <w:rsid w:val="00B918A6"/>
    <w:rsid w:val="00B92938"/>
    <w:rsid w:val="00B9326E"/>
    <w:rsid w:val="00B937D1"/>
    <w:rsid w:val="00B947BC"/>
    <w:rsid w:val="00B94E75"/>
    <w:rsid w:val="00B952B6"/>
    <w:rsid w:val="00B95D6C"/>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77E"/>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06AA0"/>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144C"/>
    <w:rsid w:val="00C63B67"/>
    <w:rsid w:val="00C64284"/>
    <w:rsid w:val="00C649A4"/>
    <w:rsid w:val="00C66E55"/>
    <w:rsid w:val="00C671DD"/>
    <w:rsid w:val="00C6767D"/>
    <w:rsid w:val="00C73135"/>
    <w:rsid w:val="00C73C17"/>
    <w:rsid w:val="00C742CF"/>
    <w:rsid w:val="00C75E86"/>
    <w:rsid w:val="00C8046A"/>
    <w:rsid w:val="00C8206E"/>
    <w:rsid w:val="00C84E69"/>
    <w:rsid w:val="00C8505D"/>
    <w:rsid w:val="00C8657D"/>
    <w:rsid w:val="00C870A8"/>
    <w:rsid w:val="00C8769D"/>
    <w:rsid w:val="00C87D47"/>
    <w:rsid w:val="00C9016E"/>
    <w:rsid w:val="00C9203A"/>
    <w:rsid w:val="00C93090"/>
    <w:rsid w:val="00C93ACC"/>
    <w:rsid w:val="00C94649"/>
    <w:rsid w:val="00C94FEC"/>
    <w:rsid w:val="00C97235"/>
    <w:rsid w:val="00CA03DC"/>
    <w:rsid w:val="00CA15FE"/>
    <w:rsid w:val="00CA248D"/>
    <w:rsid w:val="00CA2D23"/>
    <w:rsid w:val="00CA364C"/>
    <w:rsid w:val="00CB131A"/>
    <w:rsid w:val="00CB1C1A"/>
    <w:rsid w:val="00CB1D4F"/>
    <w:rsid w:val="00CB201F"/>
    <w:rsid w:val="00CB2C87"/>
    <w:rsid w:val="00CB2E92"/>
    <w:rsid w:val="00CB4153"/>
    <w:rsid w:val="00CB5D40"/>
    <w:rsid w:val="00CB7238"/>
    <w:rsid w:val="00CB7467"/>
    <w:rsid w:val="00CC050A"/>
    <w:rsid w:val="00CC0935"/>
    <w:rsid w:val="00CC2C32"/>
    <w:rsid w:val="00CC51A9"/>
    <w:rsid w:val="00CC6E4A"/>
    <w:rsid w:val="00CC77F0"/>
    <w:rsid w:val="00CD00B1"/>
    <w:rsid w:val="00CD174B"/>
    <w:rsid w:val="00CD46C4"/>
    <w:rsid w:val="00CD6D19"/>
    <w:rsid w:val="00CD74D3"/>
    <w:rsid w:val="00CE32B0"/>
    <w:rsid w:val="00CF25C8"/>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07"/>
    <w:rsid w:val="00D75496"/>
    <w:rsid w:val="00D81456"/>
    <w:rsid w:val="00D856DD"/>
    <w:rsid w:val="00D86F64"/>
    <w:rsid w:val="00D941BF"/>
    <w:rsid w:val="00D94318"/>
    <w:rsid w:val="00D97A66"/>
    <w:rsid w:val="00DA0532"/>
    <w:rsid w:val="00DA303C"/>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76A"/>
    <w:rsid w:val="00DD78E3"/>
    <w:rsid w:val="00DE1D1C"/>
    <w:rsid w:val="00DE2116"/>
    <w:rsid w:val="00DE32CB"/>
    <w:rsid w:val="00DE36C3"/>
    <w:rsid w:val="00DE60B1"/>
    <w:rsid w:val="00DE74ED"/>
    <w:rsid w:val="00DE7BF7"/>
    <w:rsid w:val="00DF315D"/>
    <w:rsid w:val="00DF3A6E"/>
    <w:rsid w:val="00DF3E7D"/>
    <w:rsid w:val="00DF4E9B"/>
    <w:rsid w:val="00DF7D71"/>
    <w:rsid w:val="00E00062"/>
    <w:rsid w:val="00E02F31"/>
    <w:rsid w:val="00E03F89"/>
    <w:rsid w:val="00E04FED"/>
    <w:rsid w:val="00E05657"/>
    <w:rsid w:val="00E10DAB"/>
    <w:rsid w:val="00E23ECC"/>
    <w:rsid w:val="00E25D29"/>
    <w:rsid w:val="00E261D5"/>
    <w:rsid w:val="00E265F8"/>
    <w:rsid w:val="00E27A97"/>
    <w:rsid w:val="00E30F3C"/>
    <w:rsid w:val="00E32292"/>
    <w:rsid w:val="00E33064"/>
    <w:rsid w:val="00E34ED3"/>
    <w:rsid w:val="00E4533D"/>
    <w:rsid w:val="00E454E9"/>
    <w:rsid w:val="00E45E61"/>
    <w:rsid w:val="00E479DB"/>
    <w:rsid w:val="00E47CF1"/>
    <w:rsid w:val="00E50056"/>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0675"/>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A60B9"/>
    <w:rsid w:val="00EB3DC1"/>
    <w:rsid w:val="00EB557A"/>
    <w:rsid w:val="00EB704F"/>
    <w:rsid w:val="00EC06BF"/>
    <w:rsid w:val="00EC13F3"/>
    <w:rsid w:val="00EC2FF2"/>
    <w:rsid w:val="00EC372E"/>
    <w:rsid w:val="00EC4461"/>
    <w:rsid w:val="00EC490F"/>
    <w:rsid w:val="00EC7610"/>
    <w:rsid w:val="00ED0EB3"/>
    <w:rsid w:val="00ED187A"/>
    <w:rsid w:val="00ED2234"/>
    <w:rsid w:val="00ED3BD2"/>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6D62"/>
    <w:rsid w:val="00EF7822"/>
    <w:rsid w:val="00F018D0"/>
    <w:rsid w:val="00F02386"/>
    <w:rsid w:val="00F03FC0"/>
    <w:rsid w:val="00F0416C"/>
    <w:rsid w:val="00F04CE8"/>
    <w:rsid w:val="00F06E2A"/>
    <w:rsid w:val="00F12A1A"/>
    <w:rsid w:val="00F16D39"/>
    <w:rsid w:val="00F23BE1"/>
    <w:rsid w:val="00F24FCF"/>
    <w:rsid w:val="00F27BD8"/>
    <w:rsid w:val="00F30A2D"/>
    <w:rsid w:val="00F31EB4"/>
    <w:rsid w:val="00F32E62"/>
    <w:rsid w:val="00F33A50"/>
    <w:rsid w:val="00F340CA"/>
    <w:rsid w:val="00F34B94"/>
    <w:rsid w:val="00F3623F"/>
    <w:rsid w:val="00F4018E"/>
    <w:rsid w:val="00F42AC2"/>
    <w:rsid w:val="00F438D3"/>
    <w:rsid w:val="00F43B5C"/>
    <w:rsid w:val="00F44AEC"/>
    <w:rsid w:val="00F44B33"/>
    <w:rsid w:val="00F44D15"/>
    <w:rsid w:val="00F468FB"/>
    <w:rsid w:val="00F50C63"/>
    <w:rsid w:val="00F50E2A"/>
    <w:rsid w:val="00F511E9"/>
    <w:rsid w:val="00F54089"/>
    <w:rsid w:val="00F5683F"/>
    <w:rsid w:val="00F60A72"/>
    <w:rsid w:val="00F61B56"/>
    <w:rsid w:val="00F6546A"/>
    <w:rsid w:val="00F65945"/>
    <w:rsid w:val="00F70041"/>
    <w:rsid w:val="00F7167F"/>
    <w:rsid w:val="00F71DF5"/>
    <w:rsid w:val="00F72067"/>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2A03"/>
    <w:rsid w:val="00FC3AD4"/>
    <w:rsid w:val="00FC40E3"/>
    <w:rsid w:val="00FC4B16"/>
    <w:rsid w:val="00FD1B55"/>
    <w:rsid w:val="00FD23A0"/>
    <w:rsid w:val="00FD7128"/>
    <w:rsid w:val="00FE17D9"/>
    <w:rsid w:val="00FE187C"/>
    <w:rsid w:val="00FE204E"/>
    <w:rsid w:val="00FE3131"/>
    <w:rsid w:val="00FE32B0"/>
    <w:rsid w:val="00FE4C16"/>
    <w:rsid w:val="00FE4F39"/>
    <w:rsid w:val="00FE52CE"/>
    <w:rsid w:val="00FF030D"/>
    <w:rsid w:val="00FF07B2"/>
    <w:rsid w:val="00FF21A4"/>
    <w:rsid w:val="00FF43B6"/>
    <w:rsid w:val="6C5AA7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o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665-1109/1109-15-D1_RS.docx</ZkracenyRetezec>
    <Smazat xmlns="acca34e4-9ecd-41c8-99eb-d6aa654aaa55">&lt;a href="/sites/evidencesmluv/_layouts/15/IniWrkflIP.aspx?List=%7b311EF01B-94F1-4195-875A-802495BDB7D7%7d&amp;amp;ID=1231&amp;amp;ItemGuid=%7b720E733C-BC26-436D-A59A-2AEFCE6C3F30%7d&amp;amp;TemplateID=%7bd3f8102e-f4a5-4901-b93c-fb146a9d820d%7d"&gt;&lt;img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DB6C6C52-FC66-4D16-82C1-CE503AE0DC9C}"/>
</file>

<file path=customXml/itemProps2.xml><?xml version="1.0" encoding="utf-8"?>
<ds:datastoreItem xmlns:ds="http://schemas.openxmlformats.org/officeDocument/2006/customXml" ds:itemID="{8E5C2CBE-1641-4C64-9908-17289D36CDEA}">
  <ds:schemaRefs>
    <ds:schemaRef ds:uri="http://schemas.openxmlformats.org/officeDocument/2006/bibliography"/>
  </ds:schemaRefs>
</ds:datastoreItem>
</file>

<file path=customXml/itemProps3.xml><?xml version="1.0" encoding="utf-8"?>
<ds:datastoreItem xmlns:ds="http://schemas.openxmlformats.org/officeDocument/2006/customXml" ds:itemID="{ED908A2A-F437-486D-B89A-3296A1C6192D}">
  <ds:schemaRefs>
    <ds:schemaRef ds:uri="http://schemas.microsoft.com/sharepoint/v3/contenttype/forms"/>
  </ds:schemaRefs>
</ds:datastoreItem>
</file>

<file path=customXml/itemProps4.xml><?xml version="1.0" encoding="utf-8"?>
<ds:datastoreItem xmlns:ds="http://schemas.openxmlformats.org/officeDocument/2006/customXml" ds:itemID="{F62A4B92-446A-4E60-B077-92DA3512E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23C398-77D9-483E-85F1-506DC3261A55}">
  <ds:schemaRefs>
    <ds:schemaRef ds:uri="http://www.w3.org/XML/1998/namespace"/>
    <ds:schemaRef ds:uri="c9180ec9-f266-4235-bfb6-a326cc7ac18b"/>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e62e060-e4df-48a7-a9f4-f192c9c6f413"/>
  </ds:schemaRefs>
</ds:datastoreItem>
</file>

<file path=docMetadata/LabelInfo.xml><?xml version="1.0" encoding="utf-8"?>
<clbl:labelList xmlns:clbl="http://schemas.microsoft.com/office/2020/mipLabelMetadata">
  <clbl:label id="{8a7087ee-6952-4f47-a56b-529fc8bf57e0}" enabled="1" method="Standard" siteId="{1cf16eb8-8983-4f6f-9c5f-66decda360c4}" removed="0"/>
</clbl:labelList>
</file>

<file path=docProps/app.xml><?xml version="1.0" encoding="utf-8"?>
<Properties xmlns="http://schemas.openxmlformats.org/officeDocument/2006/extended-properties" xmlns:vt="http://schemas.openxmlformats.org/officeDocument/2006/docPropsVTypes">
  <Template>M7312-15 </Template>
  <TotalTime>1</TotalTime>
  <Pages>14</Pages>
  <Words>5715</Words>
  <Characters>33725</Characters>
  <Application>Microsoft Office Word</Application>
  <DocSecurity>0</DocSecurity>
  <Lines>281</Lines>
  <Paragraphs>78</Paragraphs>
  <ScaleCrop>false</ScaleCrop>
  <Company>Microsoft</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Vitková Barbora</cp:lastModifiedBy>
  <cp:revision>2</cp:revision>
  <cp:lastPrinted>2025-05-14T10:18:00Z</cp:lastPrinted>
  <dcterms:created xsi:type="dcterms:W3CDTF">2026-06-12T09:35:00Z</dcterms:created>
  <dcterms:modified xsi:type="dcterms:W3CDTF">2026-06-12T09:35:00Z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0x010100EFF427952D4E634383E9B8E9D938055A00D7BB4BEDAF37094D9B3594F50EFBED5C</vt:lpwstr>
  </property>
  <property fmtid="{D5CDD505-2E9C-101B-9397-08002B2CF9AE}" pid="10" name="MediaServiceImageTags">
    <vt:lpwstr/>
  </property>
  <property fmtid="{D5CDD505-2E9C-101B-9397-08002B2CF9AE}" pid="11" name="_dlc_DocIdItemGuid">
    <vt:lpwstr>25980cb7-433c-4a32-9891-909c0b19c6de</vt:lpwstr>
  </property>
  <property fmtid="{D5CDD505-2E9C-101B-9397-08002B2CF9AE}" pid="12" name="MSIP_Label_2063cd7f-2d21-486a-9f29-9c1683fdd175_Enabled">
    <vt:lpwstr>true</vt:lpwstr>
  </property>
  <property fmtid="{D5CDD505-2E9C-101B-9397-08002B2CF9AE}" pid="13" name="MSIP_Label_2063cd7f-2d21-486a-9f29-9c1683fdd175_SetDate">
    <vt:lpwstr>2026-06-09T06:36:16Z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f38cbb31-b823-4f04-a994-e67c2df8bf30</vt:lpwstr>
  </property>
  <property fmtid="{D5CDD505-2E9C-101B-9397-08002B2CF9AE}" pid="18" name="MSIP_Label_2063cd7f-2d21-486a-9f29-9c1683fdd175_ContentBits">
    <vt:lpwstr>0</vt:lpwstr>
  </property>
  <property fmtid="{D5CDD505-2E9C-101B-9397-08002B2CF9AE}" pid="19" name="MSIP_Label_2063cd7f-2d21-486a-9f29-9c1683fdd175_Tag">
    <vt:lpwstr>10, 3, 0, 1</vt:lpwstr>
  </property>
  <property fmtid="{D5CDD505-2E9C-101B-9397-08002B2CF9AE}" pid="20" name="WorkflowChangePath">
    <vt:lpwstr>ef7fc8b4-7c33-4705-baa0-d6248dac4727,2;ef7fc8b4-7c33-4705-baa0-d6248dac4727,2;ef7fc8b4-7c33-4705-baa0-d6248dac4727,2;</vt:lpwstr>
  </property>
</Properties>
</file>