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5444" w14:textId="77777777" w:rsidR="00A864E8" w:rsidRPr="00586E93" w:rsidRDefault="00A864E8" w:rsidP="00C4092D">
      <w:pPr>
        <w:spacing w:line="276" w:lineRule="auto"/>
        <w:ind w:right="-2"/>
        <w:jc w:val="center"/>
        <w:rPr>
          <w:b/>
          <w:bCs/>
        </w:rPr>
      </w:pPr>
      <w:r w:rsidRPr="00586E93">
        <w:rPr>
          <w:b/>
          <w:bCs/>
        </w:rPr>
        <w:t>SMLOUVA</w:t>
      </w:r>
    </w:p>
    <w:p w14:paraId="0BA686E7" w14:textId="20D092D8" w:rsidR="00447776" w:rsidRDefault="00A864E8" w:rsidP="00C4092D">
      <w:pPr>
        <w:spacing w:after="120" w:line="276" w:lineRule="auto"/>
        <w:ind w:right="-2"/>
        <w:jc w:val="center"/>
        <w:rPr>
          <w:b/>
        </w:rPr>
      </w:pPr>
      <w:r w:rsidRPr="004F3486">
        <w:rPr>
          <w:b/>
        </w:rPr>
        <w:t xml:space="preserve">o spolupráci při zajištění rekonstrukce prostor v areálu </w:t>
      </w:r>
      <w:r w:rsidR="000F590A" w:rsidRPr="004F3486">
        <w:rPr>
          <w:b/>
        </w:rPr>
        <w:t xml:space="preserve">Fakultní </w:t>
      </w:r>
      <w:r w:rsidRPr="004F3486">
        <w:rPr>
          <w:b/>
        </w:rPr>
        <w:t>Thomayerovy nemocnice</w:t>
      </w:r>
    </w:p>
    <w:p w14:paraId="0E9214DD" w14:textId="77777777" w:rsidR="00447776" w:rsidRDefault="00447776" w:rsidP="00C4092D">
      <w:pPr>
        <w:spacing w:after="120" w:line="276" w:lineRule="auto"/>
        <w:ind w:right="-2"/>
        <w:jc w:val="center"/>
        <w:rPr>
          <w:bCs/>
        </w:rPr>
      </w:pPr>
      <w:r>
        <w:rPr>
          <w:bCs/>
        </w:rPr>
        <w:t>(dále jen</w:t>
      </w:r>
      <w:r>
        <w:rPr>
          <w:b/>
        </w:rPr>
        <w:t xml:space="preserve"> „smlouva“</w:t>
      </w:r>
      <w:r>
        <w:rPr>
          <w:bCs/>
        </w:rPr>
        <w:t xml:space="preserve">) </w:t>
      </w:r>
    </w:p>
    <w:p w14:paraId="15372250" w14:textId="77777777" w:rsidR="00447776" w:rsidRPr="00447776" w:rsidRDefault="00447776" w:rsidP="00C4092D">
      <w:pPr>
        <w:spacing w:after="120" w:line="276" w:lineRule="auto"/>
        <w:ind w:right="-2"/>
        <w:jc w:val="center"/>
        <w:rPr>
          <w:bCs/>
        </w:rPr>
      </w:pPr>
      <w:r w:rsidRPr="00447776">
        <w:rPr>
          <w:bCs/>
        </w:rPr>
        <w:t xml:space="preserve">uzavřená dle § </w:t>
      </w:r>
      <w:r>
        <w:rPr>
          <w:bCs/>
        </w:rPr>
        <w:t>1746 odst. 2</w:t>
      </w:r>
      <w:r w:rsidRPr="00447776">
        <w:rPr>
          <w:bCs/>
        </w:rPr>
        <w:t xml:space="preserve"> zákona č. 89/2012 Sb., občanský zákoník (dále jen „občanský zákoník“), mezi:</w:t>
      </w:r>
    </w:p>
    <w:p w14:paraId="7F2C25D9" w14:textId="77777777" w:rsidR="00A864E8" w:rsidRPr="00AE1DFD" w:rsidRDefault="00A864E8" w:rsidP="00692845">
      <w:pPr>
        <w:ind w:right="-2"/>
      </w:pPr>
    </w:p>
    <w:p w14:paraId="5BB4E2AA" w14:textId="77777777" w:rsidR="00A864E8" w:rsidRPr="00AE1DFD" w:rsidRDefault="00A864E8" w:rsidP="00692845">
      <w:pPr>
        <w:ind w:right="-2"/>
      </w:pPr>
    </w:p>
    <w:p w14:paraId="45687A7C" w14:textId="77777777" w:rsidR="00447776" w:rsidRPr="00845E98" w:rsidRDefault="00447776" w:rsidP="0045247E">
      <w:pPr>
        <w:spacing w:line="276" w:lineRule="auto"/>
      </w:pPr>
      <w:r w:rsidRPr="35E2A7EE">
        <w:rPr>
          <w:b/>
          <w:bCs/>
        </w:rPr>
        <w:t>Fakultní Thomayerova nemocnice </w:t>
      </w:r>
      <w:r w:rsidRPr="35E2A7EE">
        <w:t> </w:t>
      </w:r>
    </w:p>
    <w:p w14:paraId="542FC202" w14:textId="77777777" w:rsidR="00447776" w:rsidRPr="00845E98" w:rsidRDefault="00447776" w:rsidP="0045247E">
      <w:pPr>
        <w:spacing w:line="276" w:lineRule="auto"/>
        <w:ind w:right="86"/>
      </w:pPr>
      <w:r w:rsidRPr="35E2A7EE">
        <w:t>státní příspěvková organizace zřízená Ministerstvem zdravotnictví ČR </w:t>
      </w:r>
    </w:p>
    <w:p w14:paraId="4732B432" w14:textId="77777777" w:rsidR="00447776" w:rsidRPr="00845E98" w:rsidRDefault="00447776" w:rsidP="0045247E">
      <w:pPr>
        <w:spacing w:line="276" w:lineRule="auto"/>
        <w:ind w:right="86"/>
      </w:pPr>
      <w:r w:rsidRPr="35E2A7EE">
        <w:t>zapsaná v obchodním rejstříku u Městského soudu v Praze, oddíl </w:t>
      </w:r>
      <w:proofErr w:type="spellStart"/>
      <w:r w:rsidRPr="35E2A7EE">
        <w:t>Pr</w:t>
      </w:r>
      <w:proofErr w:type="spellEnd"/>
      <w:r w:rsidRPr="35E2A7EE">
        <w:t>, vložka 1043 </w:t>
      </w:r>
    </w:p>
    <w:p w14:paraId="7F37CA76" w14:textId="77777777" w:rsidR="00447776" w:rsidRPr="00845E98" w:rsidRDefault="00447776" w:rsidP="0045247E">
      <w:pPr>
        <w:spacing w:line="276" w:lineRule="auto"/>
        <w:ind w:right="86"/>
      </w:pPr>
      <w:r w:rsidRPr="35E2A7EE">
        <w:t>se sídlem Vídeňská 800, 140 59 Praha 4 </w:t>
      </w:r>
    </w:p>
    <w:p w14:paraId="1A5F0B14" w14:textId="77777777" w:rsidR="00447776" w:rsidRPr="00845E98" w:rsidRDefault="00447776" w:rsidP="0045247E">
      <w:pPr>
        <w:spacing w:line="276" w:lineRule="auto"/>
        <w:ind w:right="86"/>
      </w:pPr>
      <w:r w:rsidRPr="35E2A7EE">
        <w:t xml:space="preserve">zastoupená </w:t>
      </w:r>
      <w:r>
        <w:t>doc. MUDr. Zdeňkem Benešem, CSc.</w:t>
      </w:r>
      <w:r w:rsidRPr="35E2A7EE">
        <w:t xml:space="preserve">, </w:t>
      </w:r>
      <w:r>
        <w:t>ředitelem</w:t>
      </w:r>
      <w:r w:rsidRPr="35E2A7EE">
        <w:t> </w:t>
      </w:r>
    </w:p>
    <w:p w14:paraId="4B38BBA2" w14:textId="77777777" w:rsidR="00447776" w:rsidRPr="00845E98" w:rsidRDefault="00447776" w:rsidP="0045247E">
      <w:pPr>
        <w:spacing w:line="276" w:lineRule="auto"/>
        <w:ind w:right="86"/>
      </w:pPr>
      <w:r w:rsidRPr="35E2A7EE">
        <w:t>IČO: 000 64 190; DIČ: CZ00064190  </w:t>
      </w:r>
    </w:p>
    <w:p w14:paraId="5A83069F" w14:textId="5EB086C1" w:rsidR="00447776" w:rsidRPr="00845E98" w:rsidRDefault="00447776" w:rsidP="0045247E">
      <w:pPr>
        <w:spacing w:after="120" w:line="276" w:lineRule="auto"/>
        <w:ind w:right="85"/>
      </w:pPr>
      <w:r w:rsidRPr="35E2A7EE">
        <w:t xml:space="preserve">číslo bank. účtu: </w:t>
      </w:r>
      <w:r w:rsidR="005D11C3">
        <w:t>XXX</w:t>
      </w:r>
      <w:r w:rsidRPr="35E2A7EE">
        <w:t> </w:t>
      </w:r>
      <w:r>
        <w:br/>
      </w:r>
      <w:r w:rsidRPr="35E2A7EE">
        <w:t>ID DS: </w:t>
      </w:r>
      <w:proofErr w:type="spellStart"/>
      <w:r w:rsidRPr="35E2A7EE">
        <w:t>asykkbj</w:t>
      </w:r>
      <w:proofErr w:type="spellEnd"/>
      <w:r w:rsidRPr="35E2A7EE">
        <w:t> </w:t>
      </w:r>
    </w:p>
    <w:p w14:paraId="6FA1FA9E" w14:textId="77777777" w:rsidR="00447776" w:rsidRPr="00845E98" w:rsidRDefault="00447776" w:rsidP="0045247E">
      <w:pPr>
        <w:spacing w:after="120" w:line="276" w:lineRule="auto"/>
      </w:pPr>
      <w:r w:rsidRPr="35E2A7EE">
        <w:t>(dále jen</w:t>
      </w:r>
      <w:r w:rsidRPr="35E2A7EE">
        <w:rPr>
          <w:b/>
          <w:bCs/>
        </w:rPr>
        <w:t> </w:t>
      </w:r>
      <w:r w:rsidR="00611710">
        <w:rPr>
          <w:b/>
          <w:bCs/>
        </w:rPr>
        <w:t>„</w:t>
      </w:r>
      <w:r w:rsidRPr="35E2A7EE">
        <w:rPr>
          <w:b/>
          <w:bCs/>
        </w:rPr>
        <w:t>pronajímatel”</w:t>
      </w:r>
      <w:r w:rsidR="00611710">
        <w:rPr>
          <w:b/>
          <w:bCs/>
        </w:rPr>
        <w:t xml:space="preserve"> </w:t>
      </w:r>
      <w:r w:rsidR="00611710">
        <w:t xml:space="preserve">nebo </w:t>
      </w:r>
      <w:r w:rsidR="00611710">
        <w:rPr>
          <w:b/>
          <w:bCs/>
        </w:rPr>
        <w:t>„FTN“</w:t>
      </w:r>
      <w:r w:rsidRPr="35E2A7EE">
        <w:t>) </w:t>
      </w:r>
    </w:p>
    <w:p w14:paraId="2ACFE986" w14:textId="26D72B7B" w:rsidR="00447776" w:rsidRPr="000345FE" w:rsidRDefault="00A864E8" w:rsidP="0045247E">
      <w:pPr>
        <w:spacing w:after="120" w:line="276" w:lineRule="auto"/>
      </w:pPr>
      <w:r w:rsidRPr="00AE1DFD">
        <w:t>a</w:t>
      </w:r>
    </w:p>
    <w:p w14:paraId="053E898F" w14:textId="77777777" w:rsidR="00447776" w:rsidRPr="00447776" w:rsidRDefault="00447776" w:rsidP="0045247E">
      <w:pPr>
        <w:spacing w:line="276" w:lineRule="auto"/>
        <w:ind w:right="-468"/>
        <w:rPr>
          <w:b/>
        </w:rPr>
      </w:pPr>
      <w:bookmarkStart w:id="0" w:name="_Hlk203480983"/>
      <w:r w:rsidRPr="00AE1DFD">
        <w:rPr>
          <w:b/>
        </w:rPr>
        <w:t>Libeřské lahůdky a.s.</w:t>
      </w:r>
      <w:r>
        <w:t xml:space="preserve"> </w:t>
      </w:r>
    </w:p>
    <w:p w14:paraId="4B2FD830" w14:textId="48E60C4A" w:rsidR="00447776" w:rsidRPr="005102EF" w:rsidRDefault="00447776" w:rsidP="0045247E">
      <w:pPr>
        <w:spacing w:line="276" w:lineRule="auto"/>
        <w:contextualSpacing/>
      </w:pPr>
      <w:r w:rsidRPr="005102EF">
        <w:t xml:space="preserve">zapsaná v obchodním rejstříku vedeném u Městského soudu v Praze, </w:t>
      </w:r>
      <w:r w:rsidR="00904389" w:rsidRPr="00EE55F4">
        <w:t>oddíl B, vložka 23116</w:t>
      </w:r>
    </w:p>
    <w:p w14:paraId="05858DD8" w14:textId="77777777" w:rsidR="00447776" w:rsidRPr="005102EF" w:rsidRDefault="00447776" w:rsidP="0045247E">
      <w:pPr>
        <w:spacing w:line="276" w:lineRule="auto"/>
        <w:contextualSpacing/>
      </w:pPr>
      <w:r w:rsidRPr="005102EF">
        <w:t xml:space="preserve">se sídlem </w:t>
      </w:r>
      <w:r w:rsidRPr="00AE1DFD">
        <w:t>Na Spojce 670, 252 50 Vestec</w:t>
      </w:r>
    </w:p>
    <w:p w14:paraId="6F9F5A3A" w14:textId="77777777" w:rsidR="00447776" w:rsidRPr="005102EF" w:rsidRDefault="00447776" w:rsidP="0045247E">
      <w:pPr>
        <w:spacing w:line="276" w:lineRule="auto"/>
        <w:contextualSpacing/>
      </w:pPr>
      <w:r w:rsidRPr="005102EF">
        <w:t xml:space="preserve">zastoupená </w:t>
      </w:r>
      <w:r>
        <w:t>Ing. Jiřím Kulhánkem, statutárním ředitelem</w:t>
      </w:r>
    </w:p>
    <w:p w14:paraId="18E570BB" w14:textId="6FF3E04D" w:rsidR="00447776" w:rsidRDefault="00447776" w:rsidP="0045247E">
      <w:pPr>
        <w:spacing w:line="276" w:lineRule="auto"/>
        <w:contextualSpacing/>
      </w:pPr>
      <w:r>
        <w:t xml:space="preserve">IČ: 066 79 480; DIČ: CZ06679480 </w:t>
      </w:r>
    </w:p>
    <w:p w14:paraId="04804F54" w14:textId="5C3ED07B" w:rsidR="00447776" w:rsidRDefault="00611710" w:rsidP="00995402">
      <w:pPr>
        <w:spacing w:after="120" w:line="276" w:lineRule="auto"/>
      </w:pPr>
      <w:r w:rsidRPr="35E2A7EE">
        <w:t xml:space="preserve">ID </w:t>
      </w:r>
      <w:r w:rsidR="000953D1" w:rsidRPr="35E2A7EE">
        <w:t xml:space="preserve">DS: </w:t>
      </w:r>
      <w:r w:rsidR="008C55BB" w:rsidRPr="00D347DE">
        <w:t>9afwunj</w:t>
      </w:r>
      <w:r w:rsidRPr="35E2A7EE">
        <w:t> </w:t>
      </w:r>
    </w:p>
    <w:p w14:paraId="4970005D" w14:textId="77777777" w:rsidR="00611710" w:rsidRDefault="00611710" w:rsidP="0045247E">
      <w:pPr>
        <w:spacing w:after="197" w:line="276" w:lineRule="auto"/>
        <w:ind w:right="86"/>
      </w:pPr>
      <w:r w:rsidRPr="35E2A7EE">
        <w:t>(dále jen</w:t>
      </w:r>
      <w:r w:rsidRPr="35E2A7EE">
        <w:rPr>
          <w:b/>
          <w:bCs/>
        </w:rPr>
        <w:t> </w:t>
      </w:r>
      <w:r>
        <w:rPr>
          <w:b/>
          <w:bCs/>
        </w:rPr>
        <w:t>„nájemce“</w:t>
      </w:r>
      <w:r>
        <w:t>)</w:t>
      </w:r>
      <w:r w:rsidRPr="35E2A7EE">
        <w:t> </w:t>
      </w:r>
    </w:p>
    <w:p w14:paraId="44C7B5B0" w14:textId="773FFD96" w:rsidR="008B2249" w:rsidRDefault="00657A4E" w:rsidP="00657A4E">
      <w:pPr>
        <w:spacing w:line="276" w:lineRule="auto"/>
      </w:pPr>
      <w:r w:rsidRPr="35E2A7EE">
        <w:t>Pronajímatel a nájemce dále také jako </w:t>
      </w:r>
      <w:r w:rsidRPr="35E2A7EE">
        <w:rPr>
          <w:b/>
          <w:bCs/>
        </w:rPr>
        <w:t>„smluvní strany“ </w:t>
      </w:r>
      <w:r w:rsidRPr="35E2A7EE">
        <w:t>nebo</w:t>
      </w:r>
      <w:r w:rsidRPr="35E2A7EE">
        <w:rPr>
          <w:b/>
          <w:bCs/>
        </w:rPr>
        <w:t> „strany“</w:t>
      </w:r>
      <w:r w:rsidRPr="35E2A7EE">
        <w:t> a každý samostatně jako </w:t>
      </w:r>
      <w:r w:rsidRPr="35E2A7EE">
        <w:rPr>
          <w:b/>
          <w:bCs/>
        </w:rPr>
        <w:t>„smluvní strana“</w:t>
      </w:r>
      <w:r w:rsidRPr="35E2A7EE">
        <w:t> nebo </w:t>
      </w:r>
      <w:r w:rsidRPr="35E2A7EE">
        <w:rPr>
          <w:b/>
          <w:bCs/>
        </w:rPr>
        <w:t>„strana“</w:t>
      </w:r>
      <w:r w:rsidRPr="35E2A7EE">
        <w:t>.  </w:t>
      </w:r>
      <w:bookmarkEnd w:id="0"/>
    </w:p>
    <w:p w14:paraId="5CDFD8D4" w14:textId="77777777" w:rsidR="00657A4E" w:rsidRPr="00AE1DFD" w:rsidRDefault="00657A4E" w:rsidP="00657A4E">
      <w:pPr>
        <w:spacing w:line="276" w:lineRule="auto"/>
      </w:pPr>
    </w:p>
    <w:p w14:paraId="3C91E7AC" w14:textId="77777777" w:rsidR="007B1CDF" w:rsidRPr="00AE1DFD" w:rsidRDefault="008B2249" w:rsidP="003E22FB">
      <w:pPr>
        <w:spacing w:line="276" w:lineRule="auto"/>
        <w:jc w:val="center"/>
        <w:rPr>
          <w:b/>
        </w:rPr>
      </w:pPr>
      <w:r w:rsidRPr="00AE1DFD">
        <w:rPr>
          <w:b/>
        </w:rPr>
        <w:t xml:space="preserve">I. </w:t>
      </w:r>
    </w:p>
    <w:p w14:paraId="4FECE400" w14:textId="0C8FC194" w:rsidR="007B1CDF" w:rsidRPr="003E22FB" w:rsidRDefault="008B2249" w:rsidP="003E22FB">
      <w:pPr>
        <w:spacing w:after="120" w:line="276" w:lineRule="auto"/>
        <w:jc w:val="center"/>
        <w:rPr>
          <w:b/>
        </w:rPr>
      </w:pPr>
      <w:r w:rsidRPr="00AE1DFD">
        <w:rPr>
          <w:b/>
        </w:rPr>
        <w:t xml:space="preserve">Předmět </w:t>
      </w:r>
      <w:r w:rsidR="002C0F70" w:rsidRPr="00AE1DFD">
        <w:rPr>
          <w:b/>
        </w:rPr>
        <w:t xml:space="preserve">a účel </w:t>
      </w:r>
      <w:r w:rsidRPr="00AE1DFD">
        <w:rPr>
          <w:b/>
        </w:rPr>
        <w:t>smlouvy</w:t>
      </w:r>
    </w:p>
    <w:p w14:paraId="19919512" w14:textId="1E85E7F9" w:rsidR="002A3BB4" w:rsidRPr="00AE1DFD" w:rsidRDefault="002C0F70" w:rsidP="00950492">
      <w:pPr>
        <w:numPr>
          <w:ilvl w:val="0"/>
          <w:numId w:val="12"/>
        </w:numPr>
        <w:spacing w:line="276" w:lineRule="auto"/>
        <w:ind w:left="426" w:right="-2" w:hanging="426"/>
        <w:jc w:val="both"/>
      </w:pPr>
      <w:r w:rsidRPr="00AE1DFD">
        <w:t>Účelem této smlouvy je úprava práv a povinností smluvních stran při přípravě, realizaci a</w:t>
      </w:r>
      <w:r w:rsidR="007E79B5">
        <w:t> </w:t>
      </w:r>
      <w:r w:rsidRPr="00AE1DFD">
        <w:t>financování rekonstrukce nebytových prostor</w:t>
      </w:r>
      <w:r w:rsidR="00611710">
        <w:t xml:space="preserve"> specifikovaných v čl. II </w:t>
      </w:r>
      <w:r w:rsidRPr="00AE1DFD">
        <w:t>nacházejících se v</w:t>
      </w:r>
      <w:r w:rsidR="007E79B5">
        <w:t> </w:t>
      </w:r>
      <w:r w:rsidRPr="00AE1DFD">
        <w:t xml:space="preserve">areálu </w:t>
      </w:r>
      <w:r w:rsidR="00611710">
        <w:t>pronajímatele</w:t>
      </w:r>
      <w:r w:rsidRPr="00AE1DFD">
        <w:t>.</w:t>
      </w:r>
    </w:p>
    <w:p w14:paraId="758DCE4A" w14:textId="24217BDE" w:rsidR="00334264" w:rsidRPr="00334264" w:rsidRDefault="00334264" w:rsidP="00950492">
      <w:pPr>
        <w:numPr>
          <w:ilvl w:val="0"/>
          <w:numId w:val="12"/>
        </w:numPr>
        <w:spacing w:line="276" w:lineRule="auto"/>
        <w:ind w:left="426" w:right="-2" w:hanging="426"/>
        <w:jc w:val="both"/>
      </w:pPr>
      <w:r w:rsidRPr="00334264">
        <w:t>Smluvní strany konstatují, že FTN připravuje rekonstrukci prostor určených k budoucímu užívání nájemcem. Rekonstrukce bude realizována dodavatelem vybraným FTN v</w:t>
      </w:r>
      <w:r w:rsidR="007E79B5">
        <w:t> </w:t>
      </w:r>
      <w:r w:rsidRPr="00334264">
        <w:t>zadávacím řízení, přičemž objednatelem stavebních prací vůči dodavateli bude FTN.</w:t>
      </w:r>
    </w:p>
    <w:p w14:paraId="351788BF" w14:textId="7AF3BD60" w:rsidR="00E03663" w:rsidRDefault="0026069B" w:rsidP="00922118">
      <w:pPr>
        <w:numPr>
          <w:ilvl w:val="0"/>
          <w:numId w:val="12"/>
        </w:numPr>
        <w:spacing w:line="276" w:lineRule="auto"/>
        <w:ind w:left="426" w:right="-2" w:hanging="426"/>
        <w:jc w:val="both"/>
      </w:pPr>
      <w:r>
        <w:t xml:space="preserve">Nájemce se zavazuje nést náklady rekonstrukce a </w:t>
      </w:r>
      <w:r w:rsidR="003B0A2A">
        <w:t>nahradit FTN</w:t>
      </w:r>
      <w:r w:rsidR="008D65E3">
        <w:t xml:space="preserve"> prostředky na rekonstrukci vynaložené, a to </w:t>
      </w:r>
      <w:r w:rsidR="00C350C4">
        <w:t>formou</w:t>
      </w:r>
      <w:r w:rsidR="008D65E3">
        <w:t xml:space="preserve"> mimořádného předplaceného nájmu</w:t>
      </w:r>
      <w:r w:rsidR="002A5703">
        <w:t xml:space="preserve"> ve výši </w:t>
      </w:r>
      <w:r w:rsidR="00EC0637">
        <w:t xml:space="preserve">odpovídající </w:t>
      </w:r>
      <w:r w:rsidR="009E113A">
        <w:t xml:space="preserve">ceně rekonstrukce. Podrobnosti financování rekonstrukce jsou stanoveny v čl. IV této smlouvy. </w:t>
      </w:r>
    </w:p>
    <w:p w14:paraId="62E5CE91" w14:textId="77777777" w:rsidR="0087152B" w:rsidRPr="00AE1DFD" w:rsidRDefault="00E03663" w:rsidP="00922118">
      <w:pPr>
        <w:spacing w:line="276" w:lineRule="auto"/>
        <w:jc w:val="center"/>
        <w:rPr>
          <w:b/>
        </w:rPr>
      </w:pPr>
      <w:r w:rsidRPr="00AE1DFD">
        <w:rPr>
          <w:b/>
        </w:rPr>
        <w:lastRenderedPageBreak/>
        <w:t>II.</w:t>
      </w:r>
    </w:p>
    <w:p w14:paraId="1D6336A4" w14:textId="63DA290B" w:rsidR="00E03663" w:rsidRPr="00922118" w:rsidRDefault="00E03663" w:rsidP="00922118">
      <w:pPr>
        <w:spacing w:after="120" w:line="276" w:lineRule="auto"/>
        <w:jc w:val="center"/>
        <w:rPr>
          <w:b/>
        </w:rPr>
      </w:pPr>
      <w:r w:rsidRPr="00AE1DFD">
        <w:rPr>
          <w:b/>
        </w:rPr>
        <w:t>Prostory pro realizaci rekonstrukce</w:t>
      </w:r>
    </w:p>
    <w:p w14:paraId="761FD28D" w14:textId="46BBC25D" w:rsidR="00922118" w:rsidRDefault="002C0F70" w:rsidP="00922118">
      <w:pPr>
        <w:pStyle w:val="Odstavecseseznamem"/>
        <w:numPr>
          <w:ilvl w:val="0"/>
          <w:numId w:val="35"/>
        </w:numPr>
        <w:spacing w:after="197" w:line="276" w:lineRule="auto"/>
        <w:ind w:left="426" w:hanging="426"/>
        <w:contextualSpacing/>
        <w:jc w:val="both"/>
      </w:pPr>
      <w:r w:rsidRPr="00AE1DFD">
        <w:t>Rekonstrukce bude realizována v nebytových prostorách</w:t>
      </w:r>
      <w:r w:rsidR="00AA0D69" w:rsidRPr="00AE1DFD">
        <w:t xml:space="preserve"> </w:t>
      </w:r>
      <w:r w:rsidR="00CD1D98" w:rsidRPr="00AE1DFD">
        <w:t xml:space="preserve">o </w:t>
      </w:r>
      <w:r w:rsidR="00AA0D69" w:rsidRPr="00AE1DFD">
        <w:t>celkové výměře 153,83 m</w:t>
      </w:r>
      <w:r w:rsidR="00852C41" w:rsidRPr="00AE1DFD">
        <w:t>2</w:t>
      </w:r>
      <w:r w:rsidR="00AA0D69" w:rsidRPr="00AE1DFD">
        <w:t xml:space="preserve">, situované v 1.NP pavilonu E </w:t>
      </w:r>
      <w:r w:rsidR="00A864E8" w:rsidRPr="00AE1DFD">
        <w:t>v </w:t>
      </w:r>
      <w:r w:rsidR="00194851" w:rsidRPr="00AE1DFD">
        <w:t xml:space="preserve">areálu </w:t>
      </w:r>
      <w:r w:rsidR="00A864E8" w:rsidRPr="00AE1DFD">
        <w:t>F</w:t>
      </w:r>
      <w:r w:rsidR="00194851" w:rsidRPr="00AE1DFD">
        <w:t xml:space="preserve">TN </w:t>
      </w:r>
      <w:r w:rsidR="00577F7B" w:rsidRPr="00AE1DFD">
        <w:t xml:space="preserve">v </w:t>
      </w:r>
      <w:r w:rsidR="00194851" w:rsidRPr="00AE1DFD">
        <w:t>Praze 4 – Krči, Vídeňská</w:t>
      </w:r>
      <w:r w:rsidR="000F590A" w:rsidRPr="00AE1DFD">
        <w:t xml:space="preserve"> 80</w:t>
      </w:r>
      <w:r w:rsidR="007A5913" w:rsidRPr="00AE1DFD">
        <w:t>1</w:t>
      </w:r>
      <w:r w:rsidR="00194851" w:rsidRPr="00AE1DFD">
        <w:t xml:space="preserve">, číslo parcely </w:t>
      </w:r>
      <w:r w:rsidR="00852C41" w:rsidRPr="00AE1DFD">
        <w:t>2244</w:t>
      </w:r>
      <w:r w:rsidR="00577F7B" w:rsidRPr="00AE1DFD">
        <w:t>, obec</w:t>
      </w:r>
      <w:r w:rsidR="00194851" w:rsidRPr="00AE1DFD">
        <w:t>: hl.</w:t>
      </w:r>
      <w:r w:rsidR="00577F7B" w:rsidRPr="00AE1DFD">
        <w:t xml:space="preserve"> </w:t>
      </w:r>
      <w:r w:rsidR="00194851" w:rsidRPr="00AE1DFD">
        <w:t>m.</w:t>
      </w:r>
      <w:r w:rsidR="00577F7B" w:rsidRPr="00AE1DFD">
        <w:t xml:space="preserve"> </w:t>
      </w:r>
      <w:r w:rsidR="00194851" w:rsidRPr="00AE1DFD">
        <w:t xml:space="preserve">Praha, KÚ Krč, zapsáno na LV č. </w:t>
      </w:r>
      <w:r w:rsidR="00852C41" w:rsidRPr="00AE1DFD">
        <w:t>57</w:t>
      </w:r>
      <w:r w:rsidR="00194851" w:rsidRPr="00AE1DFD">
        <w:t xml:space="preserve"> u Katastrálního úřadu hl.</w:t>
      </w:r>
      <w:r w:rsidR="00577F7B" w:rsidRPr="00AE1DFD">
        <w:t xml:space="preserve"> </w:t>
      </w:r>
      <w:r w:rsidR="00194851" w:rsidRPr="00AE1DFD">
        <w:t>m. Prahy</w:t>
      </w:r>
      <w:r w:rsidR="006132B0">
        <w:t xml:space="preserve">. </w:t>
      </w:r>
      <w:r w:rsidR="006132B0" w:rsidRPr="70BEF74F">
        <w:t xml:space="preserve">Vlastníkem </w:t>
      </w:r>
      <w:r w:rsidR="006132B0">
        <w:t xml:space="preserve">nebytových prostor </w:t>
      </w:r>
      <w:r w:rsidR="006132B0" w:rsidRPr="70BEF74F">
        <w:t>je Česká republika</w:t>
      </w:r>
      <w:r w:rsidR="006132B0">
        <w:t xml:space="preserve"> a pronajímatel je </w:t>
      </w:r>
      <w:r w:rsidR="006132B0" w:rsidRPr="70BEF74F">
        <w:t xml:space="preserve">má dle </w:t>
      </w:r>
      <w:r w:rsidR="006132B0" w:rsidRPr="006132B0">
        <w:rPr>
          <w:rFonts w:eastAsia="Segoe UI"/>
        </w:rPr>
        <w:t>§ 9 zákona č.</w:t>
      </w:r>
      <w:r w:rsidR="00BC559D">
        <w:rPr>
          <w:rFonts w:eastAsia="Segoe UI"/>
        </w:rPr>
        <w:t> </w:t>
      </w:r>
      <w:r w:rsidR="006132B0" w:rsidRPr="006132B0">
        <w:rPr>
          <w:rFonts w:eastAsia="Segoe UI"/>
        </w:rPr>
        <w:t>219/2000 Sb., o majetku České republiky a jejím vystupování v právních vztazích, ve znění pozdějších předpisů (dále jen „ZMS“) a na základě zřizovací listiny</w:t>
      </w:r>
      <w:r w:rsidR="006132B0" w:rsidRPr="70BEF74F">
        <w:t xml:space="preserve"> právo</w:t>
      </w:r>
      <w:r w:rsidR="006132B0">
        <w:t xml:space="preserve"> s tímto majetkem</w:t>
      </w:r>
      <w:r w:rsidR="006132B0" w:rsidRPr="70BEF74F">
        <w:t xml:space="preserve"> hospodařit</w:t>
      </w:r>
      <w:r w:rsidR="006132B0">
        <w:t>.</w:t>
      </w:r>
    </w:p>
    <w:p w14:paraId="7879CD17" w14:textId="77777777" w:rsidR="006132B0" w:rsidRPr="00AE1DFD" w:rsidRDefault="006132B0" w:rsidP="006132B0">
      <w:pPr>
        <w:pStyle w:val="Odstavecseseznamem"/>
        <w:spacing w:after="197" w:line="276" w:lineRule="auto"/>
        <w:ind w:left="426"/>
        <w:contextualSpacing/>
        <w:jc w:val="both"/>
      </w:pPr>
    </w:p>
    <w:p w14:paraId="2188FC00" w14:textId="77777777" w:rsidR="0087152B" w:rsidRPr="00AE1DFD" w:rsidRDefault="00430AB7" w:rsidP="00922118">
      <w:pPr>
        <w:jc w:val="center"/>
        <w:rPr>
          <w:b/>
        </w:rPr>
      </w:pPr>
      <w:r w:rsidRPr="00AE1DFD">
        <w:rPr>
          <w:b/>
        </w:rPr>
        <w:t>I</w:t>
      </w:r>
      <w:r w:rsidR="00E03663" w:rsidRPr="00AE1DFD">
        <w:rPr>
          <w:b/>
        </w:rPr>
        <w:t>I</w:t>
      </w:r>
      <w:r w:rsidRPr="00AE1DFD">
        <w:rPr>
          <w:b/>
        </w:rPr>
        <w:t>I.</w:t>
      </w:r>
    </w:p>
    <w:p w14:paraId="4F7FD39B" w14:textId="2AE472A9" w:rsidR="009254A2" w:rsidRPr="00AE1DFD" w:rsidRDefault="009254A2" w:rsidP="00922118">
      <w:pPr>
        <w:spacing w:after="120"/>
        <w:jc w:val="center"/>
        <w:rPr>
          <w:b/>
        </w:rPr>
      </w:pPr>
      <w:r w:rsidRPr="00AE1DFD">
        <w:rPr>
          <w:b/>
        </w:rPr>
        <w:t>Z</w:t>
      </w:r>
      <w:r w:rsidR="002C0F70" w:rsidRPr="00AE1DFD">
        <w:rPr>
          <w:b/>
        </w:rPr>
        <w:t>adávací řízení a realizace rekonstrukce</w:t>
      </w:r>
    </w:p>
    <w:p w14:paraId="0CD009DF" w14:textId="3736BA62" w:rsidR="006246B9" w:rsidRPr="006246B9" w:rsidRDefault="006246B9" w:rsidP="00C62A7F">
      <w:pPr>
        <w:numPr>
          <w:ilvl w:val="0"/>
          <w:numId w:val="26"/>
        </w:numPr>
        <w:spacing w:line="276" w:lineRule="auto"/>
        <w:ind w:left="426" w:right="-2" w:hanging="426"/>
        <w:jc w:val="both"/>
      </w:pPr>
      <w:r>
        <w:t>FTN provede zadávací řízení na dodavatele stavebních prací v souladu s</w:t>
      </w:r>
      <w:r w:rsidR="00611710">
        <w:t>e zákonem č.</w:t>
      </w:r>
      <w:r w:rsidR="003F5AB4">
        <w:t> </w:t>
      </w:r>
      <w:r w:rsidR="00611710">
        <w:t>134/2016 Sb., o zadávání veřejných zakázek ve znění pozdějších předpisů</w:t>
      </w:r>
      <w:r w:rsidR="003F5AB4">
        <w:t>,</w:t>
      </w:r>
      <w:r w:rsidR="00611710">
        <w:t xml:space="preserve"> </w:t>
      </w:r>
      <w:r>
        <w:t xml:space="preserve">interními předpisy FTN a zásadami hospodárnosti, transparentnosti a rovného zacházení. Předpokládaná maximální hodnota stavebních prací </w:t>
      </w:r>
      <w:r w:rsidR="0027158A">
        <w:t xml:space="preserve">činí </w:t>
      </w:r>
      <w:r w:rsidR="00B33C78">
        <w:t>2 144 120</w:t>
      </w:r>
      <w:r w:rsidR="004078AF">
        <w:t xml:space="preserve"> </w:t>
      </w:r>
      <w:r>
        <w:t>Kč včetně DPH.</w:t>
      </w:r>
    </w:p>
    <w:p w14:paraId="1DEEE29F" w14:textId="71741C59" w:rsidR="0019297B" w:rsidRDefault="006246B9" w:rsidP="00C62A7F">
      <w:pPr>
        <w:numPr>
          <w:ilvl w:val="0"/>
          <w:numId w:val="26"/>
        </w:numPr>
        <w:spacing w:line="276" w:lineRule="auto"/>
        <w:ind w:left="426" w:right="-2" w:hanging="426"/>
        <w:jc w:val="both"/>
      </w:pPr>
      <w:r>
        <w:t>Překročení této částky je možné pouze na základě písemně odsouhlasených víceprací a po předchozím písemném souhlasu obou smluvních stran.</w:t>
      </w:r>
    </w:p>
    <w:p w14:paraId="0B787155" w14:textId="459E37ED" w:rsidR="008C3955" w:rsidRDefault="003B18A4" w:rsidP="00C62A7F">
      <w:pPr>
        <w:numPr>
          <w:ilvl w:val="0"/>
          <w:numId w:val="26"/>
        </w:numPr>
        <w:spacing w:line="276" w:lineRule="auto"/>
        <w:ind w:left="426" w:right="-2" w:hanging="426"/>
        <w:jc w:val="both"/>
      </w:pPr>
      <w:r w:rsidRPr="003B18A4">
        <w:t>Smluvní strany se dohodly, že do doby uzavření smlouvy s vybraným dodavatelem stavebních prací v rámci veřejné zakázky je nájemce oprávněn užívat prostory v</w:t>
      </w:r>
      <w:r w:rsidR="004078AF">
        <w:t> </w:t>
      </w:r>
      <w:r w:rsidRPr="003B18A4">
        <w:t>dosavadním režimu. FTN písemně vyrozumí nájemce o termínu předání prostor za účelem zahájení realizace stavebních prací s přiměřeným časovým předstihem.</w:t>
      </w:r>
    </w:p>
    <w:p w14:paraId="5FBC2FCE" w14:textId="45EE3BBC" w:rsidR="006246B9" w:rsidRDefault="006246B9" w:rsidP="00C62A7F">
      <w:pPr>
        <w:numPr>
          <w:ilvl w:val="0"/>
          <w:numId w:val="26"/>
        </w:numPr>
        <w:spacing w:line="276" w:lineRule="auto"/>
        <w:ind w:left="426" w:right="-2" w:hanging="426"/>
        <w:jc w:val="both"/>
      </w:pPr>
      <w:r>
        <w:t>FTN si vyhrazuje právo zadávací řízení kdykoliv zrušit, zejména nebude-li podána ekonomicky přijatelná nabídka, dojde-li ke změně provozních či investičních potřeb FTN nebo nebude-li možné realizaci stavby zajistit v souladu s právními předpisy</w:t>
      </w:r>
      <w:r w:rsidR="00C00B1F">
        <w:t xml:space="preserve">, </w:t>
      </w:r>
      <w:r w:rsidR="00C00B1F" w:rsidRPr="00C00B1F">
        <w:t>zejména předpisy upravujícími zadávání veřejných zakázek, hospodaření příspěvkových organizací, stavebními, hygienickými či bezpečnostními předpisy,</w:t>
      </w:r>
      <w:r w:rsidR="00C00B1F">
        <w:t xml:space="preserve"> </w:t>
      </w:r>
      <w:r>
        <w:t>či interními pravidly FTN</w:t>
      </w:r>
      <w:r w:rsidR="00C62A7F">
        <w:t xml:space="preserve">. </w:t>
      </w:r>
    </w:p>
    <w:p w14:paraId="48760330" w14:textId="03AE0B6A" w:rsidR="009254A2" w:rsidRDefault="006246B9" w:rsidP="00C62A7F">
      <w:pPr>
        <w:numPr>
          <w:ilvl w:val="0"/>
          <w:numId w:val="26"/>
        </w:numPr>
        <w:spacing w:line="276" w:lineRule="auto"/>
        <w:ind w:left="426" w:right="-2" w:hanging="426"/>
        <w:jc w:val="both"/>
      </w:pPr>
      <w:r>
        <w:t xml:space="preserve">Nájemce bere na vědomí, že FTN neodpovídá za </w:t>
      </w:r>
      <w:r w:rsidR="003A656C">
        <w:t xml:space="preserve">průběh a </w:t>
      </w:r>
      <w:r>
        <w:t>výsledek zadávacího řízení ani za to, že nebude uzavřena smlouva s dodavatelem stavebních prací.</w:t>
      </w:r>
    </w:p>
    <w:p w14:paraId="0BABC4D3" w14:textId="77777777" w:rsidR="00C62A7F" w:rsidRPr="00AE1DFD" w:rsidRDefault="00C62A7F" w:rsidP="0076121F">
      <w:pPr>
        <w:spacing w:line="276" w:lineRule="auto"/>
        <w:ind w:left="426" w:right="-2"/>
      </w:pPr>
    </w:p>
    <w:p w14:paraId="72651F0E" w14:textId="77777777" w:rsidR="009254A2" w:rsidRPr="00AE1DFD" w:rsidRDefault="009254A2" w:rsidP="0076121F">
      <w:pPr>
        <w:jc w:val="center"/>
        <w:rPr>
          <w:b/>
        </w:rPr>
      </w:pPr>
      <w:r w:rsidRPr="00AE1DFD">
        <w:rPr>
          <w:b/>
        </w:rPr>
        <w:t>IV.</w:t>
      </w:r>
    </w:p>
    <w:p w14:paraId="2C65407E" w14:textId="77777777" w:rsidR="00334264" w:rsidRPr="00AE1DFD" w:rsidRDefault="009254A2" w:rsidP="0076121F">
      <w:pPr>
        <w:jc w:val="center"/>
        <w:rPr>
          <w:b/>
        </w:rPr>
      </w:pPr>
      <w:r w:rsidRPr="44234B74">
        <w:rPr>
          <w:b/>
          <w:bCs/>
        </w:rPr>
        <w:t>Financování rekonstrukce</w:t>
      </w:r>
    </w:p>
    <w:p w14:paraId="159726FA" w14:textId="7E901520" w:rsidR="00334264" w:rsidRPr="003F5AB4" w:rsidRDefault="5D4BF25A" w:rsidP="0076121F">
      <w:pPr>
        <w:spacing w:after="120"/>
        <w:jc w:val="center"/>
        <w:rPr>
          <w:b/>
          <w:bCs/>
        </w:rPr>
      </w:pPr>
      <w:r w:rsidRPr="003F5AB4">
        <w:rPr>
          <w:b/>
          <w:bCs/>
        </w:rPr>
        <w:t>Mimořádné předplacené nájemné a jeho započítávání</w:t>
      </w:r>
    </w:p>
    <w:p w14:paraId="1A2A0E4E" w14:textId="1A2106E9" w:rsidR="0076121F" w:rsidRPr="003F5AB4" w:rsidRDefault="006800D7" w:rsidP="00801D26">
      <w:pPr>
        <w:pStyle w:val="Odstavecseseznamem"/>
        <w:numPr>
          <w:ilvl w:val="0"/>
          <w:numId w:val="23"/>
        </w:numPr>
        <w:spacing w:line="276" w:lineRule="auto"/>
        <w:ind w:left="426" w:right="-2" w:hanging="426"/>
        <w:jc w:val="both"/>
        <w:rPr>
          <w:rFonts w:eastAsia="Times New Roman"/>
        </w:rPr>
      </w:pPr>
      <w:r w:rsidRPr="003F5AB4">
        <w:rPr>
          <w:rFonts w:eastAsia="Times New Roman"/>
        </w:rPr>
        <w:t xml:space="preserve">Nájemce se zavazuje uhradit pronajímateli mimořádné předplacené nájemné ve výši odpovídající konečné ceně rekonstrukce odsouhlasené FTN, </w:t>
      </w:r>
      <w:r w:rsidR="093A8BEF" w:rsidRPr="003F5AB4">
        <w:rPr>
          <w:rFonts w:eastAsia="Times New Roman"/>
        </w:rPr>
        <w:t>včetně příslušné</w:t>
      </w:r>
      <w:r w:rsidRPr="003F5AB4">
        <w:rPr>
          <w:rFonts w:eastAsia="Times New Roman"/>
        </w:rPr>
        <w:t xml:space="preserve"> DPH, a</w:t>
      </w:r>
      <w:r w:rsidR="00A96ED2" w:rsidRPr="003F5AB4">
        <w:rPr>
          <w:rFonts w:eastAsia="Times New Roman"/>
        </w:rPr>
        <w:t> </w:t>
      </w:r>
      <w:r w:rsidRPr="003F5AB4">
        <w:rPr>
          <w:rFonts w:eastAsia="Times New Roman"/>
        </w:rPr>
        <w:t xml:space="preserve">to na základě vystavené faktury se splatností </w:t>
      </w:r>
      <w:r w:rsidR="0015200B" w:rsidRPr="003F5AB4">
        <w:rPr>
          <w:rFonts w:eastAsia="Times New Roman"/>
        </w:rPr>
        <w:t>7</w:t>
      </w:r>
      <w:r w:rsidRPr="003F5AB4">
        <w:rPr>
          <w:rFonts w:eastAsia="Times New Roman"/>
        </w:rPr>
        <w:t xml:space="preserve"> dnů ode dne jejího doručení</w:t>
      </w:r>
      <w:r w:rsidR="05702DEB" w:rsidRPr="003F5AB4">
        <w:rPr>
          <w:rFonts w:eastAsia="Times New Roman"/>
        </w:rPr>
        <w:t>.</w:t>
      </w:r>
      <w:r w:rsidRPr="003F5AB4">
        <w:rPr>
          <w:rFonts w:eastAsia="Times New Roman"/>
        </w:rPr>
        <w:t xml:space="preserve"> </w:t>
      </w:r>
      <w:r w:rsidR="00C42FB2" w:rsidRPr="003F5AB4">
        <w:rPr>
          <w:rFonts w:eastAsia="Times New Roman"/>
        </w:rPr>
        <w:t xml:space="preserve">Pronajímatel zašle vystavenou fakturu nájemci </w:t>
      </w:r>
      <w:r w:rsidR="003F5AB4" w:rsidRPr="003F5AB4">
        <w:rPr>
          <w:rFonts w:eastAsia="Times New Roman"/>
        </w:rPr>
        <w:t xml:space="preserve">e-mailem na adresu </w:t>
      </w:r>
      <w:r w:rsidR="001F0519" w:rsidRPr="001F0519">
        <w:rPr>
          <w:rFonts w:eastAsia="Times New Roman"/>
        </w:rPr>
        <w:t>ucetni@liberskelahudky.cz</w:t>
      </w:r>
      <w:r w:rsidR="001F0519">
        <w:rPr>
          <w:rFonts w:eastAsia="Times New Roman"/>
        </w:rPr>
        <w:t>.</w:t>
      </w:r>
    </w:p>
    <w:p w14:paraId="574992A7" w14:textId="77777777" w:rsidR="00831BEA" w:rsidRDefault="5D4BF25A" w:rsidP="00831BEA">
      <w:pPr>
        <w:numPr>
          <w:ilvl w:val="0"/>
          <w:numId w:val="23"/>
        </w:numPr>
        <w:spacing w:line="276" w:lineRule="auto"/>
        <w:ind w:left="426" w:right="-2" w:hanging="426"/>
        <w:jc w:val="both"/>
        <w:rPr>
          <w:rFonts w:eastAsia="Times New Roman"/>
        </w:rPr>
      </w:pPr>
      <w:r w:rsidRPr="0076121F">
        <w:rPr>
          <w:rFonts w:eastAsia="Times New Roman"/>
        </w:rPr>
        <w:t>Smluvní strany sjednávají, že mimořádné předplacené nájemné dle odst. 1 tohoto článku je poskytováno za účelem financování rekonstrukce</w:t>
      </w:r>
      <w:r w:rsidR="00945566" w:rsidRPr="0076121F">
        <w:rPr>
          <w:rFonts w:eastAsia="Times New Roman"/>
        </w:rPr>
        <w:t xml:space="preserve"> </w:t>
      </w:r>
      <w:r w:rsidRPr="0076121F">
        <w:rPr>
          <w:rFonts w:eastAsia="Times New Roman"/>
        </w:rPr>
        <w:t>pronajatých prostor</w:t>
      </w:r>
      <w:r w:rsidR="00945566" w:rsidRPr="0076121F">
        <w:rPr>
          <w:rFonts w:eastAsia="Times New Roman"/>
        </w:rPr>
        <w:t xml:space="preserve"> specifikovaných v této smlouvě</w:t>
      </w:r>
      <w:r w:rsidR="005C76C8" w:rsidRPr="0076121F">
        <w:rPr>
          <w:rFonts w:eastAsia="Times New Roman"/>
        </w:rPr>
        <w:t>.</w:t>
      </w:r>
    </w:p>
    <w:p w14:paraId="3D184889" w14:textId="1A695E0B" w:rsidR="00334264" w:rsidRPr="00831BEA" w:rsidRDefault="5D4BF25A" w:rsidP="00831BEA">
      <w:pPr>
        <w:numPr>
          <w:ilvl w:val="0"/>
          <w:numId w:val="23"/>
        </w:numPr>
        <w:spacing w:line="276" w:lineRule="auto"/>
        <w:ind w:left="426" w:right="-2" w:hanging="426"/>
        <w:jc w:val="both"/>
        <w:rPr>
          <w:rFonts w:eastAsia="Times New Roman"/>
        </w:rPr>
      </w:pPr>
      <w:r w:rsidRPr="00831BEA">
        <w:rPr>
          <w:rFonts w:eastAsia="Times New Roman"/>
        </w:rPr>
        <w:lastRenderedPageBreak/>
        <w:t>Pronajímatel se zavazuje použít mimořádné předplacené nájemné výhradně k úhradě nákladů rekonstrukce pronajatých prostor realizované na základě veřejné zakázky zadávané pronajímatelem.</w:t>
      </w:r>
    </w:p>
    <w:p w14:paraId="49E13DAF" w14:textId="77777777" w:rsidR="00A96ED2" w:rsidRPr="00A96ED2" w:rsidRDefault="00400EFB" w:rsidP="0088593A">
      <w:pPr>
        <w:pStyle w:val="Odstavecseseznamem"/>
        <w:numPr>
          <w:ilvl w:val="0"/>
          <w:numId w:val="23"/>
        </w:numPr>
        <w:spacing w:line="276" w:lineRule="auto"/>
        <w:ind w:left="426" w:right="-2" w:hanging="426"/>
        <w:jc w:val="both"/>
        <w:rPr>
          <w:rFonts w:eastAsia="Times New Roman"/>
        </w:rPr>
      </w:pPr>
      <w:r w:rsidRPr="00AE1DFD">
        <w:t>Nájemce bere na vědomí, že úhradou nákladů rekonstrukce mu nevzniká vlastnické</w:t>
      </w:r>
      <w:r w:rsidRPr="0076121F">
        <w:rPr>
          <w:bCs/>
        </w:rPr>
        <w:t xml:space="preserve"> ani jiné věcné právo k rekonstruovaným prostorám ani nárok na náhradu technického zhodnocení mimo případy výslovně sjednané touto smlouvou.</w:t>
      </w:r>
    </w:p>
    <w:p w14:paraId="51DF2DBF" w14:textId="38747203" w:rsidR="002D0B54" w:rsidRPr="00A96ED2" w:rsidRDefault="5D4BF25A" w:rsidP="0088593A">
      <w:pPr>
        <w:pStyle w:val="Odstavecseseznamem"/>
        <w:numPr>
          <w:ilvl w:val="0"/>
          <w:numId w:val="23"/>
        </w:numPr>
        <w:spacing w:line="276" w:lineRule="auto"/>
        <w:ind w:left="426" w:right="-2" w:hanging="426"/>
        <w:jc w:val="both"/>
        <w:rPr>
          <w:rFonts w:eastAsia="Times New Roman"/>
        </w:rPr>
      </w:pPr>
      <w:r w:rsidRPr="4EFCDE68">
        <w:rPr>
          <w:rFonts w:eastAsia="Times New Roman"/>
        </w:rPr>
        <w:t>Pronajímatel bude mimořádné předplacené nájemné postupně započítávat proti jednotlivým měsíčním</w:t>
      </w:r>
      <w:r w:rsidR="004344C6" w:rsidRPr="4EFCDE68">
        <w:rPr>
          <w:rFonts w:eastAsia="Times New Roman"/>
        </w:rPr>
        <w:t xml:space="preserve"> předpisům nájemného </w:t>
      </w:r>
      <w:r w:rsidR="68982C58" w:rsidRPr="4EFCDE68">
        <w:rPr>
          <w:rFonts w:eastAsia="Times New Roman"/>
        </w:rPr>
        <w:t>včetně</w:t>
      </w:r>
      <w:r w:rsidR="007B73A1" w:rsidRPr="4EFCDE68">
        <w:rPr>
          <w:rFonts w:eastAsia="Times New Roman"/>
        </w:rPr>
        <w:t xml:space="preserve"> </w:t>
      </w:r>
      <w:r w:rsidR="68982C58" w:rsidRPr="4EFCDE68">
        <w:rPr>
          <w:rFonts w:eastAsia="Times New Roman"/>
        </w:rPr>
        <w:t>příslušné</w:t>
      </w:r>
      <w:r w:rsidR="007B73A1" w:rsidRPr="4EFCDE68">
        <w:rPr>
          <w:rFonts w:eastAsia="Times New Roman"/>
        </w:rPr>
        <w:t xml:space="preserve"> DPH</w:t>
      </w:r>
      <w:r w:rsidRPr="4EFCDE68">
        <w:rPr>
          <w:rFonts w:eastAsia="Times New Roman"/>
        </w:rPr>
        <w:t xml:space="preserve">, a to počínaje </w:t>
      </w:r>
      <w:r w:rsidR="0083753D" w:rsidRPr="4EFCDE68">
        <w:rPr>
          <w:rFonts w:eastAsia="Times New Roman"/>
        </w:rPr>
        <w:t>dnem</w:t>
      </w:r>
      <w:r w:rsidR="007B73A1" w:rsidRPr="4EFCDE68">
        <w:rPr>
          <w:rFonts w:eastAsia="Times New Roman"/>
        </w:rPr>
        <w:t xml:space="preserve"> 1.10.2026</w:t>
      </w:r>
      <w:r w:rsidR="0083753D" w:rsidRPr="4EFCDE68">
        <w:rPr>
          <w:rFonts w:eastAsia="Times New Roman"/>
        </w:rPr>
        <w:t xml:space="preserve"> </w:t>
      </w:r>
      <w:r w:rsidRPr="4EFCDE68">
        <w:rPr>
          <w:rFonts w:eastAsia="Times New Roman"/>
        </w:rPr>
        <w:t>až do úplného vyčerpání mimořádného předplaceného nájemného.</w:t>
      </w:r>
    </w:p>
    <w:p w14:paraId="4A437C97" w14:textId="16D9169F" w:rsidR="002D0B54" w:rsidRPr="00A96ED2" w:rsidRDefault="002D0B54" w:rsidP="0088593A">
      <w:pPr>
        <w:numPr>
          <w:ilvl w:val="0"/>
          <w:numId w:val="23"/>
        </w:numPr>
        <w:spacing w:line="276" w:lineRule="auto"/>
        <w:ind w:left="426" w:right="-2" w:hanging="426"/>
        <w:jc w:val="both"/>
        <w:rPr>
          <w:rFonts w:eastAsia="Times New Roman"/>
        </w:rPr>
      </w:pPr>
      <w:r>
        <w:rPr>
          <w:rFonts w:eastAsia="Times New Roman"/>
        </w:rPr>
        <w:t>Za uznatelné náklady rekonstrukce se považují pouze náklady:</w:t>
      </w:r>
    </w:p>
    <w:p w14:paraId="7D1FDBE3" w14:textId="64A6510B" w:rsidR="002D0B54" w:rsidRDefault="004D685D" w:rsidP="00B02836">
      <w:pPr>
        <w:pStyle w:val="Odstavecseseznamem"/>
        <w:numPr>
          <w:ilvl w:val="0"/>
          <w:numId w:val="27"/>
        </w:numPr>
        <w:spacing w:line="276" w:lineRule="auto"/>
        <w:ind w:left="851" w:hanging="426"/>
        <w:jc w:val="both"/>
        <w:rPr>
          <w:rFonts w:eastAsia="Times New Roman"/>
        </w:rPr>
      </w:pPr>
      <w:r>
        <w:rPr>
          <w:rFonts w:eastAsia="Times New Roman"/>
        </w:rPr>
        <w:t>předem odsouhlasené pronajímatelem</w:t>
      </w:r>
      <w:r w:rsidR="00B02836">
        <w:rPr>
          <w:rFonts w:eastAsia="Times New Roman"/>
        </w:rPr>
        <w:t>,</w:t>
      </w:r>
    </w:p>
    <w:p w14:paraId="29343A7C" w14:textId="5B80081C" w:rsidR="004D685D" w:rsidRDefault="004D685D" w:rsidP="00B02836">
      <w:pPr>
        <w:pStyle w:val="Odstavecseseznamem"/>
        <w:numPr>
          <w:ilvl w:val="0"/>
          <w:numId w:val="27"/>
        </w:numPr>
        <w:spacing w:line="276" w:lineRule="auto"/>
        <w:ind w:left="851" w:hanging="426"/>
        <w:jc w:val="both"/>
        <w:rPr>
          <w:rFonts w:eastAsia="Times New Roman"/>
        </w:rPr>
      </w:pPr>
      <w:r>
        <w:rPr>
          <w:rFonts w:eastAsia="Times New Roman"/>
        </w:rPr>
        <w:t>skutečně realizované</w:t>
      </w:r>
      <w:r w:rsidR="00B02836">
        <w:rPr>
          <w:rFonts w:eastAsia="Times New Roman"/>
        </w:rPr>
        <w:t>,</w:t>
      </w:r>
    </w:p>
    <w:p w14:paraId="6811CEB8" w14:textId="59C3F057" w:rsidR="007D59CA" w:rsidRPr="00A96ED2" w:rsidRDefault="004D685D" w:rsidP="00B02836">
      <w:pPr>
        <w:pStyle w:val="Odstavecseseznamem"/>
        <w:numPr>
          <w:ilvl w:val="0"/>
          <w:numId w:val="27"/>
        </w:numPr>
        <w:spacing w:line="276" w:lineRule="auto"/>
        <w:ind w:left="851" w:hanging="426"/>
        <w:jc w:val="both"/>
        <w:rPr>
          <w:rFonts w:eastAsia="Times New Roman"/>
        </w:rPr>
      </w:pPr>
      <w:r>
        <w:rPr>
          <w:rFonts w:eastAsia="Times New Roman"/>
        </w:rPr>
        <w:t>řádně převzaté</w:t>
      </w:r>
      <w:r w:rsidR="00B02836">
        <w:rPr>
          <w:rFonts w:eastAsia="Times New Roman"/>
        </w:rPr>
        <w:t>.</w:t>
      </w:r>
    </w:p>
    <w:p w14:paraId="38BD4D45" w14:textId="0C2C2C28" w:rsidR="000F728F" w:rsidRPr="00B02836" w:rsidRDefault="5D4BF25A" w:rsidP="00A36B8B">
      <w:pPr>
        <w:numPr>
          <w:ilvl w:val="0"/>
          <w:numId w:val="23"/>
        </w:numPr>
        <w:spacing w:line="276" w:lineRule="auto"/>
        <w:ind w:left="426" w:right="-2" w:hanging="426"/>
        <w:jc w:val="both"/>
        <w:rPr>
          <w:rFonts w:eastAsia="Times New Roman"/>
        </w:rPr>
      </w:pPr>
      <w:r w:rsidRPr="44234B74">
        <w:rPr>
          <w:rFonts w:eastAsia="Times New Roman"/>
        </w:rPr>
        <w:t>Smluvní strany výslovně sjednávají, že mimořádné předplacené nájemné dle tohoto článku nepředstavuje půjčku, úvěr ani jinou formu financování pronajímatele nájemcem.</w:t>
      </w:r>
      <w:bookmarkStart w:id="1" w:name="_Hlk183679395"/>
    </w:p>
    <w:bookmarkEnd w:id="1"/>
    <w:p w14:paraId="514A324C" w14:textId="77777777" w:rsidR="007458F9" w:rsidRPr="00AE1DFD" w:rsidRDefault="007458F9" w:rsidP="00EC56B3">
      <w:pPr>
        <w:ind w:left="720" w:right="-2"/>
        <w:jc w:val="both"/>
      </w:pPr>
    </w:p>
    <w:p w14:paraId="26786C78" w14:textId="77777777" w:rsidR="003104F9" w:rsidRPr="00AE1DFD" w:rsidRDefault="003104F9" w:rsidP="00B02836">
      <w:pPr>
        <w:jc w:val="center"/>
        <w:rPr>
          <w:b/>
        </w:rPr>
      </w:pPr>
      <w:r w:rsidRPr="00AE1DFD">
        <w:rPr>
          <w:b/>
        </w:rPr>
        <w:t>V.</w:t>
      </w:r>
    </w:p>
    <w:p w14:paraId="38F863D8" w14:textId="47903DE3" w:rsidR="003104F9" w:rsidRPr="00B02836" w:rsidRDefault="003104F9" w:rsidP="00B02836">
      <w:pPr>
        <w:spacing w:after="120"/>
        <w:jc w:val="center"/>
        <w:rPr>
          <w:bCs/>
        </w:rPr>
      </w:pPr>
      <w:r w:rsidRPr="00AE1DFD">
        <w:rPr>
          <w:b/>
        </w:rPr>
        <w:t>Vícepráce a změna stavby</w:t>
      </w:r>
    </w:p>
    <w:p w14:paraId="49F9C70E" w14:textId="77777777" w:rsidR="00B02836" w:rsidRDefault="0025192B" w:rsidP="00B02836">
      <w:pPr>
        <w:pStyle w:val="Odstavecseseznamem"/>
        <w:numPr>
          <w:ilvl w:val="0"/>
          <w:numId w:val="1"/>
        </w:numPr>
        <w:spacing w:line="276" w:lineRule="auto"/>
        <w:ind w:left="426" w:right="-2" w:hanging="426"/>
        <w:jc w:val="both"/>
      </w:pPr>
      <w:r w:rsidRPr="00B02836">
        <w:rPr>
          <w:bCs/>
        </w:rPr>
        <w:t xml:space="preserve">Nájemce bere na vědomí, že pronajímatel není povinen realizovat vícepráce nebo změny rekonstrukce, které nebyli předem písemně odsouhlaseny pronajímatelem. </w:t>
      </w:r>
    </w:p>
    <w:p w14:paraId="5CB9B133" w14:textId="6F708060" w:rsidR="00473284" w:rsidRPr="00473284" w:rsidRDefault="00473284" w:rsidP="00B02836">
      <w:pPr>
        <w:pStyle w:val="Odstavecseseznamem"/>
        <w:numPr>
          <w:ilvl w:val="0"/>
          <w:numId w:val="1"/>
        </w:numPr>
        <w:spacing w:line="276" w:lineRule="auto"/>
        <w:ind w:left="426" w:right="-2" w:hanging="426"/>
        <w:jc w:val="both"/>
      </w:pPr>
      <w:r w:rsidRPr="00473284">
        <w:t>FTN je oprávněna požadované změny odmítnout zejména tehdy, pokud by byly v rozporu s právními předpisy, zásadou hospodárnosti, podmínkami zadávacího řízení nebo by mohly negativně ovlivnit provoz FTN.</w:t>
      </w:r>
    </w:p>
    <w:p w14:paraId="735768AF" w14:textId="77777777" w:rsidR="003104F9" w:rsidRPr="00AE1DFD" w:rsidRDefault="003104F9" w:rsidP="00B02836">
      <w:pPr>
        <w:ind w:right="-2"/>
        <w:jc w:val="both"/>
      </w:pPr>
    </w:p>
    <w:p w14:paraId="7B580033" w14:textId="77777777" w:rsidR="003104F9" w:rsidRPr="00AE1DFD" w:rsidRDefault="003104F9" w:rsidP="00990321">
      <w:pPr>
        <w:spacing w:line="276" w:lineRule="auto"/>
        <w:jc w:val="center"/>
        <w:rPr>
          <w:b/>
        </w:rPr>
      </w:pPr>
      <w:r w:rsidRPr="00AE1DFD">
        <w:rPr>
          <w:b/>
        </w:rPr>
        <w:t>V</w:t>
      </w:r>
      <w:r w:rsidR="008B1F78" w:rsidRPr="00AE1DFD">
        <w:rPr>
          <w:b/>
        </w:rPr>
        <w:t>I</w:t>
      </w:r>
      <w:r w:rsidRPr="00AE1DFD">
        <w:rPr>
          <w:b/>
        </w:rPr>
        <w:t>.</w:t>
      </w:r>
    </w:p>
    <w:p w14:paraId="57DD1D2D" w14:textId="60382272" w:rsidR="0067088D" w:rsidRPr="00AE1DFD" w:rsidRDefault="003104F9" w:rsidP="00990321">
      <w:pPr>
        <w:spacing w:after="120" w:line="276" w:lineRule="auto"/>
        <w:jc w:val="center"/>
        <w:rPr>
          <w:b/>
        </w:rPr>
      </w:pPr>
      <w:r w:rsidRPr="00AE1DFD">
        <w:rPr>
          <w:b/>
        </w:rPr>
        <w:t>Kontrola realizace stavby</w:t>
      </w:r>
    </w:p>
    <w:p w14:paraId="629ADBF4" w14:textId="1BCB2A25" w:rsidR="00473284" w:rsidRPr="00990321" w:rsidRDefault="00473284" w:rsidP="00F10348">
      <w:pPr>
        <w:numPr>
          <w:ilvl w:val="0"/>
          <w:numId w:val="19"/>
        </w:numPr>
        <w:spacing w:line="276" w:lineRule="auto"/>
        <w:ind w:left="426" w:right="-2" w:hanging="426"/>
        <w:jc w:val="both"/>
        <w:rPr>
          <w:bCs/>
        </w:rPr>
      </w:pPr>
      <w:r w:rsidRPr="00473284">
        <w:rPr>
          <w:bCs/>
        </w:rPr>
        <w:t>Nájemce je oprávněn být informován o průběhu realizace rekonstrukce, nahlížet do stavebního deníku, účastnit se kontrolních dnů a podávat připomínky k průběhu realizace.</w:t>
      </w:r>
    </w:p>
    <w:p w14:paraId="69F51294" w14:textId="77777777" w:rsidR="003104F9" w:rsidRPr="00AE1DFD" w:rsidRDefault="003104F9" w:rsidP="00F10348">
      <w:pPr>
        <w:numPr>
          <w:ilvl w:val="0"/>
          <w:numId w:val="19"/>
        </w:numPr>
        <w:spacing w:line="276" w:lineRule="auto"/>
        <w:ind w:left="426" w:right="-2" w:hanging="426"/>
        <w:jc w:val="both"/>
        <w:rPr>
          <w:bCs/>
        </w:rPr>
      </w:pPr>
      <w:r w:rsidRPr="00AE1DFD">
        <w:rPr>
          <w:bCs/>
        </w:rPr>
        <w:t>FTN není povinna vyhovět návrhům nebo požadavkům nájemce, pokud by jejich realizace byla v rozporu s právními předpisy, technickými normami nebo oprávněnými zájmy FTN.</w:t>
      </w:r>
    </w:p>
    <w:p w14:paraId="79D6AA07" w14:textId="010F61B0" w:rsidR="00C640DD" w:rsidRPr="00AE1DFD" w:rsidRDefault="00C640DD" w:rsidP="00A36B8B">
      <w:pPr>
        <w:ind w:right="-2"/>
        <w:jc w:val="both"/>
        <w:rPr>
          <w:b/>
          <w:u w:val="single"/>
        </w:rPr>
      </w:pPr>
    </w:p>
    <w:p w14:paraId="001C26EF" w14:textId="77777777" w:rsidR="008B1F78" w:rsidRPr="00AE1DFD" w:rsidRDefault="008B1F78" w:rsidP="00150073">
      <w:pPr>
        <w:spacing w:line="276" w:lineRule="auto"/>
        <w:jc w:val="center"/>
        <w:rPr>
          <w:b/>
        </w:rPr>
      </w:pPr>
      <w:r w:rsidRPr="00AE1DFD">
        <w:rPr>
          <w:b/>
        </w:rPr>
        <w:t>VII.</w:t>
      </w:r>
    </w:p>
    <w:p w14:paraId="66C8CD88" w14:textId="1F56230A" w:rsidR="00A21EEC" w:rsidRPr="00AE1DFD" w:rsidRDefault="008B1F78" w:rsidP="00150073">
      <w:pPr>
        <w:spacing w:after="120" w:line="276" w:lineRule="auto"/>
        <w:jc w:val="center"/>
        <w:rPr>
          <w:b/>
        </w:rPr>
      </w:pPr>
      <w:r w:rsidRPr="00AE1DFD">
        <w:rPr>
          <w:b/>
        </w:rPr>
        <w:t>Prodlení a nedokončení rekonstrukce</w:t>
      </w:r>
    </w:p>
    <w:p w14:paraId="5030C9E7" w14:textId="3D6A5452" w:rsidR="00A21EEC" w:rsidRPr="00990321" w:rsidRDefault="00A21EEC" w:rsidP="00887388">
      <w:pPr>
        <w:numPr>
          <w:ilvl w:val="0"/>
          <w:numId w:val="16"/>
        </w:numPr>
        <w:spacing w:line="276" w:lineRule="auto"/>
        <w:ind w:left="426" w:right="-2" w:hanging="426"/>
        <w:jc w:val="both"/>
        <w:rPr>
          <w:bCs/>
        </w:rPr>
      </w:pPr>
      <w:r w:rsidRPr="00A21EEC">
        <w:rPr>
          <w:bCs/>
        </w:rPr>
        <w:t>Smluvní strany berou na vědomí, že termíny realizace rekonstrukce mohou být ovlivněny zejména průběhem zadávacího řízení, činností dodavatele, okolnostmi vyšší moci nebo technickými či provozními komplikacemi. FTN neodpovídá nájemci za ušlý zisk ani jiné škody vzniklé v důsledku prodlení rekonstrukce.</w:t>
      </w:r>
    </w:p>
    <w:p w14:paraId="7C42E7ED" w14:textId="5EA8F393" w:rsidR="00A21EEC" w:rsidRPr="00990321" w:rsidRDefault="00A21EEC" w:rsidP="00887388">
      <w:pPr>
        <w:numPr>
          <w:ilvl w:val="0"/>
          <w:numId w:val="16"/>
        </w:numPr>
        <w:spacing w:line="276" w:lineRule="auto"/>
        <w:ind w:left="426" w:right="-2" w:hanging="426"/>
        <w:jc w:val="both"/>
        <w:rPr>
          <w:bCs/>
        </w:rPr>
      </w:pPr>
      <w:r w:rsidRPr="00A21EEC">
        <w:rPr>
          <w:bCs/>
        </w:rPr>
        <w:t>Nebude-li rekonstrukci možné dokončit z důvodů na straně dodavatele, z důvodu vyšší moci nebo objektivní nemožnosti pokračování stavby, sjednají smluvní strany další postup formou písemného dodatku.</w:t>
      </w:r>
    </w:p>
    <w:p w14:paraId="1EF9249A" w14:textId="2A123291" w:rsidR="008B1F78" w:rsidRDefault="00A21EEC" w:rsidP="00887388">
      <w:pPr>
        <w:numPr>
          <w:ilvl w:val="0"/>
          <w:numId w:val="16"/>
        </w:numPr>
        <w:spacing w:line="276" w:lineRule="auto"/>
        <w:ind w:left="426" w:right="-2" w:hanging="426"/>
        <w:jc w:val="both"/>
        <w:rPr>
          <w:bCs/>
        </w:rPr>
      </w:pPr>
      <w:r w:rsidRPr="00A21EEC">
        <w:rPr>
          <w:bCs/>
        </w:rPr>
        <w:t>Dojde-li před dokončením rekonstrukce k ukončení smlouvy o dílo s dodavatelem, není FTN povinna v realizaci stavby pokračovat.</w:t>
      </w:r>
    </w:p>
    <w:p w14:paraId="56FDEE9A" w14:textId="77777777" w:rsidR="0087152B" w:rsidRPr="00AE1DFD" w:rsidRDefault="00194851" w:rsidP="001E2951">
      <w:pPr>
        <w:spacing w:line="276" w:lineRule="auto"/>
        <w:jc w:val="center"/>
        <w:rPr>
          <w:b/>
        </w:rPr>
      </w:pPr>
      <w:r w:rsidRPr="00AE1DFD">
        <w:rPr>
          <w:b/>
        </w:rPr>
        <w:lastRenderedPageBreak/>
        <w:t>V</w:t>
      </w:r>
      <w:r w:rsidR="008B1F78" w:rsidRPr="00AE1DFD">
        <w:rPr>
          <w:b/>
        </w:rPr>
        <w:t>III</w:t>
      </w:r>
      <w:r w:rsidRPr="00AE1DFD">
        <w:rPr>
          <w:b/>
        </w:rPr>
        <w:t>.</w:t>
      </w:r>
    </w:p>
    <w:p w14:paraId="3133B42B" w14:textId="0336C8BC" w:rsidR="007543E2" w:rsidRPr="00AE1DFD" w:rsidRDefault="008B1F78" w:rsidP="001E2951">
      <w:pPr>
        <w:spacing w:after="120" w:line="276" w:lineRule="auto"/>
        <w:jc w:val="center"/>
        <w:rPr>
          <w:b/>
        </w:rPr>
      </w:pPr>
      <w:r w:rsidRPr="00AE1DFD">
        <w:rPr>
          <w:b/>
        </w:rPr>
        <w:t>Budoucí nájemní vztah</w:t>
      </w:r>
    </w:p>
    <w:p w14:paraId="7C064F97" w14:textId="371548BC" w:rsidR="003F5AB4" w:rsidRDefault="00AE1DFD" w:rsidP="003F5AB4">
      <w:pPr>
        <w:pStyle w:val="Odstavecseseznamem"/>
        <w:numPr>
          <w:ilvl w:val="0"/>
          <w:numId w:val="10"/>
        </w:numPr>
        <w:spacing w:line="276" w:lineRule="auto"/>
        <w:ind w:left="426" w:right="-2" w:hanging="426"/>
        <w:jc w:val="both"/>
      </w:pPr>
      <w:r w:rsidRPr="00A36B8B">
        <w:t xml:space="preserve">Po dokončení rekonstrukce a splnění všech zákonných podmínek uzavřou smluvní strany </w:t>
      </w:r>
      <w:r w:rsidR="005A1C29">
        <w:t>Smlouv</w:t>
      </w:r>
      <w:r w:rsidR="3A0FC807">
        <w:t>u</w:t>
      </w:r>
      <w:r w:rsidR="005A1C29">
        <w:t xml:space="preserve"> o nájmu prostor sloužících k podnikání (dále jen „nájemní smlouva)</w:t>
      </w:r>
      <w:r w:rsidRPr="00A36B8B">
        <w:t xml:space="preserve">, která bude upravovat zejména výši nájemného, dobu nájmu, mechanismus </w:t>
      </w:r>
      <w:r w:rsidR="001630D2" w:rsidRPr="00A36B8B">
        <w:t>započítávání</w:t>
      </w:r>
      <w:r w:rsidR="001630D2">
        <w:t xml:space="preserve"> mimořádného předplaceného </w:t>
      </w:r>
      <w:r w:rsidR="005A1C29">
        <w:t>nájemného,</w:t>
      </w:r>
      <w:r w:rsidRPr="00A36B8B">
        <w:t xml:space="preserve"> </w:t>
      </w:r>
      <w:r w:rsidR="003F5AB4" w:rsidRPr="003F5AB4">
        <w:t>rozpis započtení mimořádného předplaceného nájemného</w:t>
      </w:r>
      <w:r w:rsidR="003F5AB4">
        <w:t xml:space="preserve"> </w:t>
      </w:r>
      <w:r w:rsidR="003F5AB4" w:rsidRPr="00A36B8B">
        <w:t>a</w:t>
      </w:r>
      <w:r w:rsidR="003F5AB4">
        <w:t> </w:t>
      </w:r>
      <w:r w:rsidRPr="00A36B8B">
        <w:t>provozní podmínky užívání prostor.</w:t>
      </w:r>
      <w:r w:rsidR="00753EF1">
        <w:t xml:space="preserve"> Vzor </w:t>
      </w:r>
      <w:r w:rsidR="006567B0">
        <w:t xml:space="preserve">nájemní smlouvy </w:t>
      </w:r>
      <w:r w:rsidR="00451706">
        <w:t xml:space="preserve">tvoří přílohu č. 1 této smlouvy. </w:t>
      </w:r>
    </w:p>
    <w:p w14:paraId="1EBEA6D4" w14:textId="6176ACA7" w:rsidR="001E2951" w:rsidRDefault="00AE1DFD" w:rsidP="003F5AB4">
      <w:pPr>
        <w:pStyle w:val="Odstavecseseznamem"/>
        <w:numPr>
          <w:ilvl w:val="0"/>
          <w:numId w:val="10"/>
        </w:numPr>
        <w:spacing w:line="276" w:lineRule="auto"/>
        <w:ind w:left="426" w:right="-2" w:hanging="426"/>
        <w:jc w:val="both"/>
      </w:pPr>
      <w:r w:rsidRPr="00AE1DFD">
        <w:t xml:space="preserve">Nájemce bude oprávněn používat prostory po ukončení rekonstrukce za účelem provozování </w:t>
      </w:r>
      <w:r w:rsidR="003F5AB4">
        <w:t xml:space="preserve">za účelem provozu své prodejny, tedy prodeje potravinářského zboží, prodeje a výroby cukrářských a lahůdkářských výrobků, prodeje smíšeného drogistického zboží, provozem celoroční předzahrádky, zásobování a umístění reklamy související s tímto účelem </w:t>
      </w:r>
      <w:r w:rsidRPr="00AE1DFD">
        <w:t>na základě smlouvy o pronájmu nebytových prostor mezi FTN a</w:t>
      </w:r>
      <w:r w:rsidR="00BC5A58">
        <w:t> </w:t>
      </w:r>
      <w:r w:rsidRPr="00AE1DFD">
        <w:t xml:space="preserve">nájemcem, kterou smluvní strany uzavřou bezodkladně po ukončení rekonstrukce prostor. </w:t>
      </w:r>
    </w:p>
    <w:p w14:paraId="71D345D9" w14:textId="02BBAA35" w:rsidR="005A1C29" w:rsidRDefault="00AE1DFD" w:rsidP="005A1C29">
      <w:pPr>
        <w:pStyle w:val="Odstavecseseznamem"/>
        <w:numPr>
          <w:ilvl w:val="0"/>
          <w:numId w:val="10"/>
        </w:numPr>
        <w:spacing w:line="276" w:lineRule="auto"/>
        <w:ind w:left="426" w:right="-2" w:hanging="426"/>
        <w:jc w:val="both"/>
      </w:pPr>
      <w:r w:rsidRPr="00AE1DFD">
        <w:t xml:space="preserve">Nájemní smlouva bude uzavřena na dobu </w:t>
      </w:r>
      <w:r w:rsidR="00371323">
        <w:t>4</w:t>
      </w:r>
      <w:r w:rsidR="00371323" w:rsidRPr="00AE1DFD">
        <w:t xml:space="preserve"> </w:t>
      </w:r>
      <w:r w:rsidRPr="00AE1DFD">
        <w:t xml:space="preserve">let. Pokud budou podmínky podle § </w:t>
      </w:r>
      <w:r w:rsidR="006132B0" w:rsidRPr="00AE1DFD">
        <w:t>27</w:t>
      </w:r>
      <w:r w:rsidR="006132B0">
        <w:t xml:space="preserve"> ZMS</w:t>
      </w:r>
      <w:r w:rsidR="006132B0" w:rsidRPr="006132B0">
        <w:t xml:space="preserve"> </w:t>
      </w:r>
      <w:r w:rsidRPr="00AE1DFD">
        <w:t xml:space="preserve">splněny i nadále, lze </w:t>
      </w:r>
      <w:r w:rsidR="00371323">
        <w:t>nájem</w:t>
      </w:r>
      <w:r w:rsidR="00371323" w:rsidRPr="00AE1DFD">
        <w:t xml:space="preserve"> </w:t>
      </w:r>
      <w:r w:rsidR="00371323">
        <w:t>prodloužit na další 4 roky</w:t>
      </w:r>
      <w:r w:rsidR="006E1BE4">
        <w:t>.</w:t>
      </w:r>
    </w:p>
    <w:p w14:paraId="6C1BB5B0" w14:textId="2B297DFE" w:rsidR="00473284" w:rsidRDefault="00AE1DFD" w:rsidP="005A1C29">
      <w:pPr>
        <w:pStyle w:val="Odstavecseseznamem"/>
        <w:numPr>
          <w:ilvl w:val="0"/>
          <w:numId w:val="10"/>
        </w:numPr>
        <w:spacing w:line="276" w:lineRule="auto"/>
        <w:ind w:left="426" w:right="-2" w:hanging="426"/>
        <w:jc w:val="both"/>
      </w:pPr>
      <w:r w:rsidRPr="00AE1DFD">
        <w:t xml:space="preserve">Po vyčerpání vložených finančních prostředků bude nájemné dále fakturováno předepsaným způsobem </w:t>
      </w:r>
      <w:r w:rsidR="005A1C29">
        <w:t xml:space="preserve">dle nájemní smlouvy </w:t>
      </w:r>
    </w:p>
    <w:p w14:paraId="406682FE" w14:textId="77777777" w:rsidR="0062687A" w:rsidRPr="00AE1DFD" w:rsidRDefault="0062687A" w:rsidP="0062687A">
      <w:pPr>
        <w:pStyle w:val="Odstavecseseznamem"/>
        <w:spacing w:line="276" w:lineRule="auto"/>
        <w:ind w:left="426" w:right="-2"/>
        <w:jc w:val="both"/>
      </w:pPr>
    </w:p>
    <w:p w14:paraId="0C0E87D2" w14:textId="5516AB2A" w:rsidR="0087152B" w:rsidRPr="00AE1DFD" w:rsidRDefault="00F83E24" w:rsidP="00294F4C">
      <w:pPr>
        <w:spacing w:line="276" w:lineRule="auto"/>
        <w:jc w:val="center"/>
        <w:rPr>
          <w:b/>
        </w:rPr>
      </w:pPr>
      <w:r w:rsidRPr="00AE1DFD">
        <w:rPr>
          <w:b/>
        </w:rPr>
        <w:t>IX.</w:t>
      </w:r>
    </w:p>
    <w:p w14:paraId="754E507B" w14:textId="4E441654" w:rsidR="00677D0D" w:rsidRPr="001E2951" w:rsidRDefault="00F244BB" w:rsidP="00294F4C">
      <w:pPr>
        <w:spacing w:after="120" w:line="276" w:lineRule="auto"/>
        <w:ind w:left="425" w:hanging="425"/>
        <w:jc w:val="center"/>
        <w:rPr>
          <w:b/>
        </w:rPr>
      </w:pPr>
      <w:r w:rsidRPr="00AE1DFD">
        <w:rPr>
          <w:b/>
        </w:rPr>
        <w:t xml:space="preserve">Vypořádání </w:t>
      </w:r>
      <w:r w:rsidR="007458F9" w:rsidRPr="00AE1DFD">
        <w:rPr>
          <w:b/>
        </w:rPr>
        <w:t xml:space="preserve">v </w:t>
      </w:r>
      <w:r w:rsidR="00BD411A" w:rsidRPr="00AE1DFD">
        <w:rPr>
          <w:b/>
        </w:rPr>
        <w:t xml:space="preserve">případě </w:t>
      </w:r>
      <w:r w:rsidR="00511606" w:rsidRPr="00AE1DFD">
        <w:rPr>
          <w:b/>
        </w:rPr>
        <w:t xml:space="preserve">ukončení </w:t>
      </w:r>
      <w:r w:rsidR="001F3065">
        <w:rPr>
          <w:b/>
        </w:rPr>
        <w:t>nájemní smlouvy</w:t>
      </w:r>
    </w:p>
    <w:p w14:paraId="31B9FA4D" w14:textId="27247B65" w:rsidR="0009091B" w:rsidRPr="00C86506" w:rsidRDefault="0009091B" w:rsidP="00277D10">
      <w:pPr>
        <w:pStyle w:val="Normlnweb"/>
        <w:numPr>
          <w:ilvl w:val="0"/>
          <w:numId w:val="30"/>
        </w:numPr>
        <w:spacing w:before="0" w:beforeAutospacing="0" w:line="276" w:lineRule="auto"/>
        <w:ind w:left="426" w:hanging="426"/>
        <w:jc w:val="both"/>
        <w:rPr>
          <w:color w:val="000000" w:themeColor="text1"/>
        </w:rPr>
      </w:pPr>
      <w:r w:rsidRPr="00C86506">
        <w:rPr>
          <w:color w:val="000000" w:themeColor="text1"/>
        </w:rPr>
        <w:t xml:space="preserve">Dojde-li k ukončení </w:t>
      </w:r>
      <w:r>
        <w:rPr>
          <w:color w:val="000000" w:themeColor="text1"/>
        </w:rPr>
        <w:t xml:space="preserve">nájemní </w:t>
      </w:r>
      <w:r w:rsidRPr="00C86506">
        <w:rPr>
          <w:color w:val="000000" w:themeColor="text1"/>
        </w:rPr>
        <w:t xml:space="preserve">smlouvy </w:t>
      </w:r>
      <w:r>
        <w:rPr>
          <w:color w:val="000000" w:themeColor="text1"/>
        </w:rPr>
        <w:t xml:space="preserve">před započtením celého mimořádného předplaceného nájemného, a to </w:t>
      </w:r>
      <w:r w:rsidRPr="00C86506">
        <w:rPr>
          <w:color w:val="000000" w:themeColor="text1"/>
        </w:rPr>
        <w:t xml:space="preserve">z důvodů ležících výhradně na straně nájemce (zejména vypoví-li nájemce nájemní smlouvu nebo vypoví-li nájemní smlouvu FTN z důvodu </w:t>
      </w:r>
      <w:r>
        <w:rPr>
          <w:color w:val="000000" w:themeColor="text1"/>
        </w:rPr>
        <w:t xml:space="preserve">hrubého </w:t>
      </w:r>
      <w:r w:rsidRPr="00C86506">
        <w:rPr>
          <w:color w:val="000000" w:themeColor="text1"/>
        </w:rPr>
        <w:t>porušování nájemní smlouvy nájemce</w:t>
      </w:r>
      <w:r>
        <w:rPr>
          <w:color w:val="000000" w:themeColor="text1"/>
        </w:rPr>
        <w:t>m)</w:t>
      </w:r>
      <w:r w:rsidRPr="00C86506">
        <w:rPr>
          <w:color w:val="000000" w:themeColor="text1"/>
        </w:rPr>
        <w:t xml:space="preserve"> nemá nájemce nárok na úhradu </w:t>
      </w:r>
      <w:r>
        <w:rPr>
          <w:color w:val="000000" w:themeColor="text1"/>
        </w:rPr>
        <w:t xml:space="preserve">nezapočteného mimořádného předplaceného nájemného. </w:t>
      </w:r>
    </w:p>
    <w:p w14:paraId="58969906" w14:textId="48603138" w:rsidR="000B5595" w:rsidRDefault="0009091B" w:rsidP="00277D10">
      <w:pPr>
        <w:pStyle w:val="Normlnweb"/>
        <w:numPr>
          <w:ilvl w:val="0"/>
          <w:numId w:val="30"/>
        </w:numPr>
        <w:spacing w:before="0" w:beforeAutospacing="0" w:line="276" w:lineRule="auto"/>
        <w:ind w:left="426" w:hanging="426"/>
        <w:jc w:val="both"/>
        <w:rPr>
          <w:color w:val="000000" w:themeColor="text1"/>
        </w:rPr>
      </w:pPr>
      <w:r w:rsidRPr="00C86506">
        <w:rPr>
          <w:color w:val="000000" w:themeColor="text1"/>
        </w:rPr>
        <w:t xml:space="preserve">V případě ukončení </w:t>
      </w:r>
      <w:r w:rsidR="00724F2A">
        <w:rPr>
          <w:color w:val="000000" w:themeColor="text1"/>
        </w:rPr>
        <w:t xml:space="preserve">nájemní </w:t>
      </w:r>
      <w:r w:rsidRPr="00C86506">
        <w:rPr>
          <w:color w:val="000000" w:themeColor="text1"/>
        </w:rPr>
        <w:t>smlouvy</w:t>
      </w:r>
      <w:r w:rsidR="00724F2A">
        <w:rPr>
          <w:color w:val="000000" w:themeColor="text1"/>
        </w:rPr>
        <w:t xml:space="preserve"> z důvodu pominutí </w:t>
      </w:r>
      <w:r w:rsidR="00724F2A" w:rsidRPr="35E2A7EE">
        <w:rPr>
          <w:color w:val="000000" w:themeColor="text1"/>
        </w:rPr>
        <w:t xml:space="preserve">dočasné nepotřebnosti předmětu nájmu ve smyslu § 27 </w:t>
      </w:r>
      <w:r w:rsidR="006132B0">
        <w:rPr>
          <w:color w:val="000000" w:themeColor="text1"/>
        </w:rPr>
        <w:t>ZMS</w:t>
      </w:r>
      <w:r w:rsidR="00724F2A" w:rsidRPr="35E2A7EE">
        <w:rPr>
          <w:color w:val="000000" w:themeColor="text1"/>
        </w:rPr>
        <w:t xml:space="preserve"> zejména bude-li předmět nájmu nezbytně zapotřebí k plnění úkolů státu nebo jiných úkolů v rámci působnosti pronajímatele</w:t>
      </w:r>
      <w:r w:rsidR="000B5595">
        <w:rPr>
          <w:color w:val="000000" w:themeColor="text1"/>
        </w:rPr>
        <w:t xml:space="preserve"> </w:t>
      </w:r>
      <w:r w:rsidRPr="00C86506">
        <w:rPr>
          <w:color w:val="000000" w:themeColor="text1"/>
        </w:rPr>
        <w:t xml:space="preserve">před vyčerpáním </w:t>
      </w:r>
      <w:r>
        <w:rPr>
          <w:color w:val="000000" w:themeColor="text1"/>
        </w:rPr>
        <w:t>mimořádného předplaceného nájemného</w:t>
      </w:r>
      <w:r w:rsidRPr="00C86506">
        <w:rPr>
          <w:color w:val="000000" w:themeColor="text1"/>
        </w:rPr>
        <w:t xml:space="preserve"> bude nájemci uhrazen</w:t>
      </w:r>
      <w:r>
        <w:rPr>
          <w:color w:val="000000" w:themeColor="text1"/>
        </w:rPr>
        <w:t>o</w:t>
      </w:r>
      <w:r w:rsidRPr="00C86506">
        <w:rPr>
          <w:color w:val="000000" w:themeColor="text1"/>
        </w:rPr>
        <w:t xml:space="preserve"> </w:t>
      </w:r>
      <w:r>
        <w:rPr>
          <w:color w:val="000000" w:themeColor="text1"/>
        </w:rPr>
        <w:t>nezapočtené mimořádné předplacené nájemné</w:t>
      </w:r>
      <w:r w:rsidRPr="00C86506">
        <w:rPr>
          <w:color w:val="000000" w:themeColor="text1"/>
        </w:rPr>
        <w:t>, a to na základě dohody smluvních stran</w:t>
      </w:r>
      <w:r w:rsidR="000B5595">
        <w:rPr>
          <w:color w:val="000000" w:themeColor="text1"/>
        </w:rPr>
        <w:t>.</w:t>
      </w:r>
    </w:p>
    <w:p w14:paraId="66B6CEB7" w14:textId="031130C4" w:rsidR="00FE7DC8" w:rsidRPr="00AE1DFD" w:rsidRDefault="0009091B" w:rsidP="004A22E5">
      <w:pPr>
        <w:pStyle w:val="Normlnweb"/>
        <w:numPr>
          <w:ilvl w:val="0"/>
          <w:numId w:val="30"/>
        </w:numPr>
        <w:spacing w:before="0" w:beforeAutospacing="0" w:line="276" w:lineRule="auto"/>
        <w:ind w:left="426" w:hanging="426"/>
        <w:jc w:val="both"/>
      </w:pPr>
      <w:r w:rsidRPr="000B5595">
        <w:rPr>
          <w:color w:val="000000" w:themeColor="text1"/>
        </w:rPr>
        <w:t xml:space="preserve">V případě ukončení nájemní smlouvy dohodou před vyčerpáním mimořádného předplaceného nájemného bude nezapočtené mimořádné předplacené nájemné vypořádáno </w:t>
      </w:r>
      <w:r w:rsidR="07CAADAB" w:rsidRPr="3E844C56">
        <w:rPr>
          <w:color w:val="000000" w:themeColor="text1"/>
        </w:rPr>
        <w:t xml:space="preserve">touto </w:t>
      </w:r>
      <w:r w:rsidRPr="4B0D621C">
        <w:rPr>
          <w:color w:val="000000" w:themeColor="text1"/>
        </w:rPr>
        <w:t>dohod</w:t>
      </w:r>
      <w:r w:rsidR="135D5C51" w:rsidRPr="4B0D621C">
        <w:rPr>
          <w:color w:val="000000" w:themeColor="text1"/>
        </w:rPr>
        <w:t>ou</w:t>
      </w:r>
      <w:r w:rsidRPr="000B5595">
        <w:rPr>
          <w:color w:val="000000" w:themeColor="text1"/>
        </w:rPr>
        <w:t xml:space="preserve"> smluvních stran</w:t>
      </w:r>
      <w:r w:rsidR="5AF75F82" w:rsidRPr="16FD4066">
        <w:rPr>
          <w:color w:val="000000" w:themeColor="text1"/>
        </w:rPr>
        <w:t>.</w:t>
      </w:r>
    </w:p>
    <w:p w14:paraId="0E2537AC" w14:textId="54450721" w:rsidR="0087152B" w:rsidRPr="00AE1DFD" w:rsidRDefault="0080350B" w:rsidP="00901DB4">
      <w:pPr>
        <w:spacing w:line="276" w:lineRule="auto"/>
        <w:jc w:val="center"/>
        <w:rPr>
          <w:b/>
        </w:rPr>
      </w:pPr>
      <w:r w:rsidRPr="00AE1DFD">
        <w:rPr>
          <w:b/>
        </w:rPr>
        <w:t>X</w:t>
      </w:r>
      <w:r w:rsidR="00024BF7">
        <w:rPr>
          <w:b/>
        </w:rPr>
        <w:t>.</w:t>
      </w:r>
    </w:p>
    <w:p w14:paraId="4C734D59" w14:textId="08E5F93F" w:rsidR="00FE7DC8" w:rsidRPr="00294F4C" w:rsidRDefault="00FE7DC8" w:rsidP="00901DB4">
      <w:pPr>
        <w:spacing w:after="120" w:line="276" w:lineRule="auto"/>
        <w:jc w:val="center"/>
        <w:rPr>
          <w:b/>
        </w:rPr>
      </w:pPr>
      <w:r w:rsidRPr="00AE1DFD">
        <w:rPr>
          <w:b/>
        </w:rPr>
        <w:t>Závěrečná ustanovení</w:t>
      </w:r>
    </w:p>
    <w:p w14:paraId="3E5A184F" w14:textId="77777777" w:rsidR="00230844" w:rsidRDefault="00F501AF" w:rsidP="001C35C3">
      <w:pPr>
        <w:pStyle w:val="Normlnweb"/>
        <w:numPr>
          <w:ilvl w:val="0"/>
          <w:numId w:val="9"/>
        </w:numPr>
        <w:spacing w:before="0" w:beforeAutospacing="0" w:after="0" w:afterAutospacing="0" w:line="276" w:lineRule="auto"/>
        <w:ind w:left="426" w:hanging="426"/>
        <w:jc w:val="both"/>
        <w:rPr>
          <w:color w:val="000000" w:themeColor="text1"/>
        </w:rPr>
      </w:pPr>
      <w:r w:rsidRPr="00E564F5">
        <w:rPr>
          <w:color w:val="000000" w:themeColor="text1"/>
        </w:rPr>
        <w:t>Smlouva nabývá platnosti podpisem obou smluvních stran a účinnosti jejím zveřejněním v</w:t>
      </w:r>
      <w:r w:rsidR="00901DB4" w:rsidRPr="00E564F5">
        <w:rPr>
          <w:color w:val="000000" w:themeColor="text1"/>
        </w:rPr>
        <w:t> </w:t>
      </w:r>
      <w:r w:rsidRPr="00E564F5">
        <w:rPr>
          <w:color w:val="000000" w:themeColor="text1"/>
        </w:rPr>
        <w:t>registru smluv</w:t>
      </w:r>
    </w:p>
    <w:p w14:paraId="1482E919" w14:textId="48C4BB81" w:rsidR="0007631C" w:rsidRPr="00516DC7" w:rsidRDefault="00BE6FBC" w:rsidP="001C35C3">
      <w:pPr>
        <w:pStyle w:val="Normlnweb"/>
        <w:numPr>
          <w:ilvl w:val="0"/>
          <w:numId w:val="9"/>
        </w:numPr>
        <w:spacing w:before="0" w:beforeAutospacing="0" w:after="0" w:afterAutospacing="0" w:line="276" w:lineRule="auto"/>
        <w:ind w:left="426" w:hanging="426"/>
        <w:jc w:val="both"/>
        <w:rPr>
          <w:color w:val="000000" w:themeColor="text1"/>
        </w:rPr>
      </w:pPr>
      <w:r w:rsidRPr="00AE1DFD">
        <w:t xml:space="preserve">V </w:t>
      </w:r>
      <w:r w:rsidR="00FE7DC8" w:rsidRPr="00AE1DFD">
        <w:t>otázkách, které tato smlouva výslovně neupravuje, se práva</w:t>
      </w:r>
      <w:r w:rsidRPr="00AE1DFD">
        <w:t xml:space="preserve"> a povinnosti smluvních stran z </w:t>
      </w:r>
      <w:r w:rsidR="00FE7DC8" w:rsidRPr="00AE1DFD">
        <w:t>této smlouvy vyplývající, řídí pří</w:t>
      </w:r>
      <w:r w:rsidR="005A6BEA" w:rsidRPr="00AE1DFD">
        <w:t>slušnými ustanoveními občanského</w:t>
      </w:r>
      <w:r w:rsidR="00FE7DC8" w:rsidRPr="00AE1DFD">
        <w:t xml:space="preserve"> zákoníku a dalšími obecně závaznými předpisy.</w:t>
      </w:r>
    </w:p>
    <w:p w14:paraId="47D07F75" w14:textId="77777777" w:rsidR="009F3F1E" w:rsidRPr="00577F85" w:rsidRDefault="009F3F1E" w:rsidP="001C35C3">
      <w:pPr>
        <w:pStyle w:val="Odstavecseseznamem"/>
        <w:numPr>
          <w:ilvl w:val="0"/>
          <w:numId w:val="9"/>
        </w:numPr>
        <w:spacing w:line="276" w:lineRule="auto"/>
        <w:ind w:left="426" w:hanging="426"/>
        <w:contextualSpacing/>
        <w:jc w:val="both"/>
      </w:pPr>
      <w:r w:rsidRPr="00577F85">
        <w:lastRenderedPageBreak/>
        <w:t>Smlouva je uzavřena elektronicky a podepsána kvalifikovanými elektronickými podpisy dle zákona č. 297/2016 Sb., o službách vytvářejících důvěru pro elektronické transakce, ve znění pozdějších předpisů. </w:t>
      </w:r>
    </w:p>
    <w:p w14:paraId="00D395B9" w14:textId="25C06E08" w:rsidR="007C2014" w:rsidRPr="00FC1EA5" w:rsidRDefault="008B2249" w:rsidP="0005391C">
      <w:pPr>
        <w:numPr>
          <w:ilvl w:val="0"/>
          <w:numId w:val="9"/>
        </w:numPr>
        <w:spacing w:line="276" w:lineRule="auto"/>
        <w:ind w:left="426" w:right="-2" w:hanging="426"/>
        <w:jc w:val="both"/>
        <w:rPr>
          <w:rFonts w:eastAsia="Arial"/>
        </w:rPr>
      </w:pPr>
      <w:r w:rsidRPr="00FC1EA5">
        <w:t xml:space="preserve">Tuto smlouvu lze měnit pouze </w:t>
      </w:r>
      <w:r w:rsidR="009C0E24" w:rsidRPr="00FC1EA5">
        <w:t xml:space="preserve">vzestupně číslovanými, písemnými a </w:t>
      </w:r>
      <w:r w:rsidRPr="00FC1EA5">
        <w:t>oboustranně potvrzenými dodatky.</w:t>
      </w:r>
      <w:r w:rsidR="25A832DA" w:rsidRPr="00FC1EA5">
        <w:t xml:space="preserve"> </w:t>
      </w:r>
    </w:p>
    <w:p w14:paraId="20DA3D06" w14:textId="74FFFA78" w:rsidR="007C2014" w:rsidRPr="007110F5" w:rsidRDefault="0023730D" w:rsidP="0005391C">
      <w:pPr>
        <w:numPr>
          <w:ilvl w:val="0"/>
          <w:numId w:val="9"/>
        </w:numPr>
        <w:spacing w:line="276" w:lineRule="auto"/>
        <w:ind w:left="426" w:right="-2" w:hanging="426"/>
        <w:jc w:val="both"/>
        <w:rPr>
          <w:rFonts w:eastAsia="Arial"/>
        </w:rPr>
      </w:pPr>
      <w:r w:rsidRPr="00FC1EA5">
        <w:t xml:space="preserve">Smluvní strany berou na vědomí, že smlouva bude uveřejněna v </w:t>
      </w:r>
      <w:r w:rsidR="00503F6D" w:rsidRPr="00FC1EA5">
        <w:t>r</w:t>
      </w:r>
      <w:r w:rsidRPr="00FC1EA5">
        <w:t xml:space="preserve">egistru smluv podle zákona č. 340/2015 Sb., o zvláštních podmínkách účinnosti některých smluv, uveřejňování těchto smluv a o registru smluv, ve znění pozdějších předpisů. Zveřejnění smlouvy zajistí </w:t>
      </w:r>
      <w:r w:rsidR="00404823" w:rsidRPr="00FC1EA5">
        <w:t>FTN.</w:t>
      </w:r>
      <w:r w:rsidR="32725305" w:rsidRPr="00FC1EA5">
        <w:t xml:space="preserve"> </w:t>
      </w:r>
      <w:r w:rsidR="32725305" w:rsidRPr="00FC1EA5">
        <w:rPr>
          <w:rFonts w:eastAsia="Arial"/>
        </w:rPr>
        <w:t>Smluvní strany prohlašují, že skutečnosti uvedené v této smlouvě nepovažují za obchodní tajemství ve smyslu ustanovení § 504 občanského zákoníku</w:t>
      </w:r>
      <w:r w:rsidR="006132B0">
        <w:rPr>
          <w:rFonts w:eastAsia="Arial"/>
        </w:rPr>
        <w:t xml:space="preserve">, </w:t>
      </w:r>
      <w:r w:rsidR="32725305" w:rsidRPr="00FC1EA5">
        <w:rPr>
          <w:rFonts w:eastAsia="Arial"/>
        </w:rPr>
        <w:t>ani za důvěrné informace a souhlasí s jejich užitím a zveřejněním bez jakýchkoli dalších podmínek.</w:t>
      </w:r>
    </w:p>
    <w:p w14:paraId="1BEFCECE" w14:textId="1F037040" w:rsidR="00C60F22" w:rsidRPr="00FC1EA5" w:rsidRDefault="00C60F22" w:rsidP="0005391C">
      <w:pPr>
        <w:numPr>
          <w:ilvl w:val="0"/>
          <w:numId w:val="9"/>
        </w:numPr>
        <w:spacing w:line="276" w:lineRule="auto"/>
        <w:ind w:left="426" w:right="-2" w:hanging="426"/>
        <w:jc w:val="both"/>
      </w:pPr>
      <w:r w:rsidRPr="00FC1EA5">
        <w:t xml:space="preserve">Jakákoliv </w:t>
      </w:r>
      <w:r w:rsidR="008B28AC" w:rsidRPr="00FC1EA5">
        <w:t xml:space="preserve">oznámení, dodatky k této smlouvě a další písemnosti, </w:t>
      </w:r>
      <w:r w:rsidRPr="00FC1EA5">
        <w:t>kter</w:t>
      </w:r>
      <w:r w:rsidR="008B28AC" w:rsidRPr="00FC1EA5">
        <w:t>é</w:t>
      </w:r>
      <w:r w:rsidRPr="00FC1EA5">
        <w:t xml:space="preserve"> mají být doručen</w:t>
      </w:r>
      <w:r w:rsidR="008B28AC" w:rsidRPr="00FC1EA5">
        <w:t>y</w:t>
      </w:r>
      <w:r w:rsidRPr="00FC1EA5">
        <w:t xml:space="preserve"> podle této smlouvy druhé smluvní straně, jsou zasílán</w:t>
      </w:r>
      <w:r w:rsidR="008B28AC" w:rsidRPr="00FC1EA5">
        <w:t>y</w:t>
      </w:r>
      <w:r w:rsidRPr="00FC1EA5">
        <w:t xml:space="preserve"> primárně prostřednictvím datové schránky, není-li v této </w:t>
      </w:r>
      <w:r w:rsidR="009331F3" w:rsidRPr="00FC1EA5">
        <w:t>smlouvě</w:t>
      </w:r>
      <w:r w:rsidRPr="00FC1EA5">
        <w:t xml:space="preserve"> </w:t>
      </w:r>
      <w:r w:rsidR="009331F3" w:rsidRPr="00FC1EA5">
        <w:t>uvedeno jinak</w:t>
      </w:r>
      <w:r w:rsidRPr="00FC1EA5">
        <w:t xml:space="preserve">. </w:t>
      </w:r>
      <w:r w:rsidR="00135B0E" w:rsidRPr="00FC1EA5">
        <w:t>Pokud doručování do datové schránk</w:t>
      </w:r>
      <w:r w:rsidR="0093657E">
        <w:t>y</w:t>
      </w:r>
      <w:r w:rsidR="00135B0E" w:rsidRPr="00FC1EA5">
        <w:t xml:space="preserve"> není možné, j</w:t>
      </w:r>
      <w:r w:rsidR="008B28AC" w:rsidRPr="00FC1EA5">
        <w:t>sou příslušná oznámení a dodatky ke smlouvě a jiné písemnosti</w:t>
      </w:r>
      <w:r w:rsidR="00380952">
        <w:t xml:space="preserve">, </w:t>
      </w:r>
      <w:r w:rsidRPr="00FC1EA5">
        <w:t xml:space="preserve">pro která je předepsaná písemná forma předány osobně, zaslány elektronicky </w:t>
      </w:r>
      <w:r w:rsidR="008B28AC" w:rsidRPr="00FC1EA5">
        <w:t>do e-mailové schránky</w:t>
      </w:r>
      <w:r w:rsidRPr="00FC1EA5">
        <w:t xml:space="preserve"> nebo </w:t>
      </w:r>
      <w:r w:rsidR="008B28AC" w:rsidRPr="00FC1EA5">
        <w:t xml:space="preserve">zaslány prostřednictvím doručovatele poštovních zásilek </w:t>
      </w:r>
      <w:r w:rsidRPr="00FC1EA5">
        <w:t>jako doporučená poštovní zásilka na adresu sídla smluvní strany</w:t>
      </w:r>
      <w:r w:rsidR="008B28AC" w:rsidRPr="00FC1EA5">
        <w:t xml:space="preserve">. </w:t>
      </w:r>
      <w:r w:rsidRPr="00FC1EA5">
        <w:t>Při doručování prostřednictvím pošty se za den doručení považuje 10. pracovní den následující po dni uložení zásilky, nebyla-li v uvedené lhůtě vyzvednuta dříve.</w:t>
      </w:r>
    </w:p>
    <w:p w14:paraId="36849A24" w14:textId="34D8D62D" w:rsidR="0066782A" w:rsidRPr="00FC1EA5" w:rsidRDefault="0066782A" w:rsidP="0005391C">
      <w:pPr>
        <w:pStyle w:val="Odstavecseseznamem"/>
        <w:numPr>
          <w:ilvl w:val="0"/>
          <w:numId w:val="9"/>
        </w:numPr>
        <w:spacing w:line="276" w:lineRule="auto"/>
        <w:ind w:left="426" w:hanging="426"/>
        <w:contextualSpacing/>
        <w:jc w:val="both"/>
      </w:pPr>
      <w:r w:rsidRPr="00FC1EA5">
        <w:rPr>
          <w:rFonts w:eastAsia="Arial"/>
        </w:rPr>
        <w:t xml:space="preserve">Smluvní strany prohlašují, že si tuto smlouvu </w:t>
      </w:r>
      <w:r w:rsidRPr="00FC1EA5">
        <w:rPr>
          <w:rFonts w:eastAsia="Arial"/>
          <w:iCs/>
        </w:rPr>
        <w:t xml:space="preserve">řádně přečetly, jejímu obsahu porozuměly, a že je projevem jejich pravé, svobodné a vážné vůle prosté omylu, projevené při plné způsobilosti k právním úkonům, a že veškerá prohlášení ve smlouvě odpovídají skutečnosti, což níže stvrzují svými podpisy. </w:t>
      </w:r>
    </w:p>
    <w:p w14:paraId="4FBED3B0" w14:textId="77777777" w:rsidR="00901DB4" w:rsidRPr="00FC1EA5" w:rsidRDefault="15EE8090" w:rsidP="0005391C">
      <w:pPr>
        <w:pStyle w:val="Odstavecseseznamem"/>
        <w:numPr>
          <w:ilvl w:val="0"/>
          <w:numId w:val="9"/>
        </w:numPr>
        <w:spacing w:after="120" w:line="276" w:lineRule="auto"/>
        <w:ind w:left="426" w:hanging="426"/>
        <w:contextualSpacing/>
        <w:jc w:val="both"/>
      </w:pPr>
      <w:r w:rsidRPr="00FC1EA5">
        <w:t>Nedílnou součástí této smlouvy je:</w:t>
      </w:r>
    </w:p>
    <w:p w14:paraId="3512E09C" w14:textId="354E89E0" w:rsidR="00901DB4" w:rsidRDefault="15EE8090" w:rsidP="00901DB4">
      <w:pPr>
        <w:pStyle w:val="Odstavecseseznamem"/>
        <w:numPr>
          <w:ilvl w:val="0"/>
          <w:numId w:val="13"/>
        </w:numPr>
        <w:spacing w:after="120" w:line="276" w:lineRule="auto"/>
        <w:ind w:left="851" w:hanging="426"/>
        <w:contextualSpacing/>
        <w:jc w:val="both"/>
      </w:pPr>
      <w:r>
        <w:t>Příloha č. 1: Vzor nájemní smlouvy.</w:t>
      </w:r>
    </w:p>
    <w:p w14:paraId="313DD834" w14:textId="77777777" w:rsidR="00024BF7" w:rsidRDefault="00024BF7" w:rsidP="00901DB4">
      <w:pPr>
        <w:spacing w:after="120" w:line="276" w:lineRule="auto"/>
        <w:contextualSpacing/>
        <w:jc w:val="both"/>
      </w:pPr>
    </w:p>
    <w:tbl>
      <w:tblPr>
        <w:tblStyle w:val="TableNormal1"/>
        <w:tblW w:w="9214" w:type="dxa"/>
        <w:tblInd w:w="-147"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CellMar>
          <w:left w:w="0" w:type="dxa"/>
          <w:right w:w="0" w:type="dxa"/>
        </w:tblCellMar>
        <w:tblLook w:val="04A0" w:firstRow="1" w:lastRow="0" w:firstColumn="1" w:lastColumn="0" w:noHBand="0" w:noVBand="1"/>
      </w:tblPr>
      <w:tblGrid>
        <w:gridCol w:w="4537"/>
        <w:gridCol w:w="4677"/>
      </w:tblGrid>
      <w:tr w:rsidR="00901DB4" w:rsidRPr="00871D81" w14:paraId="6565B57F" w14:textId="77777777" w:rsidTr="00A165C6">
        <w:trPr>
          <w:trHeight w:val="300"/>
        </w:trPr>
        <w:tc>
          <w:tcPr>
            <w:tcW w:w="4537" w:type="dxa"/>
            <w:hideMark/>
          </w:tcPr>
          <w:p w14:paraId="3F4FCEFF" w14:textId="77777777" w:rsidR="00901DB4" w:rsidRPr="00871D81" w:rsidRDefault="00901DB4" w:rsidP="00A165C6">
            <w:pPr>
              <w:ind w:left="576"/>
              <w:textAlignment w:val="baseline"/>
            </w:pPr>
            <w:r w:rsidRPr="6F8ACB98">
              <w:t xml:space="preserve">Za </w:t>
            </w:r>
            <w:r w:rsidRPr="6F8ACB98">
              <w:rPr>
                <w:b/>
                <w:bCs/>
              </w:rPr>
              <w:t>nájemce</w:t>
            </w:r>
            <w:r w:rsidRPr="6F8ACB98">
              <w:t>:  </w:t>
            </w:r>
          </w:p>
        </w:tc>
        <w:tc>
          <w:tcPr>
            <w:tcW w:w="4677" w:type="dxa"/>
            <w:hideMark/>
          </w:tcPr>
          <w:p w14:paraId="73C4F130" w14:textId="77777777" w:rsidR="00901DB4" w:rsidRPr="00871D81" w:rsidRDefault="00901DB4" w:rsidP="00A165C6">
            <w:pPr>
              <w:ind w:left="850"/>
              <w:textAlignment w:val="baseline"/>
            </w:pPr>
            <w:r w:rsidRPr="6F8ACB98">
              <w:t xml:space="preserve">Za </w:t>
            </w:r>
            <w:r w:rsidRPr="6F8ACB98">
              <w:rPr>
                <w:b/>
                <w:bCs/>
              </w:rPr>
              <w:t>FTN</w:t>
            </w:r>
            <w:r w:rsidRPr="6F8ACB98">
              <w:t>:  </w:t>
            </w:r>
          </w:p>
        </w:tc>
      </w:tr>
      <w:tr w:rsidR="00901DB4" w:rsidRPr="00871D81" w14:paraId="7B2E45F4" w14:textId="77777777" w:rsidTr="00A165C6">
        <w:trPr>
          <w:trHeight w:val="300"/>
        </w:trPr>
        <w:tc>
          <w:tcPr>
            <w:tcW w:w="4537" w:type="dxa"/>
            <w:hideMark/>
          </w:tcPr>
          <w:p w14:paraId="09F0BB1B" w14:textId="77777777" w:rsidR="00901DB4" w:rsidRPr="00871D81" w:rsidRDefault="00901DB4" w:rsidP="00A165C6">
            <w:pPr>
              <w:ind w:left="576"/>
              <w:textAlignment w:val="baseline"/>
            </w:pPr>
            <w:r w:rsidRPr="00871D81">
              <w:t> </w:t>
            </w:r>
          </w:p>
        </w:tc>
        <w:tc>
          <w:tcPr>
            <w:tcW w:w="4677" w:type="dxa"/>
            <w:hideMark/>
          </w:tcPr>
          <w:p w14:paraId="7346B8D9" w14:textId="77777777" w:rsidR="00901DB4" w:rsidRPr="00871D81" w:rsidRDefault="00901DB4" w:rsidP="00A165C6">
            <w:pPr>
              <w:ind w:left="850"/>
              <w:textAlignment w:val="baseline"/>
            </w:pPr>
            <w:r w:rsidRPr="00871D81">
              <w:t> </w:t>
            </w:r>
          </w:p>
        </w:tc>
      </w:tr>
      <w:tr w:rsidR="00901DB4" w:rsidRPr="00871D81" w14:paraId="07A7E017" w14:textId="77777777" w:rsidTr="00A165C6">
        <w:trPr>
          <w:trHeight w:val="300"/>
        </w:trPr>
        <w:tc>
          <w:tcPr>
            <w:tcW w:w="4537" w:type="dxa"/>
            <w:hideMark/>
          </w:tcPr>
          <w:p w14:paraId="393E9BD9" w14:textId="19041933" w:rsidR="00901DB4" w:rsidRPr="00871D81" w:rsidRDefault="00901DB4" w:rsidP="00A165C6">
            <w:pPr>
              <w:ind w:left="576"/>
              <w:textAlignment w:val="baseline"/>
            </w:pPr>
            <w:r w:rsidRPr="00871D81">
              <w:t xml:space="preserve">V Praze dne </w:t>
            </w:r>
            <w:r w:rsidR="000C69DB">
              <w:rPr>
                <w:i/>
                <w:iCs/>
              </w:rPr>
              <w:t>3.6.2026</w:t>
            </w:r>
            <w:r w:rsidRPr="00871D81">
              <w:t>       </w:t>
            </w:r>
          </w:p>
        </w:tc>
        <w:tc>
          <w:tcPr>
            <w:tcW w:w="4677" w:type="dxa"/>
            <w:hideMark/>
          </w:tcPr>
          <w:p w14:paraId="31EDB790" w14:textId="67E2C35C" w:rsidR="00901DB4" w:rsidRPr="00871D81" w:rsidRDefault="00901DB4" w:rsidP="00A165C6">
            <w:pPr>
              <w:ind w:left="850"/>
              <w:textAlignment w:val="baseline"/>
            </w:pPr>
            <w:r w:rsidRPr="00871D81">
              <w:t>V Praze dne </w:t>
            </w:r>
            <w:r w:rsidR="000C69DB">
              <w:rPr>
                <w:i/>
                <w:iCs/>
              </w:rPr>
              <w:t>9.6.2026</w:t>
            </w:r>
          </w:p>
        </w:tc>
      </w:tr>
      <w:tr w:rsidR="00901DB4" w:rsidRPr="00871D81" w14:paraId="1AAE58D4" w14:textId="77777777" w:rsidTr="00A165C6">
        <w:trPr>
          <w:trHeight w:val="300"/>
        </w:trPr>
        <w:tc>
          <w:tcPr>
            <w:tcW w:w="4537" w:type="dxa"/>
            <w:hideMark/>
          </w:tcPr>
          <w:p w14:paraId="4E4C7E7D" w14:textId="77777777" w:rsidR="00901DB4" w:rsidRPr="00871D81" w:rsidRDefault="00901DB4" w:rsidP="00A165C6">
            <w:pPr>
              <w:ind w:left="576"/>
              <w:textAlignment w:val="baseline"/>
            </w:pPr>
            <w:r w:rsidRPr="00871D81">
              <w:t> </w:t>
            </w:r>
          </w:p>
        </w:tc>
        <w:tc>
          <w:tcPr>
            <w:tcW w:w="4677" w:type="dxa"/>
            <w:hideMark/>
          </w:tcPr>
          <w:p w14:paraId="679D5AB9" w14:textId="77777777" w:rsidR="00901DB4" w:rsidRPr="00871D81" w:rsidRDefault="00901DB4" w:rsidP="00A165C6">
            <w:pPr>
              <w:ind w:left="850"/>
              <w:textAlignment w:val="baseline"/>
            </w:pPr>
            <w:r w:rsidRPr="00871D81">
              <w:t> </w:t>
            </w:r>
          </w:p>
        </w:tc>
      </w:tr>
      <w:tr w:rsidR="00901DB4" w:rsidRPr="00871D81" w14:paraId="611CAA5D" w14:textId="77777777" w:rsidTr="00A165C6">
        <w:trPr>
          <w:trHeight w:val="300"/>
        </w:trPr>
        <w:tc>
          <w:tcPr>
            <w:tcW w:w="4537" w:type="dxa"/>
            <w:hideMark/>
          </w:tcPr>
          <w:p w14:paraId="2D928CE4" w14:textId="77777777" w:rsidR="00901DB4" w:rsidRPr="00871D81" w:rsidRDefault="00901DB4" w:rsidP="00A165C6">
            <w:pPr>
              <w:ind w:left="576"/>
              <w:textAlignment w:val="baseline"/>
            </w:pPr>
            <w:r w:rsidRPr="00871D81">
              <w:t> </w:t>
            </w:r>
          </w:p>
        </w:tc>
        <w:tc>
          <w:tcPr>
            <w:tcW w:w="4677" w:type="dxa"/>
            <w:hideMark/>
          </w:tcPr>
          <w:p w14:paraId="6A33D26E" w14:textId="77777777" w:rsidR="00901DB4" w:rsidRPr="00871D81" w:rsidRDefault="00901DB4" w:rsidP="00A165C6">
            <w:pPr>
              <w:ind w:left="850"/>
              <w:textAlignment w:val="baseline"/>
            </w:pPr>
            <w:r w:rsidRPr="00871D81">
              <w:t> </w:t>
            </w:r>
          </w:p>
        </w:tc>
      </w:tr>
      <w:tr w:rsidR="00B10BDB" w:rsidRPr="00871D81" w14:paraId="599BC091" w14:textId="77777777" w:rsidTr="00A165C6">
        <w:trPr>
          <w:trHeight w:val="300"/>
        </w:trPr>
        <w:tc>
          <w:tcPr>
            <w:tcW w:w="4537" w:type="dxa"/>
          </w:tcPr>
          <w:p w14:paraId="469CE08B" w14:textId="77777777" w:rsidR="00B10BDB" w:rsidRPr="00871D81" w:rsidRDefault="00B10BDB" w:rsidP="00A165C6">
            <w:pPr>
              <w:ind w:left="576"/>
              <w:textAlignment w:val="baseline"/>
            </w:pPr>
          </w:p>
        </w:tc>
        <w:tc>
          <w:tcPr>
            <w:tcW w:w="4677" w:type="dxa"/>
          </w:tcPr>
          <w:p w14:paraId="0B5F1455" w14:textId="77777777" w:rsidR="00B10BDB" w:rsidRPr="00871D81" w:rsidRDefault="00B10BDB" w:rsidP="00A165C6">
            <w:pPr>
              <w:ind w:left="850"/>
              <w:textAlignment w:val="baseline"/>
            </w:pPr>
          </w:p>
        </w:tc>
      </w:tr>
      <w:tr w:rsidR="00B10BDB" w:rsidRPr="00871D81" w14:paraId="5A4EC43B" w14:textId="77777777" w:rsidTr="00A165C6">
        <w:trPr>
          <w:trHeight w:val="300"/>
        </w:trPr>
        <w:tc>
          <w:tcPr>
            <w:tcW w:w="4537" w:type="dxa"/>
          </w:tcPr>
          <w:p w14:paraId="7818197B" w14:textId="77777777" w:rsidR="00B10BDB" w:rsidRPr="00871D81" w:rsidRDefault="00B10BDB" w:rsidP="00A165C6">
            <w:pPr>
              <w:ind w:left="576"/>
              <w:textAlignment w:val="baseline"/>
            </w:pPr>
          </w:p>
        </w:tc>
        <w:tc>
          <w:tcPr>
            <w:tcW w:w="4677" w:type="dxa"/>
          </w:tcPr>
          <w:p w14:paraId="4F96768C" w14:textId="77777777" w:rsidR="00B10BDB" w:rsidRPr="00871D81" w:rsidRDefault="00B10BDB" w:rsidP="00A165C6">
            <w:pPr>
              <w:ind w:left="850"/>
              <w:textAlignment w:val="baseline"/>
            </w:pPr>
          </w:p>
        </w:tc>
      </w:tr>
      <w:tr w:rsidR="00901DB4" w:rsidRPr="00871D81" w14:paraId="3B93AF32" w14:textId="77777777" w:rsidTr="00A165C6">
        <w:trPr>
          <w:trHeight w:val="300"/>
        </w:trPr>
        <w:tc>
          <w:tcPr>
            <w:tcW w:w="4537" w:type="dxa"/>
          </w:tcPr>
          <w:p w14:paraId="23C09AE9" w14:textId="77777777" w:rsidR="00901DB4" w:rsidRPr="00871D81" w:rsidRDefault="00901DB4" w:rsidP="00A165C6">
            <w:pPr>
              <w:ind w:left="576"/>
              <w:textAlignment w:val="baseline"/>
            </w:pPr>
          </w:p>
        </w:tc>
        <w:tc>
          <w:tcPr>
            <w:tcW w:w="4677" w:type="dxa"/>
          </w:tcPr>
          <w:p w14:paraId="2F03B06A" w14:textId="77777777" w:rsidR="00901DB4" w:rsidRPr="00871D81" w:rsidRDefault="00901DB4" w:rsidP="00A165C6">
            <w:pPr>
              <w:ind w:left="850"/>
              <w:textAlignment w:val="baseline"/>
            </w:pPr>
          </w:p>
        </w:tc>
      </w:tr>
      <w:tr w:rsidR="00024BF7" w:rsidRPr="00871D81" w14:paraId="357672CE" w14:textId="77777777" w:rsidTr="00A165C6">
        <w:trPr>
          <w:trHeight w:val="300"/>
        </w:trPr>
        <w:tc>
          <w:tcPr>
            <w:tcW w:w="4537" w:type="dxa"/>
          </w:tcPr>
          <w:p w14:paraId="37EFF2D4" w14:textId="77777777" w:rsidR="00024BF7" w:rsidRPr="00871D81" w:rsidRDefault="00024BF7" w:rsidP="00A165C6">
            <w:pPr>
              <w:ind w:left="576"/>
              <w:textAlignment w:val="baseline"/>
            </w:pPr>
          </w:p>
        </w:tc>
        <w:tc>
          <w:tcPr>
            <w:tcW w:w="4677" w:type="dxa"/>
          </w:tcPr>
          <w:p w14:paraId="0B4371EE" w14:textId="77777777" w:rsidR="00024BF7" w:rsidRPr="00871D81" w:rsidRDefault="00024BF7" w:rsidP="00A165C6">
            <w:pPr>
              <w:ind w:left="850"/>
              <w:textAlignment w:val="baseline"/>
            </w:pPr>
          </w:p>
        </w:tc>
      </w:tr>
      <w:tr w:rsidR="00024BF7" w:rsidRPr="00871D81" w14:paraId="2325B795" w14:textId="77777777" w:rsidTr="00A165C6">
        <w:trPr>
          <w:trHeight w:val="300"/>
        </w:trPr>
        <w:tc>
          <w:tcPr>
            <w:tcW w:w="4537" w:type="dxa"/>
          </w:tcPr>
          <w:p w14:paraId="1C1F1D48" w14:textId="77777777" w:rsidR="00024BF7" w:rsidRPr="00871D81" w:rsidRDefault="00024BF7" w:rsidP="00A165C6">
            <w:pPr>
              <w:ind w:left="576"/>
              <w:textAlignment w:val="baseline"/>
            </w:pPr>
          </w:p>
        </w:tc>
        <w:tc>
          <w:tcPr>
            <w:tcW w:w="4677" w:type="dxa"/>
          </w:tcPr>
          <w:p w14:paraId="70B321D4" w14:textId="77777777" w:rsidR="00024BF7" w:rsidRPr="00871D81" w:rsidRDefault="00024BF7" w:rsidP="00A165C6">
            <w:pPr>
              <w:ind w:left="850"/>
              <w:textAlignment w:val="baseline"/>
            </w:pPr>
          </w:p>
        </w:tc>
      </w:tr>
      <w:tr w:rsidR="00901DB4" w:rsidRPr="00871D81" w14:paraId="1564090C" w14:textId="77777777" w:rsidTr="00A165C6">
        <w:trPr>
          <w:trHeight w:val="300"/>
        </w:trPr>
        <w:tc>
          <w:tcPr>
            <w:tcW w:w="4537" w:type="dxa"/>
            <w:hideMark/>
          </w:tcPr>
          <w:p w14:paraId="2BB4DF17" w14:textId="77777777" w:rsidR="00901DB4" w:rsidRPr="00871D81" w:rsidRDefault="00901DB4" w:rsidP="00A165C6">
            <w:pPr>
              <w:ind w:left="576"/>
              <w:jc w:val="center"/>
              <w:textAlignment w:val="baseline"/>
            </w:pPr>
            <w:r w:rsidRPr="00871D81">
              <w:t>…………………………… </w:t>
            </w:r>
          </w:p>
        </w:tc>
        <w:tc>
          <w:tcPr>
            <w:tcW w:w="4677" w:type="dxa"/>
            <w:hideMark/>
          </w:tcPr>
          <w:p w14:paraId="54DF4B99" w14:textId="77777777" w:rsidR="00901DB4" w:rsidRPr="00871D81" w:rsidRDefault="00901DB4" w:rsidP="00A165C6">
            <w:pPr>
              <w:ind w:left="850"/>
              <w:jc w:val="center"/>
              <w:textAlignment w:val="baseline"/>
            </w:pPr>
            <w:r w:rsidRPr="00871D81">
              <w:t>…………………………… </w:t>
            </w:r>
          </w:p>
        </w:tc>
      </w:tr>
      <w:tr w:rsidR="00901DB4" w:rsidRPr="00871D81" w14:paraId="3498B2CF" w14:textId="77777777" w:rsidTr="00A165C6">
        <w:trPr>
          <w:trHeight w:val="300"/>
        </w:trPr>
        <w:tc>
          <w:tcPr>
            <w:tcW w:w="4537" w:type="dxa"/>
          </w:tcPr>
          <w:p w14:paraId="39BBCA61" w14:textId="1CB4EDC5" w:rsidR="00901DB4" w:rsidRPr="00871D81" w:rsidRDefault="00B10BDB" w:rsidP="00A165C6">
            <w:pPr>
              <w:ind w:left="576"/>
              <w:jc w:val="center"/>
              <w:textAlignment w:val="baseline"/>
              <w:rPr>
                <w:b/>
                <w:bCs/>
              </w:rPr>
            </w:pPr>
            <w:r>
              <w:rPr>
                <w:b/>
                <w:bCs/>
              </w:rPr>
              <w:t>Ing. Jiří Kulhánek</w:t>
            </w:r>
          </w:p>
        </w:tc>
        <w:tc>
          <w:tcPr>
            <w:tcW w:w="4677" w:type="dxa"/>
            <w:hideMark/>
          </w:tcPr>
          <w:p w14:paraId="744FCDD7" w14:textId="0B77D171" w:rsidR="00901DB4" w:rsidRPr="00871D81" w:rsidRDefault="00024BF7" w:rsidP="00A165C6">
            <w:pPr>
              <w:ind w:left="850"/>
              <w:jc w:val="center"/>
              <w:textAlignment w:val="baseline"/>
              <w:rPr>
                <w:b/>
                <w:bCs/>
              </w:rPr>
            </w:pPr>
            <w:r>
              <w:rPr>
                <w:b/>
                <w:bCs/>
              </w:rPr>
              <w:t>doc. MUDr. Zdeněk Beneš CSc.</w:t>
            </w:r>
            <w:r w:rsidR="00901DB4" w:rsidRPr="00871D81">
              <w:rPr>
                <w:b/>
                <w:bCs/>
              </w:rPr>
              <w:t> </w:t>
            </w:r>
          </w:p>
        </w:tc>
      </w:tr>
      <w:tr w:rsidR="00901DB4" w:rsidRPr="00871D81" w14:paraId="30081817" w14:textId="77777777" w:rsidTr="00A165C6">
        <w:trPr>
          <w:trHeight w:val="300"/>
        </w:trPr>
        <w:tc>
          <w:tcPr>
            <w:tcW w:w="4537" w:type="dxa"/>
          </w:tcPr>
          <w:p w14:paraId="611072DC" w14:textId="3B3E4318" w:rsidR="00901DB4" w:rsidRPr="00871D81" w:rsidRDefault="001F0519" w:rsidP="00A165C6">
            <w:pPr>
              <w:ind w:left="576"/>
              <w:jc w:val="center"/>
              <w:textAlignment w:val="baseline"/>
            </w:pPr>
            <w:r>
              <w:t>předseda správní rady</w:t>
            </w:r>
          </w:p>
        </w:tc>
        <w:tc>
          <w:tcPr>
            <w:tcW w:w="4677" w:type="dxa"/>
            <w:hideMark/>
          </w:tcPr>
          <w:p w14:paraId="4F133C96" w14:textId="52AF21CA" w:rsidR="00901DB4" w:rsidRPr="00871D81" w:rsidRDefault="00024BF7" w:rsidP="00A165C6">
            <w:pPr>
              <w:ind w:left="850"/>
              <w:jc w:val="center"/>
              <w:textAlignment w:val="baseline"/>
            </w:pPr>
            <w:r>
              <w:t>ředitel FTN</w:t>
            </w:r>
          </w:p>
        </w:tc>
      </w:tr>
    </w:tbl>
    <w:p w14:paraId="0F295287" w14:textId="77777777" w:rsidR="00901DB4" w:rsidRDefault="00901DB4" w:rsidP="00901DB4">
      <w:pPr>
        <w:spacing w:after="120" w:line="276" w:lineRule="auto"/>
        <w:contextualSpacing/>
        <w:jc w:val="both"/>
      </w:pPr>
    </w:p>
    <w:p w14:paraId="73779711" w14:textId="77777777" w:rsidR="008A5A8C" w:rsidRDefault="008A5A8C" w:rsidP="00901DB4">
      <w:pPr>
        <w:spacing w:after="120" w:line="276" w:lineRule="auto"/>
        <w:contextualSpacing/>
        <w:jc w:val="both"/>
      </w:pPr>
    </w:p>
    <w:p w14:paraId="2615F4E3" w14:textId="77777777" w:rsidR="008A5A8C" w:rsidRDefault="008A5A8C" w:rsidP="00901DB4">
      <w:pPr>
        <w:spacing w:after="120" w:line="276" w:lineRule="auto"/>
        <w:contextualSpacing/>
        <w:jc w:val="both"/>
        <w:sectPr w:rsidR="008A5A8C" w:rsidSect="008A5A8C">
          <w:headerReference w:type="default" r:id="rId11"/>
          <w:footerReference w:type="default" r:id="rId12"/>
          <w:type w:val="continuous"/>
          <w:pgSz w:w="11906" w:h="16838"/>
          <w:pgMar w:top="1417" w:right="1417" w:bottom="1417" w:left="1417" w:header="283" w:footer="454" w:gutter="0"/>
          <w:cols w:space="708"/>
          <w:docGrid w:linePitch="360"/>
        </w:sectPr>
      </w:pPr>
    </w:p>
    <w:p w14:paraId="120813E3" w14:textId="7788F8BC" w:rsidR="00B10BDB" w:rsidRDefault="00B10BDB" w:rsidP="00B10BDB">
      <w:pPr>
        <w:spacing w:line="276" w:lineRule="auto"/>
        <w:rPr>
          <w:b/>
          <w:bCs/>
        </w:rPr>
      </w:pPr>
      <w:r w:rsidRPr="00D31B87">
        <w:rPr>
          <w:b/>
          <w:bCs/>
        </w:rPr>
        <w:lastRenderedPageBreak/>
        <w:t>Příloha č. 1:</w:t>
      </w:r>
      <w:r>
        <w:rPr>
          <w:b/>
          <w:bCs/>
        </w:rPr>
        <w:t xml:space="preserve"> Vzor nájemní smlouvy</w:t>
      </w:r>
    </w:p>
    <w:p w14:paraId="3F7E5F7C" w14:textId="77777777" w:rsidR="00B10BDB" w:rsidRDefault="00B10BDB" w:rsidP="008A5A8C">
      <w:pPr>
        <w:spacing w:line="276" w:lineRule="auto"/>
        <w:jc w:val="center"/>
        <w:rPr>
          <w:b/>
          <w:bCs/>
        </w:rPr>
      </w:pPr>
    </w:p>
    <w:p w14:paraId="287455B0" w14:textId="77777777" w:rsidR="00B10BDB" w:rsidRDefault="00B10BDB" w:rsidP="008A5A8C">
      <w:pPr>
        <w:spacing w:line="276" w:lineRule="auto"/>
        <w:jc w:val="center"/>
        <w:rPr>
          <w:b/>
          <w:bCs/>
        </w:rPr>
      </w:pPr>
    </w:p>
    <w:p w14:paraId="63C5706D" w14:textId="6E21F9AD" w:rsidR="008A5A8C" w:rsidRPr="00845E98" w:rsidRDefault="008A5A8C" w:rsidP="008A5A8C">
      <w:pPr>
        <w:spacing w:line="276" w:lineRule="auto"/>
        <w:jc w:val="center"/>
        <w:rPr>
          <w:b/>
          <w:bCs/>
        </w:rPr>
      </w:pPr>
      <w:r w:rsidRPr="35E2A7EE">
        <w:rPr>
          <w:b/>
          <w:bCs/>
        </w:rPr>
        <w:t xml:space="preserve">SMLOUVA  </w:t>
      </w:r>
    </w:p>
    <w:p w14:paraId="2876F218" w14:textId="77777777" w:rsidR="008A5A8C" w:rsidRPr="00845E98" w:rsidRDefault="008A5A8C" w:rsidP="008A5A8C">
      <w:pPr>
        <w:spacing w:after="120" w:line="276" w:lineRule="auto"/>
        <w:jc w:val="center"/>
        <w:rPr>
          <w:b/>
          <w:bCs/>
        </w:rPr>
      </w:pPr>
      <w:r w:rsidRPr="35E2A7EE">
        <w:rPr>
          <w:b/>
          <w:bCs/>
        </w:rPr>
        <w:t>o nájmu </w:t>
      </w:r>
      <w:r w:rsidRPr="35E2A7EE" w:rsidDel="006629AF">
        <w:rPr>
          <w:b/>
          <w:bCs/>
        </w:rPr>
        <w:t>prostor sloužíc</w:t>
      </w:r>
      <w:r>
        <w:rPr>
          <w:b/>
          <w:bCs/>
        </w:rPr>
        <w:t>ích</w:t>
      </w:r>
      <w:r w:rsidRPr="35E2A7EE">
        <w:rPr>
          <w:b/>
          <w:bCs/>
        </w:rPr>
        <w:t xml:space="preserve"> k podnikání </w:t>
      </w:r>
    </w:p>
    <w:p w14:paraId="76325D27" w14:textId="77777777" w:rsidR="008A5A8C" w:rsidRPr="00845E98" w:rsidRDefault="008A5A8C" w:rsidP="008A5A8C">
      <w:pPr>
        <w:spacing w:after="120" w:line="276" w:lineRule="auto"/>
        <w:jc w:val="center"/>
      </w:pPr>
      <w:r w:rsidRPr="70BEF74F">
        <w:t>(dále jen </w:t>
      </w:r>
      <w:r w:rsidRPr="70BEF74F">
        <w:rPr>
          <w:b/>
          <w:bCs/>
        </w:rPr>
        <w:t>„smlouva“</w:t>
      </w:r>
      <w:r w:rsidRPr="70BEF74F">
        <w:t>)</w:t>
      </w:r>
    </w:p>
    <w:p w14:paraId="052CAA97" w14:textId="77777777" w:rsidR="008A5A8C" w:rsidRPr="00845E98" w:rsidRDefault="008A5A8C" w:rsidP="008A5A8C">
      <w:pPr>
        <w:spacing w:line="276" w:lineRule="auto"/>
        <w:jc w:val="center"/>
        <w:rPr>
          <w:b/>
          <w:bCs/>
        </w:rPr>
      </w:pPr>
      <w:r w:rsidRPr="35E2A7EE">
        <w:t>uzavřená dle § 2302 a násl. zákona č. 89/2012 Sb., občanský zákoník</w:t>
      </w:r>
      <w:r>
        <w:t>, ve znění pozdějších předpisů</w:t>
      </w:r>
      <w:r w:rsidRPr="35E2A7EE">
        <w:t xml:space="preserve"> (dále jen „Občanský zákoník“) a v souladu s § 27 odst. 2 zákona č. 219/2000 Sb., o</w:t>
      </w:r>
      <w:r>
        <w:t> </w:t>
      </w:r>
      <w:r w:rsidRPr="35E2A7EE">
        <w:t>majetku České republiky a jejím vystupování v právních vztazích,</w:t>
      </w:r>
      <w:r>
        <w:t xml:space="preserve"> ve znění pozdějších předpisů (dále jen „zákon o majetku státu“)</w:t>
      </w:r>
      <w:r w:rsidRPr="35E2A7EE">
        <w:t xml:space="preserve"> mezi:</w:t>
      </w:r>
      <w:r w:rsidRPr="35E2A7EE">
        <w:rPr>
          <w:b/>
          <w:bCs/>
        </w:rPr>
        <w:t> </w:t>
      </w:r>
      <w:r>
        <w:br/>
      </w:r>
    </w:p>
    <w:p w14:paraId="1D991B6E" w14:textId="77777777" w:rsidR="008A5A8C" w:rsidRPr="00845E98" w:rsidRDefault="008A5A8C" w:rsidP="008A5A8C">
      <w:pPr>
        <w:spacing w:line="276" w:lineRule="auto"/>
      </w:pPr>
      <w:r w:rsidRPr="35E2A7EE">
        <w:rPr>
          <w:b/>
          <w:bCs/>
        </w:rPr>
        <w:t>Fakultní Thomayerova nemocnice </w:t>
      </w:r>
      <w:r w:rsidRPr="35E2A7EE">
        <w:t> </w:t>
      </w:r>
    </w:p>
    <w:p w14:paraId="15BE03C2" w14:textId="77777777" w:rsidR="008A5A8C" w:rsidRPr="00845E98" w:rsidRDefault="008A5A8C" w:rsidP="008A5A8C">
      <w:pPr>
        <w:spacing w:line="276" w:lineRule="auto"/>
      </w:pPr>
      <w:r w:rsidRPr="35E2A7EE">
        <w:t>státní příspěvková organizace zřízená Ministerstvem zdravotnictví ČR </w:t>
      </w:r>
    </w:p>
    <w:p w14:paraId="35A2F72E" w14:textId="77777777" w:rsidR="008A5A8C" w:rsidRPr="00845E98" w:rsidRDefault="008A5A8C" w:rsidP="008A5A8C">
      <w:pPr>
        <w:spacing w:line="276" w:lineRule="auto"/>
      </w:pPr>
      <w:r w:rsidRPr="35E2A7EE">
        <w:t>zapsaná v obchodním rejstříku u Městského soudu v Praze, oddíl </w:t>
      </w:r>
      <w:proofErr w:type="spellStart"/>
      <w:r w:rsidRPr="35E2A7EE">
        <w:t>Pr</w:t>
      </w:r>
      <w:proofErr w:type="spellEnd"/>
      <w:r w:rsidRPr="35E2A7EE">
        <w:t>, vložka 1043 </w:t>
      </w:r>
    </w:p>
    <w:p w14:paraId="47F1610C" w14:textId="77777777" w:rsidR="008A5A8C" w:rsidRPr="00845E98" w:rsidRDefault="008A5A8C" w:rsidP="008A5A8C">
      <w:pPr>
        <w:spacing w:line="276" w:lineRule="auto"/>
      </w:pPr>
      <w:r w:rsidRPr="35E2A7EE">
        <w:t>se sídlem Vídeňská 800, 140 59 Praha 4 </w:t>
      </w:r>
    </w:p>
    <w:p w14:paraId="1224F230" w14:textId="62FF1A23" w:rsidR="008A5A8C" w:rsidRDefault="008A5A8C" w:rsidP="008A5A8C">
      <w:pPr>
        <w:spacing w:line="276" w:lineRule="auto"/>
      </w:pPr>
      <w:r w:rsidRPr="35E2A7EE">
        <w:t xml:space="preserve">zastoupená </w:t>
      </w:r>
      <w:r>
        <w:t>doc. MUDr. Zdeňkem Be</w:t>
      </w:r>
      <w:sdt>
        <w:sdtPr>
          <w:id w:val="-550228581"/>
          <w:docPartObj>
            <w:docPartGallery w:val="Watermarks"/>
          </w:docPartObj>
        </w:sdtPr>
        <w:sdtEndPr/>
        <w:sdtContent>
          <w:r w:rsidR="003C3B41">
            <w:rPr>
              <w:noProof/>
            </w:rPr>
            <mc:AlternateContent>
              <mc:Choice Requires="wps">
                <w:drawing>
                  <wp:anchor distT="0" distB="0" distL="114300" distR="114300" simplePos="0" relativeHeight="251657216" behindDoc="1" locked="0" layoutInCell="0" allowOverlap="1" wp14:anchorId="166DF62E" wp14:editId="7EA7D092">
                    <wp:simplePos x="0" y="0"/>
                    <wp:positionH relativeFrom="margin">
                      <wp:align>center</wp:align>
                    </wp:positionH>
                    <wp:positionV relativeFrom="margin">
                      <wp:align>center</wp:align>
                    </wp:positionV>
                    <wp:extent cx="5237480" cy="3142615"/>
                    <wp:effectExtent l="38100" t="1152525" r="0" b="705485"/>
                    <wp:wrapNone/>
                    <wp:docPr id="1715847255"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3F6206"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6DF62E" id="_x0000_t202" coordsize="21600,21600" o:spt="202" path="m,l,21600r21600,l21600,xe">
                    <v:stroke joinstyle="miter"/>
                    <v:path gradientshapeok="t" o:connecttype="rect"/>
                  </v:shapetype>
                  <v:shape id="Textové pole 8"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F3F6206"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v:textbox>
                    <w10:wrap anchorx="margin" anchory="margin"/>
                  </v:shape>
                </w:pict>
              </mc:Fallback>
            </mc:AlternateContent>
          </w:r>
        </w:sdtContent>
      </w:sdt>
      <w:r>
        <w:t xml:space="preserve">nešem, </w:t>
      </w:r>
      <w:proofErr w:type="spellStart"/>
      <w:r>
        <w:t>CSc.ředitelem</w:t>
      </w:r>
      <w:proofErr w:type="spellEnd"/>
    </w:p>
    <w:p w14:paraId="2E6BD356" w14:textId="77777777" w:rsidR="008A5A8C" w:rsidRPr="00845E98" w:rsidRDefault="008A5A8C" w:rsidP="008A5A8C">
      <w:pPr>
        <w:spacing w:line="276" w:lineRule="auto"/>
      </w:pPr>
      <w:r w:rsidRPr="35E2A7EE">
        <w:t>IČO: 000 64 190; DIČ: CZ00064190  </w:t>
      </w:r>
    </w:p>
    <w:p w14:paraId="7997510C" w14:textId="756D7767" w:rsidR="008A5A8C" w:rsidRDefault="008A5A8C" w:rsidP="008A5A8C">
      <w:pPr>
        <w:spacing w:after="120" w:line="276" w:lineRule="auto"/>
      </w:pPr>
      <w:r w:rsidRPr="35E2A7EE">
        <w:t xml:space="preserve">číslo bank. účtu: </w:t>
      </w:r>
      <w:r w:rsidR="000C69DB">
        <w:t>XXX</w:t>
      </w:r>
      <w:r>
        <w:br/>
      </w:r>
      <w:r w:rsidRPr="35E2A7EE">
        <w:t>ID DS: </w:t>
      </w:r>
      <w:proofErr w:type="spellStart"/>
      <w:r w:rsidRPr="35E2A7EE">
        <w:t>asykkbj</w:t>
      </w:r>
      <w:proofErr w:type="spellEnd"/>
      <w:r w:rsidRPr="35E2A7EE">
        <w:t> </w:t>
      </w:r>
    </w:p>
    <w:p w14:paraId="3D0D2C26" w14:textId="66F66AD9" w:rsidR="008A5A8C" w:rsidRPr="00845E98" w:rsidRDefault="008A5A8C" w:rsidP="008A5A8C">
      <w:pPr>
        <w:spacing w:after="120" w:line="276" w:lineRule="auto"/>
      </w:pPr>
      <w:r w:rsidRPr="35E2A7EE">
        <w:t>(dále jen</w:t>
      </w:r>
      <w:r w:rsidRPr="35E2A7EE">
        <w:rPr>
          <w:b/>
          <w:bCs/>
        </w:rPr>
        <w:t> “pronajímatel”</w:t>
      </w:r>
      <w:r w:rsidRPr="35E2A7EE">
        <w:t>) </w:t>
      </w:r>
    </w:p>
    <w:p w14:paraId="3D639222" w14:textId="77777777" w:rsidR="008A5A8C" w:rsidRPr="00C501A1" w:rsidRDefault="008A5A8C" w:rsidP="008A5A8C">
      <w:pPr>
        <w:spacing w:after="120" w:line="276" w:lineRule="auto"/>
        <w:rPr>
          <w:color w:val="000000" w:themeColor="text1"/>
        </w:rPr>
      </w:pPr>
      <w:r w:rsidRPr="35E2A7EE">
        <w:t>a </w:t>
      </w:r>
      <w:r w:rsidRPr="35E2A7EE">
        <w:rPr>
          <w:b/>
          <w:bCs/>
          <w:color w:val="000000" w:themeColor="text1"/>
        </w:rPr>
        <w:t xml:space="preserve"> </w:t>
      </w:r>
    </w:p>
    <w:p w14:paraId="2FEA0482" w14:textId="23605B8E" w:rsidR="008A5A8C" w:rsidRPr="007166CD" w:rsidRDefault="008A5A8C" w:rsidP="008A5A8C">
      <w:pPr>
        <w:spacing w:line="276" w:lineRule="auto"/>
        <w:rPr>
          <w:b/>
        </w:rPr>
      </w:pPr>
      <w:r w:rsidRPr="007166CD">
        <w:rPr>
          <w:b/>
        </w:rPr>
        <w:t>Libeřské lahůdky a.s.</w:t>
      </w:r>
      <w:r w:rsidRPr="007166CD">
        <w:t xml:space="preserve"> </w:t>
      </w:r>
    </w:p>
    <w:p w14:paraId="3FBBC71E" w14:textId="77777777" w:rsidR="008A5A8C" w:rsidRPr="00EE55F4" w:rsidRDefault="008A5A8C" w:rsidP="008A5A8C">
      <w:pPr>
        <w:spacing w:line="276" w:lineRule="auto"/>
        <w:contextualSpacing/>
      </w:pPr>
      <w:r w:rsidRPr="00EE55F4">
        <w:t xml:space="preserve">zapsaná v obchodním rejstříku </w:t>
      </w:r>
      <w:r w:rsidRPr="00391343">
        <w:t>vedeném u Městského</w:t>
      </w:r>
      <w:r w:rsidRPr="00EE55F4">
        <w:t xml:space="preserve"> soudu v Praze, oddíl B, vložka 23116</w:t>
      </w:r>
    </w:p>
    <w:p w14:paraId="21D2A636" w14:textId="77777777" w:rsidR="008A5A8C" w:rsidRPr="007166CD" w:rsidRDefault="008A5A8C" w:rsidP="008A5A8C">
      <w:pPr>
        <w:spacing w:line="276" w:lineRule="auto"/>
        <w:contextualSpacing/>
      </w:pPr>
      <w:r w:rsidRPr="00EE55F4">
        <w:t>se sídlem Na Spojce 670, 252 50 Vestec</w:t>
      </w:r>
    </w:p>
    <w:p w14:paraId="293F3711" w14:textId="77777777" w:rsidR="008A5A8C" w:rsidRPr="007166CD" w:rsidRDefault="008A5A8C" w:rsidP="008A5A8C">
      <w:pPr>
        <w:spacing w:line="276" w:lineRule="auto"/>
        <w:contextualSpacing/>
      </w:pPr>
      <w:r w:rsidRPr="007166CD">
        <w:t>zastoupená Ing. Jiřím Kulhánkem, statutárním ředitelem</w:t>
      </w:r>
    </w:p>
    <w:p w14:paraId="79304BA8" w14:textId="77777777" w:rsidR="008A5A8C" w:rsidRPr="007166CD" w:rsidRDefault="008A5A8C" w:rsidP="008A5A8C">
      <w:pPr>
        <w:spacing w:line="276" w:lineRule="auto"/>
        <w:contextualSpacing/>
      </w:pPr>
      <w:r w:rsidRPr="007166CD">
        <w:t xml:space="preserve">IČ: 066 79 480; DIČ: CZ06679480 </w:t>
      </w:r>
    </w:p>
    <w:p w14:paraId="4CD36CFB" w14:textId="77777777" w:rsidR="008A5A8C" w:rsidRPr="007166CD" w:rsidRDefault="008A5A8C" w:rsidP="008A5A8C">
      <w:pPr>
        <w:spacing w:after="120" w:line="276" w:lineRule="auto"/>
      </w:pPr>
      <w:r w:rsidRPr="007166CD">
        <w:t xml:space="preserve">ID DS: </w:t>
      </w:r>
      <w:r w:rsidRPr="00D347DE">
        <w:t>9afwunj</w:t>
      </w:r>
    </w:p>
    <w:p w14:paraId="6608CA40" w14:textId="77777777" w:rsidR="008A5A8C" w:rsidRPr="00845E98" w:rsidRDefault="008A5A8C" w:rsidP="008A5A8C">
      <w:pPr>
        <w:spacing w:after="120" w:line="276" w:lineRule="auto"/>
      </w:pPr>
      <w:r w:rsidRPr="35E2A7EE">
        <w:t>(dále jen </w:t>
      </w:r>
      <w:r w:rsidRPr="35E2A7EE">
        <w:rPr>
          <w:b/>
          <w:bCs/>
        </w:rPr>
        <w:t>„nájemce“</w:t>
      </w:r>
      <w:r w:rsidRPr="35E2A7EE">
        <w:t>) </w:t>
      </w:r>
    </w:p>
    <w:p w14:paraId="7A43D6C2" w14:textId="77777777" w:rsidR="008A5A8C" w:rsidRPr="00845E98" w:rsidRDefault="008A5A8C" w:rsidP="008A5A8C">
      <w:pPr>
        <w:spacing w:line="276" w:lineRule="auto"/>
      </w:pPr>
      <w:r w:rsidRPr="35E2A7EE">
        <w:t>Pronajímatel a nájemce dále také jako </w:t>
      </w:r>
      <w:r w:rsidRPr="35E2A7EE">
        <w:rPr>
          <w:b/>
          <w:bCs/>
        </w:rPr>
        <w:t>„smluvní strany“ </w:t>
      </w:r>
      <w:r w:rsidRPr="35E2A7EE">
        <w:t>nebo</w:t>
      </w:r>
      <w:r w:rsidRPr="35E2A7EE">
        <w:rPr>
          <w:b/>
          <w:bCs/>
        </w:rPr>
        <w:t> „strany“</w:t>
      </w:r>
      <w:r w:rsidRPr="35E2A7EE">
        <w:t> a každý samostatně jako </w:t>
      </w:r>
      <w:r w:rsidRPr="35E2A7EE">
        <w:rPr>
          <w:b/>
          <w:bCs/>
        </w:rPr>
        <w:t>„smluvní strana“</w:t>
      </w:r>
      <w:r w:rsidRPr="35E2A7EE">
        <w:t> nebo </w:t>
      </w:r>
      <w:r w:rsidRPr="35E2A7EE">
        <w:rPr>
          <w:b/>
          <w:bCs/>
        </w:rPr>
        <w:t>„strana“</w:t>
      </w:r>
      <w:r w:rsidRPr="35E2A7EE">
        <w:t>.  </w:t>
      </w:r>
    </w:p>
    <w:p w14:paraId="1792C4B1" w14:textId="77777777" w:rsidR="008A5A8C" w:rsidRDefault="008A5A8C" w:rsidP="008A5A8C">
      <w:pPr>
        <w:spacing w:line="276" w:lineRule="auto"/>
      </w:pPr>
      <w:r w:rsidRPr="35E2A7EE">
        <w:t> </w:t>
      </w:r>
    </w:p>
    <w:p w14:paraId="749089A6" w14:textId="77777777" w:rsidR="008A5A8C" w:rsidRDefault="008A5A8C" w:rsidP="008A5A8C">
      <w:pPr>
        <w:spacing w:line="276" w:lineRule="auto"/>
        <w:jc w:val="center"/>
        <w:rPr>
          <w:b/>
        </w:rPr>
      </w:pPr>
      <w:r w:rsidRPr="1EC4EEB7">
        <w:rPr>
          <w:b/>
        </w:rPr>
        <w:t>I.</w:t>
      </w:r>
    </w:p>
    <w:p w14:paraId="67FD8CDA" w14:textId="77777777" w:rsidR="008A5A8C" w:rsidRDefault="008A5A8C" w:rsidP="008A5A8C">
      <w:pPr>
        <w:spacing w:after="120" w:line="276" w:lineRule="auto"/>
        <w:jc w:val="center"/>
        <w:rPr>
          <w:b/>
          <w:bCs/>
        </w:rPr>
      </w:pPr>
      <w:r w:rsidRPr="70BEF74F">
        <w:rPr>
          <w:b/>
          <w:bCs/>
        </w:rPr>
        <w:t>Předmět smlouvy</w:t>
      </w:r>
    </w:p>
    <w:p w14:paraId="0511889A" w14:textId="77777777" w:rsidR="008A5A8C" w:rsidRPr="002B6FD2" w:rsidRDefault="008A5A8C" w:rsidP="008A5A8C">
      <w:pPr>
        <w:pStyle w:val="Odstavecseseznamem"/>
        <w:numPr>
          <w:ilvl w:val="0"/>
          <w:numId w:val="35"/>
        </w:numPr>
        <w:spacing w:after="197" w:line="276" w:lineRule="auto"/>
        <w:ind w:left="426" w:hanging="426"/>
        <w:contextualSpacing/>
        <w:jc w:val="both"/>
      </w:pPr>
      <w:r w:rsidRPr="70BEF74F">
        <w:t xml:space="preserve">Pronajímatel má dle </w:t>
      </w:r>
      <w:r w:rsidRPr="70BEF74F">
        <w:rPr>
          <w:rFonts w:eastAsia="Segoe UI"/>
        </w:rPr>
        <w:t>§ 9 zákona o majetku státu a na základě zřizovací listiny</w:t>
      </w:r>
      <w:r w:rsidRPr="70BEF74F">
        <w:t xml:space="preserve"> právo hospodařit s pozemkem </w:t>
      </w:r>
      <w:proofErr w:type="spellStart"/>
      <w:r w:rsidRPr="70BEF74F">
        <w:t>parc</w:t>
      </w:r>
      <w:proofErr w:type="spellEnd"/>
      <w:r w:rsidRPr="70BEF74F">
        <w:t>. č. 224</w:t>
      </w:r>
      <w:r>
        <w:t>4</w:t>
      </w:r>
      <w:r w:rsidRPr="70BEF74F">
        <w:t xml:space="preserve">, jehož součástí je stavba – pavilon </w:t>
      </w:r>
      <w:r>
        <w:t>E</w:t>
      </w:r>
      <w:r w:rsidRPr="70BEF74F">
        <w:t>, v</w:t>
      </w:r>
      <w:r>
        <w:t> </w:t>
      </w:r>
      <w:r w:rsidRPr="70BEF74F">
        <w:t xml:space="preserve">areálu Fakultní Thomayerovy nemocnice v Praze 4 – Krči, Vídeňská č.p. 800, obec hl. m. Praha, katastrální území Krč, zapsaným na LV č. 57, vedeném Katastrálním úřadem pro hlavní město Prahu, katastrální pracoviště Praha (dále jen </w:t>
      </w:r>
      <w:r w:rsidRPr="001068FA">
        <w:rPr>
          <w:b/>
          <w:bCs/>
        </w:rPr>
        <w:t>„pozemek“</w:t>
      </w:r>
      <w:r w:rsidRPr="70BEF74F">
        <w:t xml:space="preserve">). Vlastníkem pozemku je Česká republika. </w:t>
      </w:r>
      <w:r>
        <w:t xml:space="preserve"> </w:t>
      </w:r>
    </w:p>
    <w:p w14:paraId="16487F5F" w14:textId="4E74F547" w:rsidR="00B10BDB" w:rsidRPr="00B10BDB" w:rsidRDefault="008A5A8C" w:rsidP="00B10BDB">
      <w:pPr>
        <w:pStyle w:val="Odstavecseseznamem"/>
        <w:numPr>
          <w:ilvl w:val="0"/>
          <w:numId w:val="35"/>
        </w:numPr>
        <w:spacing w:after="120" w:line="276" w:lineRule="auto"/>
        <w:ind w:left="426" w:hanging="426"/>
        <w:contextualSpacing/>
        <w:jc w:val="both"/>
        <w:rPr>
          <w:b/>
          <w:bCs/>
        </w:rPr>
      </w:pPr>
      <w:r w:rsidRPr="70BEF74F">
        <w:lastRenderedPageBreak/>
        <w:t>Pronajímatel touto smlouvou přenechává nájemci předmět nájmu specifikovaný níže k</w:t>
      </w:r>
      <w:r>
        <w:t> </w:t>
      </w:r>
      <w:r w:rsidRPr="70BEF74F">
        <w:t>úplatnému užívání za podmínek stanovených touto smlouvou a nájemce jej za těchto podmínek k užívání přejímá za účelem provozování svého předmětu činnosti.</w:t>
      </w:r>
    </w:p>
    <w:p w14:paraId="7F40BD2A" w14:textId="77777777" w:rsidR="00B10BDB" w:rsidRPr="00B10BDB" w:rsidRDefault="00B10BDB" w:rsidP="00B10BDB">
      <w:pPr>
        <w:pStyle w:val="Odstavecseseznamem"/>
        <w:spacing w:after="120" w:line="276" w:lineRule="auto"/>
        <w:ind w:left="426"/>
        <w:contextualSpacing/>
        <w:jc w:val="both"/>
        <w:rPr>
          <w:b/>
          <w:bCs/>
        </w:rPr>
      </w:pPr>
    </w:p>
    <w:p w14:paraId="6AEB58DF" w14:textId="77777777" w:rsidR="008A5A8C" w:rsidRDefault="008A5A8C" w:rsidP="008A5A8C">
      <w:pPr>
        <w:pStyle w:val="Odstavecseseznamem"/>
        <w:spacing w:line="276" w:lineRule="auto"/>
        <w:ind w:hanging="360"/>
        <w:jc w:val="center"/>
        <w:rPr>
          <w:b/>
          <w:bCs/>
        </w:rPr>
      </w:pPr>
      <w:r w:rsidRPr="70BEF74F">
        <w:rPr>
          <w:b/>
          <w:bCs/>
        </w:rPr>
        <w:t xml:space="preserve">II. </w:t>
      </w:r>
    </w:p>
    <w:p w14:paraId="61BD64F0" w14:textId="77777777" w:rsidR="008A5A8C" w:rsidRPr="00530CB6" w:rsidRDefault="008A5A8C" w:rsidP="008A5A8C">
      <w:pPr>
        <w:pStyle w:val="Odstavecseseznamem"/>
        <w:spacing w:after="120" w:line="276" w:lineRule="auto"/>
        <w:ind w:left="714" w:hanging="357"/>
        <w:jc w:val="center"/>
        <w:rPr>
          <w:b/>
          <w:bCs/>
        </w:rPr>
      </w:pPr>
      <w:r w:rsidRPr="70BEF74F">
        <w:rPr>
          <w:b/>
          <w:bCs/>
        </w:rPr>
        <w:t>Předmět a účel nájmu</w:t>
      </w:r>
    </w:p>
    <w:p w14:paraId="39D623D4" w14:textId="77777777" w:rsidR="008A5A8C" w:rsidRPr="005054B3" w:rsidRDefault="008A5A8C" w:rsidP="008A5A8C">
      <w:pPr>
        <w:pStyle w:val="Odstavecseseznamem"/>
        <w:numPr>
          <w:ilvl w:val="0"/>
          <w:numId w:val="41"/>
        </w:numPr>
        <w:spacing w:after="120" w:line="276" w:lineRule="auto"/>
        <w:ind w:left="426" w:hanging="426"/>
        <w:contextualSpacing/>
        <w:jc w:val="both"/>
      </w:pPr>
      <w:r w:rsidRPr="005054B3">
        <w:rPr>
          <w:color w:val="000000" w:themeColor="text1"/>
        </w:rPr>
        <w:t>Pronajímatel přenechává nájemci do nájmu:</w:t>
      </w:r>
    </w:p>
    <w:p w14:paraId="67295148" w14:textId="77777777" w:rsidR="008A5A8C" w:rsidRPr="00521517" w:rsidRDefault="008A5A8C" w:rsidP="008A5A8C">
      <w:pPr>
        <w:pStyle w:val="Odstavecseseznamem"/>
        <w:numPr>
          <w:ilvl w:val="0"/>
          <w:numId w:val="43"/>
        </w:numPr>
        <w:spacing w:after="120" w:line="276" w:lineRule="auto"/>
        <w:contextualSpacing/>
        <w:jc w:val="both"/>
      </w:pPr>
      <w:r>
        <w:t xml:space="preserve">nebytové prostory v 1. NP pavilonu E nacházejícím se na pozemku o celkové výměře 153,83 </w:t>
      </w:r>
      <w:r w:rsidRPr="005054B3">
        <w:rPr>
          <w:color w:val="000000" w:themeColor="text1"/>
        </w:rPr>
        <w:t>m²,</w:t>
      </w:r>
    </w:p>
    <w:p w14:paraId="37202C1F" w14:textId="77777777" w:rsidR="008A5A8C" w:rsidRPr="005054B3" w:rsidRDefault="008A5A8C" w:rsidP="008A5A8C">
      <w:pPr>
        <w:pStyle w:val="Odstavecseseznamem"/>
        <w:numPr>
          <w:ilvl w:val="0"/>
          <w:numId w:val="43"/>
        </w:numPr>
        <w:spacing w:after="120" w:line="276" w:lineRule="auto"/>
        <w:contextualSpacing/>
        <w:jc w:val="both"/>
      </w:pPr>
      <w:r w:rsidRPr="005054B3">
        <w:rPr>
          <w:color w:val="000000" w:themeColor="text1"/>
        </w:rPr>
        <w:t xml:space="preserve">část pozemku </w:t>
      </w:r>
      <w:r>
        <w:rPr>
          <w:color w:val="000000" w:themeColor="text1"/>
        </w:rPr>
        <w:t xml:space="preserve">o </w:t>
      </w:r>
      <w:r w:rsidRPr="005054B3">
        <w:rPr>
          <w:color w:val="000000" w:themeColor="text1"/>
        </w:rPr>
        <w:t xml:space="preserve">výměře </w:t>
      </w:r>
      <w:r>
        <w:rPr>
          <w:color w:val="000000" w:themeColor="text1"/>
        </w:rPr>
        <w:t>95</w:t>
      </w:r>
      <w:r w:rsidRPr="005054B3">
        <w:rPr>
          <w:color w:val="000000" w:themeColor="text1"/>
        </w:rPr>
        <w:t xml:space="preserve"> m²,</w:t>
      </w:r>
    </w:p>
    <w:p w14:paraId="6849697E" w14:textId="77777777" w:rsidR="008A5A8C" w:rsidRPr="005054B3" w:rsidRDefault="008A5A8C" w:rsidP="008A5A8C">
      <w:pPr>
        <w:pStyle w:val="Odstavecseseznamem"/>
        <w:numPr>
          <w:ilvl w:val="0"/>
          <w:numId w:val="43"/>
        </w:numPr>
        <w:spacing w:after="120" w:line="276" w:lineRule="auto"/>
        <w:contextualSpacing/>
        <w:jc w:val="both"/>
      </w:pPr>
      <w:r>
        <w:rPr>
          <w:color w:val="000000" w:themeColor="text1"/>
        </w:rPr>
        <w:t xml:space="preserve">reklamní plochy na fasádě pavilonu E, </w:t>
      </w:r>
    </w:p>
    <w:p w14:paraId="6360E482" w14:textId="77777777" w:rsidR="008A5A8C" w:rsidRPr="00C013F0" w:rsidRDefault="008A5A8C" w:rsidP="008A5A8C">
      <w:pPr>
        <w:pStyle w:val="Odstavecseseznamem"/>
        <w:spacing w:line="276" w:lineRule="auto"/>
        <w:ind w:left="709"/>
      </w:pPr>
      <w:r w:rsidRPr="00C013F0">
        <w:t>(dále jen „</w:t>
      </w:r>
      <w:r w:rsidRPr="00C013F0">
        <w:rPr>
          <w:b/>
          <w:bCs/>
        </w:rPr>
        <w:t>předmět nájmu</w:t>
      </w:r>
      <w:r w:rsidRPr="00C013F0">
        <w:t>“), vyznačený v situačním plánku, který tvoří přílohu č. 1 této smlouvy.</w:t>
      </w:r>
    </w:p>
    <w:p w14:paraId="172B31FC" w14:textId="77777777" w:rsidR="008A5A8C" w:rsidRPr="00D37441" w:rsidRDefault="008A5A8C" w:rsidP="008A5A8C">
      <w:pPr>
        <w:pStyle w:val="Odstavecseseznamem"/>
        <w:numPr>
          <w:ilvl w:val="0"/>
          <w:numId w:val="41"/>
        </w:numPr>
        <w:spacing w:after="197" w:line="276" w:lineRule="auto"/>
        <w:ind w:left="426" w:hanging="426"/>
        <w:contextualSpacing/>
        <w:jc w:val="both"/>
      </w:pPr>
      <w:r w:rsidRPr="00D37441">
        <w:t>Předmět nájmu je nájemci přenechán za účelem</w:t>
      </w:r>
      <w:r>
        <w:t xml:space="preserve"> provozu své prodejny, tedy prodeje potravinářského zboží, prodeje a výroby cukrářských a lahůdkářských výrobků, prodeje smíšeného drogistického zboží, provozem celoroční předzahrádky, zásobování a umístění reklamy související s tímto účelem</w:t>
      </w:r>
      <w:r w:rsidRPr="00D37441">
        <w:t>.</w:t>
      </w:r>
    </w:p>
    <w:p w14:paraId="6F295375" w14:textId="77777777" w:rsidR="008A5A8C" w:rsidRPr="00D37441" w:rsidRDefault="008A5A8C" w:rsidP="008A5A8C">
      <w:pPr>
        <w:pStyle w:val="Odstavecseseznamem"/>
        <w:numPr>
          <w:ilvl w:val="0"/>
          <w:numId w:val="41"/>
        </w:numPr>
        <w:spacing w:after="197" w:line="276" w:lineRule="auto"/>
        <w:ind w:left="426" w:hanging="426"/>
        <w:contextualSpacing/>
        <w:jc w:val="both"/>
      </w:pPr>
      <w:r w:rsidRPr="00D37441">
        <w:t>Předmět nájmu se nájemci přenechává jako zcela nevybavený, bez jakéhokoli zařízení, vybavení nebo technologií. Nájemce se zavazuje zajistit veškeré potřebné vybavení na vlastní náklady.</w:t>
      </w:r>
      <w:r>
        <w:t xml:space="preserve"> Vnesené věci musí být technicky způsobilé ke svému účelu a splňovat veškeré technické požadavky dané příslušnými právními předpisy.</w:t>
      </w:r>
    </w:p>
    <w:p w14:paraId="1F739136" w14:textId="1512C78C" w:rsidR="008A5A8C" w:rsidRPr="00D37441" w:rsidRDefault="008A5A8C" w:rsidP="008A5A8C">
      <w:pPr>
        <w:pStyle w:val="Odstavecseseznamem"/>
        <w:numPr>
          <w:ilvl w:val="0"/>
          <w:numId w:val="41"/>
        </w:numPr>
        <w:spacing w:after="197" w:line="276" w:lineRule="auto"/>
        <w:ind w:left="426" w:hanging="426"/>
        <w:contextualSpacing/>
        <w:jc w:val="both"/>
      </w:pPr>
      <w:r w:rsidRPr="00D37441">
        <w:t>Pronajímatel prohlašuje, že předmět nájmu je stavebně</w:t>
      </w:r>
      <w:sdt>
        <w:sdtPr>
          <w:id w:val="419148300"/>
          <w:docPartObj>
            <w:docPartGallery w:val="Watermarks"/>
          </w:docPartObj>
        </w:sdtPr>
        <w:sdtEndPr/>
        <w:sdtContent>
          <w:r w:rsidR="003C3B41">
            <w:rPr>
              <w:noProof/>
            </w:rPr>
            <mc:AlternateContent>
              <mc:Choice Requires="wps">
                <w:drawing>
                  <wp:anchor distT="0" distB="0" distL="114300" distR="114300" simplePos="0" relativeHeight="251658240" behindDoc="1" locked="0" layoutInCell="0" allowOverlap="1" wp14:anchorId="6D81D413" wp14:editId="5E8E78E1">
                    <wp:simplePos x="0" y="0"/>
                    <wp:positionH relativeFrom="margin">
                      <wp:align>center</wp:align>
                    </wp:positionH>
                    <wp:positionV relativeFrom="margin">
                      <wp:align>center</wp:align>
                    </wp:positionV>
                    <wp:extent cx="5237480" cy="3142615"/>
                    <wp:effectExtent l="38100" t="1152525" r="0" b="705485"/>
                    <wp:wrapNone/>
                    <wp:docPr id="947794253"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657341"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81D413" id="Textové pole 9" o:spid="_x0000_s1027"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1C657341"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v:textbox>
                    <w10:wrap anchorx="margin" anchory="margin"/>
                  </v:shape>
                </w:pict>
              </mc:Fallback>
            </mc:AlternateContent>
          </w:r>
        </w:sdtContent>
      </w:sdt>
      <w:r w:rsidRPr="00D37441">
        <w:t xml:space="preserve">-technicky způsobilý ke sjednanému účelu a že jej dočasně nepotřebuje k plnění úkolů státu. Nájemce prohlašuje, že byl seznámen se stavem předmětu nájmu a v tomto stavu </w:t>
      </w:r>
      <w:r>
        <w:t>jej přebírá</w:t>
      </w:r>
      <w:r w:rsidRPr="00D37441">
        <w:t xml:space="preserve"> jako vyhovující k</w:t>
      </w:r>
      <w:r>
        <w:t> </w:t>
      </w:r>
      <w:r w:rsidRPr="00D37441">
        <w:t>užívání</w:t>
      </w:r>
      <w:r>
        <w:t xml:space="preserve">, o čemž smluvní strany </w:t>
      </w:r>
      <w:proofErr w:type="gramStart"/>
      <w:r>
        <w:t>sepíší</w:t>
      </w:r>
      <w:proofErr w:type="gramEnd"/>
      <w:r>
        <w:t xml:space="preserve"> předávací protokol</w:t>
      </w:r>
    </w:p>
    <w:p w14:paraId="2F969910" w14:textId="52D41DE7" w:rsidR="008A5A8C" w:rsidRDefault="008A5A8C" w:rsidP="008A5A8C">
      <w:pPr>
        <w:pStyle w:val="Odstavecseseznamem"/>
        <w:spacing w:line="276" w:lineRule="auto"/>
        <w:ind w:left="714" w:hanging="357"/>
        <w:jc w:val="center"/>
        <w:rPr>
          <w:b/>
          <w:bCs/>
        </w:rPr>
      </w:pPr>
    </w:p>
    <w:p w14:paraId="3F7AC97D" w14:textId="77777777" w:rsidR="008A5A8C" w:rsidRDefault="008A5A8C" w:rsidP="008A5A8C">
      <w:pPr>
        <w:pStyle w:val="Odstavecseseznamem"/>
        <w:spacing w:line="276" w:lineRule="auto"/>
        <w:ind w:left="714" w:hanging="357"/>
        <w:jc w:val="center"/>
        <w:rPr>
          <w:b/>
          <w:bCs/>
        </w:rPr>
      </w:pPr>
      <w:r w:rsidRPr="70BEF74F">
        <w:rPr>
          <w:b/>
          <w:bCs/>
        </w:rPr>
        <w:t xml:space="preserve">III. </w:t>
      </w:r>
    </w:p>
    <w:p w14:paraId="64908F9C" w14:textId="77777777" w:rsidR="008A5A8C" w:rsidRPr="001F1AF0" w:rsidRDefault="008A5A8C" w:rsidP="008A5A8C">
      <w:pPr>
        <w:pStyle w:val="Odstavecseseznamem"/>
        <w:spacing w:after="120" w:line="276" w:lineRule="auto"/>
        <w:ind w:left="714" w:hanging="357"/>
        <w:jc w:val="center"/>
        <w:rPr>
          <w:b/>
          <w:bCs/>
        </w:rPr>
      </w:pPr>
      <w:r w:rsidRPr="70BEF74F">
        <w:rPr>
          <w:b/>
          <w:bCs/>
        </w:rPr>
        <w:t>Akcesorické smlouvy</w:t>
      </w:r>
    </w:p>
    <w:p w14:paraId="18E22D4A" w14:textId="77777777" w:rsidR="008A5A8C" w:rsidRPr="00D37441" w:rsidRDefault="008A5A8C" w:rsidP="008A5A8C">
      <w:pPr>
        <w:pStyle w:val="Odstavecseseznamem"/>
        <w:numPr>
          <w:ilvl w:val="0"/>
          <w:numId w:val="46"/>
        </w:numPr>
        <w:spacing w:after="197" w:line="276" w:lineRule="auto"/>
        <w:contextualSpacing/>
        <w:jc w:val="both"/>
      </w:pPr>
      <w:r w:rsidRPr="00D37441">
        <w:t xml:space="preserve">Dodávka elektrické energie a dodávka vody a odvádění odpadních vod do předmětu nájmu jsou zajišťovány na základě samostatných smluv uzavřených mezi pronajímatelem a nájemcem (dále jen </w:t>
      </w:r>
      <w:r w:rsidRPr="00BE0734">
        <w:rPr>
          <w:b/>
          <w:bCs/>
        </w:rPr>
        <w:t>„akcesorické smlouvy“</w:t>
      </w:r>
      <w:r w:rsidRPr="00D37441">
        <w:t>).</w:t>
      </w:r>
    </w:p>
    <w:p w14:paraId="37F02CA7" w14:textId="77777777" w:rsidR="008A5A8C" w:rsidRDefault="008A5A8C" w:rsidP="008A5A8C">
      <w:pPr>
        <w:pStyle w:val="Odstavecseseznamem"/>
        <w:numPr>
          <w:ilvl w:val="0"/>
          <w:numId w:val="46"/>
        </w:numPr>
        <w:spacing w:line="276" w:lineRule="auto"/>
        <w:contextualSpacing/>
        <w:jc w:val="both"/>
      </w:pPr>
      <w:r w:rsidRPr="00151EBB">
        <w:t xml:space="preserve">Smluvní strany sjednávají, že nájemné </w:t>
      </w:r>
      <w:r w:rsidRPr="00EC1711">
        <w:t>ani paušální úhrady</w:t>
      </w:r>
      <w:r w:rsidRPr="002476AB">
        <w:t xml:space="preserve"> dle této smlouvy nezahrnuj</w:t>
      </w:r>
      <w:r>
        <w:t>í</w:t>
      </w:r>
      <w:r w:rsidRPr="002476AB">
        <w:t xml:space="preserve"> cenu za dodávky energií a vody</w:t>
      </w:r>
      <w:r w:rsidRPr="00151EBB">
        <w:t>.</w:t>
      </w:r>
    </w:p>
    <w:p w14:paraId="13EDC20F" w14:textId="77777777" w:rsidR="008A5A8C" w:rsidRPr="00661AA1" w:rsidRDefault="008A5A8C" w:rsidP="008A5A8C">
      <w:pPr>
        <w:pStyle w:val="Odstavecseseznamem"/>
        <w:numPr>
          <w:ilvl w:val="0"/>
          <w:numId w:val="46"/>
        </w:numPr>
        <w:spacing w:line="276" w:lineRule="auto"/>
        <w:contextualSpacing/>
        <w:jc w:val="both"/>
      </w:pPr>
      <w:r w:rsidRPr="6F8ACB98">
        <w:rPr>
          <w:rFonts w:eastAsia="Arial"/>
          <w:lang w:eastAsia="en-US"/>
        </w:rPr>
        <w:t xml:space="preserve">Dojde-li k ukončení kterékoliv akcesorické smlouvy, je kterákoli ze smluvních stran oprávněna vypovědět tuto smlouvu; nájemní smlouva skončí ke stejnému okamžiku jako smlouva akcesorická.   </w:t>
      </w:r>
    </w:p>
    <w:p w14:paraId="233A868D" w14:textId="77777777" w:rsidR="008A5A8C" w:rsidRDefault="008A5A8C" w:rsidP="008A5A8C">
      <w:pPr>
        <w:pStyle w:val="Odstavecseseznamem"/>
        <w:spacing w:line="276" w:lineRule="auto"/>
        <w:ind w:left="426"/>
      </w:pPr>
    </w:p>
    <w:p w14:paraId="1748A58B" w14:textId="77777777" w:rsidR="008A5A8C" w:rsidRDefault="008A5A8C" w:rsidP="008A5A8C">
      <w:pPr>
        <w:spacing w:line="276" w:lineRule="auto"/>
        <w:jc w:val="center"/>
        <w:rPr>
          <w:b/>
          <w:bCs/>
        </w:rPr>
      </w:pPr>
      <w:r w:rsidRPr="04E127FA">
        <w:rPr>
          <w:b/>
          <w:bCs/>
        </w:rPr>
        <w:t xml:space="preserve">IV. </w:t>
      </w:r>
    </w:p>
    <w:p w14:paraId="59038290" w14:textId="77777777" w:rsidR="008A5A8C" w:rsidRDefault="008A5A8C" w:rsidP="008A5A8C">
      <w:pPr>
        <w:spacing w:after="120" w:line="276" w:lineRule="auto"/>
        <w:jc w:val="center"/>
        <w:rPr>
          <w:b/>
          <w:bCs/>
        </w:rPr>
      </w:pPr>
      <w:r w:rsidRPr="04E127FA">
        <w:rPr>
          <w:b/>
          <w:bCs/>
        </w:rPr>
        <w:t>Nájemné a platební podmínky</w:t>
      </w:r>
    </w:p>
    <w:p w14:paraId="76B4A992" w14:textId="77777777" w:rsidR="008A5A8C" w:rsidRDefault="008A5A8C" w:rsidP="008A5A8C">
      <w:pPr>
        <w:spacing w:line="276" w:lineRule="auto"/>
        <w:rPr>
          <w:b/>
          <w:bCs/>
        </w:rPr>
      </w:pPr>
      <w:r w:rsidRPr="6F8ACB98">
        <w:rPr>
          <w:b/>
          <w:bCs/>
        </w:rPr>
        <w:t>Nájemné</w:t>
      </w:r>
    </w:p>
    <w:p w14:paraId="0BDA4F63" w14:textId="77777777" w:rsidR="008A5A8C" w:rsidRDefault="008A5A8C" w:rsidP="008A5A8C">
      <w:pPr>
        <w:pStyle w:val="Normlnweb"/>
        <w:numPr>
          <w:ilvl w:val="0"/>
          <w:numId w:val="39"/>
        </w:numPr>
        <w:spacing w:before="0" w:beforeAutospacing="0" w:after="0" w:afterAutospacing="0" w:line="276" w:lineRule="auto"/>
        <w:ind w:left="426" w:hanging="426"/>
        <w:jc w:val="both"/>
      </w:pPr>
      <w:r>
        <w:t xml:space="preserve">Roční nájemné činí </w:t>
      </w:r>
      <w:r w:rsidRPr="00EC1711">
        <w:rPr>
          <w:b/>
          <w:bCs/>
        </w:rPr>
        <w:t>1</w:t>
      </w:r>
      <w:r>
        <w:rPr>
          <w:b/>
          <w:bCs/>
        </w:rPr>
        <w:t> </w:t>
      </w:r>
      <w:r w:rsidRPr="00EC1711">
        <w:rPr>
          <w:b/>
          <w:bCs/>
        </w:rPr>
        <w:t>343</w:t>
      </w:r>
      <w:r>
        <w:rPr>
          <w:b/>
          <w:bCs/>
        </w:rPr>
        <w:t xml:space="preserve"> </w:t>
      </w:r>
      <w:r w:rsidRPr="00EC1711">
        <w:rPr>
          <w:b/>
          <w:bCs/>
        </w:rPr>
        <w:t xml:space="preserve">682 Kč </w:t>
      </w:r>
      <w:r w:rsidRPr="00EC1711">
        <w:rPr>
          <w:rStyle w:val="Siln"/>
        </w:rPr>
        <w:t>bez DPH.</w:t>
      </w:r>
      <w:r w:rsidRPr="6F8ACB98">
        <w:rPr>
          <w:rStyle w:val="Siln"/>
          <w:b w:val="0"/>
          <w:bCs w:val="0"/>
        </w:rPr>
        <w:t xml:space="preserve"> K nájemnému</w:t>
      </w:r>
      <w:r w:rsidRPr="6F8ACB98">
        <w:rPr>
          <w:rStyle w:val="Siln"/>
          <w:b w:val="0"/>
        </w:rPr>
        <w:t xml:space="preserve"> </w:t>
      </w:r>
      <w:r>
        <w:t>bude připočtena daň z přidané hodnoty v zákonné výši.</w:t>
      </w:r>
    </w:p>
    <w:p w14:paraId="51243A7E" w14:textId="77777777" w:rsidR="008A5A8C" w:rsidRDefault="008A5A8C" w:rsidP="008A5A8C">
      <w:pPr>
        <w:pStyle w:val="Normlnweb"/>
        <w:numPr>
          <w:ilvl w:val="0"/>
          <w:numId w:val="39"/>
        </w:numPr>
        <w:spacing w:before="0" w:beforeAutospacing="0" w:after="0" w:afterAutospacing="0" w:line="276" w:lineRule="auto"/>
        <w:ind w:left="426" w:hanging="426"/>
        <w:jc w:val="both"/>
      </w:pPr>
      <w:r>
        <w:lastRenderedPageBreak/>
        <w:t xml:space="preserve">Nájemné je hrazeno čtvrtletně předem ve výši </w:t>
      </w:r>
      <w:r w:rsidRPr="00EC1711">
        <w:rPr>
          <w:b/>
          <w:bCs/>
        </w:rPr>
        <w:t>447</w:t>
      </w:r>
      <w:r>
        <w:rPr>
          <w:b/>
          <w:bCs/>
        </w:rPr>
        <w:t xml:space="preserve"> </w:t>
      </w:r>
      <w:r w:rsidRPr="00EC1711">
        <w:rPr>
          <w:b/>
          <w:bCs/>
        </w:rPr>
        <w:t xml:space="preserve">894 </w:t>
      </w:r>
      <w:r w:rsidRPr="00D25F6C">
        <w:rPr>
          <w:rStyle w:val="Siln"/>
        </w:rPr>
        <w:t>Kč bez DPH</w:t>
      </w:r>
      <w:r>
        <w:t xml:space="preserve">, na základě faktury vystavené pronajímatelem vždy do 5. dne prvního měsíce příslušného čtvrtletí, se splatností 14 dnů ode dne vystavení. Faktura je uhrazena dnem připsání celé částky na účet pronajímatele. </w:t>
      </w:r>
    </w:p>
    <w:p w14:paraId="75E4D015" w14:textId="77777777" w:rsidR="008A5A8C" w:rsidRDefault="008A5A8C" w:rsidP="008A5A8C">
      <w:pPr>
        <w:pStyle w:val="Normlnweb"/>
        <w:numPr>
          <w:ilvl w:val="0"/>
          <w:numId w:val="39"/>
        </w:numPr>
        <w:spacing w:before="0" w:beforeAutospacing="0" w:after="120" w:afterAutospacing="0" w:line="276" w:lineRule="auto"/>
        <w:ind w:left="425" w:hanging="425"/>
        <w:jc w:val="both"/>
      </w:pPr>
      <w:r>
        <w:t xml:space="preserve">Pronajímatel je oprávněn každoročně upravit výši nájemného o průměrnou roční míru inflace vyhlášenou Českým statistickým úřadem za předchozí kalendářní rok. O změně výše nájemného informuje pronajímatel nájemce formou jednostranného písemného oznámení doručeným nejpozději do 31. 3. příslušného roku. Změna výše nájemného nastává k 1. 4. příslušného roku. </w:t>
      </w:r>
    </w:p>
    <w:p w14:paraId="660FAD70" w14:textId="77777777" w:rsidR="008A5A8C" w:rsidRDefault="008A5A8C" w:rsidP="008A5A8C">
      <w:pPr>
        <w:pStyle w:val="Normlnweb"/>
        <w:spacing w:before="0" w:beforeAutospacing="0" w:after="120" w:afterAutospacing="0" w:line="276" w:lineRule="auto"/>
        <w:ind w:left="425"/>
        <w:jc w:val="both"/>
      </w:pPr>
    </w:p>
    <w:p w14:paraId="027D8C9D" w14:textId="77777777" w:rsidR="008A5A8C" w:rsidRPr="00C120D7" w:rsidRDefault="008A5A8C" w:rsidP="008A5A8C">
      <w:pPr>
        <w:pStyle w:val="Normlnweb"/>
        <w:spacing w:before="0" w:beforeAutospacing="0" w:after="0" w:afterAutospacing="0" w:line="276" w:lineRule="auto"/>
        <w:jc w:val="both"/>
        <w:rPr>
          <w:b/>
          <w:bCs/>
        </w:rPr>
      </w:pPr>
      <w:r w:rsidRPr="00C120D7">
        <w:rPr>
          <w:b/>
          <w:bCs/>
        </w:rPr>
        <w:t xml:space="preserve">Mimořádné předplacené nájemné </w:t>
      </w:r>
    </w:p>
    <w:p w14:paraId="25881E3B" w14:textId="77777777" w:rsidR="008A5A8C" w:rsidRDefault="008A5A8C" w:rsidP="008A5A8C">
      <w:pPr>
        <w:pStyle w:val="Normlnweb"/>
        <w:numPr>
          <w:ilvl w:val="0"/>
          <w:numId w:val="46"/>
        </w:numPr>
        <w:spacing w:before="0" w:beforeAutospacing="0" w:after="0" w:afterAutospacing="0" w:line="276" w:lineRule="auto"/>
        <w:ind w:left="426" w:hanging="426"/>
        <w:jc w:val="both"/>
      </w:pPr>
      <w:r>
        <w:t>V souvislosti s rekonstrukcí předmětu nájmu a v návaznosti na Smlouvu o spolupráci evidovanou ve FTN pod číslem</w:t>
      </w:r>
      <w:r w:rsidRPr="00826872">
        <w:t xml:space="preserve"> </w:t>
      </w:r>
      <w:r w:rsidRPr="00406ECF">
        <w:rPr>
          <w:highlight w:val="yellow"/>
        </w:rPr>
        <w:t>[●</w:t>
      </w:r>
      <w:r w:rsidRPr="005102EF">
        <w:rPr>
          <w:highlight w:val="yellow"/>
        </w:rPr>
        <w:t>]</w:t>
      </w:r>
      <w:r>
        <w:t xml:space="preserve"> uhradí nájemce pronajímateli mimořádné předplacené nájemné ve výši </w:t>
      </w:r>
      <w:r w:rsidRPr="00406ECF">
        <w:rPr>
          <w:highlight w:val="yellow"/>
        </w:rPr>
        <w:t>[</w:t>
      </w:r>
      <w:r w:rsidRPr="005102EF">
        <w:rPr>
          <w:highlight w:val="yellow"/>
        </w:rPr>
        <w:t>●]</w:t>
      </w:r>
      <w:r>
        <w:t xml:space="preserve">, to na základě faktury vystavené pronajímatelem se </w:t>
      </w:r>
      <w:r w:rsidRPr="00932E50">
        <w:t xml:space="preserve">splatností </w:t>
      </w:r>
      <w:r w:rsidRPr="00EC1711">
        <w:t>7</w:t>
      </w:r>
      <w:r>
        <w:t xml:space="preserve"> dní ode dne doručení. Pronajímatel zašle vystavenou fakturu nájemci elektronickou poštou. </w:t>
      </w:r>
    </w:p>
    <w:p w14:paraId="71FC83F1" w14:textId="77777777" w:rsidR="008A5A8C" w:rsidRDefault="008A5A8C" w:rsidP="008A5A8C">
      <w:pPr>
        <w:pStyle w:val="Normlnweb"/>
        <w:numPr>
          <w:ilvl w:val="0"/>
          <w:numId w:val="46"/>
        </w:numPr>
        <w:spacing w:after="0" w:line="276" w:lineRule="auto"/>
        <w:ind w:left="426" w:hanging="426"/>
        <w:jc w:val="both"/>
      </w:pPr>
      <w:r>
        <w:t>Smluvní strany shodně prohlašují že mimořádné předplacené nájemné dle odst. 4 tohoto článku je poskytováno za účelem financování rekonstrukce předmětu nájmu.</w:t>
      </w:r>
    </w:p>
    <w:p w14:paraId="7F5EA278" w14:textId="77777777" w:rsidR="008A5A8C" w:rsidRDefault="008A5A8C" w:rsidP="008A5A8C">
      <w:pPr>
        <w:pStyle w:val="Normlnweb"/>
        <w:numPr>
          <w:ilvl w:val="0"/>
          <w:numId w:val="46"/>
        </w:numPr>
        <w:spacing w:after="0" w:line="276" w:lineRule="auto"/>
        <w:ind w:left="426" w:hanging="426"/>
        <w:jc w:val="both"/>
      </w:pPr>
      <w:r>
        <w:t>Pronajímatel se zavazuje použít mimořádné předplacené nájemné výhradně k úhradě nákladů rekonstrukce předmětu nájmu realizované na základě veřejné zakázky zadávané pronajímatelem.</w:t>
      </w:r>
    </w:p>
    <w:p w14:paraId="6C8BC16A" w14:textId="77777777" w:rsidR="008A5A8C" w:rsidRDefault="008A5A8C" w:rsidP="008A5A8C">
      <w:pPr>
        <w:pStyle w:val="Normlnweb"/>
        <w:numPr>
          <w:ilvl w:val="0"/>
          <w:numId w:val="46"/>
        </w:numPr>
        <w:spacing w:after="0" w:line="276" w:lineRule="auto"/>
        <w:ind w:left="426" w:hanging="426"/>
        <w:jc w:val="both"/>
      </w:pPr>
      <w:r>
        <w:t>Nájemce bere na vědomí, že úhradou nákladů rekonstrukce mu nevzniká vlastnické ani jiné věcné právo k rekonstruovaným prostorám ani nárok na náhradu technického zhodnocení.</w:t>
      </w:r>
    </w:p>
    <w:p w14:paraId="4887E808" w14:textId="6E0C06C0" w:rsidR="008A5A8C" w:rsidRDefault="008A5A8C" w:rsidP="008A5A8C">
      <w:pPr>
        <w:pStyle w:val="Normlnweb"/>
        <w:numPr>
          <w:ilvl w:val="0"/>
          <w:numId w:val="46"/>
        </w:numPr>
        <w:spacing w:line="276" w:lineRule="auto"/>
        <w:ind w:left="426" w:hanging="426"/>
        <w:jc w:val="both"/>
      </w:pPr>
      <w:r>
        <w:t>Pronajímatel bude mimořádné předplacené nájemné postupně</w:t>
      </w:r>
      <w:sdt>
        <w:sdtPr>
          <w:id w:val="-1126705511"/>
          <w:docPartObj>
            <w:docPartGallery w:val="Watermarks"/>
          </w:docPartObj>
        </w:sdtPr>
        <w:sdtEndPr/>
        <w:sdtContent>
          <w:r w:rsidR="003C3B41">
            <w:rPr>
              <w:noProof/>
            </w:rPr>
            <mc:AlternateContent>
              <mc:Choice Requires="wps">
                <w:drawing>
                  <wp:anchor distT="0" distB="0" distL="114300" distR="114300" simplePos="0" relativeHeight="251659264" behindDoc="1" locked="0" layoutInCell="0" allowOverlap="1" wp14:anchorId="24408DA4" wp14:editId="0E7B5638">
                    <wp:simplePos x="0" y="0"/>
                    <wp:positionH relativeFrom="margin">
                      <wp:align>center</wp:align>
                    </wp:positionH>
                    <wp:positionV relativeFrom="margin">
                      <wp:align>center</wp:align>
                    </wp:positionV>
                    <wp:extent cx="5237480" cy="3142615"/>
                    <wp:effectExtent l="38100" t="1152525" r="0" b="705485"/>
                    <wp:wrapNone/>
                    <wp:docPr id="605789443"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749468"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408DA4" id="Textové pole 10" o:spid="_x0000_s1028" type="#_x0000_t202" style="position:absolute;left:0;text-align:left;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6749468"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v:textbox>
                    <w10:wrap anchorx="margin" anchory="margin"/>
                  </v:shape>
                </w:pict>
              </mc:Fallback>
            </mc:AlternateContent>
          </w:r>
        </w:sdtContent>
      </w:sdt>
      <w:r>
        <w:t xml:space="preserve"> započítávat proti jednotlivým měsíčním předpisům nájemného včetně příslušné DPH dle této smlouvy, a to počínaje dnem 1. 10. 2026 až do úplného vyčerpání mimořádného předplaceného nájemného. </w:t>
      </w:r>
      <w:r w:rsidRPr="00EA28F4">
        <w:t>Rozpis započtení mimořádného předplaceného nájemného je pro snadnější orientaci vyhotoven ve formě tabulky a tvoří přílohu č. 5 této smlouvy</w:t>
      </w:r>
      <w:r>
        <w:t xml:space="preserve">. </w:t>
      </w:r>
    </w:p>
    <w:p w14:paraId="20DD63BC" w14:textId="77777777" w:rsidR="008A5A8C" w:rsidRDefault="008A5A8C" w:rsidP="008A5A8C">
      <w:pPr>
        <w:pStyle w:val="Normlnweb"/>
        <w:numPr>
          <w:ilvl w:val="0"/>
          <w:numId w:val="46"/>
        </w:numPr>
        <w:spacing w:before="0" w:beforeAutospacing="0" w:after="0" w:afterAutospacing="0" w:line="276" w:lineRule="auto"/>
        <w:ind w:left="426" w:hanging="426"/>
        <w:jc w:val="both"/>
      </w:pPr>
      <w:r>
        <w:t>Smluvní strany výslovně sjednávají, že mimořádné předplacené nájemné dle tohoto článku nepředstavuje půjčku, úvěr ani jinou formu financování pronajímatele nájemcem.</w:t>
      </w:r>
    </w:p>
    <w:p w14:paraId="6847DB31" w14:textId="77777777" w:rsidR="008A5A8C" w:rsidRDefault="008A5A8C" w:rsidP="008A5A8C">
      <w:pPr>
        <w:pStyle w:val="Normlnweb"/>
        <w:spacing w:before="0" w:beforeAutospacing="0" w:after="0" w:afterAutospacing="0" w:line="276" w:lineRule="auto"/>
        <w:jc w:val="both"/>
      </w:pPr>
    </w:p>
    <w:p w14:paraId="27B0D3F9" w14:textId="77777777" w:rsidR="008A5A8C" w:rsidRDefault="008A5A8C" w:rsidP="008A5A8C">
      <w:pPr>
        <w:pStyle w:val="Normlnweb"/>
        <w:spacing w:before="0" w:beforeAutospacing="0" w:after="0" w:afterAutospacing="0" w:line="276" w:lineRule="auto"/>
        <w:jc w:val="both"/>
        <w:rPr>
          <w:b/>
          <w:bCs/>
        </w:rPr>
      </w:pPr>
      <w:r w:rsidRPr="35195E4A">
        <w:rPr>
          <w:b/>
          <w:bCs/>
        </w:rPr>
        <w:t>Paušální úhrady za provozní služby související s nájmem</w:t>
      </w:r>
    </w:p>
    <w:p w14:paraId="45C0C3E2" w14:textId="77777777" w:rsidR="008A5A8C" w:rsidRDefault="008A5A8C" w:rsidP="008A5A8C">
      <w:pPr>
        <w:pStyle w:val="Normlnweb"/>
        <w:numPr>
          <w:ilvl w:val="0"/>
          <w:numId w:val="50"/>
        </w:numPr>
        <w:spacing w:before="0" w:beforeAutospacing="0" w:after="0" w:afterAutospacing="0" w:line="276" w:lineRule="auto"/>
        <w:ind w:left="426" w:hanging="426"/>
        <w:jc w:val="both"/>
      </w:pPr>
      <w:r w:rsidRPr="35E2A7EE">
        <w:t>Vedle nájemného se nájemce zavazuje hradit pronajímateli paušální úhrady za provozní služby, které jsou poskytovány v souvislosti s užíváním předmětu nájmu a nejsou závislé na individuálně měřené spotřebě nájemce.</w:t>
      </w:r>
    </w:p>
    <w:p w14:paraId="0F27996F" w14:textId="77777777" w:rsidR="008A5A8C" w:rsidRDefault="008A5A8C" w:rsidP="008A5A8C">
      <w:pPr>
        <w:pStyle w:val="Normlnweb"/>
        <w:numPr>
          <w:ilvl w:val="0"/>
          <w:numId w:val="50"/>
        </w:numPr>
        <w:spacing w:before="0" w:beforeAutospacing="0" w:after="0" w:afterAutospacing="0" w:line="276" w:lineRule="auto"/>
        <w:ind w:left="426" w:hanging="426"/>
        <w:jc w:val="both"/>
      </w:pPr>
      <w:r>
        <w:t>Provozními službami</w:t>
      </w:r>
      <w:r w:rsidRPr="35E2A7EE">
        <w:t xml:space="preserve"> dle této smlouvy se rozumí</w:t>
      </w:r>
      <w:r>
        <w:t>:</w:t>
      </w:r>
    </w:p>
    <w:p w14:paraId="7D35F31D" w14:textId="77777777" w:rsidR="008A5A8C" w:rsidRDefault="008A5A8C" w:rsidP="008A5A8C">
      <w:pPr>
        <w:pStyle w:val="Normlnweb"/>
        <w:numPr>
          <w:ilvl w:val="1"/>
          <w:numId w:val="50"/>
        </w:numPr>
        <w:spacing w:before="0" w:beforeAutospacing="0" w:after="0" w:afterAutospacing="0" w:line="276" w:lineRule="auto"/>
        <w:ind w:left="851" w:hanging="425"/>
        <w:jc w:val="both"/>
      </w:pPr>
      <w:r w:rsidRPr="35E2A7EE">
        <w:t xml:space="preserve">odvoz a likvidace běžného komunálního odpadu, kterou pronajímatel zajišťuje prostřednictvím třetí osoby; nájemce je povinen ukládat vzniklý komunální odpad výhradně do sběrných nádob určených pronajímatelem. Paušální úhrada za tuto provozní službu činí </w:t>
      </w:r>
      <w:r w:rsidRPr="00C93E8B">
        <w:rPr>
          <w:highlight w:val="yellow"/>
        </w:rPr>
        <w:t>[</w:t>
      </w:r>
      <w:r w:rsidRPr="000704A5">
        <w:rPr>
          <w:highlight w:val="yellow"/>
        </w:rPr>
        <w:t>●]</w:t>
      </w:r>
      <w:r>
        <w:t xml:space="preserve"> </w:t>
      </w:r>
      <w:r w:rsidRPr="35E2A7EE">
        <w:t>za měsíc + DPH;</w:t>
      </w:r>
    </w:p>
    <w:p w14:paraId="19BC9DCB" w14:textId="77777777" w:rsidR="008A5A8C" w:rsidRDefault="008A5A8C" w:rsidP="008A5A8C">
      <w:pPr>
        <w:pStyle w:val="Normlnweb"/>
        <w:numPr>
          <w:ilvl w:val="1"/>
          <w:numId w:val="50"/>
        </w:numPr>
        <w:spacing w:before="0" w:beforeAutospacing="0" w:after="0" w:afterAutospacing="0" w:line="276" w:lineRule="auto"/>
        <w:ind w:left="851" w:hanging="425"/>
        <w:jc w:val="both"/>
      </w:pPr>
      <w:r>
        <w:t xml:space="preserve">ostraha předmětu nájmu prováděná pracovníky strážní informační služby včetně nepřetržitého sledování prodejny napojením na pult centrální ochrany. </w:t>
      </w:r>
      <w:r w:rsidRPr="35E2A7EE">
        <w:t xml:space="preserve">Paušální úhrada za tuto provozní službu činí </w:t>
      </w:r>
      <w:r w:rsidRPr="00C93E8B">
        <w:rPr>
          <w:highlight w:val="yellow"/>
        </w:rPr>
        <w:t>[</w:t>
      </w:r>
      <w:r w:rsidRPr="000704A5">
        <w:rPr>
          <w:highlight w:val="yellow"/>
        </w:rPr>
        <w:t>●]</w:t>
      </w:r>
      <w:r>
        <w:t xml:space="preserve"> </w:t>
      </w:r>
      <w:r w:rsidRPr="35E2A7EE">
        <w:t>za měsíc + DPH;</w:t>
      </w:r>
    </w:p>
    <w:p w14:paraId="73FE2AC4" w14:textId="77777777" w:rsidR="008A5A8C" w:rsidRDefault="008A5A8C" w:rsidP="008A5A8C">
      <w:pPr>
        <w:pStyle w:val="Normlnweb"/>
        <w:numPr>
          <w:ilvl w:val="1"/>
          <w:numId w:val="50"/>
        </w:numPr>
        <w:spacing w:before="0" w:beforeAutospacing="0" w:after="0" w:afterAutospacing="0" w:line="276" w:lineRule="auto"/>
        <w:ind w:left="851" w:hanging="425"/>
        <w:jc w:val="both"/>
      </w:pPr>
      <w:r>
        <w:lastRenderedPageBreak/>
        <w:t xml:space="preserve">dodávka tepelné energie a teplé užitkové vody (TUV). </w:t>
      </w:r>
      <w:r w:rsidRPr="35E2A7EE">
        <w:t xml:space="preserve">Paušální úhrada za tuto provozní službu činí </w:t>
      </w:r>
      <w:r w:rsidRPr="00C93E8B">
        <w:rPr>
          <w:highlight w:val="yellow"/>
        </w:rPr>
        <w:t>[</w:t>
      </w:r>
      <w:r w:rsidRPr="000704A5">
        <w:rPr>
          <w:highlight w:val="yellow"/>
        </w:rPr>
        <w:t>●]</w:t>
      </w:r>
      <w:r>
        <w:t xml:space="preserve"> </w:t>
      </w:r>
      <w:r w:rsidRPr="35E2A7EE">
        <w:t>za měsíc + DPH;</w:t>
      </w:r>
    </w:p>
    <w:p w14:paraId="78BB9FFB" w14:textId="77777777" w:rsidR="008A5A8C" w:rsidRDefault="008A5A8C" w:rsidP="008A5A8C">
      <w:pPr>
        <w:pStyle w:val="Normlnweb"/>
        <w:numPr>
          <w:ilvl w:val="1"/>
          <w:numId w:val="50"/>
        </w:numPr>
        <w:spacing w:before="0" w:beforeAutospacing="0" w:after="0" w:afterAutospacing="0" w:line="276" w:lineRule="auto"/>
        <w:ind w:left="851" w:hanging="425"/>
        <w:jc w:val="both"/>
      </w:pPr>
      <w:r>
        <w:t xml:space="preserve">vedlejší provozní náklady s nájmem spojené: úklid přístupových komunikací k předmětu nájmu, oprava příjezdových komunikací a náklady na údržbu a provoz vjezdového systému. </w:t>
      </w:r>
      <w:r w:rsidRPr="35E2A7EE">
        <w:t xml:space="preserve">Paušální úhrada za tuto provozní službu činí </w:t>
      </w:r>
      <w:r w:rsidRPr="00C93E8B">
        <w:rPr>
          <w:highlight w:val="yellow"/>
        </w:rPr>
        <w:t>[</w:t>
      </w:r>
      <w:r w:rsidRPr="000704A5">
        <w:rPr>
          <w:highlight w:val="yellow"/>
        </w:rPr>
        <w:t>●]</w:t>
      </w:r>
      <w:r>
        <w:t xml:space="preserve"> </w:t>
      </w:r>
      <w:r w:rsidRPr="35E2A7EE">
        <w:t>za měsíc + DPH</w:t>
      </w:r>
      <w:r>
        <w:t>.</w:t>
      </w:r>
    </w:p>
    <w:p w14:paraId="50F546E9" w14:textId="77777777" w:rsidR="008A5A8C" w:rsidRDefault="008A5A8C" w:rsidP="008A5A8C">
      <w:pPr>
        <w:pStyle w:val="Normlnweb"/>
        <w:numPr>
          <w:ilvl w:val="0"/>
          <w:numId w:val="50"/>
        </w:numPr>
        <w:spacing w:before="0" w:beforeAutospacing="0" w:after="0" w:afterAutospacing="0" w:line="276" w:lineRule="auto"/>
        <w:ind w:left="426" w:hanging="426"/>
        <w:jc w:val="both"/>
      </w:pPr>
      <w:r w:rsidRPr="6F8ACB98">
        <w:t>V případě změny cen energií nebo dodávaných služeb</w:t>
      </w:r>
      <w:r>
        <w:t xml:space="preserve"> </w:t>
      </w:r>
      <w:r w:rsidRPr="6F8ACB98">
        <w:t>nebo změny nákladů pronajímatele na poskytování provozních služeb dle této smlouvy, je pronajímatel oprávněn paušální úhrady přiměřeně upravit. O provedené úpravě je pronajímatel povinen nájemce informovat formou jednostranného písemného oznámení, které má informativní charakter a není podmínkou účinnosti provedené úpravy.</w:t>
      </w:r>
    </w:p>
    <w:p w14:paraId="6CAE33AE" w14:textId="77777777" w:rsidR="008A5A8C" w:rsidRDefault="008A5A8C" w:rsidP="008A5A8C">
      <w:pPr>
        <w:pStyle w:val="Normlnweb"/>
        <w:numPr>
          <w:ilvl w:val="0"/>
          <w:numId w:val="50"/>
        </w:numPr>
        <w:spacing w:before="0" w:beforeAutospacing="0" w:after="0" w:afterAutospacing="0" w:line="276" w:lineRule="auto"/>
        <w:ind w:left="426" w:hanging="426"/>
        <w:jc w:val="both"/>
      </w:pPr>
      <w:r>
        <w:t>Paušální úhrady dle tohoto článku jsou hrazeny čtvrtletně předem na základě faktury vystavené pronajímatelem vždy do 5. dne prvního měsíce příslušného čtvrtletí, se splatností 14 dní ode dne jejího vystavení. Faktura je uhrazena dnem připsání celé částky na účet pronajímatele.</w:t>
      </w:r>
    </w:p>
    <w:p w14:paraId="72018EA6" w14:textId="77777777" w:rsidR="008A5A8C" w:rsidRDefault="008A5A8C" w:rsidP="008A5A8C">
      <w:pPr>
        <w:pStyle w:val="Normlnweb"/>
        <w:spacing w:before="0" w:beforeAutospacing="0" w:after="0" w:afterAutospacing="0" w:line="276" w:lineRule="auto"/>
        <w:jc w:val="both"/>
      </w:pPr>
    </w:p>
    <w:p w14:paraId="40CA5AA2" w14:textId="77777777" w:rsidR="008A5A8C" w:rsidRDefault="008A5A8C" w:rsidP="008A5A8C">
      <w:pPr>
        <w:pStyle w:val="Normlnweb"/>
        <w:spacing w:before="0" w:beforeAutospacing="0" w:after="0" w:afterAutospacing="0" w:line="276" w:lineRule="auto"/>
        <w:jc w:val="both"/>
        <w:rPr>
          <w:b/>
          <w:bCs/>
        </w:rPr>
      </w:pPr>
      <w:r w:rsidRPr="70BEF74F">
        <w:rPr>
          <w:b/>
          <w:bCs/>
        </w:rPr>
        <w:t>Prodlení s úhradami</w:t>
      </w:r>
    </w:p>
    <w:p w14:paraId="2E03DB15" w14:textId="2F15326C" w:rsidR="008A5A8C" w:rsidRDefault="008A5A8C" w:rsidP="008A5A8C">
      <w:pPr>
        <w:pStyle w:val="Normlnweb"/>
        <w:numPr>
          <w:ilvl w:val="0"/>
          <w:numId w:val="50"/>
        </w:numPr>
        <w:spacing w:before="0" w:beforeAutospacing="0" w:after="0" w:afterAutospacing="0" w:line="276" w:lineRule="auto"/>
        <w:ind w:left="426" w:hanging="426"/>
        <w:jc w:val="both"/>
      </w:pPr>
      <w:r>
        <w:t>V případě prodlení nájemce s úhradou jakéhokoli peněžitého závazku dle této smlouvy je nájemce povinen uhradit pronajímateli úrok z prodlení ve výši stanovené obecně závaznými právními předpisy. Uhrazením úroku z prodlení není dotčeno právo pronajímatele na náhradu škody ani na uplatnění smluvn</w:t>
      </w:r>
      <w:sdt>
        <w:sdtPr>
          <w:id w:val="-1233691358"/>
          <w:docPartObj>
            <w:docPartGallery w:val="Watermarks"/>
          </w:docPartObj>
        </w:sdtPr>
        <w:sdtEndPr/>
        <w:sdtContent>
          <w:r w:rsidR="003C3B41">
            <w:rPr>
              <w:noProof/>
            </w:rPr>
            <mc:AlternateContent>
              <mc:Choice Requires="wps">
                <w:drawing>
                  <wp:anchor distT="0" distB="0" distL="114300" distR="114300" simplePos="0" relativeHeight="251660288" behindDoc="1" locked="0" layoutInCell="0" allowOverlap="1" wp14:anchorId="0AE72C66" wp14:editId="14B6EB07">
                    <wp:simplePos x="0" y="0"/>
                    <wp:positionH relativeFrom="margin">
                      <wp:align>center</wp:align>
                    </wp:positionH>
                    <wp:positionV relativeFrom="margin">
                      <wp:align>center</wp:align>
                    </wp:positionV>
                    <wp:extent cx="5237480" cy="3142615"/>
                    <wp:effectExtent l="38100" t="1152525" r="0" b="705485"/>
                    <wp:wrapNone/>
                    <wp:docPr id="1358265279"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004FC5"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E72C66" id="Textové pole 11" o:spid="_x0000_s1029" type="#_x0000_t202" style="position:absolute;left:0;text-align:left;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F004FC5"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v:textbox>
                    <w10:wrap anchorx="margin" anchory="margin"/>
                  </v:shape>
                </w:pict>
              </mc:Fallback>
            </mc:AlternateContent>
          </w:r>
        </w:sdtContent>
      </w:sdt>
      <w:r>
        <w:t>ích pokut dle této smlouvy.</w:t>
      </w:r>
    </w:p>
    <w:p w14:paraId="64F8937C" w14:textId="77777777" w:rsidR="008A5A8C" w:rsidRDefault="008A5A8C" w:rsidP="008A5A8C">
      <w:pPr>
        <w:spacing w:line="276" w:lineRule="auto"/>
        <w:rPr>
          <w:b/>
          <w:bCs/>
        </w:rPr>
      </w:pPr>
    </w:p>
    <w:p w14:paraId="2F3EFA9A" w14:textId="77777777" w:rsidR="008A5A8C" w:rsidRDefault="008A5A8C" w:rsidP="008A5A8C">
      <w:pPr>
        <w:spacing w:line="276" w:lineRule="auto"/>
        <w:jc w:val="center"/>
        <w:rPr>
          <w:b/>
          <w:bCs/>
        </w:rPr>
      </w:pPr>
      <w:r w:rsidRPr="04E127FA">
        <w:rPr>
          <w:b/>
          <w:bCs/>
        </w:rPr>
        <w:t xml:space="preserve">V. </w:t>
      </w:r>
    </w:p>
    <w:p w14:paraId="1E20B7C5" w14:textId="77777777" w:rsidR="008A5A8C" w:rsidRDefault="008A5A8C" w:rsidP="008A5A8C">
      <w:pPr>
        <w:spacing w:after="120" w:line="276" w:lineRule="auto"/>
        <w:jc w:val="center"/>
        <w:rPr>
          <w:b/>
          <w:bCs/>
        </w:rPr>
      </w:pPr>
      <w:r w:rsidRPr="04E127FA">
        <w:rPr>
          <w:b/>
          <w:bCs/>
        </w:rPr>
        <w:t>Práva a povinnosti</w:t>
      </w:r>
    </w:p>
    <w:p w14:paraId="6836C187" w14:textId="77777777" w:rsidR="008A5A8C" w:rsidRPr="00A154CF" w:rsidRDefault="008A5A8C" w:rsidP="008A5A8C">
      <w:pPr>
        <w:spacing w:line="276" w:lineRule="auto"/>
        <w:rPr>
          <w:b/>
          <w:bCs/>
        </w:rPr>
      </w:pPr>
      <w:r w:rsidRPr="00A154CF">
        <w:rPr>
          <w:b/>
          <w:bCs/>
        </w:rPr>
        <w:t>Obecná ustanovení</w:t>
      </w:r>
    </w:p>
    <w:p w14:paraId="17AB4464" w14:textId="77777777" w:rsidR="008A5A8C" w:rsidRPr="00A733D8" w:rsidRDefault="008A5A8C" w:rsidP="008A5A8C">
      <w:pPr>
        <w:numPr>
          <w:ilvl w:val="0"/>
          <w:numId w:val="37"/>
        </w:numPr>
        <w:tabs>
          <w:tab w:val="clear" w:pos="360"/>
        </w:tabs>
        <w:spacing w:line="276" w:lineRule="auto"/>
        <w:ind w:left="426" w:hanging="426"/>
        <w:jc w:val="both"/>
      </w:pPr>
      <w:r w:rsidRPr="35E2A7EE">
        <w:t>Nájemce je oprávněn užívat předmět nájmu výhradně k účelu sjednanému v této smlouvě a způsobem, který neodporuje právním předpisům, této smlouvě ani vnitřním předpisům pronajímatele.</w:t>
      </w:r>
    </w:p>
    <w:p w14:paraId="206B7CD5" w14:textId="77777777" w:rsidR="008A5A8C" w:rsidRDefault="008A5A8C" w:rsidP="008A5A8C">
      <w:pPr>
        <w:numPr>
          <w:ilvl w:val="0"/>
          <w:numId w:val="37"/>
        </w:numPr>
        <w:tabs>
          <w:tab w:val="clear" w:pos="360"/>
          <w:tab w:val="num" w:pos="426"/>
        </w:tabs>
        <w:spacing w:line="276" w:lineRule="auto"/>
        <w:ind w:left="426" w:hanging="426"/>
        <w:jc w:val="both"/>
      </w:pPr>
      <w:r w:rsidRPr="35E2A7EE">
        <w:t>Nájemce se zavazuje užívat předmět nájmu řádně, šetrně a tak, aby nedocházelo k jeho poškození, nadměrnému opotřebení ani k omezení provozu areálu pronajímatele.</w:t>
      </w:r>
    </w:p>
    <w:p w14:paraId="56A0BC50" w14:textId="77777777" w:rsidR="008A5A8C" w:rsidRDefault="008A5A8C" w:rsidP="008A5A8C">
      <w:pPr>
        <w:spacing w:line="276" w:lineRule="auto"/>
        <w:ind w:left="720"/>
      </w:pPr>
    </w:p>
    <w:p w14:paraId="6F652718" w14:textId="77777777" w:rsidR="008A5A8C" w:rsidRPr="00A154CF" w:rsidRDefault="008A5A8C" w:rsidP="008A5A8C">
      <w:pPr>
        <w:spacing w:line="276" w:lineRule="auto"/>
        <w:rPr>
          <w:b/>
          <w:bCs/>
        </w:rPr>
      </w:pPr>
      <w:r w:rsidRPr="00A154CF">
        <w:rPr>
          <w:b/>
          <w:bCs/>
        </w:rPr>
        <w:t>Podnájem a stavební úpravy</w:t>
      </w:r>
    </w:p>
    <w:p w14:paraId="1699C25A" w14:textId="77777777" w:rsidR="008A5A8C" w:rsidRPr="00A733D8" w:rsidRDefault="008A5A8C" w:rsidP="008A5A8C">
      <w:pPr>
        <w:numPr>
          <w:ilvl w:val="0"/>
          <w:numId w:val="38"/>
        </w:numPr>
        <w:tabs>
          <w:tab w:val="clear" w:pos="360"/>
        </w:tabs>
        <w:spacing w:line="276" w:lineRule="auto"/>
        <w:ind w:left="426" w:hanging="426"/>
        <w:jc w:val="both"/>
      </w:pPr>
      <w:r w:rsidRPr="35E2A7EE">
        <w:t>Nájemce není oprávněn přenechat předmět nájmu nebo jeho část do podnájmu ani umožnit jeho užívání třetí osobě bez předchozího písemného souhlasu pronajímatele.</w:t>
      </w:r>
    </w:p>
    <w:p w14:paraId="23C1A946" w14:textId="77777777" w:rsidR="008A5A8C" w:rsidRPr="00A733D8" w:rsidRDefault="008A5A8C" w:rsidP="008A5A8C">
      <w:pPr>
        <w:numPr>
          <w:ilvl w:val="0"/>
          <w:numId w:val="38"/>
        </w:numPr>
        <w:tabs>
          <w:tab w:val="clear" w:pos="360"/>
        </w:tabs>
        <w:spacing w:line="276" w:lineRule="auto"/>
        <w:ind w:left="426" w:hanging="426"/>
        <w:jc w:val="both"/>
      </w:pPr>
      <w:r w:rsidRPr="35E2A7EE">
        <w:t>Nájemce není oprávněn bez předchozího písemného souhlasu pronajímatele provádět jakékoli stavební úpravy, technické zásahy nebo jiné změny předmětu nájmu.</w:t>
      </w:r>
    </w:p>
    <w:p w14:paraId="5787AD35" w14:textId="77777777" w:rsidR="008A5A8C" w:rsidRDefault="008A5A8C" w:rsidP="008A5A8C">
      <w:pPr>
        <w:numPr>
          <w:ilvl w:val="0"/>
          <w:numId w:val="38"/>
        </w:numPr>
        <w:tabs>
          <w:tab w:val="clear" w:pos="360"/>
        </w:tabs>
        <w:spacing w:after="201" w:line="276" w:lineRule="auto"/>
        <w:ind w:left="425" w:hanging="425"/>
        <w:contextualSpacing/>
        <w:jc w:val="both"/>
      </w:pPr>
      <w:r w:rsidRPr="35195E4A">
        <w:t xml:space="preserve">Ustanovení předchozího odstavce se netýká přípravných prací nezbytných </w:t>
      </w:r>
      <w:r>
        <w:t xml:space="preserve">k zajištění provozu prodejny. </w:t>
      </w:r>
    </w:p>
    <w:p w14:paraId="0B0CAEBC" w14:textId="77777777" w:rsidR="008A5A8C" w:rsidRPr="00C008BC" w:rsidRDefault="008A5A8C" w:rsidP="008A5A8C">
      <w:pPr>
        <w:spacing w:line="276" w:lineRule="auto"/>
        <w:ind w:left="425"/>
        <w:contextualSpacing/>
      </w:pPr>
    </w:p>
    <w:p w14:paraId="00982C08" w14:textId="77777777" w:rsidR="008A5A8C" w:rsidRPr="00CB36AB" w:rsidRDefault="008A5A8C" w:rsidP="008A5A8C">
      <w:pPr>
        <w:spacing w:line="276" w:lineRule="auto"/>
        <w:rPr>
          <w:b/>
          <w:bCs/>
        </w:rPr>
      </w:pPr>
      <w:r w:rsidRPr="00CB36AB">
        <w:rPr>
          <w:b/>
          <w:bCs/>
        </w:rPr>
        <w:t>Povolení, provoz a omezení činnosti</w:t>
      </w:r>
    </w:p>
    <w:p w14:paraId="68DDD831" w14:textId="77777777" w:rsidR="008A5A8C" w:rsidRPr="00A733D8" w:rsidRDefault="008A5A8C" w:rsidP="008A5A8C">
      <w:pPr>
        <w:numPr>
          <w:ilvl w:val="0"/>
          <w:numId w:val="36"/>
        </w:numPr>
        <w:tabs>
          <w:tab w:val="clear" w:pos="360"/>
        </w:tabs>
        <w:spacing w:line="276" w:lineRule="auto"/>
        <w:ind w:left="426" w:hanging="426"/>
        <w:jc w:val="both"/>
      </w:pPr>
      <w:r w:rsidRPr="35E2A7EE">
        <w:t>Nájemce je povinen na vlastní náklady zajistit veškerá veřejnoprávní povolení, souhlasy a</w:t>
      </w:r>
      <w:r>
        <w:t> </w:t>
      </w:r>
      <w:r w:rsidRPr="35E2A7EE">
        <w:t xml:space="preserve">oznámení nezbytná k provozování </w:t>
      </w:r>
      <w:r>
        <w:t>prodejny</w:t>
      </w:r>
      <w:r w:rsidRPr="35E2A7EE">
        <w:t>.</w:t>
      </w:r>
    </w:p>
    <w:p w14:paraId="21BBACDD" w14:textId="77777777" w:rsidR="008A5A8C" w:rsidRPr="00A733D8" w:rsidRDefault="008A5A8C" w:rsidP="008A5A8C">
      <w:pPr>
        <w:numPr>
          <w:ilvl w:val="0"/>
          <w:numId w:val="36"/>
        </w:numPr>
        <w:tabs>
          <w:tab w:val="clear" w:pos="360"/>
        </w:tabs>
        <w:spacing w:line="276" w:lineRule="auto"/>
        <w:ind w:left="426" w:hanging="426"/>
        <w:jc w:val="both"/>
      </w:pPr>
      <w:r w:rsidRPr="35E2A7EE">
        <w:lastRenderedPageBreak/>
        <w:t>Nájemce se zavazuje dodržovat zákaz vystavování a prodeje zboží erotické nebo pornografické povahy, alkoholických nápojů a tabákových výrobků, platný pro celý areál pronajímatele.</w:t>
      </w:r>
    </w:p>
    <w:p w14:paraId="37E37027" w14:textId="77777777" w:rsidR="008A5A8C" w:rsidRDefault="008A5A8C" w:rsidP="008A5A8C">
      <w:pPr>
        <w:numPr>
          <w:ilvl w:val="0"/>
          <w:numId w:val="36"/>
        </w:numPr>
        <w:tabs>
          <w:tab w:val="clear" w:pos="360"/>
        </w:tabs>
        <w:spacing w:line="276" w:lineRule="auto"/>
        <w:ind w:left="425" w:hanging="425"/>
        <w:jc w:val="both"/>
      </w:pPr>
      <w:r w:rsidRPr="35195E4A">
        <w:t>Nájemce odpovídá za to, že jeho činnost nebude narušovat provoz zdravotnického zařízení ani ohrožovat pacienty, zaměstnance či návštěvníky areálu.</w:t>
      </w:r>
    </w:p>
    <w:p w14:paraId="2B526827" w14:textId="77777777" w:rsidR="008A5A8C" w:rsidRDefault="008A5A8C" w:rsidP="008A5A8C">
      <w:pPr>
        <w:spacing w:line="276" w:lineRule="auto"/>
        <w:ind w:left="425"/>
      </w:pPr>
    </w:p>
    <w:p w14:paraId="13726DCC" w14:textId="77777777" w:rsidR="008A5A8C" w:rsidRPr="00CB36AB" w:rsidRDefault="008A5A8C" w:rsidP="008A5A8C">
      <w:pPr>
        <w:spacing w:line="276" w:lineRule="auto"/>
        <w:rPr>
          <w:b/>
          <w:bCs/>
        </w:rPr>
      </w:pPr>
      <w:r w:rsidRPr="00CB36AB">
        <w:rPr>
          <w:b/>
          <w:bCs/>
        </w:rPr>
        <w:t>Požární ochrana a BOZP</w:t>
      </w:r>
    </w:p>
    <w:p w14:paraId="27EAE57B" w14:textId="77777777" w:rsidR="008A5A8C" w:rsidRPr="00A154CF" w:rsidRDefault="008A5A8C" w:rsidP="008A5A8C">
      <w:pPr>
        <w:pStyle w:val="Odstavecseseznamem"/>
        <w:numPr>
          <w:ilvl w:val="0"/>
          <w:numId w:val="45"/>
        </w:numPr>
        <w:spacing w:line="276" w:lineRule="auto"/>
        <w:ind w:left="426" w:hanging="426"/>
        <w:contextualSpacing/>
        <w:jc w:val="both"/>
      </w:pPr>
      <w:r w:rsidRPr="00A154CF">
        <w:t>Nájemce je povinen dodržovat veškeré právní předpisy na úseku požární ochrany a</w:t>
      </w:r>
      <w:r>
        <w:t> </w:t>
      </w:r>
      <w:r w:rsidRPr="00A154CF">
        <w:t>bezpečnosti a ochrany zdraví při práci, jakož i související vnitřní předpisy pronajímatele.</w:t>
      </w:r>
    </w:p>
    <w:p w14:paraId="79726643" w14:textId="77777777" w:rsidR="008A5A8C" w:rsidRPr="00A154CF" w:rsidRDefault="008A5A8C" w:rsidP="008A5A8C">
      <w:pPr>
        <w:pStyle w:val="Odstavecseseznamem"/>
        <w:numPr>
          <w:ilvl w:val="0"/>
          <w:numId w:val="45"/>
        </w:numPr>
        <w:spacing w:line="276" w:lineRule="auto"/>
        <w:ind w:left="426" w:hanging="426"/>
        <w:contextualSpacing/>
      </w:pPr>
      <w:r w:rsidRPr="00A154CF">
        <w:t>Nájemce potvrzuje, že byl seznámen zejména s:</w:t>
      </w:r>
    </w:p>
    <w:p w14:paraId="34CA1C97" w14:textId="77777777" w:rsidR="008A5A8C" w:rsidRDefault="008A5A8C" w:rsidP="008A5A8C">
      <w:pPr>
        <w:pStyle w:val="Odstavecseseznamem"/>
        <w:numPr>
          <w:ilvl w:val="0"/>
          <w:numId w:val="42"/>
        </w:numPr>
        <w:spacing w:line="276" w:lineRule="auto"/>
        <w:contextualSpacing/>
      </w:pPr>
      <w:r w:rsidRPr="00A154CF">
        <w:t xml:space="preserve">požárně poplachovými směrnicemi (viz příloha č. </w:t>
      </w:r>
      <w:r>
        <w:t>3</w:t>
      </w:r>
      <w:r w:rsidRPr="00A154CF">
        <w:t>),</w:t>
      </w:r>
    </w:p>
    <w:p w14:paraId="48B79742" w14:textId="77777777" w:rsidR="008A5A8C" w:rsidRDefault="008A5A8C" w:rsidP="008A5A8C">
      <w:pPr>
        <w:pStyle w:val="Odstavecseseznamem"/>
        <w:numPr>
          <w:ilvl w:val="0"/>
          <w:numId w:val="42"/>
        </w:numPr>
        <w:spacing w:line="276" w:lineRule="auto"/>
        <w:contextualSpacing/>
      </w:pPr>
      <w:r w:rsidRPr="00A154CF">
        <w:t xml:space="preserve">požárně evakuačním plánem (viz příloha č. </w:t>
      </w:r>
      <w:r>
        <w:t>4</w:t>
      </w:r>
      <w:r w:rsidRPr="00A154CF">
        <w:t>),</w:t>
      </w:r>
    </w:p>
    <w:p w14:paraId="4632A6FA" w14:textId="77777777" w:rsidR="008A5A8C" w:rsidRPr="00A154CF" w:rsidRDefault="008A5A8C" w:rsidP="008A5A8C">
      <w:pPr>
        <w:pStyle w:val="Odstavecseseznamem"/>
        <w:numPr>
          <w:ilvl w:val="0"/>
          <w:numId w:val="42"/>
        </w:numPr>
        <w:spacing w:line="276" w:lineRule="auto"/>
        <w:contextualSpacing/>
      </w:pPr>
      <w:r w:rsidRPr="00A154CF">
        <w:t>funkcí dispečerské služby FTN (tel. linka 2222) jako ohlašovny požáru, s jejím kontaktem na nepřetržitou pohotovostní údržbářskou službu, která má informace o hlavních uzávěrech a vypínačích.</w:t>
      </w:r>
    </w:p>
    <w:p w14:paraId="203CA328" w14:textId="77777777" w:rsidR="008A5A8C" w:rsidRPr="00A154CF" w:rsidRDefault="008A5A8C" w:rsidP="008A5A8C">
      <w:pPr>
        <w:pStyle w:val="Odstavecseseznamem"/>
        <w:numPr>
          <w:ilvl w:val="0"/>
          <w:numId w:val="45"/>
        </w:numPr>
        <w:spacing w:line="276" w:lineRule="auto"/>
        <w:ind w:left="426" w:hanging="426"/>
        <w:contextualSpacing/>
        <w:jc w:val="both"/>
      </w:pPr>
      <w:r w:rsidRPr="00A154CF">
        <w:t>Plnění povinností na úseku požární ochrany a BOZP zabezpečuje nájemce v plném rozsahu na vlastní odpovědnost.</w:t>
      </w:r>
    </w:p>
    <w:p w14:paraId="514C034E" w14:textId="77777777" w:rsidR="008A5A8C" w:rsidRDefault="008A5A8C" w:rsidP="008A5A8C">
      <w:pPr>
        <w:spacing w:line="276" w:lineRule="auto"/>
        <w:ind w:left="720"/>
      </w:pPr>
    </w:p>
    <w:p w14:paraId="6C27B601" w14:textId="77777777" w:rsidR="008A5A8C" w:rsidRPr="00CB36AB" w:rsidRDefault="008A5A8C" w:rsidP="008A5A8C">
      <w:pPr>
        <w:spacing w:line="276" w:lineRule="auto"/>
        <w:rPr>
          <w:b/>
          <w:bCs/>
        </w:rPr>
      </w:pPr>
      <w:r w:rsidRPr="00CB36AB">
        <w:rPr>
          <w:b/>
          <w:bCs/>
        </w:rPr>
        <w:t>Údržba, opravy a odpovědnost za škodu</w:t>
      </w:r>
    </w:p>
    <w:p w14:paraId="4A7E2911" w14:textId="77777777" w:rsidR="008A5A8C" w:rsidRPr="00A154CF" w:rsidRDefault="008A5A8C" w:rsidP="008A5A8C">
      <w:pPr>
        <w:pStyle w:val="Odstavecseseznamem"/>
        <w:numPr>
          <w:ilvl w:val="0"/>
          <w:numId w:val="47"/>
        </w:numPr>
        <w:spacing w:line="276" w:lineRule="auto"/>
        <w:ind w:left="426" w:hanging="426"/>
        <w:contextualSpacing/>
        <w:jc w:val="both"/>
      </w:pPr>
      <w:r w:rsidRPr="00A154CF">
        <w:t>Nájemce nese veškeré náklady spojené s běžnou údržbou a drobnými opravami předmětu nájmu souvisejícími s jeho užíváním.</w:t>
      </w:r>
    </w:p>
    <w:p w14:paraId="64FA4FCF" w14:textId="1BE3F453" w:rsidR="008A5A8C" w:rsidRPr="00A154CF" w:rsidRDefault="008A5A8C" w:rsidP="008A5A8C">
      <w:pPr>
        <w:pStyle w:val="Odstavecseseznamem"/>
        <w:numPr>
          <w:ilvl w:val="0"/>
          <w:numId w:val="47"/>
        </w:numPr>
        <w:spacing w:line="276" w:lineRule="auto"/>
        <w:ind w:left="426" w:hanging="426"/>
        <w:contextualSpacing/>
        <w:jc w:val="both"/>
      </w:pPr>
      <w:r w:rsidRPr="00A154CF">
        <w:t>V případě poškození předmětu nájmu je nájemce povinen za</w:t>
      </w:r>
      <w:sdt>
        <w:sdtPr>
          <w:id w:val="641849570"/>
          <w:docPartObj>
            <w:docPartGallery w:val="Watermarks"/>
          </w:docPartObj>
        </w:sdtPr>
        <w:sdtEndPr/>
        <w:sdtContent>
          <w:r w:rsidR="003C3B41">
            <w:rPr>
              <w:noProof/>
            </w:rPr>
            <mc:AlternateContent>
              <mc:Choice Requires="wps">
                <w:drawing>
                  <wp:anchor distT="0" distB="0" distL="114300" distR="114300" simplePos="0" relativeHeight="251661312" behindDoc="1" locked="0" layoutInCell="0" allowOverlap="1" wp14:anchorId="2945001D" wp14:editId="1F1A93F0">
                    <wp:simplePos x="0" y="0"/>
                    <wp:positionH relativeFrom="margin">
                      <wp:align>center</wp:align>
                    </wp:positionH>
                    <wp:positionV relativeFrom="margin">
                      <wp:align>center</wp:align>
                    </wp:positionV>
                    <wp:extent cx="5237480" cy="3142615"/>
                    <wp:effectExtent l="38100" t="1152525" r="0" b="705485"/>
                    <wp:wrapNone/>
                    <wp:docPr id="479104056"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BD20B1"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45001D" id="Textové pole 12" o:spid="_x0000_s1030" type="#_x0000_t202" style="position:absolute;left:0;text-align:left;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2BD20B1"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v:textbox>
                    <w10:wrap anchorx="margin" anchory="margin"/>
                  </v:shape>
                </w:pict>
              </mc:Fallback>
            </mc:AlternateContent>
          </w:r>
        </w:sdtContent>
      </w:sdt>
      <w:r w:rsidRPr="00A154CF">
        <w:t>jistit a uhradit opravy tak, aby byl předmět nájmu uveden do provozuschopného stavu.</w:t>
      </w:r>
    </w:p>
    <w:p w14:paraId="71D4A1D8" w14:textId="77777777" w:rsidR="008A5A8C" w:rsidRPr="00C243ED" w:rsidRDefault="008A5A8C" w:rsidP="008A5A8C">
      <w:pPr>
        <w:pStyle w:val="Odstavecseseznamem"/>
        <w:numPr>
          <w:ilvl w:val="0"/>
          <w:numId w:val="47"/>
        </w:numPr>
        <w:spacing w:line="276" w:lineRule="auto"/>
        <w:ind w:left="426" w:hanging="426"/>
        <w:contextualSpacing/>
        <w:jc w:val="both"/>
      </w:pPr>
      <w:r w:rsidRPr="00C243ED">
        <w:t xml:space="preserve">Pronajímatel neodpovídá za škody na </w:t>
      </w:r>
      <w:r>
        <w:t>prodejně</w:t>
      </w:r>
      <w:r w:rsidRPr="00C243ED">
        <w:t>, je</w:t>
      </w:r>
      <w:r>
        <w:t>jím vybavení</w:t>
      </w:r>
      <w:r w:rsidRPr="00C243ED">
        <w:t xml:space="preserve"> ani na movitých věcech umístěných v předmětu nájmu nebo na venkovní ploše.</w:t>
      </w:r>
    </w:p>
    <w:p w14:paraId="0551E005" w14:textId="77777777" w:rsidR="008A5A8C" w:rsidRPr="00A154CF" w:rsidRDefault="008A5A8C" w:rsidP="008A5A8C">
      <w:pPr>
        <w:pStyle w:val="Odstavecseseznamem"/>
        <w:numPr>
          <w:ilvl w:val="0"/>
          <w:numId w:val="47"/>
        </w:numPr>
        <w:spacing w:after="197" w:line="276" w:lineRule="auto"/>
        <w:ind w:left="426" w:hanging="426"/>
        <w:contextualSpacing/>
        <w:jc w:val="both"/>
      </w:pPr>
      <w:r w:rsidRPr="00A154CF">
        <w:t>Smluvní strany se dohodly, že nájemci nevzniká právo na náhradu nákladů vynaložených na technické zhodnocení, úpravy nebo jiné změny předmětu nájmu, a to ani v případě, že byly provedeny se souhlasem pronajímatele, není-li v jednotlivém případě výslovně písemně sjednáno jinak.</w:t>
      </w:r>
    </w:p>
    <w:p w14:paraId="310BDFBB" w14:textId="77777777" w:rsidR="008A5A8C" w:rsidRPr="00CB36AB" w:rsidRDefault="008A5A8C" w:rsidP="008A5A8C">
      <w:pPr>
        <w:spacing w:line="276" w:lineRule="auto"/>
        <w:rPr>
          <w:b/>
          <w:bCs/>
        </w:rPr>
      </w:pPr>
      <w:r w:rsidRPr="00CB36AB">
        <w:rPr>
          <w:b/>
          <w:bCs/>
        </w:rPr>
        <w:t>Přístup do předmětu nájmu</w:t>
      </w:r>
    </w:p>
    <w:p w14:paraId="2F92E073" w14:textId="77777777" w:rsidR="008A5A8C" w:rsidRPr="00A154CF" w:rsidRDefault="008A5A8C" w:rsidP="008A5A8C">
      <w:pPr>
        <w:pStyle w:val="Odstavecseseznamem"/>
        <w:numPr>
          <w:ilvl w:val="0"/>
          <w:numId w:val="48"/>
        </w:numPr>
        <w:spacing w:line="276" w:lineRule="auto"/>
        <w:ind w:left="426" w:hanging="426"/>
        <w:contextualSpacing/>
        <w:jc w:val="both"/>
      </w:pPr>
      <w:r w:rsidRPr="00A154CF">
        <w:t xml:space="preserve">Nájemce je povinen umožnit pronajímateli přístup do prostor na základě žádosti doručené poštou nebo e-mailem alespoň 24 hodin před požadovaným vstupem do prostor, a to za účelem kontroly nakládání s poskytnutým majetkem, jeho stavu a způsobu užívání. </w:t>
      </w:r>
    </w:p>
    <w:p w14:paraId="30B97B9D" w14:textId="77777777" w:rsidR="008A5A8C" w:rsidRDefault="008A5A8C" w:rsidP="008A5A8C">
      <w:pPr>
        <w:pStyle w:val="Odstavecseseznamem"/>
        <w:numPr>
          <w:ilvl w:val="0"/>
          <w:numId w:val="48"/>
        </w:numPr>
        <w:spacing w:after="197" w:line="276" w:lineRule="auto"/>
        <w:ind w:left="426" w:hanging="426"/>
        <w:contextualSpacing/>
        <w:jc w:val="both"/>
      </w:pPr>
      <w:r w:rsidRPr="35195E4A">
        <w:t>V případě havárie, ohrožení života, zdraví nebo majetku je pronajímatel oprávněn vstoupit do předmětu nájmu bez předchozího oznámení; nájemce je povinen poskytnout potřebnou součinnost.</w:t>
      </w:r>
    </w:p>
    <w:p w14:paraId="56C7F5B9" w14:textId="77777777" w:rsidR="008A5A8C" w:rsidRPr="00CB36AB" w:rsidRDefault="008A5A8C" w:rsidP="008A5A8C">
      <w:pPr>
        <w:spacing w:line="276" w:lineRule="auto"/>
        <w:rPr>
          <w:b/>
          <w:bCs/>
        </w:rPr>
      </w:pPr>
      <w:r w:rsidRPr="00CB36AB">
        <w:rPr>
          <w:b/>
          <w:bCs/>
        </w:rPr>
        <w:t>Areálová pravidla a parkování</w:t>
      </w:r>
    </w:p>
    <w:p w14:paraId="502AA32E" w14:textId="77777777" w:rsidR="008A5A8C" w:rsidRPr="00A154CF" w:rsidRDefault="008A5A8C" w:rsidP="008A5A8C">
      <w:pPr>
        <w:pStyle w:val="Odstavecseseznamem"/>
        <w:numPr>
          <w:ilvl w:val="0"/>
          <w:numId w:val="49"/>
        </w:numPr>
        <w:spacing w:line="276" w:lineRule="auto"/>
        <w:ind w:left="426" w:hanging="426"/>
        <w:contextualSpacing/>
        <w:jc w:val="both"/>
      </w:pPr>
      <w:r w:rsidRPr="00A154CF">
        <w:t>Nájemce bere na vědomí, že v areálu FTN platí přísný zákaz mytí vozidel na všech komunikacích a zatravněných plochách. Pro tyto účely je zřízena myčka referátu dopravy v pavilonu W (garáže DZS), která je k dispozici za úhradu i cizím organizacím a firmám.</w:t>
      </w:r>
    </w:p>
    <w:p w14:paraId="0EC307E9" w14:textId="77777777" w:rsidR="008A5A8C" w:rsidRDefault="008A5A8C" w:rsidP="008A5A8C">
      <w:pPr>
        <w:pStyle w:val="Odstavecseseznamem"/>
        <w:numPr>
          <w:ilvl w:val="0"/>
          <w:numId w:val="49"/>
        </w:numPr>
        <w:spacing w:after="240" w:line="276" w:lineRule="auto"/>
        <w:ind w:left="425" w:hanging="425"/>
        <w:contextualSpacing/>
        <w:jc w:val="both"/>
      </w:pPr>
      <w:r w:rsidRPr="00A154CF">
        <w:lastRenderedPageBreak/>
        <w:t>Nájemce je oprávněn požádat Útvar ochrany majetku (přízemí pavilonu C, podloubí vpravo, vedle tel. ústředny) o povolení vjezdu a parkování vozidel v areálu pronajímatele za podmínek a úhradu stanovenou vnitřními předpisy pronajímatele.</w:t>
      </w:r>
    </w:p>
    <w:p w14:paraId="5AC6C8CB" w14:textId="77777777" w:rsidR="008A5A8C" w:rsidRPr="00CB36AB" w:rsidRDefault="008A5A8C" w:rsidP="008A5A8C">
      <w:pPr>
        <w:spacing w:line="276" w:lineRule="auto"/>
        <w:rPr>
          <w:b/>
          <w:bCs/>
        </w:rPr>
      </w:pPr>
      <w:r w:rsidRPr="00CB36AB">
        <w:rPr>
          <w:b/>
          <w:bCs/>
        </w:rPr>
        <w:t>Reklama a označení</w:t>
      </w:r>
    </w:p>
    <w:p w14:paraId="1711F12F" w14:textId="77777777" w:rsidR="008A5A8C" w:rsidRPr="007A513A" w:rsidRDefault="008A5A8C" w:rsidP="008A5A8C">
      <w:pPr>
        <w:pStyle w:val="Odstavecseseznamem"/>
        <w:numPr>
          <w:ilvl w:val="0"/>
          <w:numId w:val="49"/>
        </w:numPr>
        <w:spacing w:after="160" w:line="276" w:lineRule="auto"/>
        <w:ind w:left="426" w:hanging="426"/>
        <w:contextualSpacing/>
        <w:jc w:val="both"/>
        <w:rPr>
          <w:szCs w:val="28"/>
        </w:rPr>
      </w:pPr>
      <w:r w:rsidRPr="007A513A">
        <w:rPr>
          <w:szCs w:val="28"/>
        </w:rPr>
        <w:t>Nájemce se zavazuje, že obsah reklamy</w:t>
      </w:r>
      <w:r>
        <w:rPr>
          <w:szCs w:val="28"/>
        </w:rPr>
        <w:t xml:space="preserve"> a označení</w:t>
      </w:r>
      <w:r w:rsidRPr="007A513A">
        <w:rPr>
          <w:szCs w:val="28"/>
        </w:rPr>
        <w:t xml:space="preserve"> umístěn</w:t>
      </w:r>
      <w:r>
        <w:rPr>
          <w:szCs w:val="28"/>
        </w:rPr>
        <w:t>y</w:t>
      </w:r>
      <w:r w:rsidRPr="007A513A">
        <w:rPr>
          <w:szCs w:val="28"/>
        </w:rPr>
        <w:t xml:space="preserve"> na </w:t>
      </w:r>
      <w:r>
        <w:rPr>
          <w:szCs w:val="28"/>
        </w:rPr>
        <w:t>předmětu nájmu</w:t>
      </w:r>
      <w:r w:rsidRPr="007A513A">
        <w:rPr>
          <w:szCs w:val="28"/>
        </w:rPr>
        <w:t xml:space="preserve"> bude v souladu se zákonem č. 40/1995 Sb., o regulaci reklamy a o změně a doplnění zákona č.</w:t>
      </w:r>
      <w:r>
        <w:rPr>
          <w:szCs w:val="28"/>
        </w:rPr>
        <w:t> </w:t>
      </w:r>
      <w:r w:rsidRPr="007A513A">
        <w:rPr>
          <w:szCs w:val="28"/>
        </w:rPr>
        <w:t xml:space="preserve">468/1991 Sb., o provozování rozhlasového a televizního vysílání, ve znění pozdějších předpisů, a to zejména tak, že nebude sloužit k propagaci politických stran a hnutí, násilí a erotiky. </w:t>
      </w:r>
    </w:p>
    <w:p w14:paraId="265E5EF5" w14:textId="77777777" w:rsidR="008A5A8C" w:rsidRDefault="008A5A8C" w:rsidP="008A5A8C">
      <w:pPr>
        <w:pStyle w:val="Odstavecseseznamem"/>
        <w:numPr>
          <w:ilvl w:val="0"/>
          <w:numId w:val="49"/>
        </w:numPr>
        <w:spacing w:after="160" w:line="276" w:lineRule="auto"/>
        <w:ind w:left="426" w:hanging="426"/>
        <w:contextualSpacing/>
        <w:jc w:val="both"/>
        <w:rPr>
          <w:szCs w:val="28"/>
        </w:rPr>
      </w:pPr>
      <w:r w:rsidRPr="007A513A">
        <w:rPr>
          <w:szCs w:val="28"/>
        </w:rPr>
        <w:t>Obsah reklamy dále nesmí být v rozporu s léčebnými postupy pronajímatele a musí být v souladu s etickým kodexem pronajímatele.</w:t>
      </w:r>
    </w:p>
    <w:p w14:paraId="0D6DB067" w14:textId="77777777" w:rsidR="008A5A8C" w:rsidRDefault="008A5A8C" w:rsidP="008A5A8C">
      <w:pPr>
        <w:pStyle w:val="Odstavecseseznamem"/>
        <w:numPr>
          <w:ilvl w:val="0"/>
          <w:numId w:val="49"/>
        </w:numPr>
        <w:spacing w:after="160" w:line="276" w:lineRule="auto"/>
        <w:ind w:left="426" w:hanging="426"/>
        <w:contextualSpacing/>
        <w:jc w:val="both"/>
        <w:rPr>
          <w:szCs w:val="28"/>
        </w:rPr>
      </w:pPr>
      <w:r>
        <w:rPr>
          <w:szCs w:val="28"/>
        </w:rPr>
        <w:t xml:space="preserve">Reklama a označení, které je nájemce oprávněn ke dni počátku nájmu umístit do předmětu nájmu je specifikována v Příloze č. 2 této smlouvy. Další reklamy a označení mohou být nájemcem umístěny pouze po předchozím souhlasu pronajímatele. </w:t>
      </w:r>
    </w:p>
    <w:p w14:paraId="44151943" w14:textId="77777777" w:rsidR="008A5A8C" w:rsidRPr="0085366D" w:rsidRDefault="008A5A8C" w:rsidP="008A5A8C">
      <w:pPr>
        <w:pStyle w:val="Odstavecseseznamem"/>
        <w:numPr>
          <w:ilvl w:val="0"/>
          <w:numId w:val="49"/>
        </w:numPr>
        <w:spacing w:after="160" w:line="276" w:lineRule="auto"/>
        <w:ind w:left="426" w:hanging="426"/>
        <w:contextualSpacing/>
        <w:jc w:val="both"/>
        <w:rPr>
          <w:szCs w:val="28"/>
        </w:rPr>
      </w:pPr>
      <w:r w:rsidRPr="0085366D">
        <w:rPr>
          <w:szCs w:val="28"/>
        </w:rPr>
        <w:t>Nájemce se zavazuje bezodkladně odstranit reklamu a označení případě, že bude pronajímatelem upozorněn na nevhodnost obsahu.</w:t>
      </w:r>
    </w:p>
    <w:p w14:paraId="787701DE" w14:textId="77777777" w:rsidR="008A5A8C" w:rsidRPr="00CB36AB" w:rsidRDefault="008A5A8C" w:rsidP="008A5A8C">
      <w:pPr>
        <w:spacing w:line="276" w:lineRule="auto"/>
        <w:rPr>
          <w:b/>
          <w:bCs/>
        </w:rPr>
      </w:pPr>
      <w:r w:rsidRPr="00CB36AB">
        <w:rPr>
          <w:b/>
          <w:bCs/>
        </w:rPr>
        <w:t>Předání předmětu nájmu po skončení nájmu</w:t>
      </w:r>
    </w:p>
    <w:p w14:paraId="088F9C62" w14:textId="77777777" w:rsidR="008A5A8C" w:rsidRPr="00A154CF" w:rsidRDefault="008A5A8C" w:rsidP="008A5A8C">
      <w:pPr>
        <w:pStyle w:val="Odstavecseseznamem"/>
        <w:numPr>
          <w:ilvl w:val="0"/>
          <w:numId w:val="49"/>
        </w:numPr>
        <w:spacing w:line="276" w:lineRule="auto"/>
        <w:ind w:left="426" w:hanging="426"/>
        <w:contextualSpacing/>
        <w:jc w:val="both"/>
      </w:pPr>
      <w:r w:rsidRPr="00A154CF">
        <w:t>Po skončení nájmu je nájemce povinen předat předmět nájmu pronajímateli</w:t>
      </w:r>
      <w:r w:rsidRPr="00A154CF">
        <w:rPr>
          <w:b/>
          <w:bCs/>
        </w:rPr>
        <w:t xml:space="preserve"> </w:t>
      </w:r>
      <w:r w:rsidRPr="00A154CF">
        <w:t xml:space="preserve">(pracovníkům Oddělení správy areálu) předmět nájmu zpět ve stavu, v jakém jej převzal, případně po Pronajímatelem odsouhlasených úpravách, s přihlédnutím k obvyklému opotřebení, vyklizený a čistý. </w:t>
      </w:r>
    </w:p>
    <w:p w14:paraId="086F2376" w14:textId="5BC35409" w:rsidR="008A5A8C" w:rsidRPr="00A154CF" w:rsidRDefault="008A5A8C" w:rsidP="008A5A8C">
      <w:pPr>
        <w:pStyle w:val="Odstavecseseznamem"/>
        <w:numPr>
          <w:ilvl w:val="0"/>
          <w:numId w:val="49"/>
        </w:numPr>
        <w:spacing w:line="276" w:lineRule="auto"/>
        <w:ind w:left="426" w:hanging="426"/>
        <w:contextualSpacing/>
        <w:jc w:val="both"/>
      </w:pPr>
      <w:r w:rsidRPr="00A154CF">
        <w:t xml:space="preserve">V případě, že nájemce nepředá předmět nájmu řádně a včas, je povinen uhradit pronajímateli smluvní pokutu ve výši </w:t>
      </w:r>
      <w:r>
        <w:t xml:space="preserve">2 </w:t>
      </w:r>
      <w:r w:rsidRPr="00A154CF">
        <w:t>500 Kč za každý započa</w:t>
      </w:r>
      <w:sdt>
        <w:sdtPr>
          <w:id w:val="-554240029"/>
          <w:docPartObj>
            <w:docPartGallery w:val="Watermarks"/>
          </w:docPartObj>
        </w:sdtPr>
        <w:sdtEndPr/>
        <w:sdtContent>
          <w:r w:rsidR="003C3B41">
            <w:rPr>
              <w:noProof/>
            </w:rPr>
            <mc:AlternateContent>
              <mc:Choice Requires="wps">
                <w:drawing>
                  <wp:anchor distT="0" distB="0" distL="114300" distR="114300" simplePos="0" relativeHeight="251662336" behindDoc="1" locked="0" layoutInCell="0" allowOverlap="1" wp14:anchorId="60F996F9" wp14:editId="43A49A88">
                    <wp:simplePos x="0" y="0"/>
                    <wp:positionH relativeFrom="margin">
                      <wp:align>center</wp:align>
                    </wp:positionH>
                    <wp:positionV relativeFrom="margin">
                      <wp:align>center</wp:align>
                    </wp:positionV>
                    <wp:extent cx="5237480" cy="3142615"/>
                    <wp:effectExtent l="38100" t="1152525" r="0" b="705485"/>
                    <wp:wrapNone/>
                    <wp:docPr id="866329826"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036A23"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F996F9" id="Textové pole 13" o:spid="_x0000_s1031" type="#_x0000_t202" style="position:absolute;left:0;text-align:left;margin-left:0;margin-top:0;width:412.4pt;height:247.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2036A23"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v:textbox>
                    <w10:wrap anchorx="margin" anchory="margin"/>
                  </v:shape>
                </w:pict>
              </mc:Fallback>
            </mc:AlternateContent>
          </w:r>
        </w:sdtContent>
      </w:sdt>
      <w:r w:rsidRPr="00A154CF">
        <w:t>tý den prodlení, aniž je tím dotčeno právo na náhradu škody.</w:t>
      </w:r>
    </w:p>
    <w:p w14:paraId="2AB020C3" w14:textId="77777777" w:rsidR="008A5A8C" w:rsidRDefault="008A5A8C" w:rsidP="008A5A8C">
      <w:pPr>
        <w:spacing w:line="276" w:lineRule="auto"/>
        <w:ind w:left="720"/>
      </w:pPr>
    </w:p>
    <w:p w14:paraId="41E5A9D6" w14:textId="77777777" w:rsidR="008A5A8C" w:rsidRDefault="008A5A8C" w:rsidP="008A5A8C">
      <w:pPr>
        <w:spacing w:line="276" w:lineRule="auto"/>
        <w:ind w:firstLine="11"/>
        <w:jc w:val="center"/>
        <w:rPr>
          <w:b/>
          <w:bCs/>
        </w:rPr>
      </w:pPr>
      <w:r w:rsidRPr="04E127FA">
        <w:rPr>
          <w:b/>
          <w:bCs/>
        </w:rPr>
        <w:t xml:space="preserve">VI. </w:t>
      </w:r>
    </w:p>
    <w:p w14:paraId="22B15E25" w14:textId="77777777" w:rsidR="008A5A8C" w:rsidRDefault="008A5A8C" w:rsidP="008A5A8C">
      <w:pPr>
        <w:spacing w:after="120" w:line="276" w:lineRule="auto"/>
        <w:ind w:firstLine="11"/>
        <w:jc w:val="center"/>
        <w:rPr>
          <w:b/>
          <w:bCs/>
        </w:rPr>
      </w:pPr>
      <w:r w:rsidRPr="04E127FA">
        <w:rPr>
          <w:b/>
          <w:bCs/>
        </w:rPr>
        <w:t>Doba trvání nájmu a skončení nájmu</w:t>
      </w:r>
    </w:p>
    <w:p w14:paraId="09757E65" w14:textId="77777777" w:rsidR="008A5A8C" w:rsidRPr="00C008BC" w:rsidRDefault="008A5A8C" w:rsidP="008A5A8C">
      <w:pPr>
        <w:pStyle w:val="Normlnweb"/>
        <w:numPr>
          <w:ilvl w:val="0"/>
          <w:numId w:val="22"/>
        </w:numPr>
        <w:spacing w:before="0" w:beforeAutospacing="0" w:after="0" w:afterAutospacing="0" w:line="276" w:lineRule="auto"/>
        <w:ind w:left="426" w:hanging="426"/>
        <w:jc w:val="both"/>
      </w:pPr>
      <w:r w:rsidRPr="35E2A7EE">
        <w:rPr>
          <w:color w:val="000000" w:themeColor="text1"/>
        </w:rPr>
        <w:t>Nájem se sjednává na dobu určitou</w:t>
      </w:r>
      <w:r>
        <w:rPr>
          <w:color w:val="000000" w:themeColor="text1"/>
        </w:rPr>
        <w:t xml:space="preserve">, a to </w:t>
      </w:r>
      <w:r w:rsidRPr="00151EBB">
        <w:rPr>
          <w:b/>
          <w:bCs/>
          <w:color w:val="000000" w:themeColor="text1"/>
        </w:rPr>
        <w:t>od 1.</w:t>
      </w:r>
      <w:r>
        <w:rPr>
          <w:b/>
          <w:bCs/>
          <w:color w:val="000000" w:themeColor="text1"/>
        </w:rPr>
        <w:t xml:space="preserve"> 10</w:t>
      </w:r>
      <w:r w:rsidRPr="00151EBB">
        <w:rPr>
          <w:b/>
          <w:bCs/>
          <w:color w:val="000000" w:themeColor="text1"/>
        </w:rPr>
        <w:t>.</w:t>
      </w:r>
      <w:r>
        <w:rPr>
          <w:b/>
          <w:bCs/>
          <w:color w:val="000000" w:themeColor="text1"/>
        </w:rPr>
        <w:t xml:space="preserve"> </w:t>
      </w:r>
      <w:r w:rsidRPr="00151EBB">
        <w:rPr>
          <w:b/>
          <w:bCs/>
          <w:color w:val="000000" w:themeColor="text1"/>
        </w:rPr>
        <w:t>2026</w:t>
      </w:r>
      <w:r w:rsidRPr="35E2A7EE">
        <w:rPr>
          <w:color w:val="000000" w:themeColor="text1"/>
        </w:rPr>
        <w:t xml:space="preserve"> </w:t>
      </w:r>
      <w:r w:rsidRPr="00464BA0">
        <w:rPr>
          <w:color w:val="000000" w:themeColor="text1"/>
        </w:rPr>
        <w:t>do</w:t>
      </w:r>
      <w:r w:rsidRPr="00F258E0">
        <w:rPr>
          <w:b/>
          <w:bCs/>
          <w:color w:val="000000" w:themeColor="text1"/>
        </w:rPr>
        <w:t xml:space="preserve"> 3</w:t>
      </w:r>
      <w:r>
        <w:rPr>
          <w:b/>
          <w:bCs/>
          <w:color w:val="000000" w:themeColor="text1"/>
        </w:rPr>
        <w:t>0</w:t>
      </w:r>
      <w:r w:rsidRPr="00F258E0">
        <w:rPr>
          <w:b/>
          <w:bCs/>
          <w:color w:val="000000" w:themeColor="text1"/>
        </w:rPr>
        <w:t>.</w:t>
      </w:r>
      <w:r>
        <w:rPr>
          <w:b/>
          <w:bCs/>
          <w:color w:val="000000" w:themeColor="text1"/>
        </w:rPr>
        <w:t xml:space="preserve"> 9</w:t>
      </w:r>
      <w:r w:rsidRPr="00F258E0">
        <w:rPr>
          <w:b/>
          <w:bCs/>
          <w:color w:val="000000" w:themeColor="text1"/>
        </w:rPr>
        <w:t>. 203</w:t>
      </w:r>
      <w:r>
        <w:rPr>
          <w:b/>
          <w:bCs/>
          <w:color w:val="000000" w:themeColor="text1"/>
        </w:rPr>
        <w:t>0</w:t>
      </w:r>
      <w:r w:rsidRPr="35E2A7EE">
        <w:rPr>
          <w:color w:val="000000" w:themeColor="text1"/>
        </w:rPr>
        <w:t>.</w:t>
      </w:r>
      <w:r>
        <w:rPr>
          <w:color w:val="000000" w:themeColor="text1"/>
        </w:rPr>
        <w:t xml:space="preserve"> Pokud ani jedna ze smluvních stran neoznámí nejpozději do 30. 6. 2030 druhé smluvní straně svou vůli ke dni skončení nájmu smlouvu ukončit, smlouva se automaticky prodlouží na další 4 roky, a to do 30. 9. 2034, a to bez povinnosti uzavření dodatku.</w:t>
      </w:r>
    </w:p>
    <w:p w14:paraId="7B7EB112" w14:textId="77777777" w:rsidR="008A5A8C" w:rsidRDefault="008A5A8C" w:rsidP="008A5A8C">
      <w:pPr>
        <w:pStyle w:val="Normlnweb"/>
        <w:numPr>
          <w:ilvl w:val="0"/>
          <w:numId w:val="22"/>
        </w:numPr>
        <w:spacing w:line="276" w:lineRule="auto"/>
        <w:ind w:left="426" w:hanging="426"/>
        <w:jc w:val="both"/>
      </w:pPr>
      <w:r w:rsidRPr="35E2A7EE">
        <w:rPr>
          <w:color w:val="000000" w:themeColor="text1"/>
        </w:rPr>
        <w:t>Ustanovení § 2230 občanského zákoníku se nepoužije.</w:t>
      </w:r>
    </w:p>
    <w:p w14:paraId="465BEB36" w14:textId="77777777" w:rsidR="008A5A8C" w:rsidRDefault="008A5A8C" w:rsidP="008A5A8C">
      <w:pPr>
        <w:pStyle w:val="Normlnweb"/>
        <w:numPr>
          <w:ilvl w:val="0"/>
          <w:numId w:val="22"/>
        </w:numPr>
        <w:spacing w:line="276" w:lineRule="auto"/>
        <w:ind w:left="426" w:hanging="426"/>
        <w:jc w:val="both"/>
      </w:pPr>
      <w:r w:rsidRPr="35E2A7EE">
        <w:rPr>
          <w:color w:val="000000" w:themeColor="text1"/>
        </w:rPr>
        <w:t>Nájemní vztah lze kdykoli ukončit písemnou dohodou smluvních stran, ke dni v dohodě uvedenému.</w:t>
      </w:r>
    </w:p>
    <w:p w14:paraId="4F5B5134" w14:textId="77777777" w:rsidR="008A5A8C" w:rsidRDefault="008A5A8C" w:rsidP="008A5A8C">
      <w:pPr>
        <w:pStyle w:val="Normlnweb"/>
        <w:numPr>
          <w:ilvl w:val="0"/>
          <w:numId w:val="22"/>
        </w:numPr>
        <w:spacing w:line="276" w:lineRule="auto"/>
        <w:ind w:left="426" w:hanging="426"/>
        <w:jc w:val="both"/>
      </w:pPr>
      <w:r w:rsidRPr="35E2A7EE">
        <w:rPr>
          <w:color w:val="000000" w:themeColor="text1"/>
        </w:rPr>
        <w:t>Každá ze smluvních stran je oprávněna tuto smlouvu vypovědět z důvodů stanovených občanským zákoníkem, zejména při podstatném porušení povinností druhé smluvní strany.</w:t>
      </w:r>
    </w:p>
    <w:p w14:paraId="7D4728E1" w14:textId="77777777" w:rsidR="008A5A8C" w:rsidRDefault="008A5A8C" w:rsidP="008A5A8C">
      <w:pPr>
        <w:pStyle w:val="Normlnweb"/>
        <w:numPr>
          <w:ilvl w:val="0"/>
          <w:numId w:val="22"/>
        </w:numPr>
        <w:spacing w:line="276" w:lineRule="auto"/>
        <w:ind w:left="426" w:hanging="426"/>
        <w:jc w:val="both"/>
        <w:rPr>
          <w:color w:val="000000" w:themeColor="text1"/>
        </w:rPr>
      </w:pPr>
      <w:r w:rsidRPr="35E2A7EE">
        <w:rPr>
          <w:color w:val="000000" w:themeColor="text1"/>
        </w:rPr>
        <w:t xml:space="preserve">Výpovědní doba činí 3 měsíce a počíná běžet prvním dnem kalendářního měsíce následujícího po doručení výpovědi druhé smluvní straně. </w:t>
      </w:r>
    </w:p>
    <w:p w14:paraId="2DF83CA5" w14:textId="77777777" w:rsidR="008A5A8C" w:rsidRDefault="008A5A8C" w:rsidP="008A5A8C">
      <w:pPr>
        <w:pStyle w:val="Normlnweb"/>
        <w:numPr>
          <w:ilvl w:val="0"/>
          <w:numId w:val="22"/>
        </w:numPr>
        <w:spacing w:line="276" w:lineRule="auto"/>
        <w:ind w:left="426" w:hanging="426"/>
        <w:jc w:val="both"/>
      </w:pPr>
      <w:r w:rsidRPr="35E2A7EE">
        <w:rPr>
          <w:color w:val="000000" w:themeColor="text1"/>
        </w:rPr>
        <w:t xml:space="preserve">Pronajímatel je oprávněn tuto smlouvu vypovědět i bez výpovědní doby, pominou-li podmínky dočasné nepotřebnosti předmětu nájmu ve smyslu § 27 </w:t>
      </w:r>
      <w:r>
        <w:rPr>
          <w:color w:val="000000" w:themeColor="text1"/>
        </w:rPr>
        <w:t>o majetku státu</w:t>
      </w:r>
      <w:r w:rsidRPr="35E2A7EE">
        <w:rPr>
          <w:color w:val="000000" w:themeColor="text1"/>
        </w:rPr>
        <w:t xml:space="preserve">, zejména bude-li předmět nájmu nezbytně zapotřebí k plnění úkolů státu nebo jiných úkolů v rámci </w:t>
      </w:r>
      <w:r w:rsidRPr="35E2A7EE">
        <w:rPr>
          <w:color w:val="000000" w:themeColor="text1"/>
        </w:rPr>
        <w:lastRenderedPageBreak/>
        <w:t>působnosti pronajímatele. Bude-li to povaha důvodu umožňovat, poskytne pronajímatel nájemci přiměřenou lhůtu k vyklizení.</w:t>
      </w:r>
    </w:p>
    <w:p w14:paraId="273B57FD" w14:textId="77777777" w:rsidR="008A5A8C" w:rsidRDefault="008A5A8C" w:rsidP="008A5A8C">
      <w:pPr>
        <w:pStyle w:val="Normlnweb"/>
        <w:numPr>
          <w:ilvl w:val="0"/>
          <w:numId w:val="22"/>
        </w:numPr>
        <w:spacing w:before="0" w:beforeAutospacing="0" w:after="0" w:afterAutospacing="0" w:line="276" w:lineRule="auto"/>
        <w:ind w:left="426" w:hanging="426"/>
        <w:jc w:val="both"/>
      </w:pPr>
      <w:r w:rsidRPr="35E2A7EE">
        <w:rPr>
          <w:color w:val="000000" w:themeColor="text1"/>
        </w:rPr>
        <w:t>Smluvní strany berou na vědomí, že užívání předmětu nájmu je funkčně a provozně podmíněno existencí samostatných smluv o dodávkách elektrické energie a vody včetně stočného</w:t>
      </w:r>
      <w:r>
        <w:rPr>
          <w:color w:val="000000" w:themeColor="text1"/>
        </w:rPr>
        <w:t>.</w:t>
      </w:r>
      <w:r w:rsidRPr="35E2A7EE">
        <w:rPr>
          <w:color w:val="000000" w:themeColor="text1"/>
        </w:rPr>
        <w:t xml:space="preserve"> Dojde-li k ukončení </w:t>
      </w:r>
      <w:r w:rsidRPr="71A6C007">
        <w:rPr>
          <w:color w:val="000000" w:themeColor="text1"/>
        </w:rPr>
        <w:t>kterékoli</w:t>
      </w:r>
      <w:r w:rsidRPr="35E2A7EE">
        <w:rPr>
          <w:color w:val="000000" w:themeColor="text1"/>
        </w:rPr>
        <w:t xml:space="preserve"> z akcesorických smluv, je kterákoli ze smluvních stran oprávněna vypovědět tuto nájemní smlouvu, a to i bez zavinění druhé </w:t>
      </w:r>
      <w:r w:rsidRPr="2E43D929">
        <w:rPr>
          <w:color w:val="000000" w:themeColor="text1"/>
        </w:rPr>
        <w:t xml:space="preserve">strany, </w:t>
      </w:r>
      <w:r w:rsidRPr="2E43D929">
        <w:t>v</w:t>
      </w:r>
      <w:r>
        <w:t> </w:t>
      </w:r>
      <w:r w:rsidRPr="4E3D9A8F">
        <w:t>souladu s čl. III odst. 3 této smlouvy</w:t>
      </w:r>
      <w:r w:rsidRPr="600C5F94">
        <w:t>.</w:t>
      </w:r>
    </w:p>
    <w:p w14:paraId="2AAB5AC8" w14:textId="77777777" w:rsidR="008A5A8C" w:rsidRDefault="008A5A8C" w:rsidP="008A5A8C">
      <w:pPr>
        <w:pStyle w:val="Normlnweb"/>
        <w:numPr>
          <w:ilvl w:val="0"/>
          <w:numId w:val="22"/>
        </w:numPr>
        <w:spacing w:before="0" w:beforeAutospacing="0" w:line="276" w:lineRule="auto"/>
        <w:ind w:left="426" w:hanging="426"/>
        <w:jc w:val="both"/>
      </w:pPr>
      <w:r w:rsidRPr="70BEF74F">
        <w:rPr>
          <w:color w:val="000000" w:themeColor="text1"/>
        </w:rPr>
        <w:t>Ukončení akcesorické smlouvy z důvodů výlučně na straně nájemce (zejména prodlení s</w:t>
      </w:r>
      <w:r>
        <w:rPr>
          <w:color w:val="000000" w:themeColor="text1"/>
        </w:rPr>
        <w:t> </w:t>
      </w:r>
      <w:r w:rsidRPr="70BEF74F">
        <w:rPr>
          <w:color w:val="000000" w:themeColor="text1"/>
        </w:rPr>
        <w:t>úhradami) se považuje za porušení povinností nájemce, které zakládá právo pronajímatele na výpověď nájemní smlouvy dle občanského zákoníku.</w:t>
      </w:r>
    </w:p>
    <w:p w14:paraId="0AC66448" w14:textId="77777777" w:rsidR="008A5A8C" w:rsidRPr="00C07162" w:rsidRDefault="008A5A8C" w:rsidP="008A5A8C">
      <w:pPr>
        <w:pStyle w:val="Normlnweb"/>
        <w:numPr>
          <w:ilvl w:val="0"/>
          <w:numId w:val="22"/>
        </w:numPr>
        <w:spacing w:before="0" w:beforeAutospacing="0" w:after="0" w:afterAutospacing="0" w:line="276" w:lineRule="auto"/>
        <w:ind w:left="425" w:hanging="425"/>
        <w:jc w:val="both"/>
        <w:rPr>
          <w:color w:val="000000" w:themeColor="text1"/>
        </w:rPr>
      </w:pPr>
      <w:r w:rsidRPr="6F8ACB98">
        <w:rPr>
          <w:color w:val="000000" w:themeColor="text1"/>
        </w:rPr>
        <w:t>Skončením nájmu nejsou dotčena ustanovení o smluvních pokutách, náhradě škody a</w:t>
      </w:r>
      <w:r>
        <w:rPr>
          <w:color w:val="000000" w:themeColor="text1"/>
        </w:rPr>
        <w:t> </w:t>
      </w:r>
      <w:r w:rsidRPr="6F8ACB98">
        <w:rPr>
          <w:color w:val="000000" w:themeColor="text1"/>
        </w:rPr>
        <w:t>vypořádání plateb a služeb.</w:t>
      </w:r>
    </w:p>
    <w:p w14:paraId="7801C56A" w14:textId="77777777" w:rsidR="008A5A8C" w:rsidRDefault="008A5A8C" w:rsidP="008A5A8C">
      <w:pPr>
        <w:pStyle w:val="Normlnweb"/>
        <w:spacing w:before="0" w:beforeAutospacing="0" w:after="0" w:afterAutospacing="0" w:line="276" w:lineRule="auto"/>
        <w:jc w:val="both"/>
        <w:rPr>
          <w:b/>
          <w:bCs/>
          <w:color w:val="000000" w:themeColor="text1"/>
        </w:rPr>
      </w:pPr>
    </w:p>
    <w:p w14:paraId="76FF7A9A" w14:textId="77777777" w:rsidR="008A5A8C" w:rsidRPr="00463DF1" w:rsidRDefault="008A5A8C" w:rsidP="008A5A8C">
      <w:pPr>
        <w:pStyle w:val="Normlnweb"/>
        <w:spacing w:before="0" w:beforeAutospacing="0" w:after="0" w:afterAutospacing="0" w:line="276" w:lineRule="auto"/>
        <w:jc w:val="both"/>
        <w:rPr>
          <w:b/>
          <w:bCs/>
          <w:color w:val="000000" w:themeColor="text1"/>
        </w:rPr>
      </w:pPr>
      <w:r w:rsidRPr="00463DF1">
        <w:rPr>
          <w:b/>
          <w:bCs/>
          <w:color w:val="000000" w:themeColor="text1"/>
        </w:rPr>
        <w:t>Vypořádání mimořádného předplaceného nájemného při ukončení smlouvy</w:t>
      </w:r>
    </w:p>
    <w:p w14:paraId="420F52F7" w14:textId="77777777" w:rsidR="008A5A8C" w:rsidRPr="00C86506" w:rsidRDefault="008A5A8C" w:rsidP="008A5A8C">
      <w:pPr>
        <w:pStyle w:val="Normlnweb"/>
        <w:numPr>
          <w:ilvl w:val="0"/>
          <w:numId w:val="22"/>
        </w:numPr>
        <w:spacing w:before="0" w:beforeAutospacing="0" w:line="276" w:lineRule="auto"/>
        <w:ind w:left="426" w:hanging="426"/>
        <w:jc w:val="both"/>
        <w:rPr>
          <w:color w:val="000000" w:themeColor="text1"/>
        </w:rPr>
      </w:pPr>
      <w:r w:rsidRPr="00C86506">
        <w:rPr>
          <w:color w:val="000000" w:themeColor="text1"/>
        </w:rPr>
        <w:t xml:space="preserve">Dojde-li k ukončení smlouvy </w:t>
      </w:r>
      <w:r>
        <w:rPr>
          <w:color w:val="000000" w:themeColor="text1"/>
        </w:rPr>
        <w:t xml:space="preserve">před započtením celého mimořádného předplaceného nájemného, a to </w:t>
      </w:r>
      <w:r w:rsidRPr="00C86506">
        <w:rPr>
          <w:color w:val="000000" w:themeColor="text1"/>
        </w:rPr>
        <w:t xml:space="preserve">z důvodů ležících výhradně na straně nájemce (zejména, vypoví-li nájemce nájemní smlouvu nebo vypoví-li nájemní smlouvu FTN z důvodu </w:t>
      </w:r>
      <w:r>
        <w:rPr>
          <w:color w:val="000000" w:themeColor="text1"/>
        </w:rPr>
        <w:t xml:space="preserve">hrubého </w:t>
      </w:r>
      <w:r w:rsidRPr="00C86506">
        <w:rPr>
          <w:color w:val="000000" w:themeColor="text1"/>
        </w:rPr>
        <w:t>porušování nájemní smlouvy nájemce</w:t>
      </w:r>
      <w:r>
        <w:rPr>
          <w:color w:val="000000" w:themeColor="text1"/>
        </w:rPr>
        <w:t>m)</w:t>
      </w:r>
      <w:r w:rsidRPr="00C86506">
        <w:rPr>
          <w:color w:val="000000" w:themeColor="text1"/>
        </w:rPr>
        <w:t xml:space="preserve"> nemá nájemce nárok na úhradu </w:t>
      </w:r>
      <w:r>
        <w:rPr>
          <w:color w:val="000000" w:themeColor="text1"/>
        </w:rPr>
        <w:t xml:space="preserve">nezapočteného mimořádného předplaceného nájemného. </w:t>
      </w:r>
    </w:p>
    <w:p w14:paraId="60EEB2A8" w14:textId="1BE846DB" w:rsidR="008A5A8C" w:rsidRDefault="008A5A8C" w:rsidP="008A5A8C">
      <w:pPr>
        <w:pStyle w:val="Normlnweb"/>
        <w:numPr>
          <w:ilvl w:val="0"/>
          <w:numId w:val="22"/>
        </w:numPr>
        <w:spacing w:before="0" w:beforeAutospacing="0" w:line="276" w:lineRule="auto"/>
        <w:ind w:left="426" w:hanging="426"/>
        <w:jc w:val="both"/>
        <w:rPr>
          <w:color w:val="000000" w:themeColor="text1"/>
        </w:rPr>
      </w:pPr>
      <w:r w:rsidRPr="00C86506">
        <w:rPr>
          <w:color w:val="000000" w:themeColor="text1"/>
        </w:rPr>
        <w:t xml:space="preserve">V případě ukončení smlouvy </w:t>
      </w:r>
      <w:r>
        <w:rPr>
          <w:color w:val="000000" w:themeColor="text1"/>
        </w:rPr>
        <w:t>dle čl. VI. odstavce 6</w:t>
      </w:r>
      <w:r w:rsidRPr="00C86506">
        <w:rPr>
          <w:color w:val="000000" w:themeColor="text1"/>
        </w:rPr>
        <w:t xml:space="preserve"> </w:t>
      </w:r>
      <w:r>
        <w:rPr>
          <w:color w:val="000000" w:themeColor="text1"/>
        </w:rPr>
        <w:t xml:space="preserve">této smlouvy </w:t>
      </w:r>
      <w:r w:rsidRPr="00C86506">
        <w:rPr>
          <w:color w:val="000000" w:themeColor="text1"/>
        </w:rPr>
        <w:t xml:space="preserve">před vyčerpáním </w:t>
      </w:r>
      <w:r>
        <w:rPr>
          <w:color w:val="000000" w:themeColor="text1"/>
        </w:rPr>
        <w:t>mimořádného předplaceného nájemného</w:t>
      </w:r>
      <w:r w:rsidRPr="00C86506">
        <w:rPr>
          <w:color w:val="000000" w:themeColor="text1"/>
        </w:rPr>
        <w:t xml:space="preserve"> bude náj</w:t>
      </w:r>
      <w:sdt>
        <w:sdtPr>
          <w:rPr>
            <w:color w:val="000000" w:themeColor="text1"/>
          </w:rPr>
          <w:id w:val="1910879629"/>
          <w:docPartObj>
            <w:docPartGallery w:val="Watermarks"/>
          </w:docPartObj>
        </w:sdtPr>
        <w:sdtEndPr/>
        <w:sdtContent>
          <w:r w:rsidR="003C3B41" w:rsidRPr="003C3B41">
            <w:rPr>
              <w:noProof/>
              <w:color w:val="000000" w:themeColor="text1"/>
            </w:rPr>
            <mc:AlternateContent>
              <mc:Choice Requires="wps">
                <w:drawing>
                  <wp:anchor distT="0" distB="0" distL="114300" distR="114300" simplePos="0" relativeHeight="251654144" behindDoc="1" locked="0" layoutInCell="0" allowOverlap="1" wp14:anchorId="13B03AAF" wp14:editId="514A38C1">
                    <wp:simplePos x="0" y="0"/>
                    <wp:positionH relativeFrom="margin">
                      <wp:align>center</wp:align>
                    </wp:positionH>
                    <wp:positionV relativeFrom="margin">
                      <wp:align>center</wp:align>
                    </wp:positionV>
                    <wp:extent cx="5237480" cy="3142615"/>
                    <wp:effectExtent l="38100" t="1152525" r="0" b="705485"/>
                    <wp:wrapNone/>
                    <wp:docPr id="822229187"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C600D3"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B03AAF" id="Textové pole 14" o:spid="_x0000_s1032" type="#_x0000_t202" style="position:absolute;left:0;text-align:left;margin-left:0;margin-top:0;width:412.4pt;height:247.4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9C600D3"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v:textbox>
                    <w10:wrap anchorx="margin" anchory="margin"/>
                  </v:shape>
                </w:pict>
              </mc:Fallback>
            </mc:AlternateContent>
          </w:r>
        </w:sdtContent>
      </w:sdt>
      <w:r w:rsidRPr="00C86506">
        <w:rPr>
          <w:color w:val="000000" w:themeColor="text1"/>
        </w:rPr>
        <w:t>emci uhrazen</w:t>
      </w:r>
      <w:r>
        <w:rPr>
          <w:color w:val="000000" w:themeColor="text1"/>
        </w:rPr>
        <w:t>o</w:t>
      </w:r>
      <w:r w:rsidRPr="00C86506">
        <w:rPr>
          <w:color w:val="000000" w:themeColor="text1"/>
        </w:rPr>
        <w:t xml:space="preserve"> </w:t>
      </w:r>
      <w:r>
        <w:rPr>
          <w:color w:val="000000" w:themeColor="text1"/>
        </w:rPr>
        <w:t>nezapočtené mimořádné předplacené nájemné</w:t>
      </w:r>
      <w:r w:rsidRPr="00C86506">
        <w:rPr>
          <w:color w:val="000000" w:themeColor="text1"/>
        </w:rPr>
        <w:t>, a to na základě dohody smluvních stran.</w:t>
      </w:r>
    </w:p>
    <w:p w14:paraId="4048CA92" w14:textId="77777777" w:rsidR="008A5A8C" w:rsidRDefault="008A5A8C" w:rsidP="008A5A8C">
      <w:pPr>
        <w:pStyle w:val="Normlnweb"/>
        <w:numPr>
          <w:ilvl w:val="0"/>
          <w:numId w:val="22"/>
        </w:numPr>
        <w:spacing w:before="0" w:beforeAutospacing="0" w:after="0" w:afterAutospacing="0" w:line="276" w:lineRule="auto"/>
        <w:ind w:left="426" w:hanging="426"/>
        <w:jc w:val="both"/>
        <w:rPr>
          <w:color w:val="000000" w:themeColor="text1"/>
        </w:rPr>
      </w:pPr>
      <w:r w:rsidRPr="001E70DB">
        <w:rPr>
          <w:color w:val="000000" w:themeColor="text1"/>
        </w:rPr>
        <w:t xml:space="preserve">V případě ukončení nájemní smlouvy dohodou dle čl. VI. odstavce 3 této smlouvy před vyčerpáním mimořádného předplaceného nájemného bude nezapočtené mimořádné předplacené nájemné </w:t>
      </w:r>
      <w:r>
        <w:rPr>
          <w:rStyle w:val="normaltextrun"/>
          <w:color w:val="000000"/>
          <w:shd w:val="clear" w:color="auto" w:fill="FFFFFF"/>
        </w:rPr>
        <w:t>vypořádáno touto dohodou smluvních stran.</w:t>
      </w:r>
    </w:p>
    <w:p w14:paraId="43902053" w14:textId="77777777" w:rsidR="008A5A8C" w:rsidRPr="001E70DB" w:rsidRDefault="008A5A8C" w:rsidP="008A5A8C">
      <w:pPr>
        <w:pStyle w:val="Normlnweb"/>
        <w:spacing w:before="0" w:beforeAutospacing="0" w:after="0" w:afterAutospacing="0" w:line="276" w:lineRule="auto"/>
        <w:ind w:left="426"/>
        <w:jc w:val="both"/>
        <w:rPr>
          <w:color w:val="000000" w:themeColor="text1"/>
        </w:rPr>
      </w:pPr>
    </w:p>
    <w:p w14:paraId="0B34EF77" w14:textId="77777777" w:rsidR="008A5A8C" w:rsidRDefault="008A5A8C" w:rsidP="008A5A8C">
      <w:pPr>
        <w:pStyle w:val="Normlnweb"/>
        <w:spacing w:before="0" w:beforeAutospacing="0" w:after="0" w:afterAutospacing="0" w:line="276" w:lineRule="auto"/>
        <w:jc w:val="center"/>
        <w:rPr>
          <w:b/>
          <w:bCs/>
        </w:rPr>
      </w:pPr>
      <w:r w:rsidRPr="04E127FA">
        <w:rPr>
          <w:b/>
          <w:bCs/>
        </w:rPr>
        <w:t xml:space="preserve">VII. </w:t>
      </w:r>
    </w:p>
    <w:p w14:paraId="08D35D82" w14:textId="77777777" w:rsidR="008A5A8C" w:rsidRPr="004615DA" w:rsidRDefault="008A5A8C" w:rsidP="008A5A8C">
      <w:pPr>
        <w:pStyle w:val="Normlnweb"/>
        <w:spacing w:before="0" w:beforeAutospacing="0" w:after="120" w:afterAutospacing="0" w:line="276" w:lineRule="auto"/>
        <w:jc w:val="center"/>
        <w:rPr>
          <w:b/>
          <w:bCs/>
        </w:rPr>
      </w:pPr>
      <w:r w:rsidRPr="04E127FA">
        <w:rPr>
          <w:b/>
          <w:bCs/>
        </w:rPr>
        <w:t>Doručování</w:t>
      </w:r>
    </w:p>
    <w:p w14:paraId="2FB6FD53" w14:textId="77777777" w:rsidR="008A5A8C" w:rsidRPr="004615DA" w:rsidRDefault="008A5A8C" w:rsidP="008A5A8C">
      <w:pPr>
        <w:pStyle w:val="Normlnweb"/>
        <w:numPr>
          <w:ilvl w:val="0"/>
          <w:numId w:val="44"/>
        </w:numPr>
        <w:spacing w:before="0" w:beforeAutospacing="0" w:line="276" w:lineRule="auto"/>
        <w:ind w:left="426" w:hanging="426"/>
        <w:jc w:val="both"/>
        <w:rPr>
          <w:color w:val="000000" w:themeColor="text1"/>
        </w:rPr>
      </w:pPr>
      <w:r w:rsidRPr="70BEF74F">
        <w:rPr>
          <w:color w:val="000000" w:themeColor="text1"/>
        </w:rPr>
        <w:t>Veškerá písemná právní jednání dle této smlouvy se doručují prostřednictvím datové schránky</w:t>
      </w:r>
      <w:r>
        <w:rPr>
          <w:color w:val="000000" w:themeColor="text1"/>
        </w:rPr>
        <w:t>,</w:t>
      </w:r>
      <w:r w:rsidRPr="70BEF74F">
        <w:rPr>
          <w:color w:val="000000" w:themeColor="text1"/>
        </w:rPr>
        <w:t xml:space="preserve"> písemně poštou na adresy sídel smluvních stran</w:t>
      </w:r>
      <w:r>
        <w:rPr>
          <w:color w:val="000000" w:themeColor="text1"/>
        </w:rPr>
        <w:t xml:space="preserve">, účetní doklady e-mailem na adresu </w:t>
      </w:r>
      <w:r w:rsidRPr="001E70DB">
        <w:rPr>
          <w:color w:val="000000" w:themeColor="text1"/>
        </w:rPr>
        <w:t>[</w:t>
      </w:r>
      <w:r w:rsidRPr="001E70DB">
        <w:rPr>
          <w:color w:val="000000" w:themeColor="text1"/>
          <w:highlight w:val="yellow"/>
        </w:rPr>
        <w:t>●]</w:t>
      </w:r>
      <w:r>
        <w:rPr>
          <w:color w:val="000000" w:themeColor="text1"/>
        </w:rPr>
        <w:t xml:space="preserve">. </w:t>
      </w:r>
    </w:p>
    <w:p w14:paraId="1A211C5E" w14:textId="77777777" w:rsidR="008A5A8C" w:rsidRDefault="008A5A8C" w:rsidP="008A5A8C">
      <w:pPr>
        <w:pStyle w:val="Normlnweb"/>
        <w:numPr>
          <w:ilvl w:val="0"/>
          <w:numId w:val="44"/>
        </w:numPr>
        <w:spacing w:before="0" w:beforeAutospacing="0" w:after="0" w:afterAutospacing="0" w:line="276" w:lineRule="auto"/>
        <w:ind w:left="426" w:hanging="426"/>
        <w:jc w:val="both"/>
        <w:rPr>
          <w:color w:val="000000" w:themeColor="text1"/>
        </w:rPr>
      </w:pPr>
      <w:r w:rsidRPr="35E2A7EE">
        <w:rPr>
          <w:color w:val="000000" w:themeColor="text1"/>
        </w:rPr>
        <w:t>Smluvní strany se zavazují bez zbytečného odkladu oznámit změnu doručovacích údajů.</w:t>
      </w:r>
    </w:p>
    <w:p w14:paraId="0349F301" w14:textId="77777777" w:rsidR="008A5A8C" w:rsidRPr="004615DA" w:rsidRDefault="008A5A8C" w:rsidP="008A5A8C">
      <w:pPr>
        <w:pStyle w:val="Normlnweb"/>
        <w:spacing w:before="0" w:beforeAutospacing="0" w:after="0" w:afterAutospacing="0" w:line="276" w:lineRule="auto"/>
        <w:ind w:left="720"/>
        <w:jc w:val="both"/>
        <w:rPr>
          <w:color w:val="000000" w:themeColor="text1"/>
        </w:rPr>
      </w:pPr>
    </w:p>
    <w:p w14:paraId="46FC3153" w14:textId="77777777" w:rsidR="008A5A8C" w:rsidRDefault="008A5A8C" w:rsidP="008A5A8C">
      <w:pPr>
        <w:pStyle w:val="Normlnweb"/>
        <w:spacing w:before="0" w:beforeAutospacing="0" w:after="0" w:afterAutospacing="0" w:line="276" w:lineRule="auto"/>
        <w:jc w:val="center"/>
        <w:rPr>
          <w:b/>
          <w:bCs/>
        </w:rPr>
      </w:pPr>
      <w:r w:rsidRPr="04E127FA">
        <w:rPr>
          <w:b/>
          <w:bCs/>
        </w:rPr>
        <w:t xml:space="preserve">VIII. </w:t>
      </w:r>
    </w:p>
    <w:p w14:paraId="53FD0D54" w14:textId="77777777" w:rsidR="008A5A8C" w:rsidRPr="004615DA" w:rsidRDefault="008A5A8C" w:rsidP="008A5A8C">
      <w:pPr>
        <w:pStyle w:val="Normlnweb"/>
        <w:spacing w:before="0" w:beforeAutospacing="0" w:after="120" w:afterAutospacing="0" w:line="276" w:lineRule="auto"/>
        <w:jc w:val="center"/>
        <w:rPr>
          <w:b/>
          <w:bCs/>
        </w:rPr>
      </w:pPr>
      <w:r w:rsidRPr="04E127FA">
        <w:rPr>
          <w:b/>
          <w:bCs/>
        </w:rPr>
        <w:t>Závěrečná ustanovení</w:t>
      </w:r>
    </w:p>
    <w:p w14:paraId="2DF527A2" w14:textId="47BE141A" w:rsidR="008A5A8C" w:rsidRPr="00577F85" w:rsidRDefault="008A5A8C" w:rsidP="008A5A8C">
      <w:pPr>
        <w:pStyle w:val="Odstavecseseznamem"/>
        <w:numPr>
          <w:ilvl w:val="0"/>
          <w:numId w:val="15"/>
        </w:numPr>
        <w:spacing w:after="120" w:line="276" w:lineRule="auto"/>
        <w:ind w:left="426" w:hanging="426"/>
        <w:contextualSpacing/>
        <w:jc w:val="both"/>
      </w:pPr>
      <w:r w:rsidRPr="00AF7990">
        <w:t xml:space="preserve">Tato </w:t>
      </w:r>
      <w:r>
        <w:t>s</w:t>
      </w:r>
      <w:r w:rsidRPr="00AF7990">
        <w:t xml:space="preserve">mlouva nahrazuje a ruší </w:t>
      </w:r>
      <w:r>
        <w:t xml:space="preserve">ke dni 30. 9. 2026 </w:t>
      </w:r>
      <w:r w:rsidRPr="00AF7990">
        <w:t xml:space="preserve">v plném rozsahu </w:t>
      </w:r>
      <w:r>
        <w:t>smlouvu o pronájmu uzavřenou dne 28.</w:t>
      </w:r>
      <w:r w:rsidR="008152A1">
        <w:t xml:space="preserve"> </w:t>
      </w:r>
      <w:r>
        <w:t>12.</w:t>
      </w:r>
      <w:r w:rsidR="008152A1">
        <w:t xml:space="preserve"> </w:t>
      </w:r>
      <w:r>
        <w:t>2020</w:t>
      </w:r>
      <w:r w:rsidRPr="00AE0B11">
        <w:t xml:space="preserve"> </w:t>
      </w:r>
      <w:r w:rsidRPr="00AF7990">
        <w:t xml:space="preserve">mezi </w:t>
      </w:r>
      <w:r>
        <w:t>pronajímatelem</w:t>
      </w:r>
      <w:r w:rsidRPr="00AF7990">
        <w:t xml:space="preserve"> a </w:t>
      </w:r>
      <w:r>
        <w:t>nájemcem</w:t>
      </w:r>
      <w:r w:rsidRPr="00AF7990">
        <w:t>,</w:t>
      </w:r>
      <w:r>
        <w:t xml:space="preserve"> ev. č. pronajímatele 20010033. </w:t>
      </w:r>
    </w:p>
    <w:p w14:paraId="30FE3CB5" w14:textId="77777777" w:rsidR="008A5A8C" w:rsidRPr="00D77C76" w:rsidRDefault="008A5A8C" w:rsidP="008A5A8C">
      <w:pPr>
        <w:pStyle w:val="Odstavecseseznamem"/>
        <w:numPr>
          <w:ilvl w:val="0"/>
          <w:numId w:val="15"/>
        </w:numPr>
        <w:spacing w:line="276" w:lineRule="auto"/>
        <w:ind w:left="426" w:hanging="426"/>
        <w:contextualSpacing/>
        <w:jc w:val="both"/>
      </w:pPr>
      <w:r w:rsidRPr="00D77C76">
        <w:t>Smlouva nabývá platnosti podpisem obou smluvních stran a účinnosti jejím zveřejněním v</w:t>
      </w:r>
      <w:r>
        <w:t> </w:t>
      </w:r>
      <w:r w:rsidRPr="00D77C76">
        <w:t>registru smluv. </w:t>
      </w:r>
    </w:p>
    <w:p w14:paraId="246BB0D7" w14:textId="77777777" w:rsidR="008A5A8C" w:rsidRPr="00D77C76" w:rsidRDefault="008A5A8C" w:rsidP="008A5A8C">
      <w:pPr>
        <w:pStyle w:val="Odstavecseseznamem"/>
        <w:numPr>
          <w:ilvl w:val="0"/>
          <w:numId w:val="15"/>
        </w:numPr>
        <w:spacing w:line="276" w:lineRule="auto"/>
        <w:ind w:left="426" w:hanging="426"/>
        <w:contextualSpacing/>
        <w:jc w:val="both"/>
      </w:pPr>
      <w:r w:rsidRPr="00D77C76">
        <w:t>Veškeré změny této smlouvy lze provádět pouze písemnou dohodou smluvních stran formou vzestupně číslovaných dodatků.</w:t>
      </w:r>
    </w:p>
    <w:p w14:paraId="526BEDB7" w14:textId="77777777" w:rsidR="008A5A8C" w:rsidRPr="00D77C76" w:rsidRDefault="008A5A8C" w:rsidP="008A5A8C">
      <w:pPr>
        <w:pStyle w:val="Odstavecseseznamem"/>
        <w:numPr>
          <w:ilvl w:val="0"/>
          <w:numId w:val="15"/>
        </w:numPr>
        <w:spacing w:line="276" w:lineRule="auto"/>
        <w:ind w:left="426" w:hanging="426"/>
        <w:contextualSpacing/>
        <w:jc w:val="both"/>
      </w:pPr>
      <w:r w:rsidRPr="00D77C76">
        <w:lastRenderedPageBreak/>
        <w:t>Smluvní strany berou na vědomí, že smlouva bude uveřejněna v registru smluv podle zákona č. 340/2015 Sb., o zvláštních podmínkách účinnosti některých smluv, uveřejňování těchto smluv a o registru smluv, ve znění pozdějších předpisů. Zveřejnění smlouvy zajistí FTN.  </w:t>
      </w:r>
    </w:p>
    <w:p w14:paraId="118B5582" w14:textId="77777777" w:rsidR="008A5A8C" w:rsidRPr="00D77C76" w:rsidRDefault="008A5A8C" w:rsidP="008A5A8C">
      <w:pPr>
        <w:pStyle w:val="Odstavecseseznamem"/>
        <w:numPr>
          <w:ilvl w:val="0"/>
          <w:numId w:val="15"/>
        </w:numPr>
        <w:spacing w:line="276" w:lineRule="auto"/>
        <w:ind w:left="426" w:hanging="426"/>
        <w:contextualSpacing/>
        <w:jc w:val="both"/>
      </w:pPr>
      <w:r w:rsidRPr="00D77C76">
        <w:t>Ve všech ostatních otázkách neupravených touto smlouvou se právní vztah založený touto smlouvou řídí ustanoveními občanského zákoníku. </w:t>
      </w:r>
    </w:p>
    <w:p w14:paraId="295C0F68" w14:textId="77777777" w:rsidR="008A5A8C" w:rsidRPr="00577F85" w:rsidRDefault="008A5A8C" w:rsidP="008A5A8C">
      <w:pPr>
        <w:pStyle w:val="Odstavecseseznamem"/>
        <w:numPr>
          <w:ilvl w:val="0"/>
          <w:numId w:val="15"/>
        </w:numPr>
        <w:spacing w:line="276" w:lineRule="auto"/>
        <w:ind w:left="426" w:hanging="426"/>
        <w:contextualSpacing/>
        <w:jc w:val="both"/>
      </w:pPr>
      <w:r w:rsidRPr="00577F85">
        <w:t>Smlouva je uzavřena elektronicky a podepsána kvalifikovanými elektronickými podpisy dle zákona č. 297/2016 Sb., o službách vytvářejících důvěru pro elektronické transakce, ve znění pozdějších předpisů. </w:t>
      </w:r>
    </w:p>
    <w:p w14:paraId="4BC7BE94" w14:textId="77777777" w:rsidR="008A5A8C" w:rsidRDefault="008A5A8C" w:rsidP="008A5A8C">
      <w:pPr>
        <w:pStyle w:val="Odstavecseseznamem"/>
        <w:numPr>
          <w:ilvl w:val="0"/>
          <w:numId w:val="15"/>
        </w:numPr>
        <w:spacing w:line="276" w:lineRule="auto"/>
        <w:ind w:left="426" w:hanging="426"/>
        <w:contextualSpacing/>
        <w:jc w:val="both"/>
      </w:pPr>
      <w:r w:rsidRPr="00D77C76">
        <w:t>Smluvní strany prohlašují, že si tuto smlouvu řádně přečetly, jejímu obsahu porozuměly, a že je projevem jejich pravé, svobodné a vážné vůle prosté omylu, projevené při plné způsobilosti k právním úkonům, a že veškerá prohlášení ve smlouvě odpovídají skutečnosti, což níže stvrzují svými podpisy. </w:t>
      </w:r>
    </w:p>
    <w:p w14:paraId="48E71DA4" w14:textId="77777777" w:rsidR="008A5A8C" w:rsidRDefault="008A5A8C" w:rsidP="008A5A8C">
      <w:pPr>
        <w:pStyle w:val="Odstavecseseznamem"/>
        <w:numPr>
          <w:ilvl w:val="0"/>
          <w:numId w:val="15"/>
        </w:numPr>
        <w:spacing w:line="276" w:lineRule="auto"/>
        <w:ind w:left="426" w:hanging="426"/>
        <w:contextualSpacing/>
        <w:jc w:val="both"/>
      </w:pPr>
      <w:r>
        <w:t>Nedílnou součástí této smlouvy jsou následující přílohy:</w:t>
      </w:r>
    </w:p>
    <w:p w14:paraId="6568E94E" w14:textId="77777777" w:rsidR="008A5A8C" w:rsidRDefault="008A5A8C" w:rsidP="008A5A8C">
      <w:pPr>
        <w:pStyle w:val="Odstavecseseznamem"/>
        <w:numPr>
          <w:ilvl w:val="0"/>
          <w:numId w:val="40"/>
        </w:numPr>
        <w:spacing w:line="276" w:lineRule="auto"/>
        <w:contextualSpacing/>
        <w:jc w:val="both"/>
      </w:pPr>
      <w:r>
        <w:t xml:space="preserve">Příloha </w:t>
      </w:r>
      <w:r w:rsidRPr="00062D32">
        <w:t>č. 1</w:t>
      </w:r>
      <w:r>
        <w:t>:</w:t>
      </w:r>
      <w:r w:rsidRPr="00062D32">
        <w:t xml:space="preserve"> </w:t>
      </w:r>
      <w:r>
        <w:t>S</w:t>
      </w:r>
      <w:r w:rsidRPr="00062D32">
        <w:t xml:space="preserve">ituační plánek předmětu nájmu </w:t>
      </w:r>
    </w:p>
    <w:p w14:paraId="04CB2F2E" w14:textId="77777777" w:rsidR="008A5A8C" w:rsidRDefault="008A5A8C" w:rsidP="008A5A8C">
      <w:pPr>
        <w:pStyle w:val="Odstavecseseznamem"/>
        <w:numPr>
          <w:ilvl w:val="0"/>
          <w:numId w:val="40"/>
        </w:numPr>
        <w:spacing w:line="276" w:lineRule="auto"/>
        <w:contextualSpacing/>
        <w:jc w:val="both"/>
      </w:pPr>
      <w:r>
        <w:t>Příloha</w:t>
      </w:r>
      <w:r w:rsidRPr="00062D32">
        <w:t xml:space="preserve"> č. 2</w:t>
      </w:r>
      <w:r>
        <w:t>:</w:t>
      </w:r>
      <w:r w:rsidRPr="00062D32">
        <w:t xml:space="preserve"> </w:t>
      </w:r>
      <w:r w:rsidRPr="000B0B3B">
        <w:t>Reklamní poutače a označení na pavilonu E</w:t>
      </w:r>
    </w:p>
    <w:p w14:paraId="01DDA306" w14:textId="77777777" w:rsidR="008A5A8C" w:rsidRDefault="008A5A8C" w:rsidP="008A5A8C">
      <w:pPr>
        <w:pStyle w:val="Odstavecseseznamem"/>
        <w:numPr>
          <w:ilvl w:val="0"/>
          <w:numId w:val="40"/>
        </w:numPr>
        <w:spacing w:line="276" w:lineRule="auto"/>
        <w:contextualSpacing/>
        <w:jc w:val="both"/>
      </w:pPr>
      <w:r>
        <w:t xml:space="preserve">Příloha č. 3: </w:t>
      </w:r>
      <w:r w:rsidRPr="00062D32">
        <w:t xml:space="preserve">Požární poplachová směrnice </w:t>
      </w:r>
    </w:p>
    <w:p w14:paraId="2EC3D035" w14:textId="77777777" w:rsidR="008A5A8C" w:rsidRDefault="008A5A8C" w:rsidP="008A5A8C">
      <w:pPr>
        <w:pStyle w:val="Odstavecseseznamem"/>
        <w:numPr>
          <w:ilvl w:val="0"/>
          <w:numId w:val="40"/>
        </w:numPr>
        <w:spacing w:line="276" w:lineRule="auto"/>
        <w:contextualSpacing/>
        <w:jc w:val="both"/>
      </w:pPr>
      <w:r>
        <w:t>Příloha</w:t>
      </w:r>
      <w:r w:rsidRPr="00062D32">
        <w:t xml:space="preserve"> č. </w:t>
      </w:r>
      <w:r>
        <w:t>4:</w:t>
      </w:r>
      <w:r w:rsidRPr="00062D32">
        <w:t xml:space="preserve"> Požárně evakuační plán </w:t>
      </w:r>
    </w:p>
    <w:p w14:paraId="29174F7C" w14:textId="77777777" w:rsidR="008A5A8C" w:rsidRDefault="008A5A8C" w:rsidP="008A5A8C">
      <w:pPr>
        <w:pStyle w:val="Odstavecseseznamem"/>
        <w:numPr>
          <w:ilvl w:val="0"/>
          <w:numId w:val="40"/>
        </w:numPr>
        <w:spacing w:line="276" w:lineRule="auto"/>
        <w:contextualSpacing/>
        <w:jc w:val="both"/>
      </w:pPr>
      <w:r>
        <w:t xml:space="preserve">Příloha č. 5: </w:t>
      </w:r>
      <w:r w:rsidRPr="00EA28F4">
        <w:t>Rozpis započtení mimořádného předplaceného nájemného</w:t>
      </w:r>
    </w:p>
    <w:p w14:paraId="7E510470" w14:textId="77777777" w:rsidR="008A5A8C" w:rsidRDefault="008A5A8C" w:rsidP="008A5A8C">
      <w:pPr>
        <w:spacing w:line="276" w:lineRule="auto"/>
      </w:pPr>
    </w:p>
    <w:sdt>
      <w:sdtPr>
        <w:id w:val="862480837"/>
        <w:docPartObj>
          <w:docPartGallery w:val="Watermarks"/>
        </w:docPartObj>
      </w:sdtPr>
      <w:sdtEndPr/>
      <w:sdtContent>
        <w:p w14:paraId="052425F7" w14:textId="441CA35F" w:rsidR="008A5A8C" w:rsidRPr="000B0B3B" w:rsidRDefault="003C3B41" w:rsidP="008A5A8C">
          <w:pPr>
            <w:spacing w:line="276" w:lineRule="auto"/>
          </w:pPr>
          <w:r>
            <w:rPr>
              <w:noProof/>
            </w:rPr>
            <mc:AlternateContent>
              <mc:Choice Requires="wps">
                <w:drawing>
                  <wp:anchor distT="0" distB="0" distL="114300" distR="114300" simplePos="0" relativeHeight="251656192" behindDoc="1" locked="0" layoutInCell="0" allowOverlap="1" wp14:anchorId="27DFADD9" wp14:editId="0EF66786">
                    <wp:simplePos x="0" y="0"/>
                    <wp:positionH relativeFrom="margin">
                      <wp:align>center</wp:align>
                    </wp:positionH>
                    <wp:positionV relativeFrom="margin">
                      <wp:align>center</wp:align>
                    </wp:positionV>
                    <wp:extent cx="5237480" cy="3142615"/>
                    <wp:effectExtent l="38100" t="1152525" r="0" b="705485"/>
                    <wp:wrapNone/>
                    <wp:docPr id="1828196087" name="Textové pol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0F6A4D"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DFADD9" id="Textové pole 15" o:spid="_x0000_s1033" type="#_x0000_t202" style="position:absolute;margin-left:0;margin-top:0;width:412.4pt;height:247.4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F0F6A4D"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v:textbox>
                    <w10:wrap anchorx="margin" anchory="margin"/>
                  </v:shape>
                </w:pict>
              </mc:Fallback>
            </mc:AlternateContent>
          </w:r>
        </w:p>
      </w:sdtContent>
    </w:sdt>
    <w:p w14:paraId="56D13026" w14:textId="77777777" w:rsidR="008A5A8C" w:rsidRPr="007818C7" w:rsidRDefault="008A5A8C" w:rsidP="008A5A8C">
      <w:pPr>
        <w:spacing w:line="276" w:lineRule="auto"/>
      </w:pPr>
    </w:p>
    <w:tbl>
      <w:tblPr>
        <w:tblW w:w="9214" w:type="dxa"/>
        <w:tblInd w:w="-147"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CellMar>
          <w:left w:w="0" w:type="dxa"/>
          <w:right w:w="0" w:type="dxa"/>
        </w:tblCellMar>
        <w:tblLook w:val="04A0" w:firstRow="1" w:lastRow="0" w:firstColumn="1" w:lastColumn="0" w:noHBand="0" w:noVBand="1"/>
      </w:tblPr>
      <w:tblGrid>
        <w:gridCol w:w="4537"/>
        <w:gridCol w:w="4677"/>
      </w:tblGrid>
      <w:tr w:rsidR="008A5A8C" w:rsidRPr="00871D81" w14:paraId="6CF4A220" w14:textId="77777777" w:rsidTr="005F1E74">
        <w:trPr>
          <w:trHeight w:val="300"/>
        </w:trPr>
        <w:tc>
          <w:tcPr>
            <w:tcW w:w="4537" w:type="dxa"/>
            <w:hideMark/>
          </w:tcPr>
          <w:p w14:paraId="3230FD38" w14:textId="77777777" w:rsidR="008A5A8C" w:rsidRPr="00871D81" w:rsidRDefault="008A5A8C" w:rsidP="005F1E74">
            <w:pPr>
              <w:ind w:left="576"/>
              <w:textAlignment w:val="baseline"/>
            </w:pPr>
            <w:r w:rsidRPr="6F8ACB98">
              <w:t xml:space="preserve">Za </w:t>
            </w:r>
            <w:r w:rsidRPr="6F8ACB98">
              <w:rPr>
                <w:b/>
                <w:bCs/>
              </w:rPr>
              <w:t>nájemce</w:t>
            </w:r>
            <w:r w:rsidRPr="6F8ACB98">
              <w:t>:  </w:t>
            </w:r>
          </w:p>
        </w:tc>
        <w:tc>
          <w:tcPr>
            <w:tcW w:w="4677" w:type="dxa"/>
            <w:hideMark/>
          </w:tcPr>
          <w:p w14:paraId="1C6F17E6" w14:textId="77777777" w:rsidR="008A5A8C" w:rsidRPr="00871D81" w:rsidRDefault="008A5A8C" w:rsidP="005F1E74">
            <w:pPr>
              <w:ind w:left="850"/>
              <w:textAlignment w:val="baseline"/>
            </w:pPr>
            <w:r w:rsidRPr="6F8ACB98">
              <w:t xml:space="preserve">Za </w:t>
            </w:r>
            <w:r w:rsidRPr="6F8ACB98">
              <w:rPr>
                <w:b/>
                <w:bCs/>
              </w:rPr>
              <w:t>FTN</w:t>
            </w:r>
            <w:r w:rsidRPr="6F8ACB98">
              <w:t>:  </w:t>
            </w:r>
          </w:p>
        </w:tc>
      </w:tr>
      <w:tr w:rsidR="008A5A8C" w:rsidRPr="00871D81" w14:paraId="2D0E75BE" w14:textId="77777777" w:rsidTr="005F1E74">
        <w:trPr>
          <w:trHeight w:val="300"/>
        </w:trPr>
        <w:tc>
          <w:tcPr>
            <w:tcW w:w="4537" w:type="dxa"/>
            <w:hideMark/>
          </w:tcPr>
          <w:p w14:paraId="7FFCA214" w14:textId="77777777" w:rsidR="008A5A8C" w:rsidRPr="00871D81" w:rsidRDefault="008A5A8C" w:rsidP="005F1E74">
            <w:pPr>
              <w:ind w:left="576"/>
              <w:textAlignment w:val="baseline"/>
            </w:pPr>
            <w:r w:rsidRPr="00871D81">
              <w:t> </w:t>
            </w:r>
          </w:p>
        </w:tc>
        <w:tc>
          <w:tcPr>
            <w:tcW w:w="4677" w:type="dxa"/>
            <w:hideMark/>
          </w:tcPr>
          <w:p w14:paraId="19E2CE3B" w14:textId="77777777" w:rsidR="008A5A8C" w:rsidRPr="00871D81" w:rsidRDefault="008A5A8C" w:rsidP="005F1E74">
            <w:pPr>
              <w:ind w:left="850"/>
              <w:textAlignment w:val="baseline"/>
            </w:pPr>
            <w:r w:rsidRPr="00871D81">
              <w:t> </w:t>
            </w:r>
          </w:p>
        </w:tc>
      </w:tr>
      <w:tr w:rsidR="008A5A8C" w:rsidRPr="00871D81" w14:paraId="54154085" w14:textId="77777777" w:rsidTr="005F1E74">
        <w:trPr>
          <w:trHeight w:val="300"/>
        </w:trPr>
        <w:tc>
          <w:tcPr>
            <w:tcW w:w="4537" w:type="dxa"/>
            <w:hideMark/>
          </w:tcPr>
          <w:p w14:paraId="1EC7B85E" w14:textId="77777777" w:rsidR="008A5A8C" w:rsidRPr="00871D81" w:rsidRDefault="008A5A8C" w:rsidP="005F1E74">
            <w:pPr>
              <w:ind w:left="576"/>
              <w:textAlignment w:val="baseline"/>
            </w:pPr>
            <w:r w:rsidRPr="00871D81">
              <w:t xml:space="preserve">V Praze dne </w:t>
            </w:r>
            <w:r w:rsidRPr="00577F85">
              <w:rPr>
                <w:i/>
                <w:iCs/>
              </w:rPr>
              <w:t>dle data el. podpisu</w:t>
            </w:r>
            <w:r w:rsidRPr="00871D81">
              <w:t>       </w:t>
            </w:r>
          </w:p>
        </w:tc>
        <w:tc>
          <w:tcPr>
            <w:tcW w:w="4677" w:type="dxa"/>
            <w:hideMark/>
          </w:tcPr>
          <w:p w14:paraId="6EF8A66B" w14:textId="77777777" w:rsidR="008A5A8C" w:rsidRPr="00871D81" w:rsidRDefault="008A5A8C" w:rsidP="005F1E74">
            <w:pPr>
              <w:ind w:left="850"/>
              <w:textAlignment w:val="baseline"/>
            </w:pPr>
            <w:r w:rsidRPr="00871D81">
              <w:t>V Praze dne </w:t>
            </w:r>
            <w:r w:rsidRPr="00577F85">
              <w:rPr>
                <w:i/>
                <w:iCs/>
              </w:rPr>
              <w:t>dle data el. podpisu</w:t>
            </w:r>
          </w:p>
        </w:tc>
      </w:tr>
      <w:tr w:rsidR="008A5A8C" w:rsidRPr="00871D81" w14:paraId="4B1A4DB8" w14:textId="77777777" w:rsidTr="005F1E74">
        <w:trPr>
          <w:trHeight w:val="300"/>
        </w:trPr>
        <w:tc>
          <w:tcPr>
            <w:tcW w:w="4537" w:type="dxa"/>
            <w:hideMark/>
          </w:tcPr>
          <w:p w14:paraId="4E590CA7" w14:textId="77777777" w:rsidR="008A5A8C" w:rsidRPr="00871D81" w:rsidRDefault="008A5A8C" w:rsidP="005F1E74">
            <w:pPr>
              <w:ind w:left="576"/>
              <w:textAlignment w:val="baseline"/>
            </w:pPr>
            <w:r w:rsidRPr="00871D81">
              <w:t> </w:t>
            </w:r>
          </w:p>
        </w:tc>
        <w:tc>
          <w:tcPr>
            <w:tcW w:w="4677" w:type="dxa"/>
            <w:hideMark/>
          </w:tcPr>
          <w:p w14:paraId="49473071" w14:textId="77777777" w:rsidR="008A5A8C" w:rsidRPr="00871D81" w:rsidRDefault="008A5A8C" w:rsidP="005F1E74">
            <w:pPr>
              <w:ind w:left="850"/>
              <w:textAlignment w:val="baseline"/>
            </w:pPr>
            <w:r w:rsidRPr="00871D81">
              <w:t> </w:t>
            </w:r>
          </w:p>
        </w:tc>
      </w:tr>
      <w:tr w:rsidR="008A5A8C" w:rsidRPr="00871D81" w14:paraId="72ED906B" w14:textId="77777777" w:rsidTr="005F1E74">
        <w:trPr>
          <w:trHeight w:val="300"/>
        </w:trPr>
        <w:tc>
          <w:tcPr>
            <w:tcW w:w="4537" w:type="dxa"/>
            <w:hideMark/>
          </w:tcPr>
          <w:p w14:paraId="4B24708C" w14:textId="77777777" w:rsidR="008A5A8C" w:rsidRPr="00871D81" w:rsidRDefault="008A5A8C" w:rsidP="005F1E74">
            <w:pPr>
              <w:ind w:left="576"/>
              <w:textAlignment w:val="baseline"/>
            </w:pPr>
            <w:r w:rsidRPr="00871D81">
              <w:t> </w:t>
            </w:r>
          </w:p>
        </w:tc>
        <w:tc>
          <w:tcPr>
            <w:tcW w:w="4677" w:type="dxa"/>
            <w:hideMark/>
          </w:tcPr>
          <w:p w14:paraId="4FFE897E" w14:textId="77777777" w:rsidR="008A5A8C" w:rsidRPr="00871D81" w:rsidRDefault="008A5A8C" w:rsidP="005F1E74">
            <w:pPr>
              <w:ind w:left="850"/>
              <w:textAlignment w:val="baseline"/>
            </w:pPr>
            <w:r w:rsidRPr="00871D81">
              <w:t> </w:t>
            </w:r>
          </w:p>
        </w:tc>
      </w:tr>
      <w:tr w:rsidR="008A5A8C" w:rsidRPr="00871D81" w14:paraId="369B6152" w14:textId="77777777" w:rsidTr="005F1E74">
        <w:trPr>
          <w:trHeight w:val="300"/>
        </w:trPr>
        <w:tc>
          <w:tcPr>
            <w:tcW w:w="4537" w:type="dxa"/>
          </w:tcPr>
          <w:p w14:paraId="1ECA5D6C" w14:textId="77777777" w:rsidR="008A5A8C" w:rsidRPr="00871D81" w:rsidRDefault="008A5A8C" w:rsidP="005F1E74">
            <w:pPr>
              <w:ind w:left="576"/>
              <w:textAlignment w:val="baseline"/>
            </w:pPr>
          </w:p>
        </w:tc>
        <w:tc>
          <w:tcPr>
            <w:tcW w:w="4677" w:type="dxa"/>
          </w:tcPr>
          <w:p w14:paraId="546EB826" w14:textId="77777777" w:rsidR="008A5A8C" w:rsidRPr="00871D81" w:rsidRDefault="008A5A8C" w:rsidP="005F1E74">
            <w:pPr>
              <w:ind w:left="850"/>
              <w:textAlignment w:val="baseline"/>
            </w:pPr>
          </w:p>
        </w:tc>
      </w:tr>
      <w:tr w:rsidR="008A5A8C" w:rsidRPr="00871D81" w14:paraId="43D05F8A" w14:textId="77777777" w:rsidTr="005F1E74">
        <w:trPr>
          <w:trHeight w:val="300"/>
        </w:trPr>
        <w:tc>
          <w:tcPr>
            <w:tcW w:w="4537" w:type="dxa"/>
          </w:tcPr>
          <w:p w14:paraId="01F166A0" w14:textId="77777777" w:rsidR="008A5A8C" w:rsidRPr="00871D81" w:rsidRDefault="008A5A8C" w:rsidP="005F1E74">
            <w:pPr>
              <w:ind w:left="576"/>
              <w:textAlignment w:val="baseline"/>
            </w:pPr>
          </w:p>
        </w:tc>
        <w:tc>
          <w:tcPr>
            <w:tcW w:w="4677" w:type="dxa"/>
          </w:tcPr>
          <w:p w14:paraId="24FAC7D1" w14:textId="77777777" w:rsidR="008A5A8C" w:rsidRPr="00871D81" w:rsidRDefault="008A5A8C" w:rsidP="005F1E74">
            <w:pPr>
              <w:ind w:left="850"/>
              <w:textAlignment w:val="baseline"/>
            </w:pPr>
          </w:p>
        </w:tc>
      </w:tr>
      <w:tr w:rsidR="008A5A8C" w:rsidRPr="00871D81" w14:paraId="599C8B01" w14:textId="77777777" w:rsidTr="005F1E74">
        <w:trPr>
          <w:trHeight w:val="300"/>
        </w:trPr>
        <w:tc>
          <w:tcPr>
            <w:tcW w:w="4537" w:type="dxa"/>
          </w:tcPr>
          <w:p w14:paraId="2BEE0DF8" w14:textId="77777777" w:rsidR="008A5A8C" w:rsidRPr="00871D81" w:rsidRDefault="008A5A8C" w:rsidP="005F1E74">
            <w:pPr>
              <w:ind w:left="576"/>
              <w:textAlignment w:val="baseline"/>
            </w:pPr>
          </w:p>
        </w:tc>
        <w:tc>
          <w:tcPr>
            <w:tcW w:w="4677" w:type="dxa"/>
          </w:tcPr>
          <w:p w14:paraId="669ABEF4" w14:textId="77777777" w:rsidR="008A5A8C" w:rsidRPr="00871D81" w:rsidRDefault="008A5A8C" w:rsidP="005F1E74">
            <w:pPr>
              <w:ind w:left="850"/>
              <w:textAlignment w:val="baseline"/>
            </w:pPr>
          </w:p>
        </w:tc>
      </w:tr>
      <w:tr w:rsidR="008A5A8C" w:rsidRPr="00871D81" w14:paraId="57036DC8" w14:textId="77777777" w:rsidTr="005F1E74">
        <w:trPr>
          <w:trHeight w:val="300"/>
        </w:trPr>
        <w:tc>
          <w:tcPr>
            <w:tcW w:w="4537" w:type="dxa"/>
            <w:hideMark/>
          </w:tcPr>
          <w:p w14:paraId="658D8292" w14:textId="77777777" w:rsidR="008A5A8C" w:rsidRPr="00871D81" w:rsidRDefault="008A5A8C" w:rsidP="005F1E74">
            <w:pPr>
              <w:ind w:left="576"/>
              <w:jc w:val="center"/>
              <w:textAlignment w:val="baseline"/>
            </w:pPr>
            <w:r w:rsidRPr="00871D81">
              <w:t>…………………………… </w:t>
            </w:r>
          </w:p>
        </w:tc>
        <w:tc>
          <w:tcPr>
            <w:tcW w:w="4677" w:type="dxa"/>
            <w:hideMark/>
          </w:tcPr>
          <w:p w14:paraId="00D719BF" w14:textId="77777777" w:rsidR="008A5A8C" w:rsidRPr="00871D81" w:rsidRDefault="008A5A8C" w:rsidP="005F1E74">
            <w:pPr>
              <w:ind w:left="850"/>
              <w:jc w:val="center"/>
              <w:textAlignment w:val="baseline"/>
            </w:pPr>
            <w:r w:rsidRPr="00871D81">
              <w:t>…………………………… </w:t>
            </w:r>
          </w:p>
        </w:tc>
      </w:tr>
      <w:tr w:rsidR="008A5A8C" w:rsidRPr="00871D81" w14:paraId="2FCE7726" w14:textId="77777777" w:rsidTr="005F1E74">
        <w:trPr>
          <w:trHeight w:val="300"/>
        </w:trPr>
        <w:tc>
          <w:tcPr>
            <w:tcW w:w="4537" w:type="dxa"/>
          </w:tcPr>
          <w:p w14:paraId="399770BE" w14:textId="77777777" w:rsidR="008A5A8C" w:rsidRPr="00871D81" w:rsidRDefault="008A5A8C" w:rsidP="005F1E74">
            <w:pPr>
              <w:ind w:left="576"/>
              <w:jc w:val="center"/>
              <w:textAlignment w:val="baseline"/>
              <w:rPr>
                <w:b/>
                <w:bCs/>
              </w:rPr>
            </w:pPr>
          </w:p>
        </w:tc>
        <w:tc>
          <w:tcPr>
            <w:tcW w:w="4677" w:type="dxa"/>
            <w:hideMark/>
          </w:tcPr>
          <w:p w14:paraId="01CCFB39" w14:textId="77777777" w:rsidR="008A5A8C" w:rsidRPr="00871D81" w:rsidRDefault="008A5A8C" w:rsidP="005F1E74">
            <w:pPr>
              <w:ind w:left="850"/>
              <w:jc w:val="center"/>
              <w:textAlignment w:val="baseline"/>
              <w:rPr>
                <w:b/>
                <w:bCs/>
              </w:rPr>
            </w:pPr>
            <w:r>
              <w:rPr>
                <w:b/>
                <w:bCs/>
              </w:rPr>
              <w:t>doc. MUDr. Zdeněk Beneš, CSc.</w:t>
            </w:r>
            <w:r w:rsidRPr="00871D81">
              <w:rPr>
                <w:b/>
                <w:bCs/>
              </w:rPr>
              <w:t> </w:t>
            </w:r>
          </w:p>
        </w:tc>
      </w:tr>
      <w:tr w:rsidR="008A5A8C" w:rsidRPr="00871D81" w14:paraId="765738C8" w14:textId="77777777" w:rsidTr="005F1E74">
        <w:trPr>
          <w:trHeight w:val="300"/>
        </w:trPr>
        <w:tc>
          <w:tcPr>
            <w:tcW w:w="4537" w:type="dxa"/>
          </w:tcPr>
          <w:p w14:paraId="1EBDC48D" w14:textId="77777777" w:rsidR="008A5A8C" w:rsidRPr="00871D81" w:rsidRDefault="008A5A8C" w:rsidP="005F1E74">
            <w:pPr>
              <w:ind w:left="576"/>
              <w:jc w:val="center"/>
              <w:textAlignment w:val="baseline"/>
            </w:pPr>
          </w:p>
        </w:tc>
        <w:tc>
          <w:tcPr>
            <w:tcW w:w="4677" w:type="dxa"/>
            <w:hideMark/>
          </w:tcPr>
          <w:p w14:paraId="712A143C" w14:textId="77777777" w:rsidR="008A5A8C" w:rsidRPr="00871D81" w:rsidRDefault="008A5A8C" w:rsidP="005F1E74">
            <w:pPr>
              <w:ind w:left="850"/>
              <w:jc w:val="center"/>
              <w:textAlignment w:val="baseline"/>
            </w:pPr>
            <w:r>
              <w:t>Ředitel TN</w:t>
            </w:r>
          </w:p>
        </w:tc>
      </w:tr>
    </w:tbl>
    <w:p w14:paraId="0B2A3B95" w14:textId="77777777" w:rsidR="008A5A8C" w:rsidRDefault="008A5A8C" w:rsidP="008A5A8C">
      <w:pPr>
        <w:spacing w:after="884" w:line="276" w:lineRule="auto"/>
      </w:pPr>
    </w:p>
    <w:p w14:paraId="6E3C7E65" w14:textId="77777777" w:rsidR="008A5A8C" w:rsidRDefault="008A5A8C" w:rsidP="008A5A8C">
      <w:pPr>
        <w:spacing w:after="160" w:line="278" w:lineRule="auto"/>
      </w:pPr>
      <w:r>
        <w:br w:type="page"/>
      </w:r>
    </w:p>
    <w:p w14:paraId="2A2DD266" w14:textId="77777777" w:rsidR="008A5A8C" w:rsidRPr="00B10BDB" w:rsidRDefault="008A5A8C" w:rsidP="008A5A8C">
      <w:pPr>
        <w:spacing w:line="276" w:lineRule="auto"/>
      </w:pPr>
      <w:r w:rsidRPr="00B10BDB">
        <w:lastRenderedPageBreak/>
        <w:t>Příloha č. 2: Reklamní poutače a označení na pavilonu E</w:t>
      </w:r>
    </w:p>
    <w:p w14:paraId="3AED652D" w14:textId="77777777" w:rsidR="008A5A8C" w:rsidRDefault="008A5A8C" w:rsidP="008A5A8C">
      <w:pPr>
        <w:spacing w:line="276" w:lineRule="auto"/>
        <w:rPr>
          <w:b/>
          <w:bCs/>
        </w:rPr>
      </w:pPr>
    </w:p>
    <w:p w14:paraId="404F4C2F" w14:textId="77777777" w:rsidR="008A5A8C" w:rsidRDefault="008A5A8C" w:rsidP="008A5A8C">
      <w:pPr>
        <w:spacing w:line="276" w:lineRule="auto"/>
        <w:rPr>
          <w:b/>
          <w:bCs/>
        </w:rPr>
      </w:pPr>
    </w:p>
    <w:tbl>
      <w:tblPr>
        <w:tblStyle w:val="Tabulkaseznamu3zvraznn4"/>
        <w:tblW w:w="10065" w:type="dxa"/>
        <w:tblInd w:w="-572" w:type="dxa"/>
        <w:tblLook w:val="04A0" w:firstRow="1" w:lastRow="0" w:firstColumn="1" w:lastColumn="0" w:noHBand="0" w:noVBand="1"/>
      </w:tblPr>
      <w:tblGrid>
        <w:gridCol w:w="4820"/>
        <w:gridCol w:w="4394"/>
        <w:gridCol w:w="851"/>
      </w:tblGrid>
      <w:tr w:rsidR="008A5A8C" w14:paraId="4EA305A5" w14:textId="77777777" w:rsidTr="005F1E74">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4820" w:type="dxa"/>
            <w:shd w:val="clear" w:color="auto" w:fill="A3DBFF"/>
            <w:vAlign w:val="bottom"/>
          </w:tcPr>
          <w:p w14:paraId="3D2A82F0" w14:textId="77777777" w:rsidR="008A5A8C" w:rsidRPr="004554CF" w:rsidRDefault="008A5A8C" w:rsidP="005F1E74">
            <w:pPr>
              <w:spacing w:line="276" w:lineRule="auto"/>
            </w:pPr>
            <w:r w:rsidRPr="004554CF">
              <w:t>typ poutače</w:t>
            </w:r>
          </w:p>
        </w:tc>
        <w:tc>
          <w:tcPr>
            <w:tcW w:w="4394" w:type="dxa"/>
            <w:shd w:val="clear" w:color="auto" w:fill="A3DBFF"/>
            <w:vAlign w:val="bottom"/>
          </w:tcPr>
          <w:p w14:paraId="22EDFF31" w14:textId="77777777" w:rsidR="008A5A8C" w:rsidRPr="004554CF" w:rsidRDefault="008A5A8C" w:rsidP="005F1E74">
            <w:pPr>
              <w:spacing w:line="276" w:lineRule="auto"/>
              <w:cnfStyle w:val="100000000000" w:firstRow="1" w:lastRow="0" w:firstColumn="0" w:lastColumn="0" w:oddVBand="0" w:evenVBand="0" w:oddHBand="0" w:evenHBand="0" w:firstRowFirstColumn="0" w:firstRowLastColumn="0" w:lastRowFirstColumn="0" w:lastRowLastColumn="0"/>
            </w:pPr>
            <w:r w:rsidRPr="004554CF">
              <w:t xml:space="preserve">umístění </w:t>
            </w:r>
          </w:p>
        </w:tc>
        <w:tc>
          <w:tcPr>
            <w:tcW w:w="851" w:type="dxa"/>
            <w:shd w:val="clear" w:color="auto" w:fill="A3DBFF"/>
            <w:vAlign w:val="bottom"/>
          </w:tcPr>
          <w:p w14:paraId="1F63B1A7" w14:textId="77777777" w:rsidR="008A5A8C" w:rsidRPr="004554CF" w:rsidRDefault="008A5A8C" w:rsidP="005F1E74">
            <w:pPr>
              <w:spacing w:line="276" w:lineRule="auto"/>
              <w:cnfStyle w:val="100000000000" w:firstRow="1" w:lastRow="0" w:firstColumn="0" w:lastColumn="0" w:oddVBand="0" w:evenVBand="0" w:oddHBand="0" w:evenHBand="0" w:firstRowFirstColumn="0" w:firstRowLastColumn="0" w:lastRowFirstColumn="0" w:lastRowLastColumn="0"/>
            </w:pPr>
            <w:r w:rsidRPr="004554CF">
              <w:t xml:space="preserve">počet </w:t>
            </w:r>
          </w:p>
        </w:tc>
      </w:tr>
      <w:tr w:rsidR="008A5A8C" w14:paraId="55DC3386" w14:textId="77777777" w:rsidTr="005F1E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20" w:type="dxa"/>
            <w:vAlign w:val="bottom"/>
          </w:tcPr>
          <w:p w14:paraId="5F1C6AB3" w14:textId="77777777" w:rsidR="008A5A8C" w:rsidRDefault="008A5A8C" w:rsidP="005F1E74">
            <w:pPr>
              <w:spacing w:line="276" w:lineRule="auto"/>
              <w:rPr>
                <w:b w:val="0"/>
                <w:bCs w:val="0"/>
              </w:rPr>
            </w:pPr>
            <w:r>
              <w:rPr>
                <w:b w:val="0"/>
                <w:bCs w:val="0"/>
              </w:rPr>
              <w:t xml:space="preserve">světelná </w:t>
            </w:r>
            <w:proofErr w:type="spellStart"/>
            <w:r>
              <w:rPr>
                <w:b w:val="0"/>
                <w:bCs w:val="0"/>
              </w:rPr>
              <w:t>výstrč</w:t>
            </w:r>
            <w:proofErr w:type="spellEnd"/>
            <w:r>
              <w:rPr>
                <w:b w:val="0"/>
                <w:bCs w:val="0"/>
              </w:rPr>
              <w:t xml:space="preserve"> „Libeřské lahůdky“ </w:t>
            </w:r>
          </w:p>
        </w:tc>
        <w:tc>
          <w:tcPr>
            <w:tcW w:w="4394" w:type="dxa"/>
            <w:vAlign w:val="bottom"/>
          </w:tcPr>
          <w:p w14:paraId="6036341C" w14:textId="77777777" w:rsidR="008A5A8C" w:rsidRPr="00193E6B" w:rsidRDefault="008A5A8C" w:rsidP="005F1E74">
            <w:pPr>
              <w:spacing w:line="276" w:lineRule="auto"/>
              <w:cnfStyle w:val="000000100000" w:firstRow="0" w:lastRow="0" w:firstColumn="0" w:lastColumn="0" w:oddVBand="0" w:evenVBand="0" w:oddHBand="1" w:evenHBand="0" w:firstRowFirstColumn="0" w:firstRowLastColumn="0" w:lastRowFirstColumn="0" w:lastRowLastColumn="0"/>
            </w:pPr>
            <w:r>
              <w:t xml:space="preserve">vedle vstupní brány do areálu </w:t>
            </w:r>
          </w:p>
        </w:tc>
        <w:tc>
          <w:tcPr>
            <w:tcW w:w="851" w:type="dxa"/>
            <w:vAlign w:val="bottom"/>
          </w:tcPr>
          <w:p w14:paraId="1A7A0345" w14:textId="77777777" w:rsidR="008A5A8C" w:rsidRPr="00193E6B" w:rsidRDefault="008A5A8C" w:rsidP="005F1E74">
            <w:pPr>
              <w:spacing w:line="276" w:lineRule="auto"/>
              <w:cnfStyle w:val="000000100000" w:firstRow="0" w:lastRow="0" w:firstColumn="0" w:lastColumn="0" w:oddVBand="0" w:evenVBand="0" w:oddHBand="1" w:evenHBand="0" w:firstRowFirstColumn="0" w:firstRowLastColumn="0" w:lastRowFirstColumn="0" w:lastRowLastColumn="0"/>
            </w:pPr>
            <w:r w:rsidRPr="00193E6B">
              <w:t>1</w:t>
            </w:r>
          </w:p>
        </w:tc>
      </w:tr>
      <w:tr w:rsidR="008A5A8C" w14:paraId="0037669D" w14:textId="77777777" w:rsidTr="005F1E74">
        <w:trPr>
          <w:trHeight w:val="510"/>
        </w:trPr>
        <w:tc>
          <w:tcPr>
            <w:cnfStyle w:val="001000000000" w:firstRow="0" w:lastRow="0" w:firstColumn="1" w:lastColumn="0" w:oddVBand="0" w:evenVBand="0" w:oddHBand="0" w:evenHBand="0" w:firstRowFirstColumn="0" w:firstRowLastColumn="0" w:lastRowFirstColumn="0" w:lastRowLastColumn="0"/>
            <w:tcW w:w="4820" w:type="dxa"/>
            <w:vAlign w:val="bottom"/>
          </w:tcPr>
          <w:p w14:paraId="7BB18420" w14:textId="77777777" w:rsidR="008A5A8C" w:rsidRDefault="008A5A8C" w:rsidP="005F1E74">
            <w:pPr>
              <w:spacing w:line="276" w:lineRule="auto"/>
              <w:rPr>
                <w:b w:val="0"/>
                <w:bCs w:val="0"/>
              </w:rPr>
            </w:pPr>
            <w:r>
              <w:rPr>
                <w:b w:val="0"/>
                <w:bCs w:val="0"/>
              </w:rPr>
              <w:t xml:space="preserve">světelná </w:t>
            </w:r>
            <w:proofErr w:type="spellStart"/>
            <w:r>
              <w:rPr>
                <w:b w:val="0"/>
                <w:bCs w:val="0"/>
              </w:rPr>
              <w:t>výstrč</w:t>
            </w:r>
            <w:proofErr w:type="spellEnd"/>
            <w:r>
              <w:rPr>
                <w:b w:val="0"/>
                <w:bCs w:val="0"/>
              </w:rPr>
              <w:t xml:space="preserve"> „Libeřské lahůdky“</w:t>
            </w:r>
          </w:p>
        </w:tc>
        <w:tc>
          <w:tcPr>
            <w:tcW w:w="4394" w:type="dxa"/>
            <w:vAlign w:val="bottom"/>
          </w:tcPr>
          <w:p w14:paraId="6426C7C5" w14:textId="77777777" w:rsidR="008A5A8C" w:rsidRPr="003E12D3" w:rsidRDefault="008A5A8C" w:rsidP="005F1E74">
            <w:pPr>
              <w:spacing w:line="276" w:lineRule="auto"/>
              <w:cnfStyle w:val="000000000000" w:firstRow="0" w:lastRow="0" w:firstColumn="0" w:lastColumn="0" w:oddVBand="0" w:evenVBand="0" w:oddHBand="0" w:evenHBand="0" w:firstRowFirstColumn="0" w:firstRowLastColumn="0" w:lastRowFirstColumn="0" w:lastRowLastColumn="0"/>
            </w:pPr>
            <w:r>
              <w:t>na rohu prodejny přechodu</w:t>
            </w:r>
          </w:p>
        </w:tc>
        <w:tc>
          <w:tcPr>
            <w:tcW w:w="851" w:type="dxa"/>
            <w:vAlign w:val="bottom"/>
          </w:tcPr>
          <w:p w14:paraId="3ECAAC0E" w14:textId="77777777" w:rsidR="008A5A8C" w:rsidRPr="003E12D3" w:rsidRDefault="008A5A8C" w:rsidP="005F1E74">
            <w:pPr>
              <w:spacing w:line="276" w:lineRule="auto"/>
              <w:cnfStyle w:val="000000000000" w:firstRow="0" w:lastRow="0" w:firstColumn="0" w:lastColumn="0" w:oddVBand="0" w:evenVBand="0" w:oddHBand="0" w:evenHBand="0" w:firstRowFirstColumn="0" w:firstRowLastColumn="0" w:lastRowFirstColumn="0" w:lastRowLastColumn="0"/>
            </w:pPr>
            <w:r w:rsidRPr="003E12D3">
              <w:t>1</w:t>
            </w:r>
          </w:p>
        </w:tc>
      </w:tr>
      <w:tr w:rsidR="008A5A8C" w14:paraId="49C1BE66" w14:textId="77777777" w:rsidTr="005F1E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20" w:type="dxa"/>
            <w:vAlign w:val="bottom"/>
          </w:tcPr>
          <w:p w14:paraId="68683A1F" w14:textId="77777777" w:rsidR="008A5A8C" w:rsidRDefault="008A5A8C" w:rsidP="005F1E74">
            <w:pPr>
              <w:spacing w:line="276" w:lineRule="auto"/>
              <w:rPr>
                <w:b w:val="0"/>
                <w:bCs w:val="0"/>
              </w:rPr>
            </w:pPr>
            <w:r>
              <w:rPr>
                <w:b w:val="0"/>
                <w:bCs w:val="0"/>
              </w:rPr>
              <w:t>3D zmrzlina</w:t>
            </w:r>
          </w:p>
        </w:tc>
        <w:tc>
          <w:tcPr>
            <w:tcW w:w="4394" w:type="dxa"/>
            <w:vAlign w:val="bottom"/>
          </w:tcPr>
          <w:p w14:paraId="018AB419" w14:textId="77777777" w:rsidR="008A5A8C" w:rsidRDefault="008A5A8C" w:rsidP="005F1E74">
            <w:pPr>
              <w:spacing w:line="276" w:lineRule="auto"/>
              <w:cnfStyle w:val="000000100000" w:firstRow="0" w:lastRow="0" w:firstColumn="0" w:lastColumn="0" w:oddVBand="0" w:evenVBand="0" w:oddHBand="1" w:evenHBand="0" w:firstRowFirstColumn="0" w:firstRowLastColumn="0" w:lastRowFirstColumn="0" w:lastRowLastColumn="0"/>
              <w:rPr>
                <w:b/>
                <w:bCs/>
              </w:rPr>
            </w:pPr>
            <w:r>
              <w:t>na rohu prodejny přechodu</w:t>
            </w:r>
          </w:p>
        </w:tc>
        <w:tc>
          <w:tcPr>
            <w:tcW w:w="851" w:type="dxa"/>
            <w:vAlign w:val="bottom"/>
          </w:tcPr>
          <w:p w14:paraId="412BD61C" w14:textId="77777777" w:rsidR="008A5A8C" w:rsidRPr="00904B31" w:rsidRDefault="008A5A8C" w:rsidP="005F1E74">
            <w:pPr>
              <w:spacing w:line="276" w:lineRule="auto"/>
              <w:cnfStyle w:val="000000100000" w:firstRow="0" w:lastRow="0" w:firstColumn="0" w:lastColumn="0" w:oddVBand="0" w:evenVBand="0" w:oddHBand="1" w:evenHBand="0" w:firstRowFirstColumn="0" w:firstRowLastColumn="0" w:lastRowFirstColumn="0" w:lastRowLastColumn="0"/>
            </w:pPr>
            <w:r w:rsidRPr="00904B31">
              <w:t>2</w:t>
            </w:r>
          </w:p>
        </w:tc>
      </w:tr>
      <w:tr w:rsidR="008A5A8C" w14:paraId="4EEAF8FA" w14:textId="77777777" w:rsidTr="005F1E74">
        <w:trPr>
          <w:trHeight w:val="510"/>
        </w:trPr>
        <w:tc>
          <w:tcPr>
            <w:cnfStyle w:val="001000000000" w:firstRow="0" w:lastRow="0" w:firstColumn="1" w:lastColumn="0" w:oddVBand="0" w:evenVBand="0" w:oddHBand="0" w:evenHBand="0" w:firstRowFirstColumn="0" w:firstRowLastColumn="0" w:lastRowFirstColumn="0" w:lastRowLastColumn="0"/>
            <w:tcW w:w="4820" w:type="dxa"/>
            <w:vAlign w:val="bottom"/>
          </w:tcPr>
          <w:p w14:paraId="28B22646" w14:textId="77777777" w:rsidR="008A5A8C" w:rsidRPr="00C34D77" w:rsidRDefault="008A5A8C" w:rsidP="005F1E74">
            <w:pPr>
              <w:spacing w:line="276" w:lineRule="auto"/>
              <w:rPr>
                <w:b w:val="0"/>
                <w:bCs w:val="0"/>
              </w:rPr>
            </w:pPr>
            <w:r w:rsidRPr="00C34D77">
              <w:rPr>
                <w:b w:val="0"/>
                <w:bCs w:val="0"/>
              </w:rPr>
              <w:t>světelný panel „Lahůdkářství“ 230 x 40 cm</w:t>
            </w:r>
          </w:p>
        </w:tc>
        <w:tc>
          <w:tcPr>
            <w:tcW w:w="4394" w:type="dxa"/>
            <w:vAlign w:val="bottom"/>
          </w:tcPr>
          <w:p w14:paraId="55730F63" w14:textId="77777777" w:rsidR="008A5A8C" w:rsidRPr="00C34D77" w:rsidRDefault="008A5A8C" w:rsidP="005F1E74">
            <w:pPr>
              <w:spacing w:line="276" w:lineRule="auto"/>
              <w:cnfStyle w:val="000000000000" w:firstRow="0" w:lastRow="0" w:firstColumn="0" w:lastColumn="0" w:oddVBand="0" w:evenVBand="0" w:oddHBand="0" w:evenHBand="0" w:firstRowFirstColumn="0" w:firstRowLastColumn="0" w:lastRowFirstColumn="0" w:lastRowLastColumn="0"/>
            </w:pPr>
            <w:r w:rsidRPr="00C34D77">
              <w:t xml:space="preserve">nad vstupem do prodejny </w:t>
            </w:r>
          </w:p>
        </w:tc>
        <w:tc>
          <w:tcPr>
            <w:tcW w:w="851" w:type="dxa"/>
            <w:vAlign w:val="bottom"/>
          </w:tcPr>
          <w:p w14:paraId="3A223F81" w14:textId="77777777" w:rsidR="008A5A8C" w:rsidRPr="00C34D77" w:rsidRDefault="008A5A8C" w:rsidP="005F1E74">
            <w:pPr>
              <w:spacing w:line="276" w:lineRule="auto"/>
              <w:cnfStyle w:val="000000000000" w:firstRow="0" w:lastRow="0" w:firstColumn="0" w:lastColumn="0" w:oddVBand="0" w:evenVBand="0" w:oddHBand="0" w:evenHBand="0" w:firstRowFirstColumn="0" w:firstRowLastColumn="0" w:lastRowFirstColumn="0" w:lastRowLastColumn="0"/>
            </w:pPr>
            <w:r w:rsidRPr="00C34D77">
              <w:t>1</w:t>
            </w:r>
          </w:p>
        </w:tc>
      </w:tr>
      <w:tr w:rsidR="008A5A8C" w14:paraId="07878F09" w14:textId="77777777" w:rsidTr="005F1E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20" w:type="dxa"/>
            <w:vAlign w:val="bottom"/>
          </w:tcPr>
          <w:p w14:paraId="275E62BE" w14:textId="77777777" w:rsidR="008A5A8C" w:rsidRPr="00C34D77" w:rsidRDefault="008A5A8C" w:rsidP="005F1E74">
            <w:pPr>
              <w:spacing w:line="276" w:lineRule="auto"/>
              <w:rPr>
                <w:b w:val="0"/>
                <w:bCs w:val="0"/>
              </w:rPr>
            </w:pPr>
            <w:r w:rsidRPr="00C34D77">
              <w:rPr>
                <w:b w:val="0"/>
                <w:bCs w:val="0"/>
              </w:rPr>
              <w:t>světelný panel „Lahůdkářství“ 650 x 50 cm</w:t>
            </w:r>
          </w:p>
        </w:tc>
        <w:tc>
          <w:tcPr>
            <w:tcW w:w="4394" w:type="dxa"/>
            <w:vAlign w:val="bottom"/>
          </w:tcPr>
          <w:p w14:paraId="6AFED748" w14:textId="77777777" w:rsidR="008A5A8C" w:rsidRPr="00C34D77" w:rsidRDefault="008A5A8C" w:rsidP="005F1E74">
            <w:pPr>
              <w:spacing w:line="276" w:lineRule="auto"/>
              <w:cnfStyle w:val="000000100000" w:firstRow="0" w:lastRow="0" w:firstColumn="0" w:lastColumn="0" w:oddVBand="0" w:evenVBand="0" w:oddHBand="1" w:evenHBand="0" w:firstRowFirstColumn="0" w:firstRowLastColumn="0" w:lastRowFirstColumn="0" w:lastRowLastColumn="0"/>
            </w:pPr>
            <w:r w:rsidRPr="00C34D77">
              <w:t xml:space="preserve">boční stěna prodejny u přechodu </w:t>
            </w:r>
          </w:p>
        </w:tc>
        <w:tc>
          <w:tcPr>
            <w:tcW w:w="851" w:type="dxa"/>
            <w:vAlign w:val="bottom"/>
          </w:tcPr>
          <w:p w14:paraId="4D95D134" w14:textId="77777777" w:rsidR="008A5A8C" w:rsidRPr="00C34D77" w:rsidRDefault="008A5A8C" w:rsidP="005F1E74">
            <w:pPr>
              <w:spacing w:line="276" w:lineRule="auto"/>
              <w:cnfStyle w:val="000000100000" w:firstRow="0" w:lastRow="0" w:firstColumn="0" w:lastColumn="0" w:oddVBand="0" w:evenVBand="0" w:oddHBand="1" w:evenHBand="0" w:firstRowFirstColumn="0" w:firstRowLastColumn="0" w:lastRowFirstColumn="0" w:lastRowLastColumn="0"/>
            </w:pPr>
            <w:r w:rsidRPr="00C34D77">
              <w:t>1</w:t>
            </w:r>
          </w:p>
        </w:tc>
      </w:tr>
      <w:tr w:rsidR="008A5A8C" w14:paraId="7FE91BF3" w14:textId="77777777" w:rsidTr="005F1E74">
        <w:trPr>
          <w:trHeight w:val="510"/>
        </w:trPr>
        <w:tc>
          <w:tcPr>
            <w:cnfStyle w:val="001000000000" w:firstRow="0" w:lastRow="0" w:firstColumn="1" w:lastColumn="0" w:oddVBand="0" w:evenVBand="0" w:oddHBand="0" w:evenHBand="0" w:firstRowFirstColumn="0" w:firstRowLastColumn="0" w:lastRowFirstColumn="0" w:lastRowLastColumn="0"/>
            <w:tcW w:w="4820" w:type="dxa"/>
            <w:vAlign w:val="bottom"/>
          </w:tcPr>
          <w:p w14:paraId="76870942" w14:textId="77777777" w:rsidR="008A5A8C" w:rsidRPr="00C34D77" w:rsidRDefault="008A5A8C" w:rsidP="005F1E74">
            <w:pPr>
              <w:spacing w:line="276" w:lineRule="auto"/>
              <w:rPr>
                <w:b w:val="0"/>
                <w:bCs w:val="0"/>
              </w:rPr>
            </w:pPr>
            <w:r w:rsidRPr="00C34D77">
              <w:rPr>
                <w:b w:val="0"/>
                <w:bCs w:val="0"/>
              </w:rPr>
              <w:t>panel 120 x 80 cm</w:t>
            </w:r>
          </w:p>
        </w:tc>
        <w:tc>
          <w:tcPr>
            <w:tcW w:w="4394" w:type="dxa"/>
            <w:vAlign w:val="bottom"/>
          </w:tcPr>
          <w:p w14:paraId="357B23A3" w14:textId="77777777" w:rsidR="008A5A8C" w:rsidRPr="00C34D77" w:rsidRDefault="008A5A8C" w:rsidP="005F1E74">
            <w:pPr>
              <w:spacing w:line="276" w:lineRule="auto"/>
              <w:cnfStyle w:val="000000000000" w:firstRow="0" w:lastRow="0" w:firstColumn="0" w:lastColumn="0" w:oddVBand="0" w:evenVBand="0" w:oddHBand="0" w:evenHBand="0" w:firstRowFirstColumn="0" w:firstRowLastColumn="0" w:lastRowFirstColumn="0" w:lastRowLastColumn="0"/>
            </w:pPr>
            <w:r w:rsidRPr="00C34D77">
              <w:t xml:space="preserve">mezi okny u vstupu do prodejny </w:t>
            </w:r>
          </w:p>
        </w:tc>
        <w:tc>
          <w:tcPr>
            <w:tcW w:w="851" w:type="dxa"/>
            <w:vAlign w:val="bottom"/>
          </w:tcPr>
          <w:p w14:paraId="5012E507" w14:textId="77777777" w:rsidR="008A5A8C" w:rsidRPr="00C34D77" w:rsidRDefault="008A5A8C" w:rsidP="005F1E74">
            <w:pPr>
              <w:spacing w:line="276" w:lineRule="auto"/>
              <w:cnfStyle w:val="000000000000" w:firstRow="0" w:lastRow="0" w:firstColumn="0" w:lastColumn="0" w:oddVBand="0" w:evenVBand="0" w:oddHBand="0" w:evenHBand="0" w:firstRowFirstColumn="0" w:firstRowLastColumn="0" w:lastRowFirstColumn="0" w:lastRowLastColumn="0"/>
            </w:pPr>
            <w:r w:rsidRPr="00C34D77">
              <w:t>2</w:t>
            </w:r>
          </w:p>
        </w:tc>
      </w:tr>
      <w:tr w:rsidR="008A5A8C" w14:paraId="25E28F42" w14:textId="77777777" w:rsidTr="005F1E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20" w:type="dxa"/>
            <w:vAlign w:val="bottom"/>
          </w:tcPr>
          <w:p w14:paraId="2CE23463" w14:textId="77777777" w:rsidR="008A5A8C" w:rsidRPr="00C34D77" w:rsidRDefault="008A5A8C" w:rsidP="005F1E74">
            <w:pPr>
              <w:spacing w:line="276" w:lineRule="auto"/>
              <w:rPr>
                <w:b w:val="0"/>
                <w:bCs w:val="0"/>
              </w:rPr>
            </w:pPr>
            <w:r w:rsidRPr="00C34D77">
              <w:rPr>
                <w:b w:val="0"/>
                <w:bCs w:val="0"/>
              </w:rPr>
              <w:t>panel 120 x 80 cm</w:t>
            </w:r>
          </w:p>
        </w:tc>
        <w:tc>
          <w:tcPr>
            <w:tcW w:w="4394" w:type="dxa"/>
            <w:vAlign w:val="bottom"/>
          </w:tcPr>
          <w:p w14:paraId="7D007E39" w14:textId="77777777" w:rsidR="008A5A8C" w:rsidRPr="00C34D77" w:rsidRDefault="008A5A8C" w:rsidP="005F1E74">
            <w:pPr>
              <w:spacing w:line="276" w:lineRule="auto"/>
              <w:cnfStyle w:val="000000100000" w:firstRow="0" w:lastRow="0" w:firstColumn="0" w:lastColumn="0" w:oddVBand="0" w:evenVBand="0" w:oddHBand="1" w:evenHBand="0" w:firstRowFirstColumn="0" w:firstRowLastColumn="0" w:lastRowFirstColumn="0" w:lastRowLastColumn="0"/>
            </w:pPr>
            <w:r w:rsidRPr="00C34D77">
              <w:t>na boční stěně prodejny</w:t>
            </w:r>
          </w:p>
        </w:tc>
        <w:tc>
          <w:tcPr>
            <w:tcW w:w="851" w:type="dxa"/>
            <w:vAlign w:val="bottom"/>
          </w:tcPr>
          <w:p w14:paraId="16F73CC2" w14:textId="77777777" w:rsidR="008A5A8C" w:rsidRPr="00C34D77" w:rsidRDefault="008A5A8C" w:rsidP="005F1E74">
            <w:pPr>
              <w:spacing w:line="276" w:lineRule="auto"/>
              <w:cnfStyle w:val="000000100000" w:firstRow="0" w:lastRow="0" w:firstColumn="0" w:lastColumn="0" w:oddVBand="0" w:evenVBand="0" w:oddHBand="1" w:evenHBand="0" w:firstRowFirstColumn="0" w:firstRowLastColumn="0" w:lastRowFirstColumn="0" w:lastRowLastColumn="0"/>
            </w:pPr>
            <w:r w:rsidRPr="00C34D77">
              <w:t>2</w:t>
            </w:r>
          </w:p>
        </w:tc>
      </w:tr>
      <w:tr w:rsidR="008A5A8C" w14:paraId="60EB397D" w14:textId="77777777" w:rsidTr="005F1E74">
        <w:trPr>
          <w:trHeight w:val="510"/>
        </w:trPr>
        <w:tc>
          <w:tcPr>
            <w:cnfStyle w:val="001000000000" w:firstRow="0" w:lastRow="0" w:firstColumn="1" w:lastColumn="0" w:oddVBand="0" w:evenVBand="0" w:oddHBand="0" w:evenHBand="0" w:firstRowFirstColumn="0" w:firstRowLastColumn="0" w:lastRowFirstColumn="0" w:lastRowLastColumn="0"/>
            <w:tcW w:w="4820" w:type="dxa"/>
            <w:vAlign w:val="bottom"/>
          </w:tcPr>
          <w:p w14:paraId="7F9E93F7" w14:textId="77777777" w:rsidR="008A5A8C" w:rsidRPr="00C34D77" w:rsidRDefault="008A5A8C" w:rsidP="005F1E74">
            <w:pPr>
              <w:spacing w:line="276" w:lineRule="auto"/>
              <w:rPr>
                <w:b w:val="0"/>
                <w:bCs w:val="0"/>
              </w:rPr>
            </w:pPr>
            <w:r w:rsidRPr="00C34D77">
              <w:rPr>
                <w:b w:val="0"/>
                <w:bCs w:val="0"/>
              </w:rPr>
              <w:t>panel 77 x 180 cm</w:t>
            </w:r>
          </w:p>
        </w:tc>
        <w:tc>
          <w:tcPr>
            <w:tcW w:w="4394" w:type="dxa"/>
            <w:vAlign w:val="bottom"/>
          </w:tcPr>
          <w:p w14:paraId="019F6564" w14:textId="77777777" w:rsidR="008A5A8C" w:rsidRPr="00C34D77" w:rsidRDefault="008A5A8C" w:rsidP="005F1E74">
            <w:pPr>
              <w:spacing w:line="276" w:lineRule="auto"/>
              <w:cnfStyle w:val="000000000000" w:firstRow="0" w:lastRow="0" w:firstColumn="0" w:lastColumn="0" w:oddVBand="0" w:evenVBand="0" w:oddHBand="0" w:evenHBand="0" w:firstRowFirstColumn="0" w:firstRowLastColumn="0" w:lastRowFirstColumn="0" w:lastRowLastColumn="0"/>
            </w:pPr>
            <w:r w:rsidRPr="00C34D77">
              <w:t xml:space="preserve">Vedle okna u vstupu do prodejny </w:t>
            </w:r>
          </w:p>
        </w:tc>
        <w:tc>
          <w:tcPr>
            <w:tcW w:w="851" w:type="dxa"/>
            <w:vAlign w:val="bottom"/>
          </w:tcPr>
          <w:p w14:paraId="5B016E24" w14:textId="77777777" w:rsidR="008A5A8C" w:rsidRPr="00C34D77" w:rsidRDefault="008A5A8C" w:rsidP="005F1E74">
            <w:pPr>
              <w:spacing w:line="276" w:lineRule="auto"/>
              <w:cnfStyle w:val="000000000000" w:firstRow="0" w:lastRow="0" w:firstColumn="0" w:lastColumn="0" w:oddVBand="0" w:evenVBand="0" w:oddHBand="0" w:evenHBand="0" w:firstRowFirstColumn="0" w:firstRowLastColumn="0" w:lastRowFirstColumn="0" w:lastRowLastColumn="0"/>
            </w:pPr>
            <w:r w:rsidRPr="00C34D77">
              <w:t>1</w:t>
            </w:r>
          </w:p>
        </w:tc>
      </w:tr>
      <w:tr w:rsidR="008A5A8C" w14:paraId="0A74503D" w14:textId="77777777" w:rsidTr="005F1E7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20" w:type="dxa"/>
            <w:vAlign w:val="bottom"/>
          </w:tcPr>
          <w:p w14:paraId="3B09509E" w14:textId="77777777" w:rsidR="008A5A8C" w:rsidRDefault="008A5A8C" w:rsidP="005F1E74">
            <w:pPr>
              <w:spacing w:line="276" w:lineRule="auto"/>
              <w:rPr>
                <w:b w:val="0"/>
                <w:bCs w:val="0"/>
              </w:rPr>
            </w:pPr>
          </w:p>
        </w:tc>
        <w:tc>
          <w:tcPr>
            <w:tcW w:w="4394" w:type="dxa"/>
            <w:vAlign w:val="bottom"/>
          </w:tcPr>
          <w:p w14:paraId="6F669FED" w14:textId="77777777" w:rsidR="008A5A8C" w:rsidRDefault="008A5A8C" w:rsidP="005F1E74">
            <w:pPr>
              <w:spacing w:line="276" w:lineRule="auto"/>
              <w:cnfStyle w:val="000000100000" w:firstRow="0" w:lastRow="0" w:firstColumn="0" w:lastColumn="0" w:oddVBand="0" w:evenVBand="0" w:oddHBand="1" w:evenHBand="0" w:firstRowFirstColumn="0" w:firstRowLastColumn="0" w:lastRowFirstColumn="0" w:lastRowLastColumn="0"/>
              <w:rPr>
                <w:b/>
                <w:bCs/>
              </w:rPr>
            </w:pPr>
          </w:p>
        </w:tc>
        <w:tc>
          <w:tcPr>
            <w:tcW w:w="851" w:type="dxa"/>
            <w:vAlign w:val="bottom"/>
          </w:tcPr>
          <w:p w14:paraId="4F1241D4" w14:textId="77777777" w:rsidR="008A5A8C" w:rsidRDefault="008A5A8C" w:rsidP="005F1E74">
            <w:pPr>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8A5A8C" w14:paraId="69131DDB" w14:textId="77777777" w:rsidTr="005F1E74">
        <w:trPr>
          <w:trHeight w:val="510"/>
        </w:trPr>
        <w:tc>
          <w:tcPr>
            <w:cnfStyle w:val="001000000000" w:firstRow="0" w:lastRow="0" w:firstColumn="1" w:lastColumn="0" w:oddVBand="0" w:evenVBand="0" w:oddHBand="0" w:evenHBand="0" w:firstRowFirstColumn="0" w:firstRowLastColumn="0" w:lastRowFirstColumn="0" w:lastRowLastColumn="0"/>
            <w:tcW w:w="4820" w:type="dxa"/>
            <w:vAlign w:val="bottom"/>
          </w:tcPr>
          <w:p w14:paraId="2B36EF0E" w14:textId="77777777" w:rsidR="008A5A8C" w:rsidRPr="00D8104E" w:rsidRDefault="008A5A8C" w:rsidP="005F1E74">
            <w:pPr>
              <w:spacing w:line="276" w:lineRule="auto"/>
            </w:pPr>
            <w:r w:rsidRPr="00D8104E">
              <w:t>Celkem</w:t>
            </w:r>
          </w:p>
        </w:tc>
        <w:tc>
          <w:tcPr>
            <w:tcW w:w="4394" w:type="dxa"/>
            <w:vAlign w:val="bottom"/>
          </w:tcPr>
          <w:p w14:paraId="757DBD15" w14:textId="77777777" w:rsidR="008A5A8C" w:rsidRPr="00D8104E" w:rsidRDefault="008A5A8C" w:rsidP="005F1E74">
            <w:pPr>
              <w:spacing w:line="276" w:lineRule="auto"/>
              <w:cnfStyle w:val="000000000000" w:firstRow="0" w:lastRow="0" w:firstColumn="0" w:lastColumn="0" w:oddVBand="0" w:evenVBand="0" w:oddHBand="0" w:evenHBand="0" w:firstRowFirstColumn="0" w:firstRowLastColumn="0" w:lastRowFirstColumn="0" w:lastRowLastColumn="0"/>
              <w:rPr>
                <w:b/>
                <w:bCs/>
              </w:rPr>
            </w:pPr>
          </w:p>
        </w:tc>
        <w:tc>
          <w:tcPr>
            <w:tcW w:w="851" w:type="dxa"/>
            <w:vAlign w:val="bottom"/>
          </w:tcPr>
          <w:p w14:paraId="73CBB607" w14:textId="77777777" w:rsidR="008A5A8C" w:rsidRPr="00D8104E" w:rsidRDefault="008A5A8C" w:rsidP="005F1E74">
            <w:pPr>
              <w:spacing w:line="276" w:lineRule="auto"/>
              <w:cnfStyle w:val="000000000000" w:firstRow="0" w:lastRow="0" w:firstColumn="0" w:lastColumn="0" w:oddVBand="0" w:evenVBand="0" w:oddHBand="0" w:evenHBand="0" w:firstRowFirstColumn="0" w:firstRowLastColumn="0" w:lastRowFirstColumn="0" w:lastRowLastColumn="0"/>
              <w:rPr>
                <w:b/>
                <w:bCs/>
              </w:rPr>
            </w:pPr>
            <w:r w:rsidRPr="00D8104E">
              <w:rPr>
                <w:b/>
                <w:bCs/>
              </w:rPr>
              <w:t>11</w:t>
            </w:r>
          </w:p>
        </w:tc>
      </w:tr>
    </w:tbl>
    <w:p w14:paraId="1D6D4961" w14:textId="77777777" w:rsidR="008A5A8C" w:rsidRDefault="008A5A8C" w:rsidP="008A5A8C">
      <w:pPr>
        <w:spacing w:line="276" w:lineRule="auto"/>
        <w:rPr>
          <w:b/>
          <w:bCs/>
        </w:rPr>
      </w:pPr>
    </w:p>
    <w:p w14:paraId="608EEBCF" w14:textId="5A1AF7AA" w:rsidR="008A5A8C" w:rsidRDefault="006930A2" w:rsidP="008A5A8C">
      <w:pPr>
        <w:spacing w:after="160" w:line="278" w:lineRule="auto"/>
        <w:rPr>
          <w:b/>
          <w:bCs/>
        </w:rPr>
      </w:pPr>
      <w:sdt>
        <w:sdtPr>
          <w:rPr>
            <w:b/>
            <w:bCs/>
          </w:rPr>
          <w:id w:val="183558401"/>
          <w:docPartObj>
            <w:docPartGallery w:val="Watermarks"/>
          </w:docPartObj>
        </w:sdtPr>
        <w:sdtEndPr/>
        <w:sdtContent>
          <w:r w:rsidR="003C3B41" w:rsidRPr="003C3B41">
            <w:rPr>
              <w:b/>
              <w:bCs/>
              <w:noProof/>
            </w:rPr>
            <mc:AlternateContent>
              <mc:Choice Requires="wps">
                <w:drawing>
                  <wp:anchor distT="0" distB="0" distL="114300" distR="114300" simplePos="0" relativeHeight="251655168" behindDoc="1" locked="0" layoutInCell="0" allowOverlap="1" wp14:anchorId="55DE2513" wp14:editId="2C1DAA18">
                    <wp:simplePos x="0" y="0"/>
                    <wp:positionH relativeFrom="margin">
                      <wp:align>center</wp:align>
                    </wp:positionH>
                    <wp:positionV relativeFrom="margin">
                      <wp:align>center</wp:align>
                    </wp:positionV>
                    <wp:extent cx="5237480" cy="3142615"/>
                    <wp:effectExtent l="38100" t="1152525" r="0" b="705485"/>
                    <wp:wrapNone/>
                    <wp:docPr id="95460274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639F09"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DE2513" id="Textové pole 17" o:spid="_x0000_s1034" type="#_x0000_t202" style="position:absolute;margin-left:0;margin-top:0;width:412.4pt;height:247.4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J+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zG7C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E639F09"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v:textbox>
                    <w10:wrap anchorx="margin" anchory="margin"/>
                  </v:shape>
                </w:pict>
              </mc:Fallback>
            </mc:AlternateContent>
          </w:r>
        </w:sdtContent>
      </w:sdt>
    </w:p>
    <w:sdt>
      <w:sdtPr>
        <w:id w:val="378518243"/>
        <w:docPartObj>
          <w:docPartGallery w:val="Watermarks"/>
        </w:docPartObj>
      </w:sdtPr>
      <w:sdtEndPr/>
      <w:sdtContent>
        <w:p w14:paraId="24A0583E" w14:textId="341B02D1" w:rsidR="008A5A8C" w:rsidRPr="00AE1DFD" w:rsidRDefault="003C3B41" w:rsidP="00901DB4">
          <w:pPr>
            <w:spacing w:after="120" w:line="276" w:lineRule="auto"/>
            <w:contextualSpacing/>
            <w:jc w:val="both"/>
          </w:pPr>
          <w:r>
            <w:rPr>
              <w:noProof/>
            </w:rPr>
            <mc:AlternateContent>
              <mc:Choice Requires="wps">
                <w:drawing>
                  <wp:anchor distT="0" distB="0" distL="114300" distR="114300" simplePos="0" relativeHeight="251653120" behindDoc="1" locked="0" layoutInCell="0" allowOverlap="1" wp14:anchorId="20E01540" wp14:editId="236F498F">
                    <wp:simplePos x="0" y="0"/>
                    <wp:positionH relativeFrom="margin">
                      <wp:align>center</wp:align>
                    </wp:positionH>
                    <wp:positionV relativeFrom="margin">
                      <wp:align>center</wp:align>
                    </wp:positionV>
                    <wp:extent cx="5237480" cy="3142615"/>
                    <wp:effectExtent l="38100" t="1152525" r="0" b="705485"/>
                    <wp:wrapNone/>
                    <wp:docPr id="2470011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4EE60F"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E01540" id="Textové pole 20" o:spid="_x0000_s1035" type="#_x0000_t202" style="position:absolute;left:0;text-align:left;margin-left:0;margin-top:0;width:412.4pt;height:247.4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74EE60F" w14:textId="77777777" w:rsidR="003C3B41" w:rsidRDefault="003C3B41" w:rsidP="003C3B4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KONCEPT</w:t>
                          </w:r>
                        </w:p>
                      </w:txbxContent>
                    </v:textbox>
                    <w10:wrap anchorx="margin" anchory="margin"/>
                  </v:shape>
                </w:pict>
              </mc:Fallback>
            </mc:AlternateContent>
          </w:r>
        </w:p>
      </w:sdtContent>
    </w:sdt>
    <w:sectPr w:rsidR="008A5A8C" w:rsidRPr="00AE1DFD" w:rsidSect="008A5A8C">
      <w:headerReference w:type="even" r:id="rId13"/>
      <w:footerReference w:type="default" r:id="rId14"/>
      <w:headerReference w:type="first" r:id="rId15"/>
      <w:pgSz w:w="11906" w:h="16838"/>
      <w:pgMar w:top="1417" w:right="1417" w:bottom="1417" w:left="1417"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D0C9" w14:textId="77777777" w:rsidR="006930A2" w:rsidRDefault="006930A2" w:rsidP="004E3AB5">
      <w:r>
        <w:separator/>
      </w:r>
    </w:p>
  </w:endnote>
  <w:endnote w:type="continuationSeparator" w:id="0">
    <w:p w14:paraId="2BBEA49B" w14:textId="77777777" w:rsidR="006930A2" w:rsidRDefault="006930A2" w:rsidP="004E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0FCA" w14:textId="77777777" w:rsidR="00A901B5" w:rsidRDefault="00A901B5">
    <w:pPr>
      <w:jc w:val="center"/>
    </w:pPr>
    <w:r>
      <w:fldChar w:fldCharType="begin"/>
    </w:r>
    <w:r>
      <w:instrText>PAGE   \* MERGEFORMAT</w:instrText>
    </w:r>
    <w:r>
      <w:fldChar w:fldCharType="separate"/>
    </w:r>
    <w:r>
      <w:rPr>
        <w:noProof/>
      </w:rPr>
      <w:t>1</w:t>
    </w:r>
    <w:r>
      <w:fldChar w:fldCharType="end"/>
    </w:r>
  </w:p>
  <w:p w14:paraId="06FDACFA" w14:textId="77777777" w:rsidR="00A901B5" w:rsidRDefault="00A901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2"/>
      </w:rPr>
      <w:id w:val="1015272007"/>
      <w:docPartObj>
        <w:docPartGallery w:val="Page Numbers (Bottom of Page)"/>
        <w:docPartUnique/>
      </w:docPartObj>
    </w:sdtPr>
    <w:sdtEndPr>
      <w:rPr>
        <w:sz w:val="18"/>
        <w:szCs w:val="20"/>
      </w:rPr>
    </w:sdtEndPr>
    <w:sdtContent>
      <w:p w14:paraId="504B8203" w14:textId="77777777" w:rsidR="008A5A8C" w:rsidRPr="00661AA1" w:rsidRDefault="008A5A8C">
        <w:pPr>
          <w:pStyle w:val="Zpat"/>
          <w:jc w:val="center"/>
          <w:rPr>
            <w:sz w:val="18"/>
            <w:szCs w:val="20"/>
          </w:rPr>
        </w:pPr>
        <w:r w:rsidRPr="00661AA1">
          <w:rPr>
            <w:sz w:val="18"/>
            <w:szCs w:val="20"/>
          </w:rPr>
          <w:fldChar w:fldCharType="begin"/>
        </w:r>
        <w:r w:rsidRPr="00661AA1">
          <w:rPr>
            <w:sz w:val="18"/>
            <w:szCs w:val="20"/>
          </w:rPr>
          <w:instrText>PAGE   \* MERGEFORMAT</w:instrText>
        </w:r>
        <w:r w:rsidRPr="00661AA1">
          <w:rPr>
            <w:sz w:val="18"/>
            <w:szCs w:val="20"/>
          </w:rPr>
          <w:fldChar w:fldCharType="separate"/>
        </w:r>
        <w:r w:rsidRPr="00661AA1">
          <w:rPr>
            <w:sz w:val="18"/>
            <w:szCs w:val="20"/>
          </w:rPr>
          <w:t>2</w:t>
        </w:r>
        <w:r w:rsidRPr="00661AA1">
          <w:rPr>
            <w:sz w:val="18"/>
            <w:szCs w:val="20"/>
          </w:rPr>
          <w:fldChar w:fldCharType="end"/>
        </w:r>
      </w:p>
    </w:sdtContent>
  </w:sdt>
  <w:p w14:paraId="7BC7953D" w14:textId="77777777" w:rsidR="008A5A8C" w:rsidRDefault="008A5A8C" w:rsidP="11DD05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2A4D" w14:textId="77777777" w:rsidR="006930A2" w:rsidRDefault="006930A2" w:rsidP="004E3AB5">
      <w:r>
        <w:separator/>
      </w:r>
    </w:p>
  </w:footnote>
  <w:footnote w:type="continuationSeparator" w:id="0">
    <w:p w14:paraId="426550D3" w14:textId="77777777" w:rsidR="006930A2" w:rsidRDefault="006930A2" w:rsidP="004E3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8"/>
      <w:gridCol w:w="338"/>
      <w:gridCol w:w="7316"/>
    </w:tblGrid>
    <w:tr w:rsidR="001178A9" w:rsidRPr="001178A9" w14:paraId="68D6D798" w14:textId="77777777" w:rsidTr="00A165C6">
      <w:trPr>
        <w:trHeight w:val="1129"/>
      </w:trPr>
      <w:tc>
        <w:tcPr>
          <w:tcW w:w="1470" w:type="dxa"/>
          <w:tcBorders>
            <w:top w:val="nil"/>
            <w:left w:val="nil"/>
            <w:bottom w:val="nil"/>
            <w:right w:val="nil"/>
          </w:tcBorders>
          <w:hideMark/>
        </w:tcPr>
        <w:p w14:paraId="1A2A35FB" w14:textId="77923BF3" w:rsidR="001178A9" w:rsidRPr="001178A9" w:rsidRDefault="001178A9" w:rsidP="001178A9">
          <w:pPr>
            <w:tabs>
              <w:tab w:val="center" w:pos="4536"/>
              <w:tab w:val="right" w:pos="9072"/>
            </w:tabs>
            <w:ind w:left="250" w:right="24" w:firstLine="9"/>
            <w:jc w:val="both"/>
            <w:rPr>
              <w:rFonts w:eastAsia="Times New Roman"/>
              <w:color w:val="000000"/>
              <w:kern w:val="2"/>
              <w:sz w:val="22"/>
              <w:lang w:eastAsia="cs-CZ"/>
              <w14:ligatures w14:val="standardContextual"/>
            </w:rPr>
          </w:pPr>
          <w:r w:rsidRPr="001178A9">
            <w:rPr>
              <w:rFonts w:eastAsia="Times New Roman"/>
              <w:noProof/>
              <w:color w:val="000000"/>
              <w:kern w:val="2"/>
              <w:sz w:val="22"/>
              <w:lang w:eastAsia="cs-CZ"/>
              <w14:ligatures w14:val="standardContextual"/>
            </w:rPr>
            <w:drawing>
              <wp:inline distT="0" distB="0" distL="0" distR="0" wp14:anchorId="1BE2487D" wp14:editId="5303A126">
                <wp:extent cx="800100" cy="647700"/>
                <wp:effectExtent l="0" t="0" r="0" b="0"/>
                <wp:docPr id="77618113" name="Obrázek 4" descr="Obsah obrázku text, Písmo, symbol, logo&#10;&#10;Obsah generovaný pomocí AI může být nesprávný.">
                  <a:extLst xmlns:a="http://schemas.openxmlformats.org/drawingml/2006/main">
                    <a:ext uri="{FF2B5EF4-FFF2-40B4-BE49-F238E27FC236}">
                      <a16:creationId xmlns:a16="http://schemas.microsoft.com/office/drawing/2014/main" id="{088D2166-0E29-4DE6-B673-82EB92AA11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67403" name="Picture 16" descr="Obsah obrázku text, Písmo, symbol,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47700"/>
                        </a:xfrm>
                        <a:prstGeom prst="rect">
                          <a:avLst/>
                        </a:prstGeom>
                        <a:noFill/>
                        <a:ln>
                          <a:noFill/>
                        </a:ln>
                      </pic:spPr>
                    </pic:pic>
                  </a:graphicData>
                </a:graphic>
              </wp:inline>
            </w:drawing>
          </w:r>
          <w:r w:rsidRPr="001178A9">
            <w:rPr>
              <w:rFonts w:eastAsia="Times New Roman"/>
              <w:color w:val="000000"/>
              <w:kern w:val="2"/>
              <w:sz w:val="22"/>
              <w:lang w:eastAsia="cs-CZ"/>
              <w14:ligatures w14:val="standardContextual"/>
            </w:rPr>
            <w:t> </w:t>
          </w:r>
        </w:p>
      </w:tc>
      <w:tc>
        <w:tcPr>
          <w:tcW w:w="255" w:type="dxa"/>
          <w:tcBorders>
            <w:top w:val="nil"/>
            <w:left w:val="nil"/>
            <w:bottom w:val="nil"/>
            <w:right w:val="nil"/>
          </w:tcBorders>
          <w:hideMark/>
        </w:tcPr>
        <w:p w14:paraId="60659F38" w14:textId="77777777" w:rsidR="001178A9" w:rsidRPr="001178A9" w:rsidRDefault="001178A9" w:rsidP="001178A9">
          <w:pPr>
            <w:tabs>
              <w:tab w:val="center" w:pos="4536"/>
              <w:tab w:val="right" w:pos="9072"/>
            </w:tabs>
            <w:ind w:left="250" w:right="24" w:firstLine="9"/>
            <w:jc w:val="both"/>
            <w:rPr>
              <w:rFonts w:eastAsia="Times New Roman"/>
              <w:color w:val="000000"/>
              <w:kern w:val="2"/>
              <w:sz w:val="22"/>
              <w:lang w:eastAsia="cs-CZ"/>
              <w14:ligatures w14:val="standardContextual"/>
            </w:rPr>
          </w:pPr>
          <w:r w:rsidRPr="001178A9">
            <w:rPr>
              <w:rFonts w:eastAsia="Times New Roman"/>
              <w:color w:val="000000"/>
              <w:kern w:val="2"/>
              <w:sz w:val="22"/>
              <w:lang w:eastAsia="cs-CZ"/>
              <w14:ligatures w14:val="standardContextual"/>
            </w:rPr>
            <w:t> </w:t>
          </w:r>
        </w:p>
      </w:tc>
      <w:tc>
        <w:tcPr>
          <w:tcW w:w="8355" w:type="dxa"/>
          <w:tcBorders>
            <w:top w:val="nil"/>
            <w:left w:val="nil"/>
            <w:bottom w:val="nil"/>
            <w:right w:val="nil"/>
          </w:tcBorders>
          <w:hideMark/>
        </w:tcPr>
        <w:p w14:paraId="359A1AA9" w14:textId="77777777" w:rsidR="001178A9" w:rsidRPr="001178A9" w:rsidRDefault="001178A9" w:rsidP="001178A9">
          <w:pPr>
            <w:tabs>
              <w:tab w:val="center" w:pos="4536"/>
              <w:tab w:val="right" w:pos="9072"/>
            </w:tabs>
            <w:ind w:left="250" w:right="24" w:firstLine="9"/>
            <w:jc w:val="both"/>
            <w:rPr>
              <w:rFonts w:eastAsia="Times New Roman"/>
              <w:color w:val="000000"/>
              <w:kern w:val="2"/>
              <w:sz w:val="22"/>
              <w:lang w:eastAsia="cs-CZ"/>
              <w14:ligatures w14:val="standardContextual"/>
            </w:rPr>
          </w:pPr>
          <w:r w:rsidRPr="001178A9">
            <w:rPr>
              <w:rFonts w:eastAsia="Times New Roman"/>
              <w:color w:val="000000"/>
              <w:kern w:val="2"/>
              <w:sz w:val="22"/>
              <w:lang w:eastAsia="cs-CZ"/>
              <w14:ligatures w14:val="standardContextual"/>
            </w:rPr>
            <w:t> </w:t>
          </w:r>
        </w:p>
        <w:p w14:paraId="6134D09A" w14:textId="2F217492" w:rsidR="001178A9" w:rsidRPr="0092539A" w:rsidRDefault="001178A9" w:rsidP="0092539A">
          <w:pPr>
            <w:ind w:left="3207" w:right="3" w:firstLine="9"/>
            <w:jc w:val="right"/>
            <w:rPr>
              <w:rFonts w:eastAsia="Times New Roman"/>
              <w:b/>
              <w:bCs/>
              <w:color w:val="1F4E79"/>
              <w:kern w:val="2"/>
              <w:sz w:val="18"/>
              <w:szCs w:val="18"/>
              <w:lang w:eastAsia="cs-CZ"/>
              <w14:ligatures w14:val="standardContextual"/>
            </w:rPr>
          </w:pPr>
          <w:r w:rsidRPr="001178A9">
            <w:rPr>
              <w:rFonts w:eastAsia="Times New Roman"/>
              <w:b/>
              <w:bCs/>
              <w:color w:val="1F4E79"/>
              <w:kern w:val="2"/>
              <w:sz w:val="18"/>
              <w:szCs w:val="18"/>
              <w:lang w:eastAsia="cs-CZ"/>
              <w14:ligatures w14:val="standardContextual"/>
            </w:rPr>
            <w:t>Smlouva</w:t>
          </w:r>
          <w:r w:rsidR="00B95530">
            <w:rPr>
              <w:rFonts w:eastAsia="Times New Roman"/>
              <w:b/>
              <w:bCs/>
              <w:color w:val="1F4E79"/>
              <w:kern w:val="2"/>
              <w:sz w:val="18"/>
              <w:szCs w:val="18"/>
              <w:lang w:eastAsia="cs-CZ"/>
              <w14:ligatures w14:val="standardContextual"/>
            </w:rPr>
            <w:t xml:space="preserve"> </w:t>
          </w:r>
          <w:r w:rsidR="00B95530" w:rsidRPr="00B95530">
            <w:rPr>
              <w:rFonts w:eastAsia="Times New Roman"/>
              <w:b/>
              <w:bCs/>
              <w:color w:val="1F4E79"/>
              <w:kern w:val="2"/>
              <w:sz w:val="18"/>
              <w:szCs w:val="18"/>
              <w:lang w:eastAsia="cs-CZ"/>
              <w14:ligatures w14:val="standardContextual"/>
            </w:rPr>
            <w:t>o spolupráci při zajištění rekonstrukce prostor v areálu Fakultní Thomayerovy nemocnice</w:t>
          </w:r>
          <w:r w:rsidRPr="001178A9">
            <w:rPr>
              <w:rFonts w:eastAsia="Times New Roman"/>
              <w:b/>
              <w:bCs/>
              <w:color w:val="1F4E79"/>
              <w:kern w:val="2"/>
              <w:sz w:val="18"/>
              <w:szCs w:val="18"/>
              <w:lang w:eastAsia="cs-CZ"/>
              <w14:ligatures w14:val="standardContextual"/>
            </w:rPr>
            <w:t xml:space="preserve"> </w:t>
          </w:r>
        </w:p>
        <w:p w14:paraId="42337E89" w14:textId="77777777" w:rsidR="001178A9" w:rsidRPr="001178A9" w:rsidRDefault="001178A9" w:rsidP="001178A9">
          <w:pPr>
            <w:tabs>
              <w:tab w:val="center" w:pos="4536"/>
              <w:tab w:val="right" w:pos="9072"/>
            </w:tabs>
            <w:ind w:left="250" w:right="24" w:firstLine="9"/>
            <w:jc w:val="both"/>
            <w:rPr>
              <w:rFonts w:eastAsia="Times New Roman"/>
              <w:color w:val="000000"/>
              <w:kern w:val="2"/>
              <w:sz w:val="22"/>
              <w:lang w:eastAsia="cs-CZ"/>
              <w14:ligatures w14:val="standardContextual"/>
            </w:rPr>
          </w:pPr>
          <w:r w:rsidRPr="001178A9">
            <w:rPr>
              <w:rFonts w:eastAsia="Times New Roman"/>
              <w:color w:val="000000"/>
              <w:kern w:val="2"/>
              <w:sz w:val="22"/>
              <w:lang w:eastAsia="cs-CZ"/>
              <w14:ligatures w14:val="standardContextual"/>
            </w:rPr>
            <w:t> </w:t>
          </w:r>
        </w:p>
        <w:p w14:paraId="4C8A1866" w14:textId="77777777" w:rsidR="001178A9" w:rsidRPr="001178A9" w:rsidRDefault="001178A9" w:rsidP="001178A9">
          <w:pPr>
            <w:tabs>
              <w:tab w:val="center" w:pos="4536"/>
              <w:tab w:val="right" w:pos="9072"/>
            </w:tabs>
            <w:ind w:left="250" w:right="24" w:firstLine="9"/>
            <w:jc w:val="both"/>
            <w:rPr>
              <w:rFonts w:eastAsia="Times New Roman"/>
              <w:color w:val="000000"/>
              <w:kern w:val="2"/>
              <w:sz w:val="22"/>
              <w:lang w:eastAsia="cs-CZ"/>
              <w14:ligatures w14:val="standardContextual"/>
            </w:rPr>
          </w:pPr>
          <w:r w:rsidRPr="001178A9">
            <w:rPr>
              <w:rFonts w:eastAsia="Times New Roman"/>
              <w:color w:val="000000"/>
              <w:kern w:val="2"/>
              <w:sz w:val="22"/>
              <w:lang w:eastAsia="cs-CZ"/>
              <w14:ligatures w14:val="standardContextual"/>
            </w:rPr>
            <w:t> </w:t>
          </w:r>
        </w:p>
      </w:tc>
    </w:tr>
  </w:tbl>
  <w:p w14:paraId="06E8D68B" w14:textId="1619A1B0" w:rsidR="00E13BF9" w:rsidRDefault="00E13BF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0437" w14:textId="20208395" w:rsidR="008A5A8C" w:rsidRDefault="008A5A8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21CC" w14:textId="12C9E37E" w:rsidR="008A5A8C" w:rsidRDefault="008A5A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15:restartNumberingAfterBreak="0">
    <w:nsid w:val="01E3212E"/>
    <w:multiLevelType w:val="hybridMultilevel"/>
    <w:tmpl w:val="48E28188"/>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DC61B0"/>
    <w:multiLevelType w:val="hybridMultilevel"/>
    <w:tmpl w:val="C95EBE64"/>
    <w:lvl w:ilvl="0" w:tplc="FFFFFFFF">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 w15:restartNumberingAfterBreak="0">
    <w:nsid w:val="04C65D9F"/>
    <w:multiLevelType w:val="multilevel"/>
    <w:tmpl w:val="B5AACE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63E37F7"/>
    <w:multiLevelType w:val="hybridMultilevel"/>
    <w:tmpl w:val="71FC33A0"/>
    <w:lvl w:ilvl="0" w:tplc="BF7A23FE">
      <w:start w:val="9"/>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CB2F04"/>
    <w:multiLevelType w:val="hybridMultilevel"/>
    <w:tmpl w:val="AC142F1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FB41EAA"/>
    <w:multiLevelType w:val="hybridMultilevel"/>
    <w:tmpl w:val="48E28188"/>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0973372"/>
    <w:multiLevelType w:val="hybridMultilevel"/>
    <w:tmpl w:val="AA6E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450A0C"/>
    <w:multiLevelType w:val="hybridMultilevel"/>
    <w:tmpl w:val="2F7280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4D7EBF"/>
    <w:multiLevelType w:val="hybridMultilevel"/>
    <w:tmpl w:val="E376E1E0"/>
    <w:lvl w:ilvl="0" w:tplc="3B0A60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F2E4DCE"/>
    <w:multiLevelType w:val="hybridMultilevel"/>
    <w:tmpl w:val="F66AC64E"/>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0AB059F"/>
    <w:multiLevelType w:val="hybridMultilevel"/>
    <w:tmpl w:val="8B44534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7325CF"/>
    <w:multiLevelType w:val="hybridMultilevel"/>
    <w:tmpl w:val="6C0A1D2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8BB105C"/>
    <w:multiLevelType w:val="hybridMultilevel"/>
    <w:tmpl w:val="FFFFFFFF"/>
    <w:lvl w:ilvl="0" w:tplc="5F800524">
      <w:start w:val="1"/>
      <w:numFmt w:val="decimal"/>
      <w:lvlText w:val="%1."/>
      <w:lvlJc w:val="left"/>
      <w:pPr>
        <w:ind w:left="720" w:hanging="360"/>
      </w:pPr>
    </w:lvl>
    <w:lvl w:ilvl="1" w:tplc="B58E92FC">
      <w:start w:val="1"/>
      <w:numFmt w:val="lowerLetter"/>
      <w:lvlText w:val="%2."/>
      <w:lvlJc w:val="left"/>
      <w:pPr>
        <w:ind w:left="1440" w:hanging="360"/>
      </w:pPr>
    </w:lvl>
    <w:lvl w:ilvl="2" w:tplc="707812D0">
      <w:start w:val="1"/>
      <w:numFmt w:val="lowerRoman"/>
      <w:lvlText w:val="%3."/>
      <w:lvlJc w:val="right"/>
      <w:pPr>
        <w:ind w:left="2160" w:hanging="180"/>
      </w:pPr>
    </w:lvl>
    <w:lvl w:ilvl="3" w:tplc="24C04916">
      <w:start w:val="1"/>
      <w:numFmt w:val="decimal"/>
      <w:lvlText w:val="%4."/>
      <w:lvlJc w:val="left"/>
      <w:pPr>
        <w:ind w:left="2880" w:hanging="360"/>
      </w:pPr>
    </w:lvl>
    <w:lvl w:ilvl="4" w:tplc="487E8C96">
      <w:start w:val="1"/>
      <w:numFmt w:val="lowerLetter"/>
      <w:lvlText w:val="%5."/>
      <w:lvlJc w:val="left"/>
      <w:pPr>
        <w:ind w:left="3600" w:hanging="360"/>
      </w:pPr>
    </w:lvl>
    <w:lvl w:ilvl="5" w:tplc="C2B4FDB0">
      <w:start w:val="1"/>
      <w:numFmt w:val="lowerRoman"/>
      <w:lvlText w:val="%6."/>
      <w:lvlJc w:val="right"/>
      <w:pPr>
        <w:ind w:left="4320" w:hanging="180"/>
      </w:pPr>
    </w:lvl>
    <w:lvl w:ilvl="6" w:tplc="E69ECFF4">
      <w:start w:val="1"/>
      <w:numFmt w:val="decimal"/>
      <w:lvlText w:val="%7."/>
      <w:lvlJc w:val="left"/>
      <w:pPr>
        <w:ind w:left="5040" w:hanging="360"/>
      </w:pPr>
    </w:lvl>
    <w:lvl w:ilvl="7" w:tplc="3C5018A6">
      <w:start w:val="1"/>
      <w:numFmt w:val="lowerLetter"/>
      <w:lvlText w:val="%8."/>
      <w:lvlJc w:val="left"/>
      <w:pPr>
        <w:ind w:left="5760" w:hanging="360"/>
      </w:pPr>
    </w:lvl>
    <w:lvl w:ilvl="8" w:tplc="0E58AA50">
      <w:start w:val="1"/>
      <w:numFmt w:val="lowerRoman"/>
      <w:lvlText w:val="%9."/>
      <w:lvlJc w:val="right"/>
      <w:pPr>
        <w:ind w:left="6480" w:hanging="180"/>
      </w:pPr>
    </w:lvl>
  </w:abstractNum>
  <w:abstractNum w:abstractNumId="14" w15:restartNumberingAfterBreak="0">
    <w:nsid w:val="28C138FA"/>
    <w:multiLevelType w:val="hybridMultilevel"/>
    <w:tmpl w:val="8E561FD4"/>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8FA4B57"/>
    <w:multiLevelType w:val="hybridMultilevel"/>
    <w:tmpl w:val="47DE7C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22216C"/>
    <w:multiLevelType w:val="hybridMultilevel"/>
    <w:tmpl w:val="B60C88AE"/>
    <w:lvl w:ilvl="0" w:tplc="7A6058D4">
      <w:start w:val="1"/>
      <w:numFmt w:val="bullet"/>
      <w:lvlText w:val=""/>
      <w:lvlJc w:val="left"/>
      <w:pPr>
        <w:ind w:left="815" w:hanging="360"/>
      </w:pPr>
      <w:rPr>
        <w:rFonts w:ascii="Symbol" w:hAnsi="Symbol" w:hint="default"/>
      </w:rPr>
    </w:lvl>
    <w:lvl w:ilvl="1" w:tplc="04050003" w:tentative="1">
      <w:start w:val="1"/>
      <w:numFmt w:val="bullet"/>
      <w:lvlText w:val="o"/>
      <w:lvlJc w:val="left"/>
      <w:pPr>
        <w:ind w:left="1109" w:hanging="360"/>
      </w:pPr>
      <w:rPr>
        <w:rFonts w:ascii="Courier New" w:hAnsi="Courier New" w:cs="Courier New" w:hint="default"/>
      </w:rPr>
    </w:lvl>
    <w:lvl w:ilvl="2" w:tplc="04050005" w:tentative="1">
      <w:start w:val="1"/>
      <w:numFmt w:val="bullet"/>
      <w:lvlText w:val=""/>
      <w:lvlJc w:val="left"/>
      <w:pPr>
        <w:ind w:left="1829" w:hanging="360"/>
      </w:pPr>
      <w:rPr>
        <w:rFonts w:ascii="Wingdings" w:hAnsi="Wingdings" w:hint="default"/>
      </w:rPr>
    </w:lvl>
    <w:lvl w:ilvl="3" w:tplc="04050001" w:tentative="1">
      <w:start w:val="1"/>
      <w:numFmt w:val="bullet"/>
      <w:lvlText w:val=""/>
      <w:lvlJc w:val="left"/>
      <w:pPr>
        <w:ind w:left="2549" w:hanging="360"/>
      </w:pPr>
      <w:rPr>
        <w:rFonts w:ascii="Symbol" w:hAnsi="Symbol" w:hint="default"/>
      </w:rPr>
    </w:lvl>
    <w:lvl w:ilvl="4" w:tplc="04050003" w:tentative="1">
      <w:start w:val="1"/>
      <w:numFmt w:val="bullet"/>
      <w:lvlText w:val="o"/>
      <w:lvlJc w:val="left"/>
      <w:pPr>
        <w:ind w:left="3269" w:hanging="360"/>
      </w:pPr>
      <w:rPr>
        <w:rFonts w:ascii="Courier New" w:hAnsi="Courier New" w:cs="Courier New" w:hint="default"/>
      </w:rPr>
    </w:lvl>
    <w:lvl w:ilvl="5" w:tplc="04050005" w:tentative="1">
      <w:start w:val="1"/>
      <w:numFmt w:val="bullet"/>
      <w:lvlText w:val=""/>
      <w:lvlJc w:val="left"/>
      <w:pPr>
        <w:ind w:left="3989" w:hanging="360"/>
      </w:pPr>
      <w:rPr>
        <w:rFonts w:ascii="Wingdings" w:hAnsi="Wingdings" w:hint="default"/>
      </w:rPr>
    </w:lvl>
    <w:lvl w:ilvl="6" w:tplc="04050001" w:tentative="1">
      <w:start w:val="1"/>
      <w:numFmt w:val="bullet"/>
      <w:lvlText w:val=""/>
      <w:lvlJc w:val="left"/>
      <w:pPr>
        <w:ind w:left="4709" w:hanging="360"/>
      </w:pPr>
      <w:rPr>
        <w:rFonts w:ascii="Symbol" w:hAnsi="Symbol" w:hint="default"/>
      </w:rPr>
    </w:lvl>
    <w:lvl w:ilvl="7" w:tplc="04050003" w:tentative="1">
      <w:start w:val="1"/>
      <w:numFmt w:val="bullet"/>
      <w:lvlText w:val="o"/>
      <w:lvlJc w:val="left"/>
      <w:pPr>
        <w:ind w:left="5429" w:hanging="360"/>
      </w:pPr>
      <w:rPr>
        <w:rFonts w:ascii="Courier New" w:hAnsi="Courier New" w:cs="Courier New" w:hint="default"/>
      </w:rPr>
    </w:lvl>
    <w:lvl w:ilvl="8" w:tplc="04050005" w:tentative="1">
      <w:start w:val="1"/>
      <w:numFmt w:val="bullet"/>
      <w:lvlText w:val=""/>
      <w:lvlJc w:val="left"/>
      <w:pPr>
        <w:ind w:left="6149" w:hanging="360"/>
      </w:pPr>
      <w:rPr>
        <w:rFonts w:ascii="Wingdings" w:hAnsi="Wingdings" w:hint="default"/>
      </w:rPr>
    </w:lvl>
  </w:abstractNum>
  <w:abstractNum w:abstractNumId="17" w15:restartNumberingAfterBreak="0">
    <w:nsid w:val="2B97788A"/>
    <w:multiLevelType w:val="hybridMultilevel"/>
    <w:tmpl w:val="E9283606"/>
    <w:lvl w:ilvl="0" w:tplc="FFFFFFFF">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8" w15:restartNumberingAfterBreak="0">
    <w:nsid w:val="2C835C9B"/>
    <w:multiLevelType w:val="hybridMultilevel"/>
    <w:tmpl w:val="D0D2A1FA"/>
    <w:lvl w:ilvl="0" w:tplc="74543F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202FB3"/>
    <w:multiLevelType w:val="hybridMultilevel"/>
    <w:tmpl w:val="4854295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499082C"/>
    <w:multiLevelType w:val="hybridMultilevel"/>
    <w:tmpl w:val="4D8AFF34"/>
    <w:lvl w:ilvl="0" w:tplc="74543F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2334ED"/>
    <w:multiLevelType w:val="hybridMultilevel"/>
    <w:tmpl w:val="2BD85C0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5402056"/>
    <w:multiLevelType w:val="hybridMultilevel"/>
    <w:tmpl w:val="67F24F74"/>
    <w:lvl w:ilvl="0" w:tplc="B47EDEC0">
      <w:start w:val="1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CC04F9"/>
    <w:multiLevelType w:val="hybridMultilevel"/>
    <w:tmpl w:val="E794A624"/>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36115B24"/>
    <w:multiLevelType w:val="hybridMultilevel"/>
    <w:tmpl w:val="8E561FD4"/>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6615F87"/>
    <w:multiLevelType w:val="hybridMultilevel"/>
    <w:tmpl w:val="D1E86BD6"/>
    <w:lvl w:ilvl="0" w:tplc="5B706666">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8FE25EB"/>
    <w:multiLevelType w:val="multilevel"/>
    <w:tmpl w:val="A434F3E6"/>
    <w:lvl w:ilvl="0">
      <w:start w:val="10"/>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F427D69"/>
    <w:multiLevelType w:val="multilevel"/>
    <w:tmpl w:val="5EB6C9C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15:restartNumberingAfterBreak="0">
    <w:nsid w:val="410E7435"/>
    <w:multiLevelType w:val="hybridMultilevel"/>
    <w:tmpl w:val="E9283606"/>
    <w:lvl w:ilvl="0" w:tplc="FFFFFFFF">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9" w15:restartNumberingAfterBreak="0">
    <w:nsid w:val="42CE09FF"/>
    <w:multiLevelType w:val="hybridMultilevel"/>
    <w:tmpl w:val="BCB8761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53840C6"/>
    <w:multiLevelType w:val="hybridMultilevel"/>
    <w:tmpl w:val="E2CAEE1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12A6C05"/>
    <w:multiLevelType w:val="multilevel"/>
    <w:tmpl w:val="0405001D"/>
    <w:lvl w:ilvl="0">
      <w:start w:val="1"/>
      <w:numFmt w:val="decimal"/>
      <w:lvlText w:val="%1)"/>
      <w:lvlJc w:val="left"/>
      <w:pPr>
        <w:ind w:left="360" w:hanging="360"/>
      </w:pPr>
      <w:rPr>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7575BD9"/>
    <w:multiLevelType w:val="multilevel"/>
    <w:tmpl w:val="E7D68844"/>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3" w15:restartNumberingAfterBreak="0">
    <w:nsid w:val="596F30DD"/>
    <w:multiLevelType w:val="hybridMultilevel"/>
    <w:tmpl w:val="8E561FD4"/>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DE8613D"/>
    <w:multiLevelType w:val="hybridMultilevel"/>
    <w:tmpl w:val="48E28188"/>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EDF6608"/>
    <w:multiLevelType w:val="hybridMultilevel"/>
    <w:tmpl w:val="5CB2A4C4"/>
    <w:lvl w:ilvl="0" w:tplc="D62CEF98">
      <w:start w:val="18"/>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E336BD"/>
    <w:multiLevelType w:val="hybridMultilevel"/>
    <w:tmpl w:val="B6FE9DA6"/>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6A51D2A"/>
    <w:multiLevelType w:val="hybridMultilevel"/>
    <w:tmpl w:val="DE608350"/>
    <w:lvl w:ilvl="0" w:tplc="E4D2FB5E">
      <w:start w:val="3"/>
      <w:numFmt w:val="bullet"/>
      <w:lvlText w:val="-"/>
      <w:lvlJc w:val="left"/>
      <w:pPr>
        <w:ind w:left="1068" w:hanging="360"/>
      </w:pPr>
      <w:rPr>
        <w:rFonts w:ascii="Times New Roman" w:eastAsia="SimSu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66D12EF1"/>
    <w:multiLevelType w:val="hybridMultilevel"/>
    <w:tmpl w:val="48E28188"/>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8D155F5"/>
    <w:multiLevelType w:val="hybridMultilevel"/>
    <w:tmpl w:val="9A90EAC6"/>
    <w:lvl w:ilvl="0" w:tplc="85E29930">
      <w:start w:val="1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076360"/>
    <w:multiLevelType w:val="hybridMultilevel"/>
    <w:tmpl w:val="00C4B6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BD937EA"/>
    <w:multiLevelType w:val="hybridMultilevel"/>
    <w:tmpl w:val="DD7450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C135313"/>
    <w:multiLevelType w:val="hybridMultilevel"/>
    <w:tmpl w:val="48E28188"/>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3223527"/>
    <w:multiLevelType w:val="hybridMultilevel"/>
    <w:tmpl w:val="48E28188"/>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4AC3116"/>
    <w:multiLevelType w:val="hybridMultilevel"/>
    <w:tmpl w:val="48E28188"/>
    <w:lvl w:ilvl="0" w:tplc="AD0C542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E94F2A"/>
    <w:multiLevelType w:val="hybridMultilevel"/>
    <w:tmpl w:val="8E561FD4"/>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5EB00C0"/>
    <w:multiLevelType w:val="hybridMultilevel"/>
    <w:tmpl w:val="81FAE86A"/>
    <w:lvl w:ilvl="0" w:tplc="8A8467EE">
      <w:start w:val="16"/>
      <w:numFmt w:val="bullet"/>
      <w:lvlText w:val="-"/>
      <w:lvlJc w:val="left"/>
      <w:pPr>
        <w:ind w:left="786" w:hanging="360"/>
      </w:pPr>
      <w:rPr>
        <w:rFonts w:ascii="Times New Roman" w:eastAsia="SimSu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7" w15:restartNumberingAfterBreak="0">
    <w:nsid w:val="76AC6B54"/>
    <w:multiLevelType w:val="hybridMultilevel"/>
    <w:tmpl w:val="7B6438D6"/>
    <w:lvl w:ilvl="0" w:tplc="8998ED56">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99A5E16"/>
    <w:multiLevelType w:val="hybridMultilevel"/>
    <w:tmpl w:val="8E561FD4"/>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C5A5A30"/>
    <w:multiLevelType w:val="hybridMultilevel"/>
    <w:tmpl w:val="48E28188"/>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F511FC8"/>
    <w:multiLevelType w:val="hybridMultilevel"/>
    <w:tmpl w:val="D1928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9107396">
    <w:abstractNumId w:val="8"/>
  </w:num>
  <w:num w:numId="2" w16cid:durableId="1156335284">
    <w:abstractNumId w:val="42"/>
  </w:num>
  <w:num w:numId="3" w16cid:durableId="1166749544">
    <w:abstractNumId w:val="1"/>
  </w:num>
  <w:num w:numId="4" w16cid:durableId="1241672554">
    <w:abstractNumId w:val="24"/>
  </w:num>
  <w:num w:numId="5" w16cid:durableId="1332484376">
    <w:abstractNumId w:val="48"/>
  </w:num>
  <w:num w:numId="6" w16cid:durableId="1374505020">
    <w:abstractNumId w:val="17"/>
  </w:num>
  <w:num w:numId="7" w16cid:durableId="1477842075">
    <w:abstractNumId w:val="47"/>
  </w:num>
  <w:num w:numId="8" w16cid:durableId="1480999896">
    <w:abstractNumId w:val="14"/>
  </w:num>
  <w:num w:numId="9" w16cid:durableId="1491172132">
    <w:abstractNumId w:val="36"/>
  </w:num>
  <w:num w:numId="10" w16cid:durableId="1515778">
    <w:abstractNumId w:val="50"/>
  </w:num>
  <w:num w:numId="11" w16cid:durableId="1526795817">
    <w:abstractNumId w:val="33"/>
  </w:num>
  <w:num w:numId="12" w16cid:durableId="1637492846">
    <w:abstractNumId w:val="15"/>
  </w:num>
  <w:num w:numId="13" w16cid:durableId="184489489">
    <w:abstractNumId w:val="46"/>
  </w:num>
  <w:num w:numId="14" w16cid:durableId="1850487564">
    <w:abstractNumId w:val="13"/>
  </w:num>
  <w:num w:numId="15" w16cid:durableId="1991669641">
    <w:abstractNumId w:val="12"/>
  </w:num>
  <w:num w:numId="16" w16cid:durableId="2006933373">
    <w:abstractNumId w:val="10"/>
  </w:num>
  <w:num w:numId="17" w16cid:durableId="2007174062">
    <w:abstractNumId w:val="28"/>
  </w:num>
  <w:num w:numId="18" w16cid:durableId="2035568862">
    <w:abstractNumId w:val="11"/>
  </w:num>
  <w:num w:numId="19" w16cid:durableId="2146703706">
    <w:abstractNumId w:val="6"/>
  </w:num>
  <w:num w:numId="20" w16cid:durableId="310907174">
    <w:abstractNumId w:val="40"/>
  </w:num>
  <w:num w:numId="21" w16cid:durableId="316423906">
    <w:abstractNumId w:val="20"/>
  </w:num>
  <w:num w:numId="22" w16cid:durableId="378742970">
    <w:abstractNumId w:val="21"/>
  </w:num>
  <w:num w:numId="23" w16cid:durableId="450711550">
    <w:abstractNumId w:val="38"/>
  </w:num>
  <w:num w:numId="24" w16cid:durableId="539393720">
    <w:abstractNumId w:val="29"/>
  </w:num>
  <w:num w:numId="25" w16cid:durableId="578176700">
    <w:abstractNumId w:val="37"/>
  </w:num>
  <w:num w:numId="26" w16cid:durableId="821459194">
    <w:abstractNumId w:val="44"/>
  </w:num>
  <w:num w:numId="27" w16cid:durableId="835148005">
    <w:abstractNumId w:val="9"/>
  </w:num>
  <w:num w:numId="28" w16cid:durableId="843939119">
    <w:abstractNumId w:val="49"/>
  </w:num>
  <w:num w:numId="29" w16cid:durableId="868488983">
    <w:abstractNumId w:val="2"/>
  </w:num>
  <w:num w:numId="30" w16cid:durableId="945845407">
    <w:abstractNumId w:val="45"/>
  </w:num>
  <w:num w:numId="31" w16cid:durableId="95027543">
    <w:abstractNumId w:val="43"/>
  </w:num>
  <w:num w:numId="32" w16cid:durableId="988093116">
    <w:abstractNumId w:val="34"/>
  </w:num>
  <w:num w:numId="33" w16cid:durableId="996147287">
    <w:abstractNumId w:val="18"/>
  </w:num>
  <w:num w:numId="34" w16cid:durableId="998801239">
    <w:abstractNumId w:val="7"/>
  </w:num>
  <w:num w:numId="35" w16cid:durableId="1423992546">
    <w:abstractNumId w:val="25"/>
  </w:num>
  <w:num w:numId="36" w16cid:durableId="1453555081">
    <w:abstractNumId w:val="32"/>
  </w:num>
  <w:num w:numId="37" w16cid:durableId="1692993538">
    <w:abstractNumId w:val="3"/>
  </w:num>
  <w:num w:numId="38" w16cid:durableId="2121148471">
    <w:abstractNumId w:val="27"/>
  </w:num>
  <w:num w:numId="39" w16cid:durableId="29644905">
    <w:abstractNumId w:val="31"/>
  </w:num>
  <w:num w:numId="40" w16cid:durableId="651102802">
    <w:abstractNumId w:val="16"/>
  </w:num>
  <w:num w:numId="41" w16cid:durableId="767502166">
    <w:abstractNumId w:val="30"/>
  </w:num>
  <w:num w:numId="42" w16cid:durableId="823937382">
    <w:abstractNumId w:val="5"/>
  </w:num>
  <w:num w:numId="43" w16cid:durableId="868298572">
    <w:abstractNumId w:val="23"/>
  </w:num>
  <w:num w:numId="44" w16cid:durableId="956372393">
    <w:abstractNumId w:val="19"/>
  </w:num>
  <w:num w:numId="45" w16cid:durableId="381292207">
    <w:abstractNumId w:val="4"/>
  </w:num>
  <w:num w:numId="46" w16cid:durableId="1050767946">
    <w:abstractNumId w:val="41"/>
  </w:num>
  <w:num w:numId="47" w16cid:durableId="288246399">
    <w:abstractNumId w:val="22"/>
  </w:num>
  <w:num w:numId="48" w16cid:durableId="677317998">
    <w:abstractNumId w:val="39"/>
  </w:num>
  <w:num w:numId="49" w16cid:durableId="226575109">
    <w:abstractNumId w:val="35"/>
  </w:num>
  <w:num w:numId="50" w16cid:durableId="88717985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49"/>
    <w:rsid w:val="0000336C"/>
    <w:rsid w:val="000033A4"/>
    <w:rsid w:val="000069E5"/>
    <w:rsid w:val="00007224"/>
    <w:rsid w:val="000107A2"/>
    <w:rsid w:val="00015215"/>
    <w:rsid w:val="00015340"/>
    <w:rsid w:val="00015E88"/>
    <w:rsid w:val="00021C39"/>
    <w:rsid w:val="00024066"/>
    <w:rsid w:val="00024BF7"/>
    <w:rsid w:val="00024C83"/>
    <w:rsid w:val="0003030C"/>
    <w:rsid w:val="000310D5"/>
    <w:rsid w:val="00033453"/>
    <w:rsid w:val="00034022"/>
    <w:rsid w:val="000345FE"/>
    <w:rsid w:val="00036005"/>
    <w:rsid w:val="00036D2F"/>
    <w:rsid w:val="00036ED7"/>
    <w:rsid w:val="00040853"/>
    <w:rsid w:val="00040C6F"/>
    <w:rsid w:val="000410CC"/>
    <w:rsid w:val="0004236A"/>
    <w:rsid w:val="00043432"/>
    <w:rsid w:val="00044CFE"/>
    <w:rsid w:val="000451AC"/>
    <w:rsid w:val="00051208"/>
    <w:rsid w:val="000536D6"/>
    <w:rsid w:val="0005391C"/>
    <w:rsid w:val="00056B8C"/>
    <w:rsid w:val="00063EC8"/>
    <w:rsid w:val="00064BA3"/>
    <w:rsid w:val="000651EF"/>
    <w:rsid w:val="0006687E"/>
    <w:rsid w:val="000668D7"/>
    <w:rsid w:val="00066A3B"/>
    <w:rsid w:val="000718E6"/>
    <w:rsid w:val="00071DD7"/>
    <w:rsid w:val="00072309"/>
    <w:rsid w:val="000731F8"/>
    <w:rsid w:val="000762A6"/>
    <w:rsid w:val="0007631C"/>
    <w:rsid w:val="00076CE4"/>
    <w:rsid w:val="000773D8"/>
    <w:rsid w:val="00084BE7"/>
    <w:rsid w:val="00087F09"/>
    <w:rsid w:val="0009091B"/>
    <w:rsid w:val="0009142D"/>
    <w:rsid w:val="00091440"/>
    <w:rsid w:val="00092490"/>
    <w:rsid w:val="000928CF"/>
    <w:rsid w:val="00092FD9"/>
    <w:rsid w:val="000941F2"/>
    <w:rsid w:val="000953D1"/>
    <w:rsid w:val="0009624D"/>
    <w:rsid w:val="000971AC"/>
    <w:rsid w:val="000A5BBD"/>
    <w:rsid w:val="000A5D4D"/>
    <w:rsid w:val="000A6B2D"/>
    <w:rsid w:val="000A7B11"/>
    <w:rsid w:val="000B1FE9"/>
    <w:rsid w:val="000B3F71"/>
    <w:rsid w:val="000B46B6"/>
    <w:rsid w:val="000B5595"/>
    <w:rsid w:val="000B6EF0"/>
    <w:rsid w:val="000B7CC4"/>
    <w:rsid w:val="000C0D5A"/>
    <w:rsid w:val="000C36D6"/>
    <w:rsid w:val="000C69DB"/>
    <w:rsid w:val="000C6F6B"/>
    <w:rsid w:val="000C7C6B"/>
    <w:rsid w:val="000D2884"/>
    <w:rsid w:val="000D395F"/>
    <w:rsid w:val="000D688C"/>
    <w:rsid w:val="000D68C5"/>
    <w:rsid w:val="000E1D0B"/>
    <w:rsid w:val="000E4D8B"/>
    <w:rsid w:val="000E5E02"/>
    <w:rsid w:val="000E7013"/>
    <w:rsid w:val="000F2799"/>
    <w:rsid w:val="000F38FD"/>
    <w:rsid w:val="000F590A"/>
    <w:rsid w:val="000F5B72"/>
    <w:rsid w:val="000F6216"/>
    <w:rsid w:val="000F6281"/>
    <w:rsid w:val="000F728F"/>
    <w:rsid w:val="000F7A6B"/>
    <w:rsid w:val="000F7ED2"/>
    <w:rsid w:val="00101244"/>
    <w:rsid w:val="00101FA1"/>
    <w:rsid w:val="00106C11"/>
    <w:rsid w:val="001102DE"/>
    <w:rsid w:val="001105B9"/>
    <w:rsid w:val="00110A68"/>
    <w:rsid w:val="00110B2C"/>
    <w:rsid w:val="001130DD"/>
    <w:rsid w:val="001136A0"/>
    <w:rsid w:val="00113A19"/>
    <w:rsid w:val="00115C10"/>
    <w:rsid w:val="001178A9"/>
    <w:rsid w:val="00121DB3"/>
    <w:rsid w:val="0012560F"/>
    <w:rsid w:val="00126AD0"/>
    <w:rsid w:val="0013287D"/>
    <w:rsid w:val="0013475A"/>
    <w:rsid w:val="00135B0E"/>
    <w:rsid w:val="00136E89"/>
    <w:rsid w:val="00137F73"/>
    <w:rsid w:val="001416D2"/>
    <w:rsid w:val="00141A17"/>
    <w:rsid w:val="001451A8"/>
    <w:rsid w:val="00146B72"/>
    <w:rsid w:val="00150073"/>
    <w:rsid w:val="00150E8F"/>
    <w:rsid w:val="0015200B"/>
    <w:rsid w:val="0015542E"/>
    <w:rsid w:val="00155D5D"/>
    <w:rsid w:val="0016171A"/>
    <w:rsid w:val="00161CD0"/>
    <w:rsid w:val="00162E28"/>
    <w:rsid w:val="001630D2"/>
    <w:rsid w:val="00163F2F"/>
    <w:rsid w:val="00170CF6"/>
    <w:rsid w:val="00171C45"/>
    <w:rsid w:val="0018147E"/>
    <w:rsid w:val="001817C2"/>
    <w:rsid w:val="001837A4"/>
    <w:rsid w:val="00184BD8"/>
    <w:rsid w:val="00184FF7"/>
    <w:rsid w:val="00187CC3"/>
    <w:rsid w:val="0019297B"/>
    <w:rsid w:val="001936A4"/>
    <w:rsid w:val="001939C8"/>
    <w:rsid w:val="00194851"/>
    <w:rsid w:val="001A1349"/>
    <w:rsid w:val="001A2E92"/>
    <w:rsid w:val="001A3265"/>
    <w:rsid w:val="001A6123"/>
    <w:rsid w:val="001C0084"/>
    <w:rsid w:val="001C1513"/>
    <w:rsid w:val="001C35C3"/>
    <w:rsid w:val="001C3C68"/>
    <w:rsid w:val="001C4A0A"/>
    <w:rsid w:val="001C5221"/>
    <w:rsid w:val="001C58EF"/>
    <w:rsid w:val="001C6392"/>
    <w:rsid w:val="001C6E2B"/>
    <w:rsid w:val="001D17CA"/>
    <w:rsid w:val="001D1D5E"/>
    <w:rsid w:val="001D51E1"/>
    <w:rsid w:val="001D6C38"/>
    <w:rsid w:val="001E276C"/>
    <w:rsid w:val="001E2951"/>
    <w:rsid w:val="001E6287"/>
    <w:rsid w:val="001E6882"/>
    <w:rsid w:val="001E762A"/>
    <w:rsid w:val="001E76A9"/>
    <w:rsid w:val="001F0519"/>
    <w:rsid w:val="001F1393"/>
    <w:rsid w:val="001F2223"/>
    <w:rsid w:val="001F2284"/>
    <w:rsid w:val="001F3065"/>
    <w:rsid w:val="001F4038"/>
    <w:rsid w:val="001F5311"/>
    <w:rsid w:val="001F5542"/>
    <w:rsid w:val="0020003A"/>
    <w:rsid w:val="002000D6"/>
    <w:rsid w:val="002031A4"/>
    <w:rsid w:val="0020537F"/>
    <w:rsid w:val="00205CFA"/>
    <w:rsid w:val="002063AE"/>
    <w:rsid w:val="00206D52"/>
    <w:rsid w:val="00206DF0"/>
    <w:rsid w:val="00211C7E"/>
    <w:rsid w:val="002144BF"/>
    <w:rsid w:val="00214BE4"/>
    <w:rsid w:val="00216EC4"/>
    <w:rsid w:val="00217F3C"/>
    <w:rsid w:val="00221BF7"/>
    <w:rsid w:val="002220CE"/>
    <w:rsid w:val="00222300"/>
    <w:rsid w:val="002244D0"/>
    <w:rsid w:val="002270F1"/>
    <w:rsid w:val="00230844"/>
    <w:rsid w:val="00232186"/>
    <w:rsid w:val="00232B94"/>
    <w:rsid w:val="0023730D"/>
    <w:rsid w:val="00237A5C"/>
    <w:rsid w:val="00240749"/>
    <w:rsid w:val="00241CEF"/>
    <w:rsid w:val="0024450A"/>
    <w:rsid w:val="0025192B"/>
    <w:rsid w:val="00253900"/>
    <w:rsid w:val="00257D0A"/>
    <w:rsid w:val="0026069B"/>
    <w:rsid w:val="00260968"/>
    <w:rsid w:val="00265A1A"/>
    <w:rsid w:val="00270A0B"/>
    <w:rsid w:val="0027158A"/>
    <w:rsid w:val="00275B0D"/>
    <w:rsid w:val="002766B3"/>
    <w:rsid w:val="002774D4"/>
    <w:rsid w:val="002775C1"/>
    <w:rsid w:val="00277D10"/>
    <w:rsid w:val="0028238B"/>
    <w:rsid w:val="00282CFD"/>
    <w:rsid w:val="00282DA6"/>
    <w:rsid w:val="00283FF7"/>
    <w:rsid w:val="00284C79"/>
    <w:rsid w:val="002856A6"/>
    <w:rsid w:val="00286042"/>
    <w:rsid w:val="00286B3D"/>
    <w:rsid w:val="00290EC3"/>
    <w:rsid w:val="0029251F"/>
    <w:rsid w:val="00294F4C"/>
    <w:rsid w:val="002950B9"/>
    <w:rsid w:val="002A2277"/>
    <w:rsid w:val="002A2442"/>
    <w:rsid w:val="002A3BB4"/>
    <w:rsid w:val="002A45F6"/>
    <w:rsid w:val="002A5703"/>
    <w:rsid w:val="002B2F91"/>
    <w:rsid w:val="002B7128"/>
    <w:rsid w:val="002B71C0"/>
    <w:rsid w:val="002B775B"/>
    <w:rsid w:val="002C0F70"/>
    <w:rsid w:val="002C465D"/>
    <w:rsid w:val="002C4AEC"/>
    <w:rsid w:val="002D03A1"/>
    <w:rsid w:val="002D0784"/>
    <w:rsid w:val="002D0B54"/>
    <w:rsid w:val="002D12A1"/>
    <w:rsid w:val="002D5588"/>
    <w:rsid w:val="002E580A"/>
    <w:rsid w:val="002E78D6"/>
    <w:rsid w:val="002E7C00"/>
    <w:rsid w:val="002F10FE"/>
    <w:rsid w:val="002F43FD"/>
    <w:rsid w:val="002F6DA1"/>
    <w:rsid w:val="00300A04"/>
    <w:rsid w:val="00301E16"/>
    <w:rsid w:val="003026E0"/>
    <w:rsid w:val="00302FBE"/>
    <w:rsid w:val="00303E8E"/>
    <w:rsid w:val="00305834"/>
    <w:rsid w:val="003075FB"/>
    <w:rsid w:val="003104F9"/>
    <w:rsid w:val="0031490E"/>
    <w:rsid w:val="003162F6"/>
    <w:rsid w:val="0031643E"/>
    <w:rsid w:val="003176E0"/>
    <w:rsid w:val="0032567C"/>
    <w:rsid w:val="003256D4"/>
    <w:rsid w:val="003264AF"/>
    <w:rsid w:val="0033414E"/>
    <w:rsid w:val="003341C6"/>
    <w:rsid w:val="00334264"/>
    <w:rsid w:val="00335D8E"/>
    <w:rsid w:val="00336BE6"/>
    <w:rsid w:val="00337615"/>
    <w:rsid w:val="003408AD"/>
    <w:rsid w:val="0034194C"/>
    <w:rsid w:val="00341B91"/>
    <w:rsid w:val="003459F4"/>
    <w:rsid w:val="003461D7"/>
    <w:rsid w:val="00346756"/>
    <w:rsid w:val="003523D0"/>
    <w:rsid w:val="0036095E"/>
    <w:rsid w:val="00360A09"/>
    <w:rsid w:val="0036561C"/>
    <w:rsid w:val="00366FF4"/>
    <w:rsid w:val="0037090A"/>
    <w:rsid w:val="00370BF8"/>
    <w:rsid w:val="0037130A"/>
    <w:rsid w:val="00371323"/>
    <w:rsid w:val="00372411"/>
    <w:rsid w:val="00375563"/>
    <w:rsid w:val="00376518"/>
    <w:rsid w:val="00380952"/>
    <w:rsid w:val="003837C2"/>
    <w:rsid w:val="0038407D"/>
    <w:rsid w:val="00386E1B"/>
    <w:rsid w:val="00387F37"/>
    <w:rsid w:val="00391343"/>
    <w:rsid w:val="0039390A"/>
    <w:rsid w:val="00393F35"/>
    <w:rsid w:val="00396D49"/>
    <w:rsid w:val="003A0D8E"/>
    <w:rsid w:val="003A149A"/>
    <w:rsid w:val="003A656C"/>
    <w:rsid w:val="003B0A2A"/>
    <w:rsid w:val="003B18A4"/>
    <w:rsid w:val="003B639B"/>
    <w:rsid w:val="003B69F1"/>
    <w:rsid w:val="003C0C1C"/>
    <w:rsid w:val="003C2DC4"/>
    <w:rsid w:val="003C3B41"/>
    <w:rsid w:val="003C4FC0"/>
    <w:rsid w:val="003C7E3A"/>
    <w:rsid w:val="003D3603"/>
    <w:rsid w:val="003D4A22"/>
    <w:rsid w:val="003D5675"/>
    <w:rsid w:val="003E22FB"/>
    <w:rsid w:val="003E3044"/>
    <w:rsid w:val="003E463E"/>
    <w:rsid w:val="003E6538"/>
    <w:rsid w:val="003E6EF0"/>
    <w:rsid w:val="003F0349"/>
    <w:rsid w:val="003F27C1"/>
    <w:rsid w:val="003F3BBF"/>
    <w:rsid w:val="003F5AB4"/>
    <w:rsid w:val="003F620C"/>
    <w:rsid w:val="003F68E4"/>
    <w:rsid w:val="00400D78"/>
    <w:rsid w:val="00400EFB"/>
    <w:rsid w:val="00403469"/>
    <w:rsid w:val="00403528"/>
    <w:rsid w:val="00403A01"/>
    <w:rsid w:val="0040423D"/>
    <w:rsid w:val="00404823"/>
    <w:rsid w:val="004078AF"/>
    <w:rsid w:val="004125B5"/>
    <w:rsid w:val="00413B42"/>
    <w:rsid w:val="004148A4"/>
    <w:rsid w:val="00415300"/>
    <w:rsid w:val="00415996"/>
    <w:rsid w:val="00415B35"/>
    <w:rsid w:val="0042157F"/>
    <w:rsid w:val="004217B5"/>
    <w:rsid w:val="004242B5"/>
    <w:rsid w:val="00430AB7"/>
    <w:rsid w:val="00430CDB"/>
    <w:rsid w:val="004323D5"/>
    <w:rsid w:val="004324D6"/>
    <w:rsid w:val="004344C6"/>
    <w:rsid w:val="0043483F"/>
    <w:rsid w:val="004355FE"/>
    <w:rsid w:val="004426FF"/>
    <w:rsid w:val="00443FA6"/>
    <w:rsid w:val="004460F8"/>
    <w:rsid w:val="004464CC"/>
    <w:rsid w:val="00446F18"/>
    <w:rsid w:val="00447776"/>
    <w:rsid w:val="004500FC"/>
    <w:rsid w:val="00451706"/>
    <w:rsid w:val="00451889"/>
    <w:rsid w:val="0045247E"/>
    <w:rsid w:val="00452574"/>
    <w:rsid w:val="004547B6"/>
    <w:rsid w:val="00460BA2"/>
    <w:rsid w:val="004614C5"/>
    <w:rsid w:val="004618F3"/>
    <w:rsid w:val="00463BCB"/>
    <w:rsid w:val="004649C7"/>
    <w:rsid w:val="0047052B"/>
    <w:rsid w:val="00473284"/>
    <w:rsid w:val="004739BA"/>
    <w:rsid w:val="00477429"/>
    <w:rsid w:val="0048109E"/>
    <w:rsid w:val="00482191"/>
    <w:rsid w:val="0048447A"/>
    <w:rsid w:val="00485E38"/>
    <w:rsid w:val="0048743A"/>
    <w:rsid w:val="004906B0"/>
    <w:rsid w:val="00492A6C"/>
    <w:rsid w:val="00497B13"/>
    <w:rsid w:val="004A0775"/>
    <w:rsid w:val="004A0A72"/>
    <w:rsid w:val="004A22E5"/>
    <w:rsid w:val="004A23C9"/>
    <w:rsid w:val="004A3282"/>
    <w:rsid w:val="004A45F1"/>
    <w:rsid w:val="004A5091"/>
    <w:rsid w:val="004A51AE"/>
    <w:rsid w:val="004A6EC3"/>
    <w:rsid w:val="004A766E"/>
    <w:rsid w:val="004B0E2D"/>
    <w:rsid w:val="004B251A"/>
    <w:rsid w:val="004B2BD6"/>
    <w:rsid w:val="004B7BAE"/>
    <w:rsid w:val="004C0A71"/>
    <w:rsid w:val="004C0C9E"/>
    <w:rsid w:val="004C51AA"/>
    <w:rsid w:val="004C5799"/>
    <w:rsid w:val="004C617D"/>
    <w:rsid w:val="004D5102"/>
    <w:rsid w:val="004D5480"/>
    <w:rsid w:val="004D60F9"/>
    <w:rsid w:val="004D6844"/>
    <w:rsid w:val="004D685D"/>
    <w:rsid w:val="004D7306"/>
    <w:rsid w:val="004E1437"/>
    <w:rsid w:val="004E23F3"/>
    <w:rsid w:val="004E33D7"/>
    <w:rsid w:val="004E3602"/>
    <w:rsid w:val="004E392E"/>
    <w:rsid w:val="004E3AB5"/>
    <w:rsid w:val="004E5453"/>
    <w:rsid w:val="004E67E1"/>
    <w:rsid w:val="004F2776"/>
    <w:rsid w:val="004F3486"/>
    <w:rsid w:val="004F395B"/>
    <w:rsid w:val="004F6F94"/>
    <w:rsid w:val="004F7A95"/>
    <w:rsid w:val="004F7D89"/>
    <w:rsid w:val="005016D3"/>
    <w:rsid w:val="00501E01"/>
    <w:rsid w:val="00502305"/>
    <w:rsid w:val="00503496"/>
    <w:rsid w:val="005034B0"/>
    <w:rsid w:val="00503DD7"/>
    <w:rsid w:val="00503F6D"/>
    <w:rsid w:val="00504395"/>
    <w:rsid w:val="00507370"/>
    <w:rsid w:val="00511606"/>
    <w:rsid w:val="0051233F"/>
    <w:rsid w:val="005138F6"/>
    <w:rsid w:val="005158D5"/>
    <w:rsid w:val="00515F53"/>
    <w:rsid w:val="00516DC7"/>
    <w:rsid w:val="0052222F"/>
    <w:rsid w:val="00525850"/>
    <w:rsid w:val="00525E8C"/>
    <w:rsid w:val="00526C2F"/>
    <w:rsid w:val="00527050"/>
    <w:rsid w:val="005273E3"/>
    <w:rsid w:val="005310C4"/>
    <w:rsid w:val="005351F2"/>
    <w:rsid w:val="00535645"/>
    <w:rsid w:val="0053666F"/>
    <w:rsid w:val="00536CB2"/>
    <w:rsid w:val="00536DDB"/>
    <w:rsid w:val="005403AF"/>
    <w:rsid w:val="00541B75"/>
    <w:rsid w:val="00546AAA"/>
    <w:rsid w:val="00547E19"/>
    <w:rsid w:val="005512D8"/>
    <w:rsid w:val="00551AB9"/>
    <w:rsid w:val="00553900"/>
    <w:rsid w:val="005570E3"/>
    <w:rsid w:val="005571CF"/>
    <w:rsid w:val="00560249"/>
    <w:rsid w:val="0056080B"/>
    <w:rsid w:val="00563073"/>
    <w:rsid w:val="00563813"/>
    <w:rsid w:val="005660DC"/>
    <w:rsid w:val="0056667C"/>
    <w:rsid w:val="0056759A"/>
    <w:rsid w:val="00571E41"/>
    <w:rsid w:val="00571E73"/>
    <w:rsid w:val="0057302C"/>
    <w:rsid w:val="00573769"/>
    <w:rsid w:val="005776F5"/>
    <w:rsid w:val="00577F7B"/>
    <w:rsid w:val="00580803"/>
    <w:rsid w:val="00581CA8"/>
    <w:rsid w:val="00582302"/>
    <w:rsid w:val="00582896"/>
    <w:rsid w:val="00586E93"/>
    <w:rsid w:val="00592F7B"/>
    <w:rsid w:val="005A0BBA"/>
    <w:rsid w:val="005A1C29"/>
    <w:rsid w:val="005A1D26"/>
    <w:rsid w:val="005A3CD0"/>
    <w:rsid w:val="005A59D6"/>
    <w:rsid w:val="005A5FC1"/>
    <w:rsid w:val="005A6001"/>
    <w:rsid w:val="005A6BEA"/>
    <w:rsid w:val="005A7794"/>
    <w:rsid w:val="005B0AB0"/>
    <w:rsid w:val="005B0DF7"/>
    <w:rsid w:val="005B317D"/>
    <w:rsid w:val="005B3B47"/>
    <w:rsid w:val="005B4759"/>
    <w:rsid w:val="005B4D44"/>
    <w:rsid w:val="005B683F"/>
    <w:rsid w:val="005C06EA"/>
    <w:rsid w:val="005C7385"/>
    <w:rsid w:val="005C76C8"/>
    <w:rsid w:val="005D11C3"/>
    <w:rsid w:val="005D2C76"/>
    <w:rsid w:val="005D3261"/>
    <w:rsid w:val="005D5C63"/>
    <w:rsid w:val="005E0EF4"/>
    <w:rsid w:val="005E38E0"/>
    <w:rsid w:val="005E42EF"/>
    <w:rsid w:val="005E4ADC"/>
    <w:rsid w:val="005F136F"/>
    <w:rsid w:val="005F62E0"/>
    <w:rsid w:val="006008BC"/>
    <w:rsid w:val="006020F0"/>
    <w:rsid w:val="00602E3F"/>
    <w:rsid w:val="00603DB3"/>
    <w:rsid w:val="006065DD"/>
    <w:rsid w:val="00611710"/>
    <w:rsid w:val="00611D66"/>
    <w:rsid w:val="00612C59"/>
    <w:rsid w:val="006132B0"/>
    <w:rsid w:val="00613DBA"/>
    <w:rsid w:val="00613F07"/>
    <w:rsid w:val="006145E9"/>
    <w:rsid w:val="00615420"/>
    <w:rsid w:val="0061592D"/>
    <w:rsid w:val="00617FBC"/>
    <w:rsid w:val="0062285B"/>
    <w:rsid w:val="006246B9"/>
    <w:rsid w:val="006247F7"/>
    <w:rsid w:val="00624B1D"/>
    <w:rsid w:val="0062687A"/>
    <w:rsid w:val="00626927"/>
    <w:rsid w:val="00627BE0"/>
    <w:rsid w:val="00631F34"/>
    <w:rsid w:val="0063467D"/>
    <w:rsid w:val="00635BF3"/>
    <w:rsid w:val="00637286"/>
    <w:rsid w:val="0063792E"/>
    <w:rsid w:val="00642D42"/>
    <w:rsid w:val="00642FD7"/>
    <w:rsid w:val="00643B7F"/>
    <w:rsid w:val="00646C9B"/>
    <w:rsid w:val="00647DF5"/>
    <w:rsid w:val="0065055F"/>
    <w:rsid w:val="00650971"/>
    <w:rsid w:val="00653266"/>
    <w:rsid w:val="00655B46"/>
    <w:rsid w:val="00655DED"/>
    <w:rsid w:val="00656474"/>
    <w:rsid w:val="006567B0"/>
    <w:rsid w:val="00657A4E"/>
    <w:rsid w:val="00660430"/>
    <w:rsid w:val="006636FA"/>
    <w:rsid w:val="0066782A"/>
    <w:rsid w:val="0067088D"/>
    <w:rsid w:val="00671645"/>
    <w:rsid w:val="006744A9"/>
    <w:rsid w:val="0067467D"/>
    <w:rsid w:val="0067582A"/>
    <w:rsid w:val="00676BD9"/>
    <w:rsid w:val="0067761E"/>
    <w:rsid w:val="00677D0D"/>
    <w:rsid w:val="006800BF"/>
    <w:rsid w:val="006800D7"/>
    <w:rsid w:val="006805D9"/>
    <w:rsid w:val="00684C96"/>
    <w:rsid w:val="006861C7"/>
    <w:rsid w:val="0068620C"/>
    <w:rsid w:val="0068718F"/>
    <w:rsid w:val="00687540"/>
    <w:rsid w:val="006925F2"/>
    <w:rsid w:val="00692845"/>
    <w:rsid w:val="006930A2"/>
    <w:rsid w:val="00696BF6"/>
    <w:rsid w:val="00697CCE"/>
    <w:rsid w:val="006A1D8E"/>
    <w:rsid w:val="006A5660"/>
    <w:rsid w:val="006A5762"/>
    <w:rsid w:val="006A6499"/>
    <w:rsid w:val="006B14AD"/>
    <w:rsid w:val="006B30AE"/>
    <w:rsid w:val="006B402A"/>
    <w:rsid w:val="006B7CA7"/>
    <w:rsid w:val="006C250F"/>
    <w:rsid w:val="006C2BD9"/>
    <w:rsid w:val="006C4829"/>
    <w:rsid w:val="006C7994"/>
    <w:rsid w:val="006D1DBD"/>
    <w:rsid w:val="006D2022"/>
    <w:rsid w:val="006D2E11"/>
    <w:rsid w:val="006D3912"/>
    <w:rsid w:val="006D4E4C"/>
    <w:rsid w:val="006D624D"/>
    <w:rsid w:val="006D78E6"/>
    <w:rsid w:val="006E100B"/>
    <w:rsid w:val="006E1BE4"/>
    <w:rsid w:val="006E2894"/>
    <w:rsid w:val="006E2EF1"/>
    <w:rsid w:val="006E3019"/>
    <w:rsid w:val="006E347A"/>
    <w:rsid w:val="006E4FFB"/>
    <w:rsid w:val="006E7F42"/>
    <w:rsid w:val="006F0314"/>
    <w:rsid w:val="006F035C"/>
    <w:rsid w:val="006F1B4E"/>
    <w:rsid w:val="006F396C"/>
    <w:rsid w:val="0070483D"/>
    <w:rsid w:val="00705745"/>
    <w:rsid w:val="00706A47"/>
    <w:rsid w:val="007077E5"/>
    <w:rsid w:val="007110F5"/>
    <w:rsid w:val="00711FEE"/>
    <w:rsid w:val="007126D4"/>
    <w:rsid w:val="00714C33"/>
    <w:rsid w:val="00715A92"/>
    <w:rsid w:val="007167E8"/>
    <w:rsid w:val="00721D7D"/>
    <w:rsid w:val="007228A4"/>
    <w:rsid w:val="00724F2A"/>
    <w:rsid w:val="007254AE"/>
    <w:rsid w:val="007254C7"/>
    <w:rsid w:val="00732033"/>
    <w:rsid w:val="00732D09"/>
    <w:rsid w:val="00735539"/>
    <w:rsid w:val="007361CA"/>
    <w:rsid w:val="0073764E"/>
    <w:rsid w:val="00737C90"/>
    <w:rsid w:val="0074113D"/>
    <w:rsid w:val="00741A6D"/>
    <w:rsid w:val="00743648"/>
    <w:rsid w:val="007455BE"/>
    <w:rsid w:val="007458F9"/>
    <w:rsid w:val="00745E1E"/>
    <w:rsid w:val="00751094"/>
    <w:rsid w:val="00752F27"/>
    <w:rsid w:val="00753ED9"/>
    <w:rsid w:val="00753EF1"/>
    <w:rsid w:val="007543E2"/>
    <w:rsid w:val="00760AAA"/>
    <w:rsid w:val="0076121F"/>
    <w:rsid w:val="00762EB5"/>
    <w:rsid w:val="00766478"/>
    <w:rsid w:val="0077041E"/>
    <w:rsid w:val="00771846"/>
    <w:rsid w:val="00772BF2"/>
    <w:rsid w:val="00775464"/>
    <w:rsid w:val="007756C9"/>
    <w:rsid w:val="0077652F"/>
    <w:rsid w:val="00776AAA"/>
    <w:rsid w:val="0078048E"/>
    <w:rsid w:val="00783E5D"/>
    <w:rsid w:val="0078674F"/>
    <w:rsid w:val="0079105C"/>
    <w:rsid w:val="0079133C"/>
    <w:rsid w:val="00792DB7"/>
    <w:rsid w:val="00792FA6"/>
    <w:rsid w:val="007943B3"/>
    <w:rsid w:val="00795C5E"/>
    <w:rsid w:val="00796686"/>
    <w:rsid w:val="007972A4"/>
    <w:rsid w:val="00797A80"/>
    <w:rsid w:val="007A15BB"/>
    <w:rsid w:val="007A1AA9"/>
    <w:rsid w:val="007A2CB5"/>
    <w:rsid w:val="007A331C"/>
    <w:rsid w:val="007A5913"/>
    <w:rsid w:val="007A7EBA"/>
    <w:rsid w:val="007B0CAE"/>
    <w:rsid w:val="007B0D37"/>
    <w:rsid w:val="007B12C8"/>
    <w:rsid w:val="007B1BA4"/>
    <w:rsid w:val="007B1CDF"/>
    <w:rsid w:val="007B1FA7"/>
    <w:rsid w:val="007B535C"/>
    <w:rsid w:val="007B65A3"/>
    <w:rsid w:val="007B73A1"/>
    <w:rsid w:val="007B7D8C"/>
    <w:rsid w:val="007C18FD"/>
    <w:rsid w:val="007C1CD9"/>
    <w:rsid w:val="007C2014"/>
    <w:rsid w:val="007C2CA5"/>
    <w:rsid w:val="007C475C"/>
    <w:rsid w:val="007C6249"/>
    <w:rsid w:val="007C6FB4"/>
    <w:rsid w:val="007C7D61"/>
    <w:rsid w:val="007D3197"/>
    <w:rsid w:val="007D37B4"/>
    <w:rsid w:val="007D3CFF"/>
    <w:rsid w:val="007D3EDA"/>
    <w:rsid w:val="007D3F60"/>
    <w:rsid w:val="007D4189"/>
    <w:rsid w:val="007D5627"/>
    <w:rsid w:val="007D59CA"/>
    <w:rsid w:val="007D5A7A"/>
    <w:rsid w:val="007D7514"/>
    <w:rsid w:val="007E06E1"/>
    <w:rsid w:val="007E1DD9"/>
    <w:rsid w:val="007E2F4F"/>
    <w:rsid w:val="007E4060"/>
    <w:rsid w:val="007E5EC7"/>
    <w:rsid w:val="007E6A06"/>
    <w:rsid w:val="007E6B9F"/>
    <w:rsid w:val="007E79B5"/>
    <w:rsid w:val="007E7C07"/>
    <w:rsid w:val="007F0115"/>
    <w:rsid w:val="007F0345"/>
    <w:rsid w:val="007F03D1"/>
    <w:rsid w:val="007F06BF"/>
    <w:rsid w:val="007F0C08"/>
    <w:rsid w:val="007F0D47"/>
    <w:rsid w:val="007F4333"/>
    <w:rsid w:val="007F5D34"/>
    <w:rsid w:val="007F604A"/>
    <w:rsid w:val="007F63AF"/>
    <w:rsid w:val="007F6F8D"/>
    <w:rsid w:val="00801556"/>
    <w:rsid w:val="00801D26"/>
    <w:rsid w:val="00801F2D"/>
    <w:rsid w:val="00803325"/>
    <w:rsid w:val="0080350B"/>
    <w:rsid w:val="00804483"/>
    <w:rsid w:val="008115AD"/>
    <w:rsid w:val="0081369F"/>
    <w:rsid w:val="0081423E"/>
    <w:rsid w:val="00814578"/>
    <w:rsid w:val="00814661"/>
    <w:rsid w:val="008150A1"/>
    <w:rsid w:val="008152A1"/>
    <w:rsid w:val="00817D38"/>
    <w:rsid w:val="00820535"/>
    <w:rsid w:val="00820801"/>
    <w:rsid w:val="0082316B"/>
    <w:rsid w:val="00823A44"/>
    <w:rsid w:val="008252F7"/>
    <w:rsid w:val="00826BBF"/>
    <w:rsid w:val="00831A35"/>
    <w:rsid w:val="00831B44"/>
    <w:rsid w:val="00831BEA"/>
    <w:rsid w:val="00833194"/>
    <w:rsid w:val="00836127"/>
    <w:rsid w:val="00836D6F"/>
    <w:rsid w:val="0083753D"/>
    <w:rsid w:val="00837EAB"/>
    <w:rsid w:val="00840D22"/>
    <w:rsid w:val="00841199"/>
    <w:rsid w:val="0084256F"/>
    <w:rsid w:val="008426F7"/>
    <w:rsid w:val="00842F7E"/>
    <w:rsid w:val="008430D2"/>
    <w:rsid w:val="00843E3F"/>
    <w:rsid w:val="00850461"/>
    <w:rsid w:val="00851986"/>
    <w:rsid w:val="00852C41"/>
    <w:rsid w:val="00855278"/>
    <w:rsid w:val="00856C7B"/>
    <w:rsid w:val="00857B22"/>
    <w:rsid w:val="008603CA"/>
    <w:rsid w:val="00861E60"/>
    <w:rsid w:val="00863607"/>
    <w:rsid w:val="00864695"/>
    <w:rsid w:val="00864C86"/>
    <w:rsid w:val="00866A42"/>
    <w:rsid w:val="00867C8C"/>
    <w:rsid w:val="0087152B"/>
    <w:rsid w:val="00872851"/>
    <w:rsid w:val="0087396E"/>
    <w:rsid w:val="0087478E"/>
    <w:rsid w:val="0088181F"/>
    <w:rsid w:val="0088275D"/>
    <w:rsid w:val="00882DEC"/>
    <w:rsid w:val="00883828"/>
    <w:rsid w:val="0088441E"/>
    <w:rsid w:val="0088593A"/>
    <w:rsid w:val="00886F9E"/>
    <w:rsid w:val="00887388"/>
    <w:rsid w:val="0089090B"/>
    <w:rsid w:val="00892A42"/>
    <w:rsid w:val="0089395D"/>
    <w:rsid w:val="00894AD6"/>
    <w:rsid w:val="00896D9E"/>
    <w:rsid w:val="008A0D1F"/>
    <w:rsid w:val="008A550E"/>
    <w:rsid w:val="008A5A8C"/>
    <w:rsid w:val="008A752C"/>
    <w:rsid w:val="008B1F43"/>
    <w:rsid w:val="008B1F78"/>
    <w:rsid w:val="008B2249"/>
    <w:rsid w:val="008B28AC"/>
    <w:rsid w:val="008B52F9"/>
    <w:rsid w:val="008C0E17"/>
    <w:rsid w:val="008C2827"/>
    <w:rsid w:val="008C302D"/>
    <w:rsid w:val="008C3955"/>
    <w:rsid w:val="008C427E"/>
    <w:rsid w:val="008C55BB"/>
    <w:rsid w:val="008C62B7"/>
    <w:rsid w:val="008C7EC3"/>
    <w:rsid w:val="008D09DD"/>
    <w:rsid w:val="008D1F8B"/>
    <w:rsid w:val="008D4610"/>
    <w:rsid w:val="008D65E3"/>
    <w:rsid w:val="008E1C0C"/>
    <w:rsid w:val="008E2B75"/>
    <w:rsid w:val="008E3508"/>
    <w:rsid w:val="008E3594"/>
    <w:rsid w:val="008E3CB9"/>
    <w:rsid w:val="008E6214"/>
    <w:rsid w:val="008F2445"/>
    <w:rsid w:val="00901DB4"/>
    <w:rsid w:val="00901DC8"/>
    <w:rsid w:val="00903E71"/>
    <w:rsid w:val="00904389"/>
    <w:rsid w:val="00904877"/>
    <w:rsid w:val="0090717F"/>
    <w:rsid w:val="009078EC"/>
    <w:rsid w:val="00907E38"/>
    <w:rsid w:val="00917865"/>
    <w:rsid w:val="0092093E"/>
    <w:rsid w:val="00921A50"/>
    <w:rsid w:val="009220B6"/>
    <w:rsid w:val="00922118"/>
    <w:rsid w:val="00922187"/>
    <w:rsid w:val="0092311D"/>
    <w:rsid w:val="00923B92"/>
    <w:rsid w:val="0092539A"/>
    <w:rsid w:val="009254A2"/>
    <w:rsid w:val="00925888"/>
    <w:rsid w:val="009306E5"/>
    <w:rsid w:val="00931126"/>
    <w:rsid w:val="009323AE"/>
    <w:rsid w:val="00932D09"/>
    <w:rsid w:val="0093318A"/>
    <w:rsid w:val="009331F3"/>
    <w:rsid w:val="00933578"/>
    <w:rsid w:val="00935827"/>
    <w:rsid w:val="00935A12"/>
    <w:rsid w:val="0093657E"/>
    <w:rsid w:val="0093791A"/>
    <w:rsid w:val="00940675"/>
    <w:rsid w:val="00940F6B"/>
    <w:rsid w:val="00941D17"/>
    <w:rsid w:val="009429C3"/>
    <w:rsid w:val="00945566"/>
    <w:rsid w:val="00946C5D"/>
    <w:rsid w:val="00950294"/>
    <w:rsid w:val="00950492"/>
    <w:rsid w:val="00950627"/>
    <w:rsid w:val="00950666"/>
    <w:rsid w:val="00952FF2"/>
    <w:rsid w:val="00956902"/>
    <w:rsid w:val="00962039"/>
    <w:rsid w:val="00964B87"/>
    <w:rsid w:val="0096559B"/>
    <w:rsid w:val="0096618A"/>
    <w:rsid w:val="00970239"/>
    <w:rsid w:val="0097147E"/>
    <w:rsid w:val="00972C6D"/>
    <w:rsid w:val="00972E3D"/>
    <w:rsid w:val="0098163B"/>
    <w:rsid w:val="009819F3"/>
    <w:rsid w:val="00982CFE"/>
    <w:rsid w:val="00983331"/>
    <w:rsid w:val="009847BC"/>
    <w:rsid w:val="00990321"/>
    <w:rsid w:val="00991CE0"/>
    <w:rsid w:val="0099208B"/>
    <w:rsid w:val="00993443"/>
    <w:rsid w:val="00993EEB"/>
    <w:rsid w:val="00994D9A"/>
    <w:rsid w:val="00995269"/>
    <w:rsid w:val="00995402"/>
    <w:rsid w:val="009970F0"/>
    <w:rsid w:val="009A0BA0"/>
    <w:rsid w:val="009A0C6C"/>
    <w:rsid w:val="009A273A"/>
    <w:rsid w:val="009A55CC"/>
    <w:rsid w:val="009A63E6"/>
    <w:rsid w:val="009B2135"/>
    <w:rsid w:val="009B3ED5"/>
    <w:rsid w:val="009B4133"/>
    <w:rsid w:val="009B7F11"/>
    <w:rsid w:val="009C0E24"/>
    <w:rsid w:val="009C182E"/>
    <w:rsid w:val="009C5DF9"/>
    <w:rsid w:val="009D17D5"/>
    <w:rsid w:val="009D296C"/>
    <w:rsid w:val="009D2C96"/>
    <w:rsid w:val="009D2F36"/>
    <w:rsid w:val="009D3437"/>
    <w:rsid w:val="009D69AE"/>
    <w:rsid w:val="009E043B"/>
    <w:rsid w:val="009E113A"/>
    <w:rsid w:val="009E2215"/>
    <w:rsid w:val="009E29A6"/>
    <w:rsid w:val="009E2B4D"/>
    <w:rsid w:val="009E394A"/>
    <w:rsid w:val="009E3B03"/>
    <w:rsid w:val="009E3E28"/>
    <w:rsid w:val="009E5FC0"/>
    <w:rsid w:val="009E6ACF"/>
    <w:rsid w:val="009F22A3"/>
    <w:rsid w:val="009F3F1E"/>
    <w:rsid w:val="009F7226"/>
    <w:rsid w:val="00A01E11"/>
    <w:rsid w:val="00A025D9"/>
    <w:rsid w:val="00A02A2F"/>
    <w:rsid w:val="00A046C3"/>
    <w:rsid w:val="00A0648A"/>
    <w:rsid w:val="00A1071A"/>
    <w:rsid w:val="00A12142"/>
    <w:rsid w:val="00A121E1"/>
    <w:rsid w:val="00A1257B"/>
    <w:rsid w:val="00A1277D"/>
    <w:rsid w:val="00A12944"/>
    <w:rsid w:val="00A13B2D"/>
    <w:rsid w:val="00A155EA"/>
    <w:rsid w:val="00A158A6"/>
    <w:rsid w:val="00A16331"/>
    <w:rsid w:val="00A165C6"/>
    <w:rsid w:val="00A21EEC"/>
    <w:rsid w:val="00A22FD7"/>
    <w:rsid w:val="00A24C88"/>
    <w:rsid w:val="00A268EF"/>
    <w:rsid w:val="00A26EDE"/>
    <w:rsid w:val="00A279EF"/>
    <w:rsid w:val="00A27A40"/>
    <w:rsid w:val="00A27E52"/>
    <w:rsid w:val="00A3013E"/>
    <w:rsid w:val="00A30DAB"/>
    <w:rsid w:val="00A31557"/>
    <w:rsid w:val="00A31E23"/>
    <w:rsid w:val="00A331FE"/>
    <w:rsid w:val="00A35841"/>
    <w:rsid w:val="00A3648A"/>
    <w:rsid w:val="00A36B8B"/>
    <w:rsid w:val="00A411EC"/>
    <w:rsid w:val="00A41715"/>
    <w:rsid w:val="00A43563"/>
    <w:rsid w:val="00A4369A"/>
    <w:rsid w:val="00A45651"/>
    <w:rsid w:val="00A460D5"/>
    <w:rsid w:val="00A465C2"/>
    <w:rsid w:val="00A46EC8"/>
    <w:rsid w:val="00A46EE9"/>
    <w:rsid w:val="00A47FA5"/>
    <w:rsid w:val="00A568A8"/>
    <w:rsid w:val="00A6201B"/>
    <w:rsid w:val="00A650B3"/>
    <w:rsid w:val="00A6578B"/>
    <w:rsid w:val="00A65A07"/>
    <w:rsid w:val="00A66278"/>
    <w:rsid w:val="00A67A91"/>
    <w:rsid w:val="00A71244"/>
    <w:rsid w:val="00A737A0"/>
    <w:rsid w:val="00A73CBA"/>
    <w:rsid w:val="00A74433"/>
    <w:rsid w:val="00A77559"/>
    <w:rsid w:val="00A776B7"/>
    <w:rsid w:val="00A80962"/>
    <w:rsid w:val="00A82C92"/>
    <w:rsid w:val="00A85EE7"/>
    <w:rsid w:val="00A864E8"/>
    <w:rsid w:val="00A86A01"/>
    <w:rsid w:val="00A87414"/>
    <w:rsid w:val="00A901B5"/>
    <w:rsid w:val="00A9225B"/>
    <w:rsid w:val="00A95893"/>
    <w:rsid w:val="00A96ED2"/>
    <w:rsid w:val="00AA0BE7"/>
    <w:rsid w:val="00AA0D69"/>
    <w:rsid w:val="00AA17DA"/>
    <w:rsid w:val="00AA3FAC"/>
    <w:rsid w:val="00AA68FC"/>
    <w:rsid w:val="00AB1CD9"/>
    <w:rsid w:val="00AB2059"/>
    <w:rsid w:val="00AB2E1F"/>
    <w:rsid w:val="00AB6AE5"/>
    <w:rsid w:val="00AB6E48"/>
    <w:rsid w:val="00AC0351"/>
    <w:rsid w:val="00AC1AA5"/>
    <w:rsid w:val="00AC1F2C"/>
    <w:rsid w:val="00AC22E8"/>
    <w:rsid w:val="00AC4790"/>
    <w:rsid w:val="00AD05A3"/>
    <w:rsid w:val="00AD4EE1"/>
    <w:rsid w:val="00AD5AFF"/>
    <w:rsid w:val="00AD689C"/>
    <w:rsid w:val="00AD7A27"/>
    <w:rsid w:val="00AE06C5"/>
    <w:rsid w:val="00AE08C1"/>
    <w:rsid w:val="00AE0C3E"/>
    <w:rsid w:val="00AE1DFD"/>
    <w:rsid w:val="00AE2A59"/>
    <w:rsid w:val="00AE6BAA"/>
    <w:rsid w:val="00AF233A"/>
    <w:rsid w:val="00AF352E"/>
    <w:rsid w:val="00AF51D8"/>
    <w:rsid w:val="00AF5716"/>
    <w:rsid w:val="00AF5E93"/>
    <w:rsid w:val="00AF78C3"/>
    <w:rsid w:val="00B011A5"/>
    <w:rsid w:val="00B02052"/>
    <w:rsid w:val="00B024EE"/>
    <w:rsid w:val="00B02836"/>
    <w:rsid w:val="00B02E22"/>
    <w:rsid w:val="00B066C2"/>
    <w:rsid w:val="00B06D96"/>
    <w:rsid w:val="00B1046F"/>
    <w:rsid w:val="00B10796"/>
    <w:rsid w:val="00B10BDB"/>
    <w:rsid w:val="00B1413F"/>
    <w:rsid w:val="00B1579F"/>
    <w:rsid w:val="00B21DD4"/>
    <w:rsid w:val="00B242E9"/>
    <w:rsid w:val="00B247CB"/>
    <w:rsid w:val="00B24C9E"/>
    <w:rsid w:val="00B300CB"/>
    <w:rsid w:val="00B30C34"/>
    <w:rsid w:val="00B32270"/>
    <w:rsid w:val="00B3386E"/>
    <w:rsid w:val="00B33C78"/>
    <w:rsid w:val="00B34940"/>
    <w:rsid w:val="00B3500E"/>
    <w:rsid w:val="00B3739B"/>
    <w:rsid w:val="00B408B2"/>
    <w:rsid w:val="00B41BD8"/>
    <w:rsid w:val="00B43038"/>
    <w:rsid w:val="00B43705"/>
    <w:rsid w:val="00B4408D"/>
    <w:rsid w:val="00B44A66"/>
    <w:rsid w:val="00B44F3C"/>
    <w:rsid w:val="00B50D81"/>
    <w:rsid w:val="00B52BF0"/>
    <w:rsid w:val="00B53FE6"/>
    <w:rsid w:val="00B56DB8"/>
    <w:rsid w:val="00B61299"/>
    <w:rsid w:val="00B61421"/>
    <w:rsid w:val="00B64FD4"/>
    <w:rsid w:val="00B66C87"/>
    <w:rsid w:val="00B70B69"/>
    <w:rsid w:val="00B774DC"/>
    <w:rsid w:val="00B805F1"/>
    <w:rsid w:val="00B81938"/>
    <w:rsid w:val="00B830EE"/>
    <w:rsid w:val="00B836B1"/>
    <w:rsid w:val="00B847CC"/>
    <w:rsid w:val="00B86320"/>
    <w:rsid w:val="00B91372"/>
    <w:rsid w:val="00B91531"/>
    <w:rsid w:val="00B93698"/>
    <w:rsid w:val="00B93720"/>
    <w:rsid w:val="00B94D64"/>
    <w:rsid w:val="00B95530"/>
    <w:rsid w:val="00B9680B"/>
    <w:rsid w:val="00B96A18"/>
    <w:rsid w:val="00BA3535"/>
    <w:rsid w:val="00BA7D52"/>
    <w:rsid w:val="00BB2F1A"/>
    <w:rsid w:val="00BB46B1"/>
    <w:rsid w:val="00BC01A6"/>
    <w:rsid w:val="00BC0C8E"/>
    <w:rsid w:val="00BC1326"/>
    <w:rsid w:val="00BC207F"/>
    <w:rsid w:val="00BC30C5"/>
    <w:rsid w:val="00BC4836"/>
    <w:rsid w:val="00BC4919"/>
    <w:rsid w:val="00BC559D"/>
    <w:rsid w:val="00BC5A58"/>
    <w:rsid w:val="00BC679E"/>
    <w:rsid w:val="00BC6808"/>
    <w:rsid w:val="00BD04F7"/>
    <w:rsid w:val="00BD1B04"/>
    <w:rsid w:val="00BD1FAE"/>
    <w:rsid w:val="00BD387B"/>
    <w:rsid w:val="00BD411A"/>
    <w:rsid w:val="00BD6FAF"/>
    <w:rsid w:val="00BD7976"/>
    <w:rsid w:val="00BE162E"/>
    <w:rsid w:val="00BE1EC6"/>
    <w:rsid w:val="00BE6FBC"/>
    <w:rsid w:val="00BE7116"/>
    <w:rsid w:val="00BF19A2"/>
    <w:rsid w:val="00BF2394"/>
    <w:rsid w:val="00BF317A"/>
    <w:rsid w:val="00BF7C8F"/>
    <w:rsid w:val="00C00B1F"/>
    <w:rsid w:val="00C00C7F"/>
    <w:rsid w:val="00C02C46"/>
    <w:rsid w:val="00C039D8"/>
    <w:rsid w:val="00C055D7"/>
    <w:rsid w:val="00C06314"/>
    <w:rsid w:val="00C131A1"/>
    <w:rsid w:val="00C139DF"/>
    <w:rsid w:val="00C15C16"/>
    <w:rsid w:val="00C16138"/>
    <w:rsid w:val="00C21FBB"/>
    <w:rsid w:val="00C227C0"/>
    <w:rsid w:val="00C24879"/>
    <w:rsid w:val="00C26C33"/>
    <w:rsid w:val="00C27398"/>
    <w:rsid w:val="00C27D12"/>
    <w:rsid w:val="00C33F1D"/>
    <w:rsid w:val="00C350C4"/>
    <w:rsid w:val="00C36306"/>
    <w:rsid w:val="00C36E81"/>
    <w:rsid w:val="00C37D9A"/>
    <w:rsid w:val="00C4092D"/>
    <w:rsid w:val="00C4298A"/>
    <w:rsid w:val="00C42FB2"/>
    <w:rsid w:val="00C435A4"/>
    <w:rsid w:val="00C44F4E"/>
    <w:rsid w:val="00C45EEB"/>
    <w:rsid w:val="00C45F84"/>
    <w:rsid w:val="00C46F55"/>
    <w:rsid w:val="00C476E4"/>
    <w:rsid w:val="00C47EDF"/>
    <w:rsid w:val="00C50C50"/>
    <w:rsid w:val="00C52AC8"/>
    <w:rsid w:val="00C52EE5"/>
    <w:rsid w:val="00C5401B"/>
    <w:rsid w:val="00C55A80"/>
    <w:rsid w:val="00C5609C"/>
    <w:rsid w:val="00C56181"/>
    <w:rsid w:val="00C60F22"/>
    <w:rsid w:val="00C62A7F"/>
    <w:rsid w:val="00C6357A"/>
    <w:rsid w:val="00C640B8"/>
    <w:rsid w:val="00C640DD"/>
    <w:rsid w:val="00C666CC"/>
    <w:rsid w:val="00C70B24"/>
    <w:rsid w:val="00C71A5D"/>
    <w:rsid w:val="00C71DAB"/>
    <w:rsid w:val="00C71F6B"/>
    <w:rsid w:val="00C73323"/>
    <w:rsid w:val="00C7548A"/>
    <w:rsid w:val="00C75CAB"/>
    <w:rsid w:val="00C801C8"/>
    <w:rsid w:val="00C816B9"/>
    <w:rsid w:val="00C83369"/>
    <w:rsid w:val="00C83980"/>
    <w:rsid w:val="00C87CF4"/>
    <w:rsid w:val="00C90361"/>
    <w:rsid w:val="00C90B1D"/>
    <w:rsid w:val="00C9671F"/>
    <w:rsid w:val="00C96C9D"/>
    <w:rsid w:val="00C9717E"/>
    <w:rsid w:val="00C97CCB"/>
    <w:rsid w:val="00CA3139"/>
    <w:rsid w:val="00CA3C18"/>
    <w:rsid w:val="00CA4460"/>
    <w:rsid w:val="00CA6B7A"/>
    <w:rsid w:val="00CA725D"/>
    <w:rsid w:val="00CA777B"/>
    <w:rsid w:val="00CA7C17"/>
    <w:rsid w:val="00CA7D3A"/>
    <w:rsid w:val="00CB0940"/>
    <w:rsid w:val="00CB0A0A"/>
    <w:rsid w:val="00CB1A30"/>
    <w:rsid w:val="00CB1C36"/>
    <w:rsid w:val="00CB3431"/>
    <w:rsid w:val="00CB3EB5"/>
    <w:rsid w:val="00CC09AB"/>
    <w:rsid w:val="00CC2080"/>
    <w:rsid w:val="00CC2BE6"/>
    <w:rsid w:val="00CC3F60"/>
    <w:rsid w:val="00CC46AF"/>
    <w:rsid w:val="00CC5A47"/>
    <w:rsid w:val="00CC6C05"/>
    <w:rsid w:val="00CC71C9"/>
    <w:rsid w:val="00CC78AB"/>
    <w:rsid w:val="00CD12A4"/>
    <w:rsid w:val="00CD1D98"/>
    <w:rsid w:val="00CD331C"/>
    <w:rsid w:val="00CD3A59"/>
    <w:rsid w:val="00CD5720"/>
    <w:rsid w:val="00CD5F7A"/>
    <w:rsid w:val="00CD6DAA"/>
    <w:rsid w:val="00CE3059"/>
    <w:rsid w:val="00CE540B"/>
    <w:rsid w:val="00CE57D7"/>
    <w:rsid w:val="00CE7565"/>
    <w:rsid w:val="00CE75E3"/>
    <w:rsid w:val="00CF1120"/>
    <w:rsid w:val="00CF2804"/>
    <w:rsid w:val="00CF2C57"/>
    <w:rsid w:val="00CF34A5"/>
    <w:rsid w:val="00CF3523"/>
    <w:rsid w:val="00CF37E5"/>
    <w:rsid w:val="00CF3C85"/>
    <w:rsid w:val="00CF42DD"/>
    <w:rsid w:val="00CF5752"/>
    <w:rsid w:val="00D01378"/>
    <w:rsid w:val="00D029F0"/>
    <w:rsid w:val="00D033A8"/>
    <w:rsid w:val="00D05993"/>
    <w:rsid w:val="00D1123F"/>
    <w:rsid w:val="00D11F9C"/>
    <w:rsid w:val="00D17331"/>
    <w:rsid w:val="00D1791F"/>
    <w:rsid w:val="00D17A21"/>
    <w:rsid w:val="00D22B65"/>
    <w:rsid w:val="00D22E4C"/>
    <w:rsid w:val="00D23935"/>
    <w:rsid w:val="00D23D11"/>
    <w:rsid w:val="00D2517E"/>
    <w:rsid w:val="00D258C9"/>
    <w:rsid w:val="00D2784D"/>
    <w:rsid w:val="00D30D6E"/>
    <w:rsid w:val="00D31C8D"/>
    <w:rsid w:val="00D35415"/>
    <w:rsid w:val="00D42FC0"/>
    <w:rsid w:val="00D44F84"/>
    <w:rsid w:val="00D46812"/>
    <w:rsid w:val="00D5322B"/>
    <w:rsid w:val="00D53A75"/>
    <w:rsid w:val="00D57849"/>
    <w:rsid w:val="00D607D5"/>
    <w:rsid w:val="00D6086E"/>
    <w:rsid w:val="00D60E2E"/>
    <w:rsid w:val="00D62D3B"/>
    <w:rsid w:val="00D66E88"/>
    <w:rsid w:val="00D736E3"/>
    <w:rsid w:val="00D75566"/>
    <w:rsid w:val="00D7704D"/>
    <w:rsid w:val="00D7774B"/>
    <w:rsid w:val="00D837C6"/>
    <w:rsid w:val="00D862DB"/>
    <w:rsid w:val="00D90816"/>
    <w:rsid w:val="00D923AB"/>
    <w:rsid w:val="00D9275F"/>
    <w:rsid w:val="00D94E85"/>
    <w:rsid w:val="00DA18A9"/>
    <w:rsid w:val="00DA1AB6"/>
    <w:rsid w:val="00DA35E8"/>
    <w:rsid w:val="00DA45CE"/>
    <w:rsid w:val="00DA59C2"/>
    <w:rsid w:val="00DA75C7"/>
    <w:rsid w:val="00DB114A"/>
    <w:rsid w:val="00DB3310"/>
    <w:rsid w:val="00DB4B73"/>
    <w:rsid w:val="00DB623F"/>
    <w:rsid w:val="00DB6423"/>
    <w:rsid w:val="00DC0590"/>
    <w:rsid w:val="00DC2844"/>
    <w:rsid w:val="00DC5A89"/>
    <w:rsid w:val="00DC5C9C"/>
    <w:rsid w:val="00DD15DA"/>
    <w:rsid w:val="00DD22BB"/>
    <w:rsid w:val="00DD39EA"/>
    <w:rsid w:val="00DD3A0E"/>
    <w:rsid w:val="00DD642E"/>
    <w:rsid w:val="00DD7C39"/>
    <w:rsid w:val="00DE0045"/>
    <w:rsid w:val="00DE01F4"/>
    <w:rsid w:val="00DE0794"/>
    <w:rsid w:val="00DE132A"/>
    <w:rsid w:val="00DE3436"/>
    <w:rsid w:val="00DE34F8"/>
    <w:rsid w:val="00DE7527"/>
    <w:rsid w:val="00DE7AA0"/>
    <w:rsid w:val="00DF0DE6"/>
    <w:rsid w:val="00DF26E4"/>
    <w:rsid w:val="00DF476F"/>
    <w:rsid w:val="00DF586A"/>
    <w:rsid w:val="00DF5F1D"/>
    <w:rsid w:val="00DF7042"/>
    <w:rsid w:val="00E00CA8"/>
    <w:rsid w:val="00E021F8"/>
    <w:rsid w:val="00E02244"/>
    <w:rsid w:val="00E02EA0"/>
    <w:rsid w:val="00E03663"/>
    <w:rsid w:val="00E049C4"/>
    <w:rsid w:val="00E04D3E"/>
    <w:rsid w:val="00E07C8D"/>
    <w:rsid w:val="00E1057E"/>
    <w:rsid w:val="00E10CAA"/>
    <w:rsid w:val="00E113DB"/>
    <w:rsid w:val="00E138B2"/>
    <w:rsid w:val="00E13BF9"/>
    <w:rsid w:val="00E144ED"/>
    <w:rsid w:val="00E1529D"/>
    <w:rsid w:val="00E15401"/>
    <w:rsid w:val="00E16DC6"/>
    <w:rsid w:val="00E23586"/>
    <w:rsid w:val="00E27748"/>
    <w:rsid w:val="00E31C84"/>
    <w:rsid w:val="00E3246F"/>
    <w:rsid w:val="00E36343"/>
    <w:rsid w:val="00E37871"/>
    <w:rsid w:val="00E37F52"/>
    <w:rsid w:val="00E40565"/>
    <w:rsid w:val="00E413C1"/>
    <w:rsid w:val="00E43A29"/>
    <w:rsid w:val="00E46340"/>
    <w:rsid w:val="00E46709"/>
    <w:rsid w:val="00E46F42"/>
    <w:rsid w:val="00E5090E"/>
    <w:rsid w:val="00E50CC6"/>
    <w:rsid w:val="00E555FB"/>
    <w:rsid w:val="00E556CC"/>
    <w:rsid w:val="00E5571B"/>
    <w:rsid w:val="00E564F5"/>
    <w:rsid w:val="00E620CD"/>
    <w:rsid w:val="00E636FB"/>
    <w:rsid w:val="00E67737"/>
    <w:rsid w:val="00E67C76"/>
    <w:rsid w:val="00E733C4"/>
    <w:rsid w:val="00E74AE5"/>
    <w:rsid w:val="00E75D2D"/>
    <w:rsid w:val="00E80A49"/>
    <w:rsid w:val="00E81B10"/>
    <w:rsid w:val="00E84563"/>
    <w:rsid w:val="00E84F72"/>
    <w:rsid w:val="00E85888"/>
    <w:rsid w:val="00E878AA"/>
    <w:rsid w:val="00E90B2D"/>
    <w:rsid w:val="00E90C91"/>
    <w:rsid w:val="00E91B98"/>
    <w:rsid w:val="00E93AA7"/>
    <w:rsid w:val="00E95917"/>
    <w:rsid w:val="00E97295"/>
    <w:rsid w:val="00EA00E9"/>
    <w:rsid w:val="00EA40E5"/>
    <w:rsid w:val="00EA57E6"/>
    <w:rsid w:val="00EA5D38"/>
    <w:rsid w:val="00EA7416"/>
    <w:rsid w:val="00EB7AAE"/>
    <w:rsid w:val="00EC0637"/>
    <w:rsid w:val="00EC2A7D"/>
    <w:rsid w:val="00EC33F1"/>
    <w:rsid w:val="00EC3908"/>
    <w:rsid w:val="00EC3D0E"/>
    <w:rsid w:val="00EC517D"/>
    <w:rsid w:val="00EC56B3"/>
    <w:rsid w:val="00EC63D3"/>
    <w:rsid w:val="00EC6E06"/>
    <w:rsid w:val="00ED2AE2"/>
    <w:rsid w:val="00ED3DE2"/>
    <w:rsid w:val="00ED42B5"/>
    <w:rsid w:val="00ED5E7B"/>
    <w:rsid w:val="00ED77FA"/>
    <w:rsid w:val="00ED7AA5"/>
    <w:rsid w:val="00EE189E"/>
    <w:rsid w:val="00EE1DE7"/>
    <w:rsid w:val="00EE3541"/>
    <w:rsid w:val="00EE44ED"/>
    <w:rsid w:val="00EE5AB1"/>
    <w:rsid w:val="00EE5EB2"/>
    <w:rsid w:val="00EE6AEE"/>
    <w:rsid w:val="00EF0524"/>
    <w:rsid w:val="00F009D9"/>
    <w:rsid w:val="00F07C3B"/>
    <w:rsid w:val="00F10348"/>
    <w:rsid w:val="00F10361"/>
    <w:rsid w:val="00F1046C"/>
    <w:rsid w:val="00F11F48"/>
    <w:rsid w:val="00F135C8"/>
    <w:rsid w:val="00F13A86"/>
    <w:rsid w:val="00F16582"/>
    <w:rsid w:val="00F17A42"/>
    <w:rsid w:val="00F20345"/>
    <w:rsid w:val="00F2103F"/>
    <w:rsid w:val="00F21328"/>
    <w:rsid w:val="00F244BB"/>
    <w:rsid w:val="00F24E2B"/>
    <w:rsid w:val="00F250C4"/>
    <w:rsid w:val="00F30FBC"/>
    <w:rsid w:val="00F31EC5"/>
    <w:rsid w:val="00F339C2"/>
    <w:rsid w:val="00F35ED2"/>
    <w:rsid w:val="00F4382C"/>
    <w:rsid w:val="00F43885"/>
    <w:rsid w:val="00F45BD8"/>
    <w:rsid w:val="00F46518"/>
    <w:rsid w:val="00F46A18"/>
    <w:rsid w:val="00F46C65"/>
    <w:rsid w:val="00F501AF"/>
    <w:rsid w:val="00F54BD4"/>
    <w:rsid w:val="00F61B6D"/>
    <w:rsid w:val="00F61D21"/>
    <w:rsid w:val="00F61F5B"/>
    <w:rsid w:val="00F6509A"/>
    <w:rsid w:val="00F6617B"/>
    <w:rsid w:val="00F667DD"/>
    <w:rsid w:val="00F66F8F"/>
    <w:rsid w:val="00F71358"/>
    <w:rsid w:val="00F721AC"/>
    <w:rsid w:val="00F748FC"/>
    <w:rsid w:val="00F75A96"/>
    <w:rsid w:val="00F77549"/>
    <w:rsid w:val="00F82123"/>
    <w:rsid w:val="00F82A64"/>
    <w:rsid w:val="00F833B3"/>
    <w:rsid w:val="00F83E24"/>
    <w:rsid w:val="00F85C23"/>
    <w:rsid w:val="00F8717B"/>
    <w:rsid w:val="00F871C4"/>
    <w:rsid w:val="00F90AD4"/>
    <w:rsid w:val="00F9112D"/>
    <w:rsid w:val="00F94E89"/>
    <w:rsid w:val="00F94E92"/>
    <w:rsid w:val="00F95970"/>
    <w:rsid w:val="00F9671F"/>
    <w:rsid w:val="00FA1D1D"/>
    <w:rsid w:val="00FA3C6C"/>
    <w:rsid w:val="00FB1DB9"/>
    <w:rsid w:val="00FB27AE"/>
    <w:rsid w:val="00FB3200"/>
    <w:rsid w:val="00FB60F6"/>
    <w:rsid w:val="00FB7052"/>
    <w:rsid w:val="00FC1030"/>
    <w:rsid w:val="00FC1EA5"/>
    <w:rsid w:val="00FC3A1C"/>
    <w:rsid w:val="00FC49F9"/>
    <w:rsid w:val="00FC62A2"/>
    <w:rsid w:val="00FD1CB6"/>
    <w:rsid w:val="00FD2071"/>
    <w:rsid w:val="00FD3B31"/>
    <w:rsid w:val="00FD4679"/>
    <w:rsid w:val="00FD52C5"/>
    <w:rsid w:val="00FD5BD1"/>
    <w:rsid w:val="00FD67F2"/>
    <w:rsid w:val="00FD6888"/>
    <w:rsid w:val="00FE33A3"/>
    <w:rsid w:val="00FE7DC8"/>
    <w:rsid w:val="00FF263B"/>
    <w:rsid w:val="00FF2915"/>
    <w:rsid w:val="00FF2E11"/>
    <w:rsid w:val="00FF78BE"/>
    <w:rsid w:val="0297003F"/>
    <w:rsid w:val="0385680C"/>
    <w:rsid w:val="05702DEB"/>
    <w:rsid w:val="05B3F9C8"/>
    <w:rsid w:val="06E27D17"/>
    <w:rsid w:val="07CAADAB"/>
    <w:rsid w:val="093A8BEF"/>
    <w:rsid w:val="0B1B4445"/>
    <w:rsid w:val="0B9585C2"/>
    <w:rsid w:val="0C3DE8EE"/>
    <w:rsid w:val="0C53B55A"/>
    <w:rsid w:val="0CCC9163"/>
    <w:rsid w:val="0E6EAA5A"/>
    <w:rsid w:val="0EB657EE"/>
    <w:rsid w:val="0F1802DB"/>
    <w:rsid w:val="0F47CCB4"/>
    <w:rsid w:val="10BECA06"/>
    <w:rsid w:val="11416209"/>
    <w:rsid w:val="1203AF68"/>
    <w:rsid w:val="12F7DE96"/>
    <w:rsid w:val="135D5C51"/>
    <w:rsid w:val="15EE8090"/>
    <w:rsid w:val="164A9030"/>
    <w:rsid w:val="16FD4066"/>
    <w:rsid w:val="1741407C"/>
    <w:rsid w:val="17DB4E74"/>
    <w:rsid w:val="18E65702"/>
    <w:rsid w:val="19B148BC"/>
    <w:rsid w:val="1ABA22EE"/>
    <w:rsid w:val="1BC7E037"/>
    <w:rsid w:val="1BCAB193"/>
    <w:rsid w:val="1D802A83"/>
    <w:rsid w:val="1DBE09B1"/>
    <w:rsid w:val="1E89A26E"/>
    <w:rsid w:val="1F0B6DE2"/>
    <w:rsid w:val="1FEA4C21"/>
    <w:rsid w:val="21FF5351"/>
    <w:rsid w:val="222593B8"/>
    <w:rsid w:val="224C8632"/>
    <w:rsid w:val="22E29FE2"/>
    <w:rsid w:val="25A832DA"/>
    <w:rsid w:val="25B98E11"/>
    <w:rsid w:val="2C83E7FC"/>
    <w:rsid w:val="2D551F46"/>
    <w:rsid w:val="2D65CC8F"/>
    <w:rsid w:val="2DA21E04"/>
    <w:rsid w:val="2E94A9B4"/>
    <w:rsid w:val="2EDD106A"/>
    <w:rsid w:val="2EF43FAD"/>
    <w:rsid w:val="309832E7"/>
    <w:rsid w:val="31125FD4"/>
    <w:rsid w:val="311B26AC"/>
    <w:rsid w:val="31626C19"/>
    <w:rsid w:val="32725305"/>
    <w:rsid w:val="329BED8B"/>
    <w:rsid w:val="3A0FC807"/>
    <w:rsid w:val="3A221D1D"/>
    <w:rsid w:val="3DE3DDE5"/>
    <w:rsid w:val="3E844C56"/>
    <w:rsid w:val="3F493F24"/>
    <w:rsid w:val="3FC0226A"/>
    <w:rsid w:val="40964F8E"/>
    <w:rsid w:val="44234B74"/>
    <w:rsid w:val="44FCC258"/>
    <w:rsid w:val="45067740"/>
    <w:rsid w:val="4537C711"/>
    <w:rsid w:val="45737CBD"/>
    <w:rsid w:val="46452BF1"/>
    <w:rsid w:val="498C418E"/>
    <w:rsid w:val="49FB8BE0"/>
    <w:rsid w:val="4A96401A"/>
    <w:rsid w:val="4B0D621C"/>
    <w:rsid w:val="4BCE6886"/>
    <w:rsid w:val="4D4779C3"/>
    <w:rsid w:val="4EB3D0EA"/>
    <w:rsid w:val="4EFCDE68"/>
    <w:rsid w:val="511DFED3"/>
    <w:rsid w:val="5490CF4D"/>
    <w:rsid w:val="549B8B6C"/>
    <w:rsid w:val="55F58E7E"/>
    <w:rsid w:val="55FDFBB3"/>
    <w:rsid w:val="5604B2A1"/>
    <w:rsid w:val="56288E02"/>
    <w:rsid w:val="57F9F20E"/>
    <w:rsid w:val="584DB6A0"/>
    <w:rsid w:val="5AF75F82"/>
    <w:rsid w:val="5B75F9B9"/>
    <w:rsid w:val="5C40A9CB"/>
    <w:rsid w:val="5D2FDBA2"/>
    <w:rsid w:val="5D4BF25A"/>
    <w:rsid w:val="5D78C38F"/>
    <w:rsid w:val="5DA9DEB4"/>
    <w:rsid w:val="5E90301A"/>
    <w:rsid w:val="61EB8412"/>
    <w:rsid w:val="620C4151"/>
    <w:rsid w:val="64027149"/>
    <w:rsid w:val="652D16DB"/>
    <w:rsid w:val="65E3E806"/>
    <w:rsid w:val="665E421F"/>
    <w:rsid w:val="675DE1C7"/>
    <w:rsid w:val="68982C58"/>
    <w:rsid w:val="69309EFF"/>
    <w:rsid w:val="6AC8B1B2"/>
    <w:rsid w:val="6BADCE70"/>
    <w:rsid w:val="6C2F1009"/>
    <w:rsid w:val="6EE16056"/>
    <w:rsid w:val="6F7F9EA8"/>
    <w:rsid w:val="702E2C36"/>
    <w:rsid w:val="72083E68"/>
    <w:rsid w:val="725DBEBC"/>
    <w:rsid w:val="727F2F17"/>
    <w:rsid w:val="7437D663"/>
    <w:rsid w:val="7548902E"/>
    <w:rsid w:val="76493829"/>
    <w:rsid w:val="77C63F59"/>
    <w:rsid w:val="78E09A69"/>
    <w:rsid w:val="79E079F3"/>
    <w:rsid w:val="7A86E2ED"/>
    <w:rsid w:val="7ABB2C4C"/>
    <w:rsid w:val="7CFD8914"/>
    <w:rsid w:val="7E19E5B4"/>
    <w:rsid w:val="7E5E19B2"/>
    <w:rsid w:val="7E64F2A7"/>
    <w:rsid w:val="7E86E19C"/>
    <w:rsid w:val="7FB155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04937"/>
  <w15:chartTrackingRefBased/>
  <w15:docId w15:val="{3F8ADEA9-D8FC-4057-8A10-3A65D107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10BDB"/>
    <w:rPr>
      <w:rFonts w:eastAsia="SimSun"/>
      <w:sz w:val="24"/>
      <w:szCs w:val="24"/>
      <w:lang w:eastAsia="zh-CN"/>
    </w:rPr>
  </w:style>
  <w:style w:type="paragraph" w:styleId="Nadpis1">
    <w:name w:val="heading 1"/>
    <w:basedOn w:val="Normln"/>
    <w:next w:val="Normln"/>
    <w:qFormat/>
    <w:rsid w:val="008B2249"/>
    <w:pPr>
      <w:keepNext/>
      <w:outlineLvl w:val="0"/>
    </w:pPr>
    <w:rPr>
      <w:rFonts w:eastAsia="Times New Roman"/>
      <w:szCs w:val="20"/>
      <w:lang w:eastAsia="cs-CZ"/>
    </w:rPr>
  </w:style>
  <w:style w:type="paragraph" w:styleId="Nadpis2">
    <w:name w:val="heading 2"/>
    <w:basedOn w:val="Normln"/>
    <w:next w:val="Normln"/>
    <w:qFormat/>
    <w:rsid w:val="008B2249"/>
    <w:pPr>
      <w:keepNext/>
      <w:outlineLvl w:val="1"/>
    </w:pPr>
    <w:rPr>
      <w:rFonts w:eastAsia="Times New Roman"/>
      <w:b/>
      <w:szCs w:val="20"/>
      <w:lang w:eastAsia="cs-CZ"/>
    </w:rPr>
  </w:style>
  <w:style w:type="paragraph" w:styleId="Nadpis3">
    <w:name w:val="heading 3"/>
    <w:basedOn w:val="Normln"/>
    <w:next w:val="Normln"/>
    <w:qFormat/>
    <w:rsid w:val="008B2249"/>
    <w:pPr>
      <w:keepNext/>
      <w:outlineLvl w:val="2"/>
    </w:pPr>
    <w:rPr>
      <w:rFonts w:eastAsia="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Zkladntextodsazen">
    <w:name w:val="Body Text Indent"/>
    <w:basedOn w:val="Normln"/>
    <w:rsid w:val="008B2249"/>
    <w:rPr>
      <w:rFonts w:eastAsia="Times New Roman"/>
      <w:szCs w:val="20"/>
      <w:lang w:eastAsia="cs-CZ"/>
    </w:rPr>
  </w:style>
  <w:style w:type="paragraph" w:styleId="Zkladntext2">
    <w:name w:val="Body Text 2"/>
    <w:basedOn w:val="Normln"/>
    <w:rsid w:val="008B2249"/>
    <w:pPr>
      <w:jc w:val="center"/>
    </w:pPr>
    <w:rPr>
      <w:rFonts w:eastAsia="Times New Roman"/>
      <w:szCs w:val="20"/>
      <w:lang w:eastAsia="cs-CZ"/>
    </w:rPr>
  </w:style>
  <w:style w:type="paragraph" w:styleId="Zkladntext3">
    <w:name w:val="Body Text 3"/>
    <w:basedOn w:val="Normln"/>
    <w:rsid w:val="008B2249"/>
    <w:pPr>
      <w:jc w:val="both"/>
    </w:pPr>
    <w:rPr>
      <w:rFonts w:eastAsia="Times New Roman"/>
      <w:b/>
      <w:szCs w:val="20"/>
      <w:lang w:eastAsia="cs-CZ"/>
    </w:rPr>
  </w:style>
  <w:style w:type="paragraph" w:styleId="Odstavecseseznamem">
    <w:name w:val="List Paragraph"/>
    <w:basedOn w:val="Normln"/>
    <w:uiPriority w:val="34"/>
    <w:qFormat/>
    <w:rsid w:val="00B24C9E"/>
    <w:pPr>
      <w:ind w:left="708"/>
    </w:pPr>
  </w:style>
  <w:style w:type="paragraph" w:customStyle="1" w:styleId="Zkladntext21">
    <w:name w:val="Základní text 21"/>
    <w:basedOn w:val="Normln"/>
    <w:rsid w:val="0048447A"/>
    <w:pPr>
      <w:suppressAutoHyphens/>
      <w:spacing w:after="120" w:line="480" w:lineRule="auto"/>
    </w:pPr>
    <w:rPr>
      <w:rFonts w:eastAsia="Times New Roman"/>
      <w:sz w:val="20"/>
      <w:szCs w:val="20"/>
      <w:lang w:eastAsia="ar-SA"/>
    </w:rPr>
  </w:style>
  <w:style w:type="character" w:customStyle="1" w:styleId="CommentReference1">
    <w:name w:val="Comment Reference1"/>
    <w:rsid w:val="00A6578B"/>
    <w:rPr>
      <w:sz w:val="16"/>
      <w:szCs w:val="16"/>
    </w:rPr>
  </w:style>
  <w:style w:type="paragraph" w:styleId="Revize">
    <w:name w:val="Revision"/>
    <w:hidden/>
    <w:uiPriority w:val="99"/>
    <w:semiHidden/>
    <w:rsid w:val="002C0F70"/>
    <w:rPr>
      <w:rFonts w:eastAsia="SimSun"/>
      <w:sz w:val="24"/>
      <w:szCs w:val="24"/>
      <w:lang w:eastAsia="zh-CN"/>
    </w:rPr>
  </w:style>
  <w:style w:type="paragraph" w:styleId="Normlnweb">
    <w:name w:val="Normal (Web)"/>
    <w:basedOn w:val="Normln"/>
    <w:uiPriority w:val="99"/>
    <w:unhideWhenUsed/>
    <w:rsid w:val="002C0F70"/>
    <w:pPr>
      <w:spacing w:before="100" w:beforeAutospacing="1" w:after="100" w:afterAutospacing="1"/>
    </w:pPr>
    <w:rPr>
      <w:rFonts w:eastAsia="Times New Roman"/>
      <w:lang w:eastAsia="cs-CZ"/>
    </w:rPr>
  </w:style>
  <w:style w:type="character" w:customStyle="1" w:styleId="ZkladntextChar">
    <w:name w:val="Základní text Char"/>
    <w:uiPriority w:val="99"/>
    <w:locked/>
    <w:rsid w:val="00FD2071"/>
    <w:rPr>
      <w:sz w:val="24"/>
    </w:rPr>
  </w:style>
  <w:style w:type="character" w:customStyle="1" w:styleId="ZhlavChar">
    <w:name w:val="Záhlaví Char"/>
    <w:uiPriority w:val="99"/>
    <w:rsid w:val="00FD2071"/>
    <w:rPr>
      <w:rFonts w:eastAsia="SimSun"/>
      <w:sz w:val="24"/>
      <w:szCs w:val="24"/>
      <w:lang w:eastAsia="zh-CN"/>
    </w:rPr>
  </w:style>
  <w:style w:type="character" w:customStyle="1" w:styleId="ZpatChar">
    <w:name w:val="Zápatí Char"/>
    <w:uiPriority w:val="99"/>
    <w:rsid w:val="00FD2071"/>
    <w:rPr>
      <w:rFonts w:eastAsia="SimSun"/>
      <w:sz w:val="24"/>
      <w:szCs w:val="24"/>
      <w:lang w:eastAsia="zh-CN"/>
    </w:rPr>
  </w:style>
  <w:style w:type="character" w:customStyle="1" w:styleId="TextbublinyChar">
    <w:name w:val="Text bubliny Char"/>
    <w:rsid w:val="00FD2071"/>
    <w:rPr>
      <w:rFonts w:ascii="Tahoma" w:eastAsia="SimSun" w:hAnsi="Tahoma" w:cs="Tahoma"/>
      <w:sz w:val="16"/>
      <w:szCs w:val="16"/>
      <w:lang w:eastAsia="zh-CN"/>
    </w:rPr>
  </w:style>
  <w:style w:type="character" w:customStyle="1" w:styleId="TextkomenteChar">
    <w:name w:val="Text komentáře Char"/>
    <w:rsid w:val="00FD2071"/>
    <w:rPr>
      <w:rFonts w:eastAsia="SimSun"/>
      <w:lang w:eastAsia="zh-CN"/>
    </w:rPr>
  </w:style>
  <w:style w:type="character" w:customStyle="1" w:styleId="PedmtkomenteChar">
    <w:name w:val="Předmět komentáře Char"/>
    <w:rsid w:val="00FD2071"/>
    <w:rPr>
      <w:rFonts w:eastAsia="SimSun"/>
      <w:b/>
      <w:bCs/>
      <w:lang w:eastAsia="zh-CN"/>
    </w:rPr>
  </w:style>
  <w:style w:type="character" w:customStyle="1" w:styleId="TextkomenteChar1">
    <w:name w:val="Text komentáře Char1"/>
    <w:basedOn w:val="Standardnpsmoodstavce"/>
    <w:rsid w:val="00687540"/>
    <w:rPr>
      <w:rFonts w:eastAsia="SimSun"/>
      <w:lang w:eastAsia="zh-CN"/>
    </w:rPr>
  </w:style>
  <w:style w:type="character" w:customStyle="1" w:styleId="PedmtkomenteChar1">
    <w:name w:val="Předmět komentáře Char1"/>
    <w:basedOn w:val="TextkomenteChar1"/>
    <w:rsid w:val="00687540"/>
    <w:rPr>
      <w:rFonts w:eastAsia="SimSun"/>
      <w:b/>
      <w:bCs/>
      <w:lang w:eastAsia="zh-CN"/>
    </w:rPr>
  </w:style>
  <w:style w:type="character" w:customStyle="1" w:styleId="ZhlavChar1">
    <w:name w:val="Záhlaví Char1"/>
    <w:basedOn w:val="Standardnpsmoodstavce"/>
    <w:rsid w:val="00FC62A2"/>
    <w:rPr>
      <w:rFonts w:eastAsia="SimSun"/>
      <w:sz w:val="24"/>
      <w:szCs w:val="24"/>
      <w:lang w:eastAsia="zh-CN"/>
    </w:rPr>
  </w:style>
  <w:style w:type="character" w:customStyle="1" w:styleId="ZpatChar1">
    <w:name w:val="Zápatí Char1"/>
    <w:basedOn w:val="Standardnpsmoodstavce"/>
    <w:uiPriority w:val="99"/>
    <w:rsid w:val="00FC62A2"/>
    <w:rPr>
      <w:rFonts w:eastAsia="SimSun"/>
      <w:sz w:val="24"/>
      <w:szCs w:val="24"/>
      <w:lang w:eastAsia="zh-CN"/>
    </w:rPr>
  </w:style>
  <w:style w:type="character" w:customStyle="1" w:styleId="ZhlavChar2">
    <w:name w:val="Záhlaví Char2"/>
    <w:basedOn w:val="Standardnpsmoodstavce"/>
    <w:rsid w:val="00CA4460"/>
    <w:rPr>
      <w:rFonts w:eastAsia="SimSun"/>
      <w:sz w:val="24"/>
      <w:szCs w:val="24"/>
      <w:lang w:eastAsia="zh-CN"/>
    </w:rPr>
  </w:style>
  <w:style w:type="character" w:customStyle="1" w:styleId="ZpatChar2">
    <w:name w:val="Zápatí Char2"/>
    <w:basedOn w:val="Standardnpsmoodstavce"/>
    <w:uiPriority w:val="99"/>
    <w:rsid w:val="00CA4460"/>
    <w:rPr>
      <w:rFonts w:eastAsia="SimSun"/>
      <w:sz w:val="24"/>
      <w:szCs w:val="24"/>
      <w:lang w:eastAsia="zh-CN"/>
    </w:rPr>
  </w:style>
  <w:style w:type="character" w:customStyle="1" w:styleId="TextkomenteChar2">
    <w:name w:val="Text komentáře Char2"/>
    <w:basedOn w:val="Standardnpsmoodstavce"/>
    <w:rsid w:val="00CA4460"/>
    <w:rPr>
      <w:rFonts w:eastAsia="SimSun"/>
      <w:lang w:eastAsia="zh-CN"/>
    </w:rPr>
  </w:style>
  <w:style w:type="character" w:customStyle="1" w:styleId="PedmtkomenteChar2">
    <w:name w:val="Předmět komentáře Char2"/>
    <w:basedOn w:val="TextkomenteChar2"/>
    <w:rsid w:val="00CA4460"/>
    <w:rPr>
      <w:rFonts w:eastAsia="SimSun"/>
      <w:b/>
      <w:bCs/>
      <w:lang w:eastAsia="zh-CN"/>
    </w:rPr>
  </w:style>
  <w:style w:type="paragraph" w:styleId="Zhlav">
    <w:name w:val="header"/>
    <w:basedOn w:val="Normln"/>
    <w:link w:val="ZhlavChar4"/>
    <w:uiPriority w:val="99"/>
    <w:rsid w:val="00E13BF9"/>
    <w:pPr>
      <w:tabs>
        <w:tab w:val="center" w:pos="4536"/>
        <w:tab w:val="right" w:pos="9072"/>
      </w:tabs>
    </w:pPr>
  </w:style>
  <w:style w:type="character" w:customStyle="1" w:styleId="ZhlavChar4">
    <w:name w:val="Záhlaví Char4"/>
    <w:basedOn w:val="Standardnpsmoodstavce"/>
    <w:link w:val="Zhlav"/>
    <w:rsid w:val="00E13BF9"/>
    <w:rPr>
      <w:rFonts w:eastAsia="SimSun"/>
      <w:sz w:val="24"/>
      <w:szCs w:val="24"/>
      <w:lang w:eastAsia="zh-CN"/>
    </w:rPr>
  </w:style>
  <w:style w:type="paragraph" w:styleId="Zpat">
    <w:name w:val="footer"/>
    <w:basedOn w:val="Normln"/>
    <w:link w:val="ZpatChar4"/>
    <w:uiPriority w:val="99"/>
    <w:rsid w:val="00E13BF9"/>
    <w:pPr>
      <w:tabs>
        <w:tab w:val="center" w:pos="4536"/>
        <w:tab w:val="right" w:pos="9072"/>
      </w:tabs>
    </w:pPr>
  </w:style>
  <w:style w:type="character" w:customStyle="1" w:styleId="ZpatChar4">
    <w:name w:val="Zápatí Char4"/>
    <w:basedOn w:val="Standardnpsmoodstavce"/>
    <w:link w:val="Zpat"/>
    <w:uiPriority w:val="99"/>
    <w:rsid w:val="00E13BF9"/>
    <w:rPr>
      <w:rFonts w:eastAsia="SimSun"/>
      <w:sz w:val="24"/>
      <w:szCs w:val="24"/>
      <w:lang w:eastAsia="zh-CN"/>
    </w:rPr>
  </w:style>
  <w:style w:type="character" w:customStyle="1" w:styleId="TextkomenteChar3">
    <w:name w:val="Text komentáře Char3"/>
    <w:basedOn w:val="Standardnpsmoodstavce"/>
    <w:rsid w:val="008A550E"/>
    <w:rPr>
      <w:rFonts w:eastAsia="SimSun"/>
      <w:lang w:eastAsia="zh-CN"/>
    </w:rPr>
  </w:style>
  <w:style w:type="character" w:customStyle="1" w:styleId="ZhlavChar3">
    <w:name w:val="Záhlaví Char3"/>
    <w:basedOn w:val="Standardnpsmoodstavce"/>
    <w:rsid w:val="008A550E"/>
    <w:rPr>
      <w:rFonts w:eastAsia="SimSun"/>
      <w:sz w:val="24"/>
      <w:szCs w:val="24"/>
      <w:lang w:eastAsia="zh-CN"/>
    </w:rPr>
  </w:style>
  <w:style w:type="character" w:customStyle="1" w:styleId="ZpatChar3">
    <w:name w:val="Zápatí Char3"/>
    <w:basedOn w:val="Standardnpsmoodstavce"/>
    <w:uiPriority w:val="99"/>
    <w:rsid w:val="008A550E"/>
    <w:rPr>
      <w:rFonts w:eastAsia="SimSun"/>
      <w:sz w:val="24"/>
      <w:szCs w:val="24"/>
      <w:lang w:eastAsia="zh-CN"/>
    </w:rPr>
  </w:style>
  <w:style w:type="character" w:customStyle="1" w:styleId="PedmtkomenteChar3">
    <w:name w:val="Předmět komentáře Char3"/>
    <w:basedOn w:val="TextkomenteChar3"/>
    <w:rsid w:val="008A550E"/>
    <w:rPr>
      <w:rFonts w:eastAsia="SimSun"/>
      <w:b/>
      <w:bCs/>
      <w:lang w:eastAsia="zh-CN"/>
    </w:rPr>
  </w:style>
  <w:style w:type="character" w:styleId="Odkaznakoment">
    <w:name w:val="annotation reference"/>
    <w:basedOn w:val="Standardnpsmoodstavce"/>
    <w:rsid w:val="004078AF"/>
    <w:rPr>
      <w:sz w:val="16"/>
      <w:szCs w:val="16"/>
    </w:rPr>
  </w:style>
  <w:style w:type="paragraph" w:styleId="Textkomente">
    <w:name w:val="annotation text"/>
    <w:basedOn w:val="Normln"/>
    <w:link w:val="TextkomenteChar4"/>
    <w:rsid w:val="004078AF"/>
    <w:rPr>
      <w:sz w:val="20"/>
      <w:szCs w:val="20"/>
    </w:rPr>
  </w:style>
  <w:style w:type="character" w:customStyle="1" w:styleId="TextkomenteChar4">
    <w:name w:val="Text komentáře Char4"/>
    <w:basedOn w:val="Standardnpsmoodstavce"/>
    <w:link w:val="Textkomente"/>
    <w:rsid w:val="004078AF"/>
    <w:rPr>
      <w:rFonts w:eastAsia="SimSun"/>
      <w:lang w:eastAsia="zh-CN"/>
    </w:rPr>
  </w:style>
  <w:style w:type="paragraph" w:styleId="Pedmtkomente">
    <w:name w:val="annotation subject"/>
    <w:basedOn w:val="Textkomente"/>
    <w:next w:val="Textkomente"/>
    <w:link w:val="PedmtkomenteChar4"/>
    <w:rsid w:val="004078AF"/>
    <w:rPr>
      <w:b/>
      <w:bCs/>
    </w:rPr>
  </w:style>
  <w:style w:type="character" w:customStyle="1" w:styleId="PedmtkomenteChar4">
    <w:name w:val="Předmět komentáře Char4"/>
    <w:basedOn w:val="TextkomenteChar4"/>
    <w:link w:val="Pedmtkomente"/>
    <w:rsid w:val="004078AF"/>
    <w:rPr>
      <w:rFonts w:eastAsia="SimSun"/>
      <w:b/>
      <w:bCs/>
      <w:lang w:eastAsia="zh-CN"/>
    </w:rPr>
  </w:style>
  <w:style w:type="character" w:styleId="Siln">
    <w:name w:val="Strong"/>
    <w:basedOn w:val="Standardnpsmoodstavce"/>
    <w:uiPriority w:val="22"/>
    <w:qFormat/>
    <w:rsid w:val="008A5A8C"/>
    <w:rPr>
      <w:b/>
      <w:bCs/>
    </w:rPr>
  </w:style>
  <w:style w:type="character" w:customStyle="1" w:styleId="normaltextrun">
    <w:name w:val="normaltextrun"/>
    <w:basedOn w:val="Standardnpsmoodstavce"/>
    <w:rsid w:val="008A5A8C"/>
  </w:style>
  <w:style w:type="table" w:styleId="Tabulkaseznamu3zvraznn4">
    <w:name w:val="List Table 3 Accent 4"/>
    <w:basedOn w:val="Normlntabulka"/>
    <w:uiPriority w:val="48"/>
    <w:rsid w:val="008A5A8C"/>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styleId="Zstupntext">
    <w:name w:val="Placeholder Text"/>
    <w:basedOn w:val="Standardnpsmoodstavce"/>
    <w:uiPriority w:val="99"/>
    <w:semiHidden/>
    <w:rsid w:val="003913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2787B0F89DC724F953E6BF99A33F21A" ma:contentTypeVersion="11" ma:contentTypeDescription="Vytvoří nový dokument" ma:contentTypeScope="" ma:versionID="118f009b12dcc5478d78c7c2c3351ef7">
  <xsd:schema xmlns:xsd="http://www.w3.org/2001/XMLSchema" xmlns:xs="http://www.w3.org/2001/XMLSchema" xmlns:p="http://schemas.microsoft.com/office/2006/metadata/properties" xmlns:ns2="2aafe2df-82d5-4bb6-82da-ef20bfa9ef17" xmlns:ns3="a079e312-86b1-45f7-a8d3-ce67577ef506" targetNamespace="http://schemas.microsoft.com/office/2006/metadata/properties" ma:root="true" ma:fieldsID="4bce887192b53b9a7152d95d8ac37717" ns2:_="" ns3:_="">
    <xsd:import namespace="2aafe2df-82d5-4bb6-82da-ef20bfa9ef17"/>
    <xsd:import namespace="a079e312-86b1-45f7-a8d3-ce67577ef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fe2df-82d5-4bb6-82da-ef20bfa9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b78568ae-09e4-4dc3-ae12-112795fb24b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79e312-86b1-45f7-a8d3-ce67577ef50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c3e3520-514d-489d-a853-15dd2acc5950}" ma:internalName="TaxCatchAll" ma:showField="CatchAllData" ma:web="a079e312-86b1-45f7-a8d3-ce67577ef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afe2df-82d5-4bb6-82da-ef20bfa9ef17">
      <Terms xmlns="http://schemas.microsoft.com/office/infopath/2007/PartnerControls"/>
    </lcf76f155ced4ddcb4097134ff3c332f>
    <TaxCatchAll xmlns="a079e312-86b1-45f7-a8d3-ce67577ef506" xsi:nil="true"/>
  </documentManagement>
</p:properties>
</file>

<file path=customXml/itemProps1.xml><?xml version="1.0" encoding="utf-8"?>
<ds:datastoreItem xmlns:ds="http://schemas.openxmlformats.org/officeDocument/2006/customXml" ds:itemID="{997359EC-5932-483A-A589-F66CB404C784}">
  <ds:schemaRefs>
    <ds:schemaRef ds:uri="http://schemas.openxmlformats.org/officeDocument/2006/bibliography"/>
  </ds:schemaRefs>
</ds:datastoreItem>
</file>

<file path=customXml/itemProps2.xml><?xml version="1.0" encoding="utf-8"?>
<ds:datastoreItem xmlns:ds="http://schemas.openxmlformats.org/officeDocument/2006/customXml" ds:itemID="{4A14DEB7-2751-4E98-9641-A70421047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fe2df-82d5-4bb6-82da-ef20bfa9ef17"/>
    <ds:schemaRef ds:uri="a079e312-86b1-45f7-a8d3-ce67577ef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64FE5-3F6C-430E-B402-E841B5609244}">
  <ds:schemaRefs>
    <ds:schemaRef ds:uri="http://schemas.microsoft.com/sharepoint/v3/contenttype/forms"/>
  </ds:schemaRefs>
</ds:datastoreItem>
</file>

<file path=customXml/itemProps4.xml><?xml version="1.0" encoding="utf-8"?>
<ds:datastoreItem xmlns:ds="http://schemas.openxmlformats.org/officeDocument/2006/customXml" ds:itemID="{F35E5A96-54E8-4FAF-B84A-A08397B762E1}">
  <ds:schemaRefs>
    <ds:schemaRef ds:uri="http://schemas.microsoft.com/office/2006/metadata/properties"/>
    <ds:schemaRef ds:uri="http://schemas.microsoft.com/office/infopath/2007/PartnerControls"/>
    <ds:schemaRef ds:uri="2aafe2df-82d5-4bb6-82da-ef20bfa9ef17"/>
    <ds:schemaRef ds:uri="a079e312-86b1-45f7-a8d3-ce67577ef50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4334</Words>
  <Characters>25574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SMLOUVA</vt:lpstr>
    </vt:vector>
  </TitlesOfParts>
  <Company>FTNsP</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stanislav.vanik</dc:creator>
  <cp:keywords/>
  <cp:lastModifiedBy>Klimánková Pavla</cp:lastModifiedBy>
  <cp:revision>2</cp:revision>
  <cp:lastPrinted>2026-05-26T10:24:00Z</cp:lastPrinted>
  <dcterms:created xsi:type="dcterms:W3CDTF">2026-06-11T06:14:00Z</dcterms:created>
  <dcterms:modified xsi:type="dcterms:W3CDTF">2026-06-11T06:14:00Z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0x010100D2787B0F89DC724F953E6BF99A33F21A</vt:lpwstr>
  </property>
  <property fmtid="{D5CDD505-2E9C-101B-9397-08002B2CF9AE}" pid="5" name="MediaServiceImageTags">
    <vt:lpwstr/>
  </property>
  <property fmtid="{D5CDD505-2E9C-101B-9397-08002B2CF9AE}" pid="6" name="MSIP_Label_c93be096-951f-40f1-830d-c27b8a8c2c27_Enabled">
    <vt:lpwstr>true</vt:lpwstr>
  </property>
  <property fmtid="{D5CDD505-2E9C-101B-9397-08002B2CF9AE}" pid="7" name="MSIP_Label_c93be096-951f-40f1-830d-c27b8a8c2c27_SetDate">
    <vt:lpwstr>2026-05-14T15:43:16Z</vt:lpwstr>
  </property>
  <property fmtid="{D5CDD505-2E9C-101B-9397-08002B2CF9AE}" pid="8" name="MSIP_Label_c93be096-951f-40f1-830d-c27b8a8c2c27_Method">
    <vt:lpwstr>Standard</vt:lpwstr>
  </property>
  <property fmtid="{D5CDD505-2E9C-101B-9397-08002B2CF9AE}" pid="9" name="MSIP_Label_c93be096-951f-40f1-830d-c27b8a8c2c27_Name">
    <vt:lpwstr>defa4170-0d19-0005-0004-bc88714345d2</vt:lpwstr>
  </property>
  <property fmtid="{D5CDD505-2E9C-101B-9397-08002B2CF9AE}" pid="10" name="MSIP_Label_c93be096-951f-40f1-830d-c27b8a8c2c27_SiteId">
    <vt:lpwstr>00847377-d903-4047-af0c-776d9611e3e6</vt:lpwstr>
  </property>
  <property fmtid="{D5CDD505-2E9C-101B-9397-08002B2CF9AE}" pid="11" name="MSIP_Label_c93be096-951f-40f1-830d-c27b8a8c2c27_ActionId">
    <vt:lpwstr>5f409e99-075d-41ca-b8d6-fb840f05e8e6</vt:lpwstr>
  </property>
  <property fmtid="{D5CDD505-2E9C-101B-9397-08002B2CF9AE}" pid="12" name="MSIP_Label_c93be096-951f-40f1-830d-c27b8a8c2c27_ContentBits">
    <vt:lpwstr>0</vt:lpwstr>
  </property>
  <property fmtid="{D5CDD505-2E9C-101B-9397-08002B2CF9AE}" pid="13" name="MSIP_Label_c93be096-951f-40f1-830d-c27b8a8c2c27_Tag">
    <vt:lpwstr>10, 3, 0, 1</vt:lpwstr>
  </property>
</Properties>
</file>