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34AD" w:rsidRPr="00B34FFB" w:rsidRDefault="003C34AD" w:rsidP="003C34AD">
      <w:pPr>
        <w:jc w:val="both"/>
        <w:rPr>
          <w:b/>
          <w:sz w:val="24"/>
          <w:szCs w:val="24"/>
        </w:rPr>
      </w:pPr>
      <w:r w:rsidRPr="003C7796">
        <w:rPr>
          <w:b/>
          <w:bCs/>
          <w:iCs/>
          <w:sz w:val="28"/>
          <w:szCs w:val="28"/>
        </w:rPr>
        <w:t>Sběr dat pro plány péče</w:t>
      </w:r>
      <w:r>
        <w:rPr>
          <w:b/>
          <w:bCs/>
          <w:iCs/>
          <w:sz w:val="28"/>
          <w:szCs w:val="28"/>
        </w:rPr>
        <w:t xml:space="preserve"> – příloha</w:t>
      </w:r>
    </w:p>
    <w:p w:rsidR="003C34AD" w:rsidRPr="00804113" w:rsidRDefault="003C34AD" w:rsidP="003C34AD">
      <w:pPr>
        <w:jc w:val="both"/>
        <w:rPr>
          <w:b/>
          <w:sz w:val="24"/>
          <w:szCs w:val="24"/>
        </w:rPr>
      </w:pPr>
    </w:p>
    <w:p w:rsidR="003C34AD" w:rsidRPr="008E7DEF" w:rsidRDefault="003C34AD" w:rsidP="003C34AD">
      <w:pPr>
        <w:jc w:val="both"/>
        <w:rPr>
          <w:b/>
          <w:sz w:val="24"/>
          <w:szCs w:val="24"/>
        </w:rPr>
      </w:pPr>
      <w:r w:rsidRPr="008E7DEF">
        <w:rPr>
          <w:b/>
          <w:sz w:val="24"/>
          <w:szCs w:val="24"/>
        </w:rPr>
        <w:t>A)</w:t>
      </w:r>
      <w:r w:rsidR="00F05963" w:rsidRPr="008E7DEF">
        <w:rPr>
          <w:b/>
          <w:sz w:val="24"/>
          <w:szCs w:val="24"/>
        </w:rPr>
        <w:t xml:space="preserve"> Věková a prostorová struktura horských přirozených lesů a jejich biodiverzita </w:t>
      </w:r>
    </w:p>
    <w:p w:rsidR="003C34AD" w:rsidRPr="00516F31" w:rsidRDefault="003C34AD" w:rsidP="003C34AD">
      <w:pPr>
        <w:jc w:val="both"/>
        <w:rPr>
          <w:b/>
          <w:sz w:val="24"/>
          <w:szCs w:val="24"/>
        </w:rPr>
      </w:pPr>
    </w:p>
    <w:p w:rsidR="003C34AD" w:rsidRDefault="003C34AD" w:rsidP="003C34AD">
      <w:pPr>
        <w:jc w:val="both"/>
        <w:rPr>
          <w:sz w:val="24"/>
          <w:szCs w:val="24"/>
        </w:rPr>
      </w:pPr>
      <w:r w:rsidRPr="00516F31">
        <w:rPr>
          <w:sz w:val="24"/>
          <w:szCs w:val="24"/>
        </w:rPr>
        <w:t>Dendrochronologický</w:t>
      </w:r>
      <w:r w:rsidR="00F05963">
        <w:rPr>
          <w:sz w:val="24"/>
          <w:szCs w:val="24"/>
        </w:rPr>
        <w:t xml:space="preserve"> a dendrometri</w:t>
      </w:r>
      <w:r w:rsidR="0044718C">
        <w:rPr>
          <w:sz w:val="24"/>
          <w:szCs w:val="24"/>
        </w:rPr>
        <w:t>c</w:t>
      </w:r>
      <w:r w:rsidR="00F05963">
        <w:rPr>
          <w:sz w:val="24"/>
          <w:szCs w:val="24"/>
        </w:rPr>
        <w:t>ký</w:t>
      </w:r>
      <w:r w:rsidRPr="00516F31">
        <w:rPr>
          <w:sz w:val="24"/>
          <w:szCs w:val="24"/>
        </w:rPr>
        <w:t xml:space="preserve"> průzkum pralesovitých lesních porostů</w:t>
      </w:r>
      <w:r w:rsidR="00F05963">
        <w:rPr>
          <w:sz w:val="24"/>
          <w:szCs w:val="24"/>
        </w:rPr>
        <w:t xml:space="preserve"> se sběrem dat o základních bioindikačních skupinách organismů</w:t>
      </w:r>
      <w:r w:rsidRPr="00516F31">
        <w:rPr>
          <w:sz w:val="24"/>
          <w:szCs w:val="24"/>
        </w:rPr>
        <w:t xml:space="preserve"> si klade následující cíle:</w:t>
      </w:r>
    </w:p>
    <w:p w:rsidR="0044718C" w:rsidRPr="00516F31" w:rsidRDefault="0044718C" w:rsidP="003C34AD">
      <w:pPr>
        <w:jc w:val="both"/>
        <w:rPr>
          <w:sz w:val="24"/>
          <w:szCs w:val="24"/>
        </w:rPr>
      </w:pPr>
    </w:p>
    <w:p w:rsidR="003C34AD" w:rsidRPr="00516F31" w:rsidRDefault="003C34AD" w:rsidP="003C34AD">
      <w:pPr>
        <w:jc w:val="both"/>
        <w:rPr>
          <w:sz w:val="24"/>
          <w:szCs w:val="24"/>
        </w:rPr>
      </w:pPr>
      <w:r w:rsidRPr="00516F31">
        <w:rPr>
          <w:b/>
          <w:sz w:val="24"/>
          <w:szCs w:val="24"/>
        </w:rPr>
        <w:t xml:space="preserve">1) </w:t>
      </w:r>
      <w:r w:rsidRPr="00516F31">
        <w:rPr>
          <w:sz w:val="24"/>
          <w:szCs w:val="24"/>
        </w:rPr>
        <w:t xml:space="preserve">pomocí letokruhové analýzy popsat vznik vybraných pralesovitých porostů horských smrčin včetně jejich dalšího předpokládaného vývoje. Tento cíl bude primárně analyzován odhalením historických narušení, která se v porostu vyskytla, a dále analýzou historie přírůstu. Zásadní otázkou je, zda studované porosty vznikly přirozeným způsobem po přirozených disturbancích nebo jsou výsledkem působení lidské činnosti, resp. jejich kombinací. </w:t>
      </w:r>
    </w:p>
    <w:p w:rsidR="003C34AD" w:rsidRPr="00516F31" w:rsidRDefault="003C34AD" w:rsidP="003C34AD">
      <w:pPr>
        <w:jc w:val="both"/>
        <w:rPr>
          <w:sz w:val="24"/>
          <w:szCs w:val="24"/>
        </w:rPr>
      </w:pPr>
    </w:p>
    <w:p w:rsidR="003C34AD" w:rsidRPr="00516F31" w:rsidRDefault="003C34AD" w:rsidP="003C34AD">
      <w:pPr>
        <w:jc w:val="both"/>
        <w:rPr>
          <w:sz w:val="24"/>
          <w:szCs w:val="24"/>
        </w:rPr>
      </w:pPr>
      <w:r w:rsidRPr="00516F31">
        <w:rPr>
          <w:b/>
          <w:sz w:val="24"/>
          <w:szCs w:val="24"/>
        </w:rPr>
        <w:t xml:space="preserve">2) </w:t>
      </w:r>
      <w:r w:rsidRPr="00516F31">
        <w:rPr>
          <w:sz w:val="24"/>
          <w:szCs w:val="24"/>
        </w:rPr>
        <w:t>analyzovat současnou strukturu porostů se vztahem k jejich historickému vývoji. Zjistit, zda se v porostech vyskytují typické pralesovité charakteristiky a jaká je jejich struktura. Dále objem a struktura mrtvého dřeva a struktura přirozené obnovy a stromového patra.</w:t>
      </w:r>
    </w:p>
    <w:p w:rsidR="003C34AD" w:rsidRPr="00516F31" w:rsidRDefault="003C34AD" w:rsidP="003C34AD">
      <w:pPr>
        <w:jc w:val="both"/>
        <w:rPr>
          <w:b/>
          <w:sz w:val="24"/>
          <w:szCs w:val="24"/>
        </w:rPr>
      </w:pPr>
    </w:p>
    <w:p w:rsidR="003C34AD" w:rsidRPr="00516F31" w:rsidRDefault="003C34AD" w:rsidP="003C34AD">
      <w:pPr>
        <w:jc w:val="both"/>
        <w:rPr>
          <w:sz w:val="24"/>
          <w:szCs w:val="24"/>
        </w:rPr>
      </w:pPr>
      <w:r w:rsidRPr="00516F31">
        <w:rPr>
          <w:b/>
          <w:sz w:val="24"/>
          <w:szCs w:val="24"/>
        </w:rPr>
        <w:t xml:space="preserve">3) </w:t>
      </w:r>
      <w:r w:rsidRPr="00516F31">
        <w:rPr>
          <w:sz w:val="24"/>
          <w:szCs w:val="24"/>
        </w:rPr>
        <w:t xml:space="preserve">opětovně dendrometricky zaměřit v minulosti zaměřené plochy a srovnat parametry jednotlivých struktur (mrtvé dřevo, obnova, živé i odumřelé stromy atd.), pro korelaci změn ve stromovém patře a biologické rozmanitosti shromáždit data o diverzitě vybraných skupin organismů (mechorosty, lišejníky, saproxylické houby). </w:t>
      </w:r>
    </w:p>
    <w:p w:rsidR="003C34AD" w:rsidRPr="00516F31" w:rsidRDefault="003C34AD" w:rsidP="003C34AD">
      <w:pPr>
        <w:jc w:val="both"/>
        <w:rPr>
          <w:sz w:val="24"/>
          <w:szCs w:val="24"/>
        </w:rPr>
      </w:pPr>
    </w:p>
    <w:p w:rsidR="003C34AD" w:rsidRPr="00516F31" w:rsidRDefault="003C34AD" w:rsidP="003C34AD">
      <w:pPr>
        <w:jc w:val="both"/>
        <w:rPr>
          <w:sz w:val="24"/>
          <w:szCs w:val="24"/>
        </w:rPr>
      </w:pPr>
      <w:r w:rsidRPr="00516F31">
        <w:rPr>
          <w:b/>
          <w:sz w:val="24"/>
          <w:szCs w:val="24"/>
        </w:rPr>
        <w:t>4</w:t>
      </w:r>
      <w:r w:rsidRPr="00516F31">
        <w:rPr>
          <w:b/>
          <w:bCs/>
          <w:sz w:val="24"/>
          <w:szCs w:val="24"/>
        </w:rPr>
        <w:t xml:space="preserve">) </w:t>
      </w:r>
      <w:r w:rsidRPr="00516F31">
        <w:rPr>
          <w:sz w:val="24"/>
          <w:szCs w:val="24"/>
        </w:rPr>
        <w:t>ze získaných poznatků vyvodit předpokládaný trend dalšího vývoje porostů a jeho dopady pro stav předmětu ochrany chráněných území a navrhnout managementová opatření.</w:t>
      </w:r>
    </w:p>
    <w:p w:rsidR="003C34AD" w:rsidRPr="00516F31" w:rsidRDefault="003C34AD" w:rsidP="003C34AD">
      <w:pPr>
        <w:jc w:val="both"/>
        <w:rPr>
          <w:sz w:val="24"/>
          <w:szCs w:val="24"/>
        </w:rPr>
      </w:pPr>
    </w:p>
    <w:p w:rsidR="003C34AD" w:rsidRPr="00516F31" w:rsidRDefault="003C34AD" w:rsidP="003C34AD">
      <w:pPr>
        <w:jc w:val="both"/>
        <w:rPr>
          <w:sz w:val="24"/>
          <w:szCs w:val="24"/>
        </w:rPr>
      </w:pPr>
    </w:p>
    <w:p w:rsidR="003C34AD" w:rsidRPr="00516F31" w:rsidRDefault="003C34AD" w:rsidP="003C34AD">
      <w:pPr>
        <w:jc w:val="both"/>
        <w:rPr>
          <w:b/>
          <w:sz w:val="24"/>
          <w:szCs w:val="24"/>
        </w:rPr>
      </w:pPr>
      <w:r w:rsidRPr="00516F31">
        <w:rPr>
          <w:b/>
          <w:sz w:val="24"/>
          <w:szCs w:val="24"/>
        </w:rPr>
        <w:t>Metodika:</w:t>
      </w:r>
    </w:p>
    <w:p w:rsidR="003C34AD" w:rsidRPr="00516F31" w:rsidRDefault="003C34AD" w:rsidP="003C34AD">
      <w:pPr>
        <w:jc w:val="both"/>
        <w:rPr>
          <w:b/>
          <w:sz w:val="24"/>
          <w:szCs w:val="24"/>
        </w:rPr>
      </w:pPr>
    </w:p>
    <w:p w:rsidR="003C34AD" w:rsidRPr="00516F31" w:rsidRDefault="003C34AD" w:rsidP="003C34AD">
      <w:pPr>
        <w:pStyle w:val="Nadpis4"/>
        <w:autoSpaceDE/>
        <w:autoSpaceDN/>
        <w:spacing w:before="240" w:after="60"/>
        <w:jc w:val="both"/>
        <w:rPr>
          <w:rFonts w:ascii="Times New Roman" w:hAnsi="Times New Roman"/>
          <w:sz w:val="24"/>
          <w:szCs w:val="24"/>
        </w:rPr>
      </w:pPr>
      <w:r w:rsidRPr="00516F31">
        <w:rPr>
          <w:rFonts w:ascii="Times New Roman" w:hAnsi="Times New Roman"/>
          <w:sz w:val="24"/>
          <w:szCs w:val="24"/>
        </w:rPr>
        <w:t xml:space="preserve">a) Analýza nových trvalých výzkumných ploch (TVP) </w:t>
      </w:r>
    </w:p>
    <w:p w:rsidR="003C34AD" w:rsidRPr="00516F31" w:rsidRDefault="003C34AD" w:rsidP="003C34AD">
      <w:pPr>
        <w:pStyle w:val="Default"/>
        <w:jc w:val="both"/>
      </w:pPr>
      <w:r w:rsidRPr="00516F31">
        <w:t xml:space="preserve"> </w:t>
      </w:r>
    </w:p>
    <w:p w:rsidR="003C34AD" w:rsidRPr="00516F31" w:rsidRDefault="003C34AD" w:rsidP="003C34AD">
      <w:pPr>
        <w:pStyle w:val="Default"/>
        <w:jc w:val="both"/>
        <w:rPr>
          <w:i/>
          <w:u w:val="single"/>
        </w:rPr>
      </w:pPr>
      <w:r w:rsidRPr="00516F31">
        <w:rPr>
          <w:bCs/>
          <w:i/>
          <w:u w:val="single"/>
        </w:rPr>
        <w:t xml:space="preserve">Sběr dat: </w:t>
      </w:r>
    </w:p>
    <w:p w:rsidR="003C34AD" w:rsidRPr="00516F31" w:rsidRDefault="003C34AD" w:rsidP="003C34AD">
      <w:pPr>
        <w:pStyle w:val="Default"/>
        <w:jc w:val="both"/>
      </w:pPr>
      <w:r w:rsidRPr="00516F31">
        <w:t xml:space="preserve">Struktura a historie smrkového porostu na lokalitě bude studována na </w:t>
      </w:r>
      <w:r w:rsidRPr="00516F31">
        <w:rPr>
          <w:bCs/>
        </w:rPr>
        <w:t xml:space="preserve">trvale založených malých kruhových TVP v letech 2018 (podzim) a 2019 (jaro). </w:t>
      </w:r>
      <w:r w:rsidRPr="00516F31">
        <w:t>Zájmové území bylo rozčleněno na 7 segmentů, kde byly vyloučeny okraje porostů, okolí cest, rokle apod, jednotlivé segmenty reprezentují porosty s různým stupněm zachovalosti a přítomností pralesovitých znaků. Celková plocha segmentů představuje 477,</w:t>
      </w:r>
      <w:r w:rsidRPr="00516F31">
        <w:rPr>
          <w:color w:val="auto"/>
        </w:rPr>
        <w:t xml:space="preserve">10 ha. </w:t>
      </w:r>
      <w:r w:rsidRPr="00516F31">
        <w:t xml:space="preserve">Do každého segmentu budou náhodně umístěné body (náhodným vygenerováním souřadnic). Každý bod bude následně představovat střed kruhové TVP (bude vygenerováno celkem tedy 14 TVP). Tyto středové body budou zaměřeny s přesností do 1 m a označeny železnými trubkami. </w:t>
      </w:r>
    </w:p>
    <w:p w:rsidR="003C34AD" w:rsidRPr="00516F31" w:rsidRDefault="003C34AD" w:rsidP="003C34AD">
      <w:pPr>
        <w:pStyle w:val="Default"/>
        <w:jc w:val="both"/>
      </w:pPr>
      <w:r w:rsidRPr="00516F31">
        <w:t>Základní velikost každé kruhové TVP bude 1000 m</w:t>
      </w:r>
      <w:r w:rsidRPr="00516F31">
        <w:rPr>
          <w:vertAlign w:val="superscript"/>
        </w:rPr>
        <w:t>2</w:t>
      </w:r>
      <w:r w:rsidRPr="00516F31">
        <w:t xml:space="preserve"> (poloměr 17,84 m). Na této ploše budou </w:t>
      </w:r>
      <w:r w:rsidRPr="00516F31">
        <w:rPr>
          <w:bCs/>
        </w:rPr>
        <w:t xml:space="preserve">geodeticky zaměřeny </w:t>
      </w:r>
      <w:r w:rsidRPr="00516F31">
        <w:t>(technologií FieldMap</w:t>
      </w:r>
      <w:r w:rsidRPr="00516F31">
        <w:rPr>
          <w:vertAlign w:val="superscript"/>
        </w:rPr>
        <w:t>®</w:t>
      </w:r>
      <w:r w:rsidRPr="00516F31">
        <w:t xml:space="preserve">, Monitoring and Mapping Solutions, Ltd.; www.fieldmap.cz) všechny stojící živé a mrtvé stromy nad 10 cm výčetní tloušťky a ležící mrtvé dřevo s průměrem nad 10 cm na tlustším konci a délkou větší než 1,5 m. U každého stojícího kmene bude určen druh, výčetní tloušťka, výška a u živých stromů navíc poloměr koruny. Mrtvé stojící kmeny budou rozlišovány na souše (bez poškození, vrškový nebo korunový zlom) a pahýly (kmenový zlom či zlom v patě). Na každé ploše bude odhadnuta zásoba živých a mrtvých stromů podle vztahu publikovaného v práci Korsuň (1961, http://tserver.ifer.cz/dendrometrickalaborator/ index.php?page=objem&amp;file=1327163248). </w:t>
      </w:r>
    </w:p>
    <w:p w:rsidR="003C34AD" w:rsidRDefault="003C34AD" w:rsidP="003C34AD">
      <w:pPr>
        <w:pStyle w:val="Default"/>
        <w:jc w:val="both"/>
      </w:pPr>
      <w:r w:rsidRPr="00516F31">
        <w:lastRenderedPageBreak/>
        <w:t xml:space="preserve">Pro tyto účely bude na každé ploše zvlášť modelován vztah výšky na tloušťce stromu. Tento vztah bude následně extrapolován i pro stromy, u nichž nebyla měřena výška. Tento vztah bude extrapolován i pro pahýly. Skutečný objem pahýlů bude poté redukován o chybějící část kmene podle Šmelka (2010). U ležících kmenů bude měřena tloušťka na čelech a určována třída rozkladu na stupnici od jedné do pěti (Sippola &amp; Renvall 1999). </w:t>
      </w:r>
    </w:p>
    <w:p w:rsidR="003C34AD" w:rsidRPr="00516F31" w:rsidRDefault="003C34AD" w:rsidP="003C34AD">
      <w:pPr>
        <w:pStyle w:val="Default"/>
        <w:jc w:val="both"/>
      </w:pPr>
    </w:p>
    <w:p w:rsidR="003C34AD" w:rsidRPr="00973008" w:rsidRDefault="003C34AD" w:rsidP="003C34AD">
      <w:pPr>
        <w:pStyle w:val="Default"/>
        <w:jc w:val="both"/>
        <w:rPr>
          <w:i/>
          <w:sz w:val="20"/>
          <w:szCs w:val="20"/>
        </w:rPr>
      </w:pPr>
      <w:r w:rsidRPr="00973008">
        <w:rPr>
          <w:i/>
          <w:sz w:val="20"/>
          <w:szCs w:val="20"/>
        </w:rPr>
        <w:t>tab. 1</w:t>
      </w:r>
    </w:p>
    <w:tbl>
      <w:tblPr>
        <w:tblW w:w="9135" w:type="dxa"/>
        <w:tblInd w:w="-56" w:type="dxa"/>
        <w:tblBorders>
          <w:top w:val="single" w:sz="12" w:space="0" w:color="000000"/>
          <w:bottom w:val="single" w:sz="12" w:space="0" w:color="000000"/>
        </w:tblBorders>
        <w:tblLook w:val="04A0"/>
      </w:tblPr>
      <w:tblGrid>
        <w:gridCol w:w="1421"/>
        <w:gridCol w:w="7714"/>
      </w:tblGrid>
      <w:tr w:rsidR="003C34AD" w:rsidRPr="00973008" w:rsidTr="00640B51">
        <w:trPr>
          <w:trHeight w:val="316"/>
        </w:trPr>
        <w:tc>
          <w:tcPr>
            <w:tcW w:w="1421" w:type="dxa"/>
            <w:tcBorders>
              <w:bottom w:val="single" w:sz="6" w:space="0" w:color="000000"/>
              <w:right w:val="single" w:sz="6" w:space="0" w:color="000000"/>
            </w:tcBorders>
            <w:shd w:val="clear" w:color="auto" w:fill="auto"/>
            <w:noWrap/>
          </w:tcPr>
          <w:p w:rsidR="003C34AD" w:rsidRPr="00973008" w:rsidRDefault="003C34AD" w:rsidP="00640B51">
            <w:pPr>
              <w:jc w:val="both"/>
              <w:rPr>
                <w:b/>
                <w:iCs/>
                <w:color w:val="000000"/>
              </w:rPr>
            </w:pPr>
            <w:r w:rsidRPr="00973008">
              <w:rPr>
                <w:b/>
                <w:iCs/>
                <w:color w:val="000000"/>
              </w:rPr>
              <w:t>tř. rozkladu</w:t>
            </w:r>
          </w:p>
        </w:tc>
        <w:tc>
          <w:tcPr>
            <w:tcW w:w="7714" w:type="dxa"/>
            <w:tcBorders>
              <w:bottom w:val="single" w:sz="6" w:space="0" w:color="000000"/>
            </w:tcBorders>
            <w:shd w:val="clear" w:color="auto" w:fill="auto"/>
            <w:noWrap/>
          </w:tcPr>
          <w:p w:rsidR="003C34AD" w:rsidRPr="00973008" w:rsidRDefault="003C34AD" w:rsidP="00640B51">
            <w:pPr>
              <w:jc w:val="both"/>
              <w:rPr>
                <w:b/>
                <w:bCs/>
                <w:iCs/>
              </w:rPr>
            </w:pPr>
            <w:r w:rsidRPr="00973008">
              <w:rPr>
                <w:b/>
                <w:bCs/>
                <w:iCs/>
              </w:rPr>
              <w:t>Popis</w:t>
            </w:r>
          </w:p>
        </w:tc>
      </w:tr>
      <w:tr w:rsidR="003C34AD" w:rsidRPr="00973008" w:rsidTr="00640B51">
        <w:trPr>
          <w:trHeight w:val="316"/>
        </w:trPr>
        <w:tc>
          <w:tcPr>
            <w:tcW w:w="1421" w:type="dxa"/>
            <w:tcBorders>
              <w:right w:val="single" w:sz="6" w:space="0" w:color="000000"/>
            </w:tcBorders>
            <w:shd w:val="clear" w:color="auto" w:fill="auto"/>
            <w:noWrap/>
          </w:tcPr>
          <w:p w:rsidR="003C34AD" w:rsidRPr="00973008" w:rsidRDefault="003C34AD" w:rsidP="00640B51">
            <w:pPr>
              <w:jc w:val="both"/>
              <w:rPr>
                <w:color w:val="000000"/>
              </w:rPr>
            </w:pPr>
            <w:r w:rsidRPr="00973008">
              <w:rPr>
                <w:color w:val="000000"/>
              </w:rPr>
              <w:t>1</w:t>
            </w:r>
          </w:p>
        </w:tc>
        <w:tc>
          <w:tcPr>
            <w:tcW w:w="7714" w:type="dxa"/>
            <w:shd w:val="clear" w:color="auto" w:fill="auto"/>
            <w:noWrap/>
          </w:tcPr>
          <w:p w:rsidR="003C34AD" w:rsidRPr="00973008" w:rsidRDefault="003C34AD" w:rsidP="00640B51">
            <w:pPr>
              <w:jc w:val="both"/>
              <w:rPr>
                <w:color w:val="000000"/>
              </w:rPr>
            </w:pPr>
            <w:r w:rsidRPr="00973008">
              <w:rPr>
                <w:color w:val="000000"/>
              </w:rPr>
              <w:t>právě odumřelý strom, alespoň místy živé lýko, kůra na celém kmeni, dřevo     tvrdé</w:t>
            </w:r>
          </w:p>
        </w:tc>
      </w:tr>
      <w:tr w:rsidR="003C34AD" w:rsidRPr="00973008" w:rsidTr="00640B51">
        <w:trPr>
          <w:trHeight w:val="316"/>
        </w:trPr>
        <w:tc>
          <w:tcPr>
            <w:tcW w:w="1421" w:type="dxa"/>
            <w:tcBorders>
              <w:right w:val="single" w:sz="6" w:space="0" w:color="000000"/>
            </w:tcBorders>
            <w:shd w:val="clear" w:color="auto" w:fill="auto"/>
            <w:noWrap/>
          </w:tcPr>
          <w:p w:rsidR="003C34AD" w:rsidRPr="00973008" w:rsidRDefault="003C34AD" w:rsidP="00640B51">
            <w:pPr>
              <w:jc w:val="both"/>
              <w:rPr>
                <w:color w:val="000000"/>
              </w:rPr>
            </w:pPr>
            <w:r w:rsidRPr="00973008">
              <w:rPr>
                <w:color w:val="000000"/>
              </w:rPr>
              <w:t>2</w:t>
            </w:r>
          </w:p>
        </w:tc>
        <w:tc>
          <w:tcPr>
            <w:tcW w:w="7714" w:type="dxa"/>
            <w:shd w:val="clear" w:color="auto" w:fill="auto"/>
            <w:noWrap/>
          </w:tcPr>
          <w:p w:rsidR="003C34AD" w:rsidRPr="00973008" w:rsidRDefault="003C34AD" w:rsidP="00640B51">
            <w:pPr>
              <w:jc w:val="both"/>
              <w:rPr>
                <w:color w:val="000000"/>
              </w:rPr>
            </w:pPr>
            <w:r w:rsidRPr="00973008">
              <w:rPr>
                <w:color w:val="000000"/>
              </w:rPr>
              <w:t>dřevo tvrdé, většina kůry zachovalá, ale bez živého lýka</w:t>
            </w:r>
          </w:p>
        </w:tc>
      </w:tr>
      <w:tr w:rsidR="003C34AD" w:rsidRPr="00973008" w:rsidTr="00640B51">
        <w:trPr>
          <w:trHeight w:val="316"/>
        </w:trPr>
        <w:tc>
          <w:tcPr>
            <w:tcW w:w="1421" w:type="dxa"/>
            <w:tcBorders>
              <w:right w:val="single" w:sz="6" w:space="0" w:color="000000"/>
            </w:tcBorders>
            <w:shd w:val="clear" w:color="auto" w:fill="auto"/>
            <w:noWrap/>
          </w:tcPr>
          <w:p w:rsidR="003C34AD" w:rsidRPr="00973008" w:rsidRDefault="003C34AD" w:rsidP="00640B51">
            <w:pPr>
              <w:jc w:val="both"/>
              <w:rPr>
                <w:color w:val="000000"/>
              </w:rPr>
            </w:pPr>
            <w:r w:rsidRPr="00973008">
              <w:rPr>
                <w:color w:val="000000"/>
              </w:rPr>
              <w:t>3</w:t>
            </w:r>
          </w:p>
        </w:tc>
        <w:tc>
          <w:tcPr>
            <w:tcW w:w="7714" w:type="dxa"/>
            <w:shd w:val="clear" w:color="auto" w:fill="auto"/>
            <w:noWrap/>
          </w:tcPr>
          <w:p w:rsidR="003C34AD" w:rsidRPr="00973008" w:rsidRDefault="003C34AD" w:rsidP="00640B51">
            <w:pPr>
              <w:jc w:val="both"/>
              <w:rPr>
                <w:color w:val="000000"/>
              </w:rPr>
            </w:pPr>
            <w:r w:rsidRPr="00973008">
              <w:rPr>
                <w:color w:val="000000"/>
              </w:rPr>
              <w:t>dřevo částečně rozložené, velké uvolněné kusy kůry nebo bez kůry</w:t>
            </w:r>
          </w:p>
        </w:tc>
      </w:tr>
      <w:tr w:rsidR="003C34AD" w:rsidRPr="00973008" w:rsidTr="00640B51">
        <w:trPr>
          <w:trHeight w:val="316"/>
        </w:trPr>
        <w:tc>
          <w:tcPr>
            <w:tcW w:w="1421" w:type="dxa"/>
            <w:tcBorders>
              <w:right w:val="single" w:sz="6" w:space="0" w:color="000000"/>
            </w:tcBorders>
            <w:shd w:val="clear" w:color="auto" w:fill="auto"/>
            <w:noWrap/>
          </w:tcPr>
          <w:p w:rsidR="003C34AD" w:rsidRPr="00973008" w:rsidRDefault="003C34AD" w:rsidP="00640B51">
            <w:pPr>
              <w:jc w:val="both"/>
              <w:rPr>
                <w:color w:val="000000"/>
              </w:rPr>
            </w:pPr>
            <w:r w:rsidRPr="00973008">
              <w:rPr>
                <w:color w:val="000000"/>
              </w:rPr>
              <w:t>4</w:t>
            </w:r>
          </w:p>
        </w:tc>
        <w:tc>
          <w:tcPr>
            <w:tcW w:w="7714" w:type="dxa"/>
            <w:shd w:val="clear" w:color="auto" w:fill="auto"/>
            <w:noWrap/>
          </w:tcPr>
          <w:p w:rsidR="003C34AD" w:rsidRPr="00973008" w:rsidRDefault="003C34AD" w:rsidP="00640B51">
            <w:pPr>
              <w:jc w:val="both"/>
              <w:rPr>
                <w:color w:val="000000"/>
              </w:rPr>
            </w:pPr>
            <w:r w:rsidRPr="00973008">
              <w:rPr>
                <w:color w:val="000000"/>
              </w:rPr>
              <w:t>většina dřeva měkká, části dřeva odpadávají</w:t>
            </w:r>
          </w:p>
        </w:tc>
      </w:tr>
      <w:tr w:rsidR="003C34AD" w:rsidRPr="00973008" w:rsidTr="00640B51">
        <w:trPr>
          <w:trHeight w:val="316"/>
        </w:trPr>
        <w:tc>
          <w:tcPr>
            <w:tcW w:w="1421" w:type="dxa"/>
            <w:tcBorders>
              <w:right w:val="single" w:sz="6" w:space="0" w:color="000000"/>
            </w:tcBorders>
            <w:shd w:val="clear" w:color="auto" w:fill="auto"/>
            <w:noWrap/>
          </w:tcPr>
          <w:p w:rsidR="003C34AD" w:rsidRPr="00973008" w:rsidRDefault="003C34AD" w:rsidP="00640B51">
            <w:pPr>
              <w:jc w:val="both"/>
              <w:rPr>
                <w:color w:val="000000"/>
              </w:rPr>
            </w:pPr>
            <w:r w:rsidRPr="00973008">
              <w:rPr>
                <w:color w:val="000000"/>
              </w:rPr>
              <w:t>5</w:t>
            </w:r>
          </w:p>
        </w:tc>
        <w:tc>
          <w:tcPr>
            <w:tcW w:w="7714" w:type="dxa"/>
            <w:shd w:val="clear" w:color="auto" w:fill="auto"/>
            <w:noWrap/>
          </w:tcPr>
          <w:p w:rsidR="003C34AD" w:rsidRPr="00973008" w:rsidRDefault="003C34AD" w:rsidP="00640B51">
            <w:pPr>
              <w:jc w:val="both"/>
              <w:rPr>
                <w:color w:val="000000"/>
              </w:rPr>
            </w:pPr>
            <w:r w:rsidRPr="00973008">
              <w:rPr>
                <w:color w:val="000000"/>
              </w:rPr>
              <w:t>dřevo velmi měkké, rozpadá se, kopíruje terén, porůstá vegetací</w:t>
            </w:r>
          </w:p>
        </w:tc>
      </w:tr>
    </w:tbl>
    <w:p w:rsidR="003C34AD" w:rsidRPr="00516F31" w:rsidRDefault="003C34AD" w:rsidP="003C34AD">
      <w:pPr>
        <w:pStyle w:val="Default"/>
        <w:jc w:val="both"/>
      </w:pPr>
    </w:p>
    <w:p w:rsidR="003C34AD" w:rsidRPr="00516F31" w:rsidRDefault="003C34AD" w:rsidP="003C34AD">
      <w:pPr>
        <w:pStyle w:val="Default"/>
        <w:jc w:val="both"/>
      </w:pPr>
      <w:r w:rsidRPr="00516F31">
        <w:t>Objem ležících kmenů bude automaticky vypočten v programu FieldMap (FieldMap</w:t>
      </w:r>
      <w:r w:rsidRPr="00516F31">
        <w:rPr>
          <w:vertAlign w:val="superscript"/>
        </w:rPr>
        <w:t>®</w:t>
      </w:r>
      <w:r w:rsidRPr="00516F31">
        <w:t xml:space="preserve">, Monitoring and Mapping Solutions, Ltd.; www.fieldmap.cz). Nakonec bude na každé TVP spočítáno množství zmlazení s výškou nad 0,5 metru (a výčetní tloušťkou pod 10 cm) ve skupinách podle druhu dřeviny, velikosti a mikrostanoviště. Jedinci budou zařazováni do 3 velikostních kategorií: výška 0,5–1,3 m, 1,3–2,5 m a &gt; 2,5 m. Budou rovněž rozlišovány 4 kategorie mikrostanoviště: dřevo, vývrat, vývratiště a ostatní. </w:t>
      </w:r>
    </w:p>
    <w:p w:rsidR="003C34AD" w:rsidRPr="00516F31" w:rsidRDefault="003C34AD" w:rsidP="003C34AD">
      <w:pPr>
        <w:pStyle w:val="Default"/>
        <w:jc w:val="both"/>
      </w:pPr>
      <w:r w:rsidRPr="00516F31">
        <w:t xml:space="preserve">Pro analýzu věku a historie přírůstu bylo stanoveno kritérium </w:t>
      </w:r>
      <w:r w:rsidRPr="00516F31">
        <w:rPr>
          <w:bCs/>
        </w:rPr>
        <w:t xml:space="preserve">minimálně 25 </w:t>
      </w:r>
      <w:r w:rsidRPr="00516F31">
        <w:t xml:space="preserve">analyzovaných </w:t>
      </w:r>
      <w:r w:rsidRPr="00516F31">
        <w:rPr>
          <w:bCs/>
        </w:rPr>
        <w:t>osluněných stromů horní úrovně</w:t>
      </w:r>
      <w:r w:rsidRPr="00516F31">
        <w:t>. Tento počet je obecně považován (ve shodě s dalšími autory) za minimální pro získání důvěryhodných dat věkové struktury a historie narušení. Vznik porostu a minulá narušení lze zjistit pouze tehdy, když je informace synchronizována u více stromů. Důležitým cílem je analyzovat vznik nejstarší generace stromů (horní stromové úrovně), proto tento počet platí pro stromy horní úrovně, i když následně budou vrtány všechny stromy tak, aby byla popsána dynamika celé populace. Na TVP, kde toto kritérium nebude splněno, bude plocha rozšířena (obvykle na 3000 m</w:t>
      </w:r>
      <w:r w:rsidRPr="00516F31">
        <w:rPr>
          <w:vertAlign w:val="superscript"/>
        </w:rPr>
        <w:t>2</w:t>
      </w:r>
      <w:r w:rsidRPr="00516F31">
        <w:t xml:space="preserve">). Na těchto okolních TVP budou už pouze bodově zaměřeny všechny živé a mrtvé stromy nad 10 cm tloušťky včetně jejich výčetní tloušťky, bude též určen druh. </w:t>
      </w:r>
    </w:p>
    <w:p w:rsidR="003C34AD" w:rsidRPr="00516F31" w:rsidRDefault="003C34AD" w:rsidP="003C34AD">
      <w:pPr>
        <w:pStyle w:val="Default"/>
        <w:jc w:val="both"/>
      </w:pPr>
      <w:r w:rsidRPr="00516F31">
        <w:t xml:space="preserve">Následně budou </w:t>
      </w:r>
      <w:r w:rsidRPr="00516F31">
        <w:rPr>
          <w:bCs/>
        </w:rPr>
        <w:t xml:space="preserve">odebrány vývrty ze všech živých </w:t>
      </w:r>
      <w:r w:rsidRPr="00516F31">
        <w:t>(případně čerstvě odumřelých) stromů na studijních plochách. Vývrty budou odebírány přírůstovým nebozezem ve výšce ca 0,5 metru nad terénem, přednostně mimo kořenové náběhy, kolmo na spádnici a ze strany s větší korunou. Vývrt by měl být získán co nejblíže středu, proto se může stát, že některé stromy budou vrtány vícekrát. Díry po vývrtech budou zamazávány štěpařským voskem. Po vyvrtání budou vývrty umístěny do plastových brček.</w:t>
      </w:r>
      <w:r w:rsidRPr="00516F31">
        <w:rPr>
          <w:bCs/>
        </w:rPr>
        <w:t xml:space="preserve"> Vývrty budou v laboratoři </w:t>
      </w:r>
      <w:r w:rsidRPr="00516F31">
        <w:t xml:space="preserve">vyjmuty z brček, vysušeny, nalepeny do dřevěných prken s drážkami a seříznuty žiletkou. Na každém vývrtu budou měřeny šířky letokruhů pomocí posuvného stolku připojeného k počítači s příslušným programem s přesností na 0,01 mm. Lokalizace hranic letokruhů bude odhadována za pomoci mikroskopu se záměrným křížem. Výsledkem budou časové řady přírůstů jednotlivých stromů a počet letokruhů na vývrtu. </w:t>
      </w:r>
    </w:p>
    <w:p w:rsidR="003C34AD" w:rsidRPr="00516F31" w:rsidRDefault="003C34AD" w:rsidP="003C34AD">
      <w:pPr>
        <w:pStyle w:val="Default"/>
        <w:jc w:val="both"/>
      </w:pPr>
      <w:r w:rsidRPr="00516F31">
        <w:t xml:space="preserve">U takto získaných přírůstových sérií a věků vzniká nebezpečí chyby v souvislosti s možností výskytu chybějících nebo nepravých (dvojitých) letokruhů. Z toho důvodu budou tyto letokruhové série sledovány tzv. </w:t>
      </w:r>
      <w:r w:rsidRPr="00516F31">
        <w:rPr>
          <w:bCs/>
        </w:rPr>
        <w:t>křížovým datováním</w:t>
      </w:r>
      <w:r w:rsidRPr="00516F31">
        <w:t xml:space="preserve">, což je standardně používaná metoda použitelná také při datování mrtvých stromů. Pro křížové datování bude použit příslušný software. Na místa případně chybějících letokruhů bude vložena minimální měřitelná hodnota 0,01 mm. </w:t>
      </w:r>
    </w:p>
    <w:p w:rsidR="003C34AD" w:rsidRPr="00516F31" w:rsidRDefault="003C34AD" w:rsidP="003C34AD">
      <w:pPr>
        <w:pStyle w:val="Default"/>
        <w:jc w:val="both"/>
      </w:pPr>
      <w:r w:rsidRPr="00516F31">
        <w:t xml:space="preserve">Výstupem z křížového datování budou opravené přírůstové řady stromů. K počtu let v přírůstové řadě každého stromu bude dopočítáván počet zbývajících let v případě, že vývrtem </w:t>
      </w:r>
      <w:r w:rsidRPr="00516F31">
        <w:rPr>
          <w:bCs/>
        </w:rPr>
        <w:lastRenderedPageBreak/>
        <w:t>nebude trefen střed</w:t>
      </w:r>
      <w:r w:rsidRPr="00516F31">
        <w:t xml:space="preserve">. Přibližná vzdálenost do středu bude získána odhadem podle zakřivení letokruhů nejbližších ke středu. Na vývrty bude přikládán průhledný papír s natištěnými soustřednými kruhy, jejichž poloměr byl znám. Získaná vzdálenost bude vydělena průměrnou šířkou prvních pěti letokruhů. </w:t>
      </w:r>
    </w:p>
    <w:p w:rsidR="003C34AD" w:rsidRPr="00516F31" w:rsidRDefault="003C34AD" w:rsidP="003C34AD">
      <w:pPr>
        <w:pStyle w:val="Default"/>
        <w:jc w:val="both"/>
      </w:pPr>
      <w:r w:rsidRPr="00516F31">
        <w:t xml:space="preserve">Výsledný (po úpravách popsaných výše) počet let odpovídá </w:t>
      </w:r>
      <w:r w:rsidRPr="00516F31">
        <w:rPr>
          <w:bCs/>
        </w:rPr>
        <w:t xml:space="preserve">minimálnímu věku </w:t>
      </w:r>
      <w:r w:rsidRPr="00516F31">
        <w:t xml:space="preserve">stromu. Minimálnímu proto, že skutečný věk je vyšší z důvodu vrtání nad místem vyklíčení. Proto věk popisovaný v další části práce není skutečný věk, ale doba, ve které strom dorostl do výšky 0,5 m nad terénem. Podle studie ze Skandinávie (Niklasson 2002) byl rozdíl mezi skutečným věkem a věkem zjištěným ve výšce 30 cm nad terénem v průměru 23–32 let a dosahoval i 60 let. Nejvážnějšími problémy z toho plynoucími je podhodnocení věku a rozptyl hodnot v rozdělení věku populace (Niklasson 2002). Toto podhodnocení závisí na tom, jak rychle rostl strom v počátku (při rychle rostoucích by to nemělo překračovat 10–20 let).  </w:t>
      </w:r>
    </w:p>
    <w:p w:rsidR="003C34AD" w:rsidRPr="00516F31" w:rsidRDefault="003C34AD" w:rsidP="003C34AD">
      <w:pPr>
        <w:pStyle w:val="Default"/>
        <w:jc w:val="both"/>
        <w:rPr>
          <w:bCs/>
        </w:rPr>
      </w:pPr>
      <w:r w:rsidRPr="00516F31">
        <w:rPr>
          <w:bCs/>
        </w:rPr>
        <w:t xml:space="preserve">Letokruhové série </w:t>
      </w:r>
      <w:r w:rsidRPr="00516F31">
        <w:t xml:space="preserve">a věk budou využity k analýze toho, jak porosty vznikaly a jak se dále vyvíjely. Pro potenciálně stinné lesy mírného pásma, které nejsou pod vlivem silných požárů, platí, že distribuce věků nemusí dobře vypovídat o vzniku porostu, protože stromy mohou existovat dlouhou dobu v podrostu. Lepší charakteristikou proto bývá okamžik, kdy strom začal intenzivně odrůstat (Oliver 1980/81). Takové okamžiky je možné nalézt na přírůstových sériích. Začátek intenzivního růstu indikuje otevřené podmínky pro růst stromu, které bývají vytvořeny úmrtím stromů v okolí. Tímto způsobem se dají odhalit minulá narušení, která se v porostu vyskytla. Na letokruhových sériích budou hledány </w:t>
      </w:r>
      <w:r w:rsidRPr="00516F31">
        <w:rPr>
          <w:bCs/>
        </w:rPr>
        <w:t xml:space="preserve">dva typy událostí: </w:t>
      </w:r>
    </w:p>
    <w:p w:rsidR="003C34AD" w:rsidRPr="00516F31" w:rsidRDefault="003C34AD" w:rsidP="003C34AD">
      <w:pPr>
        <w:pStyle w:val="Default"/>
        <w:jc w:val="both"/>
      </w:pPr>
      <w:r w:rsidRPr="00516F31">
        <w:rPr>
          <w:bCs/>
        </w:rPr>
        <w:t xml:space="preserve">1) rychlý počáteční růst </w:t>
      </w:r>
      <w:r w:rsidRPr="00516F31">
        <w:t xml:space="preserve">– strom rostl od počátku v otevřených podmínkách, </w:t>
      </w:r>
    </w:p>
    <w:p w:rsidR="003C34AD" w:rsidRPr="00516F31" w:rsidRDefault="003C34AD" w:rsidP="003C34AD">
      <w:pPr>
        <w:pStyle w:val="Default"/>
        <w:jc w:val="both"/>
      </w:pPr>
      <w:r w:rsidRPr="00516F31">
        <w:rPr>
          <w:bCs/>
        </w:rPr>
        <w:t xml:space="preserve">2) uvolnění </w:t>
      </w:r>
      <w:r w:rsidRPr="00516F31">
        <w:t xml:space="preserve">– náhlé, setrvalé a výrazné zvýšení přírůstu. </w:t>
      </w:r>
    </w:p>
    <w:p w:rsidR="003C34AD" w:rsidRPr="00516F31" w:rsidRDefault="003C34AD" w:rsidP="003C34AD">
      <w:pPr>
        <w:pStyle w:val="Default"/>
        <w:jc w:val="both"/>
      </w:pPr>
      <w:r w:rsidRPr="00516F31">
        <w:t xml:space="preserve">Pokud jsou takovéto události v čase synchronizovány u více stromů, značí to důležité narušení, které se v porostu v minulosti vyskytlo. Nevýhodou kombinace těchto přístupů je jejich v čase </w:t>
      </w:r>
      <w:r w:rsidRPr="00516F31">
        <w:rPr>
          <w:bCs/>
        </w:rPr>
        <w:t>odlišná reakce na disturbanci</w:t>
      </w:r>
      <w:r w:rsidRPr="00516F31">
        <w:t xml:space="preserve">. Zatímco uvolnění velmi často následuje přímo po disturbanci, rychlý počáteční růst může být opožděn. Je to dáno dobou, než strom doroste do výšky odběru vývrtu, a také dobou uchycení a odrůstání semenáčků. V přírodním lese většinou následuje obnova ihned po disturbanci, takže zpoždění vrcholu v obnově nebývá delší než 1–2 dekády. Nicméně v případě lesů ovlivněných člověkem to platit nemusí. Stromy zarůstající bývalou pastvinu budou také vykazovat rychlý počáteční růst. Tento rozdíl ve vypovídací schopnosti dvou způsobů detekce disturbancí je nutno brát v potaz. </w:t>
      </w:r>
    </w:p>
    <w:p w:rsidR="003C34AD" w:rsidRPr="00516F31" w:rsidRDefault="003C34AD" w:rsidP="003C34AD">
      <w:pPr>
        <w:pStyle w:val="Default"/>
        <w:jc w:val="both"/>
      </w:pPr>
      <w:r w:rsidRPr="00516F31">
        <w:t xml:space="preserve">Dále byla provedena </w:t>
      </w:r>
      <w:r w:rsidRPr="00516F31">
        <w:rPr>
          <w:bCs/>
        </w:rPr>
        <w:t>analýza dynamiky přírůstu</w:t>
      </w:r>
      <w:r w:rsidRPr="00516F31">
        <w:t xml:space="preserve">. Růstové série byly standardizovány ve dvou krocích. Nejprve byla data transformována mocninou transformací. Optimální exponent, </w:t>
      </w:r>
      <w:r w:rsidRPr="00516F31">
        <w:rPr>
          <w:i/>
          <w:iCs/>
        </w:rPr>
        <w:t>p</w:t>
      </w:r>
      <w:r w:rsidRPr="00516F31">
        <w:t xml:space="preserve">, byl vypočten podle vzorce: </w:t>
      </w:r>
      <w:r w:rsidRPr="00516F31">
        <w:rPr>
          <w:i/>
          <w:iCs/>
        </w:rPr>
        <w:t>p = 1 – m</w:t>
      </w:r>
      <w:r w:rsidRPr="00516F31">
        <w:t xml:space="preserve">, kde </w:t>
      </w:r>
      <w:r w:rsidRPr="00516F31">
        <w:rPr>
          <w:i/>
          <w:iCs/>
        </w:rPr>
        <w:t xml:space="preserve">m </w:t>
      </w:r>
      <w:r w:rsidRPr="00516F31">
        <w:t xml:space="preserve">je sklon regresní křivky vztahu logaritmované střední hodnoty přírůstu a logaritmovaného inter-kvartilového rozptylu pro desetileté segmenty (Emerson 1983). Výsledná hodnota </w:t>
      </w:r>
      <w:r w:rsidRPr="00516F31">
        <w:rPr>
          <w:i/>
          <w:iCs/>
        </w:rPr>
        <w:t xml:space="preserve">p </w:t>
      </w:r>
      <w:r w:rsidRPr="00516F31">
        <w:t xml:space="preserve">se rovná 0,3. Následně byl odfiltrován vliv věku na přírůst metodou RCS (Grudd et al. 2002). Tato metoda zavádí jedinou křivku věkového trendu získanou regresní analýzou vztahu přírůst vs. věk z mnoha stromů. Naše data byla proložena lineární funkcí </w:t>
      </w:r>
      <w:r w:rsidRPr="00516F31">
        <w:rPr>
          <w:i/>
          <w:iCs/>
        </w:rPr>
        <w:t xml:space="preserve">přírůst </w:t>
      </w:r>
      <w:r w:rsidRPr="00516F31">
        <w:rPr>
          <w:i/>
        </w:rPr>
        <w:t xml:space="preserve">0,3 = 1,21853 – 0,00183 * </w:t>
      </w:r>
      <w:r w:rsidRPr="00516F31">
        <w:rPr>
          <w:i/>
          <w:iCs/>
        </w:rPr>
        <w:t>věk</w:t>
      </w:r>
      <w:r w:rsidRPr="00516F31">
        <w:rPr>
          <w:i/>
        </w:rPr>
        <w:t>.</w:t>
      </w:r>
      <w:r w:rsidRPr="00516F31">
        <w:t xml:space="preserve"> Standardizované série byly pro každou plochu zprůměrovány.</w:t>
      </w:r>
    </w:p>
    <w:p w:rsidR="003C34AD" w:rsidRPr="00516F31" w:rsidRDefault="003C34AD" w:rsidP="003C34AD">
      <w:pPr>
        <w:pStyle w:val="Default"/>
        <w:jc w:val="both"/>
        <w:rPr>
          <w:b/>
        </w:rPr>
      </w:pPr>
    </w:p>
    <w:p w:rsidR="003C34AD" w:rsidRPr="00516F31" w:rsidRDefault="003C34AD" w:rsidP="003C34AD">
      <w:pPr>
        <w:pStyle w:val="Default"/>
        <w:jc w:val="both"/>
        <w:rPr>
          <w:b/>
          <w:i/>
        </w:rPr>
      </w:pPr>
      <w:r w:rsidRPr="00516F31">
        <w:rPr>
          <w:b/>
          <w:i/>
        </w:rPr>
        <w:t>Plochy jednotlivých segmentů:</w:t>
      </w:r>
    </w:p>
    <w:p w:rsidR="003C34AD" w:rsidRPr="00516F31" w:rsidRDefault="003C34AD" w:rsidP="003C34AD">
      <w:pPr>
        <w:pStyle w:val="Default"/>
        <w:jc w:val="both"/>
      </w:pPr>
      <w:r w:rsidRPr="00516F31">
        <w:t>Segment 1) 26,58 ha</w:t>
      </w:r>
    </w:p>
    <w:p w:rsidR="003C34AD" w:rsidRPr="00516F31" w:rsidRDefault="003C34AD" w:rsidP="003C34AD">
      <w:pPr>
        <w:pStyle w:val="Default"/>
        <w:jc w:val="both"/>
      </w:pPr>
      <w:r w:rsidRPr="00516F31">
        <w:t>Segment 2) 28,65 ha</w:t>
      </w:r>
    </w:p>
    <w:p w:rsidR="003C34AD" w:rsidRPr="00516F31" w:rsidRDefault="003C34AD" w:rsidP="003C34AD">
      <w:pPr>
        <w:pStyle w:val="Default"/>
        <w:jc w:val="both"/>
      </w:pPr>
      <w:r w:rsidRPr="00516F31">
        <w:t>Segment 3) 20,04 ha</w:t>
      </w:r>
    </w:p>
    <w:p w:rsidR="003C34AD" w:rsidRPr="00516F31" w:rsidRDefault="003C34AD" w:rsidP="003C34AD">
      <w:pPr>
        <w:pStyle w:val="Default"/>
        <w:jc w:val="both"/>
      </w:pPr>
      <w:r w:rsidRPr="00516F31">
        <w:t>Segment 4) 24,39 ha</w:t>
      </w:r>
    </w:p>
    <w:p w:rsidR="003C34AD" w:rsidRPr="00516F31" w:rsidRDefault="003C34AD" w:rsidP="003C34AD">
      <w:pPr>
        <w:pStyle w:val="Default"/>
        <w:jc w:val="both"/>
      </w:pPr>
      <w:r w:rsidRPr="00516F31">
        <w:t>Segment 5) 19,31 ha</w:t>
      </w:r>
    </w:p>
    <w:p w:rsidR="003C34AD" w:rsidRPr="00516F31" w:rsidRDefault="003C34AD" w:rsidP="003C34AD">
      <w:pPr>
        <w:pStyle w:val="Default"/>
        <w:jc w:val="both"/>
      </w:pPr>
      <w:r w:rsidRPr="00516F31">
        <w:t>Segment 6) 14,80 ha</w:t>
      </w:r>
    </w:p>
    <w:p w:rsidR="003C34AD" w:rsidRPr="00516F31" w:rsidRDefault="003C34AD" w:rsidP="003C34AD">
      <w:pPr>
        <w:pStyle w:val="Default"/>
        <w:jc w:val="both"/>
      </w:pPr>
      <w:r w:rsidRPr="00516F31">
        <w:t>Segment 7) 67,42 ha</w:t>
      </w:r>
    </w:p>
    <w:p w:rsidR="003C34AD" w:rsidRDefault="003C34AD" w:rsidP="003C34AD">
      <w:pPr>
        <w:jc w:val="both"/>
        <w:rPr>
          <w:i/>
          <w:sz w:val="24"/>
          <w:szCs w:val="24"/>
        </w:rPr>
      </w:pPr>
      <w:r w:rsidRPr="00516F31">
        <w:rPr>
          <w:i/>
          <w:sz w:val="24"/>
          <w:szCs w:val="24"/>
        </w:rPr>
        <w:t>Přílohy: monitoring_les_mapy (segment 1,2,3,4,5,6,7)</w:t>
      </w:r>
    </w:p>
    <w:p w:rsidR="003C34AD" w:rsidRDefault="003C34AD" w:rsidP="003C34AD">
      <w:pPr>
        <w:jc w:val="both"/>
        <w:rPr>
          <w:i/>
          <w:sz w:val="24"/>
          <w:szCs w:val="24"/>
        </w:rPr>
      </w:pPr>
    </w:p>
    <w:p w:rsidR="003C34AD" w:rsidRPr="00516F31" w:rsidRDefault="003C34AD" w:rsidP="003C34AD">
      <w:pPr>
        <w:jc w:val="both"/>
        <w:rPr>
          <w:i/>
          <w:sz w:val="24"/>
          <w:szCs w:val="24"/>
        </w:rPr>
      </w:pPr>
    </w:p>
    <w:p w:rsidR="003C34AD" w:rsidRPr="00516F31" w:rsidRDefault="003C34AD" w:rsidP="003C34AD">
      <w:pPr>
        <w:pStyle w:val="Default"/>
        <w:jc w:val="both"/>
      </w:pPr>
    </w:p>
    <w:p w:rsidR="003C34AD" w:rsidRPr="00516F31" w:rsidRDefault="003C34AD" w:rsidP="003C34AD">
      <w:pPr>
        <w:jc w:val="both"/>
        <w:rPr>
          <w:i/>
          <w:sz w:val="24"/>
          <w:szCs w:val="24"/>
          <w:u w:val="single"/>
        </w:rPr>
      </w:pPr>
      <w:r w:rsidRPr="00516F31">
        <w:rPr>
          <w:i/>
          <w:sz w:val="24"/>
          <w:szCs w:val="24"/>
          <w:u w:val="single"/>
        </w:rPr>
        <w:t xml:space="preserve">Implikace výsledků pro další management: </w:t>
      </w:r>
    </w:p>
    <w:p w:rsidR="003C34AD" w:rsidRPr="00516F31" w:rsidRDefault="003C34AD" w:rsidP="003C34AD">
      <w:pPr>
        <w:pStyle w:val="Default"/>
        <w:jc w:val="both"/>
      </w:pPr>
      <w:r w:rsidRPr="00516F31">
        <w:t xml:space="preserve">Poznatky o vzniku a vývoji lesního ekosystému jsou základní platformou pro efektivní rozhodování v plánování jejich managementu. Znalosti o přítomnosti nebo absenci pralesovitých struktur a přírodních znaků umožňuje jejich další rozvíjení v prostoru a čase. </w:t>
      </w:r>
    </w:p>
    <w:p w:rsidR="003C34AD" w:rsidRPr="00516F31" w:rsidRDefault="003C34AD" w:rsidP="003C34AD">
      <w:pPr>
        <w:pStyle w:val="Default"/>
        <w:jc w:val="both"/>
      </w:pPr>
      <w:r w:rsidRPr="00516F31">
        <w:t xml:space="preserve">Rovněž homogenní prostorová (výšková a tloušťková) struktura lesa nemusí nutně znamenat homogenní strukturu věkovou, rozdíly ve věku jednotlivých stromů mohou přesahovat i 100 let (Svoboda 2008).  </w:t>
      </w:r>
    </w:p>
    <w:p w:rsidR="003C34AD" w:rsidRPr="00516F31" w:rsidRDefault="003C34AD" w:rsidP="003C34AD">
      <w:pPr>
        <w:pStyle w:val="Default"/>
        <w:jc w:val="both"/>
      </w:pPr>
      <w:r w:rsidRPr="00516F31">
        <w:t xml:space="preserve">Znalosti o podílu tlejícího dřeva, na které je vázáno přes 40 % druhů lesních organizmů, a dynamice jeho rozpadu představují významný teoretický základ pro jeho management nejen v maloplošných zvláště chráněných územích. Je známo, že pro biologickou rozmanitost hraje prakticky nejdůležitější roli mrtvé dřevo s vysokým stupněm rozkladu (Stokland et al. 2012) a vzhledem k aktivnímu managementu v minulosti (úmyslná těžba nebo vyklizování dříví po disturbančních událostech) v současné době na řadě lokalit zcela absentuje (Merganičová et al. 2012).     </w:t>
      </w:r>
    </w:p>
    <w:p w:rsidR="003C34AD" w:rsidRPr="00516F31" w:rsidRDefault="003C34AD" w:rsidP="003C34AD">
      <w:pPr>
        <w:jc w:val="both"/>
        <w:rPr>
          <w:i/>
          <w:sz w:val="24"/>
          <w:szCs w:val="24"/>
        </w:rPr>
      </w:pPr>
    </w:p>
    <w:p w:rsidR="003C34AD" w:rsidRPr="00516F31" w:rsidRDefault="003C34AD" w:rsidP="003C34AD">
      <w:pPr>
        <w:pStyle w:val="Default"/>
        <w:jc w:val="both"/>
        <w:rPr>
          <w:color w:val="FF0000"/>
        </w:rPr>
      </w:pPr>
      <w:r w:rsidRPr="00516F31">
        <w:t xml:space="preserve"> </w:t>
      </w:r>
    </w:p>
    <w:p w:rsidR="003C34AD" w:rsidRPr="00973008" w:rsidRDefault="003C34AD" w:rsidP="003C34AD">
      <w:pPr>
        <w:pStyle w:val="Nadpis4"/>
        <w:autoSpaceDE/>
        <w:autoSpaceDN/>
        <w:spacing w:before="240" w:after="60" w:line="360" w:lineRule="auto"/>
        <w:jc w:val="both"/>
        <w:rPr>
          <w:rFonts w:ascii="Times New Roman" w:hAnsi="Times New Roman"/>
          <w:sz w:val="24"/>
          <w:szCs w:val="24"/>
        </w:rPr>
      </w:pPr>
      <w:r>
        <w:rPr>
          <w:rFonts w:ascii="Times New Roman" w:hAnsi="Times New Roman"/>
          <w:sz w:val="24"/>
          <w:szCs w:val="24"/>
        </w:rPr>
        <w:t xml:space="preserve">b) </w:t>
      </w:r>
      <w:r w:rsidRPr="00973008">
        <w:rPr>
          <w:rFonts w:ascii="Times New Roman" w:hAnsi="Times New Roman"/>
          <w:sz w:val="24"/>
          <w:szCs w:val="24"/>
        </w:rPr>
        <w:t>Srovnání stavu ploch v letech 2016/2017/2018 a 2021/2022/2023</w:t>
      </w:r>
    </w:p>
    <w:p w:rsidR="003C34AD" w:rsidRDefault="003C34AD" w:rsidP="003C34AD">
      <w:pPr>
        <w:jc w:val="both"/>
        <w:rPr>
          <w:i/>
          <w:sz w:val="24"/>
          <w:szCs w:val="24"/>
          <w:u w:val="single"/>
        </w:rPr>
      </w:pPr>
    </w:p>
    <w:p w:rsidR="003C34AD" w:rsidRPr="00516F31" w:rsidRDefault="003C34AD" w:rsidP="003C34AD">
      <w:pPr>
        <w:jc w:val="both"/>
        <w:rPr>
          <w:i/>
          <w:sz w:val="24"/>
          <w:szCs w:val="24"/>
          <w:u w:val="single"/>
        </w:rPr>
      </w:pPr>
      <w:r w:rsidRPr="00516F31">
        <w:rPr>
          <w:i/>
          <w:sz w:val="24"/>
          <w:szCs w:val="24"/>
          <w:u w:val="single"/>
        </w:rPr>
        <w:t>Sběr dat:</w:t>
      </w:r>
    </w:p>
    <w:p w:rsidR="003C34AD" w:rsidRDefault="003C34AD" w:rsidP="003C34AD">
      <w:pPr>
        <w:pStyle w:val="Default"/>
        <w:jc w:val="both"/>
      </w:pPr>
      <w:r w:rsidRPr="00516F31">
        <w:t>V letech 2011,</w:t>
      </w:r>
      <w:r>
        <w:t xml:space="preserve"> </w:t>
      </w:r>
      <w:r w:rsidRPr="00516F31">
        <w:t>2012 a 2013 došlo na základě výše uvedené metodiky k zaměření geodetických, taxačních a dalších charakteristik včetně parametrů tlejícího dřeva a odebraní vývrtů ve vybraných segmentech celkem na 12 malých kruhových TVP (4 plochy v r. 2011, 4 plochy v r. 2012, 4 plochy v r. 2013) (Čada &amp; Svoboda 2011, Č</w:t>
      </w:r>
      <w:r w:rsidRPr="00516F31">
        <w:rPr>
          <w:lang w:val="sk-SK"/>
        </w:rPr>
        <w:t xml:space="preserve">ada </w:t>
      </w:r>
      <w:r w:rsidRPr="00516F31">
        <w:t>&amp;</w:t>
      </w:r>
      <w:r w:rsidRPr="00516F31">
        <w:rPr>
          <w:lang w:val="sk-SK"/>
        </w:rPr>
        <w:t xml:space="preserve"> Svoboda 2012,</w:t>
      </w:r>
      <w:r w:rsidRPr="00516F31">
        <w:t xml:space="preserve"> Č</w:t>
      </w:r>
      <w:r w:rsidRPr="00516F31">
        <w:rPr>
          <w:lang w:val="sk-SK"/>
        </w:rPr>
        <w:t>ada 2013)</w:t>
      </w:r>
      <w:r w:rsidRPr="00516F31">
        <w:t xml:space="preserve">. V letech 2016, 2017, 2018 (resp. 2021, 2022, 2023) po 5 letech (resp. po 10 letech) bude obdobným způsobem provedeno zjištění všech výše uvedených veličin s výjimkou věkové struktury (dendrochronologická analýza – vrtání). Jednotlivé nově zjištěné údaje budou srovnány a na základě tohoto srovnání bude definován trend vývoje porostů (např. zvýšená mortalita stojících stromů, resp. setrvalý stav, změny v distribuci, podílu a stavu rozkladu tlejícího dřeva v čase, množství a druhové složení zmlazení dřevin apod.). </w:t>
      </w:r>
    </w:p>
    <w:p w:rsidR="003C34AD" w:rsidRDefault="003C34AD" w:rsidP="003C34AD">
      <w:pPr>
        <w:pStyle w:val="Default"/>
        <w:jc w:val="both"/>
        <w:rPr>
          <w:rFonts w:ascii="Arial" w:hAnsi="Arial" w:cs="Arial"/>
          <w:sz w:val="22"/>
          <w:szCs w:val="22"/>
        </w:rPr>
      </w:pPr>
      <w:r>
        <w:rPr>
          <w:rFonts w:cs="Arial"/>
          <w:szCs w:val="22"/>
        </w:rPr>
        <w:t>Na každé TVP proběhne</w:t>
      </w:r>
      <w:r w:rsidR="0044718C">
        <w:rPr>
          <w:rFonts w:cs="Arial"/>
          <w:szCs w:val="22"/>
        </w:rPr>
        <w:t xml:space="preserve"> v období 2016-2018</w:t>
      </w:r>
      <w:r>
        <w:rPr>
          <w:rFonts w:cs="Arial"/>
          <w:szCs w:val="22"/>
        </w:rPr>
        <w:t xml:space="preserve"> jednorázově sběr dat o bioindikačních skupinách organismů – budou identifikovány pokud možno všechny na ploše se vyskytující druhy mechorostů, lišejníků, lignikolních hub a s pomocí letových nárazových pastí budou zkoumáni saproxyličtí brouci</w:t>
      </w:r>
      <w:r w:rsidRPr="00F97F15">
        <w:rPr>
          <w:rFonts w:cs="Arial"/>
          <w:szCs w:val="22"/>
        </w:rPr>
        <w:t>.</w:t>
      </w:r>
      <w:r>
        <w:rPr>
          <w:rFonts w:cs="Arial"/>
          <w:szCs w:val="22"/>
        </w:rPr>
        <w:t xml:space="preserve"> V každé ploše budou tyto pasti umístěné ve dvou kusech po dobu alespoň dvou měsíců (předpokládají se tedy nejméně tři návštěvy).</w:t>
      </w:r>
      <w:r w:rsidRPr="00F97F15">
        <w:rPr>
          <w:rFonts w:cs="Arial"/>
          <w:szCs w:val="22"/>
        </w:rPr>
        <w:t xml:space="preserve"> Všechny zjištěné druhy uvedených skupin budou determinovány a ve zprávě bude každý ochranářsky významný druh (uvedený v</w:t>
      </w:r>
      <w:r>
        <w:rPr>
          <w:rFonts w:cs="Arial"/>
          <w:szCs w:val="22"/>
        </w:rPr>
        <w:t xml:space="preserve"> příslušném</w:t>
      </w:r>
      <w:r w:rsidRPr="00F97F15">
        <w:rPr>
          <w:rFonts w:cs="Arial"/>
          <w:szCs w:val="22"/>
        </w:rPr>
        <w:t> Červeném seznamu, vyhlášce č. 395/1992 Sb.) komentován.</w:t>
      </w:r>
    </w:p>
    <w:p w:rsidR="003C34AD" w:rsidRPr="00516F31" w:rsidRDefault="003C34AD" w:rsidP="003C34AD">
      <w:pPr>
        <w:jc w:val="both"/>
        <w:rPr>
          <w:sz w:val="24"/>
          <w:szCs w:val="24"/>
        </w:rPr>
      </w:pPr>
    </w:p>
    <w:p w:rsidR="003C34AD" w:rsidRPr="00516F31" w:rsidRDefault="003C34AD" w:rsidP="003C34AD">
      <w:pPr>
        <w:jc w:val="both"/>
        <w:rPr>
          <w:b/>
        </w:rPr>
      </w:pPr>
      <w:r w:rsidRPr="00516F31">
        <w:rPr>
          <w:b/>
        </w:rPr>
        <w:t>r. 2011</w:t>
      </w:r>
    </w:p>
    <w:tbl>
      <w:tblPr>
        <w:tblW w:w="9507" w:type="dxa"/>
        <w:tblInd w:w="-56" w:type="dxa"/>
        <w:tblBorders>
          <w:top w:val="nil"/>
          <w:left w:val="nil"/>
          <w:bottom w:val="nil"/>
          <w:right w:val="nil"/>
        </w:tblBorders>
        <w:tblLayout w:type="fixed"/>
        <w:tblLook w:val="0000"/>
      </w:tblPr>
      <w:tblGrid>
        <w:gridCol w:w="1865"/>
        <w:gridCol w:w="2221"/>
        <w:gridCol w:w="1618"/>
        <w:gridCol w:w="1902"/>
        <w:gridCol w:w="1901"/>
      </w:tblGrid>
      <w:tr w:rsidR="003C34AD" w:rsidRPr="00516F31" w:rsidTr="00640B51">
        <w:trPr>
          <w:trHeight w:val="57"/>
        </w:trPr>
        <w:tc>
          <w:tcPr>
            <w:tcW w:w="1865" w:type="dxa"/>
          </w:tcPr>
          <w:p w:rsidR="003C34AD" w:rsidRPr="00516F31" w:rsidRDefault="003C34AD" w:rsidP="00640B51">
            <w:pPr>
              <w:adjustRightInd w:val="0"/>
              <w:jc w:val="both"/>
              <w:rPr>
                <w:color w:val="000000"/>
              </w:rPr>
            </w:pPr>
            <w:r w:rsidRPr="00516F31">
              <w:rPr>
                <w:b/>
                <w:bCs/>
                <w:color w:val="000000"/>
              </w:rPr>
              <w:t xml:space="preserve">č. TVP </w:t>
            </w:r>
          </w:p>
        </w:tc>
        <w:tc>
          <w:tcPr>
            <w:tcW w:w="2221" w:type="dxa"/>
          </w:tcPr>
          <w:p w:rsidR="003C34AD" w:rsidRPr="00516F31" w:rsidRDefault="003C34AD" w:rsidP="00640B51">
            <w:pPr>
              <w:adjustRightInd w:val="0"/>
              <w:jc w:val="both"/>
              <w:rPr>
                <w:color w:val="000000"/>
              </w:rPr>
            </w:pPr>
            <w:r w:rsidRPr="00516F31">
              <w:rPr>
                <w:b/>
                <w:bCs/>
                <w:color w:val="000000"/>
              </w:rPr>
              <w:t xml:space="preserve">lokalita </w:t>
            </w:r>
          </w:p>
        </w:tc>
        <w:tc>
          <w:tcPr>
            <w:tcW w:w="1618" w:type="dxa"/>
          </w:tcPr>
          <w:p w:rsidR="003C34AD" w:rsidRPr="00516F31" w:rsidRDefault="003C34AD" w:rsidP="00640B51">
            <w:pPr>
              <w:adjustRightInd w:val="0"/>
              <w:jc w:val="both"/>
              <w:rPr>
                <w:color w:val="000000"/>
              </w:rPr>
            </w:pPr>
            <w:r w:rsidRPr="00516F31">
              <w:rPr>
                <w:b/>
                <w:bCs/>
                <w:color w:val="000000"/>
              </w:rPr>
              <w:t xml:space="preserve">nadm. v. </w:t>
            </w:r>
          </w:p>
        </w:tc>
        <w:tc>
          <w:tcPr>
            <w:tcW w:w="1902" w:type="dxa"/>
          </w:tcPr>
          <w:p w:rsidR="003C34AD" w:rsidRPr="00516F31" w:rsidRDefault="003C34AD" w:rsidP="00640B51">
            <w:pPr>
              <w:adjustRightInd w:val="0"/>
              <w:jc w:val="both"/>
              <w:rPr>
                <w:color w:val="000000"/>
              </w:rPr>
            </w:pPr>
            <w:r w:rsidRPr="00516F31">
              <w:rPr>
                <w:b/>
                <w:bCs/>
                <w:color w:val="000000"/>
              </w:rPr>
              <w:t xml:space="preserve">Souřadnice E </w:t>
            </w:r>
          </w:p>
        </w:tc>
        <w:tc>
          <w:tcPr>
            <w:tcW w:w="1901" w:type="dxa"/>
          </w:tcPr>
          <w:p w:rsidR="003C34AD" w:rsidRPr="00516F31" w:rsidRDefault="003C34AD" w:rsidP="00640B51">
            <w:pPr>
              <w:adjustRightInd w:val="0"/>
              <w:jc w:val="both"/>
              <w:rPr>
                <w:color w:val="000000"/>
              </w:rPr>
            </w:pPr>
            <w:r w:rsidRPr="00516F31">
              <w:rPr>
                <w:b/>
                <w:bCs/>
                <w:color w:val="000000"/>
              </w:rPr>
              <w:t xml:space="preserve">souřadnice N </w:t>
            </w:r>
          </w:p>
        </w:tc>
      </w:tr>
      <w:tr w:rsidR="003C34AD" w:rsidRPr="00516F31" w:rsidTr="00640B51">
        <w:trPr>
          <w:trHeight w:val="54"/>
        </w:trPr>
        <w:tc>
          <w:tcPr>
            <w:tcW w:w="1865" w:type="dxa"/>
          </w:tcPr>
          <w:p w:rsidR="003C34AD" w:rsidRPr="00516F31" w:rsidRDefault="003C34AD" w:rsidP="00640B51">
            <w:pPr>
              <w:adjustRightInd w:val="0"/>
              <w:jc w:val="both"/>
              <w:rPr>
                <w:color w:val="000000"/>
              </w:rPr>
            </w:pPr>
            <w:r w:rsidRPr="00516F31">
              <w:rPr>
                <w:color w:val="000000"/>
              </w:rPr>
              <w:t xml:space="preserve">1 </w:t>
            </w:r>
          </w:p>
        </w:tc>
        <w:tc>
          <w:tcPr>
            <w:tcW w:w="2221" w:type="dxa"/>
          </w:tcPr>
          <w:p w:rsidR="003C34AD" w:rsidRPr="00516F31" w:rsidRDefault="003C34AD" w:rsidP="00640B51">
            <w:pPr>
              <w:adjustRightInd w:val="0"/>
              <w:ind w:right="-202"/>
              <w:jc w:val="both"/>
              <w:rPr>
                <w:color w:val="000000"/>
              </w:rPr>
            </w:pPr>
            <w:r w:rsidRPr="00516F31">
              <w:rPr>
                <w:color w:val="000000"/>
              </w:rPr>
              <w:t xml:space="preserve">    Bílá Opava </w:t>
            </w:r>
          </w:p>
        </w:tc>
        <w:tc>
          <w:tcPr>
            <w:tcW w:w="1618" w:type="dxa"/>
          </w:tcPr>
          <w:p w:rsidR="003C34AD" w:rsidRPr="00516F31" w:rsidRDefault="003C34AD" w:rsidP="00640B51">
            <w:pPr>
              <w:adjustRightInd w:val="0"/>
              <w:jc w:val="both"/>
              <w:rPr>
                <w:color w:val="000000"/>
              </w:rPr>
            </w:pPr>
            <w:r w:rsidRPr="00516F31">
              <w:rPr>
                <w:color w:val="000000"/>
              </w:rPr>
              <w:t xml:space="preserve">1215 </w:t>
            </w:r>
          </w:p>
        </w:tc>
        <w:tc>
          <w:tcPr>
            <w:tcW w:w="1902" w:type="dxa"/>
          </w:tcPr>
          <w:p w:rsidR="003C34AD" w:rsidRPr="00516F31" w:rsidRDefault="003C34AD" w:rsidP="00640B51">
            <w:pPr>
              <w:adjustRightInd w:val="0"/>
              <w:jc w:val="both"/>
              <w:rPr>
                <w:color w:val="000000"/>
              </w:rPr>
            </w:pPr>
            <w:r w:rsidRPr="00516F31">
              <w:rPr>
                <w:color w:val="000000"/>
              </w:rPr>
              <w:t xml:space="preserve">50,07541667 </w:t>
            </w:r>
          </w:p>
        </w:tc>
        <w:tc>
          <w:tcPr>
            <w:tcW w:w="1901" w:type="dxa"/>
          </w:tcPr>
          <w:p w:rsidR="003C34AD" w:rsidRPr="00516F31" w:rsidRDefault="003C34AD" w:rsidP="00640B51">
            <w:pPr>
              <w:adjustRightInd w:val="0"/>
              <w:jc w:val="both"/>
              <w:rPr>
                <w:color w:val="000000"/>
              </w:rPr>
            </w:pPr>
            <w:r w:rsidRPr="00516F31">
              <w:rPr>
                <w:color w:val="000000"/>
              </w:rPr>
              <w:t xml:space="preserve">17,25069444 </w:t>
            </w:r>
          </w:p>
        </w:tc>
      </w:tr>
      <w:tr w:rsidR="003C34AD" w:rsidRPr="00516F31" w:rsidTr="00640B51">
        <w:trPr>
          <w:trHeight w:val="54"/>
        </w:trPr>
        <w:tc>
          <w:tcPr>
            <w:tcW w:w="1865" w:type="dxa"/>
          </w:tcPr>
          <w:p w:rsidR="003C34AD" w:rsidRPr="00516F31" w:rsidRDefault="003C34AD" w:rsidP="00640B51">
            <w:pPr>
              <w:adjustRightInd w:val="0"/>
              <w:jc w:val="both"/>
              <w:rPr>
                <w:color w:val="000000"/>
              </w:rPr>
            </w:pPr>
            <w:r w:rsidRPr="00516F31">
              <w:rPr>
                <w:color w:val="000000"/>
              </w:rPr>
              <w:t xml:space="preserve">2 </w:t>
            </w:r>
          </w:p>
        </w:tc>
        <w:tc>
          <w:tcPr>
            <w:tcW w:w="2221" w:type="dxa"/>
          </w:tcPr>
          <w:p w:rsidR="003C34AD" w:rsidRPr="00516F31" w:rsidRDefault="003C34AD" w:rsidP="00640B51">
            <w:pPr>
              <w:adjustRightInd w:val="0"/>
              <w:jc w:val="both"/>
              <w:rPr>
                <w:color w:val="000000"/>
              </w:rPr>
            </w:pPr>
            <w:r w:rsidRPr="00516F31">
              <w:rPr>
                <w:color w:val="000000"/>
              </w:rPr>
              <w:t xml:space="preserve">    Bílá Opava </w:t>
            </w:r>
          </w:p>
        </w:tc>
        <w:tc>
          <w:tcPr>
            <w:tcW w:w="1618" w:type="dxa"/>
          </w:tcPr>
          <w:p w:rsidR="003C34AD" w:rsidRPr="00516F31" w:rsidRDefault="003C34AD" w:rsidP="00640B51">
            <w:pPr>
              <w:adjustRightInd w:val="0"/>
              <w:jc w:val="both"/>
              <w:rPr>
                <w:color w:val="000000"/>
              </w:rPr>
            </w:pPr>
            <w:r w:rsidRPr="00516F31">
              <w:rPr>
                <w:color w:val="000000"/>
              </w:rPr>
              <w:t xml:space="preserve">1227 </w:t>
            </w:r>
          </w:p>
        </w:tc>
        <w:tc>
          <w:tcPr>
            <w:tcW w:w="1902" w:type="dxa"/>
          </w:tcPr>
          <w:p w:rsidR="003C34AD" w:rsidRPr="00516F31" w:rsidRDefault="003C34AD" w:rsidP="00640B51">
            <w:pPr>
              <w:adjustRightInd w:val="0"/>
              <w:jc w:val="both"/>
              <w:rPr>
                <w:color w:val="000000"/>
              </w:rPr>
            </w:pPr>
            <w:r w:rsidRPr="00516F31">
              <w:rPr>
                <w:color w:val="000000"/>
              </w:rPr>
              <w:t xml:space="preserve">50,07736111 </w:t>
            </w:r>
          </w:p>
        </w:tc>
        <w:tc>
          <w:tcPr>
            <w:tcW w:w="1901" w:type="dxa"/>
          </w:tcPr>
          <w:p w:rsidR="003C34AD" w:rsidRPr="00516F31" w:rsidRDefault="003C34AD" w:rsidP="00640B51">
            <w:pPr>
              <w:adjustRightInd w:val="0"/>
              <w:jc w:val="both"/>
              <w:rPr>
                <w:color w:val="000000"/>
              </w:rPr>
            </w:pPr>
            <w:r w:rsidRPr="00516F31">
              <w:rPr>
                <w:color w:val="000000"/>
              </w:rPr>
              <w:t xml:space="preserve">17,24944444 </w:t>
            </w:r>
          </w:p>
        </w:tc>
      </w:tr>
      <w:tr w:rsidR="003C34AD" w:rsidRPr="00516F31" w:rsidTr="00640B51">
        <w:trPr>
          <w:trHeight w:val="54"/>
        </w:trPr>
        <w:tc>
          <w:tcPr>
            <w:tcW w:w="1865" w:type="dxa"/>
          </w:tcPr>
          <w:p w:rsidR="003C34AD" w:rsidRPr="00516F31" w:rsidRDefault="003C34AD" w:rsidP="00640B51">
            <w:pPr>
              <w:adjustRightInd w:val="0"/>
              <w:jc w:val="both"/>
              <w:rPr>
                <w:color w:val="000000"/>
              </w:rPr>
            </w:pPr>
            <w:r w:rsidRPr="00516F31">
              <w:rPr>
                <w:color w:val="000000"/>
              </w:rPr>
              <w:t xml:space="preserve">3 </w:t>
            </w:r>
          </w:p>
        </w:tc>
        <w:tc>
          <w:tcPr>
            <w:tcW w:w="2221" w:type="dxa"/>
          </w:tcPr>
          <w:p w:rsidR="003C34AD" w:rsidRPr="00516F31" w:rsidRDefault="003C34AD" w:rsidP="00640B51">
            <w:pPr>
              <w:adjustRightInd w:val="0"/>
              <w:jc w:val="both"/>
              <w:rPr>
                <w:color w:val="000000"/>
              </w:rPr>
            </w:pPr>
            <w:r w:rsidRPr="00516F31">
              <w:rPr>
                <w:color w:val="000000"/>
              </w:rPr>
              <w:t xml:space="preserve">    Bílá Opava </w:t>
            </w:r>
          </w:p>
        </w:tc>
        <w:tc>
          <w:tcPr>
            <w:tcW w:w="1618" w:type="dxa"/>
          </w:tcPr>
          <w:p w:rsidR="003C34AD" w:rsidRPr="00516F31" w:rsidRDefault="003C34AD" w:rsidP="00640B51">
            <w:pPr>
              <w:adjustRightInd w:val="0"/>
              <w:jc w:val="both"/>
              <w:rPr>
                <w:color w:val="000000"/>
              </w:rPr>
            </w:pPr>
            <w:r w:rsidRPr="00516F31">
              <w:rPr>
                <w:color w:val="000000"/>
              </w:rPr>
              <w:t xml:space="preserve">1227 </w:t>
            </w:r>
          </w:p>
        </w:tc>
        <w:tc>
          <w:tcPr>
            <w:tcW w:w="1902" w:type="dxa"/>
          </w:tcPr>
          <w:p w:rsidR="003C34AD" w:rsidRPr="00516F31" w:rsidRDefault="003C34AD" w:rsidP="00640B51">
            <w:pPr>
              <w:adjustRightInd w:val="0"/>
              <w:jc w:val="both"/>
              <w:rPr>
                <w:color w:val="000000"/>
              </w:rPr>
            </w:pPr>
            <w:r w:rsidRPr="00516F31">
              <w:rPr>
                <w:color w:val="000000"/>
              </w:rPr>
              <w:t xml:space="preserve">50,07966667 </w:t>
            </w:r>
          </w:p>
        </w:tc>
        <w:tc>
          <w:tcPr>
            <w:tcW w:w="1901" w:type="dxa"/>
          </w:tcPr>
          <w:p w:rsidR="003C34AD" w:rsidRPr="00516F31" w:rsidRDefault="003C34AD" w:rsidP="00640B51">
            <w:pPr>
              <w:adjustRightInd w:val="0"/>
              <w:jc w:val="both"/>
              <w:rPr>
                <w:color w:val="000000"/>
              </w:rPr>
            </w:pPr>
            <w:r w:rsidRPr="00516F31">
              <w:rPr>
                <w:color w:val="000000"/>
              </w:rPr>
              <w:t xml:space="preserve">17,25466667 </w:t>
            </w:r>
          </w:p>
        </w:tc>
      </w:tr>
      <w:tr w:rsidR="003C34AD" w:rsidRPr="00516F31" w:rsidTr="00640B51">
        <w:trPr>
          <w:trHeight w:val="589"/>
        </w:trPr>
        <w:tc>
          <w:tcPr>
            <w:tcW w:w="1865" w:type="dxa"/>
          </w:tcPr>
          <w:p w:rsidR="003C34AD" w:rsidRPr="00516F31" w:rsidRDefault="003C34AD" w:rsidP="00640B51">
            <w:pPr>
              <w:adjustRightInd w:val="0"/>
              <w:jc w:val="both"/>
              <w:rPr>
                <w:color w:val="000000"/>
              </w:rPr>
            </w:pPr>
            <w:r w:rsidRPr="00516F31">
              <w:rPr>
                <w:color w:val="000000"/>
              </w:rPr>
              <w:t>4</w:t>
            </w:r>
          </w:p>
        </w:tc>
        <w:tc>
          <w:tcPr>
            <w:tcW w:w="2221" w:type="dxa"/>
          </w:tcPr>
          <w:p w:rsidR="003C34AD" w:rsidRPr="00516F31" w:rsidRDefault="003C34AD" w:rsidP="00640B51">
            <w:pPr>
              <w:adjustRightInd w:val="0"/>
              <w:jc w:val="both"/>
              <w:rPr>
                <w:color w:val="000000"/>
              </w:rPr>
            </w:pPr>
            <w:r w:rsidRPr="00516F31">
              <w:rPr>
                <w:color w:val="000000"/>
              </w:rPr>
              <w:t xml:space="preserve">    Bílá Opava </w:t>
            </w:r>
          </w:p>
        </w:tc>
        <w:tc>
          <w:tcPr>
            <w:tcW w:w="1618" w:type="dxa"/>
          </w:tcPr>
          <w:p w:rsidR="003C34AD" w:rsidRPr="00516F31" w:rsidRDefault="003C34AD" w:rsidP="00640B51">
            <w:pPr>
              <w:adjustRightInd w:val="0"/>
              <w:jc w:val="both"/>
              <w:rPr>
                <w:color w:val="000000"/>
              </w:rPr>
            </w:pPr>
            <w:r w:rsidRPr="00516F31">
              <w:rPr>
                <w:color w:val="000000"/>
              </w:rPr>
              <w:t xml:space="preserve">1265 </w:t>
            </w:r>
          </w:p>
        </w:tc>
        <w:tc>
          <w:tcPr>
            <w:tcW w:w="1902" w:type="dxa"/>
          </w:tcPr>
          <w:p w:rsidR="003C34AD" w:rsidRPr="00516F31" w:rsidRDefault="003C34AD" w:rsidP="00640B51">
            <w:pPr>
              <w:adjustRightInd w:val="0"/>
              <w:jc w:val="both"/>
              <w:rPr>
                <w:color w:val="000000"/>
              </w:rPr>
            </w:pPr>
            <w:r w:rsidRPr="00516F31">
              <w:rPr>
                <w:color w:val="000000"/>
              </w:rPr>
              <w:t xml:space="preserve">50,07091667 </w:t>
            </w:r>
          </w:p>
        </w:tc>
        <w:tc>
          <w:tcPr>
            <w:tcW w:w="1901" w:type="dxa"/>
          </w:tcPr>
          <w:p w:rsidR="003C34AD" w:rsidRPr="00516F31" w:rsidRDefault="003C34AD" w:rsidP="00640B51">
            <w:pPr>
              <w:adjustRightInd w:val="0"/>
              <w:jc w:val="both"/>
              <w:rPr>
                <w:color w:val="000000"/>
              </w:rPr>
            </w:pPr>
            <w:r w:rsidRPr="00516F31">
              <w:rPr>
                <w:color w:val="000000"/>
              </w:rPr>
              <w:t xml:space="preserve">17,24869444 </w:t>
            </w:r>
          </w:p>
        </w:tc>
      </w:tr>
    </w:tbl>
    <w:p w:rsidR="003C34AD" w:rsidRPr="00516F31" w:rsidRDefault="003C34AD" w:rsidP="003C34AD">
      <w:pPr>
        <w:jc w:val="both"/>
        <w:rPr>
          <w:b/>
        </w:rPr>
      </w:pPr>
      <w:r w:rsidRPr="00516F31">
        <w:rPr>
          <w:b/>
        </w:rPr>
        <w:t>r. 2012</w:t>
      </w:r>
    </w:p>
    <w:tbl>
      <w:tblPr>
        <w:tblW w:w="9296" w:type="dxa"/>
        <w:tblInd w:w="-56" w:type="dxa"/>
        <w:tblLayout w:type="fixed"/>
        <w:tblLook w:val="0000"/>
      </w:tblPr>
      <w:tblGrid>
        <w:gridCol w:w="1980"/>
        <w:gridCol w:w="2015"/>
        <w:gridCol w:w="1582"/>
        <w:gridCol w:w="1860"/>
        <w:gridCol w:w="1859"/>
      </w:tblGrid>
      <w:tr w:rsidR="003C34AD" w:rsidRPr="00516F31" w:rsidTr="00640B51">
        <w:trPr>
          <w:trHeight w:val="217"/>
        </w:trPr>
        <w:tc>
          <w:tcPr>
            <w:tcW w:w="1980" w:type="dxa"/>
          </w:tcPr>
          <w:p w:rsidR="003C34AD" w:rsidRPr="00516F31" w:rsidRDefault="003C34AD" w:rsidP="00640B51">
            <w:pPr>
              <w:adjustRightInd w:val="0"/>
              <w:jc w:val="both"/>
              <w:rPr>
                <w:color w:val="000000"/>
              </w:rPr>
            </w:pPr>
            <w:r>
              <w:rPr>
                <w:color w:val="000000"/>
              </w:rPr>
              <w:t xml:space="preserve">  </w:t>
            </w:r>
            <w:r w:rsidRPr="00516F31">
              <w:rPr>
                <w:color w:val="000000"/>
              </w:rPr>
              <w:t xml:space="preserve">6 </w:t>
            </w:r>
          </w:p>
        </w:tc>
        <w:tc>
          <w:tcPr>
            <w:tcW w:w="2015" w:type="dxa"/>
          </w:tcPr>
          <w:p w:rsidR="003C34AD" w:rsidRPr="00516F31" w:rsidRDefault="003C34AD" w:rsidP="00640B51">
            <w:pPr>
              <w:adjustRightInd w:val="0"/>
              <w:jc w:val="both"/>
              <w:rPr>
                <w:color w:val="000000"/>
              </w:rPr>
            </w:pPr>
            <w:r w:rsidRPr="00516F31">
              <w:rPr>
                <w:color w:val="000000"/>
              </w:rPr>
              <w:t xml:space="preserve">Bílá Opava </w:t>
            </w:r>
          </w:p>
        </w:tc>
        <w:tc>
          <w:tcPr>
            <w:tcW w:w="1582" w:type="dxa"/>
          </w:tcPr>
          <w:p w:rsidR="003C34AD" w:rsidRPr="00516F31" w:rsidRDefault="003C34AD" w:rsidP="00640B51">
            <w:pPr>
              <w:adjustRightInd w:val="0"/>
              <w:jc w:val="both"/>
              <w:rPr>
                <w:color w:val="000000"/>
              </w:rPr>
            </w:pPr>
            <w:r w:rsidRPr="00516F31">
              <w:rPr>
                <w:color w:val="000000"/>
              </w:rPr>
              <w:t xml:space="preserve"> </w:t>
            </w:r>
            <w:r>
              <w:rPr>
                <w:color w:val="000000"/>
              </w:rPr>
              <w:t xml:space="preserve"> </w:t>
            </w:r>
            <w:r w:rsidRPr="00516F31">
              <w:rPr>
                <w:color w:val="000000"/>
              </w:rPr>
              <w:t xml:space="preserve">1222 </w:t>
            </w:r>
          </w:p>
        </w:tc>
        <w:tc>
          <w:tcPr>
            <w:tcW w:w="1860" w:type="dxa"/>
          </w:tcPr>
          <w:p w:rsidR="003C34AD" w:rsidRPr="00516F31" w:rsidRDefault="003C34AD" w:rsidP="00640B51">
            <w:pPr>
              <w:adjustRightInd w:val="0"/>
              <w:jc w:val="both"/>
              <w:rPr>
                <w:color w:val="000000"/>
              </w:rPr>
            </w:pPr>
            <w:r w:rsidRPr="00516F31">
              <w:rPr>
                <w:color w:val="000000"/>
              </w:rPr>
              <w:t xml:space="preserve">  50,07339 </w:t>
            </w:r>
          </w:p>
        </w:tc>
        <w:tc>
          <w:tcPr>
            <w:tcW w:w="1859" w:type="dxa"/>
          </w:tcPr>
          <w:p w:rsidR="003C34AD" w:rsidRPr="00516F31" w:rsidRDefault="003C34AD" w:rsidP="00640B51">
            <w:pPr>
              <w:adjustRightInd w:val="0"/>
              <w:jc w:val="both"/>
              <w:rPr>
                <w:color w:val="000000"/>
              </w:rPr>
            </w:pPr>
            <w:r w:rsidRPr="00516F31">
              <w:rPr>
                <w:color w:val="000000"/>
              </w:rPr>
              <w:t xml:space="preserve">   17,24463 </w:t>
            </w:r>
          </w:p>
        </w:tc>
      </w:tr>
      <w:tr w:rsidR="003C34AD" w:rsidRPr="00516F31" w:rsidTr="00640B51">
        <w:trPr>
          <w:trHeight w:val="106"/>
        </w:trPr>
        <w:tc>
          <w:tcPr>
            <w:tcW w:w="1980" w:type="dxa"/>
          </w:tcPr>
          <w:p w:rsidR="003C34AD" w:rsidRPr="00516F31" w:rsidRDefault="003C34AD" w:rsidP="00640B51">
            <w:pPr>
              <w:adjustRightInd w:val="0"/>
              <w:jc w:val="both"/>
              <w:rPr>
                <w:color w:val="000000"/>
              </w:rPr>
            </w:pPr>
            <w:r w:rsidRPr="00516F31">
              <w:rPr>
                <w:color w:val="000000"/>
              </w:rPr>
              <w:lastRenderedPageBreak/>
              <w:t xml:space="preserve">  12 </w:t>
            </w:r>
          </w:p>
        </w:tc>
        <w:tc>
          <w:tcPr>
            <w:tcW w:w="2015" w:type="dxa"/>
          </w:tcPr>
          <w:p w:rsidR="003C34AD" w:rsidRPr="00516F31" w:rsidRDefault="003C34AD" w:rsidP="00640B51">
            <w:pPr>
              <w:adjustRightInd w:val="0"/>
              <w:jc w:val="both"/>
              <w:rPr>
                <w:color w:val="000000"/>
              </w:rPr>
            </w:pPr>
            <w:r w:rsidRPr="00516F31">
              <w:rPr>
                <w:color w:val="000000"/>
              </w:rPr>
              <w:t xml:space="preserve">Malá Kotlina </w:t>
            </w:r>
          </w:p>
        </w:tc>
        <w:tc>
          <w:tcPr>
            <w:tcW w:w="1582" w:type="dxa"/>
          </w:tcPr>
          <w:p w:rsidR="003C34AD" w:rsidRPr="00516F31" w:rsidRDefault="003C34AD" w:rsidP="00640B51">
            <w:pPr>
              <w:adjustRightInd w:val="0"/>
              <w:jc w:val="both"/>
              <w:rPr>
                <w:color w:val="000000"/>
              </w:rPr>
            </w:pPr>
            <w:r w:rsidRPr="00516F31">
              <w:rPr>
                <w:color w:val="000000"/>
              </w:rPr>
              <w:t xml:space="preserve"> </w:t>
            </w:r>
            <w:r>
              <w:rPr>
                <w:color w:val="000000"/>
              </w:rPr>
              <w:t xml:space="preserve"> </w:t>
            </w:r>
            <w:r w:rsidRPr="00516F31">
              <w:rPr>
                <w:color w:val="000000"/>
              </w:rPr>
              <w:t xml:space="preserve">1132 </w:t>
            </w:r>
          </w:p>
        </w:tc>
        <w:tc>
          <w:tcPr>
            <w:tcW w:w="1860" w:type="dxa"/>
          </w:tcPr>
          <w:p w:rsidR="003C34AD" w:rsidRPr="00516F31" w:rsidRDefault="003C34AD" w:rsidP="00640B51">
            <w:pPr>
              <w:adjustRightInd w:val="0"/>
              <w:jc w:val="both"/>
              <w:rPr>
                <w:color w:val="000000"/>
              </w:rPr>
            </w:pPr>
            <w:r w:rsidRPr="00516F31">
              <w:rPr>
                <w:color w:val="000000"/>
              </w:rPr>
              <w:t xml:space="preserve">  50,03582 </w:t>
            </w:r>
          </w:p>
        </w:tc>
        <w:tc>
          <w:tcPr>
            <w:tcW w:w="1859" w:type="dxa"/>
          </w:tcPr>
          <w:p w:rsidR="003C34AD" w:rsidRPr="00516F31" w:rsidRDefault="003C34AD" w:rsidP="00640B51">
            <w:pPr>
              <w:adjustRightInd w:val="0"/>
              <w:jc w:val="both"/>
              <w:rPr>
                <w:color w:val="000000"/>
              </w:rPr>
            </w:pPr>
            <w:r w:rsidRPr="00516F31">
              <w:rPr>
                <w:color w:val="000000"/>
              </w:rPr>
              <w:t xml:space="preserve">     17,21127 </w:t>
            </w:r>
          </w:p>
        </w:tc>
      </w:tr>
      <w:tr w:rsidR="003C34AD" w:rsidRPr="00516F31" w:rsidTr="00640B51">
        <w:trPr>
          <w:trHeight w:val="106"/>
        </w:trPr>
        <w:tc>
          <w:tcPr>
            <w:tcW w:w="1980" w:type="dxa"/>
          </w:tcPr>
          <w:p w:rsidR="003C34AD" w:rsidRPr="00516F31" w:rsidRDefault="003C34AD" w:rsidP="00640B51">
            <w:pPr>
              <w:jc w:val="both"/>
            </w:pPr>
            <w:r w:rsidRPr="00516F31">
              <w:t xml:space="preserve">  13</w:t>
            </w:r>
          </w:p>
        </w:tc>
        <w:tc>
          <w:tcPr>
            <w:tcW w:w="2015" w:type="dxa"/>
          </w:tcPr>
          <w:p w:rsidR="003C34AD" w:rsidRPr="00516F31" w:rsidRDefault="003C34AD" w:rsidP="00640B51">
            <w:pPr>
              <w:adjustRightInd w:val="0"/>
              <w:rPr>
                <w:color w:val="000000"/>
              </w:rPr>
            </w:pPr>
            <w:r w:rsidRPr="00516F31">
              <w:rPr>
                <w:color w:val="000000"/>
              </w:rPr>
              <w:t xml:space="preserve">Pod Jelení          studánkou </w:t>
            </w:r>
          </w:p>
        </w:tc>
        <w:tc>
          <w:tcPr>
            <w:tcW w:w="1582" w:type="dxa"/>
          </w:tcPr>
          <w:p w:rsidR="003C34AD" w:rsidRPr="00516F31" w:rsidRDefault="003C34AD" w:rsidP="00640B51">
            <w:pPr>
              <w:adjustRightInd w:val="0"/>
              <w:jc w:val="both"/>
              <w:rPr>
                <w:color w:val="000000"/>
              </w:rPr>
            </w:pPr>
            <w:r w:rsidRPr="00516F31">
              <w:rPr>
                <w:color w:val="000000"/>
              </w:rPr>
              <w:t xml:space="preserve"> </w:t>
            </w:r>
            <w:r>
              <w:rPr>
                <w:color w:val="000000"/>
              </w:rPr>
              <w:t xml:space="preserve"> </w:t>
            </w:r>
            <w:r w:rsidRPr="00516F31">
              <w:rPr>
                <w:color w:val="000000"/>
              </w:rPr>
              <w:t xml:space="preserve">1142 </w:t>
            </w:r>
          </w:p>
        </w:tc>
        <w:tc>
          <w:tcPr>
            <w:tcW w:w="1860" w:type="dxa"/>
          </w:tcPr>
          <w:p w:rsidR="003C34AD" w:rsidRPr="00516F31" w:rsidRDefault="003C34AD" w:rsidP="00640B51">
            <w:pPr>
              <w:adjustRightInd w:val="0"/>
              <w:jc w:val="both"/>
              <w:rPr>
                <w:color w:val="000000"/>
              </w:rPr>
            </w:pPr>
            <w:r w:rsidRPr="00516F31">
              <w:rPr>
                <w:color w:val="000000"/>
              </w:rPr>
              <w:t xml:space="preserve">  50,01949 </w:t>
            </w:r>
          </w:p>
        </w:tc>
        <w:tc>
          <w:tcPr>
            <w:tcW w:w="1859" w:type="dxa"/>
          </w:tcPr>
          <w:p w:rsidR="003C34AD" w:rsidRPr="00516F31" w:rsidRDefault="003C34AD" w:rsidP="00640B51">
            <w:pPr>
              <w:adjustRightInd w:val="0"/>
              <w:jc w:val="both"/>
              <w:rPr>
                <w:color w:val="000000"/>
              </w:rPr>
            </w:pPr>
            <w:r w:rsidRPr="00516F31">
              <w:rPr>
                <w:color w:val="000000"/>
              </w:rPr>
              <w:t xml:space="preserve">   </w:t>
            </w:r>
            <w:r w:rsidR="0044718C">
              <w:rPr>
                <w:color w:val="000000"/>
              </w:rPr>
              <w:t xml:space="preserve">  </w:t>
            </w:r>
            <w:r w:rsidRPr="00516F31">
              <w:rPr>
                <w:color w:val="000000"/>
              </w:rPr>
              <w:t xml:space="preserve">17,20378 </w:t>
            </w:r>
          </w:p>
        </w:tc>
      </w:tr>
      <w:tr w:rsidR="003C34AD" w:rsidRPr="00516F31" w:rsidTr="00640B51">
        <w:trPr>
          <w:trHeight w:val="106"/>
        </w:trPr>
        <w:tc>
          <w:tcPr>
            <w:tcW w:w="1980" w:type="dxa"/>
          </w:tcPr>
          <w:p w:rsidR="003C34AD" w:rsidRPr="00516F31" w:rsidRDefault="003C34AD" w:rsidP="00640B51">
            <w:pPr>
              <w:adjustRightInd w:val="0"/>
              <w:jc w:val="both"/>
              <w:rPr>
                <w:color w:val="000000"/>
              </w:rPr>
            </w:pPr>
            <w:r w:rsidRPr="00516F31">
              <w:rPr>
                <w:color w:val="000000"/>
              </w:rPr>
              <w:t xml:space="preserve">  14 </w:t>
            </w:r>
          </w:p>
        </w:tc>
        <w:tc>
          <w:tcPr>
            <w:tcW w:w="2015" w:type="dxa"/>
          </w:tcPr>
          <w:p w:rsidR="003C34AD" w:rsidRPr="00516F31" w:rsidRDefault="003C34AD" w:rsidP="00640B51">
            <w:pPr>
              <w:adjustRightInd w:val="0"/>
              <w:jc w:val="both"/>
              <w:rPr>
                <w:color w:val="000000"/>
              </w:rPr>
            </w:pPr>
            <w:r w:rsidRPr="00516F31">
              <w:rPr>
                <w:color w:val="000000"/>
              </w:rPr>
              <w:t xml:space="preserve">Břidličná </w:t>
            </w:r>
          </w:p>
        </w:tc>
        <w:tc>
          <w:tcPr>
            <w:tcW w:w="1582" w:type="dxa"/>
          </w:tcPr>
          <w:p w:rsidR="003C34AD" w:rsidRPr="00516F31" w:rsidRDefault="003C34AD" w:rsidP="00640B51">
            <w:pPr>
              <w:adjustRightInd w:val="0"/>
              <w:jc w:val="both"/>
              <w:rPr>
                <w:color w:val="000000"/>
              </w:rPr>
            </w:pPr>
            <w:r w:rsidRPr="00516F31">
              <w:rPr>
                <w:color w:val="000000"/>
              </w:rPr>
              <w:t xml:space="preserve"> </w:t>
            </w:r>
            <w:r>
              <w:rPr>
                <w:color w:val="000000"/>
              </w:rPr>
              <w:t xml:space="preserve">  </w:t>
            </w:r>
            <w:r w:rsidRPr="00516F31">
              <w:rPr>
                <w:color w:val="000000"/>
              </w:rPr>
              <w:t xml:space="preserve">1183 </w:t>
            </w:r>
          </w:p>
        </w:tc>
        <w:tc>
          <w:tcPr>
            <w:tcW w:w="1860" w:type="dxa"/>
          </w:tcPr>
          <w:p w:rsidR="003C34AD" w:rsidRPr="00516F31" w:rsidRDefault="003C34AD" w:rsidP="00640B51">
            <w:pPr>
              <w:adjustRightInd w:val="0"/>
              <w:jc w:val="both"/>
              <w:rPr>
                <w:color w:val="000000"/>
              </w:rPr>
            </w:pPr>
            <w:r w:rsidRPr="00516F31">
              <w:rPr>
                <w:color w:val="000000"/>
              </w:rPr>
              <w:t xml:space="preserve">  50,02928 </w:t>
            </w:r>
          </w:p>
        </w:tc>
        <w:tc>
          <w:tcPr>
            <w:tcW w:w="1859" w:type="dxa"/>
          </w:tcPr>
          <w:p w:rsidR="003C34AD" w:rsidRPr="00516F31" w:rsidRDefault="003C34AD" w:rsidP="00640B51">
            <w:pPr>
              <w:adjustRightInd w:val="0"/>
              <w:jc w:val="both"/>
              <w:rPr>
                <w:color w:val="000000"/>
              </w:rPr>
            </w:pPr>
            <w:r w:rsidRPr="00516F31">
              <w:rPr>
                <w:color w:val="000000"/>
              </w:rPr>
              <w:t xml:space="preserve">     17,19925 </w:t>
            </w:r>
          </w:p>
        </w:tc>
      </w:tr>
    </w:tbl>
    <w:p w:rsidR="003C34AD" w:rsidRPr="00516F31" w:rsidRDefault="003C34AD" w:rsidP="003C34AD">
      <w:pPr>
        <w:jc w:val="both"/>
        <w:rPr>
          <w:b/>
        </w:rPr>
      </w:pPr>
      <w:r w:rsidRPr="00516F31">
        <w:rPr>
          <w:b/>
        </w:rPr>
        <w:t>r. 2013</w:t>
      </w:r>
    </w:p>
    <w:p w:rsidR="003C34AD" w:rsidRPr="00516F31" w:rsidRDefault="003C34AD" w:rsidP="003C34AD">
      <w:pPr>
        <w:jc w:val="both"/>
      </w:pPr>
      <w:r w:rsidRPr="00516F31">
        <w:t xml:space="preserve"> 8</w:t>
      </w:r>
      <w:r w:rsidRPr="00516F31">
        <w:tab/>
        <w:t xml:space="preserve">                        Eustaška</w:t>
      </w:r>
      <w:r w:rsidRPr="00516F31">
        <w:tab/>
        <w:t xml:space="preserve">         </w:t>
      </w:r>
      <w:r>
        <w:t xml:space="preserve">              </w:t>
      </w:r>
      <w:r w:rsidRPr="00516F31">
        <w:t xml:space="preserve"> 1214</w:t>
      </w:r>
      <w:r w:rsidRPr="00516F31">
        <w:tab/>
        <w:t xml:space="preserve">                  50,06402</w:t>
      </w:r>
      <w:r w:rsidRPr="00516F31">
        <w:tab/>
        <w:t xml:space="preserve">              17,25768</w:t>
      </w:r>
    </w:p>
    <w:p w:rsidR="003C34AD" w:rsidRPr="00516F31" w:rsidRDefault="003C34AD" w:rsidP="003C34AD">
      <w:pPr>
        <w:jc w:val="both"/>
      </w:pPr>
      <w:r w:rsidRPr="00516F31">
        <w:t xml:space="preserve"> 9</w:t>
      </w:r>
      <w:r w:rsidRPr="00516F31">
        <w:tab/>
        <w:t xml:space="preserve">                        Velká Kotlina</w:t>
      </w:r>
      <w:r w:rsidRPr="00516F31">
        <w:tab/>
        <w:t xml:space="preserve">          1095</w:t>
      </w:r>
      <w:r w:rsidRPr="00516F31">
        <w:tab/>
        <w:t xml:space="preserve">                  50,05390</w:t>
      </w:r>
      <w:r w:rsidRPr="00516F31">
        <w:tab/>
        <w:t xml:space="preserve">              17,24855</w:t>
      </w:r>
    </w:p>
    <w:p w:rsidR="003C34AD" w:rsidRPr="00516F31" w:rsidRDefault="003C34AD" w:rsidP="003C34AD">
      <w:pPr>
        <w:jc w:val="both"/>
      </w:pPr>
      <w:r w:rsidRPr="00516F31">
        <w:t>10</w:t>
      </w:r>
      <w:r w:rsidRPr="00516F31">
        <w:tab/>
        <w:t xml:space="preserve">                        Mezi kotli</w:t>
      </w:r>
      <w:r w:rsidRPr="00516F31">
        <w:tab/>
        <w:t xml:space="preserve">   </w:t>
      </w:r>
      <w:r>
        <w:t xml:space="preserve">              </w:t>
      </w:r>
      <w:r w:rsidRPr="00516F31">
        <w:t xml:space="preserve">       </w:t>
      </w:r>
      <w:r>
        <w:t>1</w:t>
      </w:r>
      <w:r w:rsidRPr="00516F31">
        <w:t>208</w:t>
      </w:r>
      <w:r w:rsidRPr="00516F31">
        <w:tab/>
        <w:t xml:space="preserve">                  50,04653</w:t>
      </w:r>
      <w:r w:rsidRPr="00516F31">
        <w:tab/>
        <w:t xml:space="preserve">              17,23519</w:t>
      </w:r>
    </w:p>
    <w:p w:rsidR="003C34AD" w:rsidRPr="00516F31" w:rsidRDefault="0044718C" w:rsidP="003C34AD">
      <w:pPr>
        <w:jc w:val="both"/>
      </w:pPr>
      <w:r>
        <w:t xml:space="preserve">16 </w:t>
      </w:r>
      <w:r>
        <w:tab/>
        <w:t xml:space="preserve">                        </w:t>
      </w:r>
      <w:r w:rsidR="003C34AD" w:rsidRPr="00516F31">
        <w:t>U Josefínky</w:t>
      </w:r>
      <w:r w:rsidR="003C34AD" w:rsidRPr="00516F31">
        <w:tab/>
        <w:t xml:space="preserve">          1162</w:t>
      </w:r>
      <w:r w:rsidR="003C34AD" w:rsidRPr="00516F31">
        <w:tab/>
        <w:t xml:space="preserve">                  50,02253</w:t>
      </w:r>
      <w:r w:rsidR="003C34AD" w:rsidRPr="00516F31">
        <w:tab/>
        <w:t xml:space="preserve">              17,19219</w:t>
      </w:r>
    </w:p>
    <w:p w:rsidR="003C34AD" w:rsidRPr="00516F31" w:rsidRDefault="003C34AD" w:rsidP="003C34AD">
      <w:pPr>
        <w:jc w:val="both"/>
        <w:rPr>
          <w:b/>
          <w:sz w:val="24"/>
          <w:szCs w:val="24"/>
        </w:rPr>
      </w:pPr>
    </w:p>
    <w:p w:rsidR="003C34AD" w:rsidRPr="00516F31" w:rsidRDefault="003C34AD" w:rsidP="003C34AD">
      <w:pPr>
        <w:jc w:val="both"/>
        <w:rPr>
          <w:i/>
        </w:rPr>
      </w:pPr>
      <w:r w:rsidRPr="00516F31">
        <w:rPr>
          <w:i/>
        </w:rPr>
        <w:t>Přílohy: monitoring_les_mapy (TVP 1, 2, 3, 4, 6, 12, 13, 14, 8, 9, 10, 16)</w:t>
      </w:r>
    </w:p>
    <w:p w:rsidR="003C34AD" w:rsidRDefault="003C34AD" w:rsidP="003C34AD">
      <w:pPr>
        <w:jc w:val="both"/>
        <w:rPr>
          <w:i/>
          <w:sz w:val="24"/>
          <w:szCs w:val="24"/>
          <w:u w:val="single"/>
        </w:rPr>
      </w:pPr>
    </w:p>
    <w:p w:rsidR="003C34AD" w:rsidRPr="00394BBD" w:rsidRDefault="003C34AD" w:rsidP="003C34AD">
      <w:pPr>
        <w:jc w:val="both"/>
        <w:rPr>
          <w:i/>
          <w:sz w:val="24"/>
          <w:szCs w:val="24"/>
          <w:u w:val="single"/>
        </w:rPr>
      </w:pPr>
      <w:r w:rsidRPr="00394BBD">
        <w:rPr>
          <w:i/>
          <w:sz w:val="24"/>
          <w:szCs w:val="24"/>
          <w:u w:val="single"/>
        </w:rPr>
        <w:t xml:space="preserve">Implikace výsledků pro další management: </w:t>
      </w:r>
    </w:p>
    <w:p w:rsidR="003C34AD" w:rsidRPr="00394BBD" w:rsidRDefault="003C34AD" w:rsidP="003C34AD">
      <w:pPr>
        <w:jc w:val="both"/>
        <w:rPr>
          <w:sz w:val="24"/>
          <w:szCs w:val="24"/>
        </w:rPr>
      </w:pPr>
      <w:r w:rsidRPr="00394BBD">
        <w:rPr>
          <w:sz w:val="24"/>
          <w:szCs w:val="24"/>
        </w:rPr>
        <w:t>Výsledky srovnání 12 vybraných TVP by měly nastínit trend vývoje prostorové struktury lesa v čase, primárně změny horního stromového patra,</w:t>
      </w:r>
      <w:r>
        <w:rPr>
          <w:sz w:val="24"/>
          <w:szCs w:val="24"/>
        </w:rPr>
        <w:t xml:space="preserve"> </w:t>
      </w:r>
      <w:r w:rsidRPr="00394BBD">
        <w:rPr>
          <w:sz w:val="24"/>
          <w:szCs w:val="24"/>
        </w:rPr>
        <w:t xml:space="preserve">posun stávající přirozené obnovy do vyšších výškových a tloušťkových tříd, resp. mortalitu. Výsledky můžou přinést též posun v přítomnosti a úspěšnosti odrůstání dalších druhů dřevin, v těchto polohách zejména jeřáb ptačí a javor horský, jejichž odrůstání je poměrně významně blokováno spárkatou zvěří, případně buku. Data o biodiverzitě, tj. vybraných skupin poskytnou informaci o vývoji této složky ekosystému dobře indikující jeho stav. </w:t>
      </w:r>
    </w:p>
    <w:p w:rsidR="003C34AD" w:rsidRPr="00394BBD" w:rsidRDefault="003C34AD" w:rsidP="003C34AD">
      <w:pPr>
        <w:jc w:val="both"/>
        <w:rPr>
          <w:sz w:val="24"/>
          <w:szCs w:val="24"/>
        </w:rPr>
      </w:pPr>
    </w:p>
    <w:p w:rsidR="003C34AD" w:rsidRPr="00394BBD" w:rsidRDefault="003C34AD" w:rsidP="003C34AD">
      <w:pPr>
        <w:jc w:val="both"/>
        <w:rPr>
          <w:sz w:val="24"/>
          <w:szCs w:val="24"/>
        </w:rPr>
      </w:pPr>
      <w:r w:rsidRPr="00394BBD">
        <w:rPr>
          <w:sz w:val="24"/>
          <w:szCs w:val="24"/>
        </w:rPr>
        <w:t>Celkové náklady</w:t>
      </w:r>
      <w:r>
        <w:rPr>
          <w:sz w:val="24"/>
          <w:szCs w:val="24"/>
        </w:rPr>
        <w:t xml:space="preserve"> budou </w:t>
      </w:r>
      <w:r w:rsidRPr="00394BBD">
        <w:rPr>
          <w:sz w:val="24"/>
          <w:szCs w:val="24"/>
        </w:rPr>
        <w:t>zahrn</w:t>
      </w:r>
      <w:r>
        <w:rPr>
          <w:sz w:val="24"/>
          <w:szCs w:val="24"/>
        </w:rPr>
        <w:t>ovat</w:t>
      </w:r>
      <w:r w:rsidRPr="00394BBD">
        <w:rPr>
          <w:sz w:val="24"/>
          <w:szCs w:val="24"/>
        </w:rPr>
        <w:t xml:space="preserve"> dendrometrickou analýzu a následné srovnání stavu po 5 letech, resp. po 10 letech), dále jednorázový sběr dat o biodiverzitě mechorostů, lišejníků, lignikolních hub a saproxylických brouků na 12 trvalých plochách v letech 2016–2023 dle rozpisu: </w:t>
      </w:r>
    </w:p>
    <w:p w:rsidR="003C34AD" w:rsidRDefault="003C34AD" w:rsidP="003C34AD">
      <w:pPr>
        <w:pStyle w:val="Default"/>
        <w:spacing w:line="360" w:lineRule="auto"/>
        <w:jc w:val="both"/>
        <w:rPr>
          <w:b/>
        </w:rPr>
      </w:pPr>
    </w:p>
    <w:p w:rsidR="000C2F00" w:rsidRDefault="003C34AD" w:rsidP="000C2F00">
      <w:pPr>
        <w:pStyle w:val="Default"/>
        <w:spacing w:line="360" w:lineRule="auto"/>
        <w:jc w:val="both"/>
      </w:pPr>
      <w:r w:rsidRPr="00394BBD">
        <w:rPr>
          <w:b/>
        </w:rPr>
        <w:t>2016</w:t>
      </w:r>
      <w:r w:rsidRPr="00394BBD">
        <w:t>: TVP č. 1, 2, 3, 4: srovnání mortality a dendrometrie po 5 letech; biodiverzita</w:t>
      </w:r>
      <w:r w:rsidR="000C2F00">
        <w:t xml:space="preserve"> (příp. v r. </w:t>
      </w:r>
    </w:p>
    <w:p w:rsidR="003C34AD" w:rsidRPr="00394BBD" w:rsidRDefault="000C2F00" w:rsidP="000C2F00">
      <w:pPr>
        <w:pStyle w:val="Default"/>
        <w:spacing w:line="360" w:lineRule="auto"/>
        <w:jc w:val="both"/>
      </w:pPr>
      <w:r>
        <w:t xml:space="preserve">         2017)</w:t>
      </w:r>
    </w:p>
    <w:p w:rsidR="003C34AD" w:rsidRPr="00394BBD" w:rsidRDefault="003C34AD" w:rsidP="003C34AD">
      <w:pPr>
        <w:pStyle w:val="Default"/>
        <w:spacing w:line="360" w:lineRule="auto"/>
        <w:jc w:val="both"/>
      </w:pPr>
      <w:r w:rsidRPr="00394BBD">
        <w:rPr>
          <w:b/>
        </w:rPr>
        <w:t>2017</w:t>
      </w:r>
      <w:r w:rsidRPr="00394BBD">
        <w:t xml:space="preserve">: TVP č. 6, 12, 13, 14: srovnání mortality a dendrometrie po 5 letech; biodiverzita </w:t>
      </w:r>
    </w:p>
    <w:p w:rsidR="003C34AD" w:rsidRPr="00394BBD" w:rsidRDefault="003C34AD" w:rsidP="003C34AD">
      <w:pPr>
        <w:pStyle w:val="Default"/>
        <w:spacing w:line="360" w:lineRule="auto"/>
        <w:jc w:val="both"/>
      </w:pPr>
      <w:r w:rsidRPr="00394BBD">
        <w:rPr>
          <w:b/>
        </w:rPr>
        <w:t>2018</w:t>
      </w:r>
      <w:r w:rsidRPr="00394BBD">
        <w:t xml:space="preserve">: TVP č. 8, 9, 10, 16: srovnání mortality a dendrometrie po 5 letech; biodiverzita </w:t>
      </w:r>
    </w:p>
    <w:p w:rsidR="003C34AD" w:rsidRPr="00394BBD" w:rsidRDefault="003C34AD" w:rsidP="003C34AD">
      <w:pPr>
        <w:pStyle w:val="Default"/>
        <w:spacing w:line="360" w:lineRule="auto"/>
        <w:jc w:val="both"/>
      </w:pPr>
      <w:r w:rsidRPr="00394BBD">
        <w:rPr>
          <w:b/>
        </w:rPr>
        <w:t>2021</w:t>
      </w:r>
      <w:r w:rsidRPr="00394BBD">
        <w:t xml:space="preserve">: TVP č. 1, 2, 3, 4: srovnání mortality a dendrometrie po 5 (resp. 10) letech </w:t>
      </w:r>
    </w:p>
    <w:p w:rsidR="003C34AD" w:rsidRPr="00394BBD" w:rsidRDefault="003C34AD" w:rsidP="003C34AD">
      <w:pPr>
        <w:pStyle w:val="Default"/>
        <w:spacing w:line="360" w:lineRule="auto"/>
        <w:jc w:val="both"/>
      </w:pPr>
      <w:r w:rsidRPr="00394BBD">
        <w:rPr>
          <w:b/>
        </w:rPr>
        <w:t>2022</w:t>
      </w:r>
      <w:r w:rsidRPr="00394BBD">
        <w:t xml:space="preserve">: TVP č. 6, 12, 13, 14: srovnání mortality a dendrometrie po 5 (resp. 10) letech </w:t>
      </w:r>
    </w:p>
    <w:p w:rsidR="003C34AD" w:rsidRPr="00394BBD" w:rsidRDefault="003C34AD" w:rsidP="003C34AD">
      <w:pPr>
        <w:pStyle w:val="Default"/>
        <w:spacing w:line="360" w:lineRule="auto"/>
        <w:jc w:val="both"/>
      </w:pPr>
      <w:r w:rsidRPr="00394BBD">
        <w:rPr>
          <w:b/>
        </w:rPr>
        <w:t>2023</w:t>
      </w:r>
      <w:r w:rsidRPr="00394BBD">
        <w:t xml:space="preserve">: TVP č. 8, 9, 10, 16: srovnání mortality a dendrometrie po 5 (resp. 10) letech </w:t>
      </w:r>
    </w:p>
    <w:p w:rsidR="003C34AD" w:rsidRPr="00516F31" w:rsidRDefault="003C34AD" w:rsidP="003C34AD">
      <w:pPr>
        <w:jc w:val="both"/>
        <w:rPr>
          <w:b/>
          <w:sz w:val="24"/>
          <w:szCs w:val="24"/>
        </w:rPr>
      </w:pPr>
    </w:p>
    <w:p w:rsidR="003C34AD" w:rsidRPr="00516F31" w:rsidRDefault="003C34AD" w:rsidP="003C34AD">
      <w:pPr>
        <w:pStyle w:val="Nadpis3"/>
        <w:autoSpaceDE/>
        <w:autoSpaceDN/>
        <w:spacing w:before="240" w:after="60" w:line="360" w:lineRule="auto"/>
        <w:jc w:val="both"/>
        <w:rPr>
          <w:rFonts w:ascii="Times New Roman" w:hAnsi="Times New Roman"/>
          <w:sz w:val="24"/>
          <w:szCs w:val="24"/>
        </w:rPr>
      </w:pPr>
      <w:r w:rsidRPr="00516F31">
        <w:rPr>
          <w:rFonts w:ascii="Times New Roman" w:hAnsi="Times New Roman"/>
          <w:sz w:val="24"/>
          <w:szCs w:val="24"/>
        </w:rPr>
        <w:t xml:space="preserve">B) Prostorová dynamika vybraných druhů dřevin na vertikálním gradientu </w:t>
      </w:r>
    </w:p>
    <w:p w:rsidR="003C34AD" w:rsidRPr="00516F31" w:rsidRDefault="003C34AD" w:rsidP="003C34AD">
      <w:pPr>
        <w:jc w:val="both"/>
        <w:rPr>
          <w:b/>
          <w:sz w:val="24"/>
          <w:szCs w:val="24"/>
        </w:rPr>
      </w:pPr>
    </w:p>
    <w:p w:rsidR="003C34AD" w:rsidRPr="00516F31" w:rsidRDefault="003C34AD" w:rsidP="003C34AD">
      <w:pPr>
        <w:jc w:val="both"/>
        <w:rPr>
          <w:rFonts w:cs="Arial"/>
          <w:b/>
          <w:sz w:val="24"/>
          <w:szCs w:val="24"/>
        </w:rPr>
      </w:pPr>
      <w:r w:rsidRPr="00516F31">
        <w:rPr>
          <w:rFonts w:cs="Arial"/>
          <w:b/>
          <w:sz w:val="24"/>
          <w:szCs w:val="24"/>
        </w:rPr>
        <w:t>Popis opatření:</w:t>
      </w:r>
    </w:p>
    <w:p w:rsidR="003C34AD" w:rsidRPr="00516F31" w:rsidRDefault="003C34AD" w:rsidP="003C34AD">
      <w:pPr>
        <w:jc w:val="both"/>
        <w:rPr>
          <w:rFonts w:cs="Arial"/>
          <w:sz w:val="24"/>
          <w:szCs w:val="24"/>
        </w:rPr>
      </w:pPr>
      <w:r w:rsidRPr="00516F31">
        <w:rPr>
          <w:rFonts w:cs="Arial"/>
          <w:sz w:val="24"/>
          <w:szCs w:val="24"/>
        </w:rPr>
        <w:t>Cílem této části je zjistit aktuální distribuci jednotlivých druhů dřevin v rámci ekosystému ve výškovém gradientu mezi 6. resp. 7. až 9. LVS na 2 transektech,</w:t>
      </w:r>
      <w:r>
        <w:rPr>
          <w:rFonts w:cs="Arial"/>
          <w:sz w:val="24"/>
          <w:szCs w:val="24"/>
        </w:rPr>
        <w:t xml:space="preserve"> </w:t>
      </w:r>
      <w:r w:rsidRPr="00516F31">
        <w:rPr>
          <w:rFonts w:cs="Arial"/>
          <w:sz w:val="24"/>
          <w:szCs w:val="24"/>
        </w:rPr>
        <w:t xml:space="preserve">na severní/severovýchodní (PR Břidličná) a jižní/jihovýchodní expozici (NPR Praděd) Transekty jsou navrženy tak, aby co nejlépe zachycovaly přechod současné hranice mezi (bukovým 6. LVS v PR Břidličná), bukosmrkovým (7. LVS), smrkovým (8. LVS) a „klečovým“ </w:t>
      </w:r>
      <w:r>
        <w:rPr>
          <w:rFonts w:cs="Arial"/>
          <w:sz w:val="24"/>
          <w:szCs w:val="24"/>
        </w:rPr>
        <w:t>–</w:t>
      </w:r>
      <w:r w:rsidRPr="00516F31">
        <w:rPr>
          <w:rFonts w:cs="Arial"/>
          <w:sz w:val="24"/>
          <w:szCs w:val="24"/>
        </w:rPr>
        <w:t xml:space="preserve"> řídkolesím (9. LVS) lesním vegetačním stupněm. Tento monitoring bude popisovat určit</w:t>
      </w:r>
      <w:r>
        <w:rPr>
          <w:rFonts w:cs="Arial"/>
          <w:sz w:val="24"/>
          <w:szCs w:val="24"/>
        </w:rPr>
        <w:t xml:space="preserve">ý stav (statický stav), z něhož </w:t>
      </w:r>
      <w:r w:rsidRPr="00516F31">
        <w:rPr>
          <w:rFonts w:cs="Arial"/>
          <w:sz w:val="24"/>
          <w:szCs w:val="24"/>
        </w:rPr>
        <w:t xml:space="preserve">bude patrná současná vertikální distribuce jednotlivých druhů dřevin včetně přimíseného buku, klenu a jeřábu od 6. resp. 7. LVS po ekoton alpínské hranice lesa. Informace o množství </w:t>
      </w:r>
      <w:r w:rsidRPr="00516F31">
        <w:rPr>
          <w:rFonts w:cs="Arial"/>
          <w:sz w:val="24"/>
          <w:szCs w:val="24"/>
        </w:rPr>
        <w:lastRenderedPageBreak/>
        <w:t>těchto dřevin a jejich charakteru a postavení v rámci ekosystému poskytne důležitou informaci pro plánování managementu horských lesů v dalším období.</w:t>
      </w:r>
    </w:p>
    <w:p w:rsidR="003C34AD" w:rsidRPr="00516F31" w:rsidRDefault="003C34AD" w:rsidP="003C34AD">
      <w:pPr>
        <w:jc w:val="both"/>
        <w:rPr>
          <w:rFonts w:cs="Arial"/>
          <w:sz w:val="24"/>
          <w:szCs w:val="24"/>
        </w:rPr>
      </w:pPr>
      <w:r w:rsidRPr="00516F31">
        <w:rPr>
          <w:rFonts w:cs="Arial"/>
          <w:sz w:val="24"/>
          <w:szCs w:val="24"/>
        </w:rPr>
        <w:t>Pro potřeby zachycení struktury porostu bude použito dendrometrického zaměření porostu (např. s využitím technologie FieldMap)</w:t>
      </w:r>
      <w:r>
        <w:rPr>
          <w:rFonts w:cs="Arial"/>
          <w:sz w:val="24"/>
          <w:szCs w:val="24"/>
        </w:rPr>
        <w:t xml:space="preserve"> </w:t>
      </w:r>
      <w:r w:rsidRPr="00516F31">
        <w:rPr>
          <w:rFonts w:cs="Arial"/>
          <w:sz w:val="24"/>
          <w:szCs w:val="24"/>
        </w:rPr>
        <w:t>které umožní přesně zjistit dendrometrické parametry jednotlivých stromů (podobněji viz metodika sběru dendrometrických veličin dle bodu a) Analýza nových ploch). Zaměření transektu na jižní expozi</w:t>
      </w:r>
      <w:r w:rsidR="000C2F00">
        <w:rPr>
          <w:rFonts w:cs="Arial"/>
          <w:sz w:val="24"/>
          <w:szCs w:val="24"/>
        </w:rPr>
        <w:t>c</w:t>
      </w:r>
      <w:r w:rsidRPr="00516F31">
        <w:rPr>
          <w:rFonts w:cs="Arial"/>
          <w:sz w:val="24"/>
          <w:szCs w:val="24"/>
        </w:rPr>
        <w:t xml:space="preserve">i proběhne v roce 2017, transektu na severní expozici v roce 2020.  </w:t>
      </w:r>
    </w:p>
    <w:p w:rsidR="008E7DEF" w:rsidRDefault="008E7DEF" w:rsidP="008E7DEF">
      <w:pPr>
        <w:jc w:val="both"/>
        <w:rPr>
          <w:i/>
        </w:rPr>
      </w:pPr>
    </w:p>
    <w:p w:rsidR="008E7DEF" w:rsidRPr="00516F31" w:rsidRDefault="008E7DEF" w:rsidP="008E7DEF">
      <w:pPr>
        <w:jc w:val="both"/>
        <w:rPr>
          <w:i/>
        </w:rPr>
      </w:pPr>
      <w:r w:rsidRPr="00516F31">
        <w:rPr>
          <w:i/>
        </w:rPr>
        <w:t xml:space="preserve">Přílohy: </w:t>
      </w:r>
      <w:r>
        <w:rPr>
          <w:i/>
        </w:rPr>
        <w:t>mapy transekt_jih, transekt_sever</w:t>
      </w:r>
    </w:p>
    <w:p w:rsidR="003C34AD" w:rsidRPr="00516F31" w:rsidRDefault="003C34AD" w:rsidP="003C34AD">
      <w:pPr>
        <w:jc w:val="both"/>
        <w:rPr>
          <w:rFonts w:cs="Arial"/>
          <w:b/>
          <w:sz w:val="24"/>
          <w:szCs w:val="24"/>
        </w:rPr>
      </w:pPr>
    </w:p>
    <w:p w:rsidR="003C34AD" w:rsidRPr="00516F31" w:rsidRDefault="003C34AD" w:rsidP="003C34AD">
      <w:pPr>
        <w:jc w:val="both"/>
        <w:rPr>
          <w:rFonts w:cs="Arial"/>
          <w:b/>
          <w:sz w:val="24"/>
          <w:szCs w:val="24"/>
        </w:rPr>
      </w:pPr>
      <w:r w:rsidRPr="00516F31">
        <w:rPr>
          <w:rFonts w:cs="Arial"/>
          <w:b/>
          <w:sz w:val="24"/>
          <w:szCs w:val="24"/>
        </w:rPr>
        <w:t>Provedení:</w:t>
      </w:r>
    </w:p>
    <w:p w:rsidR="003C34AD" w:rsidRPr="00516F31" w:rsidRDefault="003C34AD" w:rsidP="003C34AD">
      <w:pPr>
        <w:jc w:val="both"/>
        <w:rPr>
          <w:rFonts w:cs="Arial"/>
          <w:i/>
          <w:sz w:val="24"/>
          <w:szCs w:val="24"/>
          <w:u w:val="single"/>
        </w:rPr>
      </w:pPr>
      <w:r w:rsidRPr="00516F31">
        <w:rPr>
          <w:rFonts w:cs="Arial"/>
          <w:i/>
          <w:sz w:val="24"/>
          <w:szCs w:val="24"/>
          <w:u w:val="single"/>
        </w:rPr>
        <w:t>Sběr dat:</w:t>
      </w:r>
    </w:p>
    <w:p w:rsidR="003C34AD" w:rsidRPr="00516F31" w:rsidRDefault="003C34AD" w:rsidP="003C34AD">
      <w:pPr>
        <w:jc w:val="both"/>
        <w:rPr>
          <w:rFonts w:cs="Arial"/>
          <w:sz w:val="24"/>
          <w:szCs w:val="24"/>
        </w:rPr>
      </w:pPr>
      <w:r w:rsidRPr="00516F31">
        <w:rPr>
          <w:rFonts w:cs="Arial"/>
          <w:sz w:val="24"/>
          <w:szCs w:val="24"/>
        </w:rPr>
        <w:t>Oba transekty o ploše 150 000 m</w:t>
      </w:r>
      <w:r w:rsidRPr="00516F31">
        <w:rPr>
          <w:rFonts w:cs="Arial"/>
          <w:sz w:val="24"/>
          <w:szCs w:val="24"/>
          <w:vertAlign w:val="superscript"/>
        </w:rPr>
        <w:t>2</w:t>
      </w:r>
      <w:r w:rsidRPr="00516F31">
        <w:rPr>
          <w:rFonts w:cs="Arial"/>
          <w:sz w:val="24"/>
          <w:szCs w:val="24"/>
        </w:rPr>
        <w:t xml:space="preserve">, 15 ha (150 x 1000 m) budou rozděleny na 3 přibližně stejně velké segmenty reflektující jednotlivé typy prostorovéstruktury a druhovéskladby lesa, tj. les „smíšený“, „smrkový“ a „řídkolesí“. Do každého segmentu budou umístěné 3 body náhodným vygenerováním souřadnic. Každý bod bude následně představovat střed kruhové TVP. Středové body budou označeny železnými trubkami.       </w:t>
      </w:r>
    </w:p>
    <w:p w:rsidR="003C34AD" w:rsidRPr="00516F31" w:rsidRDefault="003C34AD" w:rsidP="003C34AD">
      <w:pPr>
        <w:jc w:val="both"/>
        <w:rPr>
          <w:rFonts w:cs="Arial"/>
          <w:sz w:val="24"/>
          <w:szCs w:val="24"/>
        </w:rPr>
      </w:pPr>
      <w:r w:rsidRPr="00516F31">
        <w:rPr>
          <w:rFonts w:cs="Arial"/>
          <w:sz w:val="24"/>
          <w:szCs w:val="24"/>
        </w:rPr>
        <w:t>Bude vygenerováno 9 TVP/transekt, celkem 18 TVP v rámci obou transektů. TVP v nejvyšších polohách transektů vzhledem k nízkému zakmenění tj. v segmentu „řídkolesí“ budou mít výměru 3000 m</w:t>
      </w:r>
      <w:r w:rsidRPr="00516F31">
        <w:rPr>
          <w:rFonts w:cs="Arial"/>
          <w:sz w:val="24"/>
          <w:szCs w:val="24"/>
          <w:vertAlign w:val="superscript"/>
        </w:rPr>
        <w:t>2</w:t>
      </w:r>
      <w:r w:rsidRPr="00516F31">
        <w:rPr>
          <w:rFonts w:cs="Arial"/>
          <w:sz w:val="24"/>
          <w:szCs w:val="24"/>
        </w:rPr>
        <w:t xml:space="preserve"> z důvodu lepší zachycení dynamiky nejvyšších poloh Hrubého Jeseníku a budou zde zaměřeny všechny dřeviny přesahující výšku 1,3 m. Na každé TVP o rozloze 3000 m</w:t>
      </w:r>
      <w:r w:rsidRPr="00516F31">
        <w:rPr>
          <w:rFonts w:cs="Arial"/>
          <w:sz w:val="24"/>
          <w:szCs w:val="24"/>
          <w:vertAlign w:val="superscript"/>
        </w:rPr>
        <w:t>2</w:t>
      </w:r>
      <w:r w:rsidRPr="00516F31">
        <w:rPr>
          <w:rFonts w:cs="Arial"/>
          <w:sz w:val="24"/>
          <w:szCs w:val="24"/>
        </w:rPr>
        <w:t xml:space="preserve"> bude spočítáno množství zmlazení s výškou nad 0,5 metru ve skupinách podle druhu dřeviny a velikosti. Jedinci budou zařazováni do 2 velikostních kategorií: výška 0,5–0,9 m, 0,9–1,3. Ostatní zůstává v souladu s metodikou sběru dendrometrických veličin dle bodu </w:t>
      </w:r>
      <w:r w:rsidRPr="00973008">
        <w:rPr>
          <w:rFonts w:cs="Arial"/>
          <w:i/>
          <w:sz w:val="24"/>
          <w:szCs w:val="24"/>
        </w:rPr>
        <w:t>a) Analýza nových ploch.</w:t>
      </w:r>
      <w:r w:rsidRPr="00516F31">
        <w:rPr>
          <w:rFonts w:cs="Arial"/>
          <w:sz w:val="24"/>
          <w:szCs w:val="24"/>
        </w:rPr>
        <w:t xml:space="preserve">  </w:t>
      </w:r>
    </w:p>
    <w:p w:rsidR="003C34AD" w:rsidRPr="00516F31" w:rsidRDefault="003C34AD" w:rsidP="003C34AD">
      <w:pPr>
        <w:jc w:val="both"/>
        <w:rPr>
          <w:rFonts w:cs="Arial"/>
          <w:sz w:val="24"/>
          <w:szCs w:val="24"/>
        </w:rPr>
      </w:pPr>
    </w:p>
    <w:p w:rsidR="003C34AD" w:rsidRPr="00516F31" w:rsidRDefault="003C34AD" w:rsidP="003C34AD">
      <w:pPr>
        <w:jc w:val="both"/>
        <w:rPr>
          <w:rFonts w:cs="Arial"/>
          <w:i/>
          <w:sz w:val="24"/>
          <w:szCs w:val="24"/>
          <w:u w:val="single"/>
        </w:rPr>
      </w:pPr>
      <w:r w:rsidRPr="00516F31">
        <w:rPr>
          <w:rFonts w:cs="Arial"/>
          <w:i/>
          <w:sz w:val="24"/>
          <w:szCs w:val="24"/>
          <w:u w:val="single"/>
        </w:rPr>
        <w:t xml:space="preserve">Implikace výsledků pro další management: </w:t>
      </w:r>
    </w:p>
    <w:p w:rsidR="003C34AD" w:rsidRDefault="003C34AD" w:rsidP="003C34AD">
      <w:pPr>
        <w:jc w:val="both"/>
        <w:rPr>
          <w:rFonts w:cs="Arial"/>
          <w:sz w:val="24"/>
          <w:szCs w:val="24"/>
        </w:rPr>
      </w:pPr>
      <w:r w:rsidRPr="00516F31">
        <w:rPr>
          <w:rFonts w:cs="Arial"/>
          <w:sz w:val="24"/>
          <w:szCs w:val="24"/>
        </w:rPr>
        <w:t xml:space="preserve">Získané výsledky by měly ukázat, jaký je současný výškový gradient a postavení v ekosystému u přítomných druhů listnatých dřevin ve vztahu k přechodu 7. až 9. LVS, a částečně dynamiku vývoje horní hranice lesa. Výsledky </w:t>
      </w:r>
      <w:r w:rsidR="00AF4126">
        <w:rPr>
          <w:rFonts w:cs="Arial"/>
          <w:sz w:val="24"/>
          <w:szCs w:val="24"/>
        </w:rPr>
        <w:t>mohou</w:t>
      </w:r>
      <w:r w:rsidRPr="00516F31">
        <w:rPr>
          <w:rFonts w:cs="Arial"/>
          <w:sz w:val="24"/>
          <w:szCs w:val="24"/>
        </w:rPr>
        <w:t xml:space="preserve"> být aplikovány např. při plánování vnášení některých druhů dřevin do vyšších poloh než doposud, resp. opačně, a predikce dalšího vývoje alpínské hranice lesa.   </w:t>
      </w:r>
    </w:p>
    <w:p w:rsidR="00AF4126" w:rsidRPr="00516F31" w:rsidRDefault="00AF4126" w:rsidP="003C34AD">
      <w:pPr>
        <w:jc w:val="both"/>
        <w:rPr>
          <w:rFonts w:cs="Arial"/>
          <w:sz w:val="24"/>
          <w:szCs w:val="24"/>
        </w:rPr>
      </w:pPr>
      <w:r>
        <w:rPr>
          <w:rFonts w:cs="Arial"/>
          <w:sz w:val="24"/>
          <w:szCs w:val="24"/>
        </w:rPr>
        <w:t>Průběžné zprávy za každý transekt i závěrečná zpráva budou vedle primárních dat obsahovat rešerši prací zabývajících se obdobnou problematikou, metodiku práce, popis a hodnocení zjištěných skutečností, predikci dalšího vývoje a doporučení pro management a další výzkum a monitoring.</w:t>
      </w:r>
    </w:p>
    <w:p w:rsidR="003C34AD" w:rsidRDefault="003C34AD" w:rsidP="003C34AD">
      <w:pPr>
        <w:jc w:val="both"/>
        <w:rPr>
          <w:sz w:val="24"/>
          <w:szCs w:val="24"/>
        </w:rPr>
      </w:pPr>
    </w:p>
    <w:p w:rsidR="003C34AD" w:rsidRPr="00AA5F46" w:rsidRDefault="003C34AD" w:rsidP="003C34AD">
      <w:pPr>
        <w:jc w:val="both"/>
        <w:rPr>
          <w:sz w:val="24"/>
          <w:szCs w:val="24"/>
        </w:rPr>
      </w:pPr>
    </w:p>
    <w:p w:rsidR="003C34AD" w:rsidRDefault="003C34AD" w:rsidP="003C34AD">
      <w:pPr>
        <w:jc w:val="both"/>
        <w:rPr>
          <w:b/>
          <w:sz w:val="24"/>
          <w:szCs w:val="24"/>
        </w:rPr>
      </w:pPr>
    </w:p>
    <w:p w:rsidR="003C34AD" w:rsidRDefault="003C34AD" w:rsidP="003C34AD">
      <w:pPr>
        <w:jc w:val="both"/>
        <w:rPr>
          <w:b/>
          <w:sz w:val="24"/>
          <w:szCs w:val="24"/>
        </w:rPr>
      </w:pPr>
      <w:r w:rsidRPr="00EB5EBB">
        <w:rPr>
          <w:b/>
          <w:sz w:val="24"/>
          <w:szCs w:val="24"/>
        </w:rPr>
        <w:t>Použitá literatura:</w:t>
      </w:r>
    </w:p>
    <w:p w:rsidR="003C34AD" w:rsidRPr="00EB5EBB" w:rsidRDefault="003C34AD" w:rsidP="003C34AD">
      <w:pPr>
        <w:jc w:val="both"/>
        <w:rPr>
          <w:b/>
          <w:sz w:val="24"/>
          <w:szCs w:val="24"/>
        </w:rPr>
      </w:pPr>
    </w:p>
    <w:p w:rsidR="003C34AD" w:rsidRPr="0034010A" w:rsidRDefault="003C34AD" w:rsidP="003C34AD">
      <w:pPr>
        <w:adjustRightInd w:val="0"/>
        <w:jc w:val="both"/>
        <w:rPr>
          <w:sz w:val="22"/>
          <w:szCs w:val="22"/>
        </w:rPr>
      </w:pPr>
      <w:r w:rsidRPr="0034010A">
        <w:rPr>
          <w:sz w:val="22"/>
          <w:szCs w:val="22"/>
        </w:rPr>
        <w:t>Čada, V., Svoboda, M., 2011. Dendrochronologická analýza pralesovitých smrkových porostů v údolí Bílé Opavy (NPR Praděd). Studie v rámci PPK-17a/83/11, dotační titul: A1.1c. Depon. in: rezervační kniha NPR Praděd, Správa CHKO Jeseníky, Jeseník.</w:t>
      </w:r>
    </w:p>
    <w:p w:rsidR="003C34AD" w:rsidRPr="0034010A" w:rsidRDefault="003C34AD" w:rsidP="003C34AD">
      <w:pPr>
        <w:adjustRightInd w:val="0"/>
        <w:jc w:val="both"/>
        <w:rPr>
          <w:sz w:val="22"/>
          <w:szCs w:val="22"/>
        </w:rPr>
      </w:pPr>
    </w:p>
    <w:p w:rsidR="003C34AD" w:rsidRPr="0034010A" w:rsidRDefault="003C34AD" w:rsidP="003C34AD">
      <w:pPr>
        <w:adjustRightInd w:val="0"/>
        <w:jc w:val="both"/>
        <w:rPr>
          <w:sz w:val="22"/>
          <w:szCs w:val="22"/>
        </w:rPr>
      </w:pPr>
      <w:r w:rsidRPr="0034010A">
        <w:rPr>
          <w:sz w:val="22"/>
          <w:szCs w:val="22"/>
        </w:rPr>
        <w:t>Čada, V., Svoboda, M., 2012. Dendrochronologická analýza pralesovitých smrkových porostů v NPR Praděd, PR Pod Jelení studánkou a PR Břidličná. Studie v rámci PPK-11a/83/12, dotační titul: A4.1a, A4.1c. Depon. in: rezervační kniha NPR Praděd, Správa CHKO Jeseníky, Jeseník.</w:t>
      </w:r>
    </w:p>
    <w:p w:rsidR="003C34AD" w:rsidRPr="0034010A" w:rsidRDefault="003C34AD" w:rsidP="003C34AD">
      <w:pPr>
        <w:adjustRightInd w:val="0"/>
        <w:jc w:val="both"/>
        <w:rPr>
          <w:sz w:val="22"/>
          <w:szCs w:val="22"/>
        </w:rPr>
      </w:pPr>
    </w:p>
    <w:p w:rsidR="003C34AD" w:rsidRPr="0034010A" w:rsidRDefault="003C34AD" w:rsidP="003C34AD">
      <w:pPr>
        <w:adjustRightInd w:val="0"/>
        <w:jc w:val="both"/>
        <w:rPr>
          <w:sz w:val="22"/>
          <w:szCs w:val="22"/>
        </w:rPr>
      </w:pPr>
      <w:r w:rsidRPr="0034010A">
        <w:rPr>
          <w:sz w:val="22"/>
          <w:szCs w:val="22"/>
        </w:rPr>
        <w:lastRenderedPageBreak/>
        <w:t xml:space="preserve">Grudd H., Briffa K. R., Bartholin T. S., Jones P. D., Kromer B. 2002: A 7400–year tree-ring chronology in northern Swedish Lapland: natural climatic variability expressed on annual to millennial timescales, </w:t>
      </w:r>
      <w:r w:rsidRPr="0034010A">
        <w:rPr>
          <w:i/>
          <w:iCs/>
          <w:sz w:val="22"/>
          <w:szCs w:val="22"/>
        </w:rPr>
        <w:t>The Holocene</w:t>
      </w:r>
      <w:r w:rsidRPr="0034010A">
        <w:rPr>
          <w:sz w:val="22"/>
          <w:szCs w:val="22"/>
        </w:rPr>
        <w:t>, 12 (6): 657–665.</w:t>
      </w:r>
    </w:p>
    <w:p w:rsidR="003C34AD" w:rsidRPr="0034010A" w:rsidRDefault="003C34AD" w:rsidP="003C34AD">
      <w:pPr>
        <w:adjustRightInd w:val="0"/>
        <w:jc w:val="both"/>
        <w:rPr>
          <w:sz w:val="22"/>
          <w:szCs w:val="22"/>
        </w:rPr>
      </w:pPr>
    </w:p>
    <w:p w:rsidR="003C34AD" w:rsidRPr="0034010A" w:rsidRDefault="003C34AD" w:rsidP="003C34AD">
      <w:pPr>
        <w:adjustRightInd w:val="0"/>
        <w:jc w:val="both"/>
        <w:rPr>
          <w:sz w:val="22"/>
          <w:szCs w:val="22"/>
        </w:rPr>
      </w:pPr>
      <w:r w:rsidRPr="0034010A">
        <w:rPr>
          <w:sz w:val="22"/>
          <w:szCs w:val="22"/>
        </w:rPr>
        <w:t xml:space="preserve">Korsuň F. 1961: Hmotové tabulky pro smrk, </w:t>
      </w:r>
      <w:r w:rsidRPr="0034010A">
        <w:rPr>
          <w:i/>
          <w:iCs/>
          <w:sz w:val="22"/>
          <w:szCs w:val="22"/>
        </w:rPr>
        <w:t>Lesnictví</w:t>
      </w:r>
      <w:r w:rsidRPr="0034010A">
        <w:rPr>
          <w:sz w:val="22"/>
          <w:szCs w:val="22"/>
        </w:rPr>
        <w:t>, 7: 275-304.</w:t>
      </w:r>
    </w:p>
    <w:p w:rsidR="003C34AD" w:rsidRPr="0034010A" w:rsidRDefault="003C34AD" w:rsidP="003C34AD">
      <w:pPr>
        <w:adjustRightInd w:val="0"/>
        <w:jc w:val="both"/>
        <w:rPr>
          <w:sz w:val="22"/>
          <w:szCs w:val="22"/>
        </w:rPr>
      </w:pPr>
    </w:p>
    <w:p w:rsidR="003C34AD" w:rsidRPr="0034010A" w:rsidRDefault="003C34AD" w:rsidP="003C34AD">
      <w:pPr>
        <w:adjustRightInd w:val="0"/>
        <w:jc w:val="both"/>
        <w:rPr>
          <w:sz w:val="22"/>
          <w:szCs w:val="22"/>
        </w:rPr>
      </w:pPr>
      <w:r w:rsidRPr="0034010A">
        <w:rPr>
          <w:sz w:val="22"/>
          <w:szCs w:val="22"/>
        </w:rPr>
        <w:t>Merganičová, K., Merganič, J., Svoboda, M., Bače, R., Šebeň, V., 2012. Deadwood in Forest Ecosystems, in: Blanco J. A., Lo Y.-H., (Eds.), Forest Ecosystems – More than Just Trees. InTech. Rijeka, Croatia, s. 81–112.</w:t>
      </w:r>
    </w:p>
    <w:p w:rsidR="003C34AD" w:rsidRPr="0034010A" w:rsidRDefault="003C34AD" w:rsidP="003C34AD">
      <w:pPr>
        <w:adjustRightInd w:val="0"/>
        <w:jc w:val="both"/>
        <w:rPr>
          <w:sz w:val="22"/>
          <w:szCs w:val="22"/>
        </w:rPr>
      </w:pPr>
    </w:p>
    <w:p w:rsidR="003C34AD" w:rsidRPr="0034010A" w:rsidRDefault="003C34AD" w:rsidP="003C34AD">
      <w:pPr>
        <w:adjustRightInd w:val="0"/>
        <w:jc w:val="both"/>
        <w:rPr>
          <w:sz w:val="22"/>
          <w:szCs w:val="22"/>
        </w:rPr>
      </w:pPr>
      <w:r w:rsidRPr="0034010A">
        <w:rPr>
          <w:sz w:val="22"/>
          <w:szCs w:val="22"/>
        </w:rPr>
        <w:t xml:space="preserve">Niklasson M. 2002. A comparison of tree age determination methods for suppressed Norway spruce: implication for age structure analysis, </w:t>
      </w:r>
      <w:r w:rsidRPr="0034010A">
        <w:rPr>
          <w:i/>
          <w:iCs/>
          <w:sz w:val="22"/>
          <w:szCs w:val="22"/>
        </w:rPr>
        <w:t>Forest Ecology and Management</w:t>
      </w:r>
      <w:r w:rsidRPr="0034010A">
        <w:rPr>
          <w:sz w:val="22"/>
          <w:szCs w:val="22"/>
        </w:rPr>
        <w:t>, 161: 279–288.</w:t>
      </w:r>
    </w:p>
    <w:p w:rsidR="003C34AD" w:rsidRPr="0034010A" w:rsidRDefault="003C34AD" w:rsidP="003C34AD">
      <w:pPr>
        <w:adjustRightInd w:val="0"/>
        <w:jc w:val="both"/>
        <w:rPr>
          <w:sz w:val="22"/>
          <w:szCs w:val="22"/>
        </w:rPr>
      </w:pPr>
    </w:p>
    <w:p w:rsidR="003C34AD" w:rsidRPr="0034010A" w:rsidRDefault="003C34AD" w:rsidP="003C34AD">
      <w:pPr>
        <w:adjustRightInd w:val="0"/>
        <w:jc w:val="both"/>
        <w:rPr>
          <w:sz w:val="22"/>
          <w:szCs w:val="22"/>
        </w:rPr>
      </w:pPr>
      <w:r w:rsidRPr="0034010A">
        <w:rPr>
          <w:sz w:val="22"/>
          <w:szCs w:val="22"/>
        </w:rPr>
        <w:t xml:space="preserve">Oliver Ch. D. 1980/1981. Forest development in North America following major disturbances, </w:t>
      </w:r>
      <w:r w:rsidRPr="0034010A">
        <w:rPr>
          <w:i/>
          <w:iCs/>
          <w:sz w:val="22"/>
          <w:szCs w:val="22"/>
        </w:rPr>
        <w:t>Forest Ecology and Management</w:t>
      </w:r>
      <w:r w:rsidRPr="0034010A">
        <w:rPr>
          <w:sz w:val="22"/>
          <w:szCs w:val="22"/>
        </w:rPr>
        <w:t>, 3: 153–168.</w:t>
      </w:r>
    </w:p>
    <w:p w:rsidR="003C34AD" w:rsidRPr="0034010A" w:rsidRDefault="003C34AD" w:rsidP="003C34AD">
      <w:pPr>
        <w:adjustRightInd w:val="0"/>
        <w:jc w:val="both"/>
        <w:rPr>
          <w:sz w:val="22"/>
          <w:szCs w:val="22"/>
        </w:rPr>
      </w:pPr>
    </w:p>
    <w:p w:rsidR="003C34AD" w:rsidRPr="0034010A" w:rsidRDefault="003C34AD" w:rsidP="003C34AD">
      <w:pPr>
        <w:adjustRightInd w:val="0"/>
        <w:jc w:val="both"/>
        <w:rPr>
          <w:sz w:val="22"/>
          <w:szCs w:val="22"/>
        </w:rPr>
      </w:pPr>
      <w:r w:rsidRPr="0034010A">
        <w:rPr>
          <w:sz w:val="22"/>
          <w:szCs w:val="22"/>
        </w:rPr>
        <w:t xml:space="preserve">Sippola A., Renvall P. 1999. Wood-decomposing fungi and seed-tree cutting: A 40–year perspective, </w:t>
      </w:r>
      <w:r w:rsidRPr="0034010A">
        <w:rPr>
          <w:i/>
          <w:iCs/>
          <w:sz w:val="22"/>
          <w:szCs w:val="22"/>
        </w:rPr>
        <w:t>Forest Ecology and Management</w:t>
      </w:r>
      <w:r w:rsidRPr="0034010A">
        <w:rPr>
          <w:sz w:val="22"/>
          <w:szCs w:val="22"/>
        </w:rPr>
        <w:t>, 115 (2-3): 183–201.</w:t>
      </w:r>
    </w:p>
    <w:p w:rsidR="003C34AD" w:rsidRPr="0034010A" w:rsidRDefault="003C34AD" w:rsidP="003C34AD">
      <w:pPr>
        <w:adjustRightInd w:val="0"/>
        <w:jc w:val="both"/>
        <w:rPr>
          <w:sz w:val="22"/>
          <w:szCs w:val="22"/>
        </w:rPr>
      </w:pPr>
    </w:p>
    <w:p w:rsidR="003C34AD" w:rsidRPr="0034010A" w:rsidRDefault="003C34AD" w:rsidP="003C34AD">
      <w:pPr>
        <w:adjustRightInd w:val="0"/>
        <w:jc w:val="both"/>
        <w:rPr>
          <w:sz w:val="22"/>
          <w:szCs w:val="22"/>
        </w:rPr>
      </w:pPr>
      <w:r w:rsidRPr="0034010A">
        <w:rPr>
          <w:sz w:val="22"/>
          <w:szCs w:val="22"/>
        </w:rPr>
        <w:t>Stokland, J. N., Siitonen, J., Jonsson, B. G., 2012. Biodiversity in dead wood. Ecology, biodiversity and conservation. Cambridge University Press.</w:t>
      </w:r>
    </w:p>
    <w:p w:rsidR="003C34AD" w:rsidRPr="0034010A" w:rsidRDefault="003C34AD" w:rsidP="003C34AD">
      <w:pPr>
        <w:adjustRightInd w:val="0"/>
        <w:jc w:val="both"/>
        <w:rPr>
          <w:sz w:val="22"/>
          <w:szCs w:val="22"/>
        </w:rPr>
      </w:pPr>
    </w:p>
    <w:p w:rsidR="003C34AD" w:rsidRPr="0034010A" w:rsidRDefault="003C34AD" w:rsidP="003C34AD">
      <w:pPr>
        <w:adjustRightInd w:val="0"/>
        <w:jc w:val="both"/>
        <w:rPr>
          <w:sz w:val="22"/>
          <w:szCs w:val="22"/>
        </w:rPr>
      </w:pPr>
      <w:r w:rsidRPr="0034010A">
        <w:rPr>
          <w:sz w:val="22"/>
          <w:szCs w:val="22"/>
        </w:rPr>
        <w:t>Svoboda, M., 2008. Efekt disturbancí na dynamiku horského lesa s převahou smrku ve střední Evropě: jakou roli hraje vítr a kůrovec? Ochrana přírody 1, s. 24–26.</w:t>
      </w:r>
    </w:p>
    <w:p w:rsidR="003C34AD" w:rsidRPr="0034010A" w:rsidRDefault="003C34AD" w:rsidP="003C34AD">
      <w:pPr>
        <w:adjustRightInd w:val="0"/>
        <w:jc w:val="both"/>
        <w:rPr>
          <w:sz w:val="22"/>
          <w:szCs w:val="22"/>
        </w:rPr>
      </w:pPr>
    </w:p>
    <w:p w:rsidR="003C34AD" w:rsidRDefault="003C34AD" w:rsidP="003C34AD">
      <w:pPr>
        <w:adjustRightInd w:val="0"/>
        <w:jc w:val="both"/>
        <w:rPr>
          <w:sz w:val="22"/>
          <w:szCs w:val="22"/>
        </w:rPr>
      </w:pPr>
      <w:r w:rsidRPr="0034010A">
        <w:rPr>
          <w:sz w:val="22"/>
          <w:szCs w:val="22"/>
        </w:rPr>
        <w:t xml:space="preserve">Šmelko, Š., 2010. Nové metodické postupy na kvantifikáciu mŕtveho dreva a jeho zložiek v lesných ekosystémoch, </w:t>
      </w:r>
      <w:r w:rsidRPr="0034010A">
        <w:rPr>
          <w:i/>
          <w:iCs/>
          <w:sz w:val="22"/>
          <w:szCs w:val="22"/>
        </w:rPr>
        <w:t>Lesnícky casopis - Forestry Journal</w:t>
      </w:r>
      <w:r w:rsidRPr="0034010A">
        <w:rPr>
          <w:sz w:val="22"/>
          <w:szCs w:val="22"/>
        </w:rPr>
        <w:t>, 56: 155–175.</w:t>
      </w:r>
    </w:p>
    <w:p w:rsidR="00B34FFB" w:rsidRDefault="00B34FFB" w:rsidP="00231594">
      <w:pPr>
        <w:adjustRightInd w:val="0"/>
        <w:jc w:val="both"/>
        <w:rPr>
          <w:sz w:val="22"/>
          <w:szCs w:val="22"/>
        </w:rPr>
      </w:pPr>
    </w:p>
    <w:p w:rsidR="00B34FFB" w:rsidRDefault="00B34FFB" w:rsidP="00231594">
      <w:pPr>
        <w:adjustRightInd w:val="0"/>
        <w:jc w:val="both"/>
        <w:rPr>
          <w:sz w:val="22"/>
          <w:szCs w:val="22"/>
        </w:rPr>
      </w:pPr>
    </w:p>
    <w:p w:rsidR="00B34FFB" w:rsidRDefault="00B34FFB" w:rsidP="00231594">
      <w:pPr>
        <w:adjustRightInd w:val="0"/>
        <w:jc w:val="both"/>
        <w:rPr>
          <w:sz w:val="22"/>
          <w:szCs w:val="22"/>
        </w:rPr>
      </w:pPr>
    </w:p>
    <w:p w:rsidR="00E337C9" w:rsidRDefault="00E337C9" w:rsidP="00231594">
      <w:pPr>
        <w:adjustRightInd w:val="0"/>
        <w:jc w:val="both"/>
        <w:rPr>
          <w:sz w:val="22"/>
          <w:szCs w:val="22"/>
        </w:rPr>
        <w:sectPr w:rsidR="00E337C9" w:rsidSect="003C2CA4">
          <w:footerReference w:type="default" r:id="rId8"/>
          <w:pgSz w:w="11906" w:h="16838"/>
          <w:pgMar w:top="1417" w:right="1417" w:bottom="1417" w:left="1417" w:header="708" w:footer="708" w:gutter="0"/>
          <w:cols w:space="708"/>
          <w:docGrid w:linePitch="360"/>
        </w:sectPr>
      </w:pPr>
    </w:p>
    <w:p w:rsidR="00B34FFB" w:rsidRDefault="00B34FFB" w:rsidP="00231594">
      <w:pPr>
        <w:adjustRightInd w:val="0"/>
        <w:jc w:val="both"/>
        <w:rPr>
          <w:sz w:val="22"/>
          <w:szCs w:val="22"/>
        </w:rPr>
      </w:pPr>
      <w:bookmarkStart w:id="0" w:name="_GoBack"/>
      <w:bookmarkEnd w:id="0"/>
    </w:p>
    <w:p w:rsidR="00B34FFB" w:rsidRDefault="00B34FFB" w:rsidP="00231594">
      <w:pPr>
        <w:adjustRightInd w:val="0"/>
        <w:jc w:val="both"/>
        <w:rPr>
          <w:sz w:val="22"/>
          <w:szCs w:val="22"/>
        </w:rPr>
      </w:pPr>
      <w:r>
        <w:rPr>
          <w:noProof/>
          <w:sz w:val="22"/>
          <w:szCs w:val="22"/>
        </w:rPr>
        <w:drawing>
          <wp:inline distT="0" distB="0" distL="0" distR="0">
            <wp:extent cx="5760720" cy="4071948"/>
            <wp:effectExtent l="0" t="0" r="0" b="0"/>
            <wp:docPr id="1" name="Obrázek 1" descr="\\SERVER\spolecne\Odborný archiv\OPŽP\podklady_final\monitoring_les_mapy\segmen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spolecne\Odborný archiv\OPŽP\podklady_final\monitoring_les_mapy\segment_1.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071948"/>
                    </a:xfrm>
                    <a:prstGeom prst="rect">
                      <a:avLst/>
                    </a:prstGeom>
                    <a:noFill/>
                    <a:ln>
                      <a:noFill/>
                    </a:ln>
                  </pic:spPr>
                </pic:pic>
              </a:graphicData>
            </a:graphic>
          </wp:inline>
        </w:drawing>
      </w:r>
    </w:p>
    <w:p w:rsidR="00B34FFB" w:rsidRDefault="00B34FFB" w:rsidP="00231594">
      <w:pPr>
        <w:adjustRightInd w:val="0"/>
        <w:jc w:val="both"/>
        <w:rPr>
          <w:sz w:val="22"/>
          <w:szCs w:val="22"/>
        </w:rPr>
      </w:pPr>
    </w:p>
    <w:p w:rsidR="00B34FFB" w:rsidRDefault="00B34FFB" w:rsidP="00231594">
      <w:pPr>
        <w:adjustRightInd w:val="0"/>
        <w:jc w:val="both"/>
        <w:rPr>
          <w:sz w:val="22"/>
          <w:szCs w:val="22"/>
        </w:rPr>
      </w:pPr>
    </w:p>
    <w:p w:rsidR="00B34FFB" w:rsidRDefault="00B34FFB" w:rsidP="00231594">
      <w:pPr>
        <w:adjustRightInd w:val="0"/>
        <w:jc w:val="both"/>
        <w:rPr>
          <w:sz w:val="22"/>
          <w:szCs w:val="22"/>
        </w:rPr>
      </w:pPr>
      <w:r>
        <w:rPr>
          <w:noProof/>
          <w:sz w:val="22"/>
          <w:szCs w:val="22"/>
        </w:rPr>
        <w:drawing>
          <wp:inline distT="0" distB="0" distL="0" distR="0">
            <wp:extent cx="5760720" cy="4071948"/>
            <wp:effectExtent l="0" t="0" r="0" b="0"/>
            <wp:docPr id="2" name="Obrázek 2" descr="\\SERVER\spolecne\Odborný archiv\OPŽP\podklady_final\monitoring_les_mapy\segment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spolecne\Odborný archiv\OPŽP\podklady_final\monitoring_les_mapy\segment_2-3.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071948"/>
                    </a:xfrm>
                    <a:prstGeom prst="rect">
                      <a:avLst/>
                    </a:prstGeom>
                    <a:noFill/>
                    <a:ln>
                      <a:noFill/>
                    </a:ln>
                  </pic:spPr>
                </pic:pic>
              </a:graphicData>
            </a:graphic>
          </wp:inline>
        </w:drawing>
      </w:r>
    </w:p>
    <w:p w:rsidR="00B34FFB" w:rsidRDefault="00B34FFB" w:rsidP="00231594">
      <w:pPr>
        <w:adjustRightInd w:val="0"/>
        <w:jc w:val="both"/>
        <w:rPr>
          <w:sz w:val="22"/>
          <w:szCs w:val="22"/>
        </w:rPr>
      </w:pPr>
    </w:p>
    <w:p w:rsidR="00B34FFB" w:rsidRDefault="00B34FFB" w:rsidP="00231594">
      <w:pPr>
        <w:adjustRightInd w:val="0"/>
        <w:jc w:val="both"/>
        <w:rPr>
          <w:sz w:val="22"/>
          <w:szCs w:val="22"/>
        </w:rPr>
      </w:pPr>
    </w:p>
    <w:p w:rsidR="00B34FFB" w:rsidRDefault="00B34FFB" w:rsidP="00231594">
      <w:pPr>
        <w:adjustRightInd w:val="0"/>
        <w:jc w:val="both"/>
        <w:rPr>
          <w:sz w:val="22"/>
          <w:szCs w:val="22"/>
        </w:rPr>
      </w:pPr>
      <w:r>
        <w:rPr>
          <w:noProof/>
          <w:sz w:val="22"/>
          <w:szCs w:val="22"/>
        </w:rPr>
        <w:drawing>
          <wp:inline distT="0" distB="0" distL="0" distR="0">
            <wp:extent cx="5760720" cy="4071948"/>
            <wp:effectExtent l="0" t="0" r="0" b="0"/>
            <wp:docPr id="3" name="Obrázek 3" descr="\\SERVER\spolecne\Odborný archiv\OPŽP\podklady_final\monitoring_les_mapy\segment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spolecne\Odborný archiv\OPŽP\podklady_final\monitoring_les_mapy\segment_4.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071948"/>
                    </a:xfrm>
                    <a:prstGeom prst="rect">
                      <a:avLst/>
                    </a:prstGeom>
                    <a:noFill/>
                    <a:ln>
                      <a:noFill/>
                    </a:ln>
                  </pic:spPr>
                </pic:pic>
              </a:graphicData>
            </a:graphic>
          </wp:inline>
        </w:drawing>
      </w:r>
    </w:p>
    <w:p w:rsidR="00B34FFB" w:rsidRDefault="00B34FFB" w:rsidP="00231594">
      <w:pPr>
        <w:adjustRightInd w:val="0"/>
        <w:jc w:val="both"/>
        <w:rPr>
          <w:sz w:val="22"/>
          <w:szCs w:val="22"/>
        </w:rPr>
      </w:pPr>
    </w:p>
    <w:p w:rsidR="00B34FFB" w:rsidRDefault="00B34FFB" w:rsidP="00231594">
      <w:pPr>
        <w:adjustRightInd w:val="0"/>
        <w:jc w:val="both"/>
        <w:rPr>
          <w:sz w:val="22"/>
          <w:szCs w:val="22"/>
        </w:rPr>
      </w:pPr>
      <w:r>
        <w:rPr>
          <w:noProof/>
          <w:sz w:val="22"/>
          <w:szCs w:val="22"/>
        </w:rPr>
        <w:drawing>
          <wp:inline distT="0" distB="0" distL="0" distR="0">
            <wp:extent cx="5760720" cy="4071948"/>
            <wp:effectExtent l="0" t="0" r="0" b="0"/>
            <wp:docPr id="4" name="Obrázek 4" descr="\\SERVER\spolecne\Odborný archiv\OPŽP\podklady_final\monitoring_les_mapy\segment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spolecne\Odborný archiv\OPŽP\podklady_final\monitoring_les_mapy\segment_5.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071948"/>
                    </a:xfrm>
                    <a:prstGeom prst="rect">
                      <a:avLst/>
                    </a:prstGeom>
                    <a:noFill/>
                    <a:ln>
                      <a:noFill/>
                    </a:ln>
                  </pic:spPr>
                </pic:pic>
              </a:graphicData>
            </a:graphic>
          </wp:inline>
        </w:drawing>
      </w:r>
    </w:p>
    <w:p w:rsidR="00B34FFB" w:rsidRDefault="00B34FFB" w:rsidP="00231594">
      <w:pPr>
        <w:adjustRightInd w:val="0"/>
        <w:jc w:val="both"/>
        <w:rPr>
          <w:sz w:val="22"/>
          <w:szCs w:val="22"/>
        </w:rPr>
      </w:pPr>
    </w:p>
    <w:p w:rsidR="00B34FFB" w:rsidRDefault="00B34FFB" w:rsidP="00231594">
      <w:pPr>
        <w:adjustRightInd w:val="0"/>
        <w:jc w:val="both"/>
        <w:rPr>
          <w:sz w:val="22"/>
          <w:szCs w:val="22"/>
        </w:rPr>
      </w:pPr>
    </w:p>
    <w:p w:rsidR="00B34FFB" w:rsidRDefault="00B34FFB" w:rsidP="00231594">
      <w:pPr>
        <w:adjustRightInd w:val="0"/>
        <w:jc w:val="both"/>
        <w:rPr>
          <w:sz w:val="22"/>
          <w:szCs w:val="22"/>
        </w:rPr>
      </w:pPr>
    </w:p>
    <w:p w:rsidR="00B34FFB" w:rsidRDefault="00B34FFB" w:rsidP="00231594">
      <w:pPr>
        <w:adjustRightInd w:val="0"/>
        <w:jc w:val="both"/>
        <w:rPr>
          <w:sz w:val="22"/>
          <w:szCs w:val="22"/>
        </w:rPr>
      </w:pPr>
      <w:r>
        <w:rPr>
          <w:noProof/>
          <w:sz w:val="22"/>
          <w:szCs w:val="22"/>
        </w:rPr>
        <w:drawing>
          <wp:inline distT="0" distB="0" distL="0" distR="0">
            <wp:extent cx="5760720" cy="4071948"/>
            <wp:effectExtent l="0" t="0" r="0" b="0"/>
            <wp:docPr id="5" name="Obrázek 5" descr="\\SERVER\spolecne\Odborný archiv\OPŽP\podklady_final\monitoring_les_mapy\segment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spolecne\Odborný archiv\OPŽP\podklady_final\monitoring_les_mapy\segment_6.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071948"/>
                    </a:xfrm>
                    <a:prstGeom prst="rect">
                      <a:avLst/>
                    </a:prstGeom>
                    <a:noFill/>
                    <a:ln>
                      <a:noFill/>
                    </a:ln>
                  </pic:spPr>
                </pic:pic>
              </a:graphicData>
            </a:graphic>
          </wp:inline>
        </w:drawing>
      </w:r>
    </w:p>
    <w:p w:rsidR="00B34FFB" w:rsidRDefault="00B34FFB" w:rsidP="00231594">
      <w:pPr>
        <w:adjustRightInd w:val="0"/>
        <w:jc w:val="both"/>
        <w:rPr>
          <w:sz w:val="22"/>
          <w:szCs w:val="22"/>
        </w:rPr>
      </w:pPr>
    </w:p>
    <w:p w:rsidR="00B34FFB" w:rsidRDefault="00B34FFB" w:rsidP="00231594">
      <w:pPr>
        <w:adjustRightInd w:val="0"/>
        <w:jc w:val="both"/>
        <w:rPr>
          <w:sz w:val="22"/>
          <w:szCs w:val="22"/>
        </w:rPr>
      </w:pPr>
      <w:r>
        <w:rPr>
          <w:noProof/>
          <w:sz w:val="22"/>
          <w:szCs w:val="22"/>
        </w:rPr>
        <w:drawing>
          <wp:inline distT="0" distB="0" distL="0" distR="0">
            <wp:extent cx="5760720" cy="4071948"/>
            <wp:effectExtent l="0" t="0" r="0" b="0"/>
            <wp:docPr id="6" name="Obrázek 6" descr="\\SERVER\spolecne\Odborný archiv\OPŽP\podklady_final\monitoring_les_mapy\segment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spolecne\Odborný archiv\OPŽP\podklady_final\monitoring_les_mapy\segment_7.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071948"/>
                    </a:xfrm>
                    <a:prstGeom prst="rect">
                      <a:avLst/>
                    </a:prstGeom>
                    <a:noFill/>
                    <a:ln>
                      <a:noFill/>
                    </a:ln>
                  </pic:spPr>
                </pic:pic>
              </a:graphicData>
            </a:graphic>
          </wp:inline>
        </w:drawing>
      </w:r>
    </w:p>
    <w:p w:rsidR="00B34FFB" w:rsidRDefault="00B34FFB" w:rsidP="00231594">
      <w:pPr>
        <w:adjustRightInd w:val="0"/>
        <w:jc w:val="both"/>
        <w:rPr>
          <w:sz w:val="22"/>
          <w:szCs w:val="22"/>
        </w:rPr>
      </w:pPr>
    </w:p>
    <w:p w:rsidR="00B34FFB" w:rsidRDefault="00B34FFB" w:rsidP="00231594">
      <w:pPr>
        <w:adjustRightInd w:val="0"/>
        <w:jc w:val="both"/>
        <w:rPr>
          <w:sz w:val="22"/>
          <w:szCs w:val="22"/>
        </w:rPr>
      </w:pPr>
    </w:p>
    <w:p w:rsidR="00B34FFB" w:rsidRDefault="00B34FFB" w:rsidP="00231594">
      <w:pPr>
        <w:adjustRightInd w:val="0"/>
        <w:jc w:val="both"/>
        <w:rPr>
          <w:sz w:val="22"/>
          <w:szCs w:val="22"/>
        </w:rPr>
      </w:pPr>
    </w:p>
    <w:p w:rsidR="00B34FFB" w:rsidRDefault="00B34FFB" w:rsidP="00231594">
      <w:pPr>
        <w:adjustRightInd w:val="0"/>
        <w:jc w:val="both"/>
        <w:rPr>
          <w:sz w:val="22"/>
          <w:szCs w:val="22"/>
        </w:rPr>
      </w:pPr>
      <w:r>
        <w:rPr>
          <w:noProof/>
          <w:sz w:val="22"/>
          <w:szCs w:val="22"/>
        </w:rPr>
        <w:drawing>
          <wp:inline distT="0" distB="0" distL="0" distR="0">
            <wp:extent cx="5760720" cy="4071948"/>
            <wp:effectExtent l="0" t="0" r="0" b="0"/>
            <wp:docPr id="7" name="Obrázek 7" descr="\\SERVER\spolecne\Odborný archiv\OPŽP\podklady_final\monitoring_les_mapy\transekt_ji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spolecne\Odborný archiv\OPŽP\podklady_final\monitoring_les_mapy\transekt_jih.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071948"/>
                    </a:xfrm>
                    <a:prstGeom prst="rect">
                      <a:avLst/>
                    </a:prstGeom>
                    <a:noFill/>
                    <a:ln>
                      <a:noFill/>
                    </a:ln>
                  </pic:spPr>
                </pic:pic>
              </a:graphicData>
            </a:graphic>
          </wp:inline>
        </w:drawing>
      </w:r>
    </w:p>
    <w:p w:rsidR="00B34FFB" w:rsidRDefault="00B34FFB" w:rsidP="00231594">
      <w:pPr>
        <w:adjustRightInd w:val="0"/>
        <w:jc w:val="both"/>
        <w:rPr>
          <w:sz w:val="22"/>
          <w:szCs w:val="22"/>
        </w:rPr>
      </w:pPr>
    </w:p>
    <w:p w:rsidR="00B34FFB" w:rsidRDefault="00B34FFB" w:rsidP="00231594">
      <w:pPr>
        <w:adjustRightInd w:val="0"/>
        <w:jc w:val="both"/>
        <w:rPr>
          <w:sz w:val="22"/>
          <w:szCs w:val="22"/>
        </w:rPr>
      </w:pPr>
      <w:r>
        <w:rPr>
          <w:noProof/>
          <w:sz w:val="22"/>
          <w:szCs w:val="22"/>
        </w:rPr>
        <w:drawing>
          <wp:inline distT="0" distB="0" distL="0" distR="0">
            <wp:extent cx="5760720" cy="4071948"/>
            <wp:effectExtent l="0" t="0" r="0" b="0"/>
            <wp:docPr id="8" name="Obrázek 8" descr="\\SERVER\spolecne\Odborný archiv\OPŽP\podklady_final\monitoring_les_mapy\transekt_se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VER\spolecne\Odborný archiv\OPŽP\podklady_final\monitoring_les_mapy\transekt_sever.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071948"/>
                    </a:xfrm>
                    <a:prstGeom prst="rect">
                      <a:avLst/>
                    </a:prstGeom>
                    <a:noFill/>
                    <a:ln>
                      <a:noFill/>
                    </a:ln>
                  </pic:spPr>
                </pic:pic>
              </a:graphicData>
            </a:graphic>
          </wp:inline>
        </w:drawing>
      </w:r>
    </w:p>
    <w:p w:rsidR="00B34FFB" w:rsidRDefault="00B34FFB" w:rsidP="00231594">
      <w:pPr>
        <w:adjustRightInd w:val="0"/>
        <w:jc w:val="both"/>
        <w:rPr>
          <w:sz w:val="22"/>
          <w:szCs w:val="22"/>
        </w:rPr>
      </w:pPr>
    </w:p>
    <w:p w:rsidR="00B34FFB" w:rsidRDefault="00B34FFB" w:rsidP="00231594">
      <w:pPr>
        <w:adjustRightInd w:val="0"/>
        <w:jc w:val="both"/>
        <w:rPr>
          <w:sz w:val="22"/>
          <w:szCs w:val="22"/>
        </w:rPr>
      </w:pPr>
    </w:p>
    <w:p w:rsidR="00B34FFB" w:rsidRDefault="00B34FFB" w:rsidP="00231594">
      <w:pPr>
        <w:adjustRightInd w:val="0"/>
        <w:jc w:val="both"/>
        <w:rPr>
          <w:sz w:val="22"/>
          <w:szCs w:val="22"/>
        </w:rPr>
      </w:pPr>
    </w:p>
    <w:p w:rsidR="00B34FFB" w:rsidRDefault="00B34FFB" w:rsidP="00231594">
      <w:pPr>
        <w:adjustRightInd w:val="0"/>
        <w:jc w:val="both"/>
        <w:rPr>
          <w:sz w:val="22"/>
          <w:szCs w:val="22"/>
        </w:rPr>
      </w:pPr>
      <w:r>
        <w:rPr>
          <w:noProof/>
          <w:sz w:val="22"/>
          <w:szCs w:val="22"/>
        </w:rPr>
        <w:drawing>
          <wp:inline distT="0" distB="0" distL="0" distR="0">
            <wp:extent cx="5760720" cy="4071948"/>
            <wp:effectExtent l="0" t="0" r="0" b="0"/>
            <wp:docPr id="9" name="Obrázek 9" descr="\\SERVER\spolecne\Odborný archiv\OPŽP\podklady_final\monitoring_les_mapy\TVP_1,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spolecne\Odborný archiv\OPŽP\podklady_final\monitoring_les_mapy\TVP_1,2,3,4,6.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071948"/>
                    </a:xfrm>
                    <a:prstGeom prst="rect">
                      <a:avLst/>
                    </a:prstGeom>
                    <a:noFill/>
                    <a:ln>
                      <a:noFill/>
                    </a:ln>
                  </pic:spPr>
                </pic:pic>
              </a:graphicData>
            </a:graphic>
          </wp:inline>
        </w:drawing>
      </w:r>
    </w:p>
    <w:p w:rsidR="00B34FFB" w:rsidRDefault="00B34FFB" w:rsidP="00231594">
      <w:pPr>
        <w:adjustRightInd w:val="0"/>
        <w:jc w:val="both"/>
        <w:rPr>
          <w:sz w:val="22"/>
          <w:szCs w:val="22"/>
        </w:rPr>
      </w:pPr>
    </w:p>
    <w:p w:rsidR="00B34FFB" w:rsidRDefault="00B34FFB" w:rsidP="00231594">
      <w:pPr>
        <w:adjustRightInd w:val="0"/>
        <w:jc w:val="both"/>
        <w:rPr>
          <w:sz w:val="22"/>
          <w:szCs w:val="22"/>
        </w:rPr>
      </w:pPr>
      <w:r>
        <w:rPr>
          <w:noProof/>
          <w:sz w:val="22"/>
          <w:szCs w:val="22"/>
        </w:rPr>
        <w:drawing>
          <wp:inline distT="0" distB="0" distL="0" distR="0">
            <wp:extent cx="5760720" cy="4071948"/>
            <wp:effectExtent l="0" t="0" r="0" b="0"/>
            <wp:docPr id="10" name="Obrázek 10" descr="\\SERVER\spolecne\Odborný archiv\OPŽP\podklady_final\monitoring_les_mapy\TVP_8,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RVER\spolecne\Odborný archiv\OPŽP\podklady_final\monitoring_les_mapy\TVP_8, 9.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071948"/>
                    </a:xfrm>
                    <a:prstGeom prst="rect">
                      <a:avLst/>
                    </a:prstGeom>
                    <a:noFill/>
                    <a:ln>
                      <a:noFill/>
                    </a:ln>
                  </pic:spPr>
                </pic:pic>
              </a:graphicData>
            </a:graphic>
          </wp:inline>
        </w:drawing>
      </w:r>
    </w:p>
    <w:p w:rsidR="00B34FFB" w:rsidRDefault="00B34FFB" w:rsidP="00231594">
      <w:pPr>
        <w:adjustRightInd w:val="0"/>
        <w:jc w:val="both"/>
        <w:rPr>
          <w:sz w:val="22"/>
          <w:szCs w:val="22"/>
        </w:rPr>
      </w:pPr>
    </w:p>
    <w:p w:rsidR="00B34FFB" w:rsidRDefault="00B34FFB" w:rsidP="00231594">
      <w:pPr>
        <w:adjustRightInd w:val="0"/>
        <w:jc w:val="both"/>
        <w:rPr>
          <w:sz w:val="22"/>
          <w:szCs w:val="22"/>
        </w:rPr>
      </w:pPr>
    </w:p>
    <w:p w:rsidR="00B34FFB" w:rsidRDefault="00B34FFB" w:rsidP="00231594">
      <w:pPr>
        <w:adjustRightInd w:val="0"/>
        <w:jc w:val="both"/>
        <w:rPr>
          <w:sz w:val="22"/>
          <w:szCs w:val="22"/>
        </w:rPr>
      </w:pPr>
    </w:p>
    <w:p w:rsidR="00B34FFB" w:rsidRDefault="00B34FFB" w:rsidP="00231594">
      <w:pPr>
        <w:adjustRightInd w:val="0"/>
        <w:jc w:val="both"/>
        <w:rPr>
          <w:sz w:val="22"/>
          <w:szCs w:val="22"/>
        </w:rPr>
      </w:pPr>
      <w:r>
        <w:rPr>
          <w:noProof/>
          <w:sz w:val="22"/>
          <w:szCs w:val="22"/>
        </w:rPr>
        <w:drawing>
          <wp:inline distT="0" distB="0" distL="0" distR="0">
            <wp:extent cx="5760720" cy="4071948"/>
            <wp:effectExtent l="0" t="0" r="0" b="0"/>
            <wp:docPr id="11" name="Obrázek 11" descr="\\SERVER\spolecne\Odborný archiv\OPŽP\podklady_final\monitoring_les_mapy\TVP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RVER\spolecne\Odborný archiv\OPŽP\podklady_final\monitoring_les_mapy\TVP_10.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071948"/>
                    </a:xfrm>
                    <a:prstGeom prst="rect">
                      <a:avLst/>
                    </a:prstGeom>
                    <a:noFill/>
                    <a:ln>
                      <a:noFill/>
                    </a:ln>
                  </pic:spPr>
                </pic:pic>
              </a:graphicData>
            </a:graphic>
          </wp:inline>
        </w:drawing>
      </w:r>
    </w:p>
    <w:p w:rsidR="00B34FFB" w:rsidRDefault="00B34FFB" w:rsidP="00231594">
      <w:pPr>
        <w:adjustRightInd w:val="0"/>
        <w:jc w:val="both"/>
        <w:rPr>
          <w:sz w:val="22"/>
          <w:szCs w:val="22"/>
        </w:rPr>
      </w:pPr>
    </w:p>
    <w:p w:rsidR="00B34FFB" w:rsidRDefault="00B34FFB" w:rsidP="00231594">
      <w:pPr>
        <w:adjustRightInd w:val="0"/>
        <w:jc w:val="both"/>
        <w:rPr>
          <w:sz w:val="22"/>
          <w:szCs w:val="22"/>
        </w:rPr>
      </w:pPr>
      <w:r>
        <w:rPr>
          <w:noProof/>
          <w:sz w:val="22"/>
          <w:szCs w:val="22"/>
        </w:rPr>
        <w:drawing>
          <wp:inline distT="0" distB="0" distL="0" distR="0">
            <wp:extent cx="5760720" cy="4071948"/>
            <wp:effectExtent l="0" t="0" r="0" b="0"/>
            <wp:docPr id="12" name="Obrázek 12" descr="\\SERVER\spolecne\Odborný archiv\OPŽP\podklady_final\monitoring_les_mapy\TVP_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RVER\spolecne\Odborný archiv\OPŽP\podklady_final\monitoring_les_mapy\TVP_12,14.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071948"/>
                    </a:xfrm>
                    <a:prstGeom prst="rect">
                      <a:avLst/>
                    </a:prstGeom>
                    <a:noFill/>
                    <a:ln>
                      <a:noFill/>
                    </a:ln>
                  </pic:spPr>
                </pic:pic>
              </a:graphicData>
            </a:graphic>
          </wp:inline>
        </w:drawing>
      </w:r>
    </w:p>
    <w:p w:rsidR="00B34FFB" w:rsidRDefault="00B34FFB" w:rsidP="00231594">
      <w:pPr>
        <w:adjustRightInd w:val="0"/>
        <w:jc w:val="both"/>
        <w:rPr>
          <w:sz w:val="22"/>
          <w:szCs w:val="22"/>
        </w:rPr>
      </w:pPr>
    </w:p>
    <w:p w:rsidR="00B34FFB" w:rsidRDefault="00B34FFB" w:rsidP="00231594">
      <w:pPr>
        <w:adjustRightInd w:val="0"/>
        <w:jc w:val="both"/>
        <w:rPr>
          <w:sz w:val="22"/>
          <w:szCs w:val="22"/>
        </w:rPr>
      </w:pPr>
    </w:p>
    <w:p w:rsidR="00B34FFB" w:rsidRDefault="00B34FFB" w:rsidP="00231594">
      <w:pPr>
        <w:adjustRightInd w:val="0"/>
        <w:jc w:val="both"/>
        <w:rPr>
          <w:sz w:val="22"/>
          <w:szCs w:val="22"/>
        </w:rPr>
      </w:pPr>
    </w:p>
    <w:p w:rsidR="00B34FFB" w:rsidRDefault="00B34FFB" w:rsidP="00231594">
      <w:pPr>
        <w:adjustRightInd w:val="0"/>
        <w:jc w:val="both"/>
        <w:rPr>
          <w:sz w:val="22"/>
          <w:szCs w:val="22"/>
        </w:rPr>
      </w:pPr>
      <w:r>
        <w:rPr>
          <w:noProof/>
          <w:sz w:val="22"/>
          <w:szCs w:val="22"/>
        </w:rPr>
        <w:drawing>
          <wp:inline distT="0" distB="0" distL="0" distR="0">
            <wp:extent cx="5760720" cy="4071948"/>
            <wp:effectExtent l="0" t="0" r="0" b="0"/>
            <wp:docPr id="13" name="Obrázek 13" descr="\\SERVER\spolecne\Odborný archiv\OPŽP\podklady_final\monitoring_les_mapy\TVP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RVER\spolecne\Odborný archiv\OPŽP\podklady_final\monitoring_les_mapy\TVP_13.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071948"/>
                    </a:xfrm>
                    <a:prstGeom prst="rect">
                      <a:avLst/>
                    </a:prstGeom>
                    <a:noFill/>
                    <a:ln>
                      <a:noFill/>
                    </a:ln>
                  </pic:spPr>
                </pic:pic>
              </a:graphicData>
            </a:graphic>
          </wp:inline>
        </w:drawing>
      </w:r>
    </w:p>
    <w:p w:rsidR="00B34FFB" w:rsidRDefault="00B34FFB" w:rsidP="00231594">
      <w:pPr>
        <w:adjustRightInd w:val="0"/>
        <w:jc w:val="both"/>
        <w:rPr>
          <w:sz w:val="22"/>
          <w:szCs w:val="22"/>
        </w:rPr>
      </w:pPr>
    </w:p>
    <w:p w:rsidR="00B34FFB" w:rsidRPr="0034010A" w:rsidRDefault="00B34FFB" w:rsidP="00231594">
      <w:pPr>
        <w:adjustRightInd w:val="0"/>
        <w:jc w:val="both"/>
        <w:rPr>
          <w:sz w:val="22"/>
          <w:szCs w:val="22"/>
        </w:rPr>
      </w:pPr>
      <w:r>
        <w:rPr>
          <w:noProof/>
          <w:sz w:val="22"/>
          <w:szCs w:val="22"/>
        </w:rPr>
        <w:drawing>
          <wp:inline distT="0" distB="0" distL="0" distR="0">
            <wp:extent cx="5760720" cy="4071948"/>
            <wp:effectExtent l="0" t="0" r="0" b="0"/>
            <wp:docPr id="14" name="Obrázek 14" descr="\\SERVER\spolecne\Odborný archiv\OPŽP\podklady_final\monitoring_les_mapy\TVP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RVER\spolecne\Odborný archiv\OPŽP\podklady_final\monitoring_les_mapy\TVP_16.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071948"/>
                    </a:xfrm>
                    <a:prstGeom prst="rect">
                      <a:avLst/>
                    </a:prstGeom>
                    <a:noFill/>
                    <a:ln>
                      <a:noFill/>
                    </a:ln>
                  </pic:spPr>
                </pic:pic>
              </a:graphicData>
            </a:graphic>
          </wp:inline>
        </w:drawing>
      </w:r>
    </w:p>
    <w:sectPr w:rsidR="00B34FFB" w:rsidRPr="0034010A" w:rsidSect="003C2CA4">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D0699" w:rsidRDefault="00AD0699" w:rsidP="00DA33CA">
      <w:r>
        <w:separator/>
      </w:r>
    </w:p>
  </w:endnote>
  <w:endnote w:type="continuationSeparator" w:id="0">
    <w:p w:rsidR="00AD0699" w:rsidRDefault="00AD0699" w:rsidP="00DA33C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41628824"/>
      <w:docPartObj>
        <w:docPartGallery w:val="Page Numbers (Bottom of Page)"/>
        <w:docPartUnique/>
      </w:docPartObj>
    </w:sdtPr>
    <w:sdtEndPr>
      <w:rPr>
        <w:sz w:val="16"/>
        <w:szCs w:val="16"/>
      </w:rPr>
    </w:sdtEndPr>
    <w:sdtContent>
      <w:p w:rsidR="003E597A" w:rsidRPr="00F42DB8" w:rsidRDefault="00A72C2A">
        <w:pPr>
          <w:pStyle w:val="Zpat"/>
          <w:jc w:val="center"/>
          <w:rPr>
            <w:sz w:val="16"/>
            <w:szCs w:val="16"/>
          </w:rPr>
        </w:pPr>
        <w:r w:rsidRPr="00F42DB8">
          <w:rPr>
            <w:sz w:val="16"/>
            <w:szCs w:val="16"/>
          </w:rPr>
          <w:fldChar w:fldCharType="begin"/>
        </w:r>
        <w:r w:rsidR="003E597A" w:rsidRPr="00F42DB8">
          <w:rPr>
            <w:sz w:val="16"/>
            <w:szCs w:val="16"/>
          </w:rPr>
          <w:instrText>PAGE   \* MERGEFORMAT</w:instrText>
        </w:r>
        <w:r w:rsidRPr="00F42DB8">
          <w:rPr>
            <w:sz w:val="16"/>
            <w:szCs w:val="16"/>
          </w:rPr>
          <w:fldChar w:fldCharType="separate"/>
        </w:r>
        <w:r w:rsidR="00016224">
          <w:rPr>
            <w:noProof/>
            <w:sz w:val="16"/>
            <w:szCs w:val="16"/>
          </w:rPr>
          <w:t>14</w:t>
        </w:r>
        <w:r w:rsidRPr="00F42DB8">
          <w:rPr>
            <w:sz w:val="16"/>
            <w:szCs w:val="16"/>
          </w:rPr>
          <w:fldChar w:fldCharType="end"/>
        </w:r>
      </w:p>
    </w:sdtContent>
  </w:sdt>
  <w:p w:rsidR="003E597A" w:rsidRDefault="003E597A">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D0699" w:rsidRDefault="00AD0699" w:rsidP="00DA33CA">
      <w:r>
        <w:separator/>
      </w:r>
    </w:p>
  </w:footnote>
  <w:footnote w:type="continuationSeparator" w:id="0">
    <w:p w:rsidR="00AD0699" w:rsidRDefault="00AD0699" w:rsidP="00DA33C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60D1D91"/>
    <w:multiLevelType w:val="hybridMultilevel"/>
    <w:tmpl w:val="4964E7FE"/>
    <w:lvl w:ilvl="0" w:tplc="E7B6EC00">
      <w:start w:val="1"/>
      <w:numFmt w:val="decimal"/>
      <w:lvlText w:val="%1)"/>
      <w:lvlJc w:val="left"/>
      <w:pPr>
        <w:ind w:left="720" w:hanging="360"/>
      </w:pPr>
      <w:rPr>
        <w:rFonts w:hint="default"/>
        <w:sz w:val="23"/>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nsid w:val="798948A5"/>
    <w:multiLevelType w:val="hybridMultilevel"/>
    <w:tmpl w:val="F81CCE24"/>
    <w:lvl w:ilvl="0" w:tplc="9EF223DC">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nsid w:val="7E991410"/>
    <w:multiLevelType w:val="hybridMultilevel"/>
    <w:tmpl w:val="922E95FC"/>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nsid w:val="7FC86202"/>
    <w:multiLevelType w:val="hybridMultilevel"/>
    <w:tmpl w:val="96B4060A"/>
    <w:lvl w:ilvl="0" w:tplc="6ABC2944">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2"/>
  </w:num>
  <w:num w:numId="2">
    <w:abstractNumId w:val="3"/>
  </w:num>
  <w:num w:numId="3">
    <w:abstractNumId w:val="1"/>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1"/>
    <w:footnote w:id="0"/>
  </w:footnotePr>
  <w:endnotePr>
    <w:endnote w:id="-1"/>
    <w:endnote w:id="0"/>
  </w:endnotePr>
  <w:compat/>
  <w:rsids>
    <w:rsidRoot w:val="00C22086"/>
    <w:rsid w:val="00016224"/>
    <w:rsid w:val="00017E37"/>
    <w:rsid w:val="0003009C"/>
    <w:rsid w:val="0006351C"/>
    <w:rsid w:val="000C2F00"/>
    <w:rsid w:val="000C3D22"/>
    <w:rsid w:val="000D12F4"/>
    <w:rsid w:val="000E6E2B"/>
    <w:rsid w:val="000F6910"/>
    <w:rsid w:val="00144269"/>
    <w:rsid w:val="00160FC9"/>
    <w:rsid w:val="001643C3"/>
    <w:rsid w:val="001749E1"/>
    <w:rsid w:val="001A2895"/>
    <w:rsid w:val="001F268D"/>
    <w:rsid w:val="00231594"/>
    <w:rsid w:val="00235909"/>
    <w:rsid w:val="002540C7"/>
    <w:rsid w:val="002F28C6"/>
    <w:rsid w:val="003157EF"/>
    <w:rsid w:val="0034010A"/>
    <w:rsid w:val="0034713F"/>
    <w:rsid w:val="003C2CA4"/>
    <w:rsid w:val="003C34AD"/>
    <w:rsid w:val="003C7617"/>
    <w:rsid w:val="003D5D67"/>
    <w:rsid w:val="003E597A"/>
    <w:rsid w:val="003F50D3"/>
    <w:rsid w:val="00417CB5"/>
    <w:rsid w:val="0044625E"/>
    <w:rsid w:val="0044718C"/>
    <w:rsid w:val="004642E9"/>
    <w:rsid w:val="004820FD"/>
    <w:rsid w:val="004B0466"/>
    <w:rsid w:val="004E18D2"/>
    <w:rsid w:val="005034BD"/>
    <w:rsid w:val="0050489E"/>
    <w:rsid w:val="00557ADA"/>
    <w:rsid w:val="00573E8C"/>
    <w:rsid w:val="00653EAA"/>
    <w:rsid w:val="00677A05"/>
    <w:rsid w:val="00677DA3"/>
    <w:rsid w:val="006E59C5"/>
    <w:rsid w:val="006F2D8E"/>
    <w:rsid w:val="006F5E17"/>
    <w:rsid w:val="00707D79"/>
    <w:rsid w:val="0071502C"/>
    <w:rsid w:val="007E108B"/>
    <w:rsid w:val="00804113"/>
    <w:rsid w:val="00826C84"/>
    <w:rsid w:val="008706EB"/>
    <w:rsid w:val="008C5236"/>
    <w:rsid w:val="008E7DEF"/>
    <w:rsid w:val="009110AB"/>
    <w:rsid w:val="0092526D"/>
    <w:rsid w:val="00925F19"/>
    <w:rsid w:val="009418E4"/>
    <w:rsid w:val="0099327A"/>
    <w:rsid w:val="009A1D94"/>
    <w:rsid w:val="009A6A5A"/>
    <w:rsid w:val="00A019B7"/>
    <w:rsid w:val="00A72C2A"/>
    <w:rsid w:val="00AA5F46"/>
    <w:rsid w:val="00AB17AB"/>
    <w:rsid w:val="00AC18AD"/>
    <w:rsid w:val="00AD0699"/>
    <w:rsid w:val="00AD7AEB"/>
    <w:rsid w:val="00AE69BD"/>
    <w:rsid w:val="00AF4126"/>
    <w:rsid w:val="00B13D18"/>
    <w:rsid w:val="00B16D5F"/>
    <w:rsid w:val="00B331A7"/>
    <w:rsid w:val="00B34FFB"/>
    <w:rsid w:val="00B411D7"/>
    <w:rsid w:val="00BA3B50"/>
    <w:rsid w:val="00C17EE9"/>
    <w:rsid w:val="00C22086"/>
    <w:rsid w:val="00C550AA"/>
    <w:rsid w:val="00D36FF7"/>
    <w:rsid w:val="00D51171"/>
    <w:rsid w:val="00D76EE7"/>
    <w:rsid w:val="00DA33CA"/>
    <w:rsid w:val="00DC352D"/>
    <w:rsid w:val="00E10749"/>
    <w:rsid w:val="00E2151D"/>
    <w:rsid w:val="00E337C9"/>
    <w:rsid w:val="00E36ED2"/>
    <w:rsid w:val="00E40504"/>
    <w:rsid w:val="00E61B1E"/>
    <w:rsid w:val="00E71536"/>
    <w:rsid w:val="00EB5EBB"/>
    <w:rsid w:val="00EC3471"/>
    <w:rsid w:val="00EC472F"/>
    <w:rsid w:val="00EC768F"/>
    <w:rsid w:val="00ED7444"/>
    <w:rsid w:val="00F05963"/>
    <w:rsid w:val="00F42DB8"/>
    <w:rsid w:val="00F500A4"/>
    <w:rsid w:val="00F87CF7"/>
    <w:rsid w:val="00F9141B"/>
    <w:rsid w:val="00FB335F"/>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1A2895"/>
    <w:pPr>
      <w:autoSpaceDE w:val="0"/>
      <w:autoSpaceDN w:val="0"/>
    </w:pPr>
  </w:style>
  <w:style w:type="paragraph" w:styleId="Nadpis1">
    <w:name w:val="heading 1"/>
    <w:basedOn w:val="Normln"/>
    <w:next w:val="Normln"/>
    <w:link w:val="Nadpis1Char"/>
    <w:qFormat/>
    <w:rsid w:val="001A2895"/>
    <w:pPr>
      <w:keepNext/>
      <w:outlineLvl w:val="0"/>
    </w:pPr>
    <w:rPr>
      <w:rFonts w:ascii="Cambria" w:hAnsi="Cambria"/>
      <w:b/>
      <w:bCs/>
      <w:kern w:val="32"/>
      <w:sz w:val="32"/>
      <w:szCs w:val="32"/>
    </w:rPr>
  </w:style>
  <w:style w:type="paragraph" w:styleId="Nadpis2">
    <w:name w:val="heading 2"/>
    <w:basedOn w:val="Normln"/>
    <w:next w:val="Normln"/>
    <w:link w:val="Nadpis2Char"/>
    <w:qFormat/>
    <w:rsid w:val="001A2895"/>
    <w:pPr>
      <w:keepNext/>
      <w:jc w:val="both"/>
      <w:outlineLvl w:val="1"/>
    </w:pPr>
    <w:rPr>
      <w:rFonts w:ascii="Cambria" w:hAnsi="Cambria"/>
      <w:b/>
      <w:bCs/>
      <w:i/>
      <w:iCs/>
      <w:sz w:val="28"/>
      <w:szCs w:val="28"/>
    </w:rPr>
  </w:style>
  <w:style w:type="paragraph" w:styleId="Nadpis3">
    <w:name w:val="heading 3"/>
    <w:basedOn w:val="Normln"/>
    <w:next w:val="Normln"/>
    <w:link w:val="Nadpis3Char"/>
    <w:qFormat/>
    <w:rsid w:val="001A2895"/>
    <w:pPr>
      <w:keepNext/>
      <w:jc w:val="center"/>
      <w:outlineLvl w:val="2"/>
    </w:pPr>
    <w:rPr>
      <w:rFonts w:ascii="Cambria" w:hAnsi="Cambria"/>
      <w:b/>
      <w:bCs/>
      <w:sz w:val="26"/>
      <w:szCs w:val="26"/>
    </w:rPr>
  </w:style>
  <w:style w:type="paragraph" w:styleId="Nadpis4">
    <w:name w:val="heading 4"/>
    <w:basedOn w:val="Normln"/>
    <w:next w:val="Normln"/>
    <w:link w:val="Nadpis4Char"/>
    <w:qFormat/>
    <w:rsid w:val="001A2895"/>
    <w:pPr>
      <w:keepNext/>
      <w:jc w:val="center"/>
      <w:outlineLvl w:val="3"/>
    </w:pPr>
    <w:rPr>
      <w:rFonts w:ascii="Calibri" w:hAnsi="Calibri"/>
      <w:b/>
      <w:bCs/>
      <w:sz w:val="28"/>
      <w:szCs w:val="28"/>
    </w:rPr>
  </w:style>
  <w:style w:type="paragraph" w:styleId="Nadpis5">
    <w:name w:val="heading 5"/>
    <w:basedOn w:val="Normln"/>
    <w:next w:val="Normln"/>
    <w:link w:val="Nadpis5Char"/>
    <w:qFormat/>
    <w:rsid w:val="001A2895"/>
    <w:pPr>
      <w:keepNext/>
      <w:outlineLvl w:val="4"/>
    </w:pPr>
    <w:rPr>
      <w:sz w:val="24"/>
      <w:szCs w:val="24"/>
    </w:rPr>
  </w:style>
  <w:style w:type="paragraph" w:styleId="Nadpis6">
    <w:name w:val="heading 6"/>
    <w:basedOn w:val="Normln"/>
    <w:next w:val="Normln"/>
    <w:link w:val="Nadpis6Char"/>
    <w:qFormat/>
    <w:rsid w:val="001A2895"/>
    <w:pPr>
      <w:keepNext/>
      <w:outlineLvl w:val="5"/>
    </w:pPr>
    <w:rPr>
      <w:i/>
      <w:iCs/>
      <w:color w:val="FF0000"/>
      <w:sz w:val="28"/>
      <w:szCs w:val="28"/>
    </w:rPr>
  </w:style>
  <w:style w:type="paragraph" w:styleId="Nadpis7">
    <w:name w:val="heading 7"/>
    <w:basedOn w:val="Normln"/>
    <w:next w:val="Normln"/>
    <w:link w:val="Nadpis7Char"/>
    <w:qFormat/>
    <w:rsid w:val="001A2895"/>
    <w:pPr>
      <w:keepNext/>
      <w:jc w:val="center"/>
      <w:outlineLvl w:val="6"/>
    </w:pPr>
    <w:rPr>
      <w:rFonts w:ascii="Calibri" w:hAnsi="Calibri"/>
      <w:sz w:val="24"/>
      <w:szCs w:val="24"/>
    </w:rPr>
  </w:style>
  <w:style w:type="paragraph" w:styleId="Nadpis8">
    <w:name w:val="heading 8"/>
    <w:basedOn w:val="Normln"/>
    <w:next w:val="Normln"/>
    <w:link w:val="Nadpis8Char"/>
    <w:qFormat/>
    <w:rsid w:val="001A2895"/>
    <w:pPr>
      <w:widowControl w:val="0"/>
      <w:spacing w:before="240" w:after="60"/>
      <w:outlineLvl w:val="7"/>
    </w:pPr>
    <w:rPr>
      <w:rFonts w:ascii="Calibri" w:hAnsi="Calibri"/>
      <w:i/>
      <w:iCs/>
      <w:sz w:val="24"/>
      <w:szCs w:val="24"/>
    </w:rPr>
  </w:style>
  <w:style w:type="paragraph" w:styleId="Nadpis9">
    <w:name w:val="heading 9"/>
    <w:basedOn w:val="Normln"/>
    <w:next w:val="Normln"/>
    <w:link w:val="Nadpis9Char"/>
    <w:qFormat/>
    <w:rsid w:val="001A2895"/>
    <w:pPr>
      <w:keepNext/>
      <w:spacing w:line="360" w:lineRule="auto"/>
      <w:ind w:firstLine="708"/>
      <w:jc w:val="both"/>
      <w:outlineLvl w:val="8"/>
    </w:pPr>
    <w:rPr>
      <w:rFonts w:ascii="Cambria" w:hAnsi="Cambria"/>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rsid w:val="001A2895"/>
    <w:rPr>
      <w:rFonts w:ascii="Cambria" w:hAnsi="Cambria" w:cs="Times New Roman"/>
      <w:b/>
      <w:bCs/>
      <w:kern w:val="32"/>
      <w:sz w:val="32"/>
      <w:szCs w:val="32"/>
    </w:rPr>
  </w:style>
  <w:style w:type="character" w:customStyle="1" w:styleId="Nadpis2Char">
    <w:name w:val="Nadpis 2 Char"/>
    <w:link w:val="Nadpis2"/>
    <w:rsid w:val="001A2895"/>
    <w:rPr>
      <w:rFonts w:ascii="Cambria" w:hAnsi="Cambria" w:cs="Times New Roman"/>
      <w:b/>
      <w:bCs/>
      <w:i/>
      <w:iCs/>
      <w:sz w:val="28"/>
      <w:szCs w:val="28"/>
    </w:rPr>
  </w:style>
  <w:style w:type="character" w:customStyle="1" w:styleId="Nadpis3Char">
    <w:name w:val="Nadpis 3 Char"/>
    <w:link w:val="Nadpis3"/>
    <w:rsid w:val="001A2895"/>
    <w:rPr>
      <w:rFonts w:ascii="Cambria" w:hAnsi="Cambria" w:cs="Times New Roman"/>
      <w:b/>
      <w:bCs/>
      <w:sz w:val="26"/>
      <w:szCs w:val="26"/>
    </w:rPr>
  </w:style>
  <w:style w:type="character" w:customStyle="1" w:styleId="Nadpis4Char">
    <w:name w:val="Nadpis 4 Char"/>
    <w:link w:val="Nadpis4"/>
    <w:rsid w:val="001A2895"/>
    <w:rPr>
      <w:rFonts w:ascii="Calibri" w:hAnsi="Calibri" w:cs="Times New Roman"/>
      <w:b/>
      <w:bCs/>
      <w:sz w:val="28"/>
      <w:szCs w:val="28"/>
    </w:rPr>
  </w:style>
  <w:style w:type="character" w:customStyle="1" w:styleId="Nadpis5Char">
    <w:name w:val="Nadpis 5 Char"/>
    <w:link w:val="Nadpis5"/>
    <w:rsid w:val="001A2895"/>
    <w:rPr>
      <w:rFonts w:cs="Times New Roman"/>
      <w:sz w:val="24"/>
      <w:szCs w:val="24"/>
    </w:rPr>
  </w:style>
  <w:style w:type="character" w:customStyle="1" w:styleId="Nadpis6Char">
    <w:name w:val="Nadpis 6 Char"/>
    <w:link w:val="Nadpis6"/>
    <w:rsid w:val="001A2895"/>
    <w:rPr>
      <w:rFonts w:cs="Times New Roman"/>
      <w:i/>
      <w:iCs/>
      <w:color w:val="FF0000"/>
      <w:sz w:val="28"/>
      <w:szCs w:val="28"/>
    </w:rPr>
  </w:style>
  <w:style w:type="character" w:customStyle="1" w:styleId="Nadpis7Char">
    <w:name w:val="Nadpis 7 Char"/>
    <w:link w:val="Nadpis7"/>
    <w:rsid w:val="001A2895"/>
    <w:rPr>
      <w:rFonts w:ascii="Calibri" w:hAnsi="Calibri" w:cs="Times New Roman"/>
      <w:sz w:val="24"/>
      <w:szCs w:val="24"/>
    </w:rPr>
  </w:style>
  <w:style w:type="character" w:customStyle="1" w:styleId="Nadpis8Char">
    <w:name w:val="Nadpis 8 Char"/>
    <w:link w:val="Nadpis8"/>
    <w:rsid w:val="001A2895"/>
    <w:rPr>
      <w:rFonts w:ascii="Calibri" w:hAnsi="Calibri" w:cs="Times New Roman"/>
      <w:i/>
      <w:iCs/>
      <w:sz w:val="24"/>
      <w:szCs w:val="24"/>
    </w:rPr>
  </w:style>
  <w:style w:type="character" w:customStyle="1" w:styleId="Nadpis9Char">
    <w:name w:val="Nadpis 9 Char"/>
    <w:link w:val="Nadpis9"/>
    <w:rsid w:val="001A2895"/>
    <w:rPr>
      <w:rFonts w:ascii="Cambria" w:hAnsi="Cambria" w:cs="Times New Roman"/>
    </w:rPr>
  </w:style>
  <w:style w:type="paragraph" w:styleId="Nzev">
    <w:name w:val="Title"/>
    <w:basedOn w:val="Normln"/>
    <w:link w:val="NzevChar"/>
    <w:qFormat/>
    <w:rsid w:val="001A2895"/>
    <w:pPr>
      <w:jc w:val="center"/>
    </w:pPr>
    <w:rPr>
      <w:sz w:val="24"/>
      <w:szCs w:val="24"/>
    </w:rPr>
  </w:style>
  <w:style w:type="character" w:customStyle="1" w:styleId="NzevChar">
    <w:name w:val="Název Char"/>
    <w:link w:val="Nzev"/>
    <w:rsid w:val="001A2895"/>
    <w:rPr>
      <w:rFonts w:cs="Times New Roman"/>
      <w:sz w:val="24"/>
      <w:szCs w:val="24"/>
    </w:rPr>
  </w:style>
  <w:style w:type="paragraph" w:styleId="Podtitul">
    <w:name w:val="Subtitle"/>
    <w:basedOn w:val="Normln"/>
    <w:link w:val="PodtitulChar"/>
    <w:qFormat/>
    <w:rsid w:val="001A2895"/>
    <w:pPr>
      <w:widowControl w:val="0"/>
      <w:spacing w:after="60"/>
      <w:jc w:val="center"/>
    </w:pPr>
    <w:rPr>
      <w:rFonts w:ascii="Cambria" w:hAnsi="Cambria"/>
      <w:sz w:val="24"/>
      <w:szCs w:val="24"/>
    </w:rPr>
  </w:style>
  <w:style w:type="character" w:customStyle="1" w:styleId="PodtitulChar">
    <w:name w:val="Podtitul Char"/>
    <w:link w:val="Podtitul"/>
    <w:rsid w:val="001A2895"/>
    <w:rPr>
      <w:rFonts w:ascii="Cambria" w:hAnsi="Cambria" w:cs="Times New Roman"/>
      <w:sz w:val="24"/>
      <w:szCs w:val="24"/>
    </w:rPr>
  </w:style>
  <w:style w:type="character" w:styleId="Siln">
    <w:name w:val="Strong"/>
    <w:qFormat/>
    <w:rsid w:val="001A2895"/>
    <w:rPr>
      <w:rFonts w:cs="Times New Roman"/>
      <w:b/>
      <w:bCs/>
    </w:rPr>
  </w:style>
  <w:style w:type="paragraph" w:styleId="Odstavecseseznamem">
    <w:name w:val="List Paragraph"/>
    <w:basedOn w:val="Normln"/>
    <w:uiPriority w:val="34"/>
    <w:qFormat/>
    <w:rsid w:val="009418E4"/>
    <w:pPr>
      <w:ind w:left="720"/>
      <w:contextualSpacing/>
    </w:pPr>
  </w:style>
  <w:style w:type="paragraph" w:customStyle="1" w:styleId="Default">
    <w:name w:val="Default"/>
    <w:rsid w:val="006F5E17"/>
    <w:pPr>
      <w:autoSpaceDE w:val="0"/>
      <w:autoSpaceDN w:val="0"/>
      <w:adjustRightInd w:val="0"/>
    </w:pPr>
    <w:rPr>
      <w:color w:val="000000"/>
      <w:sz w:val="24"/>
      <w:szCs w:val="24"/>
    </w:rPr>
  </w:style>
  <w:style w:type="paragraph" w:styleId="Textbubliny">
    <w:name w:val="Balloon Text"/>
    <w:basedOn w:val="Normln"/>
    <w:link w:val="TextbublinyChar"/>
    <w:uiPriority w:val="99"/>
    <w:semiHidden/>
    <w:unhideWhenUsed/>
    <w:rsid w:val="00D51171"/>
    <w:rPr>
      <w:rFonts w:ascii="Tahoma" w:hAnsi="Tahoma" w:cs="Tahoma"/>
      <w:sz w:val="16"/>
      <w:szCs w:val="16"/>
    </w:rPr>
  </w:style>
  <w:style w:type="character" w:customStyle="1" w:styleId="TextbublinyChar">
    <w:name w:val="Text bubliny Char"/>
    <w:basedOn w:val="Standardnpsmoodstavce"/>
    <w:link w:val="Textbubliny"/>
    <w:uiPriority w:val="99"/>
    <w:semiHidden/>
    <w:rsid w:val="00D51171"/>
    <w:rPr>
      <w:rFonts w:ascii="Tahoma" w:hAnsi="Tahoma" w:cs="Tahoma"/>
      <w:sz w:val="16"/>
      <w:szCs w:val="16"/>
    </w:rPr>
  </w:style>
  <w:style w:type="paragraph" w:styleId="Zhlav">
    <w:name w:val="header"/>
    <w:basedOn w:val="Normln"/>
    <w:link w:val="ZhlavChar"/>
    <w:uiPriority w:val="99"/>
    <w:unhideWhenUsed/>
    <w:rsid w:val="00DA33CA"/>
    <w:pPr>
      <w:tabs>
        <w:tab w:val="center" w:pos="4536"/>
        <w:tab w:val="right" w:pos="9072"/>
      </w:tabs>
    </w:pPr>
  </w:style>
  <w:style w:type="character" w:customStyle="1" w:styleId="ZhlavChar">
    <w:name w:val="Záhlaví Char"/>
    <w:basedOn w:val="Standardnpsmoodstavce"/>
    <w:link w:val="Zhlav"/>
    <w:uiPriority w:val="99"/>
    <w:rsid w:val="00DA33CA"/>
  </w:style>
  <w:style w:type="paragraph" w:styleId="Zpat">
    <w:name w:val="footer"/>
    <w:basedOn w:val="Normln"/>
    <w:link w:val="ZpatChar"/>
    <w:uiPriority w:val="99"/>
    <w:unhideWhenUsed/>
    <w:rsid w:val="00DA33CA"/>
    <w:pPr>
      <w:tabs>
        <w:tab w:val="center" w:pos="4536"/>
        <w:tab w:val="right" w:pos="9072"/>
      </w:tabs>
    </w:pPr>
  </w:style>
  <w:style w:type="character" w:customStyle="1" w:styleId="ZpatChar">
    <w:name w:val="Zápatí Char"/>
    <w:basedOn w:val="Standardnpsmoodstavce"/>
    <w:link w:val="Zpat"/>
    <w:uiPriority w:val="99"/>
    <w:rsid w:val="00DA33CA"/>
  </w:style>
</w:styles>
</file>

<file path=word/webSettings.xml><?xml version="1.0" encoding="utf-8"?>
<w:webSettings xmlns:r="http://schemas.openxmlformats.org/officeDocument/2006/relationships" xmlns:w="http://schemas.openxmlformats.org/wordprocessingml/2006/main">
  <w:divs>
    <w:div w:id="413236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3322BF-A0F8-4472-B4DC-B1101D125B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2984</Words>
  <Characters>17610</Characters>
  <Application>Microsoft Office Word</Application>
  <DocSecurity>0</DocSecurity>
  <Lines>146</Lines>
  <Paragraphs>41</Paragraphs>
  <ScaleCrop>false</ScaleCrop>
  <HeadingPairs>
    <vt:vector size="2" baseType="variant">
      <vt:variant>
        <vt:lpstr>Název</vt:lpstr>
      </vt:variant>
      <vt:variant>
        <vt:i4>1</vt:i4>
      </vt:variant>
    </vt:vector>
  </HeadingPairs>
  <TitlesOfParts>
    <vt:vector size="1" baseType="lpstr">
      <vt:lpstr/>
    </vt:vector>
  </TitlesOfParts>
  <Company>Microsoft</Company>
  <LinksUpToDate>false</LinksUpToDate>
  <CharactersWithSpaces>20553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Havira</dc:creator>
  <cp:lastModifiedBy>svetlana.smidova</cp:lastModifiedBy>
  <cp:revision>2</cp:revision>
  <dcterms:created xsi:type="dcterms:W3CDTF">2016-10-04T10:52:00Z</dcterms:created>
  <dcterms:modified xsi:type="dcterms:W3CDTF">2016-10-04T10:52:00Z</dcterms:modified>
</cp:coreProperties>
</file>