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75" w:rsidRDefault="00692075" w:rsidP="00692075">
      <w:pPr>
        <w:pStyle w:val="Nadpis3"/>
      </w:pPr>
      <w:r>
        <w:t>Smlouva o podnájmu nebytových prostor</w:t>
      </w:r>
    </w:p>
    <w:p w:rsidR="00692075" w:rsidRPr="009D0D65" w:rsidRDefault="00692075" w:rsidP="0069207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D0D65">
        <w:rPr>
          <w:b/>
        </w:rPr>
        <w:t xml:space="preserve">č. </w:t>
      </w:r>
      <w:r>
        <w:rPr>
          <w:b/>
        </w:rPr>
        <w:t xml:space="preserve">     55</w:t>
      </w:r>
      <w:r w:rsidRPr="009D0D65">
        <w:rPr>
          <w:b/>
        </w:rPr>
        <w:t>/20</w:t>
      </w:r>
      <w:r>
        <w:rPr>
          <w:b/>
        </w:rPr>
        <w:t>17</w:t>
      </w:r>
    </w:p>
    <w:p w:rsidR="00692075" w:rsidRDefault="00692075" w:rsidP="00692075">
      <w:pPr>
        <w:rPr>
          <w:b/>
          <w:bCs/>
          <w:sz w:val="22"/>
          <w:u w:val="single"/>
        </w:rPr>
      </w:pPr>
    </w:p>
    <w:p w:rsidR="00692075" w:rsidRDefault="00692075" w:rsidP="00692075">
      <w:pPr>
        <w:jc w:val="center"/>
        <w:rPr>
          <w:sz w:val="22"/>
        </w:rPr>
      </w:pPr>
      <w:r>
        <w:rPr>
          <w:sz w:val="22"/>
        </w:rPr>
        <w:t xml:space="preserve">uzavřená </w:t>
      </w:r>
      <w:proofErr w:type="gramStart"/>
      <w:r>
        <w:rPr>
          <w:sz w:val="22"/>
        </w:rPr>
        <w:t>mezi</w:t>
      </w:r>
      <w:proofErr w:type="gramEnd"/>
    </w:p>
    <w:p w:rsidR="00692075" w:rsidRDefault="00692075" w:rsidP="00692075">
      <w:pPr>
        <w:rPr>
          <w:sz w:val="22"/>
        </w:rPr>
      </w:pPr>
    </w:p>
    <w:p w:rsidR="00692075" w:rsidRDefault="00692075" w:rsidP="00692075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2"/>
      </w:tblGrid>
      <w:tr w:rsidR="00692075" w:rsidTr="00F6050A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75" w:rsidRDefault="00692075" w:rsidP="00F6050A">
            <w:pPr>
              <w:rPr>
                <w:sz w:val="22"/>
              </w:rPr>
            </w:pPr>
            <w:r>
              <w:rPr>
                <w:sz w:val="22"/>
              </w:rPr>
              <w:t>Název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75" w:rsidRDefault="00692075" w:rsidP="00F6050A">
            <w:pPr>
              <w:rPr>
                <w:sz w:val="22"/>
              </w:rPr>
            </w:pPr>
            <w:r>
              <w:rPr>
                <w:sz w:val="22"/>
              </w:rPr>
              <w:t>Základní škola a mateřská škola Chodov, Praha 4, Květnového vítězství 57</w:t>
            </w:r>
          </w:p>
        </w:tc>
      </w:tr>
      <w:tr w:rsidR="00692075" w:rsidTr="00F6050A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75" w:rsidRDefault="00692075" w:rsidP="00F6050A">
            <w:pPr>
              <w:rPr>
                <w:sz w:val="22"/>
              </w:rPr>
            </w:pPr>
            <w:r>
              <w:rPr>
                <w:sz w:val="22"/>
              </w:rPr>
              <w:t>Sídlo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75" w:rsidRDefault="00692075" w:rsidP="00F6050A">
            <w:pPr>
              <w:rPr>
                <w:sz w:val="22"/>
              </w:rPr>
            </w:pPr>
            <w:r>
              <w:rPr>
                <w:sz w:val="22"/>
              </w:rPr>
              <w:t>Praha 4, Květnového vítězství 57</w:t>
            </w:r>
          </w:p>
        </w:tc>
      </w:tr>
      <w:tr w:rsidR="00692075" w:rsidTr="00F6050A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75" w:rsidRDefault="00692075" w:rsidP="00F6050A">
            <w:pPr>
              <w:rPr>
                <w:sz w:val="22"/>
              </w:rPr>
            </w:pPr>
            <w:r>
              <w:rPr>
                <w:sz w:val="22"/>
              </w:rPr>
              <w:t>IČ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75" w:rsidRDefault="00692075" w:rsidP="00F6050A">
            <w:pPr>
              <w:rPr>
                <w:sz w:val="22"/>
              </w:rPr>
            </w:pPr>
          </w:p>
        </w:tc>
      </w:tr>
      <w:tr w:rsidR="00692075" w:rsidTr="00F6050A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75" w:rsidRDefault="00692075" w:rsidP="00F6050A">
            <w:pPr>
              <w:rPr>
                <w:sz w:val="22"/>
              </w:rPr>
            </w:pPr>
            <w:r>
              <w:rPr>
                <w:sz w:val="22"/>
              </w:rPr>
              <w:t>DIČ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75" w:rsidRDefault="00692075" w:rsidP="00F6050A">
            <w:pPr>
              <w:rPr>
                <w:sz w:val="22"/>
              </w:rPr>
            </w:pPr>
          </w:p>
        </w:tc>
      </w:tr>
      <w:tr w:rsidR="00692075" w:rsidTr="00F6050A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75" w:rsidRDefault="00692075" w:rsidP="00F6050A">
            <w:pPr>
              <w:rPr>
                <w:sz w:val="22"/>
              </w:rPr>
            </w:pPr>
            <w:r>
              <w:rPr>
                <w:sz w:val="22"/>
              </w:rPr>
              <w:t>Bankovní spojení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75" w:rsidRDefault="00692075" w:rsidP="00F6050A">
            <w:pPr>
              <w:rPr>
                <w:sz w:val="22"/>
              </w:rPr>
            </w:pPr>
          </w:p>
        </w:tc>
      </w:tr>
      <w:tr w:rsidR="00692075" w:rsidTr="00F6050A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75" w:rsidRDefault="00692075" w:rsidP="00F6050A">
            <w:pPr>
              <w:rPr>
                <w:sz w:val="22"/>
              </w:rPr>
            </w:pPr>
            <w:r>
              <w:rPr>
                <w:sz w:val="22"/>
              </w:rPr>
              <w:t>Zastoupení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75" w:rsidRDefault="00692075" w:rsidP="00F6050A">
            <w:pPr>
              <w:rPr>
                <w:sz w:val="22"/>
              </w:rPr>
            </w:pPr>
          </w:p>
        </w:tc>
      </w:tr>
    </w:tbl>
    <w:p w:rsidR="00692075" w:rsidRDefault="00692075" w:rsidP="00692075">
      <w:pPr>
        <w:rPr>
          <w:sz w:val="22"/>
        </w:rPr>
      </w:pPr>
    </w:p>
    <w:p w:rsidR="00692075" w:rsidRDefault="00692075" w:rsidP="00692075">
      <w:pPr>
        <w:rPr>
          <w:sz w:val="22"/>
        </w:rPr>
      </w:pPr>
      <w:r>
        <w:rPr>
          <w:sz w:val="22"/>
        </w:rPr>
        <w:t>dále jen „ZŠ a MŠ“</w:t>
      </w:r>
    </w:p>
    <w:p w:rsidR="00692075" w:rsidRDefault="00692075" w:rsidP="00692075">
      <w:pPr>
        <w:rPr>
          <w:color w:val="008000"/>
          <w:sz w:val="22"/>
        </w:rPr>
      </w:pPr>
    </w:p>
    <w:p w:rsidR="00692075" w:rsidRDefault="00692075" w:rsidP="00692075">
      <w:pPr>
        <w:rPr>
          <w:sz w:val="22"/>
        </w:rPr>
      </w:pPr>
      <w:r>
        <w:rPr>
          <w:sz w:val="22"/>
        </w:rPr>
        <w:t>a</w:t>
      </w:r>
    </w:p>
    <w:p w:rsidR="00692075" w:rsidRDefault="00692075" w:rsidP="00692075">
      <w:pPr>
        <w:rPr>
          <w:sz w:val="22"/>
        </w:rPr>
      </w:pPr>
    </w:p>
    <w:p w:rsidR="00692075" w:rsidRDefault="00692075" w:rsidP="00692075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2"/>
      </w:tblGrid>
      <w:tr w:rsidR="00692075" w:rsidTr="00F6050A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75" w:rsidRDefault="00692075" w:rsidP="00F6050A">
            <w:pPr>
              <w:rPr>
                <w:sz w:val="22"/>
              </w:rPr>
            </w:pPr>
            <w:r>
              <w:rPr>
                <w:sz w:val="22"/>
              </w:rPr>
              <w:t>Název/jméno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75" w:rsidRDefault="00692075" w:rsidP="00F6050A">
            <w:pPr>
              <w:rPr>
                <w:sz w:val="22"/>
              </w:rPr>
            </w:pPr>
            <w:r>
              <w:rPr>
                <w:sz w:val="22"/>
              </w:rPr>
              <w:t>JS FAN s.r.o.</w:t>
            </w:r>
          </w:p>
        </w:tc>
      </w:tr>
      <w:tr w:rsidR="00692075" w:rsidTr="00F6050A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75" w:rsidRDefault="00692075" w:rsidP="00F6050A">
            <w:pPr>
              <w:rPr>
                <w:sz w:val="22"/>
              </w:rPr>
            </w:pPr>
            <w:r>
              <w:rPr>
                <w:sz w:val="22"/>
              </w:rPr>
              <w:t>Sídlo/bydliště/místo podnikání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75" w:rsidRDefault="00692075" w:rsidP="00F6050A">
            <w:pPr>
              <w:rPr>
                <w:sz w:val="22"/>
              </w:rPr>
            </w:pPr>
            <w:r>
              <w:rPr>
                <w:sz w:val="22"/>
              </w:rPr>
              <w:t>Hrabákova 1973/3, 148 00 Praha 4</w:t>
            </w:r>
          </w:p>
        </w:tc>
      </w:tr>
      <w:tr w:rsidR="00692075" w:rsidTr="00F6050A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75" w:rsidRDefault="00692075" w:rsidP="00F6050A">
            <w:pPr>
              <w:rPr>
                <w:sz w:val="22"/>
              </w:rPr>
            </w:pPr>
            <w:r>
              <w:rPr>
                <w:sz w:val="22"/>
              </w:rPr>
              <w:t>IČ/datum narození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75" w:rsidRDefault="00692075" w:rsidP="00F6050A">
            <w:pPr>
              <w:rPr>
                <w:sz w:val="22"/>
              </w:rPr>
            </w:pPr>
          </w:p>
        </w:tc>
      </w:tr>
      <w:tr w:rsidR="00692075" w:rsidTr="00F6050A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75" w:rsidRDefault="00692075" w:rsidP="00F6050A">
            <w:pPr>
              <w:rPr>
                <w:sz w:val="22"/>
              </w:rPr>
            </w:pPr>
            <w:r>
              <w:rPr>
                <w:sz w:val="22"/>
              </w:rPr>
              <w:t>Telefon, e-mail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75" w:rsidRDefault="00692075" w:rsidP="00F6050A">
            <w:pPr>
              <w:rPr>
                <w:sz w:val="22"/>
              </w:rPr>
            </w:pPr>
          </w:p>
        </w:tc>
      </w:tr>
      <w:tr w:rsidR="00692075" w:rsidTr="00F6050A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75" w:rsidRDefault="00692075" w:rsidP="00F6050A">
            <w:pPr>
              <w:rPr>
                <w:sz w:val="22"/>
              </w:rPr>
            </w:pPr>
            <w:r>
              <w:rPr>
                <w:sz w:val="22"/>
              </w:rPr>
              <w:t>Bankovní spojení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75" w:rsidRPr="009D0D65" w:rsidRDefault="00692075" w:rsidP="00F6050A">
            <w:pPr>
              <w:rPr>
                <w:iCs/>
                <w:sz w:val="22"/>
              </w:rPr>
            </w:pPr>
          </w:p>
        </w:tc>
      </w:tr>
      <w:tr w:rsidR="00692075" w:rsidTr="00F6050A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75" w:rsidRDefault="00692075" w:rsidP="00F6050A">
            <w:pPr>
              <w:rPr>
                <w:sz w:val="22"/>
              </w:rPr>
            </w:pPr>
            <w:r>
              <w:rPr>
                <w:sz w:val="22"/>
              </w:rPr>
              <w:t>Zastoupení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75" w:rsidRPr="00DE7E88" w:rsidRDefault="00692075" w:rsidP="00F6050A">
            <w:pPr>
              <w:rPr>
                <w:iCs/>
                <w:sz w:val="22"/>
              </w:rPr>
            </w:pPr>
          </w:p>
        </w:tc>
      </w:tr>
    </w:tbl>
    <w:p w:rsidR="00692075" w:rsidRDefault="00692075" w:rsidP="00692075">
      <w:pPr>
        <w:rPr>
          <w:sz w:val="22"/>
        </w:rPr>
      </w:pPr>
    </w:p>
    <w:p w:rsidR="00692075" w:rsidRDefault="00692075" w:rsidP="00692075">
      <w:pPr>
        <w:rPr>
          <w:sz w:val="22"/>
        </w:rPr>
      </w:pPr>
      <w:r>
        <w:rPr>
          <w:sz w:val="22"/>
        </w:rPr>
        <w:t>dále jen „podnájemce“</w:t>
      </w:r>
    </w:p>
    <w:p w:rsidR="00692075" w:rsidRDefault="00692075" w:rsidP="00692075">
      <w:pPr>
        <w:rPr>
          <w:sz w:val="22"/>
        </w:rPr>
      </w:pPr>
      <w:r>
        <w:rPr>
          <w:sz w:val="22"/>
        </w:rPr>
        <w:t xml:space="preserve">  </w:t>
      </w:r>
    </w:p>
    <w:p w:rsidR="00692075" w:rsidRDefault="00692075" w:rsidP="00692075">
      <w:pPr>
        <w:rPr>
          <w:b/>
          <w:bCs/>
          <w:sz w:val="22"/>
        </w:rPr>
      </w:pPr>
      <w:r>
        <w:rPr>
          <w:b/>
          <w:bCs/>
          <w:sz w:val="22"/>
        </w:rPr>
        <w:t>I. Úvodní ustanovení</w:t>
      </w:r>
    </w:p>
    <w:p w:rsidR="00692075" w:rsidRDefault="00692075" w:rsidP="00692075">
      <w:pPr>
        <w:rPr>
          <w:sz w:val="22"/>
        </w:rPr>
      </w:pPr>
    </w:p>
    <w:p w:rsidR="00692075" w:rsidRDefault="00692075" w:rsidP="00692075">
      <w:pPr>
        <w:numPr>
          <w:ilvl w:val="1"/>
          <w:numId w:val="2"/>
        </w:numPr>
        <w:jc w:val="both"/>
        <w:rPr>
          <w:sz w:val="22"/>
        </w:rPr>
      </w:pPr>
      <w:r>
        <w:rPr>
          <w:sz w:val="22"/>
        </w:rPr>
        <w:t>ZŠ a MŠ</w:t>
      </w:r>
      <w:r>
        <w:rPr>
          <w:color w:val="008000"/>
          <w:sz w:val="22"/>
        </w:rPr>
        <w:t xml:space="preserve"> </w:t>
      </w:r>
      <w:r>
        <w:rPr>
          <w:sz w:val="22"/>
        </w:rPr>
        <w:t xml:space="preserve">je z titulu nájemní smlouvy uzavřené dne 10. 7. 1995 a dodatku č. 4 z 1. 1. </w:t>
      </w:r>
      <w:proofErr w:type="gramStart"/>
      <w:r>
        <w:rPr>
          <w:sz w:val="22"/>
        </w:rPr>
        <w:t>2008     mezi</w:t>
      </w:r>
      <w:proofErr w:type="gramEnd"/>
      <w:r>
        <w:rPr>
          <w:sz w:val="22"/>
        </w:rPr>
        <w:t xml:space="preserve"> ZŠ a MŠ jako nájemcem na straně jedné a MČ Praha 11., se sídlem Ocelíkova 672/1, 149 41 Praha 4  jako pronajímatelem na straně druhé oprávněna užívat  </w:t>
      </w:r>
    </w:p>
    <w:p w:rsidR="00692075" w:rsidRDefault="00692075" w:rsidP="00692075">
      <w:pPr>
        <w:jc w:val="both"/>
        <w:rPr>
          <w:sz w:val="22"/>
        </w:rPr>
      </w:pPr>
    </w:p>
    <w:p w:rsidR="00692075" w:rsidRDefault="00692075" w:rsidP="00692075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budovu č.p.1738, stojící na parcele  </w:t>
      </w:r>
      <w:proofErr w:type="spellStart"/>
      <w:r>
        <w:rPr>
          <w:sz w:val="22"/>
        </w:rPr>
        <w:t>parc.č</w:t>
      </w:r>
      <w:proofErr w:type="spellEnd"/>
      <w:r>
        <w:rPr>
          <w:sz w:val="22"/>
        </w:rPr>
        <w:t xml:space="preserve">. 1319/9, 1326/2, 1327/3, obec Praha, </w:t>
      </w:r>
      <w:proofErr w:type="spellStart"/>
      <w:proofErr w:type="gramStart"/>
      <w:r>
        <w:rPr>
          <w:sz w:val="22"/>
        </w:rPr>
        <w:t>k.ú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 Chodov; v této budově se nachází Předmět podnájmu</w:t>
      </w:r>
    </w:p>
    <w:p w:rsidR="00692075" w:rsidRDefault="00692075" w:rsidP="00692075">
      <w:pPr>
        <w:rPr>
          <w:sz w:val="22"/>
        </w:rPr>
      </w:pPr>
    </w:p>
    <w:p w:rsidR="00692075" w:rsidRDefault="00692075" w:rsidP="00692075">
      <w:pPr>
        <w:ind w:left="360" w:hanging="360"/>
        <w:jc w:val="both"/>
        <w:rPr>
          <w:sz w:val="22"/>
        </w:rPr>
      </w:pPr>
      <w:r>
        <w:rPr>
          <w:sz w:val="22"/>
        </w:rPr>
        <w:t xml:space="preserve">1.2 ZŠ a MŠ prohlašuje, že je na základě čl. VI. Zřizovací listiny ze dne 24. 11. 2005, a usnesení RMČ </w:t>
      </w:r>
    </w:p>
    <w:p w:rsidR="00692075" w:rsidRDefault="00692075" w:rsidP="00692075">
      <w:pPr>
        <w:ind w:left="360" w:hanging="360"/>
        <w:jc w:val="both"/>
        <w:rPr>
          <w:sz w:val="22"/>
        </w:rPr>
      </w:pPr>
      <w:r>
        <w:rPr>
          <w:sz w:val="22"/>
        </w:rPr>
        <w:t xml:space="preserve">      č. 0526/15/R/2008 ze dne 20. 10. 2005, v souladu se zněním pozdějších dodatků, oprávněna k poskytnutí předmětu podnájmu podnájemci do užívání na dobu vymezenou ve smlouvě.</w:t>
      </w:r>
    </w:p>
    <w:p w:rsidR="00692075" w:rsidRDefault="00692075" w:rsidP="00692075">
      <w:pPr>
        <w:rPr>
          <w:sz w:val="22"/>
        </w:rPr>
      </w:pPr>
    </w:p>
    <w:p w:rsidR="00692075" w:rsidRDefault="00692075" w:rsidP="00692075">
      <w:pPr>
        <w:ind w:left="360" w:hanging="360"/>
        <w:jc w:val="both"/>
        <w:rPr>
          <w:sz w:val="22"/>
        </w:rPr>
      </w:pPr>
      <w:r>
        <w:rPr>
          <w:sz w:val="22"/>
        </w:rPr>
        <w:t xml:space="preserve">1.3 ZŠ a MŠ přenechává podnájemci předmět podnájmu do užívání za podmínek uvedených v této smlouvě. </w:t>
      </w:r>
    </w:p>
    <w:p w:rsidR="00692075" w:rsidRDefault="00692075" w:rsidP="00692075">
      <w:pPr>
        <w:rPr>
          <w:sz w:val="22"/>
        </w:rPr>
      </w:pPr>
    </w:p>
    <w:p w:rsidR="00692075" w:rsidRDefault="00692075" w:rsidP="00692075">
      <w:pPr>
        <w:ind w:left="360" w:hanging="360"/>
        <w:jc w:val="both"/>
        <w:rPr>
          <w:i/>
          <w:iCs/>
          <w:sz w:val="22"/>
        </w:rPr>
      </w:pPr>
      <w:proofErr w:type="gramStart"/>
      <w:r>
        <w:rPr>
          <w:sz w:val="22"/>
        </w:rPr>
        <w:t>1.4  Podnájemce</w:t>
      </w:r>
      <w:proofErr w:type="gramEnd"/>
      <w:r>
        <w:rPr>
          <w:sz w:val="22"/>
        </w:rPr>
        <w:t xml:space="preserve"> podpisem této smlouvy prohlašuje, že se seznámil se stavem předmětu podnájmu a že k němu nemá žádné připomínky.</w:t>
      </w:r>
    </w:p>
    <w:p w:rsidR="00692075" w:rsidRDefault="00692075" w:rsidP="00692075">
      <w:pPr>
        <w:rPr>
          <w:sz w:val="22"/>
        </w:rPr>
      </w:pPr>
    </w:p>
    <w:p w:rsidR="00692075" w:rsidRDefault="00692075" w:rsidP="00692075">
      <w:pPr>
        <w:rPr>
          <w:b/>
          <w:bCs/>
          <w:sz w:val="22"/>
        </w:rPr>
      </w:pPr>
      <w:r>
        <w:rPr>
          <w:b/>
          <w:bCs/>
          <w:sz w:val="22"/>
        </w:rPr>
        <w:t>II.  Předmět a účel podnájmu</w:t>
      </w:r>
    </w:p>
    <w:p w:rsidR="00692075" w:rsidRDefault="00692075" w:rsidP="00692075">
      <w:pPr>
        <w:rPr>
          <w:sz w:val="22"/>
        </w:rPr>
      </w:pPr>
    </w:p>
    <w:p w:rsidR="00692075" w:rsidRDefault="00692075" w:rsidP="00692075">
      <w:pPr>
        <w:rPr>
          <w:sz w:val="22"/>
        </w:rPr>
      </w:pPr>
      <w:r>
        <w:rPr>
          <w:sz w:val="22"/>
        </w:rPr>
        <w:t>2.1 Předmětem podnájmu jsou tyto prostory:</w:t>
      </w:r>
    </w:p>
    <w:p w:rsidR="00692075" w:rsidRDefault="00692075" w:rsidP="00692075">
      <w:pPr>
        <w:rPr>
          <w:sz w:val="22"/>
        </w:rPr>
      </w:pPr>
    </w:p>
    <w:p w:rsidR="00692075" w:rsidRDefault="00692075" w:rsidP="00692075">
      <w:pPr>
        <w:rPr>
          <w:sz w:val="22"/>
        </w:rPr>
      </w:pPr>
      <w:r>
        <w:rPr>
          <w:sz w:val="22"/>
        </w:rPr>
        <w:t>Legenda místností (viz přiložený plánek v příloze č. 1):</w:t>
      </w:r>
    </w:p>
    <w:p w:rsidR="00692075" w:rsidRDefault="00692075" w:rsidP="0069207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1.100</w:t>
      </w:r>
      <w:r>
        <w:rPr>
          <w:sz w:val="22"/>
        </w:rPr>
        <w:tab/>
        <w:t>10,66</w:t>
      </w:r>
    </w:p>
    <w:p w:rsidR="00692075" w:rsidRDefault="00692075" w:rsidP="0069207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1.97</w:t>
      </w:r>
      <w:r>
        <w:rPr>
          <w:sz w:val="22"/>
        </w:rPr>
        <w:tab/>
        <w:t xml:space="preserve">  4,2</w:t>
      </w:r>
    </w:p>
    <w:p w:rsidR="00692075" w:rsidRDefault="00692075" w:rsidP="0069207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1.98</w:t>
      </w:r>
      <w:r>
        <w:rPr>
          <w:sz w:val="22"/>
        </w:rPr>
        <w:tab/>
        <w:t xml:space="preserve">  1,0</w:t>
      </w:r>
    </w:p>
    <w:p w:rsidR="00692075" w:rsidRDefault="00692075" w:rsidP="0069207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1.99</w:t>
      </w:r>
      <w:r>
        <w:rPr>
          <w:sz w:val="22"/>
        </w:rPr>
        <w:tab/>
        <w:t xml:space="preserve">  1,58</w:t>
      </w:r>
    </w:p>
    <w:p w:rsidR="00692075" w:rsidRDefault="00692075" w:rsidP="00692075">
      <w:pPr>
        <w:rPr>
          <w:sz w:val="22"/>
        </w:rPr>
      </w:pPr>
      <w:r>
        <w:rPr>
          <w:sz w:val="22"/>
        </w:rPr>
        <w:tab/>
        <w:t xml:space="preserve"> </w:t>
      </w:r>
      <w:r>
        <w:rPr>
          <w:sz w:val="22"/>
        </w:rPr>
        <w:tab/>
        <w:t>1.95</w:t>
      </w:r>
      <w:r>
        <w:rPr>
          <w:sz w:val="22"/>
        </w:rPr>
        <w:tab/>
        <w:t>18,00</w:t>
      </w:r>
    </w:p>
    <w:p w:rsidR="00692075" w:rsidRDefault="00692075" w:rsidP="0069207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Bez</w:t>
      </w:r>
      <w:r>
        <w:rPr>
          <w:sz w:val="22"/>
        </w:rPr>
        <w:tab/>
        <w:t xml:space="preserve">  9,0</w:t>
      </w:r>
    </w:p>
    <w:p w:rsidR="00692075" w:rsidRDefault="00692075" w:rsidP="0069207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1.60</w:t>
      </w:r>
      <w:r>
        <w:rPr>
          <w:sz w:val="22"/>
        </w:rPr>
        <w:tab/>
        <w:t xml:space="preserve">  9,0</w:t>
      </w:r>
    </w:p>
    <w:p w:rsidR="00692075" w:rsidRPr="008612CA" w:rsidRDefault="00692075" w:rsidP="00692075">
      <w:pPr>
        <w:rPr>
          <w:sz w:val="22"/>
          <w:u w:val="single"/>
        </w:rPr>
      </w:pPr>
      <w:r w:rsidRPr="008612CA">
        <w:rPr>
          <w:sz w:val="22"/>
          <w:u w:val="single"/>
        </w:rPr>
        <w:t>Celkem</w:t>
      </w:r>
      <w:r w:rsidRPr="008612CA">
        <w:rPr>
          <w:sz w:val="22"/>
          <w:u w:val="single"/>
        </w:rPr>
        <w:tab/>
      </w:r>
      <w:r w:rsidRPr="008612CA">
        <w:rPr>
          <w:sz w:val="22"/>
          <w:u w:val="single"/>
        </w:rPr>
        <w:tab/>
      </w:r>
      <w:r w:rsidRPr="008612CA">
        <w:rPr>
          <w:sz w:val="22"/>
          <w:u w:val="single"/>
        </w:rPr>
        <w:tab/>
      </w:r>
      <w:r>
        <w:rPr>
          <w:sz w:val="22"/>
          <w:u w:val="single"/>
        </w:rPr>
        <w:t>53,44</w:t>
      </w:r>
      <w:r w:rsidRPr="008612CA">
        <w:rPr>
          <w:sz w:val="22"/>
          <w:u w:val="single"/>
        </w:rPr>
        <w:t xml:space="preserve"> m</w:t>
      </w:r>
      <w:r w:rsidRPr="008612CA">
        <w:rPr>
          <w:sz w:val="22"/>
          <w:u w:val="single"/>
          <w:vertAlign w:val="superscript"/>
        </w:rPr>
        <w:t>2</w:t>
      </w:r>
    </w:p>
    <w:p w:rsidR="00692075" w:rsidRDefault="00692075" w:rsidP="00692075">
      <w:pPr>
        <w:rPr>
          <w:sz w:val="22"/>
        </w:rPr>
      </w:pPr>
    </w:p>
    <w:p w:rsidR="00692075" w:rsidRDefault="00692075" w:rsidP="00692075">
      <w:pPr>
        <w:rPr>
          <w:i/>
          <w:iCs/>
          <w:sz w:val="22"/>
        </w:rPr>
      </w:pPr>
      <w:r>
        <w:rPr>
          <w:sz w:val="22"/>
        </w:rPr>
        <w:lastRenderedPageBreak/>
        <w:t xml:space="preserve">2.2 Účel </w:t>
      </w:r>
      <w:proofErr w:type="gramStart"/>
      <w:r>
        <w:rPr>
          <w:sz w:val="22"/>
        </w:rPr>
        <w:t>podnájmu:  jazykové</w:t>
      </w:r>
      <w:proofErr w:type="gramEnd"/>
      <w:r>
        <w:rPr>
          <w:sz w:val="22"/>
        </w:rPr>
        <w:t xml:space="preserve"> vzdělávání</w:t>
      </w:r>
    </w:p>
    <w:p w:rsidR="00692075" w:rsidRDefault="00692075" w:rsidP="00692075">
      <w:pPr>
        <w:rPr>
          <w:i/>
          <w:iCs/>
          <w:sz w:val="22"/>
          <w:szCs w:val="22"/>
        </w:rPr>
      </w:pPr>
    </w:p>
    <w:p w:rsidR="00692075" w:rsidRDefault="00692075" w:rsidP="00692075">
      <w:pPr>
        <w:rPr>
          <w:sz w:val="22"/>
        </w:rPr>
      </w:pPr>
      <w:r>
        <w:rPr>
          <w:sz w:val="22"/>
        </w:rPr>
        <w:t>2.3 Podnájemce není oprávněn přenechat předmětné prostory k užívání třetí osobě.</w:t>
      </w:r>
    </w:p>
    <w:p w:rsidR="00692075" w:rsidRDefault="00692075" w:rsidP="00692075">
      <w:pPr>
        <w:rPr>
          <w:sz w:val="22"/>
        </w:rPr>
      </w:pPr>
    </w:p>
    <w:p w:rsidR="00692075" w:rsidRDefault="00692075" w:rsidP="00692075">
      <w:pPr>
        <w:rPr>
          <w:b/>
          <w:bCs/>
          <w:sz w:val="22"/>
        </w:rPr>
      </w:pPr>
      <w:r>
        <w:rPr>
          <w:b/>
          <w:bCs/>
          <w:sz w:val="22"/>
        </w:rPr>
        <w:t>III. Doba trvání smlouvy</w:t>
      </w:r>
    </w:p>
    <w:p w:rsidR="00692075" w:rsidRDefault="00692075" w:rsidP="00692075">
      <w:pPr>
        <w:rPr>
          <w:b/>
          <w:bCs/>
          <w:sz w:val="22"/>
        </w:rPr>
      </w:pPr>
    </w:p>
    <w:p w:rsidR="00692075" w:rsidRDefault="00692075" w:rsidP="00692075">
      <w:pPr>
        <w:ind w:left="360" w:hanging="360"/>
        <w:jc w:val="both"/>
        <w:rPr>
          <w:b/>
          <w:sz w:val="22"/>
        </w:rPr>
      </w:pPr>
      <w:r>
        <w:rPr>
          <w:sz w:val="22"/>
        </w:rPr>
        <w:t xml:space="preserve">3.1 </w:t>
      </w:r>
      <w:r w:rsidRPr="009D0D65">
        <w:rPr>
          <w:sz w:val="22"/>
        </w:rPr>
        <w:t>Podnájemní smlouva se uzavírá na dobu určitou</w:t>
      </w:r>
      <w:r w:rsidRPr="009D0D65">
        <w:rPr>
          <w:b/>
          <w:sz w:val="22"/>
        </w:rPr>
        <w:t xml:space="preserve">, počínaje dnem </w:t>
      </w:r>
      <w:r w:rsidRPr="009D0D65">
        <w:rPr>
          <w:b/>
          <w:iCs/>
          <w:sz w:val="22"/>
        </w:rPr>
        <w:t>1.</w:t>
      </w:r>
      <w:r>
        <w:rPr>
          <w:b/>
          <w:iCs/>
          <w:sz w:val="22"/>
        </w:rPr>
        <w:t xml:space="preserve"> </w:t>
      </w:r>
      <w:r w:rsidRPr="009D0D65">
        <w:rPr>
          <w:b/>
          <w:iCs/>
          <w:sz w:val="22"/>
        </w:rPr>
        <w:t>září 20</w:t>
      </w:r>
      <w:r>
        <w:rPr>
          <w:b/>
          <w:iCs/>
          <w:sz w:val="22"/>
        </w:rPr>
        <w:t>17</w:t>
      </w:r>
      <w:r w:rsidRPr="009D0D65">
        <w:rPr>
          <w:b/>
          <w:sz w:val="22"/>
        </w:rPr>
        <w:t xml:space="preserve"> a konče dnem </w:t>
      </w:r>
    </w:p>
    <w:p w:rsidR="00692075" w:rsidRDefault="00692075" w:rsidP="00692075">
      <w:pPr>
        <w:ind w:left="360" w:hanging="360"/>
        <w:jc w:val="both"/>
        <w:rPr>
          <w:i/>
          <w:iCs/>
          <w:sz w:val="22"/>
        </w:rPr>
      </w:pPr>
      <w:r>
        <w:rPr>
          <w:b/>
          <w:sz w:val="22"/>
        </w:rPr>
        <w:t xml:space="preserve">      </w:t>
      </w:r>
      <w:r w:rsidRPr="009D0D65">
        <w:rPr>
          <w:b/>
          <w:iCs/>
          <w:sz w:val="22"/>
        </w:rPr>
        <w:t>31.</w:t>
      </w:r>
      <w:r>
        <w:rPr>
          <w:b/>
          <w:iCs/>
          <w:sz w:val="22"/>
        </w:rPr>
        <w:t xml:space="preserve"> </w:t>
      </w:r>
      <w:r w:rsidRPr="009D0D65">
        <w:rPr>
          <w:b/>
          <w:iCs/>
          <w:sz w:val="22"/>
        </w:rPr>
        <w:t>srpna 20</w:t>
      </w:r>
      <w:r>
        <w:rPr>
          <w:b/>
          <w:iCs/>
          <w:sz w:val="22"/>
        </w:rPr>
        <w:t>18</w:t>
      </w:r>
      <w:r w:rsidRPr="009D0D65">
        <w:rPr>
          <w:b/>
          <w:iCs/>
          <w:sz w:val="22"/>
        </w:rPr>
        <w:t>.</w:t>
      </w:r>
    </w:p>
    <w:p w:rsidR="00692075" w:rsidRDefault="00692075" w:rsidP="00692075">
      <w:pPr>
        <w:rPr>
          <w:sz w:val="22"/>
        </w:rPr>
      </w:pPr>
    </w:p>
    <w:p w:rsidR="00692075" w:rsidRDefault="00692075" w:rsidP="00692075">
      <w:pPr>
        <w:ind w:left="360" w:hanging="360"/>
        <w:jc w:val="both"/>
        <w:rPr>
          <w:sz w:val="22"/>
        </w:rPr>
      </w:pPr>
      <w:r>
        <w:rPr>
          <w:sz w:val="22"/>
        </w:rPr>
        <w:t>3.2 ZŠ a MŠ může písemně vypovědět podnájem na dobu určitou před uplynutím sjednané doby, jestliže</w:t>
      </w:r>
    </w:p>
    <w:p w:rsidR="00692075" w:rsidRDefault="00692075" w:rsidP="00692075">
      <w:pPr>
        <w:ind w:firstLine="708"/>
        <w:rPr>
          <w:sz w:val="22"/>
        </w:rPr>
      </w:pPr>
      <w:r>
        <w:rPr>
          <w:sz w:val="22"/>
        </w:rPr>
        <w:t>- podnájemce užívá nebytový prostor v rozporu se smlouvou;</w:t>
      </w:r>
    </w:p>
    <w:p w:rsidR="00692075" w:rsidRDefault="00692075" w:rsidP="00692075">
      <w:pPr>
        <w:pStyle w:val="Zkladntextodsazen"/>
        <w:jc w:val="both"/>
      </w:pPr>
      <w:r>
        <w:t xml:space="preserve">- </w:t>
      </w:r>
      <w:proofErr w:type="gramStart"/>
      <w:r>
        <w:t>podnájemce  je</w:t>
      </w:r>
      <w:proofErr w:type="gramEnd"/>
      <w:r>
        <w:t xml:space="preserve">  o více než jeden měsíc v prodlení s placením nájemného nebo úhrady za služby, jejichž poskytování je spojeno s podnájmem;</w:t>
      </w:r>
    </w:p>
    <w:p w:rsidR="00692075" w:rsidRDefault="00692075" w:rsidP="00692075">
      <w:pPr>
        <w:pStyle w:val="Zkladntextodsazen2"/>
        <w:jc w:val="both"/>
      </w:pPr>
      <w:r>
        <w:t xml:space="preserve">- </w:t>
      </w:r>
      <w:proofErr w:type="gramStart"/>
      <w:r>
        <w:t>podnájemce  nebo</w:t>
      </w:r>
      <w:proofErr w:type="gramEnd"/>
      <w:r>
        <w:t xml:space="preserve">  osoby,  které  s  ním užívají předmět podnájmu, přes písemné upozornění hrubě porušují klid nebo pořádek;</w:t>
      </w:r>
    </w:p>
    <w:p w:rsidR="00692075" w:rsidRDefault="00692075" w:rsidP="00692075">
      <w:pPr>
        <w:jc w:val="both"/>
        <w:rPr>
          <w:sz w:val="22"/>
        </w:rPr>
      </w:pPr>
      <w:r>
        <w:rPr>
          <w:sz w:val="22"/>
        </w:rPr>
        <w:t xml:space="preserve">             - </w:t>
      </w:r>
      <w:proofErr w:type="gramStart"/>
      <w:r>
        <w:rPr>
          <w:sz w:val="22"/>
        </w:rPr>
        <w:t>podnájemce  přenechá</w:t>
      </w:r>
      <w:proofErr w:type="gramEnd"/>
      <w:r>
        <w:rPr>
          <w:sz w:val="22"/>
        </w:rPr>
        <w:t xml:space="preserve">  nebytový  prostor nebo jeho část do podnájmu bez souhlasu nájemce</w:t>
      </w:r>
    </w:p>
    <w:p w:rsidR="00692075" w:rsidRDefault="00692075" w:rsidP="00692075">
      <w:pPr>
        <w:jc w:val="both"/>
        <w:rPr>
          <w:sz w:val="22"/>
        </w:rPr>
      </w:pPr>
      <w:r>
        <w:rPr>
          <w:sz w:val="22"/>
        </w:rPr>
        <w:tab/>
        <w:t xml:space="preserve">- podnájemce neuzavře </w:t>
      </w:r>
      <w:proofErr w:type="gramStart"/>
      <w:r>
        <w:rPr>
          <w:sz w:val="22"/>
        </w:rPr>
        <w:t>smlouvu  o pojištění</w:t>
      </w:r>
      <w:proofErr w:type="gramEnd"/>
      <w:r>
        <w:rPr>
          <w:sz w:val="22"/>
        </w:rPr>
        <w:t xml:space="preserve"> odpovědnosti za škodu dle ustanovení v odd. VII. </w:t>
      </w:r>
    </w:p>
    <w:p w:rsidR="00692075" w:rsidRDefault="00692075" w:rsidP="00692075">
      <w:pPr>
        <w:ind w:left="708"/>
        <w:jc w:val="both"/>
        <w:rPr>
          <w:sz w:val="22"/>
        </w:rPr>
      </w:pPr>
      <w:r>
        <w:rPr>
          <w:sz w:val="22"/>
        </w:rPr>
        <w:t>- z dalších důvodů uvedených v </w:t>
      </w:r>
      <w:proofErr w:type="spellStart"/>
      <w:r>
        <w:rPr>
          <w:sz w:val="22"/>
        </w:rPr>
        <w:t>ust</w:t>
      </w:r>
      <w:proofErr w:type="spellEnd"/>
      <w:r>
        <w:rPr>
          <w:sz w:val="22"/>
        </w:rPr>
        <w:t>. § 9 odst. 2 zákona č. 116/1990 Sb. o nájmu a podnájmu nebytových prostor v platném znění</w:t>
      </w:r>
    </w:p>
    <w:p w:rsidR="00692075" w:rsidRDefault="00692075" w:rsidP="00692075">
      <w:pPr>
        <w:rPr>
          <w:sz w:val="22"/>
        </w:rPr>
      </w:pPr>
    </w:p>
    <w:p w:rsidR="00692075" w:rsidRDefault="00692075" w:rsidP="00692075">
      <w:pPr>
        <w:rPr>
          <w:sz w:val="22"/>
        </w:rPr>
      </w:pPr>
      <w:r>
        <w:rPr>
          <w:sz w:val="22"/>
        </w:rPr>
        <w:t>3.3 Podnájem sjednaný na dobu určitou skončí:</w:t>
      </w:r>
    </w:p>
    <w:p w:rsidR="00692075" w:rsidRDefault="00692075" w:rsidP="0069207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uplynutím doby, na kterou byl sjednán</w:t>
      </w:r>
    </w:p>
    <w:p w:rsidR="00692075" w:rsidRDefault="00692075" w:rsidP="0069207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dohodou smluvních stran</w:t>
      </w:r>
    </w:p>
    <w:p w:rsidR="00692075" w:rsidRDefault="00692075" w:rsidP="00692075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výpovědí dle odst. 3.2, s výpovědní </w:t>
      </w:r>
      <w:proofErr w:type="gramStart"/>
      <w:r>
        <w:rPr>
          <w:sz w:val="22"/>
        </w:rPr>
        <w:t>lhůtou  tři</w:t>
      </w:r>
      <w:proofErr w:type="gramEnd"/>
      <w:r>
        <w:rPr>
          <w:sz w:val="22"/>
        </w:rPr>
        <w:t xml:space="preserve"> měsíce</w:t>
      </w:r>
    </w:p>
    <w:p w:rsidR="00692075" w:rsidRDefault="00692075" w:rsidP="00692075">
      <w:pPr>
        <w:rPr>
          <w:sz w:val="22"/>
        </w:rPr>
      </w:pPr>
    </w:p>
    <w:p w:rsidR="00692075" w:rsidRDefault="00692075" w:rsidP="00692075">
      <w:pPr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3.4. </w:t>
      </w:r>
      <w:r>
        <w:rPr>
          <w:sz w:val="22"/>
          <w:szCs w:val="22"/>
        </w:rPr>
        <w:t xml:space="preserve">Výpověď musí být doručena druhé smluvní straně. Tříměsíční výpovědní lhůta počíná běžet prvním dnem měsíce následujícího po doručení </w:t>
      </w:r>
      <w:proofErr w:type="spellStart"/>
      <w:proofErr w:type="gramStart"/>
      <w:r>
        <w:rPr>
          <w:sz w:val="22"/>
          <w:szCs w:val="22"/>
        </w:rPr>
        <w:t>výpovědi.V</w:t>
      </w:r>
      <w:proofErr w:type="spellEnd"/>
      <w:r>
        <w:rPr>
          <w:sz w:val="22"/>
          <w:szCs w:val="22"/>
        </w:rPr>
        <w:t> pochybnostech</w:t>
      </w:r>
      <w:proofErr w:type="gramEnd"/>
      <w:r>
        <w:rPr>
          <w:sz w:val="22"/>
          <w:szCs w:val="22"/>
        </w:rPr>
        <w:t xml:space="preserve"> se má za to, že výpověď  byla doručena druhé straně pátého dne poté, co byla podána na poštu</w:t>
      </w:r>
    </w:p>
    <w:p w:rsidR="00692075" w:rsidRDefault="00692075" w:rsidP="00692075">
      <w:pPr>
        <w:rPr>
          <w:i/>
          <w:iCs/>
          <w:sz w:val="22"/>
        </w:rPr>
      </w:pPr>
    </w:p>
    <w:p w:rsidR="00692075" w:rsidRDefault="00692075" w:rsidP="00692075">
      <w:pPr>
        <w:rPr>
          <w:i/>
          <w:iCs/>
          <w:sz w:val="22"/>
        </w:rPr>
      </w:pPr>
    </w:p>
    <w:p w:rsidR="00692075" w:rsidRDefault="00692075" w:rsidP="00692075">
      <w:pPr>
        <w:rPr>
          <w:i/>
          <w:iCs/>
          <w:sz w:val="22"/>
        </w:rPr>
      </w:pPr>
      <w:r>
        <w:rPr>
          <w:b/>
          <w:bCs/>
          <w:sz w:val="22"/>
        </w:rPr>
        <w:t>IV.  Cena a úhrada ceny podnájmu</w:t>
      </w:r>
    </w:p>
    <w:p w:rsidR="00692075" w:rsidRDefault="00692075" w:rsidP="00692075">
      <w:pPr>
        <w:rPr>
          <w:b/>
          <w:bCs/>
          <w:sz w:val="22"/>
        </w:rPr>
      </w:pPr>
    </w:p>
    <w:p w:rsidR="00692075" w:rsidRDefault="00692075" w:rsidP="00692075">
      <w:pPr>
        <w:pStyle w:val="Zkladntext"/>
      </w:pPr>
      <w:proofErr w:type="gramStart"/>
      <w:r>
        <w:t>4.1  Cena</w:t>
      </w:r>
      <w:proofErr w:type="gramEnd"/>
      <w:r>
        <w:t xml:space="preserve"> podnájmu je sjednána dohodou a je tvořena těmito položkami:</w:t>
      </w:r>
    </w:p>
    <w:p w:rsidR="00692075" w:rsidRDefault="00692075" w:rsidP="00692075">
      <w:pPr>
        <w:pStyle w:val="Zkladntext"/>
      </w:pPr>
    </w:p>
    <w:p w:rsidR="00692075" w:rsidRDefault="00692075" w:rsidP="00692075">
      <w:pPr>
        <w:numPr>
          <w:ilvl w:val="0"/>
          <w:numId w:val="1"/>
        </w:numPr>
        <w:jc w:val="both"/>
        <w:rPr>
          <w:sz w:val="22"/>
        </w:rPr>
      </w:pPr>
      <w:r w:rsidRPr="003332D6">
        <w:rPr>
          <w:b/>
          <w:sz w:val="22"/>
        </w:rPr>
        <w:t xml:space="preserve">nájemné </w:t>
      </w:r>
      <w:r>
        <w:rPr>
          <w:sz w:val="22"/>
        </w:rPr>
        <w:t>ve výši: Kč 100/m</w:t>
      </w:r>
      <w:r>
        <w:rPr>
          <w:sz w:val="22"/>
          <w:vertAlign w:val="superscript"/>
        </w:rPr>
        <w:t>2</w:t>
      </w:r>
      <w:r>
        <w:rPr>
          <w:sz w:val="22"/>
        </w:rPr>
        <w:t>/měsíc x 53,44 m</w:t>
      </w:r>
      <w:r>
        <w:rPr>
          <w:sz w:val="22"/>
          <w:vertAlign w:val="superscript"/>
        </w:rPr>
        <w:t xml:space="preserve">2 </w:t>
      </w:r>
      <w:r w:rsidRPr="007B6994">
        <w:rPr>
          <w:sz w:val="22"/>
        </w:rPr>
        <w:t xml:space="preserve">= </w:t>
      </w:r>
      <w:r w:rsidRPr="003332D6">
        <w:rPr>
          <w:b/>
          <w:sz w:val="22"/>
        </w:rPr>
        <w:t xml:space="preserve">Kč </w:t>
      </w:r>
      <w:r>
        <w:rPr>
          <w:b/>
          <w:sz w:val="22"/>
        </w:rPr>
        <w:t>5.344</w:t>
      </w:r>
      <w:r w:rsidRPr="007B6994">
        <w:rPr>
          <w:i/>
          <w:iCs/>
          <w:sz w:val="22"/>
        </w:rPr>
        <w:t xml:space="preserve"> </w:t>
      </w:r>
      <w:r w:rsidRPr="007B6994">
        <w:rPr>
          <w:sz w:val="22"/>
        </w:rPr>
        <w:t xml:space="preserve"> </w:t>
      </w:r>
    </w:p>
    <w:p w:rsidR="00692075" w:rsidRDefault="00692075" w:rsidP="00692075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celkové nájemné za dobu podnájmu: </w:t>
      </w:r>
      <w:r w:rsidRPr="007B6994">
        <w:rPr>
          <w:sz w:val="22"/>
        </w:rPr>
        <w:t xml:space="preserve">Kč </w:t>
      </w:r>
      <w:r>
        <w:rPr>
          <w:sz w:val="22"/>
        </w:rPr>
        <w:t xml:space="preserve">64.128 </w:t>
      </w:r>
    </w:p>
    <w:p w:rsidR="00692075" w:rsidRDefault="00692075" w:rsidP="00692075">
      <w:pPr>
        <w:numPr>
          <w:ilvl w:val="0"/>
          <w:numId w:val="1"/>
        </w:numPr>
        <w:rPr>
          <w:sz w:val="22"/>
        </w:rPr>
      </w:pPr>
      <w:r w:rsidRPr="003332D6">
        <w:rPr>
          <w:b/>
          <w:sz w:val="22"/>
        </w:rPr>
        <w:t>služby</w:t>
      </w:r>
      <w:r>
        <w:rPr>
          <w:sz w:val="22"/>
        </w:rPr>
        <w:t xml:space="preserve"> spojené s předmětem pronájmu činí měsíčně </w:t>
      </w:r>
      <w:r>
        <w:rPr>
          <w:b/>
          <w:sz w:val="22"/>
        </w:rPr>
        <w:t>Kč 2.120</w:t>
      </w:r>
      <w:r>
        <w:rPr>
          <w:sz w:val="22"/>
        </w:rPr>
        <w:t xml:space="preserve"> a jsou tvořeny těmito paušálními platbami:    </w:t>
      </w:r>
    </w:p>
    <w:p w:rsidR="00692075" w:rsidRDefault="00692075" w:rsidP="00692075">
      <w:pPr>
        <w:rPr>
          <w:sz w:val="22"/>
        </w:rPr>
      </w:pPr>
    </w:p>
    <w:p w:rsidR="00692075" w:rsidRDefault="00692075" w:rsidP="00692075">
      <w:pPr>
        <w:ind w:left="708"/>
        <w:rPr>
          <w:sz w:val="22"/>
        </w:rPr>
      </w:pPr>
      <w:r>
        <w:rPr>
          <w:sz w:val="22"/>
        </w:rPr>
        <w:t xml:space="preserve">- teplo (3,69% z otápěné plochy)      </w:t>
      </w:r>
      <w:r>
        <w:rPr>
          <w:sz w:val="22"/>
        </w:rPr>
        <w:tab/>
        <w:t xml:space="preserve">          1.300 Kč</w:t>
      </w:r>
    </w:p>
    <w:p w:rsidR="00692075" w:rsidRDefault="00692075" w:rsidP="00692075">
      <w:pPr>
        <w:ind w:left="708"/>
        <w:rPr>
          <w:sz w:val="22"/>
        </w:rPr>
      </w:pPr>
      <w:r>
        <w:rPr>
          <w:sz w:val="22"/>
        </w:rPr>
        <w:t>- TUV podružný vodoměr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200 Kč</w:t>
      </w:r>
    </w:p>
    <w:p w:rsidR="00692075" w:rsidRDefault="00692075" w:rsidP="00692075">
      <w:pPr>
        <w:ind w:left="708"/>
        <w:rPr>
          <w:sz w:val="22"/>
        </w:rPr>
      </w:pPr>
      <w:r>
        <w:rPr>
          <w:sz w:val="22"/>
        </w:rPr>
        <w:t>- SV podružný vodoměr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100 Kč</w:t>
      </w:r>
    </w:p>
    <w:p w:rsidR="00692075" w:rsidRDefault="00692075" w:rsidP="00692075">
      <w:pPr>
        <w:ind w:left="708"/>
        <w:rPr>
          <w:sz w:val="22"/>
        </w:rPr>
      </w:pPr>
      <w:r>
        <w:rPr>
          <w:sz w:val="22"/>
        </w:rPr>
        <w:t>- elektrická energie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420 Kč</w:t>
      </w:r>
    </w:p>
    <w:p w:rsidR="00692075" w:rsidRDefault="00692075" w:rsidP="00692075">
      <w:pPr>
        <w:ind w:left="708"/>
        <w:rPr>
          <w:sz w:val="22"/>
          <w:u w:val="single"/>
        </w:rPr>
      </w:pPr>
      <w:r w:rsidRPr="003847BE">
        <w:rPr>
          <w:sz w:val="22"/>
          <w:u w:val="single"/>
        </w:rPr>
        <w:t>- komunální služby</w:t>
      </w:r>
      <w:r w:rsidRPr="003847BE">
        <w:rPr>
          <w:sz w:val="22"/>
          <w:u w:val="single"/>
        </w:rPr>
        <w:tab/>
      </w:r>
      <w:r w:rsidRPr="003847BE">
        <w:rPr>
          <w:sz w:val="22"/>
          <w:u w:val="single"/>
        </w:rPr>
        <w:tab/>
      </w:r>
      <w:r w:rsidRPr="003847BE">
        <w:rPr>
          <w:sz w:val="22"/>
          <w:u w:val="single"/>
        </w:rPr>
        <w:tab/>
      </w:r>
      <w:r w:rsidRPr="003847BE">
        <w:rPr>
          <w:sz w:val="22"/>
          <w:u w:val="single"/>
        </w:rPr>
        <w:tab/>
      </w:r>
      <w:r>
        <w:rPr>
          <w:sz w:val="22"/>
          <w:u w:val="single"/>
        </w:rPr>
        <w:t>100</w:t>
      </w:r>
      <w:r w:rsidRPr="003847BE">
        <w:rPr>
          <w:sz w:val="22"/>
          <w:u w:val="single"/>
        </w:rPr>
        <w:t xml:space="preserve"> </w:t>
      </w:r>
      <w:r>
        <w:rPr>
          <w:sz w:val="22"/>
          <w:u w:val="single"/>
        </w:rPr>
        <w:t>K</w:t>
      </w:r>
      <w:r w:rsidRPr="003847BE">
        <w:rPr>
          <w:sz w:val="22"/>
          <w:u w:val="single"/>
        </w:rPr>
        <w:t>č</w:t>
      </w:r>
    </w:p>
    <w:p w:rsidR="00692075" w:rsidRPr="003847BE" w:rsidRDefault="00692075" w:rsidP="00692075">
      <w:pPr>
        <w:ind w:left="708"/>
        <w:rPr>
          <w:sz w:val="22"/>
          <w:u w:val="single"/>
        </w:rPr>
      </w:pPr>
      <w:r>
        <w:rPr>
          <w:sz w:val="22"/>
          <w:u w:val="single"/>
        </w:rPr>
        <w:t>Celkem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 xml:space="preserve">          2.120 Kč</w:t>
      </w:r>
    </w:p>
    <w:p w:rsidR="00692075" w:rsidRDefault="00692075" w:rsidP="00692075">
      <w:pPr>
        <w:pStyle w:val="Zkladntextodsazen3"/>
      </w:pPr>
    </w:p>
    <w:p w:rsidR="00692075" w:rsidRDefault="00692075" w:rsidP="00692075">
      <w:pPr>
        <w:pStyle w:val="Zkladntextodsazen3"/>
      </w:pPr>
    </w:p>
    <w:p w:rsidR="00692075" w:rsidRDefault="00692075" w:rsidP="00692075">
      <w:pPr>
        <w:pStyle w:val="Zkladntextodsazen3"/>
        <w:ind w:hanging="4320"/>
      </w:pPr>
      <w:r>
        <w:t xml:space="preserve">Zálohové platby budou vyúčtovány na základě skutečné spotřeby po obdržení všech dokladů nutných </w:t>
      </w:r>
    </w:p>
    <w:p w:rsidR="00692075" w:rsidRDefault="00692075" w:rsidP="00692075">
      <w:pPr>
        <w:pStyle w:val="Zkladntextodsazen3"/>
        <w:ind w:hanging="4320"/>
      </w:pPr>
      <w:r>
        <w:t>k vyúčtování.</w:t>
      </w:r>
    </w:p>
    <w:p w:rsidR="00692075" w:rsidRDefault="00692075" w:rsidP="00692075">
      <w:pPr>
        <w:rPr>
          <w:sz w:val="22"/>
        </w:rPr>
      </w:pPr>
    </w:p>
    <w:p w:rsidR="00692075" w:rsidRDefault="00692075" w:rsidP="00692075">
      <w:pPr>
        <w:rPr>
          <w:sz w:val="22"/>
        </w:rPr>
      </w:pPr>
      <w:proofErr w:type="gramStart"/>
      <w:r>
        <w:rPr>
          <w:sz w:val="22"/>
        </w:rPr>
        <w:t>4.2  Způsob</w:t>
      </w:r>
      <w:proofErr w:type="gramEnd"/>
      <w:r>
        <w:rPr>
          <w:sz w:val="22"/>
        </w:rPr>
        <w:t xml:space="preserve"> úhrady ceny podnájmu:</w:t>
      </w:r>
    </w:p>
    <w:p w:rsidR="00692075" w:rsidRDefault="00692075" w:rsidP="00692075">
      <w:pPr>
        <w:rPr>
          <w:i/>
          <w:iCs/>
          <w:sz w:val="22"/>
        </w:rPr>
      </w:pPr>
      <w:r>
        <w:rPr>
          <w:sz w:val="22"/>
        </w:rPr>
        <w:t xml:space="preserve">    </w:t>
      </w:r>
    </w:p>
    <w:p w:rsidR="00692075" w:rsidRPr="00B66ADE" w:rsidRDefault="00692075" w:rsidP="00692075">
      <w:pPr>
        <w:numPr>
          <w:ilvl w:val="0"/>
          <w:numId w:val="1"/>
        </w:numPr>
        <w:rPr>
          <w:b/>
          <w:iCs/>
          <w:sz w:val="22"/>
        </w:rPr>
      </w:pPr>
      <w:r w:rsidRPr="00B66ADE">
        <w:rPr>
          <w:b/>
          <w:iCs/>
          <w:sz w:val="22"/>
        </w:rPr>
        <w:t xml:space="preserve">měsíčně v částce </w:t>
      </w:r>
      <w:proofErr w:type="gramStart"/>
      <w:r w:rsidRPr="00B66ADE">
        <w:rPr>
          <w:b/>
          <w:iCs/>
          <w:sz w:val="22"/>
        </w:rPr>
        <w:t>Kč</w:t>
      </w:r>
      <w:r>
        <w:rPr>
          <w:b/>
          <w:iCs/>
          <w:sz w:val="22"/>
        </w:rPr>
        <w:t xml:space="preserve">  7.464</w:t>
      </w:r>
      <w:proofErr w:type="gramEnd"/>
      <w:r w:rsidRPr="00B66ADE">
        <w:rPr>
          <w:b/>
          <w:iCs/>
          <w:sz w:val="22"/>
        </w:rPr>
        <w:t>, a to do 25. předchozího měsíce</w:t>
      </w:r>
    </w:p>
    <w:p w:rsidR="00692075" w:rsidRDefault="00692075" w:rsidP="00692075">
      <w:pPr>
        <w:rPr>
          <w:i/>
          <w:iCs/>
          <w:sz w:val="20"/>
        </w:rPr>
      </w:pPr>
    </w:p>
    <w:p w:rsidR="00692075" w:rsidRDefault="00692075" w:rsidP="00692075">
      <w:pPr>
        <w:rPr>
          <w:i/>
          <w:iCs/>
          <w:sz w:val="22"/>
        </w:rPr>
      </w:pPr>
    </w:p>
    <w:p w:rsidR="00692075" w:rsidRDefault="00692075" w:rsidP="00692075">
      <w:pPr>
        <w:pStyle w:val="Zkladntext"/>
      </w:pPr>
      <w:r>
        <w:t>4.3 Úhrada bude provedena:</w:t>
      </w:r>
    </w:p>
    <w:p w:rsidR="00692075" w:rsidRDefault="00692075" w:rsidP="00692075">
      <w:pPr>
        <w:ind w:left="705"/>
        <w:rPr>
          <w:sz w:val="22"/>
        </w:rPr>
      </w:pPr>
      <w:r>
        <w:rPr>
          <w:sz w:val="22"/>
        </w:rPr>
        <w:t xml:space="preserve">a)   na </w:t>
      </w:r>
      <w:r w:rsidRPr="00B66ADE">
        <w:rPr>
          <w:sz w:val="22"/>
        </w:rPr>
        <w:t>účet ZŠ a MŠ</w:t>
      </w:r>
      <w:r>
        <w:rPr>
          <w:sz w:val="22"/>
        </w:rPr>
        <w:t xml:space="preserve"> (viz. </w:t>
      </w:r>
      <w:proofErr w:type="gramStart"/>
      <w:r>
        <w:rPr>
          <w:sz w:val="22"/>
        </w:rPr>
        <w:t>odd</w:t>
      </w:r>
      <w:proofErr w:type="gramEnd"/>
      <w:r>
        <w:rPr>
          <w:sz w:val="22"/>
        </w:rPr>
        <w:t>. I.), variabilní symbol = číslo smlouvy</w:t>
      </w:r>
    </w:p>
    <w:p w:rsidR="00692075" w:rsidRDefault="00692075" w:rsidP="00692075">
      <w:pPr>
        <w:numPr>
          <w:ilvl w:val="0"/>
          <w:numId w:val="6"/>
        </w:numPr>
        <w:rPr>
          <w:sz w:val="22"/>
        </w:rPr>
      </w:pPr>
      <w:r>
        <w:rPr>
          <w:sz w:val="22"/>
        </w:rPr>
        <w:t>v hotovosti do pokladny základní školy</w:t>
      </w:r>
    </w:p>
    <w:p w:rsidR="00692075" w:rsidRDefault="00692075" w:rsidP="00692075">
      <w:pPr>
        <w:rPr>
          <w:sz w:val="22"/>
        </w:rPr>
      </w:pPr>
    </w:p>
    <w:p w:rsidR="00692075" w:rsidRDefault="00692075" w:rsidP="0069207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4.4 Nezaplatí-li podnájemce v příslušném termínu splatnosti nájemné a úhrady za služby, jejichž poskytování je s užíváním nebytových prostor spojeno, zavazuje se smluvní pokutu ve výši 0,05% z dlužného nájemného za každý den prodlení.</w:t>
      </w:r>
    </w:p>
    <w:p w:rsidR="00692075" w:rsidRDefault="00692075" w:rsidP="00692075">
      <w:pPr>
        <w:rPr>
          <w:i/>
          <w:color w:val="008000"/>
          <w:sz w:val="22"/>
        </w:rPr>
      </w:pPr>
    </w:p>
    <w:p w:rsidR="00692075" w:rsidRDefault="00692075" w:rsidP="00692075">
      <w:pPr>
        <w:rPr>
          <w:sz w:val="22"/>
        </w:rPr>
      </w:pPr>
    </w:p>
    <w:p w:rsidR="00692075" w:rsidRDefault="00692075" w:rsidP="00692075">
      <w:pPr>
        <w:ind w:left="705"/>
        <w:rPr>
          <w:sz w:val="22"/>
        </w:rPr>
      </w:pPr>
      <w:r>
        <w:rPr>
          <w:sz w:val="22"/>
        </w:rPr>
        <w:t xml:space="preserve"> </w:t>
      </w:r>
    </w:p>
    <w:p w:rsidR="00692075" w:rsidRDefault="00692075" w:rsidP="00692075">
      <w:pPr>
        <w:rPr>
          <w:i/>
          <w:iCs/>
          <w:sz w:val="22"/>
        </w:rPr>
      </w:pPr>
    </w:p>
    <w:p w:rsidR="00692075" w:rsidRDefault="00692075" w:rsidP="00692075">
      <w:pPr>
        <w:rPr>
          <w:b/>
          <w:bCs/>
          <w:sz w:val="22"/>
        </w:rPr>
      </w:pPr>
      <w:proofErr w:type="gramStart"/>
      <w:r>
        <w:rPr>
          <w:b/>
          <w:bCs/>
          <w:sz w:val="22"/>
        </w:rPr>
        <w:t>V.  Údržba</w:t>
      </w:r>
      <w:proofErr w:type="gramEnd"/>
      <w:r>
        <w:rPr>
          <w:b/>
          <w:bCs/>
          <w:sz w:val="22"/>
        </w:rPr>
        <w:t xml:space="preserve"> a úklid</w:t>
      </w:r>
    </w:p>
    <w:p w:rsidR="00692075" w:rsidRDefault="00692075" w:rsidP="00692075">
      <w:pPr>
        <w:rPr>
          <w:b/>
          <w:bCs/>
          <w:sz w:val="22"/>
        </w:rPr>
      </w:pPr>
    </w:p>
    <w:p w:rsidR="00692075" w:rsidRDefault="00692075" w:rsidP="00692075">
      <w:pPr>
        <w:pStyle w:val="Zkladntextodsazen"/>
        <w:numPr>
          <w:ilvl w:val="1"/>
          <w:numId w:val="5"/>
        </w:numPr>
        <w:spacing w:after="120"/>
        <w:jc w:val="both"/>
        <w:rPr>
          <w:szCs w:val="22"/>
        </w:rPr>
      </w:pPr>
      <w:r>
        <w:rPr>
          <w:szCs w:val="22"/>
        </w:rPr>
        <w:t>Podnájemce se zavazuje hradit náklady spojené s obvyklým udržováním nebytových prostor. Pod obvyklým udržováním dohodou ZŠ</w:t>
      </w:r>
      <w:r>
        <w:t xml:space="preserve"> a MŠ</w:t>
      </w:r>
      <w:r>
        <w:rPr>
          <w:szCs w:val="22"/>
        </w:rPr>
        <w:t xml:space="preserve"> a podnájemce se rozumí rozsah oprav obdobný rozsahu drobných oprav a nákladů spojených s běžnou údržbou uvedených v Nařízení vlády číslo 258/1995 Sb.</w:t>
      </w:r>
    </w:p>
    <w:p w:rsidR="00692075" w:rsidRDefault="00692075" w:rsidP="00692075">
      <w:pPr>
        <w:pStyle w:val="Zkladntextodsazen"/>
        <w:numPr>
          <w:ilvl w:val="1"/>
          <w:numId w:val="5"/>
        </w:numPr>
        <w:spacing w:after="120"/>
        <w:jc w:val="both"/>
        <w:rPr>
          <w:szCs w:val="22"/>
        </w:rPr>
      </w:pPr>
      <w:r>
        <w:rPr>
          <w:szCs w:val="22"/>
        </w:rPr>
        <w:t>Podnájemce se zavazuje odstranit závady a poškození, které v nebytových prostorách a v příslušenství i v objektu způsobil. Nestane-li se tak, má ZŠ</w:t>
      </w:r>
      <w:r>
        <w:t xml:space="preserve"> a MŠ</w:t>
      </w:r>
      <w:r>
        <w:rPr>
          <w:szCs w:val="22"/>
        </w:rPr>
        <w:t xml:space="preserve"> právo, po předchozím upozornění podnájemce na závady a poškození, tyto odstranit a požadovat od podnájemce náhradu, kterou se </w:t>
      </w:r>
      <w:r w:rsidRPr="007B6994">
        <w:rPr>
          <w:szCs w:val="22"/>
        </w:rPr>
        <w:t>pod</w:t>
      </w:r>
      <w:r>
        <w:rPr>
          <w:szCs w:val="22"/>
        </w:rPr>
        <w:t>nájemce zavazuje uhradit do I5 dnů od doručení.</w:t>
      </w:r>
    </w:p>
    <w:p w:rsidR="00692075" w:rsidRDefault="00692075" w:rsidP="00692075">
      <w:pPr>
        <w:pStyle w:val="Zkladntextodsazen"/>
        <w:numPr>
          <w:ilvl w:val="1"/>
          <w:numId w:val="5"/>
        </w:numPr>
        <w:spacing w:after="120"/>
        <w:jc w:val="both"/>
        <w:rPr>
          <w:szCs w:val="22"/>
        </w:rPr>
      </w:pPr>
      <w:r>
        <w:rPr>
          <w:szCs w:val="22"/>
        </w:rPr>
        <w:t xml:space="preserve">Podnájemce nesmí provádět stavební úpravy ani jiné podstatné změny v předmětu podnájmu bez souhlasu ZŠ a </w:t>
      </w:r>
      <w:r>
        <w:t>MŠ</w:t>
      </w:r>
      <w:r>
        <w:rPr>
          <w:szCs w:val="22"/>
        </w:rPr>
        <w:t>, a to ani na svůj náklad.</w:t>
      </w:r>
    </w:p>
    <w:p w:rsidR="00692075" w:rsidRDefault="00692075" w:rsidP="00692075">
      <w:pPr>
        <w:pStyle w:val="Zkladntextodsazen"/>
        <w:numPr>
          <w:ilvl w:val="1"/>
          <w:numId w:val="5"/>
        </w:numPr>
        <w:spacing w:after="120"/>
        <w:jc w:val="both"/>
        <w:rPr>
          <w:szCs w:val="22"/>
        </w:rPr>
      </w:pPr>
      <w:r>
        <w:rPr>
          <w:szCs w:val="22"/>
        </w:rPr>
        <w:t xml:space="preserve">ZŠ a </w:t>
      </w:r>
      <w:r>
        <w:t>MŠ</w:t>
      </w:r>
      <w:r>
        <w:rPr>
          <w:szCs w:val="22"/>
        </w:rPr>
        <w:t xml:space="preserve">, nájemce nebo vlastník je oprávněn provádět stavební úpravy předmětu podnájmu a jiné podstatné změny předmětu podnájmu po projednání s </w:t>
      </w:r>
      <w:proofErr w:type="spellStart"/>
      <w:proofErr w:type="gramStart"/>
      <w:r>
        <w:rPr>
          <w:szCs w:val="22"/>
        </w:rPr>
        <w:t>podnájemcem.Provádí</w:t>
      </w:r>
      <w:proofErr w:type="gramEnd"/>
      <w:r>
        <w:rPr>
          <w:szCs w:val="22"/>
        </w:rPr>
        <w:t>-li</w:t>
      </w:r>
      <w:proofErr w:type="spellEnd"/>
      <w:r>
        <w:rPr>
          <w:szCs w:val="22"/>
        </w:rPr>
        <w:t xml:space="preserve"> nájemce nebo vlastník takové úpravy na příkaz příslušného orgánu státní správy, je podnájemce povinen jejich provedení umožnit, jinak odpovídá za škodu, která nesplněním této povinnosti vznikla.</w:t>
      </w:r>
    </w:p>
    <w:p w:rsidR="00692075" w:rsidRDefault="00692075" w:rsidP="00692075">
      <w:pPr>
        <w:numPr>
          <w:ilvl w:val="1"/>
          <w:numId w:val="5"/>
        </w:numPr>
        <w:jc w:val="both"/>
        <w:rPr>
          <w:sz w:val="22"/>
        </w:rPr>
      </w:pPr>
      <w:r>
        <w:rPr>
          <w:sz w:val="22"/>
        </w:rPr>
        <w:t>Provede-li podnájemce technické zhodnocení předmětu podnájmu (za podmínek souhlasu nájemce), jeho vynaložené náklady ani zhodnocení předmětu podnájmu mu nebudou ze strany nájemce při skončení podnájmu uhrazeny.</w:t>
      </w:r>
    </w:p>
    <w:p w:rsidR="00692075" w:rsidRDefault="00692075" w:rsidP="00692075">
      <w:pPr>
        <w:numPr>
          <w:ilvl w:val="1"/>
          <w:numId w:val="5"/>
        </w:numPr>
        <w:rPr>
          <w:sz w:val="22"/>
        </w:rPr>
      </w:pPr>
      <w:r>
        <w:rPr>
          <w:sz w:val="22"/>
        </w:rPr>
        <w:t>Podnájemce je povinen provádět úklid předmětu podnájmu.</w:t>
      </w:r>
    </w:p>
    <w:p w:rsidR="00692075" w:rsidRDefault="00692075" w:rsidP="00692075">
      <w:pPr>
        <w:rPr>
          <w:sz w:val="22"/>
        </w:rPr>
      </w:pPr>
    </w:p>
    <w:p w:rsidR="00692075" w:rsidRDefault="00692075" w:rsidP="00692075">
      <w:pPr>
        <w:pStyle w:val="Zkladntext"/>
      </w:pPr>
    </w:p>
    <w:p w:rsidR="00692075" w:rsidRDefault="00692075" w:rsidP="00692075">
      <w:pPr>
        <w:pStyle w:val="Zkladntext"/>
        <w:rPr>
          <w:b/>
          <w:bCs/>
        </w:rPr>
      </w:pPr>
      <w:r>
        <w:rPr>
          <w:b/>
          <w:bCs/>
        </w:rPr>
        <w:t>VI.  Ostatní ustanovení</w:t>
      </w:r>
    </w:p>
    <w:p w:rsidR="00692075" w:rsidRDefault="00692075" w:rsidP="00692075">
      <w:pPr>
        <w:pStyle w:val="Zkladntext"/>
        <w:rPr>
          <w:b/>
          <w:bCs/>
        </w:rPr>
      </w:pPr>
    </w:p>
    <w:p w:rsidR="00692075" w:rsidRDefault="00692075" w:rsidP="00692075">
      <w:pPr>
        <w:spacing w:after="120"/>
        <w:ind w:left="390" w:hanging="390"/>
        <w:jc w:val="both"/>
        <w:rPr>
          <w:sz w:val="22"/>
        </w:rPr>
      </w:pPr>
      <w:r>
        <w:t>6.1</w:t>
      </w:r>
      <w:r>
        <w:tab/>
      </w:r>
      <w:r>
        <w:rPr>
          <w:sz w:val="22"/>
        </w:rPr>
        <w:t>Podnájemce není oprávněn bez souhlasu ZŠ a MŠ přenechat nebytové prostory někomu jinému, ani je užívat k jiným účelům, než je stanoveno v této smlouvě.</w:t>
      </w:r>
    </w:p>
    <w:p w:rsidR="00692075" w:rsidRDefault="00692075" w:rsidP="00692075">
      <w:pPr>
        <w:numPr>
          <w:ilvl w:val="1"/>
          <w:numId w:val="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ZŠ a </w:t>
      </w:r>
      <w:r>
        <w:rPr>
          <w:sz w:val="22"/>
        </w:rPr>
        <w:t>MŠ</w:t>
      </w:r>
      <w:r>
        <w:rPr>
          <w:sz w:val="22"/>
          <w:szCs w:val="22"/>
        </w:rPr>
        <w:t xml:space="preserve"> neodpovídá za škody vzniklé na majetku podnájemce činností podnájemce nebo jím pověřené osoby a za věci vnesené a odložené podnájemcem v užívaných prostorách, které tvoří předmět podnájmu.</w:t>
      </w:r>
    </w:p>
    <w:p w:rsidR="00692075" w:rsidRDefault="00692075" w:rsidP="00692075">
      <w:pPr>
        <w:numPr>
          <w:ilvl w:val="1"/>
          <w:numId w:val="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Podnájemce se zavazuje dodržovat předpisy BOZP, hygienické a předpisy požární ochrany a respektovat ustanovení, která stanoví režim ve škole. </w:t>
      </w:r>
    </w:p>
    <w:p w:rsidR="00692075" w:rsidRDefault="00692075" w:rsidP="00692075">
      <w:pPr>
        <w:numPr>
          <w:ilvl w:val="1"/>
          <w:numId w:val="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Podnájemce umožní přístup zástupci ZŠ a </w:t>
      </w:r>
      <w:r>
        <w:rPr>
          <w:sz w:val="22"/>
        </w:rPr>
        <w:t>MŠ</w:t>
      </w:r>
      <w:r>
        <w:rPr>
          <w:color w:val="008000"/>
          <w:sz w:val="22"/>
          <w:szCs w:val="22"/>
        </w:rPr>
        <w:t xml:space="preserve"> </w:t>
      </w:r>
      <w:r>
        <w:rPr>
          <w:sz w:val="22"/>
          <w:szCs w:val="22"/>
        </w:rPr>
        <w:t>na jeho požádání do pronajatých prostor za účelem kontroly dodržování podmínek této smlouvy a dalším pracovníkům nájemce provádějících činnosti, za jejichž výkon odpovídá nájemce.</w:t>
      </w:r>
    </w:p>
    <w:p w:rsidR="00692075" w:rsidRDefault="00692075" w:rsidP="00692075">
      <w:pPr>
        <w:pStyle w:val="Zkladntext"/>
      </w:pPr>
    </w:p>
    <w:p w:rsidR="00692075" w:rsidRDefault="00692075" w:rsidP="00692075">
      <w:pPr>
        <w:rPr>
          <w:b/>
          <w:bCs/>
          <w:sz w:val="22"/>
        </w:rPr>
      </w:pPr>
      <w:r>
        <w:rPr>
          <w:b/>
          <w:bCs/>
          <w:sz w:val="22"/>
        </w:rPr>
        <w:t>VII. Závěrečná ustanovení</w:t>
      </w:r>
    </w:p>
    <w:p w:rsidR="00692075" w:rsidRDefault="00692075" w:rsidP="00692075">
      <w:pPr>
        <w:rPr>
          <w:b/>
          <w:bCs/>
          <w:sz w:val="22"/>
        </w:rPr>
      </w:pPr>
    </w:p>
    <w:p w:rsidR="00692075" w:rsidRDefault="00692075" w:rsidP="00692075">
      <w:pPr>
        <w:pStyle w:val="Zkladntext"/>
        <w:numPr>
          <w:ilvl w:val="1"/>
          <w:numId w:val="3"/>
        </w:numPr>
        <w:jc w:val="both"/>
      </w:pPr>
      <w:r>
        <w:t>Pokud tato smlouva nestanoví jinak, řídí se práva a povinnosti nájemce a podnájemce zákonem č. 116/1990 Sb., zákon o nájmu a podnájmu nebytových prostor, v platném znění, a související právními předpisy, zejm. občanským zákoníkem.</w:t>
      </w:r>
    </w:p>
    <w:p w:rsidR="00692075" w:rsidRDefault="00692075" w:rsidP="00692075">
      <w:pPr>
        <w:pStyle w:val="Zkladntext"/>
        <w:numPr>
          <w:ilvl w:val="1"/>
          <w:numId w:val="3"/>
        </w:numPr>
        <w:jc w:val="both"/>
      </w:pPr>
      <w:r>
        <w:t>Obě smluvní strany potvrzují autentičnost této podnájemní smlouvy svým podpisem. Zároveň smluvní strany prohlašují, že si tuto smlouvu přečetly, že tato nebyla ujednána v tísni ani za jinak jednostranně nevýhodných podmínek.</w:t>
      </w:r>
    </w:p>
    <w:p w:rsidR="00692075" w:rsidRDefault="00692075" w:rsidP="00692075">
      <w:pPr>
        <w:pStyle w:val="Zkladntext"/>
        <w:numPr>
          <w:ilvl w:val="1"/>
          <w:numId w:val="3"/>
        </w:numPr>
      </w:pPr>
      <w:r>
        <w:t>Smlouva je vyhotovena ve dvou stejnopisech, z nichž jeden si ponechá nájemce a jeden obdrží podnájemce.</w:t>
      </w:r>
    </w:p>
    <w:p w:rsidR="00692075" w:rsidRDefault="00692075" w:rsidP="00692075">
      <w:pPr>
        <w:rPr>
          <w:b/>
          <w:bCs/>
          <w:sz w:val="22"/>
        </w:rPr>
      </w:pPr>
    </w:p>
    <w:p w:rsidR="00692075" w:rsidRDefault="00692075" w:rsidP="00692075">
      <w:pPr>
        <w:rPr>
          <w:b/>
          <w:bCs/>
          <w:sz w:val="22"/>
        </w:rPr>
      </w:pPr>
    </w:p>
    <w:p w:rsidR="00692075" w:rsidRDefault="00692075" w:rsidP="00692075">
      <w:pPr>
        <w:pStyle w:val="Zkladntext"/>
      </w:pPr>
      <w:r>
        <w:t>V Praze dne 31. 8. 2017.</w:t>
      </w:r>
    </w:p>
    <w:p w:rsidR="00692075" w:rsidRDefault="00692075" w:rsidP="00692075">
      <w:pPr>
        <w:rPr>
          <w:sz w:val="22"/>
        </w:rPr>
      </w:pPr>
    </w:p>
    <w:p w:rsidR="00692075" w:rsidRDefault="00692075" w:rsidP="00692075">
      <w:pPr>
        <w:rPr>
          <w:sz w:val="22"/>
        </w:rPr>
      </w:pPr>
    </w:p>
    <w:p w:rsidR="00692075" w:rsidRDefault="00692075" w:rsidP="00692075">
      <w:pPr>
        <w:rPr>
          <w:sz w:val="22"/>
        </w:rPr>
      </w:pPr>
    </w:p>
    <w:p w:rsidR="00692075" w:rsidRDefault="00692075" w:rsidP="00692075">
      <w:pPr>
        <w:rPr>
          <w:sz w:val="22"/>
        </w:rPr>
      </w:pPr>
      <w:r w:rsidRPr="00B66ADE">
        <w:rPr>
          <w:iCs/>
          <w:sz w:val="22"/>
        </w:rPr>
        <w:t>RNDr. Jan Hovorka</w:t>
      </w:r>
      <w:r w:rsidRPr="00B66ADE">
        <w:rPr>
          <w:b/>
          <w:i/>
          <w:iCs/>
          <w:sz w:val="22"/>
        </w:rPr>
        <w:t>,</w:t>
      </w:r>
      <w:r>
        <w:rPr>
          <w:i/>
          <w:iCs/>
          <w:sz w:val="22"/>
        </w:rPr>
        <w:t xml:space="preserve"> </w:t>
      </w:r>
      <w:r>
        <w:rPr>
          <w:sz w:val="22"/>
        </w:rPr>
        <w:t>ředitel školy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Renata Prokopová</w:t>
      </w:r>
    </w:p>
    <w:p w:rsidR="00692075" w:rsidRDefault="00692075" w:rsidP="00692075">
      <w:pPr>
        <w:rPr>
          <w:sz w:val="22"/>
        </w:rPr>
      </w:pPr>
      <w:r>
        <w:rPr>
          <w:sz w:val="22"/>
        </w:rPr>
        <w:t xml:space="preserve">          ZŠ a MŠ Chodov</w:t>
      </w:r>
      <w:r w:rsidRPr="00B66ADE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podnájemce</w:t>
      </w:r>
    </w:p>
    <w:p w:rsidR="00692075" w:rsidRDefault="00692075" w:rsidP="00692075">
      <w:pPr>
        <w:rPr>
          <w:sz w:val="22"/>
        </w:rPr>
      </w:pPr>
      <w:r>
        <w:rPr>
          <w:sz w:val="22"/>
        </w:rPr>
        <w:lastRenderedPageBreak/>
        <w:tab/>
      </w:r>
      <w:r>
        <w:rPr>
          <w:sz w:val="22"/>
        </w:rPr>
        <w:tab/>
      </w:r>
      <w:bookmarkStart w:id="0" w:name="_GoBack"/>
      <w:bookmarkEnd w:id="0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692075" w:rsidRDefault="00692075" w:rsidP="00692075">
      <w:pPr>
        <w:rPr>
          <w:sz w:val="22"/>
        </w:rPr>
      </w:pPr>
    </w:p>
    <w:p w:rsidR="00692075" w:rsidRDefault="00692075" w:rsidP="00692075">
      <w:pPr>
        <w:rPr>
          <w:sz w:val="22"/>
        </w:rPr>
      </w:pPr>
    </w:p>
    <w:p w:rsidR="00692075" w:rsidRDefault="00692075" w:rsidP="00692075">
      <w:pPr>
        <w:rPr>
          <w:sz w:val="22"/>
        </w:rPr>
      </w:pPr>
    </w:p>
    <w:p w:rsidR="00692075" w:rsidRDefault="00692075" w:rsidP="00692075">
      <w:pPr>
        <w:rPr>
          <w:sz w:val="22"/>
        </w:rPr>
      </w:pPr>
    </w:p>
    <w:p w:rsidR="00692075" w:rsidRDefault="00692075" w:rsidP="00692075">
      <w:pPr>
        <w:rPr>
          <w:sz w:val="22"/>
        </w:rPr>
      </w:pPr>
    </w:p>
    <w:p w:rsidR="00692075" w:rsidRDefault="00692075" w:rsidP="00692075">
      <w:pPr>
        <w:rPr>
          <w:sz w:val="22"/>
        </w:rPr>
      </w:pPr>
    </w:p>
    <w:p w:rsidR="00305F20" w:rsidRDefault="00305F20" w:rsidP="00692075"/>
    <w:sectPr w:rsidR="00305F20" w:rsidSect="00692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30674"/>
    <w:multiLevelType w:val="multilevel"/>
    <w:tmpl w:val="5E06865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F477246"/>
    <w:multiLevelType w:val="multilevel"/>
    <w:tmpl w:val="6BD8AA0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4253323D"/>
    <w:multiLevelType w:val="multilevel"/>
    <w:tmpl w:val="1D5CCF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BE260A1"/>
    <w:multiLevelType w:val="multilevel"/>
    <w:tmpl w:val="8F1490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4CDF5A8E"/>
    <w:multiLevelType w:val="hybridMultilevel"/>
    <w:tmpl w:val="2D520B2A"/>
    <w:lvl w:ilvl="0" w:tplc="865A8950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CF341EB"/>
    <w:multiLevelType w:val="hybridMultilevel"/>
    <w:tmpl w:val="5AFCF47E"/>
    <w:lvl w:ilvl="0" w:tplc="45288B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D4"/>
    <w:rsid w:val="001E0C3D"/>
    <w:rsid w:val="00305F20"/>
    <w:rsid w:val="003109D4"/>
    <w:rsid w:val="0069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92075"/>
    <w:pPr>
      <w:keepNext/>
      <w:jc w:val="center"/>
      <w:outlineLvl w:val="2"/>
    </w:pPr>
    <w:rPr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92075"/>
    <w:rPr>
      <w:rFonts w:ascii="Times New Roman" w:eastAsia="Times New Roman" w:hAnsi="Times New Roman" w:cs="Times New Roman"/>
      <w:b/>
      <w:bCs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692075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692075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92075"/>
    <w:pPr>
      <w:ind w:left="900" w:hanging="192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692075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692075"/>
    <w:pPr>
      <w:ind w:left="900" w:hanging="180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692075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692075"/>
    <w:pPr>
      <w:ind w:left="4320" w:hanging="3612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692075"/>
    <w:rPr>
      <w:rFonts w:ascii="Times New Roman" w:eastAsia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92075"/>
    <w:pPr>
      <w:keepNext/>
      <w:jc w:val="center"/>
      <w:outlineLvl w:val="2"/>
    </w:pPr>
    <w:rPr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92075"/>
    <w:rPr>
      <w:rFonts w:ascii="Times New Roman" w:eastAsia="Times New Roman" w:hAnsi="Times New Roman" w:cs="Times New Roman"/>
      <w:b/>
      <w:bCs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692075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692075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92075"/>
    <w:pPr>
      <w:ind w:left="900" w:hanging="192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692075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692075"/>
    <w:pPr>
      <w:ind w:left="900" w:hanging="180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692075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692075"/>
    <w:pPr>
      <w:ind w:left="4320" w:hanging="3612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692075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1019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</dc:creator>
  <cp:keywords/>
  <dc:description/>
  <cp:lastModifiedBy>hospodarka</cp:lastModifiedBy>
  <cp:revision>4</cp:revision>
  <cp:lastPrinted>2017-09-06T10:26:00Z</cp:lastPrinted>
  <dcterms:created xsi:type="dcterms:W3CDTF">2017-09-06T10:17:00Z</dcterms:created>
  <dcterms:modified xsi:type="dcterms:W3CDTF">2017-10-03T10:44:00Z</dcterms:modified>
</cp:coreProperties>
</file>