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č. smlouvy objednatele: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1155/2025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„Jez Doksany - sanace dlažby a doplnění schodiště v PB podjezí“ -</w:t>
        <w:br/>
        <w:t>projektová dokumentace (DPZ + DPS)</w:t>
      </w:r>
    </w:p>
    <w:p>
      <w:pPr>
        <w:widowControl w:val="0"/>
        <w:spacing w:line="1" w:lineRule="exact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8"/>
          <w:pgMar w:top="1315" w:left="1394" w:right="1384" w:bottom="3240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28600" distB="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228600</wp:posOffset>
                </wp:positionV>
                <wp:extent cx="2441575" cy="119189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1191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 k podpisu smlouvy a k jednání o věcech smluvních: oprávněn jednat o věcech technických: zástupce objednatele: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700000000000003pt;margin-top:18.pt;width:192.25pt;height:93.850000000000009pt;z-index:-125829375;mso-wrap-distance-left:0;mso-wrap-distance-top:18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 k podpisu smlouvy a k jednání o věcech smluvních: oprávněn jednat o věcech technických: zástupce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28600" distB="802005" distL="0" distR="0" simplePos="0" relativeHeight="125829380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228600</wp:posOffset>
                </wp:positionV>
                <wp:extent cx="2225040" cy="38989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82.10000000000002pt;margin-top:18.pt;width:175.20000000000002pt;height:30.699999999999999pt;z-index:-125829373;mso-wrap-distance-left:0;mso-wrap-distance-top:18.pt;mso-wrap-distance-right:0;mso-wrap-distance-bottom:63.1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102" w:after="10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5" w:left="0" w:right="0" w:bottom="142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417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7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5" w:left="1394" w:right="1384" w:bottom="1421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5400" distB="0" distL="0" distR="0" simplePos="0" relativeHeight="12582938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25400</wp:posOffset>
                </wp:positionV>
                <wp:extent cx="2566670" cy="263652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66670" cy="26365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6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(dále jen „objednatel“) zhotovitel: 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oprávněn(i) k podpisu smlouvy: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oprávněn(i) jednat o věcech smluvních: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oprávněn(i) jednat o věcech technických: 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účtu: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zápis v obchodním rejstříku: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(dále jen „zhotovitel“) společně (dále jen „smluvní strany“)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9.700000000000003pt;margin-top:2.pt;width:202.09999999999999pt;height:207.59999999999999pt;z-index:-125829371;mso-wrap-distance-left:0;mso-wrap-distance-top:2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(dále jen „objednatel“) zhotovitel: 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oprávněn(i) k podpisu smlouvy: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oprávněn(i) jednat o věcech smluvních: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oprávněn(i) jednat o věcech technických: 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zápis v obchodním rejstříku: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(dále jen „zhotovitel“) společně (dále jen „smluvní strany“)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42265" distB="1929765" distL="0" distR="0" simplePos="0" relativeHeight="125829384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342265</wp:posOffset>
                </wp:positionV>
                <wp:extent cx="1804670" cy="38989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0467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Živa Projekt s.r.o.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Brandýská 763, 250 90 Jirny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82.10000000000002pt;margin-top:26.949999999999999pt;width:142.09999999999999pt;height:30.699999999999999pt;z-index:-125829369;mso-wrap-distance-left:0;mso-wrap-distance-top:26.949999999999999pt;mso-wrap-distance-right:0;mso-wrap-distance-bottom:151.95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Živa Projekt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Brandýská 763, 250 90 Jirny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08735" distB="481330" distL="0" distR="0" simplePos="0" relativeHeight="125829386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1308735</wp:posOffset>
                </wp:positionV>
                <wp:extent cx="2898775" cy="87185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8775" cy="871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10721517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CZ10721517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 347249 vedená u Městského soudu v Praze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82.10000000000002pt;margin-top:103.05pt;width:228.25pt;height:68.650000000000006pt;z-index:-125829367;mso-wrap-distance-left:0;mso-wrap-distance-top:103.05pt;mso-wrap-distance-right:0;mso-wrap-distance-bottom:37.8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10721517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CZ10721517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 347249 vedená u Městského soudu v Praze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336" w:lineRule="auto"/>
        <w:ind w:left="0" w:right="0" w:firstLine="632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Dodatek č. 1 k SOD 1155/2025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dodatek je žádáno z důvodu časové prodlevy vyjádření dotčených orgánů státní správy, neboť nebylo do dnešního dne obdrženo kladné stanovisko k projektové dokumentaci.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III TERMÍNY PLNĚNÍ a Čl. V. PLATEBNÍ PODMÍNKY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3480"/>
        <w:jc w:val="both"/>
      </w:pPr>
      <w:bookmarkStart w:id="0" w:name="bookmark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TERMÍNY PLNĚNÍ Původní znění: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2" w:val="left"/>
        </w:tabs>
        <w:bidi w:val="0"/>
        <w:spacing w:before="0" w:after="0" w:line="360" w:lineRule="auto"/>
        <w:ind w:left="0" w:right="0" w:firstLine="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3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2" w:val="left"/>
        </w:tabs>
        <w:bidi w:val="0"/>
        <w:spacing w:before="0" w:after="0" w:line="360" w:lineRule="auto"/>
        <w:ind w:left="0" w:right="0" w:firstLine="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dílčí termín - předání a převzetí GZ a STP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31.12.2025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2" w:val="left"/>
        </w:tabs>
        <w:bidi w:val="0"/>
        <w:spacing w:before="0" w:after="80" w:line="240" w:lineRule="auto"/>
        <w:ind w:left="0" w:right="0" w:firstLine="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druhý dílčí termín – předání kompletní PD (2 x tištěné + elektronicky) po projednání na ZVV: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31.5.2026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(1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30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 Nové znění: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5" w:name="bookmark5"/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  <w:bookmarkEnd w:id="5"/>
      <w:bookmarkEnd w:id="6"/>
      <w:bookmarkEnd w:id="7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4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2" w:val="left"/>
        </w:tabs>
        <w:bidi w:val="0"/>
        <w:spacing w:before="0" w:after="0" w:line="360" w:lineRule="auto"/>
        <w:ind w:left="0" w:right="0" w:firstLine="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dílčí termín - předání a převzetí GZ a STP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36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31.12.2025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druhý dílčí termín – předání a převzetí PD technického řešení (elektronicky) po schválení na VV (pouze technické řešení bez rozpočtové a dokladové části)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31.5.2026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left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 třetí dílčí termín – předání kompletní PD (2x tištěné + elektronicky) po projednání na ZVV: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 dnů od obdržení JES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2" w:val="left"/>
        </w:tabs>
        <w:bidi w:val="0"/>
        <w:spacing w:before="0" w:after="0" w:line="240" w:lineRule="auto"/>
        <w:ind w:left="0" w:right="0" w:firstLine="0"/>
        <w:jc w:val="left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(1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300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32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 PLATEBNÍ PODMÍNKY 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657" w:left="1394" w:right="1384" w:bottom="133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provedena následovně: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97" w:val="left"/>
        </w:tabs>
        <w:bidi w:val="0"/>
        <w:spacing w:before="0" w:after="180" w:line="240" w:lineRule="auto"/>
        <w:ind w:left="720" w:right="0" w:hanging="320"/>
        <w:jc w:val="left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prvního dílčího plnění dnem protokolárního předání a převzetí GZ a STP ve výši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65 000,00 Kč bez DPH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92" w:val="left"/>
        </w:tabs>
        <w:bidi w:val="0"/>
        <w:spacing w:before="0" w:after="180" w:line="240" w:lineRule="auto"/>
        <w:ind w:left="720" w:right="0" w:hanging="32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druhého dílčího plnění dnem protokolárního předání a převzetí kompletní PD ve výši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136 500,- Kč bez DPH.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2" w:val="left"/>
        </w:tabs>
        <w:bidi w:val="0"/>
        <w:spacing w:before="0" w:after="180" w:line="240" w:lineRule="auto"/>
        <w:ind w:left="720" w:right="0" w:hanging="32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celkového plnění dnem podpisu „Rozhodnutí“ o schválení PD stupně generálním ředitelem Povodí Ohře, s. p., po předchozím projednání v dokumentační komisi (DK) ve výši zbývající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 30 000,- Kč bez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provedena následovně: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92" w:val="left"/>
        </w:tabs>
        <w:bidi w:val="0"/>
        <w:spacing w:before="0" w:after="180" w:line="240" w:lineRule="auto"/>
        <w:ind w:left="720" w:right="0" w:hanging="320"/>
        <w:jc w:val="left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prvního dílčího plnění dnem protokolárního předání a převzetí GZ a STP ve výši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65 000,00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(již fakturováno částka uhrazena dne 19.12.2025 číslo fa 909/2025/819)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92" w:val="left"/>
        </w:tabs>
        <w:bidi w:val="0"/>
        <w:spacing w:before="0" w:after="180" w:line="240" w:lineRule="auto"/>
        <w:ind w:left="720" w:right="0" w:hanging="320"/>
        <w:jc w:val="left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druhého dílčího plnění dnem protokolárního předání a převzetí technického řešení ve výši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80 500,- Kč bez DPH.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92" w:val="left"/>
        </w:tabs>
        <w:bidi w:val="0"/>
        <w:spacing w:before="0" w:after="180" w:line="240" w:lineRule="auto"/>
        <w:ind w:left="720" w:right="0" w:hanging="32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třetího dílčího plnění dnem protokolárního předání a převzetí kompletní PD ve výši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56 000,- Kč bez DPH.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92" w:val="left"/>
        </w:tabs>
        <w:bidi w:val="0"/>
        <w:spacing w:before="0" w:after="680" w:line="240" w:lineRule="auto"/>
        <w:ind w:left="720" w:right="0" w:hanging="320"/>
        <w:jc w:val="left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celkového plnění dnem podpisu „Rozhodnutí“ o schválení PD stupně generálním ředitelem Povodí Ohře, s. p., po předchozím projednání v dokumentační komisi (DK) ve výši zbývající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 30 000,- Kč bez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214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1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2" w:val="left"/>
        </w:tabs>
        <w:bidi w:val="0"/>
        <w:spacing w:before="0" w:after="180" w:line="240" w:lineRule="auto"/>
        <w:ind w:left="0" w:right="0" w:firstLine="0"/>
        <w:jc w:val="left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2" w:val="left"/>
        </w:tabs>
        <w:bidi w:val="0"/>
        <w:spacing w:before="0" w:after="180" w:line="240" w:lineRule="auto"/>
        <w:ind w:left="380" w:right="0" w:hanging="38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2" w:val="left"/>
        </w:tabs>
        <w:bidi w:val="0"/>
        <w:spacing w:before="0" w:after="180" w:line="240" w:lineRule="auto"/>
        <w:ind w:left="0" w:right="0" w:firstLine="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2" w:val="left"/>
        </w:tabs>
        <w:bidi w:val="0"/>
        <w:spacing w:before="0" w:after="180" w:line="240" w:lineRule="auto"/>
        <w:ind w:left="380" w:right="0" w:hanging="38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49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1027" w:left="1394" w:right="1394" w:bottom="255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</w:t>
        <w:tab/>
        <w:t>v Praze dne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1" w:after="10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27" w:left="0" w:right="0" w:bottom="142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investiční ředitel 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27" w:left="1394" w:right="2364" w:bottom="1421" w:header="0" w:footer="3" w:gutter="0"/>
          <w:cols w:num="2" w:space="175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 jednatel společnosti Živa Projekt s.r.o.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27" w:left="1394" w:right="2364" w:bottom="1421" w:header="0" w:footer="3" w:gutter="0"/>
      <w:cols w:num="2" w:space="1757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1.69999999999999pt;margin-top:770.85000000000002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1.69999999999999pt;margin-top:770.85000000000002pt;width:53.050000000000004pt;height:12.9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4905375</wp:posOffset>
              </wp:positionH>
              <wp:positionV relativeFrom="page">
                <wp:posOffset>435610</wp:posOffset>
              </wp:positionV>
              <wp:extent cx="1758950" cy="1739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5895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1 k SOD 1155/2025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6.25pt;margin-top:34.300000000000004pt;width:138.5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1 k SOD 1155/2025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line="360" w:lineRule="auto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