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63436" w14:textId="77777777" w:rsidR="000B1E9D" w:rsidRPr="00C96964" w:rsidRDefault="00C96964" w:rsidP="00B42E45">
      <w:pPr>
        <w:pStyle w:val="Podnadpis"/>
        <w:jc w:val="right"/>
        <w:rPr>
          <w:b/>
          <w:szCs w:val="28"/>
        </w:rPr>
      </w:pPr>
      <w:r>
        <w:rPr>
          <w:b/>
          <w:szCs w:val="28"/>
        </w:rPr>
        <w:t>Ev. č. 3116/2008/2026/MJ/5</w:t>
      </w:r>
    </w:p>
    <w:p w14:paraId="42FDC81E" w14:textId="77777777" w:rsidR="0036338C" w:rsidRPr="001E5953" w:rsidRDefault="0036338C" w:rsidP="00B42E45">
      <w:pPr>
        <w:pStyle w:val="Podnadpis"/>
        <w:jc w:val="right"/>
        <w:rPr>
          <w:bCs/>
          <w:sz w:val="16"/>
          <w:szCs w:val="16"/>
        </w:rPr>
      </w:pPr>
    </w:p>
    <w:p w14:paraId="1CF31233" w14:textId="17877115" w:rsidR="00D82EF5" w:rsidRPr="001B7A30" w:rsidRDefault="00801823" w:rsidP="00D82EF5">
      <w:pPr>
        <w:pStyle w:val="Podnadpis"/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Dodatek č. </w:t>
      </w:r>
      <w:r w:rsidR="00566F8B">
        <w:rPr>
          <w:rFonts w:ascii="Arial" w:hAnsi="Arial" w:cs="Arial"/>
          <w:b/>
          <w:szCs w:val="28"/>
        </w:rPr>
        <w:t>5</w:t>
      </w:r>
      <w:r>
        <w:rPr>
          <w:rFonts w:ascii="Arial" w:hAnsi="Arial" w:cs="Arial"/>
          <w:b/>
          <w:szCs w:val="28"/>
        </w:rPr>
        <w:t xml:space="preserve"> k</w:t>
      </w:r>
      <w:r w:rsidR="00566F8B">
        <w:rPr>
          <w:rFonts w:ascii="Arial" w:hAnsi="Arial" w:cs="Arial"/>
          <w:b/>
          <w:szCs w:val="28"/>
        </w:rPr>
        <w:t xml:space="preserve"> nájemní</w:t>
      </w:r>
      <w:r>
        <w:rPr>
          <w:rFonts w:ascii="Arial" w:hAnsi="Arial" w:cs="Arial"/>
          <w:b/>
          <w:szCs w:val="28"/>
        </w:rPr>
        <w:t xml:space="preserve"> smlouvě ev. č. </w:t>
      </w:r>
      <w:r w:rsidR="00566F8B">
        <w:rPr>
          <w:rFonts w:ascii="Arial" w:hAnsi="Arial" w:cs="Arial"/>
          <w:b/>
          <w:szCs w:val="28"/>
        </w:rPr>
        <w:t>3116/2008</w:t>
      </w:r>
      <w:r>
        <w:rPr>
          <w:rFonts w:ascii="Arial" w:hAnsi="Arial" w:cs="Arial"/>
          <w:b/>
          <w:szCs w:val="28"/>
        </w:rPr>
        <w:t>/MJ</w:t>
      </w:r>
      <w:r w:rsidR="00566F8B">
        <w:rPr>
          <w:rFonts w:ascii="Arial" w:hAnsi="Arial" w:cs="Arial"/>
          <w:b/>
          <w:szCs w:val="28"/>
        </w:rPr>
        <w:t xml:space="preserve">, </w:t>
      </w:r>
      <w:r w:rsidR="001D3E7A">
        <w:rPr>
          <w:rFonts w:ascii="Arial" w:hAnsi="Arial" w:cs="Arial"/>
          <w:b/>
          <w:szCs w:val="28"/>
        </w:rPr>
        <w:t>ve znění dodatku č.</w:t>
      </w:r>
      <w:r w:rsidR="00E82F21">
        <w:rPr>
          <w:rFonts w:ascii="Arial" w:hAnsi="Arial" w:cs="Arial"/>
          <w:b/>
          <w:szCs w:val="28"/>
        </w:rPr>
        <w:t> </w:t>
      </w:r>
      <w:r w:rsidR="001D3E7A">
        <w:rPr>
          <w:rFonts w:ascii="Arial" w:hAnsi="Arial" w:cs="Arial"/>
          <w:b/>
          <w:szCs w:val="28"/>
        </w:rPr>
        <w:t xml:space="preserve">1 ev. č. </w:t>
      </w:r>
      <w:r w:rsidR="00566F8B">
        <w:rPr>
          <w:rFonts w:ascii="Arial" w:hAnsi="Arial" w:cs="Arial"/>
          <w:b/>
          <w:szCs w:val="28"/>
        </w:rPr>
        <w:t>3116</w:t>
      </w:r>
      <w:r w:rsidR="001D3E7A">
        <w:rPr>
          <w:rFonts w:ascii="Arial" w:hAnsi="Arial" w:cs="Arial"/>
          <w:b/>
          <w:szCs w:val="28"/>
        </w:rPr>
        <w:t>D1/201</w:t>
      </w:r>
      <w:r w:rsidR="00566F8B">
        <w:rPr>
          <w:rFonts w:ascii="Arial" w:hAnsi="Arial" w:cs="Arial"/>
          <w:b/>
          <w:szCs w:val="28"/>
        </w:rPr>
        <w:t>1</w:t>
      </w:r>
      <w:r w:rsidR="001D3E7A">
        <w:rPr>
          <w:rFonts w:ascii="Arial" w:hAnsi="Arial" w:cs="Arial"/>
          <w:b/>
          <w:szCs w:val="28"/>
        </w:rPr>
        <w:t>/MJ</w:t>
      </w:r>
      <w:r w:rsidR="00566F8B">
        <w:rPr>
          <w:rFonts w:ascii="Arial" w:hAnsi="Arial" w:cs="Arial"/>
          <w:b/>
          <w:szCs w:val="28"/>
        </w:rPr>
        <w:t>,</w:t>
      </w:r>
      <w:r w:rsidR="009660C3">
        <w:rPr>
          <w:rFonts w:ascii="Arial" w:hAnsi="Arial" w:cs="Arial"/>
          <w:b/>
          <w:szCs w:val="28"/>
        </w:rPr>
        <w:t xml:space="preserve"> dodatku č. 2 ev. č. </w:t>
      </w:r>
      <w:r w:rsidR="00566F8B">
        <w:rPr>
          <w:rFonts w:ascii="Arial" w:hAnsi="Arial" w:cs="Arial"/>
          <w:b/>
          <w:szCs w:val="28"/>
        </w:rPr>
        <w:t>3116</w:t>
      </w:r>
      <w:r w:rsidR="009660C3">
        <w:rPr>
          <w:rFonts w:ascii="Arial" w:hAnsi="Arial" w:cs="Arial"/>
          <w:b/>
          <w:szCs w:val="28"/>
        </w:rPr>
        <w:t>D2/20</w:t>
      </w:r>
      <w:r w:rsidR="00566F8B">
        <w:rPr>
          <w:rFonts w:ascii="Arial" w:hAnsi="Arial" w:cs="Arial"/>
          <w:b/>
          <w:szCs w:val="28"/>
        </w:rPr>
        <w:t>08/2018</w:t>
      </w:r>
      <w:r w:rsidR="009660C3">
        <w:rPr>
          <w:rFonts w:ascii="Arial" w:hAnsi="Arial" w:cs="Arial"/>
          <w:b/>
          <w:szCs w:val="28"/>
        </w:rPr>
        <w:t>/MJ</w:t>
      </w:r>
      <w:r w:rsidR="00566F8B">
        <w:rPr>
          <w:rFonts w:ascii="Arial" w:hAnsi="Arial" w:cs="Arial"/>
          <w:b/>
          <w:szCs w:val="28"/>
        </w:rPr>
        <w:t>/2, dodatku č. 3 ev. č. 3116/2008/2026/MJ/3 a dodatku č. 4 ev. č. 3116/2008/2026/MJ/4</w:t>
      </w:r>
    </w:p>
    <w:p w14:paraId="340DE633" w14:textId="77777777" w:rsidR="00B35312" w:rsidRDefault="00B35312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14450ACC" w14:textId="77777777" w:rsidR="000B1E9D" w:rsidRDefault="000B1E9D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37BBE689" w14:textId="77777777" w:rsidR="0036786C" w:rsidRPr="005E4788" w:rsidRDefault="0036786C" w:rsidP="008D2B6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5E4788">
        <w:rPr>
          <w:rFonts w:cs="Arial"/>
          <w:b/>
          <w:sz w:val="22"/>
          <w:szCs w:val="22"/>
        </w:rPr>
        <w:t>Smluvní strany</w:t>
      </w:r>
    </w:p>
    <w:p w14:paraId="3E87F8FA" w14:textId="77777777" w:rsidR="00553F5A" w:rsidRPr="005E4788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167552F" w14:textId="77777777" w:rsidR="00566F8B" w:rsidRPr="00566F8B" w:rsidRDefault="00566F8B" w:rsidP="00566F8B">
      <w:pPr>
        <w:pStyle w:val="Podnadpis"/>
        <w:rPr>
          <w:b/>
          <w:sz w:val="22"/>
          <w:szCs w:val="22"/>
        </w:rPr>
      </w:pPr>
      <w:r w:rsidRPr="00566F8B">
        <w:rPr>
          <w:b/>
          <w:sz w:val="22"/>
          <w:szCs w:val="22"/>
        </w:rPr>
        <w:t>Statutární město Ostrava</w:t>
      </w:r>
    </w:p>
    <w:p w14:paraId="743B8EB0" w14:textId="77777777" w:rsidR="00566F8B" w:rsidRPr="00566F8B" w:rsidRDefault="00566F8B" w:rsidP="00566F8B">
      <w:pPr>
        <w:pStyle w:val="Podnadpis"/>
        <w:rPr>
          <w:sz w:val="22"/>
          <w:szCs w:val="22"/>
        </w:rPr>
      </w:pPr>
      <w:r w:rsidRPr="00566F8B">
        <w:rPr>
          <w:sz w:val="22"/>
          <w:szCs w:val="22"/>
        </w:rPr>
        <w:t>Prokešovo náměstí 1803/8, Moravská Ostrava, 702 00 Ostrava</w:t>
      </w:r>
    </w:p>
    <w:p w14:paraId="2BDDF2FF" w14:textId="77777777" w:rsidR="00566F8B" w:rsidRPr="00566F8B" w:rsidRDefault="00566F8B" w:rsidP="00566F8B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566F8B">
        <w:rPr>
          <w:rFonts w:ascii="Times New Roman" w:hAnsi="Times New Roman"/>
          <w:sz w:val="22"/>
          <w:szCs w:val="22"/>
        </w:rPr>
        <w:t>zastoupeno Jiřím Vávrou, náměstkem primátora</w:t>
      </w:r>
    </w:p>
    <w:p w14:paraId="7CBFE5CB" w14:textId="77777777" w:rsidR="00566F8B" w:rsidRPr="00566F8B" w:rsidRDefault="00566F8B" w:rsidP="00566F8B">
      <w:pPr>
        <w:pStyle w:val="Podnadpis"/>
        <w:tabs>
          <w:tab w:val="left" w:pos="1843"/>
        </w:tabs>
        <w:rPr>
          <w:sz w:val="22"/>
          <w:szCs w:val="22"/>
        </w:rPr>
      </w:pPr>
      <w:proofErr w:type="gramStart"/>
      <w:r w:rsidRPr="00566F8B">
        <w:rPr>
          <w:sz w:val="22"/>
          <w:szCs w:val="22"/>
        </w:rPr>
        <w:t xml:space="preserve">IČO:  </w:t>
      </w:r>
      <w:r w:rsidRPr="00566F8B">
        <w:rPr>
          <w:sz w:val="22"/>
          <w:szCs w:val="22"/>
        </w:rPr>
        <w:tab/>
      </w:r>
      <w:proofErr w:type="gramEnd"/>
      <w:r w:rsidRPr="00566F8B">
        <w:rPr>
          <w:sz w:val="22"/>
          <w:szCs w:val="22"/>
        </w:rPr>
        <w:t>00845451</w:t>
      </w:r>
    </w:p>
    <w:p w14:paraId="68DF8FAF" w14:textId="77777777" w:rsidR="00566F8B" w:rsidRPr="00566F8B" w:rsidRDefault="00566F8B" w:rsidP="00566F8B">
      <w:pPr>
        <w:pStyle w:val="Podnadpis"/>
        <w:tabs>
          <w:tab w:val="left" w:pos="1843"/>
        </w:tabs>
        <w:rPr>
          <w:sz w:val="22"/>
          <w:szCs w:val="22"/>
        </w:rPr>
      </w:pPr>
      <w:proofErr w:type="gramStart"/>
      <w:r w:rsidRPr="00566F8B">
        <w:rPr>
          <w:sz w:val="22"/>
          <w:szCs w:val="22"/>
        </w:rPr>
        <w:t xml:space="preserve">DIČ:  </w:t>
      </w:r>
      <w:r w:rsidRPr="00566F8B">
        <w:rPr>
          <w:sz w:val="22"/>
          <w:szCs w:val="22"/>
        </w:rPr>
        <w:tab/>
      </w:r>
      <w:proofErr w:type="gramEnd"/>
      <w:r w:rsidRPr="00566F8B">
        <w:rPr>
          <w:sz w:val="22"/>
          <w:szCs w:val="22"/>
        </w:rPr>
        <w:t xml:space="preserve">CZ00845451 </w:t>
      </w:r>
    </w:p>
    <w:p w14:paraId="63981EFD" w14:textId="77777777" w:rsidR="00566F8B" w:rsidRPr="00566F8B" w:rsidRDefault="00566F8B" w:rsidP="00566F8B">
      <w:pPr>
        <w:pStyle w:val="Podnadpis"/>
        <w:tabs>
          <w:tab w:val="left" w:pos="1843"/>
        </w:tabs>
        <w:rPr>
          <w:sz w:val="22"/>
          <w:szCs w:val="22"/>
        </w:rPr>
      </w:pPr>
      <w:r w:rsidRPr="00566F8B">
        <w:rPr>
          <w:sz w:val="22"/>
          <w:szCs w:val="22"/>
        </w:rPr>
        <w:t xml:space="preserve">Bankovní </w:t>
      </w:r>
      <w:proofErr w:type="gramStart"/>
      <w:r w:rsidRPr="00566F8B">
        <w:rPr>
          <w:sz w:val="22"/>
          <w:szCs w:val="22"/>
        </w:rPr>
        <w:t xml:space="preserve">spojení:  </w:t>
      </w:r>
      <w:r w:rsidRPr="00566F8B">
        <w:rPr>
          <w:sz w:val="22"/>
          <w:szCs w:val="22"/>
        </w:rPr>
        <w:tab/>
      </w:r>
      <w:proofErr w:type="gramEnd"/>
      <w:r w:rsidRPr="00566F8B">
        <w:rPr>
          <w:sz w:val="22"/>
          <w:szCs w:val="22"/>
        </w:rPr>
        <w:t>Česká spořitelna a.s., okresní pobočka Ostrava</w:t>
      </w:r>
    </w:p>
    <w:p w14:paraId="5DE9B7C2" w14:textId="77777777" w:rsidR="00566F8B" w:rsidRPr="00566F8B" w:rsidRDefault="00566F8B" w:rsidP="00566F8B">
      <w:pPr>
        <w:pStyle w:val="Podnadpis"/>
        <w:tabs>
          <w:tab w:val="left" w:pos="1843"/>
        </w:tabs>
        <w:rPr>
          <w:sz w:val="22"/>
          <w:szCs w:val="22"/>
        </w:rPr>
      </w:pPr>
      <w:r w:rsidRPr="00566F8B">
        <w:rPr>
          <w:sz w:val="22"/>
          <w:szCs w:val="22"/>
        </w:rPr>
        <w:t xml:space="preserve">                                </w:t>
      </w:r>
      <w:r w:rsidRPr="00566F8B">
        <w:rPr>
          <w:sz w:val="22"/>
          <w:szCs w:val="22"/>
        </w:rPr>
        <w:tab/>
        <w:t>číslo účtu: 19-1649297309/0800</w:t>
      </w:r>
    </w:p>
    <w:p w14:paraId="6A3B843C" w14:textId="77777777" w:rsidR="00566F8B" w:rsidRPr="00566F8B" w:rsidRDefault="00566F8B" w:rsidP="00566F8B">
      <w:pPr>
        <w:pStyle w:val="Podnadpis"/>
        <w:tabs>
          <w:tab w:val="left" w:pos="1843"/>
        </w:tabs>
        <w:rPr>
          <w:color w:val="auto"/>
          <w:sz w:val="22"/>
          <w:szCs w:val="22"/>
        </w:rPr>
      </w:pPr>
      <w:r w:rsidRPr="00566F8B">
        <w:rPr>
          <w:sz w:val="22"/>
          <w:szCs w:val="22"/>
        </w:rPr>
        <w:t xml:space="preserve">                                </w:t>
      </w:r>
      <w:r w:rsidRPr="00566F8B">
        <w:rPr>
          <w:sz w:val="22"/>
          <w:szCs w:val="22"/>
        </w:rPr>
        <w:tab/>
        <w:t>konstantní symbol</w:t>
      </w:r>
      <w:r w:rsidRPr="00566F8B">
        <w:rPr>
          <w:color w:val="auto"/>
          <w:sz w:val="22"/>
          <w:szCs w:val="22"/>
        </w:rPr>
        <w:t>: 558</w:t>
      </w:r>
    </w:p>
    <w:p w14:paraId="084CEE2E" w14:textId="77777777" w:rsidR="00566F8B" w:rsidRPr="00566F8B" w:rsidRDefault="00566F8B" w:rsidP="00566F8B">
      <w:pPr>
        <w:pStyle w:val="Podnadpis"/>
        <w:tabs>
          <w:tab w:val="left" w:pos="1843"/>
        </w:tabs>
        <w:rPr>
          <w:color w:val="auto"/>
          <w:sz w:val="22"/>
          <w:szCs w:val="22"/>
        </w:rPr>
      </w:pPr>
      <w:r w:rsidRPr="00566F8B">
        <w:rPr>
          <w:color w:val="auto"/>
          <w:sz w:val="22"/>
          <w:szCs w:val="22"/>
        </w:rPr>
        <w:t xml:space="preserve">                                </w:t>
      </w:r>
      <w:r w:rsidRPr="00566F8B">
        <w:rPr>
          <w:color w:val="auto"/>
          <w:sz w:val="22"/>
          <w:szCs w:val="22"/>
        </w:rPr>
        <w:tab/>
        <w:t xml:space="preserve">variabilní </w:t>
      </w:r>
      <w:proofErr w:type="gramStart"/>
      <w:r w:rsidRPr="00566F8B">
        <w:rPr>
          <w:color w:val="auto"/>
          <w:sz w:val="22"/>
          <w:szCs w:val="22"/>
        </w:rPr>
        <w:t>symbol:  850010</w:t>
      </w:r>
      <w:r>
        <w:rPr>
          <w:color w:val="auto"/>
          <w:sz w:val="22"/>
          <w:szCs w:val="22"/>
        </w:rPr>
        <w:t>0830</w:t>
      </w:r>
      <w:proofErr w:type="gramEnd"/>
    </w:p>
    <w:p w14:paraId="0A5A2245" w14:textId="77777777" w:rsidR="00566F8B" w:rsidRPr="00566F8B" w:rsidRDefault="00566F8B" w:rsidP="00566F8B">
      <w:pPr>
        <w:pStyle w:val="Podnadpis"/>
        <w:rPr>
          <w:sz w:val="12"/>
          <w:szCs w:val="12"/>
        </w:rPr>
      </w:pPr>
    </w:p>
    <w:p w14:paraId="3EE17673" w14:textId="77777777" w:rsidR="00566F8B" w:rsidRPr="00566F8B" w:rsidRDefault="00566F8B" w:rsidP="00566F8B">
      <w:pPr>
        <w:pStyle w:val="Podnadpis"/>
        <w:rPr>
          <w:sz w:val="22"/>
          <w:szCs w:val="22"/>
        </w:rPr>
      </w:pPr>
      <w:r w:rsidRPr="00566F8B">
        <w:rPr>
          <w:sz w:val="22"/>
          <w:szCs w:val="22"/>
        </w:rPr>
        <w:t>(dále jen „</w:t>
      </w:r>
      <w:r w:rsidRPr="00566F8B">
        <w:rPr>
          <w:b/>
          <w:bCs/>
          <w:sz w:val="22"/>
          <w:szCs w:val="22"/>
        </w:rPr>
        <w:t>pronajímatel</w:t>
      </w:r>
      <w:r w:rsidRPr="00566F8B">
        <w:rPr>
          <w:sz w:val="22"/>
          <w:szCs w:val="22"/>
        </w:rPr>
        <w:t>“)</w:t>
      </w:r>
    </w:p>
    <w:p w14:paraId="6A89FB42" w14:textId="77777777" w:rsidR="00566F8B" w:rsidRPr="00566F8B" w:rsidRDefault="00566F8B" w:rsidP="00566F8B">
      <w:pPr>
        <w:pStyle w:val="Podnadpis"/>
        <w:rPr>
          <w:sz w:val="22"/>
          <w:szCs w:val="22"/>
        </w:rPr>
      </w:pPr>
    </w:p>
    <w:p w14:paraId="4A78F8E1" w14:textId="77777777" w:rsidR="00566F8B" w:rsidRPr="00566F8B" w:rsidRDefault="00566F8B" w:rsidP="00566F8B">
      <w:pPr>
        <w:pStyle w:val="Podnadpis"/>
        <w:rPr>
          <w:sz w:val="22"/>
          <w:szCs w:val="22"/>
        </w:rPr>
      </w:pPr>
      <w:r w:rsidRPr="00566F8B">
        <w:rPr>
          <w:sz w:val="22"/>
          <w:szCs w:val="22"/>
        </w:rPr>
        <w:t>a</w:t>
      </w:r>
    </w:p>
    <w:p w14:paraId="1DF0AAC7" w14:textId="77777777" w:rsidR="00566F8B" w:rsidRPr="00566F8B" w:rsidRDefault="00566F8B" w:rsidP="00566F8B">
      <w:pPr>
        <w:pStyle w:val="Podnadpis"/>
        <w:rPr>
          <w:sz w:val="22"/>
          <w:szCs w:val="22"/>
        </w:rPr>
      </w:pPr>
    </w:p>
    <w:p w14:paraId="34D4625F" w14:textId="77777777" w:rsidR="00566F8B" w:rsidRPr="00566F8B" w:rsidRDefault="00566F8B" w:rsidP="00566F8B">
      <w:pPr>
        <w:pStyle w:val="Podnadpis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Černá louka</w:t>
      </w:r>
      <w:r w:rsidRPr="00566F8B">
        <w:rPr>
          <w:b/>
          <w:sz w:val="22"/>
          <w:szCs w:val="22"/>
        </w:rPr>
        <w:t xml:space="preserve"> s.r.o.</w:t>
      </w:r>
    </w:p>
    <w:p w14:paraId="52CE9454" w14:textId="77777777" w:rsidR="00566F8B" w:rsidRDefault="00566F8B" w:rsidP="00566F8B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566F8B">
        <w:rPr>
          <w:rFonts w:ascii="Times New Roman" w:hAnsi="Times New Roman"/>
          <w:color w:val="000000"/>
          <w:sz w:val="22"/>
          <w:szCs w:val="22"/>
        </w:rPr>
        <w:t>Černá louka 3235, Moravská Ostrava, 702 00 Ostrava</w:t>
      </w:r>
    </w:p>
    <w:p w14:paraId="5A1D2EBC" w14:textId="77777777" w:rsidR="00566F8B" w:rsidRPr="00566F8B" w:rsidRDefault="00566F8B" w:rsidP="00566F8B">
      <w:pPr>
        <w:jc w:val="both"/>
        <w:rPr>
          <w:rFonts w:ascii="Times New Roman" w:hAnsi="Times New Roman"/>
          <w:sz w:val="22"/>
          <w:szCs w:val="22"/>
        </w:rPr>
      </w:pPr>
      <w:r w:rsidRPr="00566F8B">
        <w:rPr>
          <w:rFonts w:ascii="Times New Roman" w:hAnsi="Times New Roman"/>
          <w:sz w:val="22"/>
          <w:szCs w:val="22"/>
        </w:rPr>
        <w:t xml:space="preserve">zastoupena </w:t>
      </w:r>
      <w:r>
        <w:rPr>
          <w:rFonts w:ascii="Times New Roman" w:hAnsi="Times New Roman"/>
          <w:sz w:val="22"/>
          <w:szCs w:val="22"/>
        </w:rPr>
        <w:t>Mgr. Janem Šumberou</w:t>
      </w:r>
      <w:r w:rsidRPr="00566F8B">
        <w:rPr>
          <w:rFonts w:ascii="Times New Roman" w:hAnsi="Times New Roman"/>
          <w:sz w:val="22"/>
          <w:szCs w:val="22"/>
        </w:rPr>
        <w:t>, jednatelem</w:t>
      </w:r>
    </w:p>
    <w:p w14:paraId="2C96C26E" w14:textId="77777777" w:rsidR="00566F8B" w:rsidRPr="00566F8B" w:rsidRDefault="00566F8B" w:rsidP="00566F8B">
      <w:pPr>
        <w:jc w:val="both"/>
        <w:rPr>
          <w:rFonts w:ascii="Times New Roman" w:hAnsi="Times New Roman"/>
          <w:sz w:val="22"/>
          <w:szCs w:val="22"/>
        </w:rPr>
      </w:pPr>
      <w:r w:rsidRPr="00566F8B">
        <w:rPr>
          <w:rFonts w:ascii="Times New Roman" w:hAnsi="Times New Roman"/>
          <w:sz w:val="22"/>
          <w:szCs w:val="22"/>
        </w:rPr>
        <w:t>zapsána v obchodním rejstříku, vedena Krajským soudem v Ostravě, oddíl C, vložka </w:t>
      </w:r>
      <w:r>
        <w:rPr>
          <w:rFonts w:ascii="Times New Roman" w:hAnsi="Times New Roman"/>
          <w:sz w:val="22"/>
          <w:szCs w:val="22"/>
        </w:rPr>
        <w:t>41134</w:t>
      </w:r>
    </w:p>
    <w:p w14:paraId="2EADD186" w14:textId="77777777" w:rsidR="00566F8B" w:rsidRPr="00566F8B" w:rsidRDefault="00566F8B" w:rsidP="00566F8B">
      <w:pPr>
        <w:tabs>
          <w:tab w:val="left" w:pos="1843"/>
        </w:tabs>
        <w:jc w:val="both"/>
        <w:rPr>
          <w:rFonts w:ascii="Times New Roman" w:hAnsi="Times New Roman"/>
          <w:sz w:val="22"/>
          <w:szCs w:val="22"/>
        </w:rPr>
      </w:pPr>
      <w:r w:rsidRPr="00566F8B">
        <w:rPr>
          <w:rFonts w:ascii="Times New Roman" w:hAnsi="Times New Roman"/>
          <w:sz w:val="22"/>
          <w:szCs w:val="22"/>
        </w:rPr>
        <w:t xml:space="preserve">IČO: </w:t>
      </w:r>
      <w:r w:rsidRPr="00566F8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26879280</w:t>
      </w:r>
    </w:p>
    <w:p w14:paraId="5D4BDA2B" w14:textId="77777777" w:rsidR="00566F8B" w:rsidRPr="00566F8B" w:rsidRDefault="00566F8B" w:rsidP="00566F8B">
      <w:pPr>
        <w:pStyle w:val="Podnadpis"/>
        <w:tabs>
          <w:tab w:val="left" w:pos="1843"/>
        </w:tabs>
        <w:rPr>
          <w:sz w:val="22"/>
          <w:szCs w:val="22"/>
        </w:rPr>
      </w:pPr>
      <w:r w:rsidRPr="00566F8B">
        <w:rPr>
          <w:sz w:val="22"/>
          <w:szCs w:val="22"/>
        </w:rPr>
        <w:t>DIČ:</w:t>
      </w:r>
      <w:r w:rsidRPr="00566F8B">
        <w:rPr>
          <w:sz w:val="22"/>
          <w:szCs w:val="22"/>
        </w:rPr>
        <w:tab/>
        <w:t>CZ</w:t>
      </w:r>
      <w:r>
        <w:rPr>
          <w:sz w:val="22"/>
          <w:szCs w:val="22"/>
        </w:rPr>
        <w:t>26879280</w:t>
      </w:r>
      <w:r w:rsidRPr="00566F8B">
        <w:rPr>
          <w:sz w:val="22"/>
          <w:szCs w:val="22"/>
        </w:rPr>
        <w:tab/>
      </w:r>
      <w:r w:rsidRPr="00566F8B">
        <w:rPr>
          <w:sz w:val="22"/>
          <w:szCs w:val="22"/>
        </w:rPr>
        <w:tab/>
      </w:r>
    </w:p>
    <w:p w14:paraId="41FD9151" w14:textId="77777777" w:rsidR="00566F8B" w:rsidRPr="00566F8B" w:rsidRDefault="00566F8B" w:rsidP="00566F8B">
      <w:pPr>
        <w:pStyle w:val="Podnadpis"/>
        <w:jc w:val="both"/>
        <w:rPr>
          <w:sz w:val="12"/>
          <w:szCs w:val="12"/>
        </w:rPr>
      </w:pPr>
    </w:p>
    <w:p w14:paraId="37BCA745" w14:textId="77777777" w:rsidR="00566F8B" w:rsidRPr="00566F8B" w:rsidRDefault="00566F8B" w:rsidP="00566F8B">
      <w:pPr>
        <w:pStyle w:val="Podnadpis"/>
        <w:rPr>
          <w:bCs/>
          <w:sz w:val="22"/>
          <w:szCs w:val="22"/>
        </w:rPr>
      </w:pPr>
      <w:r w:rsidRPr="00566F8B">
        <w:rPr>
          <w:bCs/>
          <w:sz w:val="22"/>
          <w:szCs w:val="22"/>
        </w:rPr>
        <w:t>(dále jen „</w:t>
      </w:r>
      <w:r w:rsidRPr="00566F8B">
        <w:rPr>
          <w:b/>
          <w:sz w:val="22"/>
          <w:szCs w:val="22"/>
        </w:rPr>
        <w:t>nájemce</w:t>
      </w:r>
      <w:r w:rsidRPr="00566F8B">
        <w:rPr>
          <w:bCs/>
          <w:sz w:val="22"/>
          <w:szCs w:val="22"/>
        </w:rPr>
        <w:t>“)</w:t>
      </w:r>
    </w:p>
    <w:p w14:paraId="5B69C98C" w14:textId="77777777" w:rsidR="00566F8B" w:rsidRPr="00566F8B" w:rsidRDefault="00566F8B" w:rsidP="00566F8B">
      <w:pPr>
        <w:pStyle w:val="Podnadpis"/>
        <w:rPr>
          <w:bCs/>
          <w:iCs/>
          <w:color w:val="auto"/>
          <w:sz w:val="22"/>
          <w:szCs w:val="22"/>
        </w:rPr>
      </w:pPr>
    </w:p>
    <w:p w14:paraId="0465E4A4" w14:textId="77777777" w:rsidR="00566F8B" w:rsidRPr="00566F8B" w:rsidRDefault="00566F8B" w:rsidP="00566F8B">
      <w:pPr>
        <w:pStyle w:val="Podnadpis"/>
        <w:rPr>
          <w:bCs/>
          <w:iCs/>
          <w:color w:val="auto"/>
          <w:sz w:val="22"/>
          <w:szCs w:val="22"/>
        </w:rPr>
      </w:pPr>
      <w:r w:rsidRPr="00566F8B">
        <w:rPr>
          <w:bCs/>
          <w:iCs/>
          <w:color w:val="auto"/>
          <w:sz w:val="22"/>
          <w:szCs w:val="22"/>
        </w:rPr>
        <w:t>(pronajímatel a nájemce společně dále jen „</w:t>
      </w:r>
      <w:r w:rsidRPr="00566F8B">
        <w:rPr>
          <w:b/>
          <w:iCs/>
          <w:color w:val="auto"/>
          <w:sz w:val="22"/>
          <w:szCs w:val="22"/>
        </w:rPr>
        <w:t>smluvní strany</w:t>
      </w:r>
      <w:r w:rsidRPr="00566F8B">
        <w:rPr>
          <w:bCs/>
          <w:iCs/>
          <w:color w:val="auto"/>
          <w:sz w:val="22"/>
          <w:szCs w:val="22"/>
        </w:rPr>
        <w:t>“)</w:t>
      </w:r>
    </w:p>
    <w:p w14:paraId="540126D1" w14:textId="77777777" w:rsidR="00587FCC" w:rsidRPr="000B1E9D" w:rsidRDefault="003377FE" w:rsidP="008D52C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0B1E9D">
        <w:rPr>
          <w:rFonts w:ascii="Times New Roman" w:hAnsi="Times New Roman"/>
          <w:sz w:val="22"/>
          <w:szCs w:val="22"/>
        </w:rPr>
        <w:tab/>
      </w:r>
    </w:p>
    <w:p w14:paraId="4B3B0574" w14:textId="77777777" w:rsidR="009F2789" w:rsidRPr="00E706AC" w:rsidRDefault="009F2789" w:rsidP="008D2B6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4"/>
          <w:szCs w:val="24"/>
        </w:rPr>
      </w:pPr>
      <w:r w:rsidRPr="00E706AC">
        <w:rPr>
          <w:rFonts w:cs="Arial"/>
          <w:b/>
          <w:sz w:val="24"/>
          <w:szCs w:val="24"/>
        </w:rPr>
        <w:t xml:space="preserve">Obsah </w:t>
      </w:r>
      <w:r w:rsidR="00EE6B45" w:rsidRPr="00E706AC">
        <w:rPr>
          <w:rFonts w:cs="Arial"/>
          <w:b/>
          <w:sz w:val="24"/>
          <w:szCs w:val="24"/>
        </w:rPr>
        <w:t>dodatku</w:t>
      </w:r>
    </w:p>
    <w:p w14:paraId="324D11B4" w14:textId="77777777" w:rsidR="00222406" w:rsidRPr="00EE6B45" w:rsidRDefault="00222406" w:rsidP="00CB2262">
      <w:pPr>
        <w:pStyle w:val="Podnadpis"/>
        <w:rPr>
          <w:rFonts w:ascii="Arial" w:hAnsi="Arial" w:cs="Arial"/>
          <w:b/>
          <w:color w:val="auto"/>
          <w:sz w:val="22"/>
          <w:szCs w:val="22"/>
        </w:rPr>
      </w:pPr>
    </w:p>
    <w:p w14:paraId="51ACE2B5" w14:textId="77777777" w:rsidR="00CB2262" w:rsidRPr="00E706AC" w:rsidRDefault="003D4337" w:rsidP="00CB2262">
      <w:pPr>
        <w:pStyle w:val="Podnadpis"/>
        <w:rPr>
          <w:rFonts w:ascii="Arial" w:hAnsi="Arial" w:cs="Arial"/>
          <w:b/>
          <w:color w:val="auto"/>
          <w:sz w:val="24"/>
          <w:szCs w:val="24"/>
        </w:rPr>
      </w:pPr>
      <w:r w:rsidRPr="00E706AC">
        <w:rPr>
          <w:rFonts w:ascii="Arial" w:hAnsi="Arial" w:cs="Arial"/>
          <w:b/>
          <w:color w:val="auto"/>
          <w:sz w:val="24"/>
          <w:szCs w:val="24"/>
        </w:rPr>
        <w:t xml:space="preserve">čl. </w:t>
      </w:r>
      <w:r w:rsidR="00CB2262" w:rsidRPr="00E706AC">
        <w:rPr>
          <w:rFonts w:ascii="Arial" w:hAnsi="Arial" w:cs="Arial"/>
          <w:b/>
          <w:color w:val="auto"/>
          <w:sz w:val="24"/>
          <w:szCs w:val="24"/>
        </w:rPr>
        <w:t>I.</w:t>
      </w:r>
    </w:p>
    <w:p w14:paraId="70821C0F" w14:textId="3EA634BF" w:rsidR="00CB2262" w:rsidRPr="00EE6B45" w:rsidRDefault="00CB2262" w:rsidP="00CB2262">
      <w:pPr>
        <w:pStyle w:val="Podnadpis"/>
        <w:numPr>
          <w:ilvl w:val="0"/>
          <w:numId w:val="11"/>
        </w:numPr>
        <w:tabs>
          <w:tab w:val="clear" w:pos="644"/>
          <w:tab w:val="num" w:pos="284"/>
        </w:tabs>
        <w:ind w:left="284" w:hanging="284"/>
        <w:jc w:val="both"/>
        <w:rPr>
          <w:color w:val="auto"/>
          <w:sz w:val="22"/>
          <w:szCs w:val="22"/>
        </w:rPr>
      </w:pPr>
      <w:r w:rsidRPr="00EE6B45">
        <w:rPr>
          <w:color w:val="auto"/>
          <w:sz w:val="22"/>
          <w:szCs w:val="22"/>
        </w:rPr>
        <w:t>Smluvní strany prohlašují, že údaje uvedené v záhlaví to</w:t>
      </w:r>
      <w:r w:rsidR="00EE6B45" w:rsidRPr="00EE6B45">
        <w:rPr>
          <w:color w:val="auto"/>
          <w:sz w:val="22"/>
          <w:szCs w:val="22"/>
        </w:rPr>
        <w:t>hoto</w:t>
      </w:r>
      <w:r w:rsidRPr="00EE6B45">
        <w:rPr>
          <w:color w:val="auto"/>
          <w:sz w:val="22"/>
          <w:szCs w:val="22"/>
        </w:rPr>
        <w:t xml:space="preserve"> </w:t>
      </w:r>
      <w:r w:rsidR="00EE6B45" w:rsidRPr="00EE6B45">
        <w:rPr>
          <w:color w:val="auto"/>
          <w:sz w:val="22"/>
          <w:szCs w:val="22"/>
        </w:rPr>
        <w:t>dodatku</w:t>
      </w:r>
      <w:r w:rsidRPr="00EE6B45">
        <w:rPr>
          <w:color w:val="auto"/>
          <w:sz w:val="22"/>
          <w:szCs w:val="22"/>
        </w:rPr>
        <w:t xml:space="preserve"> jsou v souladu se skutečností v</w:t>
      </w:r>
      <w:r w:rsidR="00E82F21">
        <w:rPr>
          <w:color w:val="auto"/>
          <w:sz w:val="22"/>
          <w:szCs w:val="22"/>
        </w:rPr>
        <w:t> </w:t>
      </w:r>
      <w:r w:rsidRPr="00EE6B45">
        <w:rPr>
          <w:color w:val="auto"/>
          <w:sz w:val="22"/>
          <w:szCs w:val="22"/>
        </w:rPr>
        <w:t>době</w:t>
      </w:r>
      <w:r w:rsidR="00E82F21">
        <w:rPr>
          <w:color w:val="auto"/>
          <w:sz w:val="22"/>
          <w:szCs w:val="22"/>
        </w:rPr>
        <w:t> </w:t>
      </w:r>
      <w:r w:rsidR="00EE6B45" w:rsidRPr="00EE6B45">
        <w:rPr>
          <w:color w:val="auto"/>
          <w:sz w:val="22"/>
          <w:szCs w:val="22"/>
        </w:rPr>
        <w:t xml:space="preserve">jeho </w:t>
      </w:r>
      <w:r w:rsidRPr="00EE6B45">
        <w:rPr>
          <w:color w:val="auto"/>
          <w:sz w:val="22"/>
          <w:szCs w:val="22"/>
        </w:rPr>
        <w:t>uzavření. Smluvní strany se zavazují, že změny dotčených údajů oznámí bez prodlení druhé smluvní straně.</w:t>
      </w:r>
    </w:p>
    <w:p w14:paraId="4A7B5147" w14:textId="77777777" w:rsidR="00A33A86" w:rsidRPr="00EE6B45" w:rsidRDefault="00A33A86" w:rsidP="00A33A86">
      <w:pPr>
        <w:pStyle w:val="Podnadpis"/>
        <w:ind w:left="284"/>
        <w:jc w:val="both"/>
        <w:rPr>
          <w:color w:val="auto"/>
          <w:sz w:val="22"/>
          <w:szCs w:val="22"/>
        </w:rPr>
      </w:pPr>
    </w:p>
    <w:p w14:paraId="77E9E4EF" w14:textId="77777777" w:rsidR="00CB2262" w:rsidRPr="0044721C" w:rsidRDefault="003D4337" w:rsidP="00CB2262">
      <w:pPr>
        <w:pStyle w:val="Podnadpis"/>
        <w:rPr>
          <w:rFonts w:ascii="Arial" w:hAnsi="Arial" w:cs="Arial"/>
          <w:b/>
          <w:color w:val="auto"/>
          <w:sz w:val="24"/>
          <w:szCs w:val="24"/>
        </w:rPr>
      </w:pPr>
      <w:r w:rsidRPr="0044721C">
        <w:rPr>
          <w:rFonts w:ascii="Arial" w:hAnsi="Arial" w:cs="Arial"/>
          <w:b/>
          <w:color w:val="auto"/>
          <w:sz w:val="24"/>
          <w:szCs w:val="24"/>
        </w:rPr>
        <w:t xml:space="preserve">čl. </w:t>
      </w:r>
      <w:r w:rsidR="00CB2262" w:rsidRPr="0044721C">
        <w:rPr>
          <w:rFonts w:ascii="Arial" w:hAnsi="Arial" w:cs="Arial"/>
          <w:b/>
          <w:color w:val="auto"/>
          <w:sz w:val="24"/>
          <w:szCs w:val="24"/>
        </w:rPr>
        <w:t>II.</w:t>
      </w:r>
    </w:p>
    <w:p w14:paraId="6300A45A" w14:textId="77777777" w:rsidR="00544C8D" w:rsidRPr="00566F8B" w:rsidRDefault="00170CA5" w:rsidP="00CF729E">
      <w:pPr>
        <w:pStyle w:val="Podnadpis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Smluvní strany se dohodly na uzavření Dodatku č. </w:t>
      </w:r>
      <w:r w:rsidR="00566F8B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 xml:space="preserve"> k</w:t>
      </w:r>
      <w:r w:rsidR="00566F8B">
        <w:rPr>
          <w:color w:val="auto"/>
          <w:sz w:val="22"/>
          <w:szCs w:val="22"/>
        </w:rPr>
        <w:t xml:space="preserve"> nájemní </w:t>
      </w:r>
      <w:r>
        <w:rPr>
          <w:color w:val="auto"/>
          <w:sz w:val="22"/>
          <w:szCs w:val="22"/>
        </w:rPr>
        <w:t xml:space="preserve">smlouvě ev. č. </w:t>
      </w:r>
      <w:r w:rsidR="00566F8B">
        <w:rPr>
          <w:color w:val="auto"/>
          <w:sz w:val="22"/>
          <w:szCs w:val="22"/>
        </w:rPr>
        <w:t>3116/</w:t>
      </w:r>
      <w:r w:rsidR="00566F8B" w:rsidRPr="00566F8B">
        <w:rPr>
          <w:color w:val="auto"/>
          <w:sz w:val="22"/>
          <w:szCs w:val="22"/>
        </w:rPr>
        <w:t>2008</w:t>
      </w:r>
      <w:r w:rsidRPr="00566F8B">
        <w:rPr>
          <w:color w:val="auto"/>
          <w:sz w:val="22"/>
          <w:szCs w:val="22"/>
        </w:rPr>
        <w:t>/MJ</w:t>
      </w:r>
      <w:r w:rsidR="009660C3" w:rsidRPr="00566F8B">
        <w:rPr>
          <w:color w:val="auto"/>
          <w:sz w:val="22"/>
          <w:szCs w:val="22"/>
        </w:rPr>
        <w:t>,</w:t>
      </w:r>
      <w:r w:rsidR="00E706AC" w:rsidRPr="00566F8B">
        <w:rPr>
          <w:color w:val="auto"/>
          <w:sz w:val="22"/>
          <w:szCs w:val="22"/>
        </w:rPr>
        <w:t xml:space="preserve"> ve znění </w:t>
      </w:r>
      <w:r w:rsidR="00566F8B">
        <w:rPr>
          <w:color w:val="auto"/>
          <w:sz w:val="22"/>
          <w:szCs w:val="22"/>
        </w:rPr>
        <w:t xml:space="preserve">dodatku </w:t>
      </w:r>
      <w:r w:rsidR="00566F8B" w:rsidRPr="00566F8B">
        <w:rPr>
          <w:sz w:val="22"/>
          <w:szCs w:val="22"/>
        </w:rPr>
        <w:t>č. 1 ev. č. 3116D1/2011/MJ, dodatku č. 2 ev. č. 3116D2/2008/2018/MJ/2, dodatku č. 3 ev.</w:t>
      </w:r>
      <w:r w:rsidR="00566F8B">
        <w:rPr>
          <w:sz w:val="22"/>
          <w:szCs w:val="22"/>
        </w:rPr>
        <w:t> </w:t>
      </w:r>
      <w:r w:rsidR="00566F8B" w:rsidRPr="00566F8B">
        <w:rPr>
          <w:sz w:val="22"/>
          <w:szCs w:val="22"/>
        </w:rPr>
        <w:t>č.</w:t>
      </w:r>
      <w:r w:rsidR="00566F8B">
        <w:rPr>
          <w:sz w:val="22"/>
          <w:szCs w:val="22"/>
        </w:rPr>
        <w:t> </w:t>
      </w:r>
      <w:r w:rsidR="00566F8B" w:rsidRPr="00566F8B">
        <w:rPr>
          <w:sz w:val="22"/>
          <w:szCs w:val="22"/>
        </w:rPr>
        <w:t>3116/2008/2026/MJ/3 a dodatku č. 4 ev. č. 3116/2008/2026/MJ/4</w:t>
      </w:r>
      <w:r w:rsidRPr="00566F8B">
        <w:rPr>
          <w:color w:val="auto"/>
          <w:sz w:val="22"/>
          <w:szCs w:val="22"/>
        </w:rPr>
        <w:t>, kterým se mění</w:t>
      </w:r>
      <w:r w:rsidR="00CF729E" w:rsidRPr="00566F8B">
        <w:rPr>
          <w:color w:val="auto"/>
          <w:sz w:val="22"/>
          <w:szCs w:val="22"/>
        </w:rPr>
        <w:t>:</w:t>
      </w:r>
    </w:p>
    <w:p w14:paraId="2AADF088" w14:textId="77777777" w:rsidR="005A139A" w:rsidRPr="00936005" w:rsidRDefault="005A139A" w:rsidP="000B1E9D">
      <w:pPr>
        <w:tabs>
          <w:tab w:val="left" w:pos="-7371"/>
        </w:tabs>
        <w:ind w:hanging="360"/>
        <w:jc w:val="both"/>
        <w:rPr>
          <w:rFonts w:ascii="Times New Roman" w:hAnsi="Times New Roman"/>
          <w:bCs/>
          <w:color w:val="FF0000"/>
          <w:sz w:val="22"/>
          <w:szCs w:val="22"/>
        </w:rPr>
      </w:pPr>
    </w:p>
    <w:p w14:paraId="6DF15118" w14:textId="77777777" w:rsidR="006000B0" w:rsidRDefault="006000B0" w:rsidP="009B6A08">
      <w:pPr>
        <w:numPr>
          <w:ilvl w:val="0"/>
          <w:numId w:val="32"/>
        </w:num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čl. IV. se odst. 4 ruší.</w:t>
      </w:r>
    </w:p>
    <w:p w14:paraId="5DC0EEB1" w14:textId="77777777" w:rsidR="0044721C" w:rsidRDefault="0044721C" w:rsidP="0044721C">
      <w:p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</w:p>
    <w:p w14:paraId="4D91E892" w14:textId="77777777" w:rsidR="009B6A08" w:rsidRPr="00EE02E4" w:rsidRDefault="009B6A08" w:rsidP="009B6A08">
      <w:pPr>
        <w:numPr>
          <w:ilvl w:val="0"/>
          <w:numId w:val="32"/>
        </w:num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  <w:r w:rsidRPr="00EE02E4">
        <w:rPr>
          <w:rFonts w:ascii="Times New Roman" w:hAnsi="Times New Roman"/>
          <w:sz w:val="22"/>
          <w:szCs w:val="22"/>
        </w:rPr>
        <w:t xml:space="preserve">Za čl. IX. neoznačeným nadpisem se vkládá nový </w:t>
      </w:r>
      <w:r w:rsidRPr="00EE02E4">
        <w:rPr>
          <w:rFonts w:ascii="Times New Roman" w:hAnsi="Times New Roman"/>
          <w:b/>
          <w:bCs/>
          <w:sz w:val="22"/>
          <w:szCs w:val="22"/>
        </w:rPr>
        <w:t>čl. X. neoznačený nadpisem</w:t>
      </w:r>
      <w:r w:rsidRPr="00EE02E4">
        <w:rPr>
          <w:rFonts w:ascii="Times New Roman" w:hAnsi="Times New Roman"/>
          <w:sz w:val="22"/>
          <w:szCs w:val="22"/>
        </w:rPr>
        <w:t xml:space="preserve"> v tomto znění: </w:t>
      </w:r>
    </w:p>
    <w:p w14:paraId="719414EF" w14:textId="77777777" w:rsidR="00227C1D" w:rsidRDefault="009B6A08" w:rsidP="00840AB1">
      <w:pPr>
        <w:shd w:val="clear" w:color="auto" w:fill="FFFFFF"/>
        <w:tabs>
          <w:tab w:val="left" w:pos="851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EE02E4">
        <w:rPr>
          <w:rFonts w:ascii="Times New Roman" w:hAnsi="Times New Roman"/>
          <w:sz w:val="22"/>
          <w:szCs w:val="22"/>
        </w:rPr>
        <w:t xml:space="preserve">„1. </w:t>
      </w:r>
      <w:r w:rsidR="00EE02E4" w:rsidRPr="00EE02E4">
        <w:rPr>
          <w:rFonts w:ascii="Times New Roman" w:hAnsi="Times New Roman"/>
          <w:sz w:val="22"/>
          <w:szCs w:val="22"/>
        </w:rPr>
        <w:tab/>
      </w:r>
      <w:r w:rsidRPr="00EE02E4">
        <w:rPr>
          <w:rFonts w:ascii="Times New Roman" w:hAnsi="Times New Roman"/>
          <w:sz w:val="22"/>
          <w:szCs w:val="22"/>
        </w:rPr>
        <w:t xml:space="preserve">Pronajímatel uděluje </w:t>
      </w:r>
      <w:r w:rsidR="00EE02E4">
        <w:rPr>
          <w:rFonts w:ascii="Times New Roman" w:hAnsi="Times New Roman"/>
          <w:sz w:val="22"/>
          <w:szCs w:val="22"/>
        </w:rPr>
        <w:t xml:space="preserve">nájemci </w:t>
      </w:r>
      <w:r w:rsidRPr="00EE02E4">
        <w:rPr>
          <w:rFonts w:ascii="Times New Roman" w:hAnsi="Times New Roman"/>
          <w:sz w:val="22"/>
          <w:szCs w:val="22"/>
        </w:rPr>
        <w:t>souhlas</w:t>
      </w:r>
      <w:r w:rsidR="00EE02E4" w:rsidRPr="00EE02E4">
        <w:rPr>
          <w:rFonts w:ascii="Times New Roman" w:hAnsi="Times New Roman"/>
          <w:sz w:val="22"/>
          <w:szCs w:val="22"/>
        </w:rPr>
        <w:t xml:space="preserve"> s provedením stavebních úprav, pořízením vybavení a</w:t>
      </w:r>
      <w:r w:rsidR="00EE02E4">
        <w:rPr>
          <w:rFonts w:ascii="Times New Roman" w:hAnsi="Times New Roman"/>
          <w:sz w:val="22"/>
          <w:szCs w:val="22"/>
        </w:rPr>
        <w:t> technickým zhodnocením v </w:t>
      </w:r>
      <w:r w:rsidR="00EE02E4" w:rsidRPr="00EE02E4">
        <w:rPr>
          <w:rFonts w:ascii="Times New Roman" w:hAnsi="Times New Roman"/>
          <w:sz w:val="22"/>
          <w:szCs w:val="22"/>
        </w:rPr>
        <w:t xml:space="preserve">rámci </w:t>
      </w:r>
      <w:r w:rsidR="00EE02E4" w:rsidRPr="00EE02E4">
        <w:rPr>
          <w:rFonts w:ascii="Times New Roman" w:hAnsi="Times New Roman"/>
          <w:color w:val="000000"/>
          <w:sz w:val="22"/>
          <w:szCs w:val="22"/>
        </w:rPr>
        <w:t>realizace projektu “Turistické informační centrum Svinov</w:t>
      </w:r>
      <w:r w:rsidR="00EE02E4">
        <w:rPr>
          <w:rFonts w:ascii="Times New Roman" w:hAnsi="Times New Roman"/>
          <w:color w:val="000000"/>
          <w:sz w:val="22"/>
          <w:szCs w:val="22"/>
        </w:rPr>
        <w:t>“ v</w:t>
      </w:r>
      <w:r w:rsidR="004D182C">
        <w:rPr>
          <w:rFonts w:ascii="Times New Roman" w:hAnsi="Times New Roman"/>
          <w:color w:val="000000"/>
          <w:sz w:val="22"/>
          <w:szCs w:val="22"/>
        </w:rPr>
        <w:t xml:space="preserve"> části </w:t>
      </w:r>
      <w:r w:rsidR="00EE02E4">
        <w:rPr>
          <w:rFonts w:ascii="Times New Roman" w:hAnsi="Times New Roman"/>
          <w:color w:val="000000"/>
          <w:sz w:val="22"/>
          <w:szCs w:val="22"/>
        </w:rPr>
        <w:t>předmětu nájmu uvedené v čl. II. odstavci 2 označeném jako „C“</w:t>
      </w:r>
      <w:r w:rsidR="00227C1D">
        <w:rPr>
          <w:rFonts w:ascii="Times New Roman" w:hAnsi="Times New Roman"/>
          <w:color w:val="000000"/>
          <w:sz w:val="22"/>
          <w:szCs w:val="22"/>
        </w:rPr>
        <w:t xml:space="preserve"> této smlouvy a</w:t>
      </w:r>
      <w:r w:rsidR="0044721C">
        <w:rPr>
          <w:rFonts w:ascii="Times New Roman" w:hAnsi="Times New Roman"/>
          <w:sz w:val="22"/>
          <w:szCs w:val="22"/>
        </w:rPr>
        <w:t> </w:t>
      </w:r>
      <w:r w:rsidR="00EE02E4" w:rsidRPr="00EE02E4">
        <w:rPr>
          <w:rFonts w:ascii="Times New Roman" w:hAnsi="Times New Roman"/>
          <w:sz w:val="22"/>
          <w:szCs w:val="22"/>
        </w:rPr>
        <w:t>v</w:t>
      </w:r>
      <w:r w:rsidR="0044721C">
        <w:rPr>
          <w:rFonts w:ascii="Times New Roman" w:hAnsi="Times New Roman"/>
          <w:sz w:val="22"/>
          <w:szCs w:val="22"/>
        </w:rPr>
        <w:t> </w:t>
      </w:r>
      <w:r w:rsidR="00EE02E4" w:rsidRPr="00EE02E4">
        <w:rPr>
          <w:rFonts w:ascii="Times New Roman" w:hAnsi="Times New Roman"/>
          <w:sz w:val="22"/>
          <w:szCs w:val="22"/>
        </w:rPr>
        <w:t>rámci</w:t>
      </w:r>
      <w:r w:rsidR="0044721C">
        <w:rPr>
          <w:rFonts w:ascii="Times New Roman" w:hAnsi="Times New Roman"/>
          <w:sz w:val="22"/>
          <w:szCs w:val="22"/>
        </w:rPr>
        <w:t> </w:t>
      </w:r>
      <w:r w:rsidR="00EE02E4" w:rsidRPr="00EE02E4">
        <w:rPr>
          <w:rFonts w:ascii="Times New Roman" w:hAnsi="Times New Roman"/>
          <w:sz w:val="22"/>
          <w:szCs w:val="22"/>
        </w:rPr>
        <w:t>realizace projektu „Modernizace turistického informačního centra OSTRAVAINFO</w:t>
      </w:r>
      <w:r w:rsidR="00EE02E4" w:rsidRPr="00840AB1">
        <w:rPr>
          <w:rFonts w:ascii="Times New Roman" w:hAnsi="Times New Roman"/>
          <w:sz w:val="22"/>
          <w:szCs w:val="22"/>
          <w:shd w:val="clear" w:color="auto" w:fill="FFFFFF"/>
        </w:rPr>
        <w:t>!!!</w:t>
      </w:r>
      <w:r w:rsidR="00172179" w:rsidRPr="00840AB1">
        <w:rPr>
          <w:rFonts w:ascii="Times New Roman" w:hAnsi="Times New Roman"/>
          <w:sz w:val="22"/>
          <w:szCs w:val="22"/>
          <w:shd w:val="clear" w:color="auto" w:fill="FFFFFF"/>
        </w:rPr>
        <w:t xml:space="preserve"> - Věž</w:t>
      </w:r>
      <w:r w:rsidR="00921C62">
        <w:rPr>
          <w:rFonts w:ascii="Times New Roman" w:hAnsi="Times New Roman"/>
          <w:sz w:val="22"/>
          <w:szCs w:val="22"/>
        </w:rPr>
        <w:t>“</w:t>
      </w:r>
      <w:r w:rsidR="00EE02E4" w:rsidRPr="00EE02E4">
        <w:rPr>
          <w:rFonts w:ascii="Times New Roman" w:hAnsi="Times New Roman"/>
          <w:sz w:val="22"/>
          <w:szCs w:val="22"/>
        </w:rPr>
        <w:t xml:space="preserve"> v</w:t>
      </w:r>
      <w:r w:rsidR="0044721C">
        <w:rPr>
          <w:rFonts w:ascii="Times New Roman" w:hAnsi="Times New Roman"/>
          <w:sz w:val="22"/>
          <w:szCs w:val="22"/>
        </w:rPr>
        <w:t> </w:t>
      </w:r>
      <w:r w:rsidR="004D182C">
        <w:rPr>
          <w:rFonts w:ascii="Times New Roman" w:hAnsi="Times New Roman"/>
          <w:sz w:val="22"/>
          <w:szCs w:val="22"/>
        </w:rPr>
        <w:t>části</w:t>
      </w:r>
      <w:r w:rsidR="0044721C">
        <w:rPr>
          <w:rFonts w:ascii="Times New Roman" w:hAnsi="Times New Roman"/>
          <w:sz w:val="22"/>
          <w:szCs w:val="22"/>
        </w:rPr>
        <w:t> </w:t>
      </w:r>
      <w:r w:rsidR="00EE02E4" w:rsidRPr="00EE02E4">
        <w:rPr>
          <w:rFonts w:ascii="Times New Roman" w:hAnsi="Times New Roman"/>
          <w:sz w:val="22"/>
          <w:szCs w:val="22"/>
        </w:rPr>
        <w:t>předmětu nájmu uvedené v čl. II. odstavci 2 označeném jako „A“</w:t>
      </w:r>
      <w:r w:rsidR="00227C1D">
        <w:rPr>
          <w:rFonts w:ascii="Times New Roman" w:hAnsi="Times New Roman"/>
          <w:sz w:val="22"/>
          <w:szCs w:val="22"/>
        </w:rPr>
        <w:t xml:space="preserve"> této smlouvy.</w:t>
      </w:r>
      <w:r w:rsidR="00B76153">
        <w:rPr>
          <w:rFonts w:ascii="Times New Roman" w:hAnsi="Times New Roman"/>
          <w:sz w:val="22"/>
          <w:szCs w:val="22"/>
        </w:rPr>
        <w:t xml:space="preserve"> </w:t>
      </w:r>
      <w:r w:rsidR="00227C1D">
        <w:rPr>
          <w:rFonts w:ascii="Times New Roman" w:hAnsi="Times New Roman"/>
          <w:sz w:val="22"/>
          <w:szCs w:val="22"/>
        </w:rPr>
        <w:t>“</w:t>
      </w:r>
    </w:p>
    <w:p w14:paraId="58F4043E" w14:textId="77777777" w:rsidR="00781AE7" w:rsidRDefault="00781AE7" w:rsidP="00EE02E4">
      <w:pPr>
        <w:tabs>
          <w:tab w:val="left" w:pos="851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</w:p>
    <w:p w14:paraId="24539C43" w14:textId="77777777" w:rsidR="002164FD" w:rsidRDefault="00227C1D" w:rsidP="002164FD">
      <w:pPr>
        <w:tabs>
          <w:tab w:val="left" w:pos="851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„2. </w:t>
      </w:r>
      <w:r>
        <w:rPr>
          <w:rFonts w:ascii="Times New Roman" w:hAnsi="Times New Roman"/>
          <w:sz w:val="22"/>
          <w:szCs w:val="22"/>
        </w:rPr>
        <w:tab/>
        <w:t xml:space="preserve">Smluvní strany se dohodly, že změny na </w:t>
      </w:r>
      <w:r w:rsidR="004D182C">
        <w:rPr>
          <w:rFonts w:ascii="Times New Roman" w:hAnsi="Times New Roman"/>
          <w:sz w:val="22"/>
          <w:szCs w:val="22"/>
        </w:rPr>
        <w:t xml:space="preserve">částech </w:t>
      </w:r>
      <w:r>
        <w:rPr>
          <w:rFonts w:ascii="Times New Roman" w:hAnsi="Times New Roman"/>
          <w:sz w:val="22"/>
          <w:szCs w:val="22"/>
        </w:rPr>
        <w:t>předmětu nájmu uveden</w:t>
      </w:r>
      <w:r w:rsidR="004D182C">
        <w:rPr>
          <w:rFonts w:ascii="Times New Roman" w:hAnsi="Times New Roman"/>
          <w:sz w:val="22"/>
          <w:szCs w:val="22"/>
        </w:rPr>
        <w:t>ých</w:t>
      </w:r>
      <w:r>
        <w:rPr>
          <w:rFonts w:ascii="Times New Roman" w:hAnsi="Times New Roman"/>
          <w:sz w:val="22"/>
          <w:szCs w:val="22"/>
        </w:rPr>
        <w:t xml:space="preserve"> v čl. II. odstavci 2 označeném jako „A“ a „C“ této smlouvy, které jsou technickým zhodnocením, bude odepisovat nájemce, který uhradí veškeré náklady rekonstrukce z vlastních zdrojů</w:t>
      </w:r>
      <w:r w:rsidR="00B255F4">
        <w:rPr>
          <w:rFonts w:ascii="Times New Roman" w:hAnsi="Times New Roman"/>
          <w:sz w:val="22"/>
          <w:szCs w:val="22"/>
        </w:rPr>
        <w:t>,</w:t>
      </w:r>
      <w:r w:rsidR="00B255F4" w:rsidRPr="00B255F4">
        <w:rPr>
          <w:rFonts w:ascii="Times New Roman" w:hAnsi="Times New Roman"/>
          <w:sz w:val="22"/>
          <w:szCs w:val="22"/>
        </w:rPr>
        <w:t xml:space="preserve"> prostřednictvím programového rámce ITI </w:t>
      </w:r>
      <w:r w:rsidR="00B255F4" w:rsidRPr="004D0076">
        <w:rPr>
          <w:rFonts w:ascii="Times New Roman" w:hAnsi="Times New Roman"/>
          <w:sz w:val="22"/>
          <w:szCs w:val="22"/>
        </w:rPr>
        <w:t>Ostravsko</w:t>
      </w:r>
      <w:r w:rsidR="00172179" w:rsidRPr="004D0076">
        <w:rPr>
          <w:rFonts w:ascii="Times New Roman" w:hAnsi="Times New Roman"/>
          <w:sz w:val="22"/>
          <w:szCs w:val="22"/>
        </w:rPr>
        <w:t xml:space="preserve"> a 90. Výzvy IROP </w:t>
      </w:r>
      <w:proofErr w:type="gramStart"/>
      <w:r w:rsidR="00172179" w:rsidRPr="004D0076">
        <w:rPr>
          <w:rFonts w:ascii="Times New Roman" w:hAnsi="Times New Roman"/>
          <w:sz w:val="22"/>
          <w:szCs w:val="22"/>
        </w:rPr>
        <w:t>2021 – 2027</w:t>
      </w:r>
      <w:proofErr w:type="gramEnd"/>
      <w:r w:rsidR="00172179" w:rsidRPr="004D0076">
        <w:rPr>
          <w:rFonts w:ascii="Times New Roman" w:hAnsi="Times New Roman"/>
          <w:sz w:val="22"/>
          <w:szCs w:val="22"/>
        </w:rPr>
        <w:t>, Cestovní ruch – SC 4.4 (ITI)</w:t>
      </w:r>
      <w:r w:rsidRPr="004D0076">
        <w:rPr>
          <w:rFonts w:ascii="Times New Roman" w:hAnsi="Times New Roman"/>
          <w:sz w:val="22"/>
          <w:szCs w:val="22"/>
        </w:rPr>
        <w:t>. Pronajímatel souhlasí s tímto technickým</w:t>
      </w:r>
      <w:r>
        <w:rPr>
          <w:rFonts w:ascii="Times New Roman" w:hAnsi="Times New Roman"/>
          <w:sz w:val="22"/>
          <w:szCs w:val="22"/>
        </w:rPr>
        <w:t xml:space="preserve"> zhodnocením na</w:t>
      </w:r>
      <w:r w:rsidR="00B255F4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předmětu nájmu uvedeném v čl. II. odstavci 2 označeném jako „A“ a „C“ této smlouvy nájemcem.“</w:t>
      </w:r>
    </w:p>
    <w:p w14:paraId="369E72BC" w14:textId="77777777" w:rsidR="002164FD" w:rsidRDefault="002164FD" w:rsidP="002164FD">
      <w:pPr>
        <w:tabs>
          <w:tab w:val="left" w:pos="851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</w:p>
    <w:p w14:paraId="77A45934" w14:textId="5097FBE8" w:rsidR="00227C1D" w:rsidRPr="00A95075" w:rsidRDefault="002164FD" w:rsidP="002164FD">
      <w:pPr>
        <w:tabs>
          <w:tab w:val="left" w:pos="851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„3.</w:t>
      </w:r>
      <w:r>
        <w:rPr>
          <w:rFonts w:ascii="Times New Roman" w:hAnsi="Times New Roman"/>
          <w:sz w:val="22"/>
          <w:szCs w:val="22"/>
        </w:rPr>
        <w:tab/>
      </w:r>
      <w:r w:rsidR="00227C1D" w:rsidRPr="00B46853">
        <w:rPr>
          <w:rFonts w:ascii="Times New Roman" w:hAnsi="Times New Roman"/>
          <w:sz w:val="22"/>
          <w:szCs w:val="22"/>
        </w:rPr>
        <w:t>Nájemce je oprávněn uplatnit na základě této smlouvy v souladu se zákonem č. 586/1992 Sb., o daních z příjmů, v platném znění, odpisy shora uvedeného technického zhodnocení pronajatých prostor</w:t>
      </w:r>
      <w:r w:rsidR="00227C1D">
        <w:rPr>
          <w:rFonts w:ascii="Times New Roman" w:hAnsi="Times New Roman"/>
          <w:sz w:val="22"/>
          <w:szCs w:val="22"/>
        </w:rPr>
        <w:t xml:space="preserve"> sloužících podnikání</w:t>
      </w:r>
      <w:r w:rsidR="00227C1D" w:rsidRPr="00B46853">
        <w:rPr>
          <w:rFonts w:ascii="Times New Roman" w:hAnsi="Times New Roman"/>
          <w:sz w:val="22"/>
          <w:szCs w:val="22"/>
        </w:rPr>
        <w:t>, s čímž pronajímatel tímto vyslovuje souhlas a prohlašuje, že</w:t>
      </w:r>
      <w:r w:rsidR="00227C1D">
        <w:rPr>
          <w:rFonts w:ascii="Times New Roman" w:hAnsi="Times New Roman"/>
          <w:sz w:val="22"/>
          <w:szCs w:val="22"/>
        </w:rPr>
        <w:t> </w:t>
      </w:r>
      <w:r w:rsidR="00227C1D" w:rsidRPr="00B46853">
        <w:rPr>
          <w:rFonts w:ascii="Times New Roman" w:hAnsi="Times New Roman"/>
          <w:sz w:val="22"/>
          <w:szCs w:val="22"/>
        </w:rPr>
        <w:t>u</w:t>
      </w:r>
      <w:r w:rsidR="00227C1D">
        <w:rPr>
          <w:rFonts w:ascii="Times New Roman" w:hAnsi="Times New Roman"/>
          <w:sz w:val="22"/>
          <w:szCs w:val="22"/>
        </w:rPr>
        <w:t> </w:t>
      </w:r>
      <w:r w:rsidR="00227C1D" w:rsidRPr="00B46853">
        <w:rPr>
          <w:rFonts w:ascii="Times New Roman" w:hAnsi="Times New Roman"/>
          <w:sz w:val="22"/>
          <w:szCs w:val="22"/>
        </w:rPr>
        <w:t>něj</w:t>
      </w:r>
      <w:r w:rsidR="00227C1D">
        <w:rPr>
          <w:rFonts w:ascii="Times New Roman" w:hAnsi="Times New Roman"/>
          <w:sz w:val="22"/>
          <w:szCs w:val="22"/>
        </w:rPr>
        <w:t> </w:t>
      </w:r>
      <w:r w:rsidR="00227C1D" w:rsidRPr="00B46853">
        <w:rPr>
          <w:rFonts w:ascii="Times New Roman" w:hAnsi="Times New Roman"/>
          <w:sz w:val="22"/>
          <w:szCs w:val="22"/>
        </w:rPr>
        <w:t>nedojde ke</w:t>
      </w:r>
      <w:r w:rsidR="00227C1D">
        <w:rPr>
          <w:rFonts w:ascii="Times New Roman" w:hAnsi="Times New Roman"/>
          <w:sz w:val="22"/>
          <w:szCs w:val="22"/>
        </w:rPr>
        <w:t> </w:t>
      </w:r>
      <w:r w:rsidR="00227C1D" w:rsidRPr="00B46853">
        <w:rPr>
          <w:rFonts w:ascii="Times New Roman" w:hAnsi="Times New Roman"/>
          <w:sz w:val="22"/>
          <w:szCs w:val="22"/>
        </w:rPr>
        <w:t>zvýšení vstupní ceny majetku o výdaje z titulu nájemcem provedeného technického zhodnocení.</w:t>
      </w:r>
      <w:r w:rsidR="00227C1D">
        <w:rPr>
          <w:rFonts w:ascii="Times New Roman" w:hAnsi="Times New Roman"/>
          <w:sz w:val="22"/>
          <w:szCs w:val="22"/>
        </w:rPr>
        <w:t xml:space="preserve"> </w:t>
      </w:r>
      <w:r w:rsidR="00227C1D" w:rsidRPr="00B46853">
        <w:rPr>
          <w:rFonts w:ascii="Times New Roman" w:hAnsi="Times New Roman"/>
          <w:sz w:val="22"/>
          <w:szCs w:val="22"/>
        </w:rPr>
        <w:t>Při</w:t>
      </w:r>
      <w:r w:rsidR="00227C1D">
        <w:rPr>
          <w:rFonts w:ascii="Times New Roman" w:hAnsi="Times New Roman"/>
          <w:sz w:val="22"/>
          <w:szCs w:val="22"/>
        </w:rPr>
        <w:t> </w:t>
      </w:r>
      <w:r w:rsidR="00227C1D" w:rsidRPr="00B46853">
        <w:rPr>
          <w:rFonts w:ascii="Times New Roman" w:hAnsi="Times New Roman"/>
          <w:sz w:val="22"/>
          <w:szCs w:val="22"/>
        </w:rPr>
        <w:t xml:space="preserve">odepisování technického zhodnocení postupuje nájemce způsobem stanoveným pro hmotný majetek a zatřídí technické zhodnocení </w:t>
      </w:r>
      <w:r w:rsidR="00B22C50" w:rsidRPr="00B22C50">
        <w:rPr>
          <w:rFonts w:ascii="Times New Roman" w:hAnsi="Times New Roman"/>
          <w:sz w:val="22"/>
          <w:szCs w:val="22"/>
        </w:rPr>
        <w:t>do příslušné odpisové skupiny</w:t>
      </w:r>
      <w:r w:rsidR="00227C1D" w:rsidRPr="00B46853">
        <w:rPr>
          <w:rFonts w:ascii="Times New Roman" w:hAnsi="Times New Roman"/>
          <w:sz w:val="22"/>
          <w:szCs w:val="22"/>
        </w:rPr>
        <w:t>, ve</w:t>
      </w:r>
      <w:r w:rsidR="00227C1D">
        <w:rPr>
          <w:rFonts w:ascii="Times New Roman" w:hAnsi="Times New Roman"/>
          <w:sz w:val="22"/>
          <w:szCs w:val="22"/>
        </w:rPr>
        <w:t> </w:t>
      </w:r>
      <w:r w:rsidR="00227C1D" w:rsidRPr="00B46853">
        <w:rPr>
          <w:rFonts w:ascii="Times New Roman" w:hAnsi="Times New Roman"/>
          <w:sz w:val="22"/>
          <w:szCs w:val="22"/>
        </w:rPr>
        <w:t>které</w:t>
      </w:r>
      <w:r w:rsidR="00227C1D">
        <w:rPr>
          <w:rFonts w:ascii="Times New Roman" w:hAnsi="Times New Roman"/>
          <w:sz w:val="22"/>
          <w:szCs w:val="22"/>
        </w:rPr>
        <w:t> </w:t>
      </w:r>
      <w:r w:rsidR="00227C1D" w:rsidRPr="00B46853">
        <w:rPr>
          <w:rFonts w:ascii="Times New Roman" w:hAnsi="Times New Roman"/>
          <w:sz w:val="22"/>
          <w:szCs w:val="22"/>
        </w:rPr>
        <w:t>j</w:t>
      </w:r>
      <w:r w:rsidR="00227C1D">
        <w:rPr>
          <w:rFonts w:ascii="Times New Roman" w:hAnsi="Times New Roman"/>
          <w:sz w:val="22"/>
          <w:szCs w:val="22"/>
        </w:rPr>
        <w:t xml:space="preserve">sou </w:t>
      </w:r>
      <w:r w:rsidR="00227C1D" w:rsidRPr="00B46853">
        <w:rPr>
          <w:rFonts w:ascii="Times New Roman" w:hAnsi="Times New Roman"/>
          <w:sz w:val="22"/>
          <w:szCs w:val="22"/>
        </w:rPr>
        <w:t>prostor</w:t>
      </w:r>
      <w:r w:rsidR="00227C1D">
        <w:rPr>
          <w:rFonts w:ascii="Times New Roman" w:hAnsi="Times New Roman"/>
          <w:sz w:val="22"/>
          <w:szCs w:val="22"/>
        </w:rPr>
        <w:t>y sloužící podnikání</w:t>
      </w:r>
      <w:r w:rsidR="00227C1D" w:rsidRPr="00B46853">
        <w:rPr>
          <w:rFonts w:ascii="Times New Roman" w:hAnsi="Times New Roman"/>
          <w:sz w:val="22"/>
          <w:szCs w:val="22"/>
        </w:rPr>
        <w:t xml:space="preserve"> </w:t>
      </w:r>
      <w:r w:rsidR="00227C1D">
        <w:rPr>
          <w:rFonts w:ascii="Times New Roman" w:hAnsi="Times New Roman"/>
          <w:sz w:val="22"/>
          <w:szCs w:val="22"/>
        </w:rPr>
        <w:t>p</w:t>
      </w:r>
      <w:r w:rsidR="00227C1D" w:rsidRPr="00B46853">
        <w:rPr>
          <w:rFonts w:ascii="Times New Roman" w:hAnsi="Times New Roman"/>
          <w:sz w:val="22"/>
          <w:szCs w:val="22"/>
        </w:rPr>
        <w:t>ronajímatelem zařazen</w:t>
      </w:r>
      <w:r w:rsidR="00227C1D">
        <w:rPr>
          <w:rFonts w:ascii="Times New Roman" w:hAnsi="Times New Roman"/>
          <w:sz w:val="22"/>
          <w:szCs w:val="22"/>
        </w:rPr>
        <w:t>y</w:t>
      </w:r>
      <w:r w:rsidR="00227C1D" w:rsidRPr="00B46853">
        <w:rPr>
          <w:rStyle w:val="Odkaznakoment"/>
          <w:rFonts w:ascii="Times New Roman" w:hAnsi="Times New Roman"/>
          <w:sz w:val="22"/>
          <w:szCs w:val="22"/>
          <w:lang w:val="x-none"/>
        </w:rPr>
        <w:t>, v</w:t>
      </w:r>
      <w:r w:rsidR="00227C1D" w:rsidRPr="00B46853">
        <w:rPr>
          <w:rFonts w:ascii="Times New Roman" w:hAnsi="Times New Roman"/>
          <w:sz w:val="22"/>
          <w:szCs w:val="22"/>
        </w:rPr>
        <w:t xml:space="preserve"> </w:t>
      </w:r>
      <w:r w:rsidR="00227C1D" w:rsidRPr="00A95075">
        <w:rPr>
          <w:rFonts w:ascii="Times New Roman" w:hAnsi="Times New Roman"/>
          <w:sz w:val="22"/>
          <w:szCs w:val="22"/>
        </w:rPr>
        <w:t>souladu s přílohou č. 1 zákona</w:t>
      </w:r>
      <w:r w:rsidR="00E82F21">
        <w:rPr>
          <w:rFonts w:ascii="Times New Roman" w:hAnsi="Times New Roman"/>
          <w:sz w:val="22"/>
          <w:szCs w:val="22"/>
        </w:rPr>
        <w:t> </w:t>
      </w:r>
      <w:r w:rsidR="00227C1D" w:rsidRPr="00A95075">
        <w:rPr>
          <w:rFonts w:ascii="Times New Roman" w:hAnsi="Times New Roman"/>
          <w:sz w:val="22"/>
          <w:szCs w:val="22"/>
        </w:rPr>
        <w:t>č. 586/1992 Sb., o daních z příjmů.</w:t>
      </w:r>
      <w:r w:rsidR="00781AE7">
        <w:rPr>
          <w:rFonts w:ascii="Times New Roman" w:hAnsi="Times New Roman"/>
          <w:sz w:val="22"/>
          <w:szCs w:val="22"/>
        </w:rPr>
        <w:t>“</w:t>
      </w:r>
    </w:p>
    <w:p w14:paraId="76FF27F5" w14:textId="77777777" w:rsidR="00227C1D" w:rsidRPr="004E6058" w:rsidRDefault="00227C1D" w:rsidP="0044721C">
      <w:pPr>
        <w:shd w:val="clear" w:color="auto" w:fill="FFFFFF"/>
        <w:jc w:val="both"/>
        <w:rPr>
          <w:rFonts w:ascii="Times New Roman" w:hAnsi="Times New Roman"/>
          <w:sz w:val="22"/>
          <w:szCs w:val="22"/>
        </w:rPr>
      </w:pPr>
    </w:p>
    <w:p w14:paraId="35ACDCD0" w14:textId="4FD93463" w:rsidR="001630ED" w:rsidRPr="00F66A08" w:rsidRDefault="00B76153" w:rsidP="00B76153">
      <w:pPr>
        <w:tabs>
          <w:tab w:val="left" w:pos="-7371"/>
        </w:tabs>
        <w:ind w:left="851" w:hanging="360"/>
        <w:jc w:val="both"/>
        <w:rPr>
          <w:rFonts w:ascii="Times New Roman" w:hAnsi="Times New Roman"/>
          <w:color w:val="000000"/>
          <w:sz w:val="22"/>
          <w:szCs w:val="22"/>
        </w:rPr>
      </w:pPr>
      <w:r w:rsidRPr="00F66A08">
        <w:rPr>
          <w:rFonts w:ascii="Times New Roman" w:hAnsi="Times New Roman"/>
          <w:color w:val="000000"/>
          <w:sz w:val="22"/>
          <w:szCs w:val="22"/>
        </w:rPr>
        <w:t>„4.</w:t>
      </w:r>
      <w:r w:rsidRPr="00F66A08">
        <w:rPr>
          <w:rFonts w:ascii="Times New Roman" w:hAnsi="Times New Roman"/>
          <w:color w:val="000000"/>
          <w:sz w:val="22"/>
          <w:szCs w:val="22"/>
        </w:rPr>
        <w:tab/>
        <w:t xml:space="preserve">Smluvní strany se dohodly, že </w:t>
      </w:r>
      <w:r w:rsidR="001630ED" w:rsidRPr="00F66A08">
        <w:rPr>
          <w:rFonts w:ascii="Times New Roman" w:hAnsi="Times New Roman"/>
          <w:color w:val="000000"/>
          <w:sz w:val="22"/>
          <w:szCs w:val="22"/>
        </w:rPr>
        <w:t>pro dodržení podmínky zachování výstupů projekt</w:t>
      </w:r>
      <w:r w:rsidR="00921C62" w:rsidRPr="00F66A08">
        <w:rPr>
          <w:rFonts w:ascii="Times New Roman" w:hAnsi="Times New Roman"/>
          <w:color w:val="000000"/>
          <w:sz w:val="22"/>
          <w:szCs w:val="22"/>
        </w:rPr>
        <w:t xml:space="preserve">ů </w:t>
      </w:r>
      <w:r w:rsidR="00921C62" w:rsidRPr="00EE02E4">
        <w:rPr>
          <w:rFonts w:ascii="Times New Roman" w:hAnsi="Times New Roman"/>
          <w:color w:val="000000"/>
          <w:sz w:val="22"/>
          <w:szCs w:val="22"/>
        </w:rPr>
        <w:t xml:space="preserve">“Turistické informační </w:t>
      </w:r>
      <w:r w:rsidR="00921C62" w:rsidRPr="004D0076">
        <w:rPr>
          <w:rFonts w:ascii="Times New Roman" w:hAnsi="Times New Roman"/>
          <w:color w:val="000000"/>
          <w:sz w:val="22"/>
          <w:szCs w:val="22"/>
        </w:rPr>
        <w:t xml:space="preserve">centrum Svinov“ a </w:t>
      </w:r>
      <w:r w:rsidR="00921C62" w:rsidRPr="004D0076">
        <w:rPr>
          <w:rFonts w:ascii="Times New Roman" w:hAnsi="Times New Roman"/>
          <w:sz w:val="22"/>
          <w:szCs w:val="22"/>
        </w:rPr>
        <w:t>„Modernizace turistického informačního centra OSTRAVAINFO!!!</w:t>
      </w:r>
      <w:r w:rsidR="00E82F21">
        <w:rPr>
          <w:rFonts w:ascii="Times New Roman" w:hAnsi="Times New Roman"/>
          <w:sz w:val="22"/>
          <w:szCs w:val="22"/>
        </w:rPr>
        <w:t> </w:t>
      </w:r>
      <w:r w:rsidR="00172179" w:rsidRPr="004D0076">
        <w:rPr>
          <w:rFonts w:ascii="Times New Roman" w:hAnsi="Times New Roman"/>
          <w:sz w:val="22"/>
          <w:szCs w:val="22"/>
        </w:rPr>
        <w:t>- Věž</w:t>
      </w:r>
      <w:r w:rsidR="00921C62" w:rsidRPr="004D0076">
        <w:rPr>
          <w:rFonts w:ascii="Times New Roman" w:hAnsi="Times New Roman"/>
          <w:sz w:val="22"/>
          <w:szCs w:val="22"/>
        </w:rPr>
        <w:t xml:space="preserve">“ </w:t>
      </w:r>
      <w:r w:rsidR="001630ED" w:rsidRPr="004D0076">
        <w:rPr>
          <w:rFonts w:ascii="Times New Roman" w:hAnsi="Times New Roman"/>
          <w:color w:val="000000"/>
          <w:sz w:val="22"/>
          <w:szCs w:val="22"/>
        </w:rPr>
        <w:t>minimálně po dobu je</w:t>
      </w:r>
      <w:r w:rsidR="00CE08CC" w:rsidRPr="004D0076">
        <w:rPr>
          <w:rFonts w:ascii="Times New Roman" w:hAnsi="Times New Roman"/>
          <w:color w:val="000000"/>
          <w:sz w:val="22"/>
          <w:szCs w:val="22"/>
        </w:rPr>
        <w:t>jich</w:t>
      </w:r>
      <w:r w:rsidR="001630ED" w:rsidRPr="004D0076">
        <w:rPr>
          <w:rFonts w:ascii="Times New Roman" w:hAnsi="Times New Roman"/>
          <w:color w:val="000000"/>
          <w:sz w:val="22"/>
          <w:szCs w:val="22"/>
        </w:rPr>
        <w:t xml:space="preserve"> udržitelnosti definované smlouvou mezi</w:t>
      </w:r>
      <w:r w:rsidR="00921C62" w:rsidRPr="004D0076">
        <w:rPr>
          <w:rFonts w:ascii="Times New Roman" w:hAnsi="Times New Roman"/>
          <w:color w:val="000000"/>
          <w:sz w:val="22"/>
          <w:szCs w:val="22"/>
        </w:rPr>
        <w:t> </w:t>
      </w:r>
      <w:r w:rsidR="001630ED" w:rsidRPr="004D0076">
        <w:rPr>
          <w:rFonts w:ascii="Times New Roman" w:hAnsi="Times New Roman"/>
          <w:color w:val="000000"/>
          <w:sz w:val="22"/>
          <w:szCs w:val="22"/>
        </w:rPr>
        <w:t>poskytovatelem dotace</w:t>
      </w:r>
      <w:r w:rsidR="008168B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44721C">
        <w:rPr>
          <w:rFonts w:ascii="Times New Roman" w:hAnsi="Times New Roman"/>
          <w:color w:val="000000"/>
          <w:sz w:val="22"/>
          <w:szCs w:val="22"/>
        </w:rPr>
        <w:t>Centrum pro regionální rozvoj České republiky</w:t>
      </w:r>
      <w:r w:rsidR="001630ED" w:rsidRPr="00F66A08">
        <w:rPr>
          <w:rFonts w:ascii="Times New Roman" w:hAnsi="Times New Roman"/>
          <w:color w:val="000000"/>
          <w:sz w:val="22"/>
          <w:szCs w:val="22"/>
        </w:rPr>
        <w:t xml:space="preserve"> a příjemcem dotace</w:t>
      </w:r>
      <w:r w:rsidR="008168B0">
        <w:rPr>
          <w:rFonts w:ascii="Times New Roman" w:hAnsi="Times New Roman"/>
          <w:color w:val="000000"/>
          <w:sz w:val="22"/>
          <w:szCs w:val="22"/>
        </w:rPr>
        <w:t xml:space="preserve"> (nájemcem)</w:t>
      </w:r>
      <w:r w:rsidR="001630ED" w:rsidRPr="00F66A08">
        <w:rPr>
          <w:rFonts w:ascii="Times New Roman" w:hAnsi="Times New Roman"/>
          <w:color w:val="000000"/>
          <w:sz w:val="22"/>
          <w:szCs w:val="22"/>
        </w:rPr>
        <w:t>, tj. minimálně po dobu 5 let od finančního ukončení projekt</w:t>
      </w:r>
      <w:r w:rsidR="00921C62" w:rsidRPr="00F66A08">
        <w:rPr>
          <w:rFonts w:ascii="Times New Roman" w:hAnsi="Times New Roman"/>
          <w:color w:val="000000"/>
          <w:sz w:val="22"/>
          <w:szCs w:val="22"/>
        </w:rPr>
        <w:t>ů</w:t>
      </w:r>
      <w:r w:rsidR="001630ED" w:rsidRPr="00F66A08">
        <w:rPr>
          <w:rFonts w:ascii="Times New Roman" w:hAnsi="Times New Roman"/>
          <w:color w:val="000000"/>
          <w:sz w:val="22"/>
          <w:szCs w:val="22"/>
        </w:rPr>
        <w:t>, pronajímatel</w:t>
      </w:r>
      <w:r w:rsidR="008168B0">
        <w:rPr>
          <w:rFonts w:ascii="Times New Roman" w:hAnsi="Times New Roman"/>
          <w:color w:val="000000"/>
          <w:sz w:val="22"/>
          <w:szCs w:val="22"/>
        </w:rPr>
        <w:t xml:space="preserve"> není</w:t>
      </w:r>
      <w:r w:rsidR="0044721C">
        <w:rPr>
          <w:rFonts w:ascii="Times New Roman" w:hAnsi="Times New Roman"/>
          <w:color w:val="000000"/>
          <w:sz w:val="22"/>
          <w:szCs w:val="22"/>
        </w:rPr>
        <w:t> </w:t>
      </w:r>
      <w:r w:rsidR="008168B0">
        <w:rPr>
          <w:rFonts w:ascii="Times New Roman" w:hAnsi="Times New Roman"/>
          <w:color w:val="000000"/>
          <w:sz w:val="22"/>
          <w:szCs w:val="22"/>
        </w:rPr>
        <w:t>oprávněn</w:t>
      </w:r>
      <w:r w:rsidR="001630ED" w:rsidRPr="00F66A0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68B0">
        <w:rPr>
          <w:rFonts w:ascii="Times New Roman" w:hAnsi="Times New Roman"/>
          <w:color w:val="000000"/>
          <w:sz w:val="22"/>
          <w:szCs w:val="22"/>
        </w:rPr>
        <w:t xml:space="preserve">vypovědět </w:t>
      </w:r>
      <w:r w:rsidR="001630ED" w:rsidRPr="00F66A08">
        <w:rPr>
          <w:rFonts w:ascii="Times New Roman" w:hAnsi="Times New Roman"/>
          <w:color w:val="000000"/>
          <w:sz w:val="22"/>
          <w:szCs w:val="22"/>
        </w:rPr>
        <w:t>nájemci</w:t>
      </w:r>
      <w:r w:rsidR="00921C62" w:rsidRPr="00F66A08">
        <w:rPr>
          <w:rFonts w:ascii="Times New Roman" w:hAnsi="Times New Roman"/>
          <w:color w:val="000000"/>
          <w:sz w:val="22"/>
          <w:szCs w:val="22"/>
        </w:rPr>
        <w:t xml:space="preserve"> smluvní vztah</w:t>
      </w:r>
      <w:r w:rsidR="008168B0">
        <w:rPr>
          <w:rFonts w:ascii="Times New Roman" w:hAnsi="Times New Roman"/>
          <w:color w:val="000000"/>
          <w:sz w:val="22"/>
          <w:szCs w:val="22"/>
        </w:rPr>
        <w:t xml:space="preserve"> dle čl. IV. odst. 2 písm. b) této smlouvy</w:t>
      </w:r>
      <w:r w:rsidR="00921C62" w:rsidRPr="00F66A08">
        <w:rPr>
          <w:rFonts w:ascii="Times New Roman" w:hAnsi="Times New Roman"/>
          <w:color w:val="000000"/>
          <w:sz w:val="22"/>
          <w:szCs w:val="22"/>
        </w:rPr>
        <w:t>.</w:t>
      </w:r>
      <w:r w:rsidR="008168B0">
        <w:rPr>
          <w:rFonts w:ascii="Times New Roman" w:hAnsi="Times New Roman"/>
          <w:color w:val="000000"/>
          <w:sz w:val="22"/>
          <w:szCs w:val="22"/>
        </w:rPr>
        <w:t xml:space="preserve"> Pokud nájemce nepředloží pronajímateli vyrozumění o dřívější realizaci uvedených projektů má se za to, že k realizaci došlo dne 29.06.2027 a pronajímatel nemůže podat výpověď dle čl. IV. odst. 2 písm.</w:t>
      </w:r>
      <w:r w:rsidR="0044721C">
        <w:rPr>
          <w:rFonts w:ascii="Times New Roman" w:hAnsi="Times New Roman"/>
          <w:color w:val="000000"/>
          <w:sz w:val="22"/>
          <w:szCs w:val="22"/>
        </w:rPr>
        <w:t> </w:t>
      </w:r>
      <w:r w:rsidR="008168B0">
        <w:rPr>
          <w:rFonts w:ascii="Times New Roman" w:hAnsi="Times New Roman"/>
          <w:color w:val="000000"/>
          <w:sz w:val="22"/>
          <w:szCs w:val="22"/>
        </w:rPr>
        <w:t>b) této smlouvy v době od 30.06.2027 do 30.06.2032.</w:t>
      </w:r>
      <w:r w:rsidR="00921C62" w:rsidRPr="00F66A08">
        <w:rPr>
          <w:rFonts w:ascii="Times New Roman" w:hAnsi="Times New Roman"/>
          <w:color w:val="000000"/>
          <w:sz w:val="22"/>
          <w:szCs w:val="22"/>
        </w:rPr>
        <w:t>“</w:t>
      </w:r>
    </w:p>
    <w:p w14:paraId="439FE650" w14:textId="77777777" w:rsidR="001630ED" w:rsidRPr="00F66A08" w:rsidRDefault="001630ED" w:rsidP="0044721C">
      <w:pPr>
        <w:tabs>
          <w:tab w:val="left" w:pos="-7371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6853613A" w14:textId="69C31043" w:rsidR="002164FD" w:rsidRPr="002164FD" w:rsidRDefault="002164FD" w:rsidP="002164FD">
      <w:pPr>
        <w:tabs>
          <w:tab w:val="left" w:pos="-7371"/>
        </w:tabs>
        <w:ind w:left="851" w:hanging="360"/>
        <w:jc w:val="both"/>
        <w:rPr>
          <w:rFonts w:ascii="Times New Roman" w:hAnsi="Times New Roman"/>
          <w:bCs/>
          <w:sz w:val="22"/>
          <w:szCs w:val="22"/>
        </w:rPr>
      </w:pPr>
      <w:r w:rsidRPr="002164FD">
        <w:rPr>
          <w:rFonts w:ascii="Times New Roman" w:hAnsi="Times New Roman"/>
          <w:sz w:val="22"/>
          <w:szCs w:val="22"/>
        </w:rPr>
        <w:t>„</w:t>
      </w:r>
      <w:r w:rsidR="00B76153">
        <w:rPr>
          <w:rFonts w:ascii="Times New Roman" w:hAnsi="Times New Roman"/>
          <w:sz w:val="22"/>
          <w:szCs w:val="22"/>
        </w:rPr>
        <w:t>5</w:t>
      </w:r>
      <w:r w:rsidRPr="002164FD">
        <w:rPr>
          <w:rFonts w:ascii="Times New Roman" w:hAnsi="Times New Roman"/>
          <w:sz w:val="22"/>
          <w:szCs w:val="22"/>
        </w:rPr>
        <w:t>.</w:t>
      </w:r>
      <w:r w:rsidRPr="002164FD">
        <w:rPr>
          <w:rFonts w:ascii="Times New Roman" w:hAnsi="Times New Roman"/>
          <w:sz w:val="22"/>
          <w:szCs w:val="22"/>
        </w:rPr>
        <w:tab/>
      </w:r>
      <w:r w:rsidR="003A7E1C">
        <w:rPr>
          <w:rFonts w:ascii="Times New Roman" w:hAnsi="Times New Roman"/>
          <w:sz w:val="22"/>
          <w:szCs w:val="22"/>
        </w:rPr>
        <w:t>Pro vyloučení pochybností s</w:t>
      </w:r>
      <w:r w:rsidRPr="002164FD">
        <w:rPr>
          <w:rFonts w:ascii="Times New Roman" w:hAnsi="Times New Roman"/>
          <w:sz w:val="22"/>
          <w:szCs w:val="22"/>
        </w:rPr>
        <w:t xml:space="preserve">mluvní strany </w:t>
      </w:r>
      <w:r w:rsidR="003A7E1C">
        <w:rPr>
          <w:rFonts w:ascii="Times New Roman" w:hAnsi="Times New Roman"/>
          <w:sz w:val="22"/>
          <w:szCs w:val="22"/>
        </w:rPr>
        <w:t>souhlasně prohlašují</w:t>
      </w:r>
      <w:r w:rsidRPr="002164FD">
        <w:rPr>
          <w:rFonts w:ascii="Times New Roman" w:hAnsi="Times New Roman"/>
          <w:sz w:val="22"/>
          <w:szCs w:val="22"/>
        </w:rPr>
        <w:t>, že pronajímatel není povinen k úhradě nákladů vynaložených nájemcem na stavební, technické či jiné úpravy předmětu nájmu provedené nájemcem, pokud</w:t>
      </w:r>
      <w:r w:rsidR="00781AE7">
        <w:rPr>
          <w:rFonts w:ascii="Times New Roman" w:hAnsi="Times New Roman"/>
          <w:sz w:val="22"/>
          <w:szCs w:val="22"/>
        </w:rPr>
        <w:t> </w:t>
      </w:r>
      <w:r w:rsidRPr="002164FD">
        <w:rPr>
          <w:rFonts w:ascii="Times New Roman" w:hAnsi="Times New Roman"/>
          <w:sz w:val="22"/>
          <w:szCs w:val="22"/>
        </w:rPr>
        <w:t>nebude dohodnuto jinak. Nájemce se vzdává práva na protihodnotu toho, co takto vynaložil kdykoli za dobu trvání nájmu a o co se realizací stavebních úprav předmětu</w:t>
      </w:r>
      <w:r w:rsidR="00E82F21">
        <w:rPr>
          <w:rFonts w:ascii="Times New Roman" w:hAnsi="Times New Roman"/>
          <w:sz w:val="22"/>
          <w:szCs w:val="22"/>
        </w:rPr>
        <w:t> </w:t>
      </w:r>
      <w:r w:rsidRPr="002164FD">
        <w:rPr>
          <w:rFonts w:ascii="Times New Roman" w:hAnsi="Times New Roman"/>
          <w:sz w:val="22"/>
          <w:szCs w:val="22"/>
        </w:rPr>
        <w:t>nájmu zvýšila hodnota předmětu nájmu.</w:t>
      </w:r>
      <w:r w:rsidRPr="002164FD">
        <w:rPr>
          <w:rFonts w:ascii="Times New Roman" w:hAnsi="Times New Roman"/>
          <w:bCs/>
          <w:sz w:val="22"/>
          <w:szCs w:val="22"/>
        </w:rPr>
        <w:t>“</w:t>
      </w:r>
    </w:p>
    <w:p w14:paraId="61C5E9ED" w14:textId="77777777" w:rsidR="009B6A08" w:rsidRPr="002164FD" w:rsidRDefault="009B6A08" w:rsidP="002164FD">
      <w:pPr>
        <w:pStyle w:val="Odstavecseseznamem"/>
        <w:ind w:left="0"/>
        <w:rPr>
          <w:rFonts w:ascii="Times New Roman" w:hAnsi="Times New Roman"/>
          <w:sz w:val="22"/>
          <w:szCs w:val="22"/>
        </w:rPr>
      </w:pPr>
    </w:p>
    <w:p w14:paraId="00AC0C9B" w14:textId="77777777" w:rsidR="00512363" w:rsidRPr="0036338C" w:rsidRDefault="00951F7A" w:rsidP="0036338C">
      <w:pPr>
        <w:pStyle w:val="Podnadpis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Pr="00FB2301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</w:rPr>
        <w:t>I</w:t>
      </w:r>
      <w:r w:rsidRPr="00FB2301">
        <w:rPr>
          <w:rFonts w:ascii="Arial" w:hAnsi="Arial" w:cs="Arial"/>
          <w:b/>
          <w:sz w:val="24"/>
          <w:szCs w:val="24"/>
        </w:rPr>
        <w:t>.</w:t>
      </w:r>
    </w:p>
    <w:p w14:paraId="636C522D" w14:textId="77777777" w:rsidR="00170CA5" w:rsidRPr="0044721C" w:rsidRDefault="00170CA5" w:rsidP="0044721C">
      <w:pPr>
        <w:pStyle w:val="Podnadpis"/>
        <w:numPr>
          <w:ilvl w:val="0"/>
          <w:numId w:val="36"/>
        </w:numPr>
        <w:tabs>
          <w:tab w:val="clear" w:pos="360"/>
        </w:tabs>
        <w:jc w:val="both"/>
        <w:rPr>
          <w:color w:val="auto"/>
          <w:sz w:val="22"/>
          <w:szCs w:val="22"/>
        </w:rPr>
      </w:pPr>
      <w:r w:rsidRPr="0044721C">
        <w:rPr>
          <w:color w:val="auto"/>
          <w:sz w:val="22"/>
          <w:szCs w:val="22"/>
        </w:rPr>
        <w:t xml:space="preserve">Ostatní ujednání </w:t>
      </w:r>
      <w:r w:rsidR="00566F8B" w:rsidRPr="0044721C">
        <w:rPr>
          <w:color w:val="auto"/>
          <w:sz w:val="22"/>
          <w:szCs w:val="22"/>
        </w:rPr>
        <w:t xml:space="preserve">nájemní </w:t>
      </w:r>
      <w:r w:rsidRPr="0044721C">
        <w:rPr>
          <w:color w:val="auto"/>
          <w:sz w:val="22"/>
          <w:szCs w:val="22"/>
        </w:rPr>
        <w:t xml:space="preserve">smlouvy </w:t>
      </w:r>
      <w:r w:rsidR="002B1499" w:rsidRPr="0044721C">
        <w:rPr>
          <w:color w:val="auto"/>
          <w:sz w:val="22"/>
          <w:szCs w:val="22"/>
        </w:rPr>
        <w:t xml:space="preserve">ev. č. </w:t>
      </w:r>
      <w:r w:rsidR="00566F8B" w:rsidRPr="0044721C">
        <w:rPr>
          <w:color w:val="auto"/>
          <w:sz w:val="22"/>
          <w:szCs w:val="22"/>
        </w:rPr>
        <w:t>3116/2008</w:t>
      </w:r>
      <w:r w:rsidR="002B1499" w:rsidRPr="0044721C">
        <w:rPr>
          <w:color w:val="auto"/>
          <w:sz w:val="22"/>
          <w:szCs w:val="22"/>
        </w:rPr>
        <w:t>/MJ</w:t>
      </w:r>
      <w:r w:rsidR="00936005" w:rsidRPr="0044721C">
        <w:rPr>
          <w:color w:val="auto"/>
          <w:sz w:val="22"/>
          <w:szCs w:val="22"/>
        </w:rPr>
        <w:t>,</w:t>
      </w:r>
      <w:r w:rsidR="00512363" w:rsidRPr="0044721C">
        <w:rPr>
          <w:color w:val="auto"/>
          <w:sz w:val="22"/>
          <w:szCs w:val="22"/>
        </w:rPr>
        <w:t xml:space="preserve"> ve znění dodatk</w:t>
      </w:r>
      <w:r w:rsidR="00DA3257" w:rsidRPr="0044721C">
        <w:rPr>
          <w:color w:val="auto"/>
          <w:sz w:val="22"/>
          <w:szCs w:val="22"/>
        </w:rPr>
        <w:t>ů</w:t>
      </w:r>
      <w:r w:rsidR="00512363" w:rsidRPr="0044721C">
        <w:rPr>
          <w:color w:val="auto"/>
          <w:sz w:val="22"/>
          <w:szCs w:val="22"/>
        </w:rPr>
        <w:t xml:space="preserve"> č. 1</w:t>
      </w:r>
      <w:r w:rsidR="00DA3257" w:rsidRPr="0044721C">
        <w:rPr>
          <w:color w:val="auto"/>
          <w:sz w:val="22"/>
          <w:szCs w:val="22"/>
        </w:rPr>
        <w:t xml:space="preserve"> a</w:t>
      </w:r>
      <w:r w:rsidR="00566F8B" w:rsidRPr="0044721C">
        <w:rPr>
          <w:color w:val="auto"/>
          <w:sz w:val="22"/>
          <w:szCs w:val="22"/>
        </w:rPr>
        <w:t>ž</w:t>
      </w:r>
      <w:r w:rsidR="00DA3257" w:rsidRPr="0044721C">
        <w:rPr>
          <w:color w:val="auto"/>
          <w:sz w:val="22"/>
          <w:szCs w:val="22"/>
        </w:rPr>
        <w:t xml:space="preserve"> č. </w:t>
      </w:r>
      <w:r w:rsidR="00566F8B" w:rsidRPr="0044721C">
        <w:rPr>
          <w:color w:val="auto"/>
          <w:sz w:val="22"/>
          <w:szCs w:val="22"/>
        </w:rPr>
        <w:t>4</w:t>
      </w:r>
      <w:r w:rsidR="00936005" w:rsidRPr="0044721C">
        <w:rPr>
          <w:color w:val="auto"/>
          <w:sz w:val="22"/>
          <w:szCs w:val="22"/>
        </w:rPr>
        <w:t>,</w:t>
      </w:r>
      <w:r w:rsidR="002B1499" w:rsidRPr="0044721C">
        <w:rPr>
          <w:color w:val="auto"/>
          <w:sz w:val="22"/>
          <w:szCs w:val="22"/>
        </w:rPr>
        <w:t xml:space="preserve"> </w:t>
      </w:r>
      <w:r w:rsidRPr="0044721C">
        <w:rPr>
          <w:color w:val="auto"/>
          <w:sz w:val="22"/>
          <w:szCs w:val="22"/>
        </w:rPr>
        <w:t>zůstávají nezměněna.</w:t>
      </w:r>
    </w:p>
    <w:p w14:paraId="4D996735" w14:textId="77777777" w:rsidR="0036338C" w:rsidRPr="0044721C" w:rsidRDefault="0036338C" w:rsidP="0044721C">
      <w:pPr>
        <w:pStyle w:val="Odstavecseseznamem"/>
        <w:ind w:left="426" w:hanging="426"/>
        <w:rPr>
          <w:rFonts w:ascii="Times New Roman" w:hAnsi="Times New Roman"/>
          <w:sz w:val="22"/>
          <w:szCs w:val="22"/>
        </w:rPr>
      </w:pPr>
    </w:p>
    <w:p w14:paraId="11193FE9" w14:textId="77777777" w:rsidR="00936005" w:rsidRPr="0044721C" w:rsidRDefault="00566F8B" w:rsidP="0044721C">
      <w:pPr>
        <w:pStyle w:val="Podnadpis"/>
        <w:numPr>
          <w:ilvl w:val="0"/>
          <w:numId w:val="36"/>
        </w:numPr>
        <w:tabs>
          <w:tab w:val="clear" w:pos="360"/>
        </w:tabs>
        <w:jc w:val="both"/>
        <w:rPr>
          <w:color w:val="auto"/>
          <w:sz w:val="22"/>
          <w:szCs w:val="22"/>
        </w:rPr>
      </w:pPr>
      <w:r w:rsidRPr="0044721C">
        <w:rPr>
          <w:color w:val="auto"/>
          <w:sz w:val="22"/>
          <w:szCs w:val="22"/>
        </w:rPr>
        <w:t xml:space="preserve">Dodatek nabývá platnosti dnem jeho uzavření, tj. dnem jeho podpisu poslední smluvní stranou. Tento dodatek </w:t>
      </w:r>
      <w:r w:rsidR="00936005" w:rsidRPr="0044721C">
        <w:rPr>
          <w:sz w:val="22"/>
          <w:szCs w:val="22"/>
        </w:rPr>
        <w:t>nabývá účinnosti dnem jeho uveřejnění v registru smluv v souladu se zákonem č. 340/2015 Sb., o zvláštních podmínkách účinnosti některých smluv, uveřejňování těchto smluv a o registru smluv, ve znění pozdějších předpisů (dále jen „zákon o registru smluv“). Smluvní strany se dohodly, že uveřejnění tohoto dodatku dle zákona o registru smluv zajistí pronajímatel.</w:t>
      </w:r>
    </w:p>
    <w:p w14:paraId="10B59774" w14:textId="77777777" w:rsidR="00936005" w:rsidRPr="0044721C" w:rsidRDefault="00936005" w:rsidP="0044721C">
      <w:pPr>
        <w:pStyle w:val="Odstavecseseznamem"/>
        <w:ind w:left="284" w:hanging="284"/>
        <w:rPr>
          <w:rFonts w:ascii="Times New Roman" w:hAnsi="Times New Roman"/>
          <w:sz w:val="22"/>
          <w:szCs w:val="22"/>
        </w:rPr>
      </w:pPr>
    </w:p>
    <w:p w14:paraId="217FED66" w14:textId="77777777" w:rsidR="002B1499" w:rsidRPr="0044721C" w:rsidRDefault="002B1499" w:rsidP="0044721C">
      <w:pPr>
        <w:pStyle w:val="Podnadpis"/>
        <w:numPr>
          <w:ilvl w:val="0"/>
          <w:numId w:val="36"/>
        </w:numPr>
        <w:tabs>
          <w:tab w:val="clear" w:pos="360"/>
        </w:tabs>
        <w:suppressAutoHyphens/>
        <w:jc w:val="both"/>
        <w:rPr>
          <w:color w:val="auto"/>
          <w:sz w:val="22"/>
          <w:szCs w:val="22"/>
        </w:rPr>
      </w:pPr>
      <w:r w:rsidRPr="0044721C">
        <w:rPr>
          <w:color w:val="auto"/>
          <w:sz w:val="22"/>
          <w:szCs w:val="22"/>
        </w:rPr>
        <w:t>Smluvní strany se dohodly ve smyslu § 1740 odst. 2 a 3 zákona č. 89/2012 Sb., občanský zákoník, ve znění pozdějších předpisů, že vylučují přijetí nabídky, která vyjadřuje obsah návrhu smlouvy jinými slovy, i přijetí nabídky s dodatkem nebo odchylkou, i když dodatek či odchylka podstatně nemění podmínky nabídky.</w:t>
      </w:r>
    </w:p>
    <w:p w14:paraId="43C314A2" w14:textId="77777777" w:rsidR="002B1499" w:rsidRPr="0044721C" w:rsidRDefault="002B1499" w:rsidP="0044721C">
      <w:pPr>
        <w:pStyle w:val="Odstavecseseznamem"/>
        <w:ind w:left="284" w:hanging="284"/>
        <w:rPr>
          <w:rFonts w:ascii="Times New Roman" w:hAnsi="Times New Roman"/>
          <w:sz w:val="22"/>
          <w:szCs w:val="22"/>
        </w:rPr>
      </w:pPr>
    </w:p>
    <w:p w14:paraId="2DFB55A2" w14:textId="77777777" w:rsidR="002B1499" w:rsidRPr="0044721C" w:rsidRDefault="002B1499" w:rsidP="0044721C">
      <w:pPr>
        <w:pStyle w:val="Podnadpis"/>
        <w:numPr>
          <w:ilvl w:val="0"/>
          <w:numId w:val="36"/>
        </w:numPr>
        <w:tabs>
          <w:tab w:val="clear" w:pos="360"/>
        </w:tabs>
        <w:suppressAutoHyphens/>
        <w:jc w:val="both"/>
        <w:rPr>
          <w:color w:val="auto"/>
          <w:sz w:val="22"/>
          <w:szCs w:val="22"/>
        </w:rPr>
      </w:pPr>
      <w:r w:rsidRPr="0044721C">
        <w:rPr>
          <w:color w:val="auto"/>
          <w:sz w:val="22"/>
          <w:szCs w:val="22"/>
        </w:rPr>
        <w:t>Smluvní strany prohlašují, že si t</w:t>
      </w:r>
      <w:r w:rsidR="00460125" w:rsidRPr="0044721C">
        <w:rPr>
          <w:color w:val="auto"/>
          <w:sz w:val="22"/>
          <w:szCs w:val="22"/>
        </w:rPr>
        <w:t>en</w:t>
      </w:r>
      <w:r w:rsidRPr="0044721C">
        <w:rPr>
          <w:color w:val="auto"/>
          <w:sz w:val="22"/>
          <w:szCs w:val="22"/>
        </w:rPr>
        <w:t xml:space="preserve">to </w:t>
      </w:r>
      <w:r w:rsidR="00460125" w:rsidRPr="0044721C">
        <w:rPr>
          <w:color w:val="auto"/>
          <w:sz w:val="22"/>
          <w:szCs w:val="22"/>
        </w:rPr>
        <w:t>dodatek</w:t>
      </w:r>
      <w:r w:rsidRPr="0044721C">
        <w:rPr>
          <w:color w:val="auto"/>
          <w:sz w:val="22"/>
          <w:szCs w:val="22"/>
        </w:rPr>
        <w:t xml:space="preserve"> před je</w:t>
      </w:r>
      <w:r w:rsidR="00460125" w:rsidRPr="0044721C">
        <w:rPr>
          <w:color w:val="auto"/>
          <w:sz w:val="22"/>
          <w:szCs w:val="22"/>
        </w:rPr>
        <w:t>ho</w:t>
      </w:r>
      <w:r w:rsidRPr="0044721C">
        <w:rPr>
          <w:color w:val="auto"/>
          <w:sz w:val="22"/>
          <w:szCs w:val="22"/>
        </w:rPr>
        <w:t xml:space="preserve"> podpisem přečetly a že byl uzavřen po vzájemném projednání podle jejich pravé a svobodné vůle, určitě, vážně </w:t>
      </w:r>
      <w:r w:rsidRPr="0044721C">
        <w:rPr>
          <w:color w:val="auto"/>
          <w:sz w:val="22"/>
          <w:szCs w:val="22"/>
        </w:rPr>
        <w:br/>
        <w:t>a srozumitelně, nikoli v tísni za nápadně nevýhodných podmínek.</w:t>
      </w:r>
    </w:p>
    <w:p w14:paraId="1E10E5F8" w14:textId="77777777" w:rsidR="001A4690" w:rsidRPr="0044721C" w:rsidRDefault="001A4690" w:rsidP="0044721C">
      <w:pPr>
        <w:pStyle w:val="Odstavecseseznamem"/>
        <w:ind w:left="284" w:hanging="284"/>
        <w:rPr>
          <w:rFonts w:ascii="Times New Roman" w:hAnsi="Times New Roman"/>
          <w:iCs/>
          <w:sz w:val="22"/>
          <w:szCs w:val="22"/>
        </w:rPr>
      </w:pPr>
    </w:p>
    <w:p w14:paraId="095324D4" w14:textId="77777777" w:rsidR="00566F8B" w:rsidRPr="0044721C" w:rsidRDefault="00566F8B" w:rsidP="0044721C">
      <w:pPr>
        <w:pStyle w:val="Podnadpis"/>
        <w:numPr>
          <w:ilvl w:val="0"/>
          <w:numId w:val="36"/>
        </w:numPr>
        <w:tabs>
          <w:tab w:val="clear" w:pos="360"/>
        </w:tabs>
        <w:jc w:val="both"/>
        <w:rPr>
          <w:color w:val="auto"/>
          <w:sz w:val="22"/>
          <w:szCs w:val="22"/>
        </w:rPr>
      </w:pPr>
      <w:r w:rsidRPr="0044721C">
        <w:rPr>
          <w:color w:val="auto"/>
          <w:sz w:val="22"/>
          <w:szCs w:val="22"/>
        </w:rPr>
        <w:t>Je-li tento dodatek uzavírán v listinné podobě, vyhotovuje se v pěti stejnopisech, z nichž pronajímatel obdrží čtyři vyhotovení a nájemce obdrží jedno vyhotovení. Je-li tento dodatek uzavírán elektronicky, obdrží obě smluvní strany její elektronický originál opatřený uznávanými elektronickými podpisy.</w:t>
      </w:r>
    </w:p>
    <w:p w14:paraId="55B8824D" w14:textId="77777777" w:rsidR="00781AE7" w:rsidRPr="00951F7A" w:rsidRDefault="00781AE7" w:rsidP="001A2844">
      <w:pPr>
        <w:pStyle w:val="Podnadpis"/>
        <w:rPr>
          <w:b/>
          <w:sz w:val="24"/>
          <w:szCs w:val="24"/>
        </w:rPr>
      </w:pPr>
    </w:p>
    <w:p w14:paraId="226BA109" w14:textId="77777777" w:rsidR="001A2844" w:rsidRPr="00FB2301" w:rsidRDefault="001A2844" w:rsidP="001A2844">
      <w:pPr>
        <w:pStyle w:val="Podnadpis"/>
        <w:rPr>
          <w:rFonts w:ascii="Arial" w:hAnsi="Arial" w:cs="Arial"/>
          <w:b/>
          <w:sz w:val="24"/>
          <w:szCs w:val="24"/>
        </w:rPr>
      </w:pPr>
      <w:r w:rsidRPr="00FB2301">
        <w:rPr>
          <w:rFonts w:ascii="Arial" w:hAnsi="Arial" w:cs="Arial"/>
          <w:b/>
          <w:sz w:val="24"/>
          <w:szCs w:val="24"/>
        </w:rPr>
        <w:lastRenderedPageBreak/>
        <w:t xml:space="preserve">čl. </w:t>
      </w:r>
      <w:r w:rsidR="00951F7A">
        <w:rPr>
          <w:rFonts w:ascii="Arial" w:hAnsi="Arial" w:cs="Arial"/>
          <w:b/>
          <w:sz w:val="24"/>
          <w:szCs w:val="24"/>
        </w:rPr>
        <w:t>I</w:t>
      </w:r>
      <w:r w:rsidRPr="00FB2301">
        <w:rPr>
          <w:rFonts w:ascii="Arial" w:hAnsi="Arial" w:cs="Arial"/>
          <w:b/>
          <w:sz w:val="24"/>
          <w:szCs w:val="24"/>
        </w:rPr>
        <w:t>V.</w:t>
      </w:r>
    </w:p>
    <w:p w14:paraId="160DA0AD" w14:textId="77777777" w:rsidR="001A2844" w:rsidRDefault="001A2844" w:rsidP="001A2844">
      <w:pPr>
        <w:pStyle w:val="Podnadpis"/>
        <w:rPr>
          <w:rFonts w:ascii="Arial" w:hAnsi="Arial" w:cs="Arial"/>
          <w:b/>
          <w:sz w:val="24"/>
          <w:szCs w:val="24"/>
        </w:rPr>
      </w:pPr>
      <w:r w:rsidRPr="00FB2301">
        <w:rPr>
          <w:rFonts w:ascii="Arial" w:hAnsi="Arial" w:cs="Arial"/>
          <w:b/>
          <w:sz w:val="24"/>
          <w:szCs w:val="24"/>
        </w:rPr>
        <w:t>Doložka</w:t>
      </w:r>
    </w:p>
    <w:p w14:paraId="23D9CE7D" w14:textId="77777777" w:rsidR="001A2844" w:rsidRDefault="001A2844" w:rsidP="001A2844">
      <w:pPr>
        <w:pStyle w:val="Podnadpis"/>
        <w:jc w:val="both"/>
        <w:rPr>
          <w:sz w:val="22"/>
          <w:szCs w:val="22"/>
        </w:rPr>
      </w:pPr>
      <w:r>
        <w:rPr>
          <w:sz w:val="22"/>
          <w:szCs w:val="22"/>
        </w:rPr>
        <w:t>Doložka platnosti právního jednání</w:t>
      </w:r>
      <w:r w:rsidRPr="00FB2301">
        <w:rPr>
          <w:sz w:val="22"/>
          <w:szCs w:val="22"/>
        </w:rPr>
        <w:t xml:space="preserve"> dle § 41 zákona č. 128/2000 Sb., o obcích (obecní zřízení</w:t>
      </w:r>
      <w:r>
        <w:rPr>
          <w:sz w:val="22"/>
          <w:szCs w:val="22"/>
        </w:rPr>
        <w:t>), ve znění pozdějších předpisů</w:t>
      </w:r>
      <w:r w:rsidRPr="00FB2301">
        <w:rPr>
          <w:sz w:val="22"/>
          <w:szCs w:val="22"/>
        </w:rPr>
        <w:t>:</w:t>
      </w:r>
    </w:p>
    <w:p w14:paraId="75D34961" w14:textId="77777777" w:rsidR="001A2844" w:rsidRPr="00BD3DFF" w:rsidRDefault="00801823" w:rsidP="001A2844">
      <w:pPr>
        <w:pStyle w:val="Podnadpis"/>
        <w:numPr>
          <w:ilvl w:val="0"/>
          <w:numId w:val="37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O uzavření dodatku č. </w:t>
      </w:r>
      <w:r w:rsidR="00936005">
        <w:rPr>
          <w:sz w:val="22"/>
          <w:szCs w:val="22"/>
        </w:rPr>
        <w:t>5</w:t>
      </w:r>
      <w:r w:rsidR="001A2844" w:rsidRPr="00BD3D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rozhodla </w:t>
      </w:r>
      <w:r w:rsidR="001A2844" w:rsidRPr="00BD3DFF">
        <w:rPr>
          <w:sz w:val="22"/>
          <w:szCs w:val="22"/>
        </w:rPr>
        <w:t xml:space="preserve">na straně pronajímatele rada města dne </w:t>
      </w:r>
      <w:r w:rsidR="00C96964">
        <w:rPr>
          <w:sz w:val="22"/>
          <w:szCs w:val="22"/>
        </w:rPr>
        <w:t>02.06.2026</w:t>
      </w:r>
      <w:r w:rsidR="000F34C3" w:rsidRPr="00BD3DFF">
        <w:rPr>
          <w:sz w:val="22"/>
          <w:szCs w:val="22"/>
        </w:rPr>
        <w:t xml:space="preserve"> </w:t>
      </w:r>
      <w:r w:rsidR="001A2844" w:rsidRPr="00BD3DFF">
        <w:rPr>
          <w:sz w:val="22"/>
          <w:szCs w:val="22"/>
        </w:rPr>
        <w:t>usnesením</w:t>
      </w:r>
      <w:r w:rsidR="00AF1776" w:rsidRPr="00BD3DFF">
        <w:rPr>
          <w:sz w:val="22"/>
          <w:szCs w:val="22"/>
        </w:rPr>
        <w:t xml:space="preserve"> </w:t>
      </w:r>
      <w:r w:rsidR="001A2844" w:rsidRPr="00BD3DFF">
        <w:rPr>
          <w:sz w:val="22"/>
          <w:szCs w:val="22"/>
        </w:rPr>
        <w:t>č.</w:t>
      </w:r>
      <w:r w:rsidR="005B31D4">
        <w:rPr>
          <w:sz w:val="22"/>
          <w:szCs w:val="22"/>
        </w:rPr>
        <w:t> </w:t>
      </w:r>
      <w:r w:rsidR="00C96964">
        <w:rPr>
          <w:sz w:val="22"/>
          <w:szCs w:val="22"/>
        </w:rPr>
        <w:t>10021</w:t>
      </w:r>
      <w:r w:rsidR="00936005">
        <w:rPr>
          <w:sz w:val="22"/>
          <w:szCs w:val="22"/>
        </w:rPr>
        <w:t>/</w:t>
      </w:r>
      <w:r w:rsidR="008E6AB2">
        <w:rPr>
          <w:sz w:val="22"/>
          <w:szCs w:val="22"/>
        </w:rPr>
        <w:t>RM22</w:t>
      </w:r>
      <w:r w:rsidR="00DA3257">
        <w:rPr>
          <w:sz w:val="22"/>
          <w:szCs w:val="22"/>
        </w:rPr>
        <w:t>26</w:t>
      </w:r>
      <w:r w:rsidR="008E6AB2">
        <w:rPr>
          <w:sz w:val="22"/>
          <w:szCs w:val="22"/>
        </w:rPr>
        <w:t>/</w:t>
      </w:r>
      <w:r w:rsidR="00C96964">
        <w:rPr>
          <w:sz w:val="22"/>
          <w:szCs w:val="22"/>
        </w:rPr>
        <w:t>139.</w:t>
      </w:r>
    </w:p>
    <w:p w14:paraId="45B30261" w14:textId="77777777" w:rsidR="00801823" w:rsidRDefault="00801823" w:rsidP="001A2844">
      <w:pPr>
        <w:pStyle w:val="Podnadpis"/>
        <w:rPr>
          <w:bCs/>
          <w:sz w:val="22"/>
          <w:szCs w:val="22"/>
        </w:rPr>
      </w:pPr>
    </w:p>
    <w:p w14:paraId="7F6F0BB1" w14:textId="77777777" w:rsidR="001A2844" w:rsidRDefault="001A2844" w:rsidP="00B25228">
      <w:pPr>
        <w:pStyle w:val="Podnadpis"/>
        <w:tabs>
          <w:tab w:val="left" w:pos="4962"/>
        </w:tabs>
        <w:rPr>
          <w:sz w:val="22"/>
          <w:szCs w:val="22"/>
        </w:rPr>
      </w:pPr>
      <w:r w:rsidRPr="00BD3DFF">
        <w:rPr>
          <w:sz w:val="22"/>
          <w:szCs w:val="22"/>
        </w:rPr>
        <w:t>V Ostravě dne ……………………….</w:t>
      </w:r>
      <w:r w:rsidRPr="00FB2301">
        <w:rPr>
          <w:sz w:val="22"/>
          <w:szCs w:val="22"/>
        </w:rPr>
        <w:t xml:space="preserve">                         </w:t>
      </w:r>
      <w:r w:rsidR="00B25228">
        <w:rPr>
          <w:sz w:val="22"/>
          <w:szCs w:val="22"/>
        </w:rPr>
        <w:tab/>
      </w:r>
      <w:r>
        <w:rPr>
          <w:sz w:val="22"/>
          <w:szCs w:val="22"/>
        </w:rPr>
        <w:t>V Ostravě</w:t>
      </w:r>
      <w:r w:rsidRPr="00FB2301">
        <w:rPr>
          <w:sz w:val="22"/>
          <w:szCs w:val="22"/>
        </w:rPr>
        <w:t xml:space="preserve"> dne ………………………</w:t>
      </w:r>
      <w:r>
        <w:rPr>
          <w:sz w:val="22"/>
          <w:szCs w:val="22"/>
        </w:rPr>
        <w:t>……</w:t>
      </w:r>
    </w:p>
    <w:p w14:paraId="622077F0" w14:textId="77777777" w:rsidR="00C708CD" w:rsidRDefault="00C708CD" w:rsidP="00B25228">
      <w:pPr>
        <w:pStyle w:val="Podnadpis"/>
        <w:tabs>
          <w:tab w:val="left" w:pos="4962"/>
        </w:tabs>
        <w:rPr>
          <w:sz w:val="22"/>
          <w:szCs w:val="22"/>
        </w:rPr>
      </w:pPr>
    </w:p>
    <w:p w14:paraId="12A62F19" w14:textId="77777777" w:rsidR="001A2844" w:rsidRDefault="001A2844" w:rsidP="001A2844">
      <w:pPr>
        <w:pStyle w:val="Podnadpis"/>
        <w:rPr>
          <w:sz w:val="22"/>
          <w:szCs w:val="22"/>
        </w:rPr>
      </w:pPr>
    </w:p>
    <w:tbl>
      <w:tblPr>
        <w:tblW w:w="97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3"/>
        <w:gridCol w:w="297"/>
        <w:gridCol w:w="4966"/>
      </w:tblGrid>
      <w:tr w:rsidR="00DA3257" w14:paraId="55DF1536" w14:textId="77777777" w:rsidTr="00B653E4"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14:paraId="0C697DB2" w14:textId="77777777" w:rsidR="00DA3257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4607BE33" w14:textId="77777777" w:rsidR="00936005" w:rsidRDefault="00936005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32188EA2" w14:textId="77777777" w:rsidR="00781AE7" w:rsidRDefault="00781AE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7324AA1A" w14:textId="77777777" w:rsidR="00781AE7" w:rsidRDefault="00781AE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609E8BB3" w14:textId="77777777" w:rsidR="00781AE7" w:rsidRDefault="00781AE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3D622D5E" w14:textId="77777777" w:rsidR="00781AE7" w:rsidRDefault="00781AE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7A7332BB" w14:textId="77777777" w:rsidR="00781AE7" w:rsidRDefault="00781AE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306E29FE" w14:textId="77777777" w:rsidR="00781AE7" w:rsidRDefault="00781AE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0D4DCB12" w14:textId="77777777" w:rsidR="00781AE7" w:rsidRDefault="00781AE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7C742430" w14:textId="77777777" w:rsidR="00781AE7" w:rsidRDefault="00781AE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0E9D3D8D" w14:textId="77777777" w:rsidR="00781AE7" w:rsidRDefault="00781AE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414F044B" w14:textId="77777777" w:rsidR="00936005" w:rsidRDefault="00936005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0F648252" w14:textId="77777777" w:rsidR="00DA3257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1DE84BCC" w14:textId="77777777" w:rsidR="00DA3257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73B099F0" w14:textId="77777777" w:rsidR="00DA3257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590E7B4E" w14:textId="77777777" w:rsidR="00DA3257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1B9D4790" w14:textId="77777777" w:rsidR="00DA3257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7BCF2C30" w14:textId="77777777" w:rsidR="00C708CD" w:rsidRDefault="00C708CD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</w:tr>
      <w:tr w:rsidR="00DA3257" w14:paraId="01F8FAF3" w14:textId="77777777" w:rsidTr="00B653E4">
        <w:trPr>
          <w:trHeight w:val="1054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14:paraId="6A3DA87C" w14:textId="77777777" w:rsidR="00DA3257" w:rsidRPr="006536D4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  <w:sz w:val="22"/>
                <w:szCs w:val="22"/>
              </w:rPr>
            </w:pPr>
            <w:r w:rsidRPr="006536D4">
              <w:rPr>
                <w:rFonts w:ascii="Times New Roman" w:hAnsi="Times New Roman"/>
                <w:sz w:val="22"/>
                <w:szCs w:val="22"/>
              </w:rPr>
              <w:t>………………………………………</w:t>
            </w:r>
          </w:p>
          <w:p w14:paraId="5A757E27" w14:textId="77777777" w:rsidR="00DA3257" w:rsidRPr="006536D4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  <w:sz w:val="22"/>
                <w:szCs w:val="22"/>
              </w:rPr>
            </w:pPr>
            <w:r w:rsidRPr="006536D4">
              <w:rPr>
                <w:rFonts w:ascii="Times New Roman" w:hAnsi="Times New Roman"/>
                <w:sz w:val="22"/>
                <w:szCs w:val="22"/>
              </w:rPr>
              <w:t xml:space="preserve">za statutární město Ostrava </w:t>
            </w:r>
          </w:p>
          <w:p w14:paraId="68758797" w14:textId="77777777" w:rsidR="00DA3257" w:rsidRPr="006536D4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  <w:sz w:val="22"/>
                <w:szCs w:val="22"/>
              </w:rPr>
            </w:pPr>
            <w:r w:rsidRPr="006536D4">
              <w:rPr>
                <w:rFonts w:ascii="Times New Roman" w:hAnsi="Times New Roman"/>
                <w:sz w:val="22"/>
                <w:szCs w:val="22"/>
              </w:rPr>
              <w:t>Jiří Vávra</w:t>
            </w:r>
          </w:p>
          <w:p w14:paraId="7FDF9B7F" w14:textId="77777777" w:rsidR="00DA3257" w:rsidRPr="00202C49" w:rsidRDefault="00DA3257" w:rsidP="00202C49">
            <w:pPr>
              <w:rPr>
                <w:rFonts w:ascii="Times New Roman" w:hAnsi="Times New Roman"/>
                <w:sz w:val="22"/>
                <w:szCs w:val="22"/>
              </w:rPr>
            </w:pPr>
            <w:r w:rsidRPr="006536D4">
              <w:rPr>
                <w:rFonts w:ascii="Times New Roman" w:hAnsi="Times New Roman"/>
                <w:sz w:val="22"/>
                <w:szCs w:val="22"/>
              </w:rPr>
              <w:t>náměstek primátora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405D49B4" w14:textId="77777777" w:rsidR="00DA3257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55E14DE3" w14:textId="77777777" w:rsidR="00DA3257" w:rsidRDefault="00DA3257" w:rsidP="00B653E4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14:paraId="3F75F2F4" w14:textId="77777777" w:rsidR="00DA3257" w:rsidRDefault="00936005" w:rsidP="00B653E4">
            <w:pPr>
              <w:tabs>
                <w:tab w:val="left" w:pos="1418"/>
                <w:tab w:val="left" w:pos="2694"/>
                <w:tab w:val="left" w:pos="411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 Černá louka s.r.o.</w:t>
            </w:r>
          </w:p>
          <w:p w14:paraId="2AF64D4A" w14:textId="77777777" w:rsidR="00936005" w:rsidRDefault="00936005" w:rsidP="00B653E4">
            <w:pPr>
              <w:tabs>
                <w:tab w:val="left" w:pos="1418"/>
                <w:tab w:val="left" w:pos="2694"/>
                <w:tab w:val="left" w:pos="411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Mgr. Jan Šumbera</w:t>
            </w:r>
          </w:p>
          <w:p w14:paraId="45FFD0C5" w14:textId="77777777" w:rsidR="00936005" w:rsidRPr="009B2A12" w:rsidRDefault="00936005" w:rsidP="00B653E4">
            <w:pPr>
              <w:tabs>
                <w:tab w:val="left" w:pos="1418"/>
                <w:tab w:val="left" w:pos="2694"/>
                <w:tab w:val="left" w:pos="411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jednatel</w:t>
            </w:r>
          </w:p>
        </w:tc>
      </w:tr>
    </w:tbl>
    <w:p w14:paraId="47BFE689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27FC00B2" w14:textId="77777777" w:rsidR="00C708CD" w:rsidRDefault="00C708CD" w:rsidP="008676AC">
      <w:pPr>
        <w:pStyle w:val="Podnadpis"/>
        <w:tabs>
          <w:tab w:val="left" w:pos="5387"/>
        </w:tabs>
        <w:rPr>
          <w:sz w:val="22"/>
          <w:szCs w:val="22"/>
        </w:rPr>
      </w:pPr>
    </w:p>
    <w:p w14:paraId="09B37EDD" w14:textId="77777777" w:rsidR="00C708CD" w:rsidRPr="00CB2262" w:rsidRDefault="00C708CD" w:rsidP="008B0679">
      <w:pPr>
        <w:pStyle w:val="Podnadpis"/>
        <w:tabs>
          <w:tab w:val="left" w:pos="5387"/>
        </w:tabs>
        <w:jc w:val="center"/>
        <w:rPr>
          <w:sz w:val="22"/>
          <w:szCs w:val="22"/>
        </w:rPr>
      </w:pPr>
    </w:p>
    <w:sectPr w:rsidR="00C708CD" w:rsidRPr="00CB2262" w:rsidSect="0044721C">
      <w:headerReference w:type="default" r:id="rId8"/>
      <w:footerReference w:type="default" r:id="rId9"/>
      <w:pgSz w:w="11906" w:h="16838"/>
      <w:pgMar w:top="1418" w:right="1106" w:bottom="1135" w:left="1260" w:header="708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3EDE" w14:textId="77777777" w:rsidR="00A479A4" w:rsidRDefault="00A479A4">
      <w:r>
        <w:separator/>
      </w:r>
    </w:p>
  </w:endnote>
  <w:endnote w:type="continuationSeparator" w:id="0">
    <w:p w14:paraId="3B8669FE" w14:textId="77777777" w:rsidR="00A479A4" w:rsidRDefault="00A4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73FB" w14:textId="77777777" w:rsidR="00C708CD" w:rsidRDefault="00936005" w:rsidP="00DA3257">
    <w:pPr>
      <w:pStyle w:val="Zpat"/>
      <w:tabs>
        <w:tab w:val="clear" w:pos="4536"/>
        <w:tab w:val="clear" w:pos="9072"/>
        <w:tab w:val="center" w:pos="180"/>
        <w:tab w:val="left" w:pos="8670"/>
      </w:tabs>
      <w:ind w:left="-28" w:hanging="539"/>
      <w:rPr>
        <w:rStyle w:val="slostrnky"/>
        <w:rFonts w:cs="Arial"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="00781AE7">
      <w:rPr>
        <w:rStyle w:val="slostrnky"/>
        <w:rFonts w:cs="Arial"/>
        <w:color w:val="003C69"/>
        <w:sz w:val="16"/>
      </w:rPr>
      <w:t>3</w:t>
    </w:r>
    <w:r w:rsidRPr="00CA7728"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color w:val="003C69"/>
        <w:sz w:val="16"/>
      </w:rPr>
      <w:t>Dodatek</w:t>
    </w:r>
    <w:r w:rsidR="00C708CD">
      <w:rPr>
        <w:rStyle w:val="slostrnky"/>
        <w:rFonts w:cs="Arial"/>
        <w:color w:val="003C69"/>
        <w:sz w:val="16"/>
      </w:rPr>
      <w:tab/>
    </w:r>
  </w:p>
  <w:p w14:paraId="05EF1EDB" w14:textId="07E04EFC" w:rsidR="00C708CD" w:rsidRPr="0095773F" w:rsidRDefault="00C708CD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t xml:space="preserve">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7344F" w14:textId="77777777" w:rsidR="00A479A4" w:rsidRDefault="00A479A4">
      <w:r>
        <w:separator/>
      </w:r>
    </w:p>
  </w:footnote>
  <w:footnote w:type="continuationSeparator" w:id="0">
    <w:p w14:paraId="4B8D3587" w14:textId="77777777" w:rsidR="00A479A4" w:rsidRDefault="00A47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58C1" w14:textId="6CBF9BFE" w:rsidR="00C708CD" w:rsidRPr="00CA7728" w:rsidRDefault="004D060A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3DCD5D" wp14:editId="08562B16">
              <wp:simplePos x="0" y="0"/>
              <wp:positionH relativeFrom="column">
                <wp:posOffset>4064635</wp:posOffset>
              </wp:positionH>
              <wp:positionV relativeFrom="paragraph">
                <wp:posOffset>-26670</wp:posOffset>
              </wp:positionV>
              <wp:extent cx="2056765" cy="389890"/>
              <wp:effectExtent l="0" t="1905" r="3175" b="0"/>
              <wp:wrapNone/>
              <wp:docPr id="68802097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6765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3B1DE4" w14:textId="77777777" w:rsidR="00C708CD" w:rsidRPr="00787F4C" w:rsidRDefault="00936005" w:rsidP="004D1482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Dodatek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DCD5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20.05pt;margin-top:-2.1pt;width:161.95pt;height:3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" filled="f" stroked="f">
              <v:textbox>
                <w:txbxContent>
                  <w:p w14:paraId="2A3B1DE4" w14:textId="77777777" w:rsidR="00C708CD" w:rsidRPr="00787F4C" w:rsidRDefault="00936005" w:rsidP="004D1482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Dodatek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8FC6218" wp14:editId="49EB4A2B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5709323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8E7D5" w14:textId="77777777" w:rsidR="00C708CD" w:rsidRPr="00CA7728" w:rsidRDefault="00C708CD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FC6218" id="Text Box 15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6058E7D5" w14:textId="77777777" w:rsidR="00C708CD" w:rsidRPr="00CA7728" w:rsidRDefault="00C708CD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708CD" w:rsidRPr="00CA7728">
      <w:rPr>
        <w:rFonts w:cs="Arial"/>
        <w:b/>
        <w:noProof/>
        <w:color w:val="003C69"/>
      </w:rPr>
      <w:t>Statutární</w:t>
    </w:r>
    <w:r w:rsidR="00C708CD" w:rsidRPr="00CA7728">
      <w:rPr>
        <w:rFonts w:cs="Arial"/>
        <w:b/>
      </w:rPr>
      <w:t xml:space="preserve"> </w:t>
    </w:r>
    <w:r w:rsidR="00C708CD" w:rsidRPr="00CA7728">
      <w:rPr>
        <w:rFonts w:cs="Arial"/>
        <w:b/>
        <w:noProof/>
        <w:color w:val="003C69"/>
      </w:rPr>
      <w:t>město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1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E29A1"/>
    <w:multiLevelType w:val="multilevel"/>
    <w:tmpl w:val="C4A8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24C94"/>
    <w:multiLevelType w:val="hybridMultilevel"/>
    <w:tmpl w:val="C534E58E"/>
    <w:lvl w:ilvl="0" w:tplc="4C4C8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A1024F"/>
    <w:multiLevelType w:val="singleLevel"/>
    <w:tmpl w:val="320A1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1BA53C5C"/>
    <w:multiLevelType w:val="singleLevel"/>
    <w:tmpl w:val="429CEEB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vertAlign w:val="baseline"/>
      </w:rPr>
    </w:lvl>
  </w:abstractNum>
  <w:abstractNum w:abstractNumId="7" w15:restartNumberingAfterBreak="0">
    <w:nsid w:val="1FBA4E56"/>
    <w:multiLevelType w:val="hybridMultilevel"/>
    <w:tmpl w:val="6B423CEC"/>
    <w:lvl w:ilvl="0" w:tplc="10085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55636"/>
    <w:multiLevelType w:val="singleLevel"/>
    <w:tmpl w:val="96F25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9" w15:restartNumberingAfterBreak="0">
    <w:nsid w:val="22374CA7"/>
    <w:multiLevelType w:val="hybridMultilevel"/>
    <w:tmpl w:val="ABD81ACC"/>
    <w:lvl w:ilvl="0" w:tplc="D58ACB2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41768"/>
    <w:multiLevelType w:val="singleLevel"/>
    <w:tmpl w:val="DD7A1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1" w15:restartNumberingAfterBreak="0">
    <w:nsid w:val="24435319"/>
    <w:multiLevelType w:val="singleLevel"/>
    <w:tmpl w:val="E5F8FA6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3E1DB2"/>
    <w:multiLevelType w:val="singleLevel"/>
    <w:tmpl w:val="F06E4A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4" w15:restartNumberingAfterBreak="0">
    <w:nsid w:val="316A62B6"/>
    <w:multiLevelType w:val="hybridMultilevel"/>
    <w:tmpl w:val="69020434"/>
    <w:lvl w:ilvl="0" w:tplc="43FED7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7F193D"/>
    <w:multiLevelType w:val="hybridMultilevel"/>
    <w:tmpl w:val="3CF62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BB67EC"/>
    <w:multiLevelType w:val="hybridMultilevel"/>
    <w:tmpl w:val="5BB810EA"/>
    <w:lvl w:ilvl="0" w:tplc="09323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76F4C"/>
    <w:multiLevelType w:val="hybridMultilevel"/>
    <w:tmpl w:val="2F76126A"/>
    <w:lvl w:ilvl="0" w:tplc="2736B138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3A9E019A"/>
    <w:multiLevelType w:val="hybridMultilevel"/>
    <w:tmpl w:val="4B789196"/>
    <w:lvl w:ilvl="0" w:tplc="94A05498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340394"/>
    <w:multiLevelType w:val="singleLevel"/>
    <w:tmpl w:val="BD68F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1" w15:restartNumberingAfterBreak="0">
    <w:nsid w:val="42903D71"/>
    <w:multiLevelType w:val="singleLevel"/>
    <w:tmpl w:val="DFFECF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2" w15:restartNumberingAfterBreak="0">
    <w:nsid w:val="47F00EA1"/>
    <w:multiLevelType w:val="hybridMultilevel"/>
    <w:tmpl w:val="DAAC71E6"/>
    <w:lvl w:ilvl="0" w:tplc="52F6F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4F529E"/>
    <w:multiLevelType w:val="hybridMultilevel"/>
    <w:tmpl w:val="5BB810EA"/>
    <w:lvl w:ilvl="0" w:tplc="09323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A1EF4"/>
    <w:multiLevelType w:val="hybridMultilevel"/>
    <w:tmpl w:val="60F87BB4"/>
    <w:lvl w:ilvl="0" w:tplc="17B4ADD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D21B70"/>
    <w:multiLevelType w:val="singleLevel"/>
    <w:tmpl w:val="EEF834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6" w15:restartNumberingAfterBreak="0">
    <w:nsid w:val="56CA5DFE"/>
    <w:multiLevelType w:val="hybridMultilevel"/>
    <w:tmpl w:val="5380DB54"/>
    <w:lvl w:ilvl="0" w:tplc="4EE401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B7217A"/>
    <w:multiLevelType w:val="singleLevel"/>
    <w:tmpl w:val="AA26E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782A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7A61E19"/>
    <w:multiLevelType w:val="singleLevel"/>
    <w:tmpl w:val="B300B1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1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065D69"/>
    <w:multiLevelType w:val="multilevel"/>
    <w:tmpl w:val="8ECCC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227E1"/>
    <w:multiLevelType w:val="hybridMultilevel"/>
    <w:tmpl w:val="05304862"/>
    <w:lvl w:ilvl="0" w:tplc="BA84F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E211D2">
      <w:start w:val="3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F7350"/>
    <w:multiLevelType w:val="hybridMultilevel"/>
    <w:tmpl w:val="261ED206"/>
    <w:lvl w:ilvl="0" w:tplc="1F50A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A61A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87F64B9"/>
    <w:multiLevelType w:val="hybridMultilevel"/>
    <w:tmpl w:val="971A4F2E"/>
    <w:lvl w:ilvl="0" w:tplc="040EFD0E">
      <w:start w:val="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C0A5C64"/>
    <w:multiLevelType w:val="hybridMultilevel"/>
    <w:tmpl w:val="0F00E38E"/>
    <w:lvl w:ilvl="0" w:tplc="4160958E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8BCC8B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D2C6C0C">
      <w:start w:val="2"/>
      <w:numFmt w:val="decimal"/>
      <w:lvlText w:val="%3."/>
      <w:lvlJc w:val="left"/>
      <w:pPr>
        <w:tabs>
          <w:tab w:val="num" w:pos="2340"/>
        </w:tabs>
        <w:ind w:left="233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3" w:tplc="6C822E1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924D59"/>
    <w:multiLevelType w:val="singleLevel"/>
    <w:tmpl w:val="712E5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78792365">
    <w:abstractNumId w:val="3"/>
  </w:num>
  <w:num w:numId="2" w16cid:durableId="1967739224">
    <w:abstractNumId w:val="12"/>
  </w:num>
  <w:num w:numId="3" w16cid:durableId="1571039584">
    <w:abstractNumId w:val="27"/>
  </w:num>
  <w:num w:numId="4" w16cid:durableId="196818703">
    <w:abstractNumId w:val="16"/>
  </w:num>
  <w:num w:numId="5" w16cid:durableId="141318234">
    <w:abstractNumId w:val="31"/>
  </w:num>
  <w:num w:numId="6" w16cid:durableId="956136435">
    <w:abstractNumId w:val="1"/>
  </w:num>
  <w:num w:numId="7" w16cid:durableId="1624456397">
    <w:abstractNumId w:val="37"/>
  </w:num>
  <w:num w:numId="8" w16cid:durableId="1153987229">
    <w:abstractNumId w:val="7"/>
  </w:num>
  <w:num w:numId="9" w16cid:durableId="855383279">
    <w:abstractNumId w:val="35"/>
  </w:num>
  <w:num w:numId="10" w16cid:durableId="955333259">
    <w:abstractNumId w:val="5"/>
  </w:num>
  <w:num w:numId="11" w16cid:durableId="862860618">
    <w:abstractNumId w:val="30"/>
  </w:num>
  <w:num w:numId="12" w16cid:durableId="89934754">
    <w:abstractNumId w:val="10"/>
  </w:num>
  <w:num w:numId="13" w16cid:durableId="1015956385">
    <w:abstractNumId w:val="8"/>
  </w:num>
  <w:num w:numId="14" w16cid:durableId="776019134">
    <w:abstractNumId w:val="29"/>
  </w:num>
  <w:num w:numId="15" w16cid:durableId="1826358059">
    <w:abstractNumId w:val="11"/>
  </w:num>
  <w:num w:numId="16" w16cid:durableId="986665422">
    <w:abstractNumId w:val="28"/>
  </w:num>
  <w:num w:numId="17" w16cid:durableId="623074181">
    <w:abstractNumId w:val="6"/>
  </w:num>
  <w:num w:numId="18" w16cid:durableId="1227834113">
    <w:abstractNumId w:val="13"/>
  </w:num>
  <w:num w:numId="19" w16cid:durableId="1310551435">
    <w:abstractNumId w:val="33"/>
  </w:num>
  <w:num w:numId="20" w16cid:durableId="859313657">
    <w:abstractNumId w:val="32"/>
  </w:num>
  <w:num w:numId="21" w16cid:durableId="380178037">
    <w:abstractNumId w:val="2"/>
  </w:num>
  <w:num w:numId="22" w16cid:durableId="1509834772">
    <w:abstractNumId w:val="21"/>
  </w:num>
  <w:num w:numId="23" w16cid:durableId="303702731">
    <w:abstractNumId w:val="26"/>
  </w:num>
  <w:num w:numId="24" w16cid:durableId="2077976212">
    <w:abstractNumId w:val="34"/>
  </w:num>
  <w:num w:numId="25" w16cid:durableId="46147488">
    <w:abstractNumId w:val="19"/>
  </w:num>
  <w:num w:numId="26" w16cid:durableId="1891721657">
    <w:abstractNumId w:val="20"/>
  </w:num>
  <w:num w:numId="27" w16cid:durableId="1293554793">
    <w:abstractNumId w:val="25"/>
  </w:num>
  <w:num w:numId="28" w16cid:durableId="1198663466">
    <w:abstractNumId w:val="22"/>
  </w:num>
  <w:num w:numId="29" w16cid:durableId="497501810">
    <w:abstractNumId w:val="14"/>
  </w:num>
  <w:num w:numId="30" w16cid:durableId="974532093">
    <w:abstractNumId w:val="9"/>
  </w:num>
  <w:num w:numId="31" w16cid:durableId="51779587">
    <w:abstractNumId w:val="4"/>
  </w:num>
  <w:num w:numId="32" w16cid:durableId="1553224689">
    <w:abstractNumId w:val="38"/>
  </w:num>
  <w:num w:numId="33" w16cid:durableId="583282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58619573">
    <w:abstractNumId w:val="36"/>
  </w:num>
  <w:num w:numId="35" w16cid:durableId="1716004947">
    <w:abstractNumId w:val="6"/>
    <w:lvlOverride w:ilvl="0">
      <w:startOverride w:val="1"/>
    </w:lvlOverride>
  </w:num>
  <w:num w:numId="36" w16cid:durableId="615452333">
    <w:abstractNumId w:val="23"/>
  </w:num>
  <w:num w:numId="37" w16cid:durableId="1110932385">
    <w:abstractNumId w:val="17"/>
  </w:num>
  <w:num w:numId="38" w16cid:durableId="819422937">
    <w:abstractNumId w:val="20"/>
    <w:lvlOverride w:ilvl="0">
      <w:startOverride w:val="1"/>
    </w:lvlOverride>
  </w:num>
  <w:num w:numId="39" w16cid:durableId="1827932295">
    <w:abstractNumId w:val="18"/>
  </w:num>
  <w:num w:numId="40" w16cid:durableId="1260606614">
    <w:abstractNumId w:val="0"/>
  </w:num>
  <w:num w:numId="41" w16cid:durableId="14408357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51F1"/>
    <w:rsid w:val="00014D55"/>
    <w:rsid w:val="00021214"/>
    <w:rsid w:val="00021F5E"/>
    <w:rsid w:val="00035DA8"/>
    <w:rsid w:val="000360E5"/>
    <w:rsid w:val="00043B31"/>
    <w:rsid w:val="00045C3D"/>
    <w:rsid w:val="00067336"/>
    <w:rsid w:val="00070590"/>
    <w:rsid w:val="000713FE"/>
    <w:rsid w:val="00074483"/>
    <w:rsid w:val="000830C5"/>
    <w:rsid w:val="00096135"/>
    <w:rsid w:val="000A6327"/>
    <w:rsid w:val="000B15D6"/>
    <w:rsid w:val="000B1E9D"/>
    <w:rsid w:val="000B23E6"/>
    <w:rsid w:val="000C49B2"/>
    <w:rsid w:val="000D2581"/>
    <w:rsid w:val="000F34C3"/>
    <w:rsid w:val="000F4AEF"/>
    <w:rsid w:val="000F539D"/>
    <w:rsid w:val="000F54D8"/>
    <w:rsid w:val="00100182"/>
    <w:rsid w:val="0011050B"/>
    <w:rsid w:val="00121E6C"/>
    <w:rsid w:val="001233E2"/>
    <w:rsid w:val="001276ED"/>
    <w:rsid w:val="0014018A"/>
    <w:rsid w:val="00157ACD"/>
    <w:rsid w:val="001630ED"/>
    <w:rsid w:val="00166375"/>
    <w:rsid w:val="00170CA5"/>
    <w:rsid w:val="00172179"/>
    <w:rsid w:val="001778D5"/>
    <w:rsid w:val="00185DB6"/>
    <w:rsid w:val="001A2844"/>
    <w:rsid w:val="001A4690"/>
    <w:rsid w:val="001B09A6"/>
    <w:rsid w:val="001B2296"/>
    <w:rsid w:val="001B2969"/>
    <w:rsid w:val="001B7A30"/>
    <w:rsid w:val="001D3E7A"/>
    <w:rsid w:val="001D401E"/>
    <w:rsid w:val="001E5953"/>
    <w:rsid w:val="001E6C20"/>
    <w:rsid w:val="00202C49"/>
    <w:rsid w:val="002034AE"/>
    <w:rsid w:val="0021120E"/>
    <w:rsid w:val="00216315"/>
    <w:rsid w:val="002164FD"/>
    <w:rsid w:val="00222406"/>
    <w:rsid w:val="00227C1D"/>
    <w:rsid w:val="002348E5"/>
    <w:rsid w:val="002352AC"/>
    <w:rsid w:val="00235D72"/>
    <w:rsid w:val="002366B3"/>
    <w:rsid w:val="002429E2"/>
    <w:rsid w:val="0024470E"/>
    <w:rsid w:val="002501DC"/>
    <w:rsid w:val="002515E7"/>
    <w:rsid w:val="00251EEC"/>
    <w:rsid w:val="00251FCA"/>
    <w:rsid w:val="00256344"/>
    <w:rsid w:val="00264523"/>
    <w:rsid w:val="002653A4"/>
    <w:rsid w:val="0027472B"/>
    <w:rsid w:val="00276EE7"/>
    <w:rsid w:val="00287F33"/>
    <w:rsid w:val="00291B75"/>
    <w:rsid w:val="002A42F2"/>
    <w:rsid w:val="002B076D"/>
    <w:rsid w:val="002B1499"/>
    <w:rsid w:val="002B6918"/>
    <w:rsid w:val="002C251E"/>
    <w:rsid w:val="002C2EEC"/>
    <w:rsid w:val="002C5584"/>
    <w:rsid w:val="002F207E"/>
    <w:rsid w:val="00302A6B"/>
    <w:rsid w:val="00302E02"/>
    <w:rsid w:val="00312B66"/>
    <w:rsid w:val="00313D86"/>
    <w:rsid w:val="00325D83"/>
    <w:rsid w:val="0033743B"/>
    <w:rsid w:val="003377FE"/>
    <w:rsid w:val="003440A9"/>
    <w:rsid w:val="0036338C"/>
    <w:rsid w:val="0036786C"/>
    <w:rsid w:val="00367A8A"/>
    <w:rsid w:val="003928FE"/>
    <w:rsid w:val="003962A8"/>
    <w:rsid w:val="003977D6"/>
    <w:rsid w:val="003A01ED"/>
    <w:rsid w:val="003A3ADE"/>
    <w:rsid w:val="003A4BB0"/>
    <w:rsid w:val="003A50FC"/>
    <w:rsid w:val="003A6AD0"/>
    <w:rsid w:val="003A7977"/>
    <w:rsid w:val="003A7B09"/>
    <w:rsid w:val="003A7E1C"/>
    <w:rsid w:val="003B1E35"/>
    <w:rsid w:val="003B2DC4"/>
    <w:rsid w:val="003C6A8C"/>
    <w:rsid w:val="003D4337"/>
    <w:rsid w:val="003D44D7"/>
    <w:rsid w:val="003D458C"/>
    <w:rsid w:val="003D7FBA"/>
    <w:rsid w:val="003F300C"/>
    <w:rsid w:val="003F636E"/>
    <w:rsid w:val="003F7DF6"/>
    <w:rsid w:val="004022DE"/>
    <w:rsid w:val="004034B0"/>
    <w:rsid w:val="004239D8"/>
    <w:rsid w:val="0042724C"/>
    <w:rsid w:val="0043135C"/>
    <w:rsid w:val="004332DB"/>
    <w:rsid w:val="00440F4F"/>
    <w:rsid w:val="00444E68"/>
    <w:rsid w:val="0044721C"/>
    <w:rsid w:val="00460125"/>
    <w:rsid w:val="004646D3"/>
    <w:rsid w:val="0046626E"/>
    <w:rsid w:val="00470C8F"/>
    <w:rsid w:val="00477CEF"/>
    <w:rsid w:val="0048160D"/>
    <w:rsid w:val="00484346"/>
    <w:rsid w:val="004A1BB9"/>
    <w:rsid w:val="004A7D44"/>
    <w:rsid w:val="004D0076"/>
    <w:rsid w:val="004D060A"/>
    <w:rsid w:val="004D1482"/>
    <w:rsid w:val="004D182C"/>
    <w:rsid w:val="004D29F1"/>
    <w:rsid w:val="004D64F0"/>
    <w:rsid w:val="004E0D7C"/>
    <w:rsid w:val="004F0306"/>
    <w:rsid w:val="004F3A3A"/>
    <w:rsid w:val="004F3BF9"/>
    <w:rsid w:val="00503E7A"/>
    <w:rsid w:val="00511DE7"/>
    <w:rsid w:val="00512363"/>
    <w:rsid w:val="0053214C"/>
    <w:rsid w:val="005428AF"/>
    <w:rsid w:val="00544C8D"/>
    <w:rsid w:val="00547C9A"/>
    <w:rsid w:val="00553F5A"/>
    <w:rsid w:val="005559F1"/>
    <w:rsid w:val="00557DE7"/>
    <w:rsid w:val="0056057B"/>
    <w:rsid w:val="0056331A"/>
    <w:rsid w:val="00566F8B"/>
    <w:rsid w:val="005712F1"/>
    <w:rsid w:val="00571F32"/>
    <w:rsid w:val="0057264A"/>
    <w:rsid w:val="00587FCC"/>
    <w:rsid w:val="005959B0"/>
    <w:rsid w:val="005A091A"/>
    <w:rsid w:val="005A139A"/>
    <w:rsid w:val="005B31D4"/>
    <w:rsid w:val="005B3574"/>
    <w:rsid w:val="005C5DA2"/>
    <w:rsid w:val="005D140A"/>
    <w:rsid w:val="005D3B4A"/>
    <w:rsid w:val="005D5D14"/>
    <w:rsid w:val="005E0672"/>
    <w:rsid w:val="005E2ABE"/>
    <w:rsid w:val="005E4788"/>
    <w:rsid w:val="006000B0"/>
    <w:rsid w:val="006060C2"/>
    <w:rsid w:val="00606196"/>
    <w:rsid w:val="006109D3"/>
    <w:rsid w:val="00611CCE"/>
    <w:rsid w:val="006344EA"/>
    <w:rsid w:val="00651572"/>
    <w:rsid w:val="00655875"/>
    <w:rsid w:val="006617CD"/>
    <w:rsid w:val="006630E1"/>
    <w:rsid w:val="0066633C"/>
    <w:rsid w:val="00674085"/>
    <w:rsid w:val="00680E31"/>
    <w:rsid w:val="00681690"/>
    <w:rsid w:val="00683CD4"/>
    <w:rsid w:val="00695464"/>
    <w:rsid w:val="00696CC3"/>
    <w:rsid w:val="00697E2B"/>
    <w:rsid w:val="006A0E3F"/>
    <w:rsid w:val="006B439A"/>
    <w:rsid w:val="006B77D7"/>
    <w:rsid w:val="006C547E"/>
    <w:rsid w:val="006C5AC6"/>
    <w:rsid w:val="006E4D21"/>
    <w:rsid w:val="006E5D23"/>
    <w:rsid w:val="0070179E"/>
    <w:rsid w:val="00705E66"/>
    <w:rsid w:val="00706074"/>
    <w:rsid w:val="007071D3"/>
    <w:rsid w:val="00707DA2"/>
    <w:rsid w:val="00715730"/>
    <w:rsid w:val="00717D71"/>
    <w:rsid w:val="007201E4"/>
    <w:rsid w:val="00746B26"/>
    <w:rsid w:val="0075061C"/>
    <w:rsid w:val="0075096C"/>
    <w:rsid w:val="00756735"/>
    <w:rsid w:val="00761253"/>
    <w:rsid w:val="00781AE7"/>
    <w:rsid w:val="007A1697"/>
    <w:rsid w:val="007A1ED8"/>
    <w:rsid w:val="007C3AB7"/>
    <w:rsid w:val="007C42BD"/>
    <w:rsid w:val="007C5D98"/>
    <w:rsid w:val="007F28D6"/>
    <w:rsid w:val="00801823"/>
    <w:rsid w:val="00805EDF"/>
    <w:rsid w:val="00806E27"/>
    <w:rsid w:val="0081442C"/>
    <w:rsid w:val="008168B0"/>
    <w:rsid w:val="0082097E"/>
    <w:rsid w:val="00820D4B"/>
    <w:rsid w:val="00822A8A"/>
    <w:rsid w:val="008378A2"/>
    <w:rsid w:val="00840AB1"/>
    <w:rsid w:val="008455AC"/>
    <w:rsid w:val="00845B51"/>
    <w:rsid w:val="00851C9E"/>
    <w:rsid w:val="00857055"/>
    <w:rsid w:val="00861960"/>
    <w:rsid w:val="0086257C"/>
    <w:rsid w:val="008676AC"/>
    <w:rsid w:val="00877336"/>
    <w:rsid w:val="00890263"/>
    <w:rsid w:val="00890691"/>
    <w:rsid w:val="008919A5"/>
    <w:rsid w:val="008964BA"/>
    <w:rsid w:val="008B0679"/>
    <w:rsid w:val="008C60B2"/>
    <w:rsid w:val="008C60BD"/>
    <w:rsid w:val="008D1AFE"/>
    <w:rsid w:val="008D2B6C"/>
    <w:rsid w:val="008D52C6"/>
    <w:rsid w:val="008D7D08"/>
    <w:rsid w:val="008E1CD2"/>
    <w:rsid w:val="008E6AB2"/>
    <w:rsid w:val="008F5B7E"/>
    <w:rsid w:val="0091434C"/>
    <w:rsid w:val="009216B1"/>
    <w:rsid w:val="00921C62"/>
    <w:rsid w:val="00922202"/>
    <w:rsid w:val="00925B7A"/>
    <w:rsid w:val="0092757C"/>
    <w:rsid w:val="00936005"/>
    <w:rsid w:val="00936FCF"/>
    <w:rsid w:val="009463FF"/>
    <w:rsid w:val="00951F7A"/>
    <w:rsid w:val="00954FA8"/>
    <w:rsid w:val="0095773F"/>
    <w:rsid w:val="00961993"/>
    <w:rsid w:val="009650A4"/>
    <w:rsid w:val="009660C3"/>
    <w:rsid w:val="00970831"/>
    <w:rsid w:val="00971828"/>
    <w:rsid w:val="00986299"/>
    <w:rsid w:val="00996530"/>
    <w:rsid w:val="009A4E8A"/>
    <w:rsid w:val="009B6A08"/>
    <w:rsid w:val="009B70FD"/>
    <w:rsid w:val="009E36C4"/>
    <w:rsid w:val="009F2789"/>
    <w:rsid w:val="00A03496"/>
    <w:rsid w:val="00A0380F"/>
    <w:rsid w:val="00A06E72"/>
    <w:rsid w:val="00A15819"/>
    <w:rsid w:val="00A261EF"/>
    <w:rsid w:val="00A33A86"/>
    <w:rsid w:val="00A4274E"/>
    <w:rsid w:val="00A42C9C"/>
    <w:rsid w:val="00A479A4"/>
    <w:rsid w:val="00A56619"/>
    <w:rsid w:val="00A927B6"/>
    <w:rsid w:val="00A94A5D"/>
    <w:rsid w:val="00AA5235"/>
    <w:rsid w:val="00AB57D4"/>
    <w:rsid w:val="00AC44BA"/>
    <w:rsid w:val="00AD6B04"/>
    <w:rsid w:val="00AE0843"/>
    <w:rsid w:val="00AE0D85"/>
    <w:rsid w:val="00AE7A17"/>
    <w:rsid w:val="00AF1776"/>
    <w:rsid w:val="00AF6505"/>
    <w:rsid w:val="00B1225B"/>
    <w:rsid w:val="00B137AE"/>
    <w:rsid w:val="00B15EB0"/>
    <w:rsid w:val="00B22C50"/>
    <w:rsid w:val="00B25228"/>
    <w:rsid w:val="00B255F4"/>
    <w:rsid w:val="00B27B9B"/>
    <w:rsid w:val="00B31F16"/>
    <w:rsid w:val="00B35312"/>
    <w:rsid w:val="00B4142B"/>
    <w:rsid w:val="00B42E45"/>
    <w:rsid w:val="00B60902"/>
    <w:rsid w:val="00B653E4"/>
    <w:rsid w:val="00B76153"/>
    <w:rsid w:val="00B76324"/>
    <w:rsid w:val="00B87751"/>
    <w:rsid w:val="00BA4A99"/>
    <w:rsid w:val="00BA4D47"/>
    <w:rsid w:val="00BB0C93"/>
    <w:rsid w:val="00BC2B2D"/>
    <w:rsid w:val="00BD315F"/>
    <w:rsid w:val="00BD3DFF"/>
    <w:rsid w:val="00BE1C96"/>
    <w:rsid w:val="00BF067F"/>
    <w:rsid w:val="00C22F82"/>
    <w:rsid w:val="00C32CC3"/>
    <w:rsid w:val="00C42BC6"/>
    <w:rsid w:val="00C43472"/>
    <w:rsid w:val="00C55AA5"/>
    <w:rsid w:val="00C708CD"/>
    <w:rsid w:val="00C82EAC"/>
    <w:rsid w:val="00C9234A"/>
    <w:rsid w:val="00C96964"/>
    <w:rsid w:val="00CA5495"/>
    <w:rsid w:val="00CA65B8"/>
    <w:rsid w:val="00CA7728"/>
    <w:rsid w:val="00CB2262"/>
    <w:rsid w:val="00CB6AEC"/>
    <w:rsid w:val="00CC0E03"/>
    <w:rsid w:val="00CC5AD5"/>
    <w:rsid w:val="00CC703A"/>
    <w:rsid w:val="00CC7E4B"/>
    <w:rsid w:val="00CD3412"/>
    <w:rsid w:val="00CD34C1"/>
    <w:rsid w:val="00CD4BC6"/>
    <w:rsid w:val="00CD63B2"/>
    <w:rsid w:val="00CE08CC"/>
    <w:rsid w:val="00CE411B"/>
    <w:rsid w:val="00CE7C83"/>
    <w:rsid w:val="00CF2021"/>
    <w:rsid w:val="00CF729E"/>
    <w:rsid w:val="00D02190"/>
    <w:rsid w:val="00D05A5A"/>
    <w:rsid w:val="00D0623C"/>
    <w:rsid w:val="00D07488"/>
    <w:rsid w:val="00D13518"/>
    <w:rsid w:val="00D140ED"/>
    <w:rsid w:val="00D17589"/>
    <w:rsid w:val="00D2634D"/>
    <w:rsid w:val="00D435DC"/>
    <w:rsid w:val="00D5142F"/>
    <w:rsid w:val="00D52A65"/>
    <w:rsid w:val="00D53E56"/>
    <w:rsid w:val="00D6402F"/>
    <w:rsid w:val="00D65A00"/>
    <w:rsid w:val="00D819B5"/>
    <w:rsid w:val="00D82EF5"/>
    <w:rsid w:val="00D96B80"/>
    <w:rsid w:val="00DA0999"/>
    <w:rsid w:val="00DA21EA"/>
    <w:rsid w:val="00DA3257"/>
    <w:rsid w:val="00DA3EE3"/>
    <w:rsid w:val="00DA43D4"/>
    <w:rsid w:val="00DA7C5A"/>
    <w:rsid w:val="00DB7069"/>
    <w:rsid w:val="00DC6D4A"/>
    <w:rsid w:val="00DD45BA"/>
    <w:rsid w:val="00DD4A30"/>
    <w:rsid w:val="00DE2A36"/>
    <w:rsid w:val="00DE439A"/>
    <w:rsid w:val="00DF30A1"/>
    <w:rsid w:val="00DF626E"/>
    <w:rsid w:val="00E064A9"/>
    <w:rsid w:val="00E10725"/>
    <w:rsid w:val="00E20212"/>
    <w:rsid w:val="00E32CD4"/>
    <w:rsid w:val="00E339A8"/>
    <w:rsid w:val="00E33AE4"/>
    <w:rsid w:val="00E36C7E"/>
    <w:rsid w:val="00E4272E"/>
    <w:rsid w:val="00E43AAB"/>
    <w:rsid w:val="00E52553"/>
    <w:rsid w:val="00E60FAF"/>
    <w:rsid w:val="00E61952"/>
    <w:rsid w:val="00E706AC"/>
    <w:rsid w:val="00E72E06"/>
    <w:rsid w:val="00E73E32"/>
    <w:rsid w:val="00E75413"/>
    <w:rsid w:val="00E803AB"/>
    <w:rsid w:val="00E81AF2"/>
    <w:rsid w:val="00E82F21"/>
    <w:rsid w:val="00E83AAD"/>
    <w:rsid w:val="00E85E6E"/>
    <w:rsid w:val="00E95D83"/>
    <w:rsid w:val="00EA058A"/>
    <w:rsid w:val="00EA2AF2"/>
    <w:rsid w:val="00EB2F74"/>
    <w:rsid w:val="00EB5A35"/>
    <w:rsid w:val="00ED02DF"/>
    <w:rsid w:val="00ED399F"/>
    <w:rsid w:val="00EE02E4"/>
    <w:rsid w:val="00EE214B"/>
    <w:rsid w:val="00EE6B45"/>
    <w:rsid w:val="00EF05AE"/>
    <w:rsid w:val="00F02EF9"/>
    <w:rsid w:val="00F07EB8"/>
    <w:rsid w:val="00F102F1"/>
    <w:rsid w:val="00F10506"/>
    <w:rsid w:val="00F179CB"/>
    <w:rsid w:val="00F22DDC"/>
    <w:rsid w:val="00F250F1"/>
    <w:rsid w:val="00F33DBC"/>
    <w:rsid w:val="00F431D8"/>
    <w:rsid w:val="00F55F60"/>
    <w:rsid w:val="00F56D94"/>
    <w:rsid w:val="00F66A08"/>
    <w:rsid w:val="00F73A5A"/>
    <w:rsid w:val="00FA792F"/>
    <w:rsid w:val="00FC3E11"/>
    <w:rsid w:val="00FD0FCA"/>
    <w:rsid w:val="00FE0F1A"/>
    <w:rsid w:val="00FE113A"/>
    <w:rsid w:val="00FE3873"/>
    <w:rsid w:val="00F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555479"/>
  <w15:chartTrackingRefBased/>
  <w15:docId w15:val="{DAE2D806-FFFC-4CE6-A618-1AB7F8EB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aliases w:val="Podtitul"/>
    <w:basedOn w:val="Normln"/>
    <w:link w:val="PodnadpisChar1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8D2B6C"/>
    <w:pPr>
      <w:shd w:val="clear" w:color="auto" w:fill="000080"/>
    </w:pPr>
    <w:rPr>
      <w:rFonts w:ascii="Tahoma" w:hAnsi="Tahoma" w:cs="Tahoma"/>
    </w:rPr>
  </w:style>
  <w:style w:type="paragraph" w:customStyle="1" w:styleId="Export0">
    <w:name w:val="Export 0"/>
    <w:rsid w:val="004F3BF9"/>
    <w:pPr>
      <w:ind w:left="150"/>
    </w:pPr>
    <w:rPr>
      <w:sz w:val="24"/>
      <w:lang w:val="en-US"/>
    </w:rPr>
  </w:style>
  <w:style w:type="paragraph" w:styleId="Nzev">
    <w:name w:val="Title"/>
    <w:basedOn w:val="Normln"/>
    <w:qFormat/>
    <w:rsid w:val="00D82EF5"/>
    <w:pPr>
      <w:jc w:val="center"/>
    </w:pPr>
    <w:rPr>
      <w:rFonts w:ascii="Times New Roman" w:hAnsi="Times New Roman"/>
      <w:b/>
      <w:sz w:val="48"/>
    </w:rPr>
  </w:style>
  <w:style w:type="character" w:customStyle="1" w:styleId="PodnadpisChar1">
    <w:name w:val="Podnadpis Char1"/>
    <w:aliases w:val="Podtitul Char"/>
    <w:link w:val="Podnadpis"/>
    <w:rsid w:val="00121E6C"/>
    <w:rPr>
      <w:color w:val="000000"/>
      <w:sz w:val="28"/>
    </w:rPr>
  </w:style>
  <w:style w:type="paragraph" w:styleId="Textbubliny">
    <w:name w:val="Balloon Text"/>
    <w:basedOn w:val="Normln"/>
    <w:link w:val="TextbublinyChar"/>
    <w:rsid w:val="007A16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16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33A86"/>
    <w:pPr>
      <w:ind w:left="708"/>
    </w:pPr>
  </w:style>
  <w:style w:type="character" w:styleId="Hypertextovodkaz">
    <w:name w:val="Hyperlink"/>
    <w:uiPriority w:val="99"/>
    <w:unhideWhenUsed/>
    <w:rsid w:val="00A33A86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5D3B4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D3B4A"/>
    <w:rPr>
      <w:rFonts w:ascii="Arial" w:hAnsi="Arial"/>
    </w:rPr>
  </w:style>
  <w:style w:type="character" w:styleId="Odkaznakoment">
    <w:name w:val="annotation reference"/>
    <w:uiPriority w:val="99"/>
    <w:rsid w:val="00DB70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7069"/>
  </w:style>
  <w:style w:type="character" w:customStyle="1" w:styleId="TextkomenteChar">
    <w:name w:val="Text komentáře Char"/>
    <w:link w:val="Textkomente"/>
    <w:rsid w:val="00DB706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B7069"/>
    <w:rPr>
      <w:b/>
      <w:bCs/>
    </w:rPr>
  </w:style>
  <w:style w:type="character" w:customStyle="1" w:styleId="PedmtkomenteChar">
    <w:name w:val="Předmět komentáře Char"/>
    <w:link w:val="Pedmtkomente"/>
    <w:rsid w:val="00DB7069"/>
    <w:rPr>
      <w:rFonts w:ascii="Arial" w:hAnsi="Arial"/>
      <w:b/>
      <w:bCs/>
    </w:rPr>
  </w:style>
  <w:style w:type="character" w:customStyle="1" w:styleId="PodnadpisChar">
    <w:name w:val="Podnadpis Char"/>
    <w:uiPriority w:val="11"/>
    <w:rsid w:val="001D3E7A"/>
    <w:rPr>
      <w:color w:val="000000"/>
      <w:sz w:val="28"/>
    </w:rPr>
  </w:style>
  <w:style w:type="paragraph" w:styleId="Normlnweb">
    <w:name w:val="Normal (Web)"/>
    <w:basedOn w:val="Normln"/>
    <w:uiPriority w:val="99"/>
    <w:unhideWhenUsed/>
    <w:rsid w:val="00544C8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a">
    <w:basedOn w:val="Normln"/>
    <w:next w:val="Podnadpis"/>
    <w:uiPriority w:val="11"/>
    <w:qFormat/>
    <w:rsid w:val="0036338C"/>
    <w:rPr>
      <w:rFonts w:ascii="Times New Roman" w:hAnsi="Times New Roman"/>
      <w:color w:val="000000"/>
      <w:sz w:val="28"/>
    </w:rPr>
  </w:style>
  <w:style w:type="paragraph" w:styleId="Revize">
    <w:name w:val="Revision"/>
    <w:hidden/>
    <w:uiPriority w:val="99"/>
    <w:semiHidden/>
    <w:rsid w:val="006060C2"/>
    <w:rPr>
      <w:rFonts w:ascii="Arial" w:hAnsi="Arial"/>
    </w:rPr>
  </w:style>
  <w:style w:type="character" w:customStyle="1" w:styleId="OdstavecseseznamemChar">
    <w:name w:val="Odstavec se seznamem Char"/>
    <w:link w:val="Odstavecseseznamem"/>
    <w:uiPriority w:val="34"/>
    <w:rsid w:val="008B067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CBA11-1DB3-47DF-BA69-54C2A50E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925</Words>
  <Characters>5530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Název smlouvy</vt:lpstr>
      <vt:lpstr>Smluvní strany</vt:lpstr>
      <vt:lpstr>Obsah dodatku</vt:lpstr>
    </vt:vector>
  </TitlesOfParts>
  <Company>MMO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subject/>
  <dc:creator>volejnikovave</dc:creator>
  <cp:keywords/>
  <cp:lastModifiedBy>Hamáčková Jana</cp:lastModifiedBy>
  <cp:revision>4</cp:revision>
  <cp:lastPrinted>2022-01-18T09:14:00Z</cp:lastPrinted>
  <dcterms:created xsi:type="dcterms:W3CDTF">2026-06-02T07:01:00Z</dcterms:created>
  <dcterms:modified xsi:type="dcterms:W3CDTF">2026-06-03T09:34:00Z</dcterms:modified>
</cp:coreProperties>
</file>