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D28C8A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proofErr w:type="spellStart"/>
      <w:r w:rsidRPr="00D60C2A">
        <w:t>ust</w:t>
      </w:r>
      <w:proofErr w:type="spellEnd"/>
      <w:r w:rsidRPr="00D60C2A">
        <w:t xml:space="preserve">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</w:t>
      </w:r>
      <w:r w:rsidR="00B51585">
        <w:rPr>
          <w:i/>
        </w:rPr>
        <w:t>6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4096E047" w14:textId="77777777" w:rsidR="001B7CB4" w:rsidRPr="001B7CB4" w:rsidRDefault="001B7CB4" w:rsidP="001B7CB4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5608707C" w14:textId="77777777" w:rsidR="00E01313" w:rsidRPr="009A4DA8" w:rsidRDefault="00E01313" w:rsidP="00E01313">
      <w:pPr>
        <w:spacing w:line="276" w:lineRule="auto"/>
        <w:ind w:left="-5"/>
      </w:pPr>
      <w:r w:rsidRPr="009A4DA8">
        <w:rPr>
          <w:b/>
        </w:rPr>
        <w:t xml:space="preserve">Domov Jílové u Prahy, poskytovatel sociálních služeb </w:t>
      </w:r>
    </w:p>
    <w:p w14:paraId="770CAF0E" w14:textId="3CA4B548" w:rsidR="00E01313" w:rsidRDefault="001B7CB4" w:rsidP="001B7CB4">
      <w:pPr>
        <w:spacing w:after="40" w:line="276" w:lineRule="auto"/>
        <w:jc w:val="both"/>
      </w:pPr>
      <w:r w:rsidRPr="00F1002E">
        <w:rPr>
          <w:rFonts w:eastAsiaTheme="minorEastAsia"/>
          <w:snapToGrid w:val="0"/>
        </w:rPr>
        <w:t>se sídlem</w:t>
      </w:r>
      <w:r w:rsidR="00E01313">
        <w:rPr>
          <w:rFonts w:eastAsiaTheme="minorEastAsia"/>
          <w:snapToGrid w:val="0"/>
        </w:rPr>
        <w:t>:</w:t>
      </w:r>
      <w:r w:rsidR="00E01313" w:rsidRPr="00E01313">
        <w:t xml:space="preserve"> </w:t>
      </w:r>
      <w:r w:rsidR="00E01313" w:rsidRPr="009A4DA8">
        <w:t xml:space="preserve">Chvojínská 108, 254 10 Jílové u Prahy </w:t>
      </w:r>
    </w:p>
    <w:p w14:paraId="792BC5E1" w14:textId="21080199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zastoupená: </w:t>
      </w:r>
      <w:r w:rsidR="00E01313" w:rsidRPr="009A4DA8">
        <w:t>PhDr. Renatou Honsů, ředitelkou příspěvkové organizace</w:t>
      </w:r>
    </w:p>
    <w:p w14:paraId="3FBEB4A5" w14:textId="77777777" w:rsidR="00E01313" w:rsidRDefault="001B7CB4" w:rsidP="001B7CB4">
      <w:pPr>
        <w:spacing w:after="40" w:line="276" w:lineRule="auto"/>
        <w:jc w:val="both"/>
      </w:pPr>
      <w:r w:rsidRPr="00F1002E">
        <w:rPr>
          <w:rFonts w:eastAsiaTheme="minorEastAsia"/>
          <w:snapToGrid w:val="0"/>
        </w:rPr>
        <w:t xml:space="preserve">IČO: </w:t>
      </w:r>
      <w:r w:rsidR="00E01313" w:rsidRPr="009A4DA8">
        <w:t>446 85</w:t>
      </w:r>
      <w:r w:rsidR="00E01313">
        <w:t> </w:t>
      </w:r>
      <w:r w:rsidR="00E01313" w:rsidRPr="009A4DA8">
        <w:t xml:space="preserve">173 </w:t>
      </w:r>
    </w:p>
    <w:p w14:paraId="072FCC0D" w14:textId="049AD2B1" w:rsidR="00463803" w:rsidRDefault="001B7CB4" w:rsidP="001B7CB4">
      <w:pPr>
        <w:spacing w:after="40" w:line="276" w:lineRule="auto"/>
        <w:jc w:val="both"/>
        <w:rPr>
          <w:rFonts w:eastAsiaTheme="minorEastAsia"/>
          <w:snapToGrid w:val="0"/>
          <w:highlight w:val="green"/>
        </w:rPr>
      </w:pPr>
      <w:r w:rsidRPr="00F1002E">
        <w:rPr>
          <w:rFonts w:eastAsiaTheme="minorEastAsia"/>
          <w:snapToGrid w:val="0"/>
        </w:rPr>
        <w:t xml:space="preserve">DIČ: </w:t>
      </w:r>
    </w:p>
    <w:p w14:paraId="7FCFBAD3" w14:textId="5A537CAE" w:rsidR="007A11AF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E01313" w:rsidRPr="009A4DA8">
        <w:t>Česká spořitelna a.s., číslo účtu: 0382469399/0800</w:t>
      </w:r>
    </w:p>
    <w:p w14:paraId="2BD67458" w14:textId="491889B3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ID datové schránky: </w:t>
      </w:r>
      <w:r w:rsidR="006C5613" w:rsidRPr="006C5613">
        <w:rPr>
          <w:bCs/>
          <w:snapToGrid w:val="0"/>
        </w:rPr>
        <w:t>c7gkh9d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506DB8EE" w14:textId="77777777" w:rsidR="00617CA8" w:rsidRDefault="00617CA8" w:rsidP="00617CA8">
      <w:pPr>
        <w:rPr>
          <w:rFonts w:ascii="Arial" w:hAnsi="Arial" w:cs="Arial"/>
          <w:b/>
          <w:color w:val="000000"/>
          <w:sz w:val="22"/>
          <w:szCs w:val="22"/>
        </w:rPr>
      </w:pPr>
    </w:p>
    <w:p w14:paraId="68826552" w14:textId="2A8877EE" w:rsidR="00C31683" w:rsidRPr="00DB32FF" w:rsidRDefault="00C31683" w:rsidP="00DB32FF">
      <w:pPr>
        <w:spacing w:after="40" w:line="276" w:lineRule="auto"/>
        <w:jc w:val="both"/>
        <w:rPr>
          <w:b/>
          <w:snapToGrid w:val="0"/>
        </w:rPr>
      </w:pPr>
      <w:r w:rsidRPr="00DB32FF">
        <w:rPr>
          <w:b/>
          <w:snapToGrid w:val="0"/>
        </w:rPr>
        <w:t>O2 Czech Republic a.s.</w:t>
      </w:r>
    </w:p>
    <w:p w14:paraId="298DCA2D" w14:textId="0E20992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C31683" w:rsidRPr="00DB32FF">
        <w:rPr>
          <w:rFonts w:eastAsiaTheme="minorEastAsia"/>
          <w:snapToGrid w:val="0"/>
        </w:rPr>
        <w:t>Za Brumlovkou 266/2, 140 22 Praha 4</w:t>
      </w:r>
    </w:p>
    <w:p w14:paraId="3F91DF36" w14:textId="3E303AC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</w:t>
      </w:r>
      <w:r w:rsidR="00C31683">
        <w:rPr>
          <w:rFonts w:eastAsiaTheme="minorEastAsia"/>
          <w:snapToGrid w:val="0"/>
        </w:rPr>
        <w:t xml:space="preserve"> u</w:t>
      </w:r>
      <w:r w:rsidRPr="00F1002E">
        <w:rPr>
          <w:rFonts w:eastAsiaTheme="minorEastAsia"/>
          <w:snapToGrid w:val="0"/>
        </w:rPr>
        <w:t xml:space="preserve"> </w:t>
      </w:r>
      <w:r w:rsidR="00C31683" w:rsidRPr="00C31683">
        <w:rPr>
          <w:rFonts w:eastAsiaTheme="minorEastAsia"/>
          <w:snapToGrid w:val="0"/>
        </w:rPr>
        <w:t>Městského soudu v Praze</w:t>
      </w:r>
      <w:r w:rsidRPr="00F1002E">
        <w:rPr>
          <w:rFonts w:eastAsiaTheme="minorEastAsia"/>
          <w:snapToGrid w:val="0"/>
        </w:rPr>
        <w:t xml:space="preserve">, oddíl </w:t>
      </w:r>
      <w:r w:rsidR="00C31683">
        <w:rPr>
          <w:rFonts w:eastAsiaTheme="minorEastAsia"/>
          <w:snapToGrid w:val="0"/>
        </w:rPr>
        <w:t>B</w:t>
      </w:r>
      <w:r w:rsidRPr="00F1002E">
        <w:rPr>
          <w:rFonts w:eastAsiaTheme="minorEastAsia"/>
          <w:snapToGrid w:val="0"/>
        </w:rPr>
        <w:t xml:space="preserve">, vložka </w:t>
      </w:r>
      <w:r w:rsidR="00C31683">
        <w:rPr>
          <w:rFonts w:eastAsiaTheme="minorEastAsia"/>
          <w:snapToGrid w:val="0"/>
        </w:rPr>
        <w:t>2322</w:t>
      </w:r>
    </w:p>
    <w:p w14:paraId="5A2D03AA" w14:textId="7BD36470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="00E121C9" w:rsidRPr="00E121C9">
        <w:rPr>
          <w:rFonts w:eastAsiaTheme="minorEastAsia"/>
          <w:snapToGrid w:val="0"/>
        </w:rPr>
        <w:t xml:space="preserve">Mgr. Vladimír </w:t>
      </w:r>
      <w:proofErr w:type="spellStart"/>
      <w:r w:rsidR="00E121C9" w:rsidRPr="00E121C9">
        <w:rPr>
          <w:rFonts w:eastAsiaTheme="minorEastAsia"/>
          <w:snapToGrid w:val="0"/>
        </w:rPr>
        <w:t>Schertler</w:t>
      </w:r>
      <w:proofErr w:type="spellEnd"/>
    </w:p>
    <w:p w14:paraId="0BF283ED" w14:textId="790D6C4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60193336</w:t>
      </w:r>
      <w:r w:rsidRPr="00F1002E">
        <w:rPr>
          <w:rFonts w:eastAsiaTheme="minorEastAsia"/>
          <w:snapToGrid w:val="0"/>
        </w:rPr>
        <w:t xml:space="preserve"> </w:t>
      </w:r>
    </w:p>
    <w:p w14:paraId="71BBD58A" w14:textId="45F34AF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DIČ: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CZ60193336</w:t>
      </w:r>
    </w:p>
    <w:p w14:paraId="4DFC030C" w14:textId="7F35B58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497609" w:rsidRPr="00497609">
        <w:rPr>
          <w:rFonts w:eastAsiaTheme="minorEastAsia"/>
          <w:snapToGrid w:val="0"/>
        </w:rPr>
        <w:t>Komerční banka, a.s., pobočka Praha,</w:t>
      </w:r>
      <w:r w:rsidRPr="00F1002E">
        <w:rPr>
          <w:rFonts w:eastAsiaTheme="minorEastAsia"/>
          <w:snapToGrid w:val="0"/>
        </w:rPr>
        <w:t xml:space="preserve"> číslo účtu: </w:t>
      </w:r>
      <w:r w:rsidR="003270D1" w:rsidRPr="00497609">
        <w:rPr>
          <w:rFonts w:eastAsiaTheme="minorEastAsia"/>
          <w:snapToGrid w:val="0"/>
        </w:rPr>
        <w:t>27-4908440207/0100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6356EC3D" w:rsidR="00036F81" w:rsidRPr="00477D2C" w:rsidRDefault="001A5FAF" w:rsidP="001A5FAF">
      <w:pPr>
        <w:jc w:val="both"/>
      </w:pPr>
      <w:r w:rsidRPr="001A5FAF">
        <w:rPr>
          <w:i/>
        </w:rPr>
        <w:t xml:space="preserve">Výzva </w:t>
      </w:r>
      <w:r w:rsidR="007A11AF">
        <w:rPr>
          <w:i/>
        </w:rPr>
        <w:t>2</w:t>
      </w:r>
      <w:r w:rsidRPr="001A5FAF">
        <w:rPr>
          <w:i/>
        </w:rPr>
        <w:t>-202</w:t>
      </w:r>
      <w:r w:rsidR="00171666">
        <w:rPr>
          <w:i/>
        </w:rPr>
        <w:t>6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</w:t>
      </w:r>
      <w:r w:rsidR="00036F81">
        <w:lastRenderedPageBreak/>
        <w:t xml:space="preserve">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  <w:r w:rsidR="00477D2C">
        <w:t>Tato smlouva je uzavírána v návaznosti na</w:t>
      </w:r>
      <w:r w:rsidR="009A7743">
        <w:t xml:space="preserve"> D</w:t>
      </w:r>
      <w:r w:rsidR="00477D2C">
        <w:t xml:space="preserve">ohodu uzavřenou dne </w:t>
      </w:r>
      <w:r w:rsidR="0066686D">
        <w:t>11</w:t>
      </w:r>
      <w:r w:rsidR="00477D2C" w:rsidRPr="007A52D0">
        <w:t>.</w:t>
      </w:r>
      <w:r w:rsidR="00453775" w:rsidRPr="007A52D0">
        <w:t>0</w:t>
      </w:r>
      <w:r w:rsidR="0066686D">
        <w:t>5</w:t>
      </w:r>
      <w:r w:rsidR="00477D2C" w:rsidRPr="007A52D0">
        <w:t>.2026</w:t>
      </w:r>
      <w:r w:rsidR="00477D2C">
        <w:t xml:space="preserve"> mezi </w:t>
      </w:r>
      <w:r w:rsidR="00B95101">
        <w:t xml:space="preserve">Středočeským krajem, </w:t>
      </w:r>
      <w:r w:rsidR="00450089">
        <w:t>pořizujícím zadavatelem</w:t>
      </w:r>
      <w:r w:rsidR="00B95101">
        <w:t xml:space="preserve"> a O2 Czech Republic a.s.</w:t>
      </w:r>
      <w:r w:rsidR="00B95101">
        <w:rPr>
          <w:lang w:val="en-GB"/>
        </w:rPr>
        <w:t xml:space="preserve"> </w:t>
      </w:r>
      <w:r w:rsidR="00477D2C">
        <w:t>(dále jako „</w:t>
      </w:r>
      <w:r w:rsidR="009A7743">
        <w:t>D</w:t>
      </w:r>
      <w:r w:rsidR="00477D2C">
        <w:t>ohoda“).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</w:t>
      </w:r>
      <w:proofErr w:type="spellStart"/>
      <w:r w:rsidR="00BB2C15">
        <w:t>Global</w:t>
      </w:r>
      <w:proofErr w:type="spellEnd"/>
      <w:r w:rsidR="00BB2C15">
        <w:t xml:space="preserve"> </w:t>
      </w:r>
      <w:proofErr w:type="spellStart"/>
      <w:r w:rsidR="00BB2C15">
        <w:t>System</w:t>
      </w:r>
      <w:proofErr w:type="spellEnd"/>
      <w:r w:rsidR="00BB2C15">
        <w:t xml:space="preserve"> </w:t>
      </w:r>
      <w:proofErr w:type="spellStart"/>
      <w:r w:rsidR="00BB2C15">
        <w:t>for</w:t>
      </w:r>
      <w:proofErr w:type="spellEnd"/>
      <w:r w:rsidR="00BB2C15">
        <w:t xml:space="preserve">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180A976E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023C2EA6" w14:textId="77777777" w:rsidR="00FB1F74" w:rsidRDefault="00FB1F74" w:rsidP="00FB1F74">
      <w:pPr>
        <w:pStyle w:val="Bezmezer"/>
        <w:numPr>
          <w:ilvl w:val="0"/>
          <w:numId w:val="0"/>
        </w:numPr>
        <w:ind w:left="360"/>
      </w:pPr>
    </w:p>
    <w:p w14:paraId="7648FE62" w14:textId="77777777" w:rsidR="00036F81" w:rsidRDefault="00036F81" w:rsidP="002938A6">
      <w:pPr>
        <w:pStyle w:val="Podnadpis"/>
      </w:pPr>
      <w:r>
        <w:lastRenderedPageBreak/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</w:t>
      </w:r>
      <w:proofErr w:type="spellStart"/>
      <w:r w:rsidRPr="000E1ADE">
        <w:t>Subscriber</w:t>
      </w:r>
      <w:proofErr w:type="spellEnd"/>
      <w:r w:rsidRPr="000E1ADE">
        <w:t xml:space="preserve">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proofErr w:type="spellStart"/>
      <w:proofErr w:type="gramStart"/>
      <w:r w:rsidR="00D571D6" w:rsidRPr="001C015B">
        <w:rPr>
          <w:b/>
        </w:rPr>
        <w:t>eShop</w:t>
      </w:r>
      <w:proofErr w:type="spellEnd"/>
      <w:proofErr w:type="gramEnd"/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</w:t>
      </w:r>
      <w:r w:rsidR="00F47220">
        <w:lastRenderedPageBreak/>
        <w:t xml:space="preserve">vztahu k takovým Telefonním číslům nesmí být den zahájení poskytování Služeb </w:t>
      </w:r>
      <w:r w:rsidR="00F47220" w:rsidRPr="00DF1F2C">
        <w:t xml:space="preserve">stanoven </w:t>
      </w:r>
      <w:proofErr w:type="gramStart"/>
      <w:r w:rsidR="00F47220" w:rsidRPr="00DF1F2C">
        <w:t>dříve,</w:t>
      </w:r>
      <w:proofErr w:type="gramEnd"/>
      <w:r w:rsidR="00F47220" w:rsidRPr="00DF1F2C">
        <w:t xml:space="preserve">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</w:t>
      </w:r>
      <w:proofErr w:type="spellStart"/>
      <w:proofErr w:type="gramStart"/>
      <w:r>
        <w:t>eShopu</w:t>
      </w:r>
      <w:proofErr w:type="spellEnd"/>
      <w:proofErr w:type="gramEnd"/>
      <w:r>
        <w:t xml:space="preserve">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r w:rsidR="000B44F7" w:rsidRPr="00A92548">
        <w:t>2</w:t>
      </w:r>
      <w:r w:rsidR="00AD5238" w:rsidRPr="00A92548">
        <w:t xml:space="preserve"> a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2 a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lastRenderedPageBreak/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08A61A35" w:rsidR="00FD62D4" w:rsidRPr="00963626" w:rsidRDefault="00385E62" w:rsidP="009370E1">
      <w:pPr>
        <w:pStyle w:val="Podnadpis"/>
        <w:numPr>
          <w:ilvl w:val="0"/>
          <w:numId w:val="0"/>
        </w:numPr>
        <w:spacing w:before="0" w:after="0"/>
        <w:ind w:left="1068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9748A4">
        <w:rPr>
          <w:b w:val="0"/>
          <w:lang w:eastAsia="en-US"/>
        </w:rPr>
        <w:t>:</w:t>
      </w:r>
      <w:r w:rsidR="009748A4" w:rsidRPr="009748A4">
        <w:rPr>
          <w:b w:val="0"/>
        </w:rPr>
        <w:t xml:space="preserve"> </w:t>
      </w:r>
      <w:r w:rsidR="009748A4" w:rsidRPr="00796537">
        <w:rPr>
          <w:b w:val="0"/>
        </w:rPr>
        <w:t>Domov Jílové u Prahy, poskytovatel sociálních služeb</w:t>
      </w:r>
    </w:p>
    <w:p w14:paraId="47F75C0C" w14:textId="2FF92D12" w:rsidR="00FD62D4" w:rsidRPr="00963626" w:rsidRDefault="002D5886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Datová schránka</w:t>
      </w:r>
      <w:r w:rsidR="00D04ACA">
        <w:rPr>
          <w:b w:val="0"/>
          <w:lang w:eastAsia="en-US"/>
        </w:rPr>
        <w:t xml:space="preserve">: </w:t>
      </w:r>
      <w:r w:rsidR="009748A4" w:rsidRPr="00A24FB5">
        <w:rPr>
          <w:b w:val="0"/>
        </w:rPr>
        <w:t>c7gkh9d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proofErr w:type="spellStart"/>
      <w:r w:rsidRPr="003830C5">
        <w:lastRenderedPageBreak/>
        <w:t>donastavení</w:t>
      </w:r>
      <w:proofErr w:type="spellEnd"/>
      <w:r w:rsidRPr="003830C5">
        <w:t xml:space="preserve">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</w:t>
      </w:r>
      <w:r w:rsidR="00CD512A">
        <w:lastRenderedPageBreak/>
        <w:t xml:space="preserve">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</w:t>
      </w:r>
      <w:proofErr w:type="gramStart"/>
      <w:r w:rsidR="00036F81">
        <w:t>umožní</w:t>
      </w:r>
      <w:proofErr w:type="gramEnd"/>
      <w:r w:rsidR="00036F81">
        <w:t xml:space="preserve">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7470F5E7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2E16D7">
        <w:t>4</w:t>
      </w:r>
      <w:r>
        <w:t xml:space="preserve">, </w:t>
      </w:r>
      <w:r w:rsidR="002E16D7">
        <w:t>5</w:t>
      </w:r>
      <w:r>
        <w:t xml:space="preserve"> a </w:t>
      </w:r>
      <w:r w:rsidR="002E16D7">
        <w:t>6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7C50E97B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</w:t>
      </w:r>
      <w:r w:rsidR="000B7AE8">
        <w:t>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53E132B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lastRenderedPageBreak/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C968CFD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2E16D7">
        <w:t>1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26AB994F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</w:t>
      </w:r>
      <w:r w:rsidR="002E16D7">
        <w:t>2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9A8C8A4" w14:textId="2025258C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2E16D7">
        <w:t>4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1F109D8E" w:rsidR="00036F81" w:rsidRPr="00713F60" w:rsidRDefault="00662F91" w:rsidP="00505793">
      <w:pPr>
        <w:pStyle w:val="Bezmezer"/>
        <w:spacing w:after="240"/>
      </w:pPr>
      <w:bookmarkStart w:id="0" w:name="_Hlk219381611"/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EF5E05">
        <w:t xml:space="preserve">Poskytovatel se závazku zprostí hradit smluvní pokutu a náhradu škodu, pokud prokáže, že již došlo k dosažení souhrnného limitu náhrady škody stanoveného v Dohodě, nebo pokud prokáže, že k porušení jeho smluvních povinností došlo v důsledku okolností vyšší moci. </w:t>
      </w:r>
      <w:r w:rsidR="00AE5FF6">
        <w:t>U</w:t>
      </w:r>
      <w:r w:rsidR="00EA5254">
        <w:t>stanovení § 2050 Občanského zákoníku se nepoužije.</w:t>
      </w:r>
      <w:r w:rsidR="00922C93">
        <w:t xml:space="preserve"> </w:t>
      </w:r>
    </w:p>
    <w:bookmarkEnd w:id="0"/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</w:t>
      </w:r>
      <w:proofErr w:type="spellStart"/>
      <w:proofErr w:type="gramStart"/>
      <w:r w:rsidR="00AB4DF2">
        <w:t>eShopu</w:t>
      </w:r>
      <w:proofErr w:type="spellEnd"/>
      <w:proofErr w:type="gramEnd"/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lastRenderedPageBreak/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64758D84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</w:t>
      </w:r>
      <w:r w:rsidR="00843DB8">
        <w:t>do vyčerpání souhrnného limitu stanoveného v</w:t>
      </w:r>
      <w:r w:rsidR="002C2A72">
        <w:t> </w:t>
      </w:r>
      <w:r w:rsidR="00843DB8">
        <w:t>Dohodě</w:t>
      </w:r>
      <w:r w:rsidR="002C2A72">
        <w:t>, nebo do 31.12. 2030</w:t>
      </w:r>
      <w:r w:rsidR="00843DB8">
        <w:t xml:space="preserve"> </w:t>
      </w:r>
      <w:r w:rsidR="005A6571">
        <w:t xml:space="preserve">podle toho, která z těchto </w:t>
      </w:r>
      <w:r w:rsidR="00A1643D">
        <w:t>skutečností</w:t>
      </w:r>
      <w:r w:rsidR="005A6571">
        <w:t xml:space="preserve"> nastane dříve.</w:t>
      </w:r>
      <w:r w:rsidR="00843DB8">
        <w:t xml:space="preserve"> 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lastRenderedPageBreak/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0A3D1B50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Název: </w:t>
      </w:r>
      <w:bookmarkStart w:id="1" w:name="_Hlk230607044"/>
      <w:r w:rsidR="00796537" w:rsidRPr="00796537">
        <w:rPr>
          <w:rFonts w:ascii="Times New Roman" w:hAnsi="Times New Roman"/>
          <w:b w:val="0"/>
          <w:bCs w:val="0"/>
          <w:sz w:val="24"/>
          <w:szCs w:val="24"/>
        </w:rPr>
        <w:t>Domov Jílové u Prahy, poskytovatel sociálních služeb</w:t>
      </w:r>
      <w:bookmarkEnd w:id="1"/>
    </w:p>
    <w:p w14:paraId="1A2DA76F" w14:textId="77777777" w:rsidR="00796537" w:rsidRDefault="00036F81" w:rsidP="00796537">
      <w:pPr>
        <w:spacing w:line="276" w:lineRule="auto"/>
        <w:ind w:firstLine="1843"/>
      </w:pPr>
      <w:r w:rsidRPr="008F03B7">
        <w:t xml:space="preserve">Adresa: </w:t>
      </w:r>
      <w:r w:rsidR="00796537" w:rsidRPr="009A4DA8">
        <w:t xml:space="preserve">Chvojínská 108, 254 10 Jílové u Prahy </w:t>
      </w:r>
    </w:p>
    <w:p w14:paraId="20D64A29" w14:textId="64EB05C4" w:rsidR="007813BD" w:rsidRDefault="007813BD" w:rsidP="007813BD">
      <w:pPr>
        <w:ind w:left="12"/>
      </w:pPr>
      <w:r>
        <w:t xml:space="preserve">                               </w:t>
      </w:r>
      <w:r w:rsidR="00036F81" w:rsidRPr="008F03B7">
        <w:t xml:space="preserve">K rukám: </w:t>
      </w:r>
      <w:r>
        <w:t xml:space="preserve">PhDr. Renata Honsů                                                                         </w:t>
      </w:r>
    </w:p>
    <w:p w14:paraId="4E14F04A" w14:textId="2F2F63FD" w:rsidR="00036F81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796537" w:rsidRPr="007A52D0">
        <w:rPr>
          <w:rFonts w:ascii="Times New Roman" w:hAnsi="Times New Roman"/>
          <w:b w:val="0"/>
          <w:sz w:val="24"/>
          <w:szCs w:val="24"/>
        </w:rPr>
        <w:t>c7gkh9d</w:t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621E630C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O2 Czech Republic a.s.</w:t>
      </w:r>
    </w:p>
    <w:p w14:paraId="05FD328E" w14:textId="172947C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Za Brumlovkou 266/2, 140 22 Praha 4</w:t>
      </w:r>
    </w:p>
    <w:p w14:paraId="5D891B3F" w14:textId="4B784D41" w:rsidR="00036F81" w:rsidRPr="008F03B7" w:rsidRDefault="00036F81" w:rsidP="00C00C1F">
      <w:pPr>
        <w:ind w:left="1158" w:firstLine="708"/>
      </w:pPr>
      <w:r w:rsidRPr="008F03B7">
        <w:t xml:space="preserve">K rukám: </w:t>
      </w:r>
      <w:r w:rsidR="007A52D0">
        <w:t xml:space="preserve"> </w:t>
      </w:r>
    </w:p>
    <w:p w14:paraId="6FE7196C" w14:textId="08AC65B0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F748E3" w:rsidRPr="00F748E3">
        <w:rPr>
          <w:rFonts w:ascii="Times New Roman" w:hAnsi="Times New Roman"/>
          <w:b w:val="0"/>
          <w:sz w:val="22"/>
          <w:szCs w:val="24"/>
        </w:rPr>
        <w:t>d79ch2h</w:t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bookmarkStart w:id="2" w:name="_Hlk219382701"/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25A4019A" w14:textId="1FDE35A8" w:rsidR="007A11AF" w:rsidRPr="007A11AF" w:rsidRDefault="00392BC9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3D62BC7F" w14:textId="77777777" w:rsidR="007813BD" w:rsidRDefault="007A11AF" w:rsidP="007813BD">
      <w:pPr>
        <w:ind w:left="12"/>
      </w:pPr>
      <w:r>
        <w:tab/>
      </w:r>
      <w:r>
        <w:tab/>
      </w:r>
      <w:r w:rsidR="007813BD">
        <w:t xml:space="preserve">PhDr. Renata Honsů                                                                         </w:t>
      </w:r>
    </w:p>
    <w:p w14:paraId="716C0D2E" w14:textId="79728232" w:rsidR="00036F81" w:rsidRDefault="007813BD" w:rsidP="007813BD">
      <w:pPr>
        <w:rPr>
          <w:b/>
          <w:i/>
        </w:rPr>
      </w:pPr>
      <w:r>
        <w:t xml:space="preserve">                    </w:t>
      </w:r>
      <w:r w:rsidR="007A52D0">
        <w:t xml:space="preserve">   </w:t>
      </w:r>
      <w:r>
        <w:t xml:space="preserve">  </w:t>
      </w:r>
      <w:r w:rsidR="00036F81" w:rsidRPr="00451E2B">
        <w:t>tel.:</w:t>
      </w:r>
      <w:r w:rsidR="007A52D0">
        <w:t xml:space="preserve"> </w:t>
      </w:r>
      <w:r w:rsidR="000B7AE8">
        <w:t xml:space="preserve">   </w:t>
      </w:r>
      <w:r w:rsidR="00036F81" w:rsidRPr="00451E2B">
        <w:t>e-mail:</w:t>
      </w:r>
      <w:r w:rsidR="007A52D0">
        <w:rPr>
          <w:shd w:val="clear" w:color="auto" w:fill="FFFF00"/>
        </w:rPr>
        <w:t xml:space="preserve"> </w:t>
      </w:r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5485C73B" w:rsidR="001479DA" w:rsidRDefault="007A52D0" w:rsidP="009B2A9F">
      <w:pPr>
        <w:pStyle w:val="Nzev"/>
        <w:spacing w:before="0" w:after="0"/>
        <w:ind w:left="720" w:firstLine="696"/>
        <w:rPr>
          <w:highlight w:val="yellow"/>
        </w:rPr>
      </w:pPr>
      <w:r>
        <w:t xml:space="preserve"> </w:t>
      </w:r>
    </w:p>
    <w:p w14:paraId="1D0AFACE" w14:textId="08DDC938" w:rsidR="001479DA" w:rsidRDefault="001479DA" w:rsidP="009B2A9F">
      <w:pPr>
        <w:ind w:left="708" w:firstLine="708"/>
      </w:pPr>
      <w:r w:rsidRPr="001479DA">
        <w:t>tel.:</w:t>
      </w:r>
      <w:proofErr w:type="gramStart"/>
      <w:r w:rsidRPr="001479DA">
        <w:t xml:space="preserve"> </w:t>
      </w:r>
      <w:r w:rsidR="007A52D0">
        <w:t xml:space="preserve"> </w:t>
      </w:r>
      <w:r w:rsidRPr="001479DA">
        <w:t>,</w:t>
      </w:r>
      <w:proofErr w:type="gramEnd"/>
      <w:r w:rsidRPr="001479DA">
        <w:t xml:space="preserve"> e-mail:</w:t>
      </w:r>
      <w:r w:rsidR="00FB7FDE">
        <w:t xml:space="preserve"> </w:t>
      </w:r>
      <w:hyperlink r:id="rId8" w:history="1"/>
      <w:r w:rsidR="007A52D0">
        <w:t xml:space="preserve"> </w:t>
      </w:r>
    </w:p>
    <w:p w14:paraId="0A0D8F89" w14:textId="77777777" w:rsidR="00FB1F74" w:rsidRPr="00D22358" w:rsidRDefault="00FB1F74" w:rsidP="00FB1F74">
      <w:pPr>
        <w:rPr>
          <w:highlight w:val="yellow"/>
        </w:rPr>
      </w:pP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bookmarkEnd w:id="2"/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</w:t>
      </w:r>
      <w:r w:rsidR="00036F81">
        <w:lastRenderedPageBreak/>
        <w:t xml:space="preserve">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>řešeny podle obecně závazných právních předpisů České 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6EF80FF8" w14:textId="570F5C05" w:rsidR="003D5D1F" w:rsidRDefault="003D5D1F" w:rsidP="003D5D1F">
      <w:pPr>
        <w:pStyle w:val="Bezmezer"/>
        <w:numPr>
          <w:ilvl w:val="0"/>
          <w:numId w:val="0"/>
        </w:numPr>
        <w:ind w:left="360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>
        <w:t xml:space="preserve"> </w:t>
      </w:r>
      <w:r w:rsidR="00DA778F">
        <w:t>(str.1)</w:t>
      </w:r>
    </w:p>
    <w:p w14:paraId="4FC5ECEC" w14:textId="45EA1978" w:rsidR="009D3575" w:rsidRDefault="003D5D1F" w:rsidP="003D5D1F">
      <w:pPr>
        <w:pStyle w:val="Bezmezer"/>
        <w:numPr>
          <w:ilvl w:val="0"/>
          <w:numId w:val="0"/>
        </w:numPr>
        <w:ind w:left="360"/>
      </w:pPr>
      <w:bookmarkStart w:id="3" w:name="_Hlk219379421"/>
      <w:r w:rsidRPr="00E57C3E">
        <w:rPr>
          <w:b/>
        </w:rPr>
        <w:t xml:space="preserve">Příloha č. </w:t>
      </w:r>
      <w:r>
        <w:rPr>
          <w:b/>
        </w:rPr>
        <w:t>2:</w:t>
      </w:r>
      <w:r>
        <w:rPr>
          <w:b/>
        </w:rPr>
        <w:tab/>
      </w:r>
      <w:r>
        <w:t xml:space="preserve">Ceník základních Služeb </w:t>
      </w:r>
      <w:bookmarkEnd w:id="3"/>
      <w:r w:rsidR="00DA778F">
        <w:t>(str.10)</w:t>
      </w:r>
    </w:p>
    <w:p w14:paraId="2E4BBFFB" w14:textId="77D0BFAC" w:rsidR="009D3575" w:rsidRDefault="003D5D1F" w:rsidP="009D3575">
      <w:pPr>
        <w:pStyle w:val="Bezmezer"/>
        <w:numPr>
          <w:ilvl w:val="0"/>
          <w:numId w:val="0"/>
        </w:numPr>
        <w:ind w:left="360"/>
      </w:pPr>
      <w:r w:rsidRPr="00E57C3E">
        <w:rPr>
          <w:b/>
        </w:rPr>
        <w:t xml:space="preserve">Příloha č. </w:t>
      </w:r>
      <w:r>
        <w:rPr>
          <w:b/>
        </w:rPr>
        <w:t>3:</w:t>
      </w:r>
      <w:r>
        <w:t xml:space="preserve"> </w:t>
      </w:r>
      <w:r>
        <w:tab/>
        <w:t xml:space="preserve">Ceník ostatních Služeb </w:t>
      </w:r>
      <w:r w:rsidR="00DA778F">
        <w:t>(str. (str.141)</w:t>
      </w:r>
    </w:p>
    <w:p w14:paraId="271C4891" w14:textId="4A95E39E" w:rsidR="00046D55" w:rsidRDefault="00046D55" w:rsidP="009D3575">
      <w:pPr>
        <w:pStyle w:val="Bezmezer"/>
        <w:numPr>
          <w:ilvl w:val="0"/>
          <w:numId w:val="0"/>
        </w:numPr>
        <w:ind w:left="360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  <w:r w:rsidR="00DA778F">
        <w:t>(str.176)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70"/>
        <w:gridCol w:w="533"/>
        <w:gridCol w:w="4287"/>
      </w:tblGrid>
      <w:tr w:rsidR="002B71F2" w:rsidRPr="00C24CFD" w14:paraId="3E1E7C89" w14:textId="77777777" w:rsidTr="00FB1F74">
        <w:tc>
          <w:tcPr>
            <w:tcW w:w="4570" w:type="dxa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533" w:type="dxa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B1F74">
        <w:tc>
          <w:tcPr>
            <w:tcW w:w="4570" w:type="dxa"/>
            <w:tcBorders>
              <w:bottom w:val="single" w:sz="4" w:space="0" w:color="auto"/>
            </w:tcBorders>
          </w:tcPr>
          <w:p w14:paraId="329C7554" w14:textId="152D63DF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</w:t>
            </w:r>
            <w:r w:rsidR="00BE7BB8">
              <w:rPr>
                <w:rFonts w:cs="Arial"/>
                <w:iCs/>
              </w:rPr>
              <w:t xml:space="preserve">Jílovém u Prahy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533" w:type="dxa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B83C8CA" w14:textId="14CC8F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B1F74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</w:tc>
      </w:tr>
      <w:tr w:rsidR="002B71F2" w:rsidRPr="00C24CFD" w14:paraId="7B36DC63" w14:textId="77777777" w:rsidTr="00FB1F74">
        <w:tc>
          <w:tcPr>
            <w:tcW w:w="4570" w:type="dxa"/>
            <w:tcBorders>
              <w:top w:val="single" w:sz="4" w:space="0" w:color="auto"/>
            </w:tcBorders>
          </w:tcPr>
          <w:p w14:paraId="70888D16" w14:textId="2767DA4D" w:rsidR="00796537" w:rsidRDefault="00796537" w:rsidP="00796537">
            <w:pPr>
              <w:ind w:left="12"/>
            </w:pPr>
            <w:r>
              <w:t xml:space="preserve">PhDr. Renata Honsů                                                                         </w:t>
            </w:r>
          </w:p>
          <w:p w14:paraId="644946C7" w14:textId="4F1FF8D2" w:rsidR="000B7AE8" w:rsidRPr="00A4228D" w:rsidRDefault="00796537" w:rsidP="00796537">
            <w:pPr>
              <w:ind w:left="-108"/>
              <w:rPr>
                <w:rFonts w:cs="Arial"/>
                <w:bCs/>
                <w:iCs/>
              </w:rPr>
            </w:pPr>
            <w:r>
              <w:t xml:space="preserve">  ředitelka příspěvkové organizace  </w:t>
            </w:r>
          </w:p>
        </w:tc>
        <w:tc>
          <w:tcPr>
            <w:tcW w:w="533" w:type="dxa"/>
          </w:tcPr>
          <w:p w14:paraId="6A2D2A04" w14:textId="77777777" w:rsidR="002B71F2" w:rsidRPr="00C24CFD" w:rsidRDefault="002B71F2" w:rsidP="00FB1F74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61B1C09B" w14:textId="345A4F5C" w:rsidR="002B71F2" w:rsidRPr="00C24CFD" w:rsidRDefault="004E7E06" w:rsidP="00FB1F74">
            <w:pPr>
              <w:spacing w:before="120"/>
              <w:ind w:left="-108"/>
              <w:jc w:val="center"/>
              <w:rPr>
                <w:rFonts w:cs="Arial"/>
                <w:iCs/>
              </w:rPr>
            </w:pPr>
            <w:r w:rsidRPr="004E7E06">
              <w:rPr>
                <w:rFonts w:cs="Arial"/>
                <w:snapToGrid w:val="0"/>
              </w:rPr>
              <w:t xml:space="preserve">Mgr. Vladimír </w:t>
            </w:r>
            <w:proofErr w:type="spellStart"/>
            <w:r w:rsidRPr="004E7E06">
              <w:rPr>
                <w:rFonts w:cs="Arial"/>
                <w:snapToGrid w:val="0"/>
              </w:rPr>
              <w:t>Schertler</w:t>
            </w:r>
            <w:proofErr w:type="spellEnd"/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EB31" w14:textId="77777777" w:rsidR="00683FF4" w:rsidRDefault="00683FF4">
      <w:r>
        <w:separator/>
      </w:r>
    </w:p>
  </w:endnote>
  <w:endnote w:type="continuationSeparator" w:id="0">
    <w:p w14:paraId="0DD92B50" w14:textId="77777777" w:rsidR="00683FF4" w:rsidRDefault="0068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CFAB" w14:textId="77777777" w:rsidR="00683FF4" w:rsidRDefault="00683FF4">
      <w:r>
        <w:separator/>
      </w:r>
    </w:p>
  </w:footnote>
  <w:footnote w:type="continuationSeparator" w:id="0">
    <w:p w14:paraId="5ED0EBD0" w14:textId="77777777" w:rsidR="00683FF4" w:rsidRDefault="0068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CFC3" w14:textId="036C4D13" w:rsidR="000B7AE8" w:rsidRPr="00C55E57" w:rsidRDefault="000B7AE8">
    <w:pPr>
      <w:pStyle w:val="Zhlav"/>
      <w:rPr>
        <w:sz w:val="20"/>
        <w:szCs w:val="20"/>
      </w:rPr>
    </w:pPr>
    <w:r w:rsidRPr="00C55E57">
      <w:rPr>
        <w:sz w:val="20"/>
        <w:szCs w:val="20"/>
      </w:rPr>
      <w:t>č</w:t>
    </w:r>
    <w:r>
      <w:t>.j.:</w:t>
    </w:r>
    <w:r w:rsidR="00BE7BB8">
      <w:t xml:space="preserve"> S-0009/44685173/2026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57577">
    <w:abstractNumId w:val="14"/>
  </w:num>
  <w:num w:numId="2" w16cid:durableId="71585548">
    <w:abstractNumId w:val="2"/>
  </w:num>
  <w:num w:numId="3" w16cid:durableId="1735544272">
    <w:abstractNumId w:val="2"/>
  </w:num>
  <w:num w:numId="4" w16cid:durableId="472212091">
    <w:abstractNumId w:val="17"/>
  </w:num>
  <w:num w:numId="5" w16cid:durableId="1700081659">
    <w:abstractNumId w:val="15"/>
  </w:num>
  <w:num w:numId="6" w16cid:durableId="881794302">
    <w:abstractNumId w:val="2"/>
    <w:lvlOverride w:ilvl="0">
      <w:startOverride w:val="4"/>
    </w:lvlOverride>
  </w:num>
  <w:num w:numId="7" w16cid:durableId="897743113">
    <w:abstractNumId w:val="19"/>
  </w:num>
  <w:num w:numId="8" w16cid:durableId="1305503824">
    <w:abstractNumId w:val="2"/>
    <w:lvlOverride w:ilvl="0">
      <w:startOverride w:val="1"/>
    </w:lvlOverride>
  </w:num>
  <w:num w:numId="9" w16cid:durableId="669219471">
    <w:abstractNumId w:val="2"/>
    <w:lvlOverride w:ilvl="0">
      <w:startOverride w:val="1"/>
    </w:lvlOverride>
  </w:num>
  <w:num w:numId="10" w16cid:durableId="1483278008">
    <w:abstractNumId w:val="2"/>
    <w:lvlOverride w:ilvl="0">
      <w:startOverride w:val="1"/>
    </w:lvlOverride>
  </w:num>
  <w:num w:numId="11" w16cid:durableId="227692873">
    <w:abstractNumId w:val="2"/>
    <w:lvlOverride w:ilvl="0">
      <w:startOverride w:val="1"/>
    </w:lvlOverride>
  </w:num>
  <w:num w:numId="12" w16cid:durableId="1799495750">
    <w:abstractNumId w:val="2"/>
    <w:lvlOverride w:ilvl="0">
      <w:startOverride w:val="1"/>
    </w:lvlOverride>
  </w:num>
  <w:num w:numId="13" w16cid:durableId="2034266309">
    <w:abstractNumId w:val="17"/>
  </w:num>
  <w:num w:numId="14" w16cid:durableId="329677425">
    <w:abstractNumId w:val="9"/>
  </w:num>
  <w:num w:numId="15" w16cid:durableId="1909916563">
    <w:abstractNumId w:val="2"/>
    <w:lvlOverride w:ilvl="0">
      <w:startOverride w:val="3"/>
    </w:lvlOverride>
  </w:num>
  <w:num w:numId="16" w16cid:durableId="1426030470">
    <w:abstractNumId w:val="17"/>
  </w:num>
  <w:num w:numId="17" w16cid:durableId="596979976">
    <w:abstractNumId w:val="17"/>
  </w:num>
  <w:num w:numId="18" w16cid:durableId="2125612122">
    <w:abstractNumId w:val="17"/>
    <w:lvlOverride w:ilvl="0">
      <w:startOverride w:val="1"/>
    </w:lvlOverride>
  </w:num>
  <w:num w:numId="19" w16cid:durableId="893005813">
    <w:abstractNumId w:val="19"/>
    <w:lvlOverride w:ilvl="0">
      <w:startOverride w:val="1"/>
    </w:lvlOverride>
  </w:num>
  <w:num w:numId="20" w16cid:durableId="1595818582">
    <w:abstractNumId w:val="9"/>
    <w:lvlOverride w:ilvl="0">
      <w:startOverride w:val="8"/>
    </w:lvlOverride>
  </w:num>
  <w:num w:numId="21" w16cid:durableId="759371312">
    <w:abstractNumId w:val="19"/>
    <w:lvlOverride w:ilvl="0">
      <w:startOverride w:val="1"/>
    </w:lvlOverride>
  </w:num>
  <w:num w:numId="22" w16cid:durableId="1782189215">
    <w:abstractNumId w:val="2"/>
    <w:lvlOverride w:ilvl="0">
      <w:startOverride w:val="13"/>
    </w:lvlOverride>
  </w:num>
  <w:num w:numId="23" w16cid:durableId="1141653474">
    <w:abstractNumId w:val="2"/>
    <w:lvlOverride w:ilvl="0">
      <w:startOverride w:val="1"/>
    </w:lvlOverride>
  </w:num>
  <w:num w:numId="24" w16cid:durableId="1581062761">
    <w:abstractNumId w:val="17"/>
  </w:num>
  <w:num w:numId="25" w16cid:durableId="1457063008">
    <w:abstractNumId w:val="2"/>
    <w:lvlOverride w:ilvl="0">
      <w:startOverride w:val="1"/>
    </w:lvlOverride>
  </w:num>
  <w:num w:numId="26" w16cid:durableId="1845825079">
    <w:abstractNumId w:val="17"/>
    <w:lvlOverride w:ilvl="0">
      <w:startOverride w:val="1"/>
    </w:lvlOverride>
  </w:num>
  <w:num w:numId="27" w16cid:durableId="159781893">
    <w:abstractNumId w:val="0"/>
  </w:num>
  <w:num w:numId="28" w16cid:durableId="1180898431">
    <w:abstractNumId w:val="2"/>
  </w:num>
  <w:num w:numId="29" w16cid:durableId="2143190447">
    <w:abstractNumId w:val="17"/>
    <w:lvlOverride w:ilvl="0">
      <w:startOverride w:val="1"/>
    </w:lvlOverride>
  </w:num>
  <w:num w:numId="30" w16cid:durableId="835730976">
    <w:abstractNumId w:val="2"/>
  </w:num>
  <w:num w:numId="31" w16cid:durableId="1128739864">
    <w:abstractNumId w:val="17"/>
    <w:lvlOverride w:ilvl="0">
      <w:startOverride w:val="1"/>
    </w:lvlOverride>
  </w:num>
  <w:num w:numId="32" w16cid:durableId="254287153">
    <w:abstractNumId w:val="3"/>
  </w:num>
  <w:num w:numId="33" w16cid:durableId="337345958">
    <w:abstractNumId w:val="2"/>
    <w:lvlOverride w:ilvl="0">
      <w:startOverride w:val="10"/>
    </w:lvlOverride>
  </w:num>
  <w:num w:numId="34" w16cid:durableId="1931347209">
    <w:abstractNumId w:val="2"/>
    <w:lvlOverride w:ilvl="0">
      <w:startOverride w:val="1"/>
    </w:lvlOverride>
  </w:num>
  <w:num w:numId="35" w16cid:durableId="1292321303">
    <w:abstractNumId w:val="2"/>
    <w:lvlOverride w:ilvl="0">
      <w:startOverride w:val="14"/>
    </w:lvlOverride>
  </w:num>
  <w:num w:numId="36" w16cid:durableId="296615958">
    <w:abstractNumId w:val="7"/>
  </w:num>
  <w:num w:numId="37" w16cid:durableId="746271323">
    <w:abstractNumId w:val="6"/>
  </w:num>
  <w:num w:numId="38" w16cid:durableId="1976989486">
    <w:abstractNumId w:val="18"/>
  </w:num>
  <w:num w:numId="39" w16cid:durableId="1171526735">
    <w:abstractNumId w:val="10"/>
  </w:num>
  <w:num w:numId="40" w16cid:durableId="1488207698">
    <w:abstractNumId w:val="22"/>
  </w:num>
  <w:num w:numId="41" w16cid:durableId="251746593">
    <w:abstractNumId w:val="12"/>
  </w:num>
  <w:num w:numId="42" w16cid:durableId="598223313">
    <w:abstractNumId w:val="20"/>
  </w:num>
  <w:num w:numId="43" w16cid:durableId="775757604">
    <w:abstractNumId w:val="11"/>
  </w:num>
  <w:num w:numId="44" w16cid:durableId="1782913149">
    <w:abstractNumId w:val="4"/>
  </w:num>
  <w:num w:numId="45" w16cid:durableId="1058624924">
    <w:abstractNumId w:val="16"/>
  </w:num>
  <w:num w:numId="46" w16cid:durableId="1011686814">
    <w:abstractNumId w:val="5"/>
  </w:num>
  <w:num w:numId="47" w16cid:durableId="1346247830">
    <w:abstractNumId w:val="8"/>
  </w:num>
  <w:num w:numId="48" w16cid:durableId="1367801873">
    <w:abstractNumId w:val="21"/>
  </w:num>
  <w:num w:numId="49" w16cid:durableId="895969855">
    <w:abstractNumId w:val="1"/>
  </w:num>
  <w:num w:numId="50" w16cid:durableId="182343021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C7ABE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11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16D"/>
    <w:rsid w:val="00170A12"/>
    <w:rsid w:val="00170BC2"/>
    <w:rsid w:val="00171666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AFA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66B2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DE6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657C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2A72"/>
    <w:rsid w:val="002C30D4"/>
    <w:rsid w:val="002C4DD2"/>
    <w:rsid w:val="002C4F25"/>
    <w:rsid w:val="002C6FF5"/>
    <w:rsid w:val="002C7206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5886"/>
    <w:rsid w:val="002D64A6"/>
    <w:rsid w:val="002D6C40"/>
    <w:rsid w:val="002D6C63"/>
    <w:rsid w:val="002D6FAE"/>
    <w:rsid w:val="002D72C1"/>
    <w:rsid w:val="002E0601"/>
    <w:rsid w:val="002E16D7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4BF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0D1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596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5D1F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72E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0A3"/>
    <w:rsid w:val="00442596"/>
    <w:rsid w:val="004438ED"/>
    <w:rsid w:val="00444C10"/>
    <w:rsid w:val="0044549F"/>
    <w:rsid w:val="00445841"/>
    <w:rsid w:val="00445968"/>
    <w:rsid w:val="00447550"/>
    <w:rsid w:val="004476D8"/>
    <w:rsid w:val="00450089"/>
    <w:rsid w:val="004517DA"/>
    <w:rsid w:val="00451E2B"/>
    <w:rsid w:val="004531E1"/>
    <w:rsid w:val="00453562"/>
    <w:rsid w:val="00453775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77D2C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97609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E7E06"/>
    <w:rsid w:val="004F017D"/>
    <w:rsid w:val="004F0542"/>
    <w:rsid w:val="004F2AE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3C02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7FE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EBE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97C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17CA8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13D1"/>
    <w:rsid w:val="00662F91"/>
    <w:rsid w:val="0066468E"/>
    <w:rsid w:val="00665897"/>
    <w:rsid w:val="0066686D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3FF4"/>
    <w:rsid w:val="00684B26"/>
    <w:rsid w:val="00684DB2"/>
    <w:rsid w:val="00685AFF"/>
    <w:rsid w:val="00685CEC"/>
    <w:rsid w:val="00685D37"/>
    <w:rsid w:val="00687080"/>
    <w:rsid w:val="006908FE"/>
    <w:rsid w:val="006909D3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4FC1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613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D67EF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236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5A2E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13BD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9E"/>
    <w:rsid w:val="007915BD"/>
    <w:rsid w:val="007917CB"/>
    <w:rsid w:val="007942D9"/>
    <w:rsid w:val="0079467D"/>
    <w:rsid w:val="007959E0"/>
    <w:rsid w:val="00796537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2D0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15A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3F9E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3DB8"/>
    <w:rsid w:val="00844759"/>
    <w:rsid w:val="0084504C"/>
    <w:rsid w:val="0084605B"/>
    <w:rsid w:val="00846D78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3FBB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EBE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5FB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3EFA"/>
    <w:rsid w:val="009748A4"/>
    <w:rsid w:val="00974A05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879F9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A7743"/>
    <w:rsid w:val="009B0449"/>
    <w:rsid w:val="009B0B74"/>
    <w:rsid w:val="009B0CEB"/>
    <w:rsid w:val="009B1960"/>
    <w:rsid w:val="009B2611"/>
    <w:rsid w:val="009B2A9F"/>
    <w:rsid w:val="009B3EBC"/>
    <w:rsid w:val="009B3F8A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3C4A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575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235"/>
    <w:rsid w:val="00A40D90"/>
    <w:rsid w:val="00A415F2"/>
    <w:rsid w:val="00A4228D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5BB7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4F90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74A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097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585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10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E7BB8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4948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1683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2AB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E73F1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1741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5E6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6EB3"/>
    <w:rsid w:val="00DA7355"/>
    <w:rsid w:val="00DA778F"/>
    <w:rsid w:val="00DB0C8E"/>
    <w:rsid w:val="00DB101B"/>
    <w:rsid w:val="00DB1327"/>
    <w:rsid w:val="00DB17A2"/>
    <w:rsid w:val="00DB18C5"/>
    <w:rsid w:val="00DB1903"/>
    <w:rsid w:val="00DB2326"/>
    <w:rsid w:val="00DB2763"/>
    <w:rsid w:val="00DB32FF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1313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1C9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5E05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79D"/>
    <w:rsid w:val="00F07A44"/>
    <w:rsid w:val="00F1002E"/>
    <w:rsid w:val="00F108EE"/>
    <w:rsid w:val="00F10D09"/>
    <w:rsid w:val="00F1268F"/>
    <w:rsid w:val="00F1325C"/>
    <w:rsid w:val="00F13DA1"/>
    <w:rsid w:val="00F1470C"/>
    <w:rsid w:val="00F1478D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756"/>
    <w:rsid w:val="00F71D23"/>
    <w:rsid w:val="00F7278A"/>
    <w:rsid w:val="00F72DA6"/>
    <w:rsid w:val="00F73258"/>
    <w:rsid w:val="00F739E2"/>
    <w:rsid w:val="00F74266"/>
    <w:rsid w:val="00F74273"/>
    <w:rsid w:val="00F748E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1F74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1D2A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5F16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luhar@o2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4748</Words>
  <Characters>28015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Renata Honsů</cp:lastModifiedBy>
  <cp:revision>13</cp:revision>
  <cp:lastPrinted>2026-01-15T13:01:00Z</cp:lastPrinted>
  <dcterms:created xsi:type="dcterms:W3CDTF">2026-05-25T08:56:00Z</dcterms:created>
  <dcterms:modified xsi:type="dcterms:W3CDTF">2026-05-25T11:25:00Z</dcterms:modified>
</cp:coreProperties>
</file>