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B282" w14:textId="77777777" w:rsidR="00626783" w:rsidRDefault="00C13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80" w:lineRule="atLeast"/>
        <w:ind w:right="23"/>
        <w:jc w:val="both"/>
        <w:rPr>
          <w:sz w:val="28"/>
          <w:szCs w:val="28"/>
        </w:rPr>
      </w:pPr>
      <w:bookmarkStart w:id="0" w:name="_Hlk134619513"/>
      <w:r>
        <w:rPr>
          <w:rFonts w:ascii="Arial" w:hAnsi="Arial" w:cs="Arial"/>
          <w:b/>
          <w:bCs/>
          <w:caps/>
          <w:sz w:val="20"/>
          <w:szCs w:val="20"/>
        </w:rPr>
        <w:t>Příloha č. 2 obchodních podmínek – Podmínky provádění Správy a údržby a poskytování Podpory</w:t>
      </w:r>
      <w:bookmarkEnd w:id="0"/>
    </w:p>
    <w:p w14:paraId="65190056" w14:textId="77777777" w:rsidR="00626783" w:rsidRDefault="00626783">
      <w:pPr>
        <w:pStyle w:val="Zkladntext"/>
        <w:spacing w:after="120" w:line="276" w:lineRule="auto"/>
        <w:ind w:left="567"/>
        <w:rPr>
          <w:rFonts w:ascii="Arial" w:hAnsi="Arial" w:cs="Arial"/>
          <w:b/>
          <w:u w:val="single"/>
        </w:rPr>
      </w:pPr>
    </w:p>
    <w:p w14:paraId="0B2EDEA7" w14:textId="77777777" w:rsidR="00626783" w:rsidRDefault="00C13845">
      <w:pPr>
        <w:pStyle w:val="Zkladntext"/>
        <w:numPr>
          <w:ilvl w:val="0"/>
          <w:numId w:val="17"/>
        </w:numPr>
        <w:spacing w:after="120" w:line="276" w:lineRule="auto"/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Dostupnost Digitální služby (dále též jako „DS“)</w:t>
      </w:r>
    </w:p>
    <w:p w14:paraId="2020665D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Dostupnost DS</w:t>
      </w:r>
    </w:p>
    <w:p w14:paraId="1603D262" w14:textId="77777777" w:rsidR="00626783" w:rsidRDefault="00C13845">
      <w:pPr>
        <w:pStyle w:val="Zkladntext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Dostupnost DS se vypočte následujícím způsobem dle níže uvedeného vzorce, a to </w:t>
      </w:r>
      <w:r>
        <w:rPr>
          <w:rFonts w:ascii="Arial" w:eastAsia="Calibri" w:hAnsi="Arial" w:cs="Arial"/>
          <w:sz w:val="20"/>
          <w:szCs w:val="20"/>
        </w:rPr>
        <w:t>vždy za příslušné Vyhodnocovací období:</w:t>
      </w:r>
    </w:p>
    <w:p w14:paraId="2BAAAFDA" w14:textId="77777777" w:rsidR="00626783" w:rsidRDefault="00C13845">
      <w:pPr>
        <w:autoSpaceDE w:val="0"/>
        <w:autoSpaceDN w:val="0"/>
        <w:adjustRightInd w:val="0"/>
        <w:spacing w:after="120" w:line="276" w:lineRule="auto"/>
        <w:rPr>
          <w:rFonts w:ascii="Arial" w:eastAsia="Arial,BoldItalic" w:hAnsi="Arial" w:cs="Arial"/>
          <w:b/>
          <w:bCs/>
          <w:i/>
          <w:iCs/>
          <w:sz w:val="20"/>
          <w:szCs w:val="20"/>
        </w:rPr>
      </w:pPr>
      <w:r>
        <w:rPr>
          <w:rFonts w:ascii="Arial" w:eastAsia="Arial,BoldItalic" w:hAnsi="Arial" w:cs="Arial"/>
          <w:b/>
          <w:bCs/>
          <w:i/>
          <w:iCs/>
          <w:sz w:val="20"/>
          <w:szCs w:val="20"/>
        </w:rPr>
        <w:t xml:space="preserve">                                            </w:t>
      </w:r>
      <w:r>
        <w:rPr>
          <w:rFonts w:ascii="Arial" w:eastAsia="Arial,BoldItalic" w:hAnsi="Arial" w:cs="Arial"/>
          <w:b/>
          <w:bCs/>
          <w:i/>
          <w:iCs/>
          <w:sz w:val="20"/>
          <w:szCs w:val="20"/>
        </w:rPr>
        <w:tab/>
        <w:t>Provozní doba DS – Doba nedostupnosti (výpadku) DS</w:t>
      </w:r>
    </w:p>
    <w:p w14:paraId="4E290527" w14:textId="77777777" w:rsidR="00626783" w:rsidRDefault="00C1384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Dostupnost (%) = </w:t>
      </w:r>
      <w:r>
        <w:rPr>
          <w:rFonts w:ascii="Arial" w:hAnsi="Arial" w:cs="Arial"/>
          <w:b/>
          <w:bCs/>
          <w:i/>
          <w:iCs/>
          <w:strike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strike/>
          <w:sz w:val="20"/>
          <w:szCs w:val="20"/>
        </w:rPr>
        <w:t xml:space="preserve">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x 100.</w:t>
      </w:r>
    </w:p>
    <w:p w14:paraId="16B78389" w14:textId="77777777" w:rsidR="00626783" w:rsidRDefault="00C13845">
      <w:pPr>
        <w:autoSpaceDE w:val="0"/>
        <w:autoSpaceDN w:val="0"/>
        <w:adjustRightInd w:val="0"/>
        <w:spacing w:after="120" w:line="276" w:lineRule="auto"/>
        <w:rPr>
          <w:rFonts w:ascii="Arial" w:eastAsia="Arial,BoldItalic" w:hAnsi="Arial" w:cs="Arial"/>
          <w:b/>
          <w:bCs/>
          <w:i/>
          <w:iCs/>
          <w:sz w:val="20"/>
          <w:szCs w:val="20"/>
        </w:rPr>
      </w:pPr>
      <w:r>
        <w:rPr>
          <w:rFonts w:ascii="Arial" w:eastAsia="Arial,BoldItalic" w:hAnsi="Arial" w:cs="Arial"/>
          <w:b/>
          <w:bCs/>
          <w:i/>
          <w:iCs/>
          <w:sz w:val="20"/>
          <w:szCs w:val="20"/>
        </w:rPr>
        <w:t xml:space="preserve">                                             </w:t>
      </w:r>
      <w:r>
        <w:rPr>
          <w:rFonts w:ascii="Arial" w:eastAsia="Arial,BoldItalic" w:hAnsi="Arial" w:cs="Arial"/>
          <w:b/>
          <w:bCs/>
          <w:i/>
          <w:iCs/>
          <w:sz w:val="20"/>
          <w:szCs w:val="20"/>
        </w:rPr>
        <w:tab/>
        <w:t>Provozní doba DS</w:t>
      </w:r>
    </w:p>
    <w:p w14:paraId="193DD47F" w14:textId="77777777" w:rsidR="00626783" w:rsidRDefault="00C13845">
      <w:pPr>
        <w:pStyle w:val="Zkladntext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Doby se počítají na celé minuty, dostupnost se vyjádří v procentech zaokrouhleně nahoru na dvě desetinná místa. </w:t>
      </w:r>
    </w:p>
    <w:p w14:paraId="740DC8AD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Přístup</w:t>
      </w:r>
      <w:r>
        <w:rPr>
          <w:rFonts w:ascii="Arial" w:hAnsi="Arial" w:cs="Arial"/>
          <w:sz w:val="20"/>
          <w:szCs w:val="20"/>
        </w:rPr>
        <w:t xml:space="preserve"> k aplikaci LMS pro Objednatele musí být v režimu 24 x 7. </w:t>
      </w:r>
    </w:p>
    <w:p w14:paraId="4FD88C0F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Nedostupnost DS</w:t>
      </w:r>
    </w:p>
    <w:p w14:paraId="4181F4FD" w14:textId="77777777" w:rsidR="00626783" w:rsidRDefault="00C13845">
      <w:pPr>
        <w:pStyle w:val="Zkladntext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Doba nedostupnosti (výpadku) DS je </w:t>
      </w:r>
      <w:r>
        <w:rPr>
          <w:rFonts w:ascii="Arial" w:hAnsi="Arial" w:cs="Arial"/>
          <w:sz w:val="20"/>
          <w:szCs w:val="20"/>
        </w:rPr>
        <w:t>časový úsek</w:t>
      </w:r>
      <w:r>
        <w:rPr>
          <w:rFonts w:ascii="Arial" w:eastAsia="Calibri" w:hAnsi="Arial" w:cs="Arial"/>
          <w:sz w:val="20"/>
          <w:szCs w:val="20"/>
        </w:rPr>
        <w:t>, kdy se DS sta</w:t>
      </w:r>
      <w:r>
        <w:rPr>
          <w:rFonts w:ascii="Arial" w:eastAsia="Calibri" w:hAnsi="Arial" w:cs="Arial"/>
          <w:sz w:val="20"/>
          <w:szCs w:val="20"/>
        </w:rPr>
        <w:t xml:space="preserve">ne pro Objednatele (a třetí osoby na straně Objednatele) nedostupnou v rámci Provozní doby DS z důvodů </w:t>
      </w:r>
      <w:r>
        <w:rPr>
          <w:rFonts w:ascii="Arial" w:hAnsi="Arial" w:cs="Arial"/>
          <w:sz w:val="20"/>
          <w:szCs w:val="20"/>
        </w:rPr>
        <w:t xml:space="preserve">incidentu kategorie Prio 1 na straně Poskytovatele nebo z důvodu odstávky na straně Poskytovatele dle bodu 1.6 ve spojení s třetím odstavcem bodu 1.10. </w:t>
      </w:r>
    </w:p>
    <w:p w14:paraId="31A06A13" w14:textId="77777777" w:rsidR="00626783" w:rsidRDefault="00C13845">
      <w:pPr>
        <w:pStyle w:val="Zkladntext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Doba nedostupnosti DS se vypočte následujícím způsobem dle níže uvedeného vzorce:</w:t>
      </w:r>
    </w:p>
    <w:p w14:paraId="72121E69" w14:textId="77777777" w:rsidR="00626783" w:rsidRDefault="00C1384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,BoldItalic" w:hAnsi="Arial" w:cs="Arial"/>
          <w:b/>
          <w:bCs/>
          <w:i/>
          <w:iCs/>
          <w:sz w:val="20"/>
          <w:szCs w:val="20"/>
        </w:rPr>
        <w:t xml:space="preserve">                        Doba nedostupnosti = Σ (T</w:t>
      </w:r>
      <w:r>
        <w:rPr>
          <w:rFonts w:ascii="Arial" w:hAnsi="Arial" w:cs="Arial"/>
          <w:b/>
          <w:bCs/>
          <w:i/>
          <w:iCs/>
          <w:sz w:val="20"/>
          <w:szCs w:val="20"/>
        </w:rPr>
        <w:t>I)</w:t>
      </w:r>
    </w:p>
    <w:p w14:paraId="3C25953C" w14:textId="77777777" w:rsidR="00626783" w:rsidRDefault="00C1384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kde:</w:t>
      </w:r>
    </w:p>
    <w:p w14:paraId="08DAF8A4" w14:textId="77777777" w:rsidR="00626783" w:rsidRDefault="00C1384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TI </w:t>
      </w:r>
      <w:r>
        <w:rPr>
          <w:rFonts w:ascii="Arial" w:hAnsi="Arial" w:cs="Arial"/>
          <w:sz w:val="20"/>
          <w:szCs w:val="20"/>
        </w:rPr>
        <w:t>je doba jednotlivého výpadku systému v kategorii Prio 1 a doba odstávky na straně Poskytovatele dle bodu 1.6 ve sp</w:t>
      </w:r>
      <w:r>
        <w:rPr>
          <w:rFonts w:ascii="Arial" w:hAnsi="Arial" w:cs="Arial"/>
          <w:sz w:val="20"/>
          <w:szCs w:val="20"/>
        </w:rPr>
        <w:t xml:space="preserve">ojení s třetím odstavcem bodu 1.10. </w:t>
      </w:r>
    </w:p>
    <w:p w14:paraId="538156E3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Vyhodnocovací období dostupnosti / nedostupnosti DS</w:t>
      </w:r>
    </w:p>
    <w:p w14:paraId="23EF1BDB" w14:textId="77777777" w:rsidR="00626783" w:rsidRDefault="00C1384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Prvním Vyhodnocovacím obdobím je doba od zahájení poskytování Digitální služby dle čl. III. odst. 2. Smlouvy do posledního dne kalendářního měsíce, ve kterém bylo </w:t>
      </w:r>
      <w:r>
        <w:rPr>
          <w:rFonts w:ascii="Arial" w:hAnsi="Arial" w:cs="Arial"/>
          <w:sz w:val="20"/>
          <w:szCs w:val="20"/>
        </w:rPr>
        <w:t>poskytování Digitální služby zahájeno. Každé další následující Vyhodnocovací období trvá 3 po sobě jdoucí kalendářní měsíce a běží vždy od prvního dne prvního příslušného kalendářního měsíce do posledního dne třetího kalendářního měsíce. V případě, že Doba</w:t>
      </w:r>
      <w:r>
        <w:rPr>
          <w:rFonts w:ascii="Arial" w:hAnsi="Arial" w:cs="Arial"/>
          <w:sz w:val="20"/>
          <w:szCs w:val="20"/>
        </w:rPr>
        <w:t xml:space="preserve"> nedostupnosti (výpadku) DS zasahuje do více Vyhodnocovacích období, započítá se do každého z nich příslušná část Doby nedostupnosti (výpadku) DS. Posledním Vyhodnocovacím obdobím je období, které běží od prvního dne prvního příslušného kalendářního měsíce</w:t>
      </w:r>
      <w:r>
        <w:rPr>
          <w:rFonts w:ascii="Arial" w:hAnsi="Arial" w:cs="Arial"/>
          <w:sz w:val="20"/>
          <w:szCs w:val="20"/>
        </w:rPr>
        <w:t xml:space="preserve"> a končí posledním dnem poskytování Digitální služby dle Smlouvy.</w:t>
      </w:r>
    </w:p>
    <w:p w14:paraId="270C6EC9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Provozní doba DS</w:t>
      </w:r>
    </w:p>
    <w:p w14:paraId="2302E0C6" w14:textId="77777777" w:rsidR="00626783" w:rsidRDefault="00C1384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doba DS je doba poskytování DS – tj. v pracovních dnech v týdnu v době od 8:00 do 16:00 hod. </w:t>
      </w:r>
    </w:p>
    <w:p w14:paraId="4075D7E8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Plánovaná odstávka DS</w:t>
      </w:r>
    </w:p>
    <w:p w14:paraId="03E8C02B" w14:textId="77777777" w:rsidR="00626783" w:rsidRDefault="00C1384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v rámci poskytování Digitální služb</w:t>
      </w:r>
      <w:r>
        <w:rPr>
          <w:rFonts w:ascii="Arial" w:hAnsi="Arial" w:cs="Arial"/>
          <w:sz w:val="20"/>
          <w:szCs w:val="20"/>
        </w:rPr>
        <w:t xml:space="preserve">y vždy definuje dobu pro plánovanou nutnou odstávku DS, která musí probíhat mimo Provozní dobu uvedenou v bodu 1.5. O každé plánované odstávce musí být Objednatel předem (minimálně 3 pracovní dny) informován e-mailem na Service Desk Objednatele. </w:t>
      </w:r>
    </w:p>
    <w:p w14:paraId="1320DFC8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Incident</w:t>
      </w:r>
    </w:p>
    <w:p w14:paraId="6F35AAEF" w14:textId="77777777" w:rsidR="00626783" w:rsidRDefault="00C13845">
      <w:pPr>
        <w:pStyle w:val="Odstavecseseznamem"/>
        <w:suppressAutoHyphens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Incidentem se rozumí neplánované přerušení poskytování Digitální služby nebo snížení kvality této Digitální služby, které je způsobeno odchylkou od standardního chování aplikace LMS / cloudového prostředí / provedených integrací., atd. Incident zahrnuje vš</w:t>
      </w:r>
      <w:r>
        <w:rPr>
          <w:rFonts w:ascii="Arial" w:hAnsi="Arial" w:cs="Arial"/>
          <w:sz w:val="20"/>
          <w:szCs w:val="20"/>
        </w:rPr>
        <w:t>echny důvody, pro které Digitální služba nefunguje správně. Kategorizace priorit dle závažnosti je uvedena v Tabulce č. 1 – „Kategorizace priorit (dle jednotlivých kategorií)“ (dále jen „</w:t>
      </w:r>
      <w:r>
        <w:rPr>
          <w:rFonts w:ascii="Arial" w:hAnsi="Arial" w:cs="Arial"/>
          <w:b/>
          <w:bCs/>
          <w:sz w:val="20"/>
          <w:szCs w:val="20"/>
        </w:rPr>
        <w:t>Tabulka č. 1</w:t>
      </w:r>
      <w:r>
        <w:rPr>
          <w:rFonts w:ascii="Arial" w:hAnsi="Arial" w:cs="Arial"/>
          <w:sz w:val="20"/>
          <w:szCs w:val="20"/>
        </w:rPr>
        <w:t>“) v čl. 4. této Přílohy č. 2.</w:t>
      </w:r>
    </w:p>
    <w:p w14:paraId="78EB8443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Servisní požadavek (dále j</w:t>
      </w:r>
      <w:r>
        <w:rPr>
          <w:rFonts w:ascii="Arial" w:hAnsi="Arial" w:cs="Arial"/>
          <w:b/>
          <w:sz w:val="20"/>
          <w:szCs w:val="20"/>
        </w:rPr>
        <w:t>en „SP“)</w:t>
      </w:r>
    </w:p>
    <w:p w14:paraId="7E3DFED7" w14:textId="77777777" w:rsidR="00626783" w:rsidRDefault="00C13845">
      <w:pPr>
        <w:pStyle w:val="Odstavecseseznamem"/>
        <w:suppressAutoHyphens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Hlášení Incidentu Objednatelem Poskytovateli. </w:t>
      </w:r>
    </w:p>
    <w:p w14:paraId="2B666BBA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Dostupnost DS</w:t>
      </w:r>
    </w:p>
    <w:p w14:paraId="133F8E86" w14:textId="77777777" w:rsidR="00626783" w:rsidRDefault="00C13845">
      <w:pPr>
        <w:pStyle w:val="Zkladntext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Poskytovatel musí zajistit v časovém úseku vymezeném Provozní dobou DS Dostupnost Digitální služby </w:t>
      </w:r>
      <w:r>
        <w:rPr>
          <w:rFonts w:ascii="Arial" w:eastAsia="Calibri" w:hAnsi="Arial" w:cs="Arial"/>
          <w:b/>
          <w:sz w:val="20"/>
          <w:szCs w:val="20"/>
        </w:rPr>
        <w:t xml:space="preserve">na úrovni minimálně 97% </w:t>
      </w:r>
      <w:r>
        <w:rPr>
          <w:rFonts w:ascii="Arial" w:eastAsia="Calibri" w:hAnsi="Arial" w:cs="Arial"/>
          <w:sz w:val="20"/>
          <w:szCs w:val="20"/>
        </w:rPr>
        <w:t>(viz čl. III. odst. 5. Smlouvy)</w:t>
      </w:r>
      <w:r>
        <w:rPr>
          <w:rFonts w:ascii="Arial" w:eastAsia="Calibri" w:hAnsi="Arial" w:cs="Arial"/>
          <w:b/>
          <w:sz w:val="20"/>
          <w:szCs w:val="20"/>
        </w:rPr>
        <w:t xml:space="preserve"> v každém Vyhodnocovacím období</w:t>
      </w:r>
      <w:r>
        <w:rPr>
          <w:rFonts w:ascii="Arial" w:eastAsia="Calibri" w:hAnsi="Arial" w:cs="Arial"/>
          <w:sz w:val="20"/>
          <w:szCs w:val="20"/>
        </w:rPr>
        <w:t>.</w:t>
      </w:r>
    </w:p>
    <w:p w14:paraId="084B56E4" w14:textId="77777777" w:rsidR="00626783" w:rsidRDefault="00C13845">
      <w:pPr>
        <w:pStyle w:val="Zkladntext"/>
        <w:numPr>
          <w:ilvl w:val="1"/>
          <w:numId w:val="18"/>
        </w:numPr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Hodnocení dostupnosti DS</w:t>
      </w:r>
    </w:p>
    <w:p w14:paraId="4D5122BF" w14:textId="77777777" w:rsidR="00626783" w:rsidRDefault="00C1384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dostupnosti DS bude Poskytovatel provádět pravidelně vždy za příslušné Vyhodnocovací období (zpravidla tříměsíční), a to nejpozději do patnácti (15) pracovních dnů od uplynutí každého Vyhodnocovaného období. Příslušnou</w:t>
      </w:r>
      <w:r>
        <w:rPr>
          <w:rFonts w:ascii="Arial" w:hAnsi="Arial" w:cs="Arial"/>
          <w:sz w:val="20"/>
          <w:szCs w:val="20"/>
        </w:rPr>
        <w:t xml:space="preserve"> zprávu (report) doručí Pověřená osoba Poskytovatele e-mailem v uvedené lhůtě Pověřené osobě Objednatele. Tento report bude obsahovat seznam všech SP ve všech kategoriích priorit, tj. Prio1-4 , které byly v příslušném Vyhodnocovacím období zahájeny (bez oh</w:t>
      </w:r>
      <w:r>
        <w:rPr>
          <w:rFonts w:ascii="Arial" w:hAnsi="Arial" w:cs="Arial"/>
          <w:sz w:val="20"/>
          <w:szCs w:val="20"/>
        </w:rPr>
        <w:t xml:space="preserve">ledu na to, zda již byly ukončeny). Každé vyhodnocení bude písemně odsouhlaseno Pověřenými osobami obou Smluvních stran. </w:t>
      </w:r>
    </w:p>
    <w:p w14:paraId="3CAEE2E3" w14:textId="77777777" w:rsidR="00626783" w:rsidRDefault="00C138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nedostupnost DS se nepovažuje porucha v síti internet u jakékoliv ze Smluvních stran a plánovaná odstávka prováděná Poskytovatelem </w:t>
      </w:r>
      <w:r>
        <w:rPr>
          <w:rFonts w:ascii="Arial" w:hAnsi="Arial" w:cs="Arial"/>
          <w:sz w:val="20"/>
          <w:szCs w:val="20"/>
        </w:rPr>
        <w:t xml:space="preserve">v souladu s bodem 1.6. </w:t>
      </w:r>
    </w:p>
    <w:p w14:paraId="1C42EEB7" w14:textId="77777777" w:rsidR="00626783" w:rsidRDefault="00C13845">
      <w:pPr>
        <w:pStyle w:val="Zkladntex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Poskytovatel nesplní některou ze svých povinností stanovených v bodu 1.6., příslušná </w:t>
      </w:r>
      <w:r>
        <w:rPr>
          <w:rFonts w:ascii="Arial" w:hAnsi="Arial" w:cs="Arial"/>
          <w:b/>
          <w:bCs/>
          <w:sz w:val="20"/>
          <w:szCs w:val="20"/>
        </w:rPr>
        <w:t>celá doba</w:t>
      </w:r>
      <w:r>
        <w:rPr>
          <w:rFonts w:ascii="Arial" w:hAnsi="Arial" w:cs="Arial"/>
          <w:sz w:val="20"/>
          <w:szCs w:val="20"/>
        </w:rPr>
        <w:t xml:space="preserve"> odstávky se započítává do Doby nedostupnosti DS dle bodu 1.3. </w:t>
      </w:r>
    </w:p>
    <w:p w14:paraId="4ECCAA90" w14:textId="77777777" w:rsidR="00626783" w:rsidRDefault="00626783">
      <w:pPr>
        <w:pStyle w:val="Zkladntext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B8261D" w14:textId="77777777" w:rsidR="00626783" w:rsidRDefault="00C13845">
      <w:pPr>
        <w:pStyle w:val="Zkladntext"/>
        <w:numPr>
          <w:ilvl w:val="0"/>
          <w:numId w:val="18"/>
        </w:numPr>
        <w:spacing w:after="120" w:line="276" w:lineRule="auto"/>
        <w:rPr>
          <w:rFonts w:ascii="Arial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Správa a údržba</w:t>
      </w:r>
    </w:p>
    <w:p w14:paraId="5F9AEB2B" w14:textId="77777777" w:rsidR="00626783" w:rsidRDefault="00C1384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poskytování Digitální služby provádí Poskyt</w:t>
      </w:r>
      <w:r>
        <w:rPr>
          <w:rFonts w:ascii="Arial" w:hAnsi="Arial" w:cs="Arial"/>
          <w:sz w:val="20"/>
          <w:szCs w:val="20"/>
        </w:rPr>
        <w:t>ovatel za účelem bezchybného provozu Digitální služby Správu a údržbu aplikace LMS a příslušného softwarového vybavení včetně hardware, který je součástí infrastruktury cloudového prostředí.</w:t>
      </w:r>
    </w:p>
    <w:p w14:paraId="553CB925" w14:textId="77777777" w:rsidR="00626783" w:rsidRDefault="00C13845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Správa a údržba</w:t>
      </w:r>
      <w:r>
        <w:rPr>
          <w:rFonts w:ascii="Arial" w:hAnsi="Arial" w:cs="Arial"/>
          <w:sz w:val="20"/>
          <w:szCs w:val="20"/>
        </w:rPr>
        <w:t xml:space="preserve"> zahrnuje zejména:</w:t>
      </w:r>
    </w:p>
    <w:p w14:paraId="1597A932" w14:textId="77777777" w:rsidR="00626783" w:rsidRDefault="00C13845">
      <w:pPr>
        <w:pStyle w:val="Odstavecseseznamem"/>
        <w:numPr>
          <w:ilvl w:val="0"/>
          <w:numId w:val="2"/>
        </w:numPr>
        <w:spacing w:after="120"/>
        <w:ind w:left="1134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Řešení incidentů DS - </w:t>
      </w:r>
      <w:r>
        <w:rPr>
          <w:rFonts w:ascii="Arial" w:hAnsi="Arial" w:cs="Arial"/>
          <w:bCs/>
          <w:sz w:val="20"/>
          <w:szCs w:val="20"/>
        </w:rPr>
        <w:t>tj. služba spočívající zejména v odstraňování chybových stavů vzniklých při poskytování Digitální služby, včetně odstraňování programových chyb v aplikaci LMS a provozních nedostatků, a dále poskytování součinnosti při řešení problémů</w:t>
      </w:r>
      <w:r>
        <w:rPr>
          <w:rFonts w:ascii="Arial" w:hAnsi="Arial" w:cs="Arial"/>
          <w:bCs/>
          <w:sz w:val="20"/>
          <w:szCs w:val="20"/>
        </w:rPr>
        <w:t xml:space="preserve"> souvisejících s užívaným Digitální služby (tj. </w:t>
      </w:r>
      <w:r>
        <w:rPr>
          <w:rFonts w:ascii="Arial" w:hAnsi="Arial" w:cs="Arial"/>
          <w:sz w:val="20"/>
          <w:szCs w:val="20"/>
        </w:rPr>
        <w:t xml:space="preserve">odstraňování incidentů). Tato služba bude poskytována aplikaci LMS i jejím </w:t>
      </w:r>
      <w:proofErr w:type="spellStart"/>
      <w:r>
        <w:rPr>
          <w:rFonts w:ascii="Arial" w:hAnsi="Arial" w:cs="Arial"/>
          <w:sz w:val="20"/>
          <w:szCs w:val="20"/>
        </w:rPr>
        <w:t>upgrades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updates</w:t>
      </w:r>
      <w:proofErr w:type="spellEnd"/>
      <w:r>
        <w:rPr>
          <w:rFonts w:ascii="Arial" w:hAnsi="Arial" w:cs="Arial"/>
          <w:sz w:val="20"/>
          <w:szCs w:val="20"/>
        </w:rPr>
        <w:t xml:space="preserve"> a cloudovému prostředí. Poskytovatel akceptuje, že na straně serverů a uživatelských PC Objednatele musí docházet </w:t>
      </w:r>
      <w:r>
        <w:rPr>
          <w:rFonts w:ascii="Arial" w:hAnsi="Arial" w:cs="Arial"/>
          <w:sz w:val="20"/>
          <w:szCs w:val="20"/>
        </w:rPr>
        <w:t>průběžně k povyšování prostředí (OS, MS aplikací, Webových prohlížečů Edge, Chrome atd.) a současně garantuje, že jako součást správy a údržby bude řešit též incidenty vzniklé z těchto důvodů za stranu jím podporované technologie k užívání Objednatelem pos</w:t>
      </w:r>
      <w:r>
        <w:rPr>
          <w:rFonts w:ascii="Arial" w:hAnsi="Arial" w:cs="Arial"/>
          <w:sz w:val="20"/>
          <w:szCs w:val="20"/>
        </w:rPr>
        <w:t>kytované DS.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6429417" w14:textId="77777777" w:rsidR="00626783" w:rsidRDefault="00C13845">
      <w:pPr>
        <w:pStyle w:val="Odstavecseseznamem"/>
        <w:numPr>
          <w:ilvl w:val="0"/>
          <w:numId w:val="2"/>
        </w:numPr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Metodická činnost DS</w:t>
      </w:r>
      <w:r>
        <w:rPr>
          <w:rFonts w:ascii="Arial" w:hAnsi="Arial" w:cs="Arial"/>
          <w:sz w:val="20"/>
          <w:szCs w:val="20"/>
        </w:rPr>
        <w:t xml:space="preserve"> – služba poskytovaná v souvislosti s případnými změnami aplikace LMS. Jedná se například o konzultační a metodickou činnost poskytovanou on-line, konání workshopů za účelem zaškolení správců aplikace LMS a jejich koncovýc</w:t>
      </w:r>
      <w:r>
        <w:rPr>
          <w:rFonts w:ascii="Arial" w:hAnsi="Arial" w:cs="Arial"/>
          <w:sz w:val="20"/>
          <w:szCs w:val="20"/>
        </w:rPr>
        <w:t xml:space="preserve">h uživatelů např. v případě změn funkcionalit aplikace LMS provedených ze strany Poskytovatele apod. </w:t>
      </w:r>
    </w:p>
    <w:p w14:paraId="733827A5" w14:textId="77777777" w:rsidR="00626783" w:rsidRDefault="00C13845">
      <w:pPr>
        <w:pStyle w:val="Odstavecseseznamem"/>
        <w:numPr>
          <w:ilvl w:val="0"/>
          <w:numId w:val="2"/>
        </w:numPr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Aktualizace DS (aplikace LMS / cloudového prostředí) – </w:t>
      </w:r>
      <w:r>
        <w:rPr>
          <w:rFonts w:ascii="Arial" w:hAnsi="Arial" w:cs="Arial"/>
          <w:sz w:val="20"/>
          <w:szCs w:val="20"/>
        </w:rPr>
        <w:t xml:space="preserve">povinnost Poskytovatele poskytovat po dobu poskytování DS aktualizace DS nezbytné k tomu, aby byla DS poskytována bez vad. Poskytovatel je povinen upozorňovat Objednatele na jejich </w:t>
      </w:r>
      <w:r>
        <w:rPr>
          <w:rFonts w:ascii="Arial" w:hAnsi="Arial" w:cs="Arial"/>
          <w:sz w:val="20"/>
          <w:szCs w:val="20"/>
        </w:rPr>
        <w:lastRenderedPageBreak/>
        <w:t>dostupnost, informovat o postupu k provedení aktualizací včetně informování</w:t>
      </w:r>
      <w:r>
        <w:rPr>
          <w:rFonts w:ascii="Arial" w:hAnsi="Arial" w:cs="Arial"/>
          <w:sz w:val="20"/>
          <w:szCs w:val="20"/>
        </w:rPr>
        <w:t xml:space="preserve"> o důsledcích jejich neprovedení. </w:t>
      </w:r>
    </w:p>
    <w:p w14:paraId="4C55D75B" w14:textId="77777777" w:rsidR="00626783" w:rsidRDefault="00C13845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služby čerpá Objednatel automaticky v rámci užívání DS. Součástí služeb Správy a údržby bude i aktualizace dokumentace komunikačního rozhraní (integrace), uživatelské dokumentace a dokumentace určené pro správce apli</w:t>
      </w:r>
      <w:r>
        <w:rPr>
          <w:rFonts w:ascii="Arial" w:hAnsi="Arial" w:cs="Arial"/>
          <w:sz w:val="20"/>
          <w:szCs w:val="20"/>
        </w:rPr>
        <w:t xml:space="preserve">kace LMS, pokud aktualizace aplikace LMS na základě poskytované Správy a údržby tuto aktualizaci dokumentace vyžaduje. </w:t>
      </w:r>
    </w:p>
    <w:p w14:paraId="1433A5FD" w14:textId="77777777" w:rsidR="00626783" w:rsidRDefault="00C13845">
      <w:pPr>
        <w:widowControl w:val="0"/>
        <w:spacing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Čerpání služeb dle písm. a) a písm. b) bude realizováno na základě jednotlivých servisních požadavků Objednatele (postupem stanoveným v </w:t>
      </w:r>
      <w:r>
        <w:rPr>
          <w:rFonts w:ascii="Arial" w:hAnsi="Arial" w:cs="Arial"/>
          <w:sz w:val="20"/>
          <w:szCs w:val="20"/>
        </w:rPr>
        <w:t xml:space="preserve">bodu 5.1.), a to v pracovních dnech v době </w:t>
      </w:r>
      <w:r>
        <w:rPr>
          <w:rFonts w:ascii="Arial" w:hAnsi="Arial" w:cs="Arial"/>
          <w:b/>
          <w:bCs/>
          <w:sz w:val="20"/>
          <w:szCs w:val="20"/>
        </w:rPr>
        <w:t>od 8:00 hod. do 16:00 hod.,</w:t>
      </w:r>
      <w:r>
        <w:rPr>
          <w:rFonts w:ascii="Arial" w:hAnsi="Arial" w:cs="Arial"/>
          <w:sz w:val="20"/>
          <w:szCs w:val="20"/>
        </w:rPr>
        <w:t xml:space="preserve"> v případě incidentů pak též dle priorit jednotlivých servisních požadavků uvedených v  Tabulce č. 1. Kód priority určuje vždy Objednatel, pokud není Pověřenými osobami S</w:t>
      </w:r>
      <w:r>
        <w:rPr>
          <w:rFonts w:ascii="Arial" w:eastAsia="Calibri" w:hAnsi="Arial" w:cs="Arial"/>
          <w:sz w:val="20"/>
          <w:szCs w:val="20"/>
        </w:rPr>
        <w:t xml:space="preserve">mluvních stran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rokazatelně ad hoc dohodnuto jinak (mimo dobu stanovenou ve větě první tohoto odstavce lhůty uvedené v Tabulce č. 2 neběží).</w:t>
      </w:r>
    </w:p>
    <w:p w14:paraId="1C738BEA" w14:textId="77777777" w:rsidR="00626783" w:rsidRDefault="00C13845">
      <w:pPr>
        <w:widowControl w:val="0"/>
        <w:spacing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Čerpání služby dle písm. c) je průběžné. Cena za poskytování Digitální služby (užívání aplikace LMS) se provedením případných Úprav</w:t>
      </w:r>
      <w:r>
        <w:rPr>
          <w:rFonts w:ascii="Arial" w:hAnsi="Arial" w:cs="Arial"/>
          <w:sz w:val="20"/>
          <w:szCs w:val="20"/>
        </w:rPr>
        <w:t xml:space="preserve"> (např. propojení LMS s IDM OIM) nebude navyšovat. </w:t>
      </w:r>
    </w:p>
    <w:p w14:paraId="17CB61E8" w14:textId="77777777" w:rsidR="00626783" w:rsidRDefault="00626783">
      <w:pPr>
        <w:pStyle w:val="Odstavecseseznamem"/>
        <w:autoSpaceDE w:val="0"/>
        <w:autoSpaceDN w:val="0"/>
        <w:adjustRightInd w:val="0"/>
        <w:spacing w:after="120"/>
        <w:ind w:left="206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077C936" w14:textId="77777777" w:rsidR="00626783" w:rsidRDefault="00C13845">
      <w:pPr>
        <w:pStyle w:val="Zkladntext"/>
        <w:numPr>
          <w:ilvl w:val="0"/>
          <w:numId w:val="18"/>
        </w:numPr>
        <w:spacing w:after="120" w:line="276" w:lineRule="auto"/>
        <w:rPr>
          <w:rFonts w:ascii="Arial" w:hAnsi="Arial" w:cs="Arial"/>
          <w:b/>
          <w:u w:val="single"/>
        </w:rPr>
      </w:pPr>
      <w:bookmarkStart w:id="1" w:name="_Hlk134787360"/>
      <w:r>
        <w:rPr>
          <w:rFonts w:ascii="Arial" w:hAnsi="Arial" w:cs="Arial"/>
          <w:b/>
          <w:u w:val="single"/>
        </w:rPr>
        <w:t>Podpora zvlášť hrazená</w:t>
      </w:r>
    </w:p>
    <w:p w14:paraId="3E6F04D8" w14:textId="77777777" w:rsidR="00626783" w:rsidRDefault="00C13845">
      <w:pPr>
        <w:pStyle w:val="Odstavecseseznamem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Podpora zvlášť hrazen</w:t>
      </w:r>
      <w:r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je poskytována nad rámec služby Správy a údržby a zahrnuje:</w:t>
      </w:r>
    </w:p>
    <w:p w14:paraId="44199F6C" w14:textId="77777777" w:rsidR="00626783" w:rsidRDefault="00C1384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Konzultační služby – služby podpory poskytované dle potřeb Objednatele týkající se především prov</w:t>
      </w:r>
      <w:r>
        <w:rPr>
          <w:rFonts w:ascii="Arial" w:hAnsi="Arial" w:cs="Arial"/>
          <w:sz w:val="20"/>
          <w:szCs w:val="20"/>
        </w:rPr>
        <w:t>ozu a užívání řešení LMS, včetně řešení problémů, které byly způsobeny neodborným zásahem na straně Objednatele do řešení LMS,</w:t>
      </w:r>
    </w:p>
    <w:p w14:paraId="2605BA9E" w14:textId="77777777" w:rsidR="00626783" w:rsidRDefault="00C1384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Úpravy - provádění požadovaných softwarových úprav řešení LMS / aplikace LMS, které mohou zahrnovat například úpravy související </w:t>
      </w:r>
      <w:r>
        <w:rPr>
          <w:rFonts w:ascii="Arial" w:hAnsi="Arial" w:cs="Arial"/>
          <w:sz w:val="20"/>
          <w:szCs w:val="20"/>
        </w:rPr>
        <w:t>s vytvářením sestav / výstupů z aplikace LMS a vývojová činnost / součinnost při případné budoucí integraci na jinou aplikaci např. na IDM (OIM) nebo nový On-boarding systém zahrnující zejména předimplementační analýzu, konfiguraci / customizaci aplikace L</w:t>
      </w:r>
      <w:r>
        <w:rPr>
          <w:rFonts w:ascii="Arial" w:hAnsi="Arial" w:cs="Arial"/>
          <w:sz w:val="20"/>
          <w:szCs w:val="20"/>
        </w:rPr>
        <w:t>MS, testování a zdokumentování.</w:t>
      </w:r>
    </w:p>
    <w:p w14:paraId="44D504B5" w14:textId="77777777" w:rsidR="00626783" w:rsidRDefault="00C13845">
      <w:pPr>
        <w:pStyle w:val="Odstavecseseznamem"/>
        <w:spacing w:after="120"/>
        <w:ind w:left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čerpat člověkohodiny pro Podporu zvlášť hrazenou po dobu stanovenou Smlouvou, a to dle svých aktuálních potřeb v maximálním celkovém rozsahu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2" w:name="_Hlk170281438"/>
      <w:r>
        <w:rPr>
          <w:rFonts w:ascii="Arial" w:hAnsi="Arial" w:cs="Arial"/>
          <w:b/>
          <w:sz w:val="20"/>
          <w:szCs w:val="20"/>
        </w:rPr>
        <w:t>1600 člověkohodin, tj. 200 člověkodnů</w:t>
      </w:r>
      <w:r>
        <w:rPr>
          <w:rFonts w:ascii="Arial" w:hAnsi="Arial" w:cs="Arial"/>
          <w:sz w:val="20"/>
          <w:szCs w:val="20"/>
        </w:rPr>
        <w:t xml:space="preserve">. </w:t>
      </w:r>
      <w:bookmarkEnd w:id="2"/>
      <w:r>
        <w:rPr>
          <w:rFonts w:ascii="Arial" w:hAnsi="Arial" w:cs="Arial"/>
          <w:sz w:val="20"/>
          <w:szCs w:val="20"/>
        </w:rPr>
        <w:t>Člověkohodinou se roz</w:t>
      </w:r>
      <w:r>
        <w:rPr>
          <w:rFonts w:ascii="Arial" w:hAnsi="Arial" w:cs="Arial"/>
          <w:sz w:val="20"/>
          <w:szCs w:val="20"/>
        </w:rPr>
        <w:t xml:space="preserve">umí </w:t>
      </w:r>
      <w:r>
        <w:rPr>
          <w:rFonts w:ascii="Arial" w:hAnsi="Arial" w:cs="Arial"/>
          <w:b/>
          <w:sz w:val="20"/>
          <w:szCs w:val="20"/>
        </w:rPr>
        <w:t>60 minut</w:t>
      </w:r>
      <w:r>
        <w:rPr>
          <w:rFonts w:ascii="Arial" w:hAnsi="Arial" w:cs="Arial"/>
          <w:sz w:val="20"/>
          <w:szCs w:val="20"/>
        </w:rPr>
        <w:t xml:space="preserve">. Jednotlivé člověkohodiny se čerpají a vykazují po 30 minutách (i započatých). </w:t>
      </w:r>
      <w:r>
        <w:rPr>
          <w:rFonts w:ascii="Arial" w:eastAsia="Calibri" w:hAnsi="Arial" w:cs="Arial"/>
          <w:sz w:val="20"/>
          <w:szCs w:val="20"/>
        </w:rPr>
        <w:t>Maximální počet 1600 člověkohodin nemusí být ze strany Objednatele v průběhu trvání Smlouvy vyčerpán.</w:t>
      </w:r>
    </w:p>
    <w:p w14:paraId="3B226E45" w14:textId="77777777" w:rsidR="00626783" w:rsidRDefault="00C13845">
      <w:pPr>
        <w:pStyle w:val="Odstavecseseznamem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a způsob komunikace při poskytování Podpory zvlášť hr</w:t>
      </w:r>
      <w:r>
        <w:rPr>
          <w:rFonts w:ascii="Arial" w:hAnsi="Arial" w:cs="Arial"/>
          <w:b/>
          <w:sz w:val="20"/>
          <w:szCs w:val="20"/>
        </w:rPr>
        <w:t>azené – Konzultační služby</w:t>
      </w:r>
    </w:p>
    <w:p w14:paraId="32ED10BA" w14:textId="77777777" w:rsidR="00626783" w:rsidRDefault="00C1384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Konzultační služby budou poskytovány telefonickou konzultací nebo distanční formou. Distanční formou se rozumí např. účast prostřednictvím telekonference, prostřednictvím videokonference nebo prostřednictvím jiných </w:t>
      </w:r>
      <w:r>
        <w:rPr>
          <w:rFonts w:ascii="Arial" w:hAnsi="Arial" w:cs="Arial"/>
          <w:sz w:val="20"/>
          <w:szCs w:val="20"/>
        </w:rPr>
        <w:t>technických prostředků.</w:t>
      </w:r>
    </w:p>
    <w:p w14:paraId="4BA78A3C" w14:textId="77777777" w:rsidR="00626783" w:rsidRDefault="00C1384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Čerpání této služby bude realizováno na základě jednotlivých servisních požadavků Objednatele, a to po dobu poskytování Podpory podle Smlouvy podle jeho potřeb, přičemž postup Smluvních stran při řešení servisních požadavků je stano</w:t>
      </w:r>
      <w:r>
        <w:rPr>
          <w:rFonts w:ascii="Arial" w:hAnsi="Arial" w:cs="Arial"/>
          <w:sz w:val="20"/>
          <w:szCs w:val="20"/>
        </w:rPr>
        <w:t xml:space="preserve">ven v  bodu 5.2. </w:t>
      </w:r>
    </w:p>
    <w:p w14:paraId="756EF164" w14:textId="77777777" w:rsidR="00626783" w:rsidRDefault="00C1384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bude akceptovat řádné poskytnutí Konzultačních služeb včetně časového rozsahu odsouhlasením </w:t>
      </w:r>
      <w:r>
        <w:rPr>
          <w:rFonts w:ascii="Arial" w:eastAsia="Calibri" w:hAnsi="Arial" w:cs="Arial"/>
          <w:sz w:val="20"/>
          <w:szCs w:val="20"/>
        </w:rPr>
        <w:t xml:space="preserve">Výkazu Konzultačních služeb a Úprav (k tomu viz </w:t>
      </w:r>
      <w:bookmarkStart w:id="3" w:name="_Hlk207869100"/>
      <w:r>
        <w:rPr>
          <w:rFonts w:ascii="Arial" w:eastAsia="Calibri" w:hAnsi="Arial" w:cs="Arial"/>
          <w:sz w:val="20"/>
          <w:szCs w:val="20"/>
        </w:rPr>
        <w:t>čl. III. odst. 8. písm. f) Smlouvy)</w:t>
      </w:r>
      <w:r>
        <w:rPr>
          <w:rFonts w:ascii="Arial" w:hAnsi="Arial" w:cs="Arial"/>
          <w:sz w:val="20"/>
          <w:szCs w:val="20"/>
        </w:rPr>
        <w:t>.</w:t>
      </w:r>
      <w:bookmarkEnd w:id="3"/>
    </w:p>
    <w:p w14:paraId="3C2F821D" w14:textId="77777777" w:rsidR="00626783" w:rsidRDefault="00C13845">
      <w:pPr>
        <w:pStyle w:val="Odstavecseseznamem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Podmínky a způsob komunikace při </w:t>
      </w:r>
      <w:r>
        <w:rPr>
          <w:rFonts w:ascii="Arial" w:hAnsi="Arial" w:cs="Arial"/>
          <w:b/>
          <w:sz w:val="20"/>
          <w:szCs w:val="20"/>
        </w:rPr>
        <w:t>poskytování Podpory zvlášť hrazené - Úpravy</w:t>
      </w:r>
    </w:p>
    <w:p w14:paraId="059F64E3" w14:textId="77777777" w:rsidR="00626783" w:rsidRDefault="00C1384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Čerpání této služby bude realizováno na základě jednotlivých servisních požadavků Objednatele, a to po dobu poskytování Podpory podle Smlouvy podle jeho potřeb, přičemž postup Smluvních stran při řešení servisníc</w:t>
      </w:r>
      <w:r>
        <w:rPr>
          <w:rFonts w:ascii="Arial" w:hAnsi="Arial" w:cs="Arial"/>
          <w:sz w:val="20"/>
          <w:szCs w:val="20"/>
        </w:rPr>
        <w:t xml:space="preserve">h požadavků je stanoven v  bodu 5.3. </w:t>
      </w:r>
    </w:p>
    <w:p w14:paraId="4EEDFD7B" w14:textId="77777777" w:rsidR="00626783" w:rsidRDefault="00C1384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Úprava bude považována za provedenou dnem podpisu příslušného Akceptačního protokolu o provedení Úpravy Pověřenými osobami Smluvních stran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B22272F" w14:textId="77777777" w:rsidR="00626783" w:rsidRDefault="00C1384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Provedené Úpravě bude ode dne podpisu příslušného Akceptačního protokolu posk</w:t>
      </w:r>
      <w:r>
        <w:rPr>
          <w:rFonts w:ascii="Arial" w:hAnsi="Arial" w:cs="Arial"/>
          <w:sz w:val="20"/>
          <w:szCs w:val="20"/>
        </w:rPr>
        <w:t>ytována Správa a údržba a Podpora zvlášť hrazená v rozsahu uvedeném ve Smlouvě a v čl. 2. a čl. 3. této Přílohy č. 2, a to bez dopadu na cenu poskytování Digitální služby stanovenou v čl. IV. odst. 4. a 5. Smlouvy.</w:t>
      </w:r>
    </w:p>
    <w:p w14:paraId="08460534" w14:textId="77777777" w:rsidR="00626783" w:rsidRDefault="00C1384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tom, že poža</w:t>
      </w:r>
      <w:r>
        <w:rPr>
          <w:rFonts w:ascii="Arial" w:hAnsi="Arial" w:cs="Arial"/>
          <w:sz w:val="20"/>
          <w:szCs w:val="20"/>
        </w:rPr>
        <w:t xml:space="preserve">davek Objednatele na realizaci Úpravy může být odeslán Poskytovateli tak, aby Úprava mohla být provedena do konce poskytování Digitální služby. </w:t>
      </w:r>
    </w:p>
    <w:p w14:paraId="0142482D" w14:textId="77777777" w:rsidR="00626783" w:rsidRDefault="00C1384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Předání Úprav k akceptaci</w:t>
      </w:r>
    </w:p>
    <w:p w14:paraId="66D7A73C" w14:textId="77777777" w:rsidR="00626783" w:rsidRDefault="00C13845">
      <w:pPr>
        <w:pStyle w:val="Odstavecseseznamem"/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Úprav bude realizováno postupem stanoveným v  bodu 5.3, písm. e) a f), této P</w:t>
      </w:r>
      <w:r>
        <w:rPr>
          <w:rFonts w:ascii="Arial" w:hAnsi="Arial" w:cs="Arial"/>
          <w:sz w:val="20"/>
          <w:szCs w:val="20"/>
        </w:rPr>
        <w:t>řílohy č. 2.</w:t>
      </w:r>
    </w:p>
    <w:p w14:paraId="7A378E2C" w14:textId="77777777" w:rsidR="00626783" w:rsidRDefault="00C13845">
      <w:pPr>
        <w:pStyle w:val="Odstavecseseznamem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Vykazování poskytnutých Konzultačních služeb a provedených Úprav:</w:t>
      </w:r>
    </w:p>
    <w:p w14:paraId="4056306F" w14:textId="77777777" w:rsidR="00626783" w:rsidRDefault="00C13845">
      <w:pPr>
        <w:pStyle w:val="Nadpis5"/>
        <w:keepLines/>
        <w:spacing w:after="120" w:line="276" w:lineRule="auto"/>
        <w:ind w:left="567" w:firstLine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Vykazování poskytnutých Konzultačních služeb a provedených Úprav bude prováděno prostřednictvím </w:t>
      </w:r>
      <w:r>
        <w:rPr>
          <w:rFonts w:ascii="Arial" w:eastAsia="Calibri" w:hAnsi="Arial" w:cs="Arial"/>
          <w:sz w:val="20"/>
          <w:szCs w:val="20"/>
        </w:rPr>
        <w:t xml:space="preserve">Výkazu Konzultačních služeb a Úprav </w:t>
      </w:r>
      <w:r>
        <w:rPr>
          <w:rFonts w:ascii="Arial" w:hAnsi="Arial" w:cs="Arial"/>
          <w:b w:val="0"/>
          <w:sz w:val="20"/>
          <w:szCs w:val="20"/>
        </w:rPr>
        <w:t>dle Přílohy č. 4 Smlouvy – „Vzor výkazu Konzu</w:t>
      </w:r>
      <w:r>
        <w:rPr>
          <w:rFonts w:ascii="Arial" w:hAnsi="Arial" w:cs="Arial"/>
          <w:b w:val="0"/>
          <w:sz w:val="20"/>
          <w:szCs w:val="20"/>
        </w:rPr>
        <w:t xml:space="preserve">ltačních služeb a Úprav“. </w:t>
      </w:r>
      <w:bookmarkEnd w:id="1"/>
    </w:p>
    <w:p w14:paraId="458CF54E" w14:textId="77777777" w:rsidR="00626783" w:rsidRDefault="00626783"/>
    <w:p w14:paraId="4BAB8927" w14:textId="77777777" w:rsidR="00626783" w:rsidRDefault="00C13845">
      <w:pPr>
        <w:pStyle w:val="Zkladntext"/>
        <w:numPr>
          <w:ilvl w:val="0"/>
          <w:numId w:val="18"/>
        </w:numPr>
        <w:spacing w:after="120" w:line="276" w:lineRule="auto"/>
        <w:rPr>
          <w:rFonts w:ascii="Arial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  <w:lang w:eastAsia="en-US"/>
        </w:rPr>
        <w:t xml:space="preserve">Kategorizace priorit u incidentů (SLA) </w:t>
      </w:r>
    </w:p>
    <w:p w14:paraId="0EB97284" w14:textId="77777777" w:rsidR="00626783" w:rsidRDefault="00C13845">
      <w:pPr>
        <w:widowControl w:val="0"/>
        <w:spacing w:after="12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Smluvní stany se dohodly, že incidenty budou v rámci poskytování Digitální služby hodnoceny a řešeny podle následující tabulky. </w:t>
      </w:r>
    </w:p>
    <w:p w14:paraId="7B6AE128" w14:textId="77777777" w:rsidR="00626783" w:rsidRDefault="00C13845">
      <w:pPr>
        <w:pStyle w:val="Popisek-tabulka"/>
        <w:numPr>
          <w:ilvl w:val="0"/>
          <w:numId w:val="0"/>
        </w:numPr>
        <w:spacing w:before="0" w:after="120" w:line="27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Tabulka č. 1 – Kategorizace priorit (dle </w:t>
      </w:r>
      <w:r>
        <w:rPr>
          <w:rFonts w:ascii="Arial" w:hAnsi="Arial" w:cs="Arial"/>
          <w:sz w:val="20"/>
          <w:szCs w:val="20"/>
        </w:rPr>
        <w:t>jednotlivých kategorií):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7144"/>
      </w:tblGrid>
      <w:tr w:rsidR="00626783" w14:paraId="6D89528C" w14:textId="77777777">
        <w:trPr>
          <w:trHeight w:val="315"/>
        </w:trPr>
        <w:tc>
          <w:tcPr>
            <w:tcW w:w="5000" w:type="pct"/>
            <w:gridSpan w:val="2"/>
            <w:shd w:val="clear" w:color="auto" w:fill="99CCFF"/>
          </w:tcPr>
          <w:p w14:paraId="4E4CA601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Kategorie priorit</w:t>
            </w:r>
          </w:p>
        </w:tc>
      </w:tr>
      <w:tr w:rsidR="00626783" w14:paraId="631A8E60" w14:textId="77777777">
        <w:trPr>
          <w:trHeight w:val="330"/>
        </w:trPr>
        <w:tc>
          <w:tcPr>
            <w:tcW w:w="1058" w:type="pct"/>
            <w:shd w:val="clear" w:color="auto" w:fill="C0C0C0"/>
          </w:tcPr>
          <w:p w14:paraId="4830AB10" w14:textId="77777777" w:rsidR="00626783" w:rsidRDefault="00C13845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Kód priority</w:t>
            </w:r>
          </w:p>
        </w:tc>
        <w:tc>
          <w:tcPr>
            <w:tcW w:w="3942" w:type="pct"/>
            <w:shd w:val="clear" w:color="auto" w:fill="C0C0C0"/>
          </w:tcPr>
          <w:p w14:paraId="0E1F555D" w14:textId="77777777" w:rsidR="00626783" w:rsidRDefault="00C13845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</w:t>
            </w:r>
          </w:p>
        </w:tc>
      </w:tr>
      <w:tr w:rsidR="00626783" w14:paraId="24E2D137" w14:textId="77777777">
        <w:trPr>
          <w:trHeight w:val="315"/>
        </w:trPr>
        <w:tc>
          <w:tcPr>
            <w:tcW w:w="1058" w:type="pct"/>
            <w:vAlign w:val="center"/>
          </w:tcPr>
          <w:p w14:paraId="0CD4DE8E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Priorita 1 (Prio 1)</w:t>
            </w:r>
          </w:p>
        </w:tc>
        <w:tc>
          <w:tcPr>
            <w:tcW w:w="3942" w:type="pct"/>
            <w:vAlign w:val="bottom"/>
          </w:tcPr>
          <w:p w14:paraId="5D6AB3B8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Havarijní stav</w:t>
            </w:r>
          </w:p>
          <w:p w14:paraId="617D7448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Všechny klíčové části DS jsou nefunkční a brání koncovým uživatelům provádět kritické funkce. Neexistuje náhradní aplikační řešení.</w:t>
            </w:r>
          </w:p>
        </w:tc>
      </w:tr>
      <w:tr w:rsidR="00626783" w14:paraId="1298A945" w14:textId="77777777">
        <w:trPr>
          <w:trHeight w:val="315"/>
        </w:trPr>
        <w:tc>
          <w:tcPr>
            <w:tcW w:w="1058" w:type="pct"/>
            <w:vAlign w:val="center"/>
          </w:tcPr>
          <w:p w14:paraId="2C80E367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Priorita 2 (Prio 2)</w:t>
            </w:r>
          </w:p>
        </w:tc>
        <w:tc>
          <w:tcPr>
            <w:tcW w:w="3942" w:type="pct"/>
            <w:vAlign w:val="bottom"/>
          </w:tcPr>
          <w:p w14:paraId="67A0B7A3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Kritický stav</w:t>
            </w:r>
          </w:p>
          <w:p w14:paraId="1BB1E486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Všechny nebo některé části DS fungují v omezeném provozu s dopadem na koncové uživatele, nejsou ohroženy hlavní funkce služby, incidentem dotčený proces může pokračovat omezeným způsobem nebo existuje dočasné náhradní řešení. Nespadá svým cha</w:t>
            </w:r>
            <w:r>
              <w:rPr>
                <w:rFonts w:ascii="Arial" w:hAnsi="Arial" w:cs="Arial"/>
                <w:sz w:val="20"/>
                <w:szCs w:val="20"/>
              </w:rPr>
              <w:t>rakterem do Priority 1.</w:t>
            </w:r>
          </w:p>
        </w:tc>
      </w:tr>
      <w:tr w:rsidR="00626783" w14:paraId="16B31CEE" w14:textId="77777777">
        <w:trPr>
          <w:trHeight w:val="315"/>
        </w:trPr>
        <w:tc>
          <w:tcPr>
            <w:tcW w:w="1058" w:type="pct"/>
            <w:vAlign w:val="center"/>
          </w:tcPr>
          <w:p w14:paraId="05A28593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Priorita 3 (Prio 3)</w:t>
            </w:r>
          </w:p>
        </w:tc>
        <w:tc>
          <w:tcPr>
            <w:tcW w:w="3942" w:type="pct"/>
            <w:vAlign w:val="bottom"/>
          </w:tcPr>
          <w:p w14:paraId="46EB1325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Vážný stav</w:t>
            </w:r>
          </w:p>
          <w:p w14:paraId="434A5BDE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Většina částí DS je funkční. Nejsou dostupné pouze některé nevýznamné funkcionality s plošným anebo skupinovým dopadem. Má nízký vliv na externí osoby. Nespadá svým charakterem do Priority 1 či 2.</w:t>
            </w:r>
          </w:p>
        </w:tc>
      </w:tr>
      <w:tr w:rsidR="00626783" w14:paraId="2D2FD034" w14:textId="77777777">
        <w:trPr>
          <w:trHeight w:val="315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A9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iorita 4 (Prio 4)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2232F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Běžný stav</w:t>
            </w:r>
          </w:p>
          <w:p w14:paraId="445C8A3B" w14:textId="77777777" w:rsidR="00626783" w:rsidRDefault="00C1384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Nemá zásadní vliv na činnost podporované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aplikace </w:t>
            </w:r>
            <w:r>
              <w:rPr>
                <w:rFonts w:ascii="Arial" w:hAnsi="Arial" w:cs="Arial"/>
                <w:sz w:val="20"/>
                <w:szCs w:val="20"/>
              </w:rPr>
              <w:t>LMS.</w:t>
            </w:r>
          </w:p>
        </w:tc>
      </w:tr>
    </w:tbl>
    <w:p w14:paraId="1E531B68" w14:textId="77777777" w:rsidR="00626783" w:rsidRDefault="00C13845">
      <w:pPr>
        <w:pStyle w:val="Nadpis5"/>
        <w:keepLines/>
        <w:spacing w:before="360" w:after="200" w:line="264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Cílové parametry řešení incidentů </w:t>
      </w:r>
    </w:p>
    <w:p w14:paraId="754F2751" w14:textId="77777777" w:rsidR="00626783" w:rsidRDefault="00C13845">
      <w:pPr>
        <w:pStyle w:val="Popisek-tabulka"/>
        <w:numPr>
          <w:ilvl w:val="0"/>
          <w:numId w:val="0"/>
        </w:numPr>
        <w:spacing w:after="120" w:line="276" w:lineRule="auto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č. 2 – Cílové parametry řešení incidentů (SLA):</w:t>
      </w:r>
    </w:p>
    <w:tbl>
      <w:tblPr>
        <w:tblW w:w="931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997"/>
        <w:gridCol w:w="5210"/>
      </w:tblGrid>
      <w:tr w:rsidR="00626783" w14:paraId="347C0D83" w14:textId="77777777">
        <w:trPr>
          <w:trHeight w:val="712"/>
        </w:trPr>
        <w:tc>
          <w:tcPr>
            <w:tcW w:w="3103" w:type="dxa"/>
            <w:shd w:val="clear" w:color="auto" w:fill="BFBFBF" w:themeFill="background1" w:themeFillShade="BF"/>
          </w:tcPr>
          <w:p w14:paraId="78A433A7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14:paraId="4E5E76CB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Priorita </w:t>
            </w:r>
          </w:p>
        </w:tc>
        <w:tc>
          <w:tcPr>
            <w:tcW w:w="5210" w:type="dxa"/>
            <w:shd w:val="clear" w:color="auto" w:fill="BFBFBF" w:themeFill="background1" w:themeFillShade="BF"/>
          </w:tcPr>
          <w:p w14:paraId="19001D98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Hodnota</w:t>
            </w:r>
          </w:p>
        </w:tc>
      </w:tr>
      <w:tr w:rsidR="00626783" w14:paraId="429E265B" w14:textId="77777777">
        <w:trPr>
          <w:trHeight w:val="402"/>
        </w:trPr>
        <w:tc>
          <w:tcPr>
            <w:tcW w:w="3103" w:type="dxa"/>
            <w:vMerge w:val="restart"/>
          </w:tcPr>
          <w:p w14:paraId="161F2466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Reakční doba na servisní požadavek</w:t>
            </w:r>
          </w:p>
        </w:tc>
        <w:tc>
          <w:tcPr>
            <w:tcW w:w="997" w:type="dxa"/>
          </w:tcPr>
          <w:p w14:paraId="43C40D4F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533F68A3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&lt; 1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hodina</w:t>
            </w:r>
          </w:p>
        </w:tc>
      </w:tr>
      <w:tr w:rsidR="00626783" w14:paraId="6192DEE2" w14:textId="77777777">
        <w:trPr>
          <w:trHeight w:val="408"/>
        </w:trPr>
        <w:tc>
          <w:tcPr>
            <w:tcW w:w="3103" w:type="dxa"/>
            <w:vMerge/>
          </w:tcPr>
          <w:p w14:paraId="4832558A" w14:textId="77777777" w:rsidR="00626783" w:rsidRDefault="00626783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4E0858DD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10" w:type="dxa"/>
          </w:tcPr>
          <w:p w14:paraId="3145E5EF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 8 hodin</w:t>
            </w:r>
          </w:p>
        </w:tc>
      </w:tr>
      <w:tr w:rsidR="00626783" w14:paraId="36DF375B" w14:textId="77777777">
        <w:trPr>
          <w:trHeight w:val="428"/>
        </w:trPr>
        <w:tc>
          <w:tcPr>
            <w:tcW w:w="3103" w:type="dxa"/>
            <w:vMerge/>
          </w:tcPr>
          <w:p w14:paraId="5A7D74DE" w14:textId="77777777" w:rsidR="00626783" w:rsidRDefault="00626783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19F950A7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10" w:type="dxa"/>
          </w:tcPr>
          <w:p w14:paraId="0C97CEA5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 16 hodin</w:t>
            </w:r>
          </w:p>
        </w:tc>
      </w:tr>
      <w:tr w:rsidR="00626783" w14:paraId="4072F3A5" w14:textId="77777777">
        <w:trPr>
          <w:trHeight w:val="404"/>
        </w:trPr>
        <w:tc>
          <w:tcPr>
            <w:tcW w:w="3103" w:type="dxa"/>
            <w:vMerge/>
          </w:tcPr>
          <w:p w14:paraId="2C5B665E" w14:textId="77777777" w:rsidR="00626783" w:rsidRDefault="00626783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4972E27D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10" w:type="dxa"/>
          </w:tcPr>
          <w:p w14:paraId="5767B40B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 16 hodin</w:t>
            </w:r>
          </w:p>
        </w:tc>
      </w:tr>
      <w:tr w:rsidR="00626783" w14:paraId="641CED44" w14:textId="77777777">
        <w:trPr>
          <w:trHeight w:val="394"/>
        </w:trPr>
        <w:tc>
          <w:tcPr>
            <w:tcW w:w="3103" w:type="dxa"/>
            <w:vMerge w:val="restart"/>
          </w:tcPr>
          <w:p w14:paraId="14F9DF21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Doba vyřešení servisního požadavku</w:t>
            </w:r>
          </w:p>
        </w:tc>
        <w:tc>
          <w:tcPr>
            <w:tcW w:w="997" w:type="dxa"/>
          </w:tcPr>
          <w:p w14:paraId="50F1B4D4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63B2F990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Prio 1 &lt; 8 hodin</w:t>
            </w:r>
          </w:p>
        </w:tc>
      </w:tr>
      <w:tr w:rsidR="00626783" w14:paraId="1A80055B" w14:textId="77777777">
        <w:trPr>
          <w:trHeight w:val="258"/>
        </w:trPr>
        <w:tc>
          <w:tcPr>
            <w:tcW w:w="3103" w:type="dxa"/>
            <w:vMerge/>
          </w:tcPr>
          <w:p w14:paraId="44C72F61" w14:textId="77777777" w:rsidR="00626783" w:rsidRDefault="00626783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287188BC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10" w:type="dxa"/>
          </w:tcPr>
          <w:p w14:paraId="26976EBD" w14:textId="77777777" w:rsidR="00626783" w:rsidRDefault="00C13845">
            <w:pPr>
              <w:pStyle w:val="TableTex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cs-CZ"/>
              </w:rPr>
              <w:t>Prio 2 &lt; 5 pracovních dnů</w:t>
            </w:r>
          </w:p>
        </w:tc>
      </w:tr>
      <w:tr w:rsidR="00626783" w14:paraId="4E6AB6A8" w14:textId="77777777">
        <w:trPr>
          <w:trHeight w:val="412"/>
        </w:trPr>
        <w:tc>
          <w:tcPr>
            <w:tcW w:w="3103" w:type="dxa"/>
            <w:vMerge/>
          </w:tcPr>
          <w:p w14:paraId="3C5A2C7B" w14:textId="77777777" w:rsidR="00626783" w:rsidRDefault="00626783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6A693BE7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10" w:type="dxa"/>
          </w:tcPr>
          <w:p w14:paraId="622C0939" w14:textId="77777777" w:rsidR="00626783" w:rsidRDefault="00C13845">
            <w:pPr>
              <w:pStyle w:val="TableText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>
              <w:rPr>
                <w:rFonts w:cs="Arial"/>
                <w:sz w:val="20"/>
                <w:szCs w:val="20"/>
                <w:lang w:val="cs-CZ"/>
              </w:rPr>
              <w:t xml:space="preserve"> 3 &lt; 20 pracovních dnů</w:t>
            </w:r>
          </w:p>
        </w:tc>
      </w:tr>
      <w:tr w:rsidR="00626783" w14:paraId="2F134792" w14:textId="77777777">
        <w:trPr>
          <w:trHeight w:val="418"/>
        </w:trPr>
        <w:tc>
          <w:tcPr>
            <w:tcW w:w="3103" w:type="dxa"/>
            <w:vMerge/>
          </w:tcPr>
          <w:p w14:paraId="6EEE3AE6" w14:textId="77777777" w:rsidR="00626783" w:rsidRDefault="00626783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44566AA9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10" w:type="dxa"/>
          </w:tcPr>
          <w:p w14:paraId="4246BED2" w14:textId="77777777" w:rsidR="00626783" w:rsidRDefault="00C13845">
            <w:pPr>
              <w:pStyle w:val="TableText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>
              <w:rPr>
                <w:rFonts w:cs="Arial"/>
                <w:sz w:val="20"/>
                <w:szCs w:val="20"/>
                <w:lang w:val="cs-CZ"/>
              </w:rPr>
              <w:t xml:space="preserve"> 4 - dle dohody Smluvních stran</w:t>
            </w:r>
          </w:p>
        </w:tc>
      </w:tr>
    </w:tbl>
    <w:p w14:paraId="11AD783F" w14:textId="77777777" w:rsidR="00626783" w:rsidRDefault="00C13845">
      <w:pPr>
        <w:pStyle w:val="Nadpis5"/>
        <w:keepLines/>
        <w:spacing w:before="360" w:after="200" w:line="264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Definice parametrů </w:t>
      </w:r>
    </w:p>
    <w:p w14:paraId="46EAB1F3" w14:textId="77777777" w:rsidR="00626783" w:rsidRDefault="00C13845">
      <w:pPr>
        <w:pStyle w:val="HPNormal"/>
        <w:spacing w:before="120" w:after="120" w:line="276" w:lineRule="auto"/>
        <w:contextualSpacing/>
        <w:rPr>
          <w:rFonts w:ascii="Arial" w:hAnsi="Arial" w:cs="Arial"/>
          <w:sz w:val="20"/>
          <w:highlight w:val="yellow"/>
          <w:lang w:val="cs-CZ"/>
        </w:rPr>
      </w:pPr>
      <w:r>
        <w:rPr>
          <w:rFonts w:ascii="Arial" w:hAnsi="Arial" w:cs="Arial"/>
          <w:sz w:val="20"/>
          <w:lang w:val="cs-CZ"/>
        </w:rPr>
        <w:t xml:space="preserve">Tabulka č. 3 - </w:t>
      </w:r>
      <w:r>
        <w:rPr>
          <w:rFonts w:ascii="Arial" w:hAnsi="Arial" w:cs="Arial"/>
          <w:sz w:val="20"/>
          <w:lang w:val="cs-CZ"/>
        </w:rPr>
        <w:t>Definice parametrů</w:t>
      </w: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3837"/>
        <w:gridCol w:w="2126"/>
        <w:gridCol w:w="2554"/>
      </w:tblGrid>
      <w:tr w:rsidR="00626783" w14:paraId="4B5A9C17" w14:textId="77777777">
        <w:trPr>
          <w:trHeight w:val="468"/>
          <w:tblHeader/>
        </w:trPr>
        <w:tc>
          <w:tcPr>
            <w:tcW w:w="5000" w:type="pct"/>
            <w:gridSpan w:val="4"/>
            <w:shd w:val="clear" w:color="auto" w:fill="99CCFF"/>
          </w:tcPr>
          <w:p w14:paraId="34B97F6F" w14:textId="77777777" w:rsidR="00626783" w:rsidRDefault="00C13845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Cílové parametry řešení incidentů</w:t>
            </w:r>
          </w:p>
        </w:tc>
      </w:tr>
      <w:tr w:rsidR="00626783" w14:paraId="6D4F6FB9" w14:textId="77777777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581" w:type="pct"/>
            <w:shd w:val="clear" w:color="auto" w:fill="BFBFBF"/>
          </w:tcPr>
          <w:p w14:paraId="6E23053B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91" w:type="pct"/>
            <w:shd w:val="clear" w:color="auto" w:fill="BFBFBF"/>
          </w:tcPr>
          <w:p w14:paraId="508C9155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Definice</w:t>
            </w:r>
          </w:p>
        </w:tc>
        <w:tc>
          <w:tcPr>
            <w:tcW w:w="1103" w:type="pct"/>
            <w:shd w:val="clear" w:color="auto" w:fill="BFBFBF"/>
            <w:vAlign w:val="center"/>
          </w:tcPr>
          <w:p w14:paraId="3BB04F1C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Sledování a měření</w:t>
            </w:r>
          </w:p>
        </w:tc>
        <w:tc>
          <w:tcPr>
            <w:tcW w:w="1324" w:type="pct"/>
            <w:shd w:val="clear" w:color="auto" w:fill="BFBFBF"/>
            <w:vAlign w:val="center"/>
          </w:tcPr>
          <w:p w14:paraId="75D7A7DB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Výpočet</w:t>
            </w:r>
          </w:p>
        </w:tc>
      </w:tr>
      <w:tr w:rsidR="00626783" w14:paraId="48FD5FF3" w14:textId="77777777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5000" w:type="pct"/>
            <w:gridSpan w:val="4"/>
            <w:shd w:val="clear" w:color="auto" w:fill="BFBFBF"/>
            <w:vAlign w:val="bottom"/>
          </w:tcPr>
          <w:p w14:paraId="1B7DED18" w14:textId="77777777" w:rsidR="00626783" w:rsidRDefault="00C13845">
            <w:pPr>
              <w:spacing w:before="120" w:after="120" w:line="276" w:lineRule="auto"/>
              <w:contextualSpacing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Správa incidentů </w:t>
            </w:r>
          </w:p>
        </w:tc>
      </w:tr>
      <w:tr w:rsidR="00626783" w14:paraId="25A69394" w14:textId="77777777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rPr>
          <w:trHeight w:val="4373"/>
          <w:tblHeader/>
        </w:trPr>
        <w:tc>
          <w:tcPr>
            <w:tcW w:w="581" w:type="pct"/>
          </w:tcPr>
          <w:p w14:paraId="3B56C9E4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Doba odezvy (reakční doba na servisní požadavek)</w:t>
            </w:r>
          </w:p>
        </w:tc>
        <w:tc>
          <w:tcPr>
            <w:tcW w:w="1991" w:type="pct"/>
          </w:tcPr>
          <w:p w14:paraId="0B8BF6CA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13875763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lang w:val="cs-CZ"/>
              </w:rPr>
              <w:t xml:space="preserve">Doba mezi </w:t>
            </w:r>
          </w:p>
          <w:p w14:paraId="4A3026B0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b/>
                <w:lang w:val="cs-CZ"/>
              </w:rPr>
              <w:t>zasláním servisního požadavku Objednatelem</w:t>
            </w:r>
            <w:r>
              <w:rPr>
                <w:lang w:val="cs-CZ"/>
              </w:rPr>
              <w:t xml:space="preserve"> kontaktnímu místu Poskytovatele </w:t>
            </w:r>
          </w:p>
          <w:p w14:paraId="344910D8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</w:p>
          <w:p w14:paraId="7217FF50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lang w:val="cs-CZ"/>
              </w:rPr>
              <w:t xml:space="preserve">a </w:t>
            </w:r>
          </w:p>
          <w:p w14:paraId="1DAA9FE5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</w:p>
          <w:p w14:paraId="35C4C32C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b/>
                <w:lang w:val="cs-CZ"/>
              </w:rPr>
              <w:t xml:space="preserve">přijetím/odmítnutím </w:t>
            </w:r>
            <w:r>
              <w:rPr>
                <w:lang w:val="cs-CZ"/>
              </w:rPr>
              <w:t xml:space="preserve">(se zdůvodněním) </w:t>
            </w:r>
            <w:r>
              <w:rPr>
                <w:b/>
                <w:lang w:val="cs-CZ"/>
              </w:rPr>
              <w:t>servisního požadavku</w:t>
            </w:r>
            <w:r>
              <w:rPr>
                <w:lang w:val="cs-CZ"/>
              </w:rPr>
              <w:t xml:space="preserve"> kontaktním místem Poskytovatele Objednateli</w:t>
            </w:r>
          </w:p>
          <w:p w14:paraId="5880448D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lang w:val="cs-CZ"/>
              </w:rPr>
              <w:t>(potvrzení e-mailem Objednateli).</w:t>
            </w:r>
          </w:p>
          <w:p w14:paraId="4BD2BFB2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</w:tc>
        <w:tc>
          <w:tcPr>
            <w:tcW w:w="1103" w:type="pct"/>
          </w:tcPr>
          <w:p w14:paraId="6F10EDC5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lang w:val="cs-CZ"/>
              </w:rPr>
              <w:t xml:space="preserve">Sledována a určována </w:t>
            </w:r>
            <w:proofErr w:type="spellStart"/>
            <w:r>
              <w:rPr>
                <w:lang w:val="cs-CZ"/>
              </w:rPr>
              <w:t>Service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Deskem</w:t>
            </w:r>
            <w:proofErr w:type="spellEnd"/>
            <w:r>
              <w:rPr>
                <w:lang w:val="cs-CZ"/>
              </w:rPr>
              <w:t xml:space="preserve"> Objednatele</w:t>
            </w:r>
            <w:r>
              <w:rPr>
                <w:rFonts w:cs="Arial"/>
                <w:lang w:val="cs-CZ"/>
              </w:rPr>
              <w:t xml:space="preserve"> </w:t>
            </w:r>
          </w:p>
        </w:tc>
        <w:tc>
          <w:tcPr>
            <w:tcW w:w="1324" w:type="pct"/>
          </w:tcPr>
          <w:p w14:paraId="777EA429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lang w:val="cs-CZ"/>
              </w:rPr>
              <w:t>Doba odezvy (reakční doba na se</w:t>
            </w:r>
            <w:r>
              <w:rPr>
                <w:lang w:val="cs-CZ"/>
              </w:rPr>
              <w:t xml:space="preserve">rvisní požadavek) = </w:t>
            </w:r>
          </w:p>
          <w:p w14:paraId="506CB400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</w:p>
          <w:p w14:paraId="75424E9F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b/>
                <w:lang w:val="cs-CZ"/>
              </w:rPr>
              <w:t>Čas doručení</w:t>
            </w:r>
            <w:r>
              <w:rPr>
                <w:lang w:val="cs-CZ"/>
              </w:rPr>
              <w:t xml:space="preserve"> </w:t>
            </w:r>
            <w:r>
              <w:rPr>
                <w:b/>
                <w:lang w:val="cs-CZ"/>
              </w:rPr>
              <w:t>potvrzení o přijetí / odmítnutí</w:t>
            </w:r>
            <w:r>
              <w:rPr>
                <w:lang w:val="cs-CZ"/>
              </w:rPr>
              <w:t xml:space="preserve"> (se zdůvodněním) </w:t>
            </w:r>
            <w:r>
              <w:rPr>
                <w:b/>
                <w:lang w:val="cs-CZ"/>
              </w:rPr>
              <w:t>servisního požadavku</w:t>
            </w:r>
            <w:r>
              <w:rPr>
                <w:lang w:val="cs-CZ"/>
              </w:rPr>
              <w:t xml:space="preserve"> kontaktním místem Poskytovatele Objednateli</w:t>
            </w:r>
          </w:p>
          <w:p w14:paraId="0BCF15D0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</w:p>
          <w:p w14:paraId="22847D58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 - </w:t>
            </w:r>
            <w:r>
              <w:rPr>
                <w:lang w:val="cs-CZ"/>
              </w:rPr>
              <w:t>(minus)</w:t>
            </w:r>
          </w:p>
          <w:p w14:paraId="4FC955F6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</w:p>
          <w:p w14:paraId="79F392A9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lang w:val="cs-CZ"/>
              </w:rPr>
            </w:pPr>
            <w:r>
              <w:rPr>
                <w:b/>
                <w:lang w:val="cs-CZ"/>
              </w:rPr>
              <w:t xml:space="preserve">Čas zaslání servisního požadavku </w:t>
            </w:r>
            <w:r>
              <w:rPr>
                <w:lang w:val="cs-CZ"/>
              </w:rPr>
              <w:t>Objednatelem kontaktnímu místu Poskytovatele.</w:t>
            </w:r>
          </w:p>
          <w:p w14:paraId="104E4480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</w:tc>
      </w:tr>
      <w:tr w:rsidR="00626783" w14:paraId="2A7C19C7" w14:textId="77777777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581" w:type="pct"/>
          </w:tcPr>
          <w:p w14:paraId="02786DA2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Doba pro </w:t>
            </w:r>
            <w:r>
              <w:rPr>
                <w:rFonts w:cs="Arial"/>
                <w:lang w:val="cs-CZ"/>
              </w:rPr>
              <w:t>vyřešení servisního požadavku</w:t>
            </w:r>
          </w:p>
        </w:tc>
        <w:tc>
          <w:tcPr>
            <w:tcW w:w="1991" w:type="pct"/>
          </w:tcPr>
          <w:p w14:paraId="6112A3A9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Doba mezi </w:t>
            </w:r>
            <w:r>
              <w:rPr>
                <w:rFonts w:cs="Arial"/>
                <w:b/>
                <w:lang w:val="cs-CZ"/>
              </w:rPr>
              <w:t>přijetím servisního požadavku</w:t>
            </w:r>
            <w:r>
              <w:rPr>
                <w:rFonts w:cs="Arial"/>
                <w:lang w:val="cs-CZ"/>
              </w:rPr>
              <w:t xml:space="preserve"> kontaktním místem Poskytovatele</w:t>
            </w:r>
          </w:p>
          <w:p w14:paraId="231D7300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3BD180FF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a </w:t>
            </w:r>
          </w:p>
          <w:p w14:paraId="6F4E80BD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b/>
                <w:lang w:val="cs-CZ"/>
              </w:rPr>
            </w:pPr>
          </w:p>
          <w:p w14:paraId="31ADC527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b/>
                <w:lang w:val="cs-CZ"/>
              </w:rPr>
              <w:t>předáním řešení příslušného</w:t>
            </w:r>
            <w:r>
              <w:rPr>
                <w:rFonts w:cs="Arial"/>
                <w:lang w:val="cs-CZ"/>
              </w:rPr>
              <w:t xml:space="preserve"> servisního požadavku Poskytovatelem Objednateli</w:t>
            </w:r>
          </w:p>
          <w:p w14:paraId="7271319F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7B899366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Pokud Poskytovatel byl nucen přerušit řešení servisního požadavku z důvo</w:t>
            </w:r>
            <w:r>
              <w:rPr>
                <w:rFonts w:cs="Arial"/>
                <w:lang w:val="cs-CZ"/>
              </w:rPr>
              <w:t>du nezbytné součinnosti na straně Objednatele nebo jiného jeho dodavatele atd. (oprávněné výjimky), tak do této doby čas přerušení není započítáván.</w:t>
            </w:r>
          </w:p>
        </w:tc>
        <w:tc>
          <w:tcPr>
            <w:tcW w:w="1103" w:type="pct"/>
          </w:tcPr>
          <w:p w14:paraId="67E8ACF5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Sledována a určována </w:t>
            </w:r>
            <w:proofErr w:type="spellStart"/>
            <w:r>
              <w:rPr>
                <w:rFonts w:cs="Arial"/>
                <w:lang w:val="cs-CZ"/>
              </w:rPr>
              <w:t>Service</w:t>
            </w:r>
            <w:proofErr w:type="spellEnd"/>
            <w:r>
              <w:rPr>
                <w:rFonts w:cs="Arial"/>
                <w:lang w:val="cs-CZ"/>
              </w:rPr>
              <w:t xml:space="preserve"> </w:t>
            </w:r>
            <w:proofErr w:type="spellStart"/>
            <w:r>
              <w:rPr>
                <w:rFonts w:cs="Arial"/>
                <w:lang w:val="cs-CZ"/>
              </w:rPr>
              <w:t>Deskem</w:t>
            </w:r>
            <w:proofErr w:type="spellEnd"/>
            <w:r>
              <w:rPr>
                <w:rFonts w:cs="Arial"/>
                <w:lang w:val="cs-CZ"/>
              </w:rPr>
              <w:t xml:space="preserve"> Objednatele</w:t>
            </w:r>
          </w:p>
        </w:tc>
        <w:tc>
          <w:tcPr>
            <w:tcW w:w="1324" w:type="pct"/>
          </w:tcPr>
          <w:p w14:paraId="64402B69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Doba vyřešení servisního požadavku =  </w:t>
            </w:r>
          </w:p>
          <w:p w14:paraId="0CCE5761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 </w:t>
            </w:r>
          </w:p>
          <w:p w14:paraId="62FADDDB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b/>
                <w:lang w:val="cs-CZ"/>
              </w:rPr>
            </w:pPr>
            <w:r>
              <w:rPr>
                <w:rFonts w:cs="Arial"/>
                <w:lang w:val="cs-CZ"/>
              </w:rPr>
              <w:t xml:space="preserve">Čas </w:t>
            </w:r>
            <w:r>
              <w:rPr>
                <w:rFonts w:cs="Arial"/>
                <w:b/>
                <w:lang w:val="cs-CZ"/>
              </w:rPr>
              <w:t>předání řešení</w:t>
            </w:r>
            <w:r>
              <w:rPr>
                <w:rFonts w:cs="Arial"/>
                <w:lang w:val="cs-CZ"/>
              </w:rPr>
              <w:t xml:space="preserve"> </w:t>
            </w:r>
            <w:r>
              <w:rPr>
                <w:b/>
                <w:lang w:val="cs-CZ"/>
              </w:rPr>
              <w:t xml:space="preserve">servisního požadavku </w:t>
            </w:r>
          </w:p>
          <w:p w14:paraId="4D1E0E8C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1520F198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– (minus) </w:t>
            </w:r>
          </w:p>
          <w:p w14:paraId="2BE11ACE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75CE085B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Čas </w:t>
            </w:r>
            <w:r>
              <w:rPr>
                <w:rFonts w:cs="Arial"/>
              </w:rPr>
              <w:t xml:space="preserve">přijetí servisního požadavku </w:t>
            </w:r>
            <w:r>
              <w:rPr>
                <w:rFonts w:cs="Arial"/>
                <w:lang w:val="cs-CZ"/>
              </w:rPr>
              <w:t xml:space="preserve">kontaktním místem Poskytovatele </w:t>
            </w:r>
          </w:p>
          <w:p w14:paraId="7C237BBF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784F55C7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– (minus) </w:t>
            </w:r>
          </w:p>
          <w:p w14:paraId="169ABC31" w14:textId="77777777" w:rsidR="00626783" w:rsidRDefault="00626783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</w:p>
          <w:p w14:paraId="493251E2" w14:textId="77777777" w:rsidR="00626783" w:rsidRDefault="00C13845">
            <w:pPr>
              <w:pStyle w:val="TableText10Single"/>
              <w:spacing w:before="120" w:after="120" w:line="276" w:lineRule="auto"/>
              <w:contextualSpacing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souhrnný čas oprávněných výjimek z plynutí lhůty pro vyřešení.</w:t>
            </w:r>
          </w:p>
        </w:tc>
      </w:tr>
    </w:tbl>
    <w:p w14:paraId="75F5B67D" w14:textId="77777777" w:rsidR="00626783" w:rsidRDefault="00626783">
      <w:pPr>
        <w:spacing w:before="120" w:after="12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6E66D963" w14:textId="77777777" w:rsidR="00626783" w:rsidRDefault="00626783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14:paraId="7AAE8E17" w14:textId="77777777" w:rsidR="00626783" w:rsidRDefault="00C13845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 současného výskytu více Incidentů, pro které bude </w:t>
      </w:r>
      <w:r>
        <w:rPr>
          <w:rFonts w:ascii="Arial" w:hAnsi="Arial" w:cs="Arial"/>
          <w:sz w:val="20"/>
          <w:szCs w:val="20"/>
        </w:rPr>
        <w:t>identifikována společná příčina, jejímž napravením dojde k vyřešení všech těchto Incidentů, jsou tyto Incidenty považovány za jednu entitu, na kterou jsou vázány uvedené SLA metriky včetně případných sankcí dle nejpřísnější priority. Opakovaným uvedením In</w:t>
      </w:r>
      <w:r>
        <w:rPr>
          <w:rFonts w:ascii="Arial" w:hAnsi="Arial" w:cs="Arial"/>
          <w:sz w:val="20"/>
          <w:szCs w:val="20"/>
        </w:rPr>
        <w:t>cidentu se společnou příčinou nelze na Poskytovateli požadovat opakované plnění sankcí, ale maximálně právě jedno plnění sankce podle nejpřísnější priority dle čl. VIII. odst. 5. Smlouvy.</w:t>
      </w:r>
    </w:p>
    <w:p w14:paraId="158E148D" w14:textId="77777777" w:rsidR="00626783" w:rsidRDefault="00626783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14:paraId="06B71302" w14:textId="77777777" w:rsidR="00626783" w:rsidRDefault="00C13845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vyřešení Incidentu se navyšuje o tzv. oprávněné výjimky:</w:t>
      </w:r>
    </w:p>
    <w:p w14:paraId="3860E687" w14:textId="77777777" w:rsidR="00626783" w:rsidRDefault="00C13845">
      <w:pPr>
        <w:pStyle w:val="Seznamsodrkami2"/>
        <w:tabs>
          <w:tab w:val="clear" w:pos="643"/>
          <w:tab w:val="num" w:pos="1418"/>
        </w:tabs>
        <w:spacing w:before="0" w:after="120" w:line="276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dobu, kdy Poskytovatel požádal Objednatele o doplnění nezbytných informací pro vyřešení Incidentu až do jejich obdržení,</w:t>
      </w:r>
    </w:p>
    <w:p w14:paraId="7878A8B9" w14:textId="77777777" w:rsidR="00626783" w:rsidRDefault="00C13845">
      <w:pPr>
        <w:pStyle w:val="Seznamsodrkami2"/>
        <w:tabs>
          <w:tab w:val="clear" w:pos="643"/>
          <w:tab w:val="num" w:pos="1418"/>
        </w:tabs>
        <w:spacing w:before="0" w:after="120" w:line="276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je vyřešení Incidentu vázáno na poskytnutí součinnosti od poskytovatele systému třetí strany, pak o dobu, kdy Poskytovatel požáda</w:t>
      </w:r>
      <w:r>
        <w:rPr>
          <w:rFonts w:ascii="Arial" w:hAnsi="Arial" w:cs="Arial"/>
          <w:sz w:val="20"/>
          <w:szCs w:val="20"/>
        </w:rPr>
        <w:t>l o součinnost poskytovatele systému třetí strany až do jejího dodání,</w:t>
      </w:r>
    </w:p>
    <w:p w14:paraId="47EDBFB0" w14:textId="77777777" w:rsidR="00626783" w:rsidRDefault="00C13845">
      <w:pPr>
        <w:pStyle w:val="Seznamsodrkami2"/>
        <w:tabs>
          <w:tab w:val="clear" w:pos="643"/>
          <w:tab w:val="num" w:pos="1418"/>
        </w:tabs>
        <w:spacing w:before="0" w:after="120" w:line="276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dobu, kdy je Objednatel v prodlení s poskytnutím nezbytné součinnosti pro vyřešení Incidentu.</w:t>
      </w:r>
    </w:p>
    <w:p w14:paraId="06DF8DCB" w14:textId="77777777" w:rsidR="00626783" w:rsidRDefault="00C13845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Vyřešením Incidentu se rozumí odstranění závady a umožnění plné funkcionality a výkonnosti </w:t>
      </w:r>
      <w:r>
        <w:rPr>
          <w:rFonts w:ascii="Arial" w:hAnsi="Arial" w:cs="Arial"/>
          <w:sz w:val="20"/>
          <w:szCs w:val="20"/>
        </w:rPr>
        <w:t xml:space="preserve">všech součástí </w:t>
      </w:r>
      <w:r>
        <w:rPr>
          <w:rFonts w:ascii="Arial" w:eastAsia="Calibri" w:hAnsi="Arial" w:cs="Arial"/>
          <w:sz w:val="20"/>
          <w:szCs w:val="20"/>
        </w:rPr>
        <w:t xml:space="preserve">aplikace </w:t>
      </w:r>
      <w:r>
        <w:rPr>
          <w:rFonts w:ascii="Arial" w:hAnsi="Arial" w:cs="Arial"/>
          <w:sz w:val="20"/>
          <w:szCs w:val="20"/>
        </w:rPr>
        <w:t>LMS provozovaných Objednatelem a řádné poskytování Digitální služby.</w:t>
      </w:r>
    </w:p>
    <w:p w14:paraId="494F69D4" w14:textId="77777777" w:rsidR="00626783" w:rsidRDefault="00626783">
      <w:p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069BD5FE" w14:textId="77777777" w:rsidR="00626783" w:rsidRDefault="00C13845">
      <w:pPr>
        <w:pStyle w:val="Zkladntext"/>
        <w:numPr>
          <w:ilvl w:val="0"/>
          <w:numId w:val="18"/>
        </w:numPr>
        <w:spacing w:after="120" w:line="276" w:lineRule="auto"/>
        <w:rPr>
          <w:rFonts w:ascii="Arial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  <w:lang w:eastAsia="en-US"/>
        </w:rPr>
        <w:t>Komunikace Smluvních stran v rámci poskytování Digitální služby</w:t>
      </w:r>
    </w:p>
    <w:p w14:paraId="236D1AF0" w14:textId="77777777" w:rsidR="00626783" w:rsidRDefault="00C13845">
      <w:pPr>
        <w:spacing w:after="12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Standardní komunikace mezi Objednatelem a Poskytovatelem bude probíhat přes Service Desk VZP ČR (S</w:t>
      </w:r>
      <w:r>
        <w:rPr>
          <w:rFonts w:ascii="Arial" w:hAnsi="Arial" w:cs="Arial"/>
          <w:sz w:val="20"/>
          <w:szCs w:val="20"/>
        </w:rPr>
        <w:t>D), a to výhradně na bázi elektronické komunikace v českém nebo slovenském jazyce. Použití telefonní linky je možné pouze v případě, kdy nelze využít e-mailové komunikace.</w:t>
      </w:r>
    </w:p>
    <w:p w14:paraId="2BAF1C5D" w14:textId="77777777" w:rsidR="00626783" w:rsidRDefault="00C13845">
      <w:pPr>
        <w:spacing w:after="12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VZP ČR bude hlásit servisní požadavek prostřednictvím kontaktního místa, Service Des</w:t>
      </w:r>
      <w:r>
        <w:rPr>
          <w:rFonts w:ascii="Arial" w:hAnsi="Arial" w:cs="Arial"/>
          <w:sz w:val="20"/>
          <w:szCs w:val="20"/>
        </w:rPr>
        <w:t xml:space="preserve">k, (tel: 952 220 000, e-mail: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servicedesk@vzp.cz</w:t>
        </w:r>
      </w:hyperlink>
      <w:r>
        <w:rPr>
          <w:rFonts w:ascii="Arial" w:hAnsi="Arial" w:cs="Arial"/>
          <w:sz w:val="20"/>
          <w:szCs w:val="20"/>
        </w:rPr>
        <w:t xml:space="preserve">) na kontaktní místo (service deskový nástroj) Poskytovatele: </w:t>
      </w:r>
      <w:proofErr w:type="spellStart"/>
      <w:r>
        <w:rPr>
          <w:rFonts w:ascii="Arial" w:hAnsi="Arial" w:cs="Arial"/>
          <w:sz w:val="20"/>
          <w:szCs w:val="20"/>
        </w:rPr>
        <w:t>tel:XXXXXXXXXX</w:t>
      </w:r>
      <w:proofErr w:type="spellEnd"/>
      <w:r>
        <w:rPr>
          <w:rFonts w:ascii="Arial" w:hAnsi="Arial" w:cs="Arial"/>
          <w:sz w:val="20"/>
          <w:szCs w:val="20"/>
        </w:rPr>
        <w:t xml:space="preserve"> e-mail: XXXXXXXXXX</w:t>
      </w:r>
    </w:p>
    <w:p w14:paraId="77DFF7F2" w14:textId="77777777" w:rsidR="00626783" w:rsidRDefault="00C1384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změna kontaktních míst nebo jejich údajů provedena dodatkem</w:t>
      </w:r>
      <w:r>
        <w:rPr>
          <w:rFonts w:ascii="Arial" w:hAnsi="Arial" w:cs="Arial"/>
          <w:sz w:val="20"/>
          <w:szCs w:val="20"/>
        </w:rPr>
        <w:t xml:space="preserve"> ke Smlouvě, je každá Smluvní strana povinna bez zbytečného odkladu příslušnou změnu písemně oznámit druhé Smluvní straně, a to:</w:t>
      </w:r>
    </w:p>
    <w:p w14:paraId="6637E8C9" w14:textId="77777777" w:rsidR="00626783" w:rsidRDefault="00C13845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rFonts w:ascii="Arial" w:hAnsi="Arial" w:cs="Arial"/>
          <w:sz w:val="20"/>
          <w:szCs w:val="24"/>
          <w:lang w:eastAsia="cs-CZ"/>
        </w:rPr>
      </w:pPr>
      <w:r>
        <w:rPr>
          <w:rFonts w:ascii="Arial" w:hAnsi="Arial" w:cs="Arial"/>
          <w:sz w:val="20"/>
          <w:szCs w:val="24"/>
          <w:lang w:eastAsia="cs-CZ"/>
        </w:rPr>
        <w:t>e-mailem zaslaným Pověřenou osobou jedné Smluvní strany Pověřené osobě druhé Smluvní strany;</w:t>
      </w:r>
    </w:p>
    <w:p w14:paraId="09EA5A30" w14:textId="77777777" w:rsidR="00626783" w:rsidRDefault="00C13845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rFonts w:ascii="Arial" w:hAnsi="Arial" w:cs="Arial"/>
          <w:sz w:val="20"/>
          <w:szCs w:val="24"/>
          <w:lang w:eastAsia="cs-CZ"/>
        </w:rPr>
      </w:pPr>
      <w:r>
        <w:rPr>
          <w:rFonts w:ascii="Arial" w:hAnsi="Arial" w:cs="Arial"/>
          <w:sz w:val="20"/>
          <w:szCs w:val="24"/>
          <w:lang w:eastAsia="cs-CZ"/>
        </w:rPr>
        <w:t xml:space="preserve">datovou schránkou; </w:t>
      </w:r>
    </w:p>
    <w:p w14:paraId="7E929DE1" w14:textId="77777777" w:rsidR="00626783" w:rsidRDefault="00C1384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kontaktn</w:t>
      </w:r>
      <w:r>
        <w:rPr>
          <w:rFonts w:ascii="Arial" w:hAnsi="Arial" w:cs="Arial"/>
          <w:sz w:val="20"/>
          <w:szCs w:val="20"/>
        </w:rPr>
        <w:t>ích míst nebo jejich údajů je pak účinná dnem uvedeným v oznámení, nejdříve však okamžikem, kdy je oznámení o změně druhé Smluvní straně řádně doručeno.</w:t>
      </w:r>
    </w:p>
    <w:p w14:paraId="59BFB4A7" w14:textId="77777777" w:rsidR="00626783" w:rsidRDefault="00626783">
      <w:pPr>
        <w:spacing w:after="12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A824482" w14:textId="77777777" w:rsidR="00626783" w:rsidRDefault="00C13845">
      <w:pPr>
        <w:pStyle w:val="Nadpis5"/>
        <w:keepLines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mezi Objednatelem a Poskytovatelem při řešení servisních požadavků v rámci poskytování Sprá</w:t>
      </w:r>
      <w:r>
        <w:rPr>
          <w:rFonts w:ascii="Arial" w:hAnsi="Arial" w:cs="Arial"/>
          <w:sz w:val="20"/>
          <w:szCs w:val="20"/>
        </w:rPr>
        <w:t xml:space="preserve">vy a údržby </w:t>
      </w:r>
      <w:r>
        <w:rPr>
          <w:rFonts w:ascii="Arial" w:hAnsi="Arial" w:cs="Arial"/>
          <w:b w:val="0"/>
          <w:sz w:val="20"/>
          <w:szCs w:val="20"/>
        </w:rPr>
        <w:t>bude obsahovat zpravidla tyto kroky:</w:t>
      </w:r>
    </w:p>
    <w:p w14:paraId="628B00E6" w14:textId="77777777" w:rsidR="00626783" w:rsidRDefault="00C13845">
      <w:pPr>
        <w:pStyle w:val="Odstavecseseznamem"/>
        <w:numPr>
          <w:ilvl w:val="2"/>
          <w:numId w:val="7"/>
        </w:numPr>
        <w:spacing w:after="120"/>
        <w:ind w:left="1134" w:right="-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 xml:space="preserve">Zaslání servisního požadavku  ze strany Objednatele, včetně jeho specifikace a včetně uvedení kódu priority </w:t>
      </w:r>
      <w:r>
        <w:rPr>
          <w:rFonts w:ascii="Arial" w:hAnsi="Arial" w:cs="Arial"/>
          <w:color w:val="2F342F"/>
          <w:sz w:val="20"/>
          <w:szCs w:val="20"/>
        </w:rPr>
        <w:t xml:space="preserve">– </w:t>
      </w:r>
      <w:r>
        <w:rPr>
          <w:rFonts w:ascii="Arial" w:hAnsi="Arial" w:cs="Arial"/>
          <w:color w:val="0C120C"/>
          <w:sz w:val="20"/>
          <w:szCs w:val="20"/>
        </w:rPr>
        <w:t xml:space="preserve">zaslání e-mailu Poskytovateli. </w:t>
      </w:r>
    </w:p>
    <w:p w14:paraId="09AE50F3" w14:textId="77777777" w:rsidR="00626783" w:rsidRDefault="00C13845">
      <w:pPr>
        <w:numPr>
          <w:ilvl w:val="2"/>
          <w:numId w:val="7"/>
        </w:numPr>
        <w:spacing w:after="120" w:line="276" w:lineRule="auto"/>
        <w:ind w:left="1134" w:right="-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 xml:space="preserve">Potvrzení přijetí servisního požadavku kontaktním místem Poskytovatele – reakce (reakční doba) - zaslání </w:t>
      </w:r>
      <w:r>
        <w:rPr>
          <w:rFonts w:ascii="Arial" w:hAnsi="Arial" w:cs="Arial"/>
          <w:color w:val="0C120C"/>
          <w:sz w:val="20"/>
          <w:szCs w:val="20"/>
        </w:rPr>
        <w:t>e-mailu Objednateli;</w:t>
      </w:r>
    </w:p>
    <w:p w14:paraId="7F642223" w14:textId="77777777" w:rsidR="00626783" w:rsidRDefault="00C13845">
      <w:pPr>
        <w:numPr>
          <w:ilvl w:val="2"/>
          <w:numId w:val="13"/>
        </w:numPr>
        <w:spacing w:after="120" w:line="276" w:lineRule="auto"/>
        <w:ind w:left="1418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V případě nesouhlasu Poskytovatele s požadavkem Objednatele - zaslání e-mailu Objednateli</w:t>
      </w:r>
      <w:r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color w:val="0C120C"/>
          <w:sz w:val="20"/>
          <w:szCs w:val="20"/>
        </w:rPr>
        <w:t>odůvodněním odmítnutí; případně požadavek Poskytovatele na změnu priority;</w:t>
      </w:r>
    </w:p>
    <w:p w14:paraId="3F7E8AD5" w14:textId="77777777" w:rsidR="00626783" w:rsidRDefault="00C13845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Případný dotaz Objednatele na stav řešení servisního požadavku - (za</w:t>
      </w:r>
      <w:r>
        <w:rPr>
          <w:rFonts w:ascii="Arial" w:hAnsi="Arial" w:cs="Arial"/>
          <w:color w:val="0C120C"/>
          <w:sz w:val="20"/>
          <w:szCs w:val="20"/>
        </w:rPr>
        <w:t>slání e-mailu Poskytovateli)</w:t>
      </w:r>
      <w:r>
        <w:rPr>
          <w:rFonts w:ascii="Arial" w:hAnsi="Arial" w:cs="Arial"/>
          <w:color w:val="2F342F"/>
          <w:sz w:val="20"/>
          <w:szCs w:val="20"/>
        </w:rPr>
        <w:t>;</w:t>
      </w:r>
      <w:r>
        <w:rPr>
          <w:rFonts w:ascii="Arial" w:hAnsi="Arial" w:cs="Arial"/>
          <w:color w:val="0C120C"/>
          <w:sz w:val="20"/>
          <w:szCs w:val="20"/>
        </w:rPr>
        <w:t xml:space="preserve"> </w:t>
      </w:r>
    </w:p>
    <w:p w14:paraId="74A0D96E" w14:textId="77777777" w:rsidR="00626783" w:rsidRDefault="00C13845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Poskytovatel odpoví nestrukturovaným e-mailem Objednateli.</w:t>
      </w:r>
    </w:p>
    <w:p w14:paraId="59C238CF" w14:textId="77777777" w:rsidR="00626783" w:rsidRDefault="00C13845">
      <w:pPr>
        <w:numPr>
          <w:ilvl w:val="2"/>
          <w:numId w:val="7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 xml:space="preserve">Vyřešení servisního požadavku Poskytovatelem </w:t>
      </w:r>
      <w:r>
        <w:rPr>
          <w:rFonts w:ascii="Arial" w:hAnsi="Arial" w:cs="Arial"/>
          <w:color w:val="2F342F"/>
          <w:sz w:val="20"/>
          <w:szCs w:val="20"/>
        </w:rPr>
        <w:t>-</w:t>
      </w:r>
      <w:r>
        <w:rPr>
          <w:rFonts w:ascii="Arial" w:hAnsi="Arial" w:cs="Arial"/>
          <w:color w:val="0C120C"/>
          <w:sz w:val="20"/>
          <w:szCs w:val="20"/>
        </w:rPr>
        <w:t xml:space="preserve"> zaslání e-mailu s řešením servisního požadavku Objednateli (tj. předání řešení servisního požadavku). Za vyřešení požad</w:t>
      </w:r>
      <w:r>
        <w:rPr>
          <w:rFonts w:ascii="Arial" w:hAnsi="Arial" w:cs="Arial"/>
          <w:color w:val="0C120C"/>
          <w:sz w:val="20"/>
          <w:szCs w:val="20"/>
        </w:rPr>
        <w:t xml:space="preserve">avku se považuje takový zásah, který způsobí kompletní vyřešení servisního požadavku. </w:t>
      </w:r>
    </w:p>
    <w:p w14:paraId="0B0A541D" w14:textId="77777777" w:rsidR="00626783" w:rsidRDefault="00C13845">
      <w:pPr>
        <w:numPr>
          <w:ilvl w:val="2"/>
          <w:numId w:val="7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Datum (okamžik) vyřešení servisního požadavku je datum a čas zaslání informace Objednateli o vyřešení příslušného servisního požadavku; to vše</w:t>
      </w:r>
      <w:r>
        <w:rPr>
          <w:rFonts w:ascii="Arial" w:hAnsi="Arial" w:cs="Arial"/>
          <w:sz w:val="20"/>
          <w:szCs w:val="20"/>
        </w:rPr>
        <w:t>, pokud Objednatel bude nás</w:t>
      </w:r>
      <w:r>
        <w:rPr>
          <w:rFonts w:ascii="Arial" w:hAnsi="Arial" w:cs="Arial"/>
          <w:sz w:val="20"/>
          <w:szCs w:val="20"/>
        </w:rPr>
        <w:t>ledně postupovat podle písm. e) tohoto bodu. 5.1.</w:t>
      </w:r>
    </w:p>
    <w:p w14:paraId="26499A21" w14:textId="77777777" w:rsidR="00626783" w:rsidRDefault="00C13845">
      <w:pPr>
        <w:numPr>
          <w:ilvl w:val="2"/>
          <w:numId w:val="7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lastRenderedPageBreak/>
        <w:t xml:space="preserve">Potvrzení o vyřešení servisního požadavku Objednatelem (akceptace) </w:t>
      </w:r>
      <w:r>
        <w:rPr>
          <w:rFonts w:ascii="Arial" w:hAnsi="Arial" w:cs="Arial"/>
          <w:color w:val="2F342F"/>
          <w:sz w:val="20"/>
          <w:szCs w:val="20"/>
        </w:rPr>
        <w:t xml:space="preserve">– </w:t>
      </w:r>
      <w:r>
        <w:rPr>
          <w:rFonts w:ascii="Arial" w:hAnsi="Arial" w:cs="Arial"/>
          <w:color w:val="0C120C"/>
          <w:sz w:val="20"/>
          <w:szCs w:val="20"/>
        </w:rPr>
        <w:t>zaslání e-mailu Poskytovateli)</w:t>
      </w:r>
      <w:r>
        <w:rPr>
          <w:rFonts w:ascii="Arial" w:hAnsi="Arial" w:cs="Arial"/>
          <w:color w:val="424B48"/>
          <w:sz w:val="20"/>
          <w:szCs w:val="20"/>
        </w:rPr>
        <w:t>.</w:t>
      </w:r>
      <w:r>
        <w:rPr>
          <w:rFonts w:ascii="Arial" w:hAnsi="Arial" w:cs="Arial"/>
          <w:color w:val="0C120C"/>
          <w:sz w:val="20"/>
          <w:szCs w:val="20"/>
        </w:rPr>
        <w:t xml:space="preserve"> </w:t>
      </w:r>
    </w:p>
    <w:p w14:paraId="70AAA34D" w14:textId="77777777" w:rsidR="00626783" w:rsidRDefault="00C13845">
      <w:pPr>
        <w:numPr>
          <w:ilvl w:val="2"/>
          <w:numId w:val="7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V případě, kdy předmětné řešení nebude potvrzeno (akceptováno), servisní požadavek bude vrácen Poskytova</w:t>
      </w:r>
      <w:r>
        <w:rPr>
          <w:rFonts w:ascii="Arial" w:hAnsi="Arial" w:cs="Arial"/>
          <w:color w:val="0C120C"/>
          <w:sz w:val="20"/>
          <w:szCs w:val="20"/>
        </w:rPr>
        <w:t xml:space="preserve">teli a doby řešení se poté budou sčítat. </w:t>
      </w:r>
    </w:p>
    <w:p w14:paraId="5D47AD78" w14:textId="77777777" w:rsidR="00626783" w:rsidRDefault="00C13845">
      <w:pPr>
        <w:pStyle w:val="Nadpis5"/>
        <w:keepLines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mezi Objednatelem a Poskytovatelem při řešení servisních požadavků Podpory zvlášť hrazené – Konzultační služby</w:t>
      </w:r>
      <w:r>
        <w:rPr>
          <w:rFonts w:ascii="Arial" w:hAnsi="Arial" w:cs="Arial"/>
          <w:b w:val="0"/>
          <w:sz w:val="20"/>
          <w:szCs w:val="20"/>
        </w:rPr>
        <w:t xml:space="preserve"> bude obsahovat zpravidla tyto kroky:</w:t>
      </w:r>
    </w:p>
    <w:p w14:paraId="21D6AF09" w14:textId="77777777" w:rsidR="00626783" w:rsidRDefault="00C13845">
      <w:pPr>
        <w:pStyle w:val="Odstavecseseznamem"/>
        <w:numPr>
          <w:ilvl w:val="2"/>
          <w:numId w:val="8"/>
        </w:numPr>
        <w:spacing w:after="120"/>
        <w:ind w:left="1134" w:right="-1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 xml:space="preserve">Zaslání servisního požadavku ze strany </w:t>
      </w:r>
      <w:r>
        <w:rPr>
          <w:rFonts w:ascii="Arial" w:hAnsi="Arial" w:cs="Arial"/>
          <w:color w:val="0C120C"/>
          <w:sz w:val="20"/>
          <w:szCs w:val="20"/>
        </w:rPr>
        <w:t>Objednatele (VZP ČR) včetně jeho specifikace</w:t>
      </w:r>
      <w:r>
        <w:rPr>
          <w:rFonts w:ascii="Arial" w:hAnsi="Arial" w:cs="Arial"/>
          <w:color w:val="2F342F"/>
          <w:sz w:val="20"/>
          <w:szCs w:val="20"/>
        </w:rPr>
        <w:t xml:space="preserve"> </w:t>
      </w:r>
      <w:r>
        <w:rPr>
          <w:rFonts w:ascii="Arial" w:hAnsi="Arial" w:cs="Arial"/>
          <w:color w:val="0C120C"/>
          <w:sz w:val="20"/>
          <w:szCs w:val="20"/>
        </w:rPr>
        <w:t>(zaslání e-mailu Poskytovateli).</w:t>
      </w:r>
    </w:p>
    <w:p w14:paraId="4405A8F6" w14:textId="77777777" w:rsidR="00626783" w:rsidRDefault="00C13845">
      <w:pPr>
        <w:numPr>
          <w:ilvl w:val="2"/>
          <w:numId w:val="8"/>
        </w:numPr>
        <w:spacing w:after="120" w:line="276" w:lineRule="auto"/>
        <w:ind w:left="1134" w:right="-1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 xml:space="preserve">Potvrzení přijetí servisního požadavku Poskytovatelem – </w:t>
      </w:r>
      <w:r>
        <w:rPr>
          <w:rFonts w:ascii="Arial" w:hAnsi="Arial" w:cs="Arial"/>
          <w:sz w:val="20"/>
          <w:szCs w:val="20"/>
        </w:rPr>
        <w:t xml:space="preserve">reakce do 2 PD od </w:t>
      </w:r>
      <w:r>
        <w:rPr>
          <w:rFonts w:ascii="Arial" w:hAnsi="Arial" w:cs="Arial"/>
          <w:color w:val="0C120C"/>
          <w:sz w:val="20"/>
          <w:szCs w:val="20"/>
        </w:rPr>
        <w:t>doručení- zaslání e-mailu Objednateli, který bude obsahovat též návrh možných termínů plnění a maximální</w:t>
      </w:r>
      <w:r>
        <w:rPr>
          <w:rFonts w:ascii="Arial" w:hAnsi="Arial" w:cs="Arial"/>
          <w:color w:val="0C120C"/>
          <w:sz w:val="20"/>
          <w:szCs w:val="20"/>
        </w:rPr>
        <w:t>ho časového rozsahu (člověkohodin) poskytnutí Konzultační služby.</w:t>
      </w:r>
    </w:p>
    <w:p w14:paraId="282FC427" w14:textId="77777777" w:rsidR="00626783" w:rsidRDefault="00C13845">
      <w:pPr>
        <w:numPr>
          <w:ilvl w:val="2"/>
          <w:numId w:val="8"/>
        </w:numPr>
        <w:spacing w:after="120" w:line="276" w:lineRule="auto"/>
        <w:ind w:left="1134" w:right="-1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Odsouhlasení termínu plnění a maximálního časového rozsahu Objednatelem.</w:t>
      </w:r>
    </w:p>
    <w:p w14:paraId="4B84DD64" w14:textId="77777777" w:rsidR="00626783" w:rsidRDefault="00C13845">
      <w:pPr>
        <w:pStyle w:val="Odstavecseseznamem"/>
        <w:numPr>
          <w:ilvl w:val="2"/>
          <w:numId w:val="8"/>
        </w:numPr>
        <w:spacing w:after="120"/>
        <w:ind w:left="1134" w:right="-1" w:hanging="567"/>
        <w:contextualSpacing w:val="0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Poskytnutí příslušné Konzultační služby v dohodnutém termínu bude potvrzeno e-mailem Pověřenými osobami Smluvních str</w:t>
      </w:r>
      <w:r>
        <w:rPr>
          <w:rFonts w:ascii="Arial" w:hAnsi="Arial" w:cs="Arial"/>
          <w:color w:val="0C120C"/>
          <w:sz w:val="20"/>
          <w:szCs w:val="20"/>
        </w:rPr>
        <w:t>an, který bude obsahovat i množství spotřebovaných člověkohodin; tento e-mail bude podkladem pro</w:t>
      </w:r>
      <w:r>
        <w:rPr>
          <w:rFonts w:ascii="Arial" w:eastAsia="Calibri" w:hAnsi="Arial" w:cs="Arial"/>
          <w:b/>
          <w:sz w:val="20"/>
          <w:szCs w:val="20"/>
        </w:rPr>
        <w:t xml:space="preserve"> Výkaz Konzultačních služeb a Úprav</w:t>
      </w:r>
      <w:r>
        <w:rPr>
          <w:rFonts w:ascii="Arial" w:hAnsi="Arial" w:cs="Arial"/>
          <w:color w:val="0C120C"/>
          <w:sz w:val="20"/>
          <w:szCs w:val="20"/>
        </w:rPr>
        <w:t>.</w:t>
      </w:r>
    </w:p>
    <w:p w14:paraId="432E1B45" w14:textId="77777777" w:rsidR="00626783" w:rsidRDefault="00C13845">
      <w:pPr>
        <w:pStyle w:val="Nadpis5"/>
        <w:keepLines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mezi Objednatelem a Poskytovatelem při řešení servisních požadavků Podpory zvlášť hrazené - Úpravy</w:t>
      </w:r>
      <w:r>
        <w:rPr>
          <w:rFonts w:ascii="Arial" w:hAnsi="Arial" w:cs="Arial"/>
          <w:b w:val="0"/>
          <w:sz w:val="20"/>
          <w:szCs w:val="20"/>
        </w:rPr>
        <w:t>) bude obsahov</w:t>
      </w:r>
      <w:r>
        <w:rPr>
          <w:rFonts w:ascii="Arial" w:hAnsi="Arial" w:cs="Arial"/>
          <w:b w:val="0"/>
          <w:sz w:val="20"/>
          <w:szCs w:val="20"/>
        </w:rPr>
        <w:t>at zpravidla tyto kroky:</w:t>
      </w:r>
    </w:p>
    <w:p w14:paraId="5AD90D04" w14:textId="77777777" w:rsidR="00626783" w:rsidRDefault="00C13845">
      <w:pPr>
        <w:pStyle w:val="Odstavecseseznamem"/>
        <w:numPr>
          <w:ilvl w:val="2"/>
          <w:numId w:val="19"/>
        </w:numPr>
        <w:spacing w:after="120"/>
        <w:ind w:left="1134" w:right="-1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 xml:space="preserve">Zaslání servisního požadavku ze strany Objednatele včetně jeho specifikace a požadavku na předpokládaný časový rámec jeho splnění </w:t>
      </w:r>
      <w:r>
        <w:rPr>
          <w:rFonts w:ascii="Arial" w:hAnsi="Arial" w:cs="Arial"/>
          <w:color w:val="2F342F"/>
          <w:sz w:val="20"/>
          <w:szCs w:val="20"/>
        </w:rPr>
        <w:t xml:space="preserve">- </w:t>
      </w:r>
      <w:r>
        <w:rPr>
          <w:rFonts w:ascii="Arial" w:hAnsi="Arial" w:cs="Arial"/>
          <w:color w:val="0C120C"/>
          <w:sz w:val="20"/>
          <w:szCs w:val="20"/>
        </w:rPr>
        <w:t>(zaslání e-mailu Poskytovateli).</w:t>
      </w:r>
    </w:p>
    <w:p w14:paraId="53D54252" w14:textId="77777777" w:rsidR="00626783" w:rsidRDefault="00C13845">
      <w:pPr>
        <w:numPr>
          <w:ilvl w:val="2"/>
          <w:numId w:val="19"/>
        </w:numPr>
        <w:spacing w:after="120" w:line="276" w:lineRule="auto"/>
        <w:ind w:left="1134" w:right="-1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Potvrzení přijetí servisního požadavku Poskytovatelem - reakce do 2 PD od doručení - zaslán</w:t>
      </w:r>
      <w:r>
        <w:rPr>
          <w:rFonts w:ascii="Arial" w:hAnsi="Arial" w:cs="Arial"/>
          <w:color w:val="0C120C"/>
          <w:sz w:val="20"/>
          <w:szCs w:val="20"/>
        </w:rPr>
        <w:t>í e-mailu Objednateli včetně návrhu řešení a časového rámce s předpokládaným počtem potřebných člověkohodin.</w:t>
      </w:r>
    </w:p>
    <w:p w14:paraId="375E24E6" w14:textId="77777777" w:rsidR="00626783" w:rsidRDefault="00C13845">
      <w:pPr>
        <w:numPr>
          <w:ilvl w:val="2"/>
          <w:numId w:val="19"/>
        </w:numPr>
        <w:spacing w:after="120" w:line="276" w:lineRule="auto"/>
        <w:ind w:left="1134" w:right="-1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C120C"/>
          <w:sz w:val="20"/>
          <w:szCs w:val="20"/>
        </w:rPr>
        <w:t xml:space="preserve">Akceptace návrhu řešení, časového rámce plnění a </w:t>
      </w:r>
      <w:r>
        <w:rPr>
          <w:rFonts w:ascii="Arial" w:hAnsi="Arial" w:cs="Arial"/>
          <w:b/>
          <w:color w:val="0C120C"/>
          <w:sz w:val="20"/>
          <w:szCs w:val="20"/>
        </w:rPr>
        <w:t>maximálního počtu</w:t>
      </w:r>
      <w:r>
        <w:rPr>
          <w:rFonts w:ascii="Arial" w:hAnsi="Arial" w:cs="Arial"/>
          <w:color w:val="0C120C"/>
          <w:sz w:val="20"/>
          <w:szCs w:val="20"/>
        </w:rPr>
        <w:t xml:space="preserve"> </w:t>
      </w:r>
      <w:r>
        <w:rPr>
          <w:rFonts w:ascii="Arial" w:hAnsi="Arial" w:cs="Arial"/>
          <w:b/>
          <w:color w:val="0C120C"/>
          <w:sz w:val="20"/>
          <w:szCs w:val="20"/>
        </w:rPr>
        <w:t>potřebných člověkohodin</w:t>
      </w:r>
      <w:r>
        <w:rPr>
          <w:rFonts w:ascii="Arial" w:hAnsi="Arial" w:cs="Arial"/>
          <w:color w:val="0C120C"/>
          <w:sz w:val="20"/>
          <w:szCs w:val="20"/>
        </w:rPr>
        <w:t xml:space="preserve"> Objednatelem (dále vše jen „</w:t>
      </w:r>
      <w:r>
        <w:rPr>
          <w:rFonts w:ascii="Arial" w:hAnsi="Arial" w:cs="Arial"/>
          <w:b/>
          <w:color w:val="0C120C"/>
          <w:sz w:val="20"/>
          <w:szCs w:val="20"/>
        </w:rPr>
        <w:t>návrh řešení</w:t>
      </w:r>
      <w:r>
        <w:rPr>
          <w:rFonts w:ascii="Arial" w:hAnsi="Arial" w:cs="Arial"/>
          <w:color w:val="0C120C"/>
          <w:sz w:val="20"/>
          <w:szCs w:val="20"/>
        </w:rPr>
        <w:t xml:space="preserve">“) – </w:t>
      </w:r>
      <w:r>
        <w:rPr>
          <w:rFonts w:ascii="Arial" w:hAnsi="Arial" w:cs="Arial"/>
          <w:sz w:val="20"/>
          <w:szCs w:val="20"/>
        </w:rPr>
        <w:t>(zaslání od</w:t>
      </w:r>
      <w:r>
        <w:rPr>
          <w:rFonts w:ascii="Arial" w:hAnsi="Arial" w:cs="Arial"/>
          <w:sz w:val="20"/>
          <w:szCs w:val="20"/>
        </w:rPr>
        <w:t>povědi Poskytovateli Objednatelem prostřednictvím Service Desku).</w:t>
      </w:r>
      <w:r>
        <w:rPr>
          <w:rFonts w:ascii="Arial" w:hAnsi="Arial" w:cs="Arial"/>
        </w:rPr>
        <w:t xml:space="preserve"> </w:t>
      </w:r>
    </w:p>
    <w:p w14:paraId="31BA4E9E" w14:textId="77777777" w:rsidR="00626783" w:rsidRDefault="00C13845">
      <w:pPr>
        <w:numPr>
          <w:ilvl w:val="2"/>
          <w:numId w:val="19"/>
        </w:numPr>
        <w:spacing w:after="120" w:line="276" w:lineRule="auto"/>
        <w:ind w:left="1134" w:right="-1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Objednatel akceptuje návrh řešení Poskytovatele, zašle Poskytovateli návrh Objednávky; zaslání servisního požadavku na provedení Úpravy ale nezavazuje Objednatele k uzavření O</w:t>
      </w:r>
      <w:r>
        <w:rPr>
          <w:rFonts w:ascii="Arial" w:hAnsi="Arial" w:cs="Arial"/>
          <w:sz w:val="20"/>
          <w:szCs w:val="20"/>
        </w:rPr>
        <w:t xml:space="preserve">bjednávky na provedení příslušné Úpravy. </w:t>
      </w:r>
    </w:p>
    <w:p w14:paraId="5366CCAD" w14:textId="77777777" w:rsidR="00626783" w:rsidRDefault="00C13845">
      <w:pPr>
        <w:spacing w:after="120" w:line="276" w:lineRule="auto"/>
        <w:ind w:left="1134" w:right="-1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K uzavření Objednávky dojde postupem dle bodu 5.4.</w:t>
      </w:r>
      <w:r>
        <w:rPr>
          <w:rFonts w:ascii="Arial" w:hAnsi="Arial" w:cs="Arial"/>
          <w:sz w:val="20"/>
          <w:szCs w:val="20"/>
        </w:rPr>
        <w:t>; vzor Objednávky je uveden v Příloze č. 5 Smlouvy – „Vzor objednávky Podpory zvlášť hrazené“.</w:t>
      </w:r>
    </w:p>
    <w:p w14:paraId="29C6FB6A" w14:textId="77777777" w:rsidR="00626783" w:rsidRDefault="00C13845">
      <w:pPr>
        <w:pStyle w:val="Odstavecseseznamem"/>
        <w:numPr>
          <w:ilvl w:val="2"/>
          <w:numId w:val="19"/>
        </w:numPr>
        <w:spacing w:after="120"/>
        <w:ind w:left="1134" w:right="-1" w:hanging="567"/>
        <w:contextualSpacing w:val="0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color w:val="0C120C"/>
          <w:sz w:val="20"/>
          <w:szCs w:val="20"/>
        </w:rPr>
        <w:t>Poskytovatel předá Objednateli příslušné plnění – řešení servisního požadavku - (zaslání e-mailu Objednateli). Součástí plnění jsou aktualizované dokumentace komunikačního rozhraní (integrace), dokumentace uživatelské a dokumentace pro správce aplikací atd</w:t>
      </w:r>
      <w:r>
        <w:rPr>
          <w:rFonts w:ascii="Arial" w:hAnsi="Arial" w:cs="Arial"/>
          <w:color w:val="0C120C"/>
          <w:sz w:val="20"/>
          <w:szCs w:val="20"/>
        </w:rPr>
        <w:t xml:space="preserve">. </w:t>
      </w:r>
    </w:p>
    <w:p w14:paraId="51A7E0EE" w14:textId="77777777" w:rsidR="00626783" w:rsidRDefault="00C13845">
      <w:pPr>
        <w:numPr>
          <w:ilvl w:val="2"/>
          <w:numId w:val="19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  <w:color w:val="0C120C"/>
          <w:sz w:val="20"/>
          <w:szCs w:val="20"/>
        </w:rPr>
      </w:pPr>
      <w:r>
        <w:rPr>
          <w:rFonts w:ascii="Arial" w:hAnsi="Arial" w:cs="Arial"/>
          <w:b/>
          <w:color w:val="0C120C"/>
          <w:sz w:val="20"/>
          <w:szCs w:val="20"/>
        </w:rPr>
        <w:t>Vyřešení servisního požadavku</w:t>
      </w:r>
      <w:r>
        <w:rPr>
          <w:rFonts w:ascii="Arial" w:hAnsi="Arial" w:cs="Arial"/>
          <w:color w:val="0C120C"/>
          <w:sz w:val="20"/>
          <w:szCs w:val="20"/>
        </w:rPr>
        <w:t xml:space="preserve"> Poskytovatelem, tj. provedení Úpravy nastane akceptací příslušného plnění dodaného Poskytovatelem, tj. </w:t>
      </w:r>
      <w:r>
        <w:rPr>
          <w:rFonts w:ascii="Arial" w:hAnsi="Arial" w:cs="Arial"/>
          <w:b/>
          <w:color w:val="0C120C"/>
          <w:sz w:val="20"/>
          <w:szCs w:val="20"/>
        </w:rPr>
        <w:t>dnem podpisu Akceptačního protokolu</w:t>
      </w:r>
      <w:r>
        <w:rPr>
          <w:rFonts w:ascii="Arial" w:hAnsi="Arial" w:cs="Arial"/>
          <w:color w:val="0C120C"/>
          <w:sz w:val="20"/>
          <w:szCs w:val="20"/>
        </w:rPr>
        <w:t xml:space="preserve"> o provedení Úpravy Pověřenou osobou Objednatele, jímž bude potvrzeno též předání pří</w:t>
      </w:r>
      <w:r>
        <w:rPr>
          <w:rFonts w:ascii="Arial" w:hAnsi="Arial" w:cs="Arial"/>
          <w:color w:val="0C120C"/>
          <w:sz w:val="20"/>
          <w:szCs w:val="20"/>
        </w:rPr>
        <w:t xml:space="preserve">slušného plnění, popř. stanoveny i termíny odstranění případně při akceptaci zjištěných vad a nedostatků </w:t>
      </w:r>
      <w:r>
        <w:rPr>
          <w:rFonts w:ascii="Arial" w:hAnsi="Arial" w:cs="Arial"/>
          <w:sz w:val="20"/>
        </w:rPr>
        <w:t>a odsouhlasen výsledný příslušný rozsah prací (počet člověkohodin) a výsledná příslušná cena plnění u Úpravy. Akceptační protokol bude podkladem pro</w:t>
      </w:r>
      <w:r>
        <w:rPr>
          <w:rFonts w:ascii="Arial" w:eastAsia="Calibri" w:hAnsi="Arial" w:cs="Arial"/>
          <w:b/>
          <w:sz w:val="20"/>
          <w:szCs w:val="20"/>
        </w:rPr>
        <w:t xml:space="preserve"> Vý</w:t>
      </w:r>
      <w:r>
        <w:rPr>
          <w:rFonts w:ascii="Arial" w:eastAsia="Calibri" w:hAnsi="Arial" w:cs="Arial"/>
          <w:b/>
          <w:sz w:val="20"/>
          <w:szCs w:val="20"/>
        </w:rPr>
        <w:t>kaz Konzultačních služeb a Úprav</w:t>
      </w:r>
      <w:r>
        <w:rPr>
          <w:rFonts w:ascii="Arial" w:hAnsi="Arial" w:cs="Arial"/>
          <w:color w:val="0C120C"/>
          <w:sz w:val="20"/>
          <w:szCs w:val="20"/>
        </w:rPr>
        <w:t>.</w:t>
      </w:r>
    </w:p>
    <w:p w14:paraId="306CF8FB" w14:textId="77777777" w:rsidR="00626783" w:rsidRDefault="00C13845">
      <w:pPr>
        <w:pStyle w:val="Nadpis5"/>
        <w:keepLines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Postup při uzavírání Objednávek</w:t>
      </w:r>
    </w:p>
    <w:p w14:paraId="5F988BF3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Oprávněná osoba Objednatele vždy podepíše návrh Objednávky v souladu s § 5 zákona č. 297/2016 Sb. o službách vytvářejících důvěru pro elektronické transakce, ve znění pozdějších předpisů (d</w:t>
      </w:r>
      <w:r>
        <w:rPr>
          <w:rFonts w:ascii="Arial" w:hAnsi="Arial" w:cs="Arial"/>
          <w:sz w:val="20"/>
          <w:szCs w:val="20"/>
        </w:rPr>
        <w:t>ále jen „</w:t>
      </w:r>
      <w:r>
        <w:rPr>
          <w:rFonts w:ascii="Arial" w:hAnsi="Arial" w:cs="Arial"/>
          <w:b/>
          <w:bCs/>
          <w:sz w:val="20"/>
          <w:szCs w:val="20"/>
        </w:rPr>
        <w:t>ZSVD</w:t>
      </w:r>
      <w:r>
        <w:rPr>
          <w:rFonts w:ascii="Arial" w:hAnsi="Arial" w:cs="Arial"/>
          <w:sz w:val="20"/>
          <w:szCs w:val="20"/>
        </w:rPr>
        <w:t>“) kvalifikovaným elektronickým podpisem.</w:t>
      </w:r>
    </w:p>
    <w:p w14:paraId="7A3DD027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Oprávněná osoba Poskytovatele bude přijetí Objednávky vždy podepisovat uznávaným elektronickým podpisem ve smyslu § 6 odst. 2 ZSVD.</w:t>
      </w:r>
    </w:p>
    <w:p w14:paraId="30675112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Objednávka je uzavřena dnem jejího podpisu oběma Smluvními </w:t>
      </w:r>
      <w:r>
        <w:rPr>
          <w:rFonts w:ascii="Arial" w:hAnsi="Arial" w:cs="Arial"/>
          <w:sz w:val="20"/>
          <w:szCs w:val="20"/>
        </w:rPr>
        <w:t>stranami a nabývá účinnosti dnem uvedeným v Objednávce.</w:t>
      </w:r>
    </w:p>
    <w:p w14:paraId="069DDE68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plnění příslušné Objednávky je vždy závazek Poskytovatele provést pro Objednatele příslušnou Úpravu ve stanoveném obsahu, rozsahu (tj. maximální počet člověkohodin) a době plnění, a závazek </w:t>
      </w:r>
      <w:r>
        <w:rPr>
          <w:rFonts w:ascii="Arial" w:hAnsi="Arial" w:cs="Arial"/>
          <w:sz w:val="20"/>
          <w:szCs w:val="20"/>
        </w:rPr>
        <w:t>Objednatele převzít (akceptovat) řádně provedené plnění a zaplatit za řádně provedenou Úpravu sjednanou výslednou cenu plnění; to vše za podmínek stanovených Objednávkou nebo v případě práv a povinností v Objednávce výslovně neupravených touto Smlouvou.</w:t>
      </w:r>
    </w:p>
    <w:p w14:paraId="7169FE77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</w:t>
      </w:r>
      <w:r>
        <w:rPr>
          <w:rFonts w:ascii="Arial" w:hAnsi="Arial" w:cs="Arial"/>
          <w:sz w:val="20"/>
          <w:szCs w:val="20"/>
        </w:rPr>
        <w:t>jednatel zašle návrh Objednávky Poskytovateli e-mailem Pověřené osobě Poskytovatele.</w:t>
      </w:r>
    </w:p>
    <w:p w14:paraId="0A540E66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zašle přijetí Objednávky Objednateli e-mailem Pověřené osobě Objednatele, a to vždy nejpozději do 5 pracovních dnů ode dne doručení návrhu Objednávky Poskytov</w:t>
      </w:r>
      <w:r>
        <w:rPr>
          <w:rFonts w:ascii="Arial" w:hAnsi="Arial" w:cs="Arial"/>
          <w:sz w:val="20"/>
          <w:szCs w:val="20"/>
        </w:rPr>
        <w:t xml:space="preserve">ateli. </w:t>
      </w:r>
    </w:p>
    <w:p w14:paraId="55B91993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oprávněné k podpisu Objednávky jsou osoby uvedené v článku XIII. odst.5. Smlouvy.</w:t>
      </w:r>
    </w:p>
    <w:p w14:paraId="3916F0EC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oprávněn nepřijmout návrh Objednávky pouze z objektivních důvodů, které nemůže ovlivnit nebo se jim vyhnout. Poskytovatel tyto důvody písemně sd</w:t>
      </w:r>
      <w:r>
        <w:rPr>
          <w:rFonts w:ascii="Arial" w:hAnsi="Arial" w:cs="Arial"/>
          <w:sz w:val="20"/>
          <w:szCs w:val="20"/>
        </w:rPr>
        <w:t>ělí Objednateli, a to stejnou formou komunikace a ve stejné lhůtě jako je lhůta k přijetí Objednávky.</w:t>
      </w:r>
    </w:p>
    <w:p w14:paraId="40256361" w14:textId="77777777" w:rsidR="00626783" w:rsidRDefault="00C13845">
      <w:pPr>
        <w:pStyle w:val="Odstavecseseznamem"/>
        <w:numPr>
          <w:ilvl w:val="0"/>
          <w:numId w:val="20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vylučují možnost přijetí Objednávky s dodatkem či jakoukoli jinou odchylkou od zaslaného návrhu Objednávky (tj. Poskytovatel</w:t>
      </w:r>
      <w:r>
        <w:rPr>
          <w:rFonts w:ascii="Arial" w:hAnsi="Arial" w:cs="Arial"/>
          <w:sz w:val="20"/>
          <w:szCs w:val="20"/>
        </w:rPr>
        <w:t xml:space="preserve"> není oprávněn doručený návrh Objednávky měnit).</w:t>
      </w:r>
    </w:p>
    <w:p w14:paraId="75624B50" w14:textId="77777777" w:rsidR="00626783" w:rsidRDefault="00C13845">
      <w:pPr>
        <w:pStyle w:val="Zkladntext"/>
        <w:numPr>
          <w:ilvl w:val="0"/>
          <w:numId w:val="18"/>
        </w:numPr>
        <w:spacing w:after="120" w:line="276" w:lineRule="auto"/>
        <w:rPr>
          <w:rFonts w:ascii="Arial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  <w:lang w:eastAsia="en-US"/>
        </w:rPr>
        <w:t>Součinnost</w:t>
      </w:r>
    </w:p>
    <w:p w14:paraId="56F03C6A" w14:textId="77777777" w:rsidR="00626783" w:rsidRDefault="00C13845">
      <w:pPr>
        <w:pStyle w:val="Odstavecseseznamem"/>
        <w:tabs>
          <w:tab w:val="left" w:pos="0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bude Poskytovateli zajišťovat při realizaci plnění dle této Přílohy č. 2 následující potřebnou součinnost:</w:t>
      </w:r>
    </w:p>
    <w:p w14:paraId="594A8E31" w14:textId="77777777" w:rsidR="00626783" w:rsidRDefault="00626783">
      <w:pPr>
        <w:pStyle w:val="Odstavecseseznamem"/>
        <w:tabs>
          <w:tab w:val="left" w:pos="708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1C3DC5EB" w14:textId="77777777" w:rsidR="00626783" w:rsidRDefault="00C13845">
      <w:pPr>
        <w:pStyle w:val="Odstavecseseznamem"/>
        <w:numPr>
          <w:ilvl w:val="0"/>
          <w:numId w:val="21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Ohlásí Poskytovateli jakoukoli případnou závadu nebo odchylku </w:t>
      </w:r>
      <w:r>
        <w:rPr>
          <w:rFonts w:ascii="Arial" w:hAnsi="Arial" w:cs="Arial"/>
          <w:sz w:val="20"/>
          <w:szCs w:val="20"/>
        </w:rPr>
        <w:t>poskytované DS bezprostředně po jejím zjištění.</w:t>
      </w:r>
    </w:p>
    <w:p w14:paraId="08DE933A" w14:textId="77777777" w:rsidR="00626783" w:rsidRDefault="00C13845">
      <w:pPr>
        <w:pStyle w:val="Odstavecseseznamem"/>
        <w:numPr>
          <w:ilvl w:val="0"/>
          <w:numId w:val="21"/>
        </w:numPr>
        <w:spacing w:after="120"/>
        <w:ind w:hanging="57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svých servisních požadavcích bude v rámci možností pracovníků Objednatele poskytovat Poskytovateli informace potřebné pro správné a včasné provedení servisních požadavků (zejména přesný popis problému).</w:t>
      </w:r>
    </w:p>
    <w:sectPr w:rsidR="0062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83B5" w14:textId="77777777" w:rsidR="00626783" w:rsidRDefault="00C13845">
      <w:r>
        <w:separator/>
      </w:r>
    </w:p>
  </w:endnote>
  <w:endnote w:type="continuationSeparator" w:id="0">
    <w:p w14:paraId="65030D4A" w14:textId="77777777" w:rsidR="00626783" w:rsidRDefault="00C1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Md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DD27" w14:textId="77777777" w:rsidR="00626783" w:rsidRDefault="00C13845">
      <w:r>
        <w:separator/>
      </w:r>
    </w:p>
  </w:footnote>
  <w:footnote w:type="continuationSeparator" w:id="0">
    <w:p w14:paraId="1823EE1B" w14:textId="77777777" w:rsidR="00626783" w:rsidRDefault="00C1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556AC7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A476F"/>
    <w:multiLevelType w:val="multilevel"/>
    <w:tmpl w:val="0CB85E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6B92855"/>
    <w:multiLevelType w:val="hybridMultilevel"/>
    <w:tmpl w:val="3490DA5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8735E68"/>
    <w:multiLevelType w:val="multilevel"/>
    <w:tmpl w:val="735CEA18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8BF0FEA"/>
    <w:multiLevelType w:val="hybridMultilevel"/>
    <w:tmpl w:val="7FF697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881FBD"/>
    <w:multiLevelType w:val="hybridMultilevel"/>
    <w:tmpl w:val="70A62294"/>
    <w:lvl w:ilvl="0" w:tplc="D5E8A0C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19FB58E5"/>
    <w:multiLevelType w:val="multilevel"/>
    <w:tmpl w:val="2064F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68402F"/>
    <w:multiLevelType w:val="multilevel"/>
    <w:tmpl w:val="99F61034"/>
    <w:lvl w:ilvl="0">
      <w:start w:val="1"/>
      <w:numFmt w:val="decimal"/>
      <w:pStyle w:val="Popisek-tabulka"/>
      <w:suff w:val="space"/>
      <w:lvlText w:val="Tabulka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color w:val="FF7F00"/>
        <w:sz w:val="18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855182"/>
    <w:multiLevelType w:val="multilevel"/>
    <w:tmpl w:val="0CB85E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4D659F8"/>
    <w:multiLevelType w:val="multilevel"/>
    <w:tmpl w:val="94C4AC14"/>
    <w:lvl w:ilvl="0">
      <w:start w:val="1"/>
      <w:numFmt w:val="decimal"/>
      <w:pStyle w:val="Titulek2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942"/>
        </w:tabs>
        <w:ind w:left="942" w:hanging="51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11" w15:restartNumberingAfterBreak="0">
    <w:nsid w:val="319C66F1"/>
    <w:multiLevelType w:val="multilevel"/>
    <w:tmpl w:val="2064F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5B4F26"/>
    <w:multiLevelType w:val="hybridMultilevel"/>
    <w:tmpl w:val="3490DA5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5A07AA7"/>
    <w:multiLevelType w:val="multilevel"/>
    <w:tmpl w:val="F454F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6092824"/>
    <w:multiLevelType w:val="hybridMultilevel"/>
    <w:tmpl w:val="70A62294"/>
    <w:lvl w:ilvl="0" w:tplc="D5E8A0C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38611616"/>
    <w:multiLevelType w:val="multilevel"/>
    <w:tmpl w:val="2546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3AC84C07"/>
    <w:multiLevelType w:val="hybridMultilevel"/>
    <w:tmpl w:val="C7D02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70E2F"/>
    <w:multiLevelType w:val="multilevel"/>
    <w:tmpl w:val="7B526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2905EA5"/>
    <w:multiLevelType w:val="hybridMultilevel"/>
    <w:tmpl w:val="70A62294"/>
    <w:lvl w:ilvl="0" w:tplc="D5E8A0C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49EC3733"/>
    <w:multiLevelType w:val="hybridMultilevel"/>
    <w:tmpl w:val="13B8CBA0"/>
    <w:lvl w:ilvl="0" w:tplc="1F742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36F6B"/>
    <w:multiLevelType w:val="hybridMultilevel"/>
    <w:tmpl w:val="70A62294"/>
    <w:lvl w:ilvl="0" w:tplc="D5E8A0C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50BB6B94"/>
    <w:multiLevelType w:val="hybridMultilevel"/>
    <w:tmpl w:val="B4F6C660"/>
    <w:lvl w:ilvl="0" w:tplc="DB0E3C6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5B83"/>
    <w:multiLevelType w:val="multilevel"/>
    <w:tmpl w:val="BE622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7126621"/>
    <w:multiLevelType w:val="hybridMultilevel"/>
    <w:tmpl w:val="F5E277AA"/>
    <w:lvl w:ilvl="0" w:tplc="EE54C542">
      <w:start w:val="1"/>
      <w:numFmt w:val="decimal"/>
      <w:lvlText w:val="2.%1"/>
      <w:lvlJc w:val="left"/>
      <w:pPr>
        <w:ind w:left="172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72B13DEF"/>
    <w:multiLevelType w:val="hybridMultilevel"/>
    <w:tmpl w:val="30D49C22"/>
    <w:lvl w:ilvl="0" w:tplc="C1A6B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39C21DBC">
      <w:start w:val="1"/>
      <w:numFmt w:val="lowerLetter"/>
      <w:lvlText w:val="%2)"/>
      <w:lvlJc w:val="left"/>
      <w:pPr>
        <w:ind w:left="1425" w:hanging="705"/>
      </w:pPr>
      <w:rPr>
        <w:rFonts w:hint="default"/>
        <w:b w:val="0"/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3E4917"/>
    <w:multiLevelType w:val="multilevel"/>
    <w:tmpl w:val="3FECBF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2"/>
  </w:num>
  <w:num w:numId="10">
    <w:abstractNumId w:val="21"/>
  </w:num>
  <w:num w:numId="11">
    <w:abstractNumId w:val="16"/>
  </w:num>
  <w:num w:numId="12">
    <w:abstractNumId w:val="14"/>
  </w:num>
  <w:num w:numId="13">
    <w:abstractNumId w:val="7"/>
  </w:num>
  <w:num w:numId="14">
    <w:abstractNumId w:val="11"/>
  </w:num>
  <w:num w:numId="15">
    <w:abstractNumId w:val="20"/>
  </w:num>
  <w:num w:numId="16">
    <w:abstractNumId w:val="18"/>
  </w:num>
  <w:num w:numId="17">
    <w:abstractNumId w:val="15"/>
  </w:num>
  <w:num w:numId="18">
    <w:abstractNumId w:val="17"/>
  </w:num>
  <w:num w:numId="19">
    <w:abstractNumId w:val="9"/>
  </w:num>
  <w:num w:numId="20">
    <w:abstractNumId w:val="12"/>
  </w:num>
  <w:num w:numId="21">
    <w:abstractNumId w:val="3"/>
  </w:num>
  <w:num w:numId="22">
    <w:abstractNumId w:val="25"/>
  </w:num>
  <w:num w:numId="23">
    <w:abstractNumId w:val="22"/>
  </w:num>
  <w:num w:numId="24">
    <w:abstractNumId w:val="19"/>
  </w:num>
  <w:num w:numId="25">
    <w:abstractNumId w:val="23"/>
  </w:num>
  <w:num w:numId="26">
    <w:abstractNumId w:val="26"/>
  </w:num>
  <w:num w:numId="27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83"/>
    <w:rsid w:val="00626783"/>
    <w:rsid w:val="00C1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3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aliases w:val="H5,Level 3 - i"/>
    <w:basedOn w:val="Normln"/>
    <w:next w:val="Normln"/>
    <w:link w:val="Nadpis5Char"/>
    <w:qFormat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locked/>
    <w:rPr>
      <w:rFonts w:ascii="Calibri" w:eastAsia="Times New Roman" w:hAnsi="Calibri" w:cs="Times New Roman"/>
    </w:rPr>
  </w:style>
  <w:style w:type="character" w:customStyle="1" w:styleId="bntext2rovnChar">
    <w:name w:val="běžný text 2. úrovně Char"/>
    <w:link w:val="bntext2rovn"/>
    <w:locked/>
    <w:rPr>
      <w:rFonts w:ascii="Arial" w:hAnsi="Arial" w:cs="Arial"/>
      <w:szCs w:val="24"/>
    </w:rPr>
  </w:style>
  <w:style w:type="paragraph" w:customStyle="1" w:styleId="bntext2rovn">
    <w:name w:val="běžný text 2. úrovně"/>
    <w:basedOn w:val="Normln"/>
    <w:link w:val="bntext2rovnChar"/>
    <w:pPr>
      <w:keepLines/>
      <w:numPr>
        <w:ilvl w:val="2"/>
        <w:numId w:val="1"/>
      </w:numPr>
      <w:spacing w:after="140" w:line="280" w:lineRule="exact"/>
      <w:jc w:val="both"/>
      <w:outlineLvl w:val="2"/>
    </w:pPr>
    <w:rPr>
      <w:rFonts w:ascii="Arial" w:eastAsiaTheme="minorHAnsi" w:hAnsi="Arial" w:cs="Arial"/>
      <w:sz w:val="22"/>
      <w:lang w:eastAsia="en-US"/>
    </w:rPr>
  </w:style>
  <w:style w:type="paragraph" w:customStyle="1" w:styleId="bntext3rovn">
    <w:name w:val="běžný text 3. úrovně"/>
    <w:basedOn w:val="Normln"/>
    <w:pPr>
      <w:numPr>
        <w:ilvl w:val="3"/>
        <w:numId w:val="1"/>
      </w:numPr>
      <w:ind w:left="0" w:firstLine="0"/>
    </w:pPr>
    <w:rPr>
      <w:rFonts w:ascii="Arial" w:hAnsi="Arial"/>
      <w:sz w:val="22"/>
    </w:rPr>
  </w:style>
  <w:style w:type="paragraph" w:customStyle="1" w:styleId="nadpis2rovn">
    <w:name w:val="nadpis 2. úrovně"/>
    <w:basedOn w:val="Normln"/>
    <w:next w:val="bntext3rovn"/>
    <w:pPr>
      <w:keepNext/>
      <w:numPr>
        <w:ilvl w:val="1"/>
        <w:numId w:val="1"/>
      </w:numPr>
      <w:spacing w:after="140" w:line="240" w:lineRule="exact"/>
    </w:pPr>
    <w:rPr>
      <w:rFonts w:ascii="Arial" w:hAnsi="Arial"/>
      <w:b/>
      <w:smallCaps/>
      <w:spacing w:val="20"/>
      <w:sz w:val="20"/>
      <w:szCs w:val="20"/>
    </w:rPr>
  </w:style>
  <w:style w:type="paragraph" w:customStyle="1" w:styleId="Titulek2">
    <w:name w:val="Titulek2"/>
    <w:basedOn w:val="Zkladntext"/>
    <w:pPr>
      <w:numPr>
        <w:numId w:val="4"/>
      </w:numPr>
      <w:spacing w:before="280" w:after="80"/>
    </w:pPr>
    <w:rPr>
      <w:b/>
      <w:snapToGrid w:val="0"/>
      <w:color w:val="000000"/>
      <w:szCs w:val="20"/>
      <w:u w:val="single"/>
      <w:lang w:eastAsia="en-US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5Char">
    <w:name w:val="Nadpis 5 Char"/>
    <w:aliases w:val="H5 Char,Level 3 - i Char"/>
    <w:basedOn w:val="Standardnpsmoodstavce"/>
    <w:link w:val="Nadpis5"/>
    <w:rPr>
      <w:rFonts w:ascii="Courier New" w:eastAsia="Times New Roman" w:hAnsi="Courier New" w:cs="Courier New"/>
      <w:b/>
      <w:bCs/>
      <w:sz w:val="16"/>
      <w:szCs w:val="16"/>
      <w:lang w:eastAsia="cs-CZ"/>
    </w:rPr>
  </w:style>
  <w:style w:type="paragraph" w:customStyle="1" w:styleId="TableText10Single">
    <w:name w:val="*Table Text 10 Single"/>
    <w:basedOn w:val="Normln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HPNormal">
    <w:name w:val="_HP Normal"/>
    <w:basedOn w:val="Normln"/>
    <w:rPr>
      <w:rFonts w:ascii="Futura Md" w:hAnsi="Futura Md"/>
      <w:sz w:val="22"/>
      <w:szCs w:val="20"/>
      <w:lang w:val="en-US" w:eastAsia="en-US"/>
    </w:rPr>
  </w:style>
  <w:style w:type="paragraph" w:customStyle="1" w:styleId="tablebody">
    <w:name w:val="tablebody"/>
    <w:basedOn w:val="Normln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Seznamsodrkami2">
    <w:name w:val="List Bullet 2"/>
    <w:basedOn w:val="Normln"/>
    <w:pPr>
      <w:numPr>
        <w:numId w:val="5"/>
      </w:numPr>
      <w:spacing w:before="120" w:line="288" w:lineRule="auto"/>
      <w:contextualSpacing/>
      <w:jc w:val="both"/>
    </w:pPr>
  </w:style>
  <w:style w:type="paragraph" w:customStyle="1" w:styleId="Popisek-tabulka">
    <w:name w:val="Popisek - tabulka"/>
    <w:basedOn w:val="Normln"/>
    <w:pPr>
      <w:keepLines/>
      <w:numPr>
        <w:numId w:val="6"/>
      </w:numPr>
      <w:spacing w:before="120" w:after="240"/>
    </w:pPr>
    <w:rPr>
      <w:rFonts w:ascii="Verdana" w:hAnsi="Verdana"/>
      <w:sz w:val="16"/>
    </w:rPr>
  </w:style>
  <w:style w:type="paragraph" w:customStyle="1" w:styleId="TableText">
    <w:name w:val="*Table Text"/>
    <w:link w:val="TableTextChar"/>
    <w:pPr>
      <w:spacing w:after="0" w:line="240" w:lineRule="atLeast"/>
    </w:pPr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TableTextChar">
    <w:name w:val="*Table Text Char"/>
    <w:link w:val="TableText"/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Pr1Level1">
    <w:name w:val="Pr1_Level1"/>
    <w:basedOn w:val="Zkladntext"/>
    <w:pPr>
      <w:numPr>
        <w:numId w:val="9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pPr>
      <w:numPr>
        <w:ilvl w:val="1"/>
        <w:numId w:val="9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desk@v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3192</Words>
  <Characters>18836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2026-06-01T09:11:00Z</dcterms:created>
  <dcterms:modified xsi:type="dcterms:W3CDTF">2026-06-01T09:11:00Z</dcterms:modified>
</cp:coreProperties>
</file>