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69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1103A5C" w14:textId="15937CC9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  č. </w:t>
      </w:r>
      <w:r w:rsidR="00881C36">
        <w:rPr>
          <w:rFonts w:ascii="Arial" w:hAnsi="Arial" w:cs="Arial"/>
          <w:b/>
          <w:bCs/>
        </w:rPr>
        <w:t>38</w:t>
      </w:r>
      <w:r w:rsidR="000C0BC2">
        <w:rPr>
          <w:rFonts w:ascii="Arial" w:hAnsi="Arial" w:cs="Arial"/>
          <w:b/>
          <w:bCs/>
        </w:rPr>
        <w:t>-41</w:t>
      </w:r>
      <w:r w:rsidR="00881C36">
        <w:rPr>
          <w:rFonts w:ascii="Arial" w:hAnsi="Arial" w:cs="Arial"/>
          <w:b/>
          <w:bCs/>
        </w:rPr>
        <w:t>/2026</w:t>
      </w:r>
    </w:p>
    <w:p w14:paraId="569BB92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 s vybraným dodavatelem)</w:t>
      </w: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1B164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32D7CB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628D6873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65ECFE95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FEF8F2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345433D2" w14:textId="77777777" w:rsidR="007B0953" w:rsidRPr="00CE02F8" w:rsidRDefault="007B0953" w:rsidP="007B0953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>
        <w:rPr>
          <w:rFonts w:ascii="Arial" w:hAnsi="Arial" w:cs="Arial"/>
          <w:sz w:val="22"/>
          <w:szCs w:val="22"/>
        </w:rPr>
        <w:t>F</w:t>
      </w:r>
      <w:r w:rsidRPr="00CE02F8">
        <w:rPr>
          <w:rFonts w:ascii="Arial" w:hAnsi="Arial" w:cs="Arial"/>
          <w:sz w:val="22"/>
          <w:szCs w:val="22"/>
        </w:rPr>
        <w:t>TN</w:t>
      </w:r>
    </w:p>
    <w:p w14:paraId="1D54D8E8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5B11F90C" w14:textId="77777777" w:rsidR="007B0953" w:rsidRPr="00CE02F8" w:rsidRDefault="007B0953" w:rsidP="007B0953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5B8C27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2AC550A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226DCC15" w14:textId="5AE9541E" w:rsidR="007B0953" w:rsidRPr="00CE02F8" w:rsidRDefault="007B0953" w:rsidP="00E272E9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E272E9">
        <w:rPr>
          <w:rFonts w:ascii="Arial" w:hAnsi="Arial" w:cs="Arial"/>
          <w:sz w:val="22"/>
          <w:szCs w:val="22"/>
        </w:rPr>
        <w:t>XXX</w:t>
      </w:r>
    </w:p>
    <w:p w14:paraId="693B054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(dále jen Kupující)</w:t>
      </w:r>
    </w:p>
    <w:p w14:paraId="1846C28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A24674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50A76549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MANLOMKA s.r.o.</w:t>
      </w:r>
    </w:p>
    <w:p w14:paraId="40E58C4B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Slovenská 2868/33a, Hranice, 733 01 Karviná</w:t>
      </w:r>
    </w:p>
    <w:p w14:paraId="4143ECDE" w14:textId="77777777" w:rsidR="00BE5AE9" w:rsidRPr="00CE02F8" w:rsidRDefault="00BE5AE9" w:rsidP="00BE5A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27834425</w:t>
      </w:r>
    </w:p>
    <w:p w14:paraId="65E2CF65" w14:textId="77777777" w:rsidR="00BE5AE9" w:rsidRPr="00CE02F8" w:rsidRDefault="00BE5AE9" w:rsidP="00BE5A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CZ27834425</w:t>
      </w:r>
    </w:p>
    <w:p w14:paraId="493B5239" w14:textId="4151B754" w:rsidR="00BE5AE9" w:rsidRPr="00A627F6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 xml:space="preserve">Bankovní spojení: </w:t>
      </w:r>
      <w:r w:rsidR="00E272E9">
        <w:rPr>
          <w:rFonts w:ascii="Arial" w:hAnsi="Arial" w:cs="Arial"/>
          <w:sz w:val="22"/>
          <w:szCs w:val="22"/>
        </w:rPr>
        <w:t>XXX</w:t>
      </w:r>
    </w:p>
    <w:p w14:paraId="03CE2A34" w14:textId="77777777" w:rsidR="00BE5AE9" w:rsidRPr="00A627F6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>Firma je zapsána u KS v Ostravě, oddíl C, vložka 30875</w:t>
      </w:r>
    </w:p>
    <w:p w14:paraId="1735CA09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>zastoupena: Michaelou Daněčkovou, prokuristou</w:t>
      </w:r>
    </w:p>
    <w:p w14:paraId="64D58D3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(dále jen Prodávající)</w:t>
      </w:r>
    </w:p>
    <w:p w14:paraId="6F982DC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213C94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1DDB65" w14:textId="6941F2B1" w:rsidR="007B0953" w:rsidRPr="00B319D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 xml:space="preserve">Dodávky ZP – </w:t>
      </w:r>
      <w:r w:rsidR="00881C36">
        <w:rPr>
          <w:rFonts w:ascii="Arial" w:hAnsi="Arial" w:cs="Arial"/>
          <w:sz w:val="22"/>
          <w:szCs w:val="22"/>
        </w:rPr>
        <w:t>Zdravotnické gázové tampony</w:t>
      </w:r>
      <w:r w:rsidRPr="00B319D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E76A58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8B92534" w14:textId="77777777" w:rsidR="007B0953" w:rsidRPr="00CE02F8" w:rsidRDefault="007B0953" w:rsidP="007B0953">
      <w:pPr>
        <w:rPr>
          <w:rFonts w:ascii="Arial" w:hAnsi="Arial" w:cs="Arial"/>
          <w:b/>
          <w:bCs/>
          <w:sz w:val="22"/>
          <w:szCs w:val="22"/>
        </w:rPr>
      </w:pPr>
    </w:p>
    <w:p w14:paraId="11D50AB8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08EB9E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3243DDC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FB27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98D9E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F7FBE2" w14:textId="1AFFAE02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Předmětem plnění této smlouvy jsou </w:t>
      </w:r>
      <w:r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 w:rsidR="00881C36" w:rsidRPr="00881C36">
        <w:rPr>
          <w:rFonts w:ascii="Arial" w:hAnsi="Arial" w:cs="Arial"/>
          <w:b/>
          <w:sz w:val="22"/>
          <w:szCs w:val="22"/>
        </w:rPr>
        <w:t>Zdravotnické gázové tampony</w:t>
      </w:r>
      <w:r w:rsidR="00B92203">
        <w:rPr>
          <w:rFonts w:ascii="Arial" w:hAnsi="Arial" w:cs="Arial"/>
          <w:b/>
          <w:sz w:val="22"/>
          <w:szCs w:val="22"/>
        </w:rPr>
        <w:t xml:space="preserve"> – </w:t>
      </w:r>
      <w:r w:rsidR="00B92203" w:rsidRPr="00A627F6">
        <w:rPr>
          <w:rFonts w:ascii="Arial" w:hAnsi="Arial" w:cs="Arial"/>
          <w:b/>
          <w:sz w:val="22"/>
          <w:szCs w:val="22"/>
        </w:rPr>
        <w:t xml:space="preserve">část </w:t>
      </w:r>
      <w:r w:rsidR="002D262F">
        <w:rPr>
          <w:rFonts w:ascii="Arial" w:hAnsi="Arial" w:cs="Arial"/>
          <w:b/>
          <w:sz w:val="22"/>
          <w:szCs w:val="22"/>
        </w:rPr>
        <w:t>4</w:t>
      </w:r>
      <w:r w:rsidRPr="00A627F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v příloze č. </w:t>
      </w: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Pr="00CE02F8">
        <w:rPr>
          <w:rFonts w:ascii="Arial" w:hAnsi="Arial" w:cs="Arial"/>
          <w:sz w:val="22"/>
          <w:szCs w:val="22"/>
        </w:rPr>
        <w:t>.</w:t>
      </w:r>
    </w:p>
    <w:p w14:paraId="2C86C0C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9F5F0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250E42C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238F1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023599A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53B6B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6F96572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AC3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4D43EB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A85E9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7342B07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86945" w14:textId="0F8DFD6E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>
        <w:rPr>
          <w:rFonts w:ascii="Arial" w:hAnsi="Arial" w:cs="Arial"/>
          <w:sz w:val="22"/>
          <w:szCs w:val="22"/>
        </w:rPr>
        <w:t>y</w:t>
      </w:r>
      <w:r w:rsidR="004710D3">
        <w:rPr>
          <w:rFonts w:ascii="Arial" w:hAnsi="Arial" w:cs="Arial"/>
          <w:sz w:val="22"/>
          <w:szCs w:val="22"/>
        </w:rPr>
        <w:t xml:space="preserve"> XXX</w:t>
      </w:r>
      <w:r w:rsidRPr="00213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710D3">
        <w:rPr>
          <w:rFonts w:ascii="Arial" w:hAnsi="Arial" w:cs="Arial"/>
          <w:sz w:val="22"/>
          <w:szCs w:val="22"/>
        </w:rPr>
        <w:t xml:space="preserve"> XXX</w:t>
      </w:r>
      <w:r w:rsidRPr="00213EA1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066B642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ED9E61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16E1DF42" w14:textId="77777777" w:rsidR="007B0953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723EAF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5A13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Pr="00CE02F8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předány Prodávajícímu v pracovní dny od 7:00 do 15:00 hod, a to formou e-mailu nebo</w:t>
      </w:r>
      <w:r>
        <w:rPr>
          <w:rFonts w:ascii="Arial" w:eastAsia="Calibri" w:hAnsi="Arial" w:cs="Arial"/>
          <w:sz w:val="22"/>
          <w:szCs w:val="22"/>
        </w:rPr>
        <w:t xml:space="preserve"> ,,modemem</w:t>
      </w:r>
      <w:r w:rsidRPr="00CE02F8">
        <w:rPr>
          <w:rFonts w:ascii="Arial" w:eastAsia="Calibri" w:hAnsi="Arial" w:cs="Arial"/>
          <w:sz w:val="22"/>
          <w:szCs w:val="22"/>
        </w:rPr>
        <w:t>".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Objednávka Kupujícího musí přesně specifikovat druh, množství a popř. balení zboží.</w:t>
      </w:r>
    </w:p>
    <w:p w14:paraId="2966851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C691E" w14:textId="12E7D950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2D262F" w:rsidRPr="002D262F">
        <w:rPr>
          <w:rFonts w:ascii="Arial" w:hAnsi="Arial" w:cs="Arial"/>
          <w:b/>
          <w:bCs/>
          <w:sz w:val="22"/>
          <w:szCs w:val="22"/>
        </w:rPr>
        <w:t>69 030,00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4D6009">
        <w:rPr>
          <w:rFonts w:ascii="Arial" w:hAnsi="Arial" w:cs="Arial"/>
          <w:b/>
          <w:bCs/>
          <w:sz w:val="22"/>
          <w:szCs w:val="22"/>
        </w:rPr>
        <w:t>Kč bez DPH</w:t>
      </w:r>
      <w:r w:rsidRPr="00CE02F8">
        <w:rPr>
          <w:rFonts w:ascii="Arial" w:hAnsi="Arial" w:cs="Arial"/>
          <w:sz w:val="22"/>
          <w:szCs w:val="22"/>
        </w:rPr>
        <w:t xml:space="preserve"> (</w:t>
      </w:r>
      <w:r w:rsidRPr="00CE02F8">
        <w:rPr>
          <w:rFonts w:ascii="Arial" w:hAnsi="Arial" w:cs="Arial"/>
          <w:i/>
          <w:sz w:val="22"/>
          <w:szCs w:val="22"/>
        </w:rPr>
        <w:t>nabídková cena</w:t>
      </w:r>
      <w:r w:rsidRPr="00CE02F8">
        <w:rPr>
          <w:rFonts w:ascii="Arial" w:hAnsi="Arial" w:cs="Arial"/>
          <w:sz w:val="22"/>
          <w:szCs w:val="22"/>
        </w:rPr>
        <w:t xml:space="preserve">). </w:t>
      </w:r>
    </w:p>
    <w:p w14:paraId="402992B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E69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 xml:space="preserve">) </w:t>
      </w:r>
      <w:r w:rsidRPr="00CE02F8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</w:t>
      </w:r>
      <w:r w:rsidRPr="00F93EF3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předpokládané množství dodávaného materiálu uvedeného v příloze č. 1 této smlouvy s ohledem na své potřeby a finanční možnosti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7643A0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771112" w14:textId="11F87768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B095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 a že zboží dodá do </w:t>
      </w:r>
      <w:r w:rsidR="007B0953" w:rsidRPr="00CE02F8">
        <w:rPr>
          <w:rFonts w:ascii="Arial" w:hAnsi="Arial" w:cs="Arial"/>
          <w:sz w:val="22"/>
          <w:szCs w:val="22"/>
        </w:rPr>
        <w:br/>
      </w:r>
      <w:r w:rsidR="007B0953"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neděli, popř. svátek, není Prodávající v prodlení, dodá-li zboží nejbližší pracovní den do 9.00 hodin.</w:t>
      </w:r>
    </w:p>
    <w:p w14:paraId="41D690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B56C7" w14:textId="6C77BB7B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>)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33ED0AF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C9F361" w14:textId="77777777" w:rsidR="007B0953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8AA7A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274F971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33639E1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B42781" w14:textId="77777777" w:rsidR="007B0953" w:rsidRPr="00163489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6EAF2C14" w14:textId="77777777" w:rsidR="00881C36" w:rsidRDefault="00881C36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E59DF42" w14:textId="5F76E154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8D6AF8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6F17E17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31B13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768E8FE" w14:textId="77777777" w:rsidR="007B0953" w:rsidRDefault="007B0953" w:rsidP="007B095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1EBF39D6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VI.</w:t>
      </w:r>
    </w:p>
    <w:p w14:paraId="291A7DE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785C61A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1C1F7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F0B8C7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3DED973D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CFDD0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675FDFB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1543F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1EDD638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40E5A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0AB5F6F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CFC19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1A427442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0272B683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5D0825B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258A78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5A3DEAE9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9C89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VII.</w:t>
      </w:r>
    </w:p>
    <w:p w14:paraId="394240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3DC44A2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5EB4D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024D0FD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6165CCF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2) Dodávka se považuje za splněnou předáním a převzetím zboží a potvrzením dodacího listu oprávněnou osobou Kupujícího. </w:t>
      </w:r>
      <w:r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15:00 hodin.</w:t>
      </w:r>
    </w:p>
    <w:p w14:paraId="19746D4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9230D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5D676F7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2CAC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výlučně takové zboží, jehož </w:t>
      </w:r>
      <w:r w:rsidRPr="00CE02F8">
        <w:rPr>
          <w:rFonts w:ascii="Arial" w:hAnsi="Arial" w:cs="Arial"/>
          <w:b/>
          <w:color w:val="000000"/>
          <w:sz w:val="22"/>
          <w:szCs w:val="22"/>
        </w:rPr>
        <w:t xml:space="preserve">minimální exspirační doba ode dne dodání činí </w:t>
      </w:r>
      <w:r>
        <w:rPr>
          <w:rFonts w:ascii="Arial" w:hAnsi="Arial" w:cs="Arial"/>
          <w:bCs/>
          <w:sz w:val="22"/>
          <w:szCs w:val="22"/>
        </w:rPr>
        <w:t>12</w:t>
      </w:r>
      <w:r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20DB186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433E9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7EC522A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EA3C0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16CE32D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541ADF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2A97E20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C65074" w14:textId="77777777" w:rsidR="007B0953" w:rsidRPr="00CE02F8" w:rsidRDefault="007B0953" w:rsidP="007B0953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160930E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A6FC8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výrobků ke konečnému uživateli, neprodlené akce a reakce v souvislosti s vigilančními kroky výrobců a SUKLU se všemi povinnostmi a následky z jejich neplnění (např. náhrady škody v případě poškození pacienta atd., </w:t>
      </w:r>
      <w:r w:rsidRPr="006A015C">
        <w:rPr>
          <w:rFonts w:ascii="Arial" w:hAnsi="Arial" w:cs="Arial"/>
          <w:bCs/>
          <w:sz w:val="22"/>
          <w:szCs w:val="22"/>
        </w:rPr>
        <w:t>viz zákon č. 375/2022 Sb</w:t>
      </w:r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., ve znění pozdějších předpisů).</w:t>
      </w:r>
    </w:p>
    <w:p w14:paraId="1633316C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FBB6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8D9F6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VIII.</w:t>
      </w:r>
    </w:p>
    <w:p w14:paraId="5F29472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4D9B6B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8B04C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1642484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B1E9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CE02F8">
        <w:rPr>
          <w:rFonts w:ascii="Arial" w:hAnsi="Arial" w:cs="Arial"/>
          <w:color w:val="000000"/>
          <w:sz w:val="22"/>
          <w:szCs w:val="22"/>
        </w:rPr>
        <w:t>) Pokud Prodávající nedodrží termíny dodání nebo kvalitu dodávaného zboží, může Kupující od této smlouvy odstoupit.</w:t>
      </w:r>
    </w:p>
    <w:p w14:paraId="7C32329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CCAD418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C377A73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776196E5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75E6B89D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2F454EC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EB155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259F3CB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E83D1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307BD5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BB446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403D062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20F57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doručení,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B765331" w14:textId="77777777" w:rsidR="007B0953" w:rsidRPr="000B3F7D" w:rsidRDefault="007B0953" w:rsidP="007B09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623AA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719F5C" w14:textId="77777777" w:rsidR="007B0953" w:rsidRPr="00CE02F8" w:rsidRDefault="007B0953" w:rsidP="007B0953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05FB5089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154D4F85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F05A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0CC0B8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63C76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06E50A2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3C80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0DC5A3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D4B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41BA6986" w14:textId="77777777" w:rsidR="007B0953" w:rsidRPr="00CE02F8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276F018A" w14:textId="77777777" w:rsidR="007B0953" w:rsidRPr="00CE02F8" w:rsidRDefault="007B0953" w:rsidP="007B095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14ABCB8B" w14:textId="77777777" w:rsidR="007B0953" w:rsidRDefault="007B0953" w:rsidP="007B095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AC5489" w14:textId="77777777" w:rsidR="007B0953" w:rsidRPr="00DB796F" w:rsidRDefault="007B0953" w:rsidP="007B0953">
      <w:pPr>
        <w:jc w:val="center"/>
        <w:rPr>
          <w:rFonts w:ascii="Arial" w:eastAsia="Calibri" w:hAnsi="Arial" w:cs="Arial"/>
          <w:sz w:val="22"/>
          <w:szCs w:val="22"/>
        </w:rPr>
      </w:pPr>
      <w:r w:rsidRPr="00DB796F">
        <w:rPr>
          <w:rFonts w:ascii="Arial" w:eastAsia="Calibri" w:hAnsi="Arial" w:cs="Arial"/>
          <w:sz w:val="22"/>
          <w:szCs w:val="22"/>
        </w:rPr>
        <w:t>XI.</w:t>
      </w:r>
    </w:p>
    <w:p w14:paraId="7733D8B8" w14:textId="77777777" w:rsidR="007B0953" w:rsidRPr="00DB796F" w:rsidRDefault="007B0953" w:rsidP="007B0953">
      <w:pPr>
        <w:pStyle w:val="lnek"/>
        <w:ind w:left="1080"/>
        <w:jc w:val="left"/>
        <w:rPr>
          <w:rFonts w:ascii="Arial" w:hAnsi="Arial" w:cs="Arial"/>
          <w:szCs w:val="22"/>
        </w:rPr>
      </w:pPr>
      <w:r w:rsidRPr="00DB796F">
        <w:rPr>
          <w:rFonts w:ascii="Arial" w:hAnsi="Arial" w:cs="Arial"/>
          <w:szCs w:val="22"/>
        </w:rPr>
        <w:t>Zvláštní ujednání o plnění povinnosti dle zákona o zaměstnanosti</w:t>
      </w:r>
    </w:p>
    <w:p w14:paraId="1B0DF997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prohlašuje, že jako zaměstnavatel splňuje, a po celou dobu účinnosti této smlouvy bude splňovat podmínky dle zákona č. 435/2004 Sb., o zaměstnanosti, ve znění pozdějších předpisů (dále jen „</w:t>
      </w:r>
      <w:r w:rsidRPr="00DB796F">
        <w:rPr>
          <w:rFonts w:cs="Arial"/>
          <w:b/>
          <w:sz w:val="22"/>
          <w:szCs w:val="22"/>
          <w:lang w:eastAsia="cs-CZ"/>
        </w:rPr>
        <w:t>zákon o zaměstnanosti</w:t>
      </w:r>
      <w:r w:rsidRPr="00DB796F">
        <w:rPr>
          <w:rFonts w:cs="Arial"/>
          <w:sz w:val="22"/>
          <w:szCs w:val="22"/>
          <w:lang w:eastAsia="cs-CZ"/>
        </w:rPr>
        <w:t xml:space="preserve">“). Prodávající prohlašuje, že dle ustanovení § 78 zákona o zaměstnanosti zaměstnává více než 50 % osob se zdravotním postižením z celkového počtu svých zaměstnanců a má s Úřadem práce uzavřenou písemnou dohodu o jejich uznání za zaměstnavatele na chráněném trhu práce </w:t>
      </w:r>
      <w:r w:rsidRPr="00DB796F">
        <w:rPr>
          <w:rFonts w:cs="Arial"/>
          <w:sz w:val="22"/>
          <w:szCs w:val="22"/>
          <w:shd w:val="clear" w:color="auto" w:fill="FFFFFF"/>
        </w:rPr>
        <w:t>(dále jen "dohoda o uznání zaměstnavatele")</w:t>
      </w:r>
      <w:r w:rsidRPr="00DB796F">
        <w:rPr>
          <w:rFonts w:cs="Arial"/>
          <w:sz w:val="22"/>
          <w:szCs w:val="22"/>
          <w:lang w:eastAsia="cs-CZ"/>
        </w:rPr>
        <w:t>. Vzhledem k této skutečnosti se prodávající výslovně a bezvýhradně zavazuje poskytnout odběrateli plnění (tzv. náhradní plnění) ve výši 100 % ze skutečného plnění předmětu této smlouvy v celém rozsahu v rámci svého limitu dle § 81 odst. 3 zákona o zaměstnanosti.</w:t>
      </w:r>
    </w:p>
    <w:p w14:paraId="022CDB51" w14:textId="77777777" w:rsidR="007B0953" w:rsidRPr="00DB796F" w:rsidRDefault="007B0953" w:rsidP="007B0953">
      <w:pPr>
        <w:pStyle w:val="Zkladntextodsazen21"/>
        <w:widowControl w:val="0"/>
        <w:tabs>
          <w:tab w:val="left" w:pos="284"/>
        </w:tabs>
        <w:spacing w:after="0" w:line="240" w:lineRule="auto"/>
        <w:ind w:left="0"/>
        <w:jc w:val="both"/>
        <w:rPr>
          <w:rFonts w:cs="Arial"/>
          <w:sz w:val="22"/>
          <w:szCs w:val="22"/>
        </w:rPr>
      </w:pPr>
    </w:p>
    <w:p w14:paraId="0DE67484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se vůči kupujícímu zavazuje, že mu umožní plnit povinnost § 81 odst. 1 zákona o zaměstnanosti způsobem uvedeným v § 81 odst. 2 písm. b) zákona o zaměstnanosti.</w:t>
      </w:r>
    </w:p>
    <w:p w14:paraId="5D10A75F" w14:textId="77777777" w:rsidR="007B0953" w:rsidRPr="00DB796F" w:rsidRDefault="007B0953" w:rsidP="007B0953">
      <w:pPr>
        <w:pStyle w:val="Odstavecseseznamem"/>
        <w:rPr>
          <w:rFonts w:cs="Arial"/>
          <w:sz w:val="22"/>
          <w:szCs w:val="22"/>
        </w:rPr>
      </w:pPr>
    </w:p>
    <w:p w14:paraId="62F1D9ED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</w:rPr>
        <w:t>Prodávající prohlašuje, že má veškerá potvrzení, povolení a/nebo souhlasy či jakákoliv jiná rozhodnutí nezbytná pro řádné plnění jeho povinností vyplývajících ze zákona o zaměstnanosti a ověřené kopie je povinen doložit kupujícímu na základě písemné žádosti kupujícího.</w:t>
      </w:r>
    </w:p>
    <w:p w14:paraId="734240F2" w14:textId="77777777" w:rsidR="007B0953" w:rsidRPr="00DB796F" w:rsidRDefault="007B0953" w:rsidP="007B0953">
      <w:pPr>
        <w:pStyle w:val="Odstavecseseznamem"/>
        <w:rPr>
          <w:rFonts w:cs="Arial"/>
          <w:sz w:val="22"/>
          <w:szCs w:val="22"/>
        </w:rPr>
      </w:pPr>
    </w:p>
    <w:p w14:paraId="4FC27AAD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si je vědom odpovědnosti za škodu, která by vznikla kupujícímu, kdyby se jeho tvrzení ukázalo nepravdivým.</w:t>
      </w:r>
    </w:p>
    <w:p w14:paraId="72D53013" w14:textId="77777777" w:rsidR="007B0953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77A230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C8CFA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5C2915E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F39486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9AA3CE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1E8AE543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18A037F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36B4F5E8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74A85CB" w14:textId="77777777" w:rsidR="007B0953" w:rsidRPr="00CE02F8" w:rsidRDefault="007B0953" w:rsidP="007B0953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60FBA5A5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310E902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16BDAAA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49554A" w14:textId="35254B1C" w:rsidR="007B0953" w:rsidRPr="00EA770E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5) </w:t>
      </w:r>
      <w:r w:rsidRPr="00D81328">
        <w:rPr>
          <w:rFonts w:ascii="Arial" w:hAnsi="Arial" w:cs="Arial"/>
          <w:sz w:val="22"/>
          <w:szCs w:val="22"/>
        </w:rPr>
        <w:t xml:space="preserve">Smlouva je uzavřena </w:t>
      </w:r>
      <w:r w:rsidRPr="00881C36">
        <w:rPr>
          <w:rFonts w:ascii="Arial" w:hAnsi="Arial" w:cs="Arial"/>
          <w:sz w:val="22"/>
          <w:szCs w:val="22"/>
          <w:u w:val="single"/>
        </w:rPr>
        <w:t>na dobu 36</w:t>
      </w:r>
      <w:r w:rsidR="00881C36" w:rsidRPr="00881C36">
        <w:rPr>
          <w:rFonts w:ascii="Arial" w:hAnsi="Arial" w:cs="Arial"/>
          <w:sz w:val="22"/>
          <w:szCs w:val="22"/>
          <w:u w:val="single"/>
        </w:rPr>
        <w:t xml:space="preserve"> </w:t>
      </w:r>
      <w:r w:rsidRPr="00881C36">
        <w:rPr>
          <w:rFonts w:ascii="Arial" w:hAnsi="Arial" w:cs="Arial"/>
          <w:sz w:val="22"/>
          <w:szCs w:val="22"/>
          <w:u w:val="single"/>
        </w:rPr>
        <w:t>měsíců</w:t>
      </w:r>
      <w:r w:rsidRPr="00D81328">
        <w:rPr>
          <w:rFonts w:ascii="Arial" w:hAnsi="Arial" w:cs="Arial"/>
          <w:sz w:val="22"/>
          <w:szCs w:val="22"/>
        </w:rPr>
        <w:t xml:space="preserve"> nebo do finančního limitu za odebrané zboží, podle toho</w:t>
      </w:r>
      <w:r>
        <w:rPr>
          <w:rFonts w:ascii="Arial" w:hAnsi="Arial" w:cs="Arial"/>
          <w:sz w:val="22"/>
          <w:szCs w:val="22"/>
        </w:rPr>
        <w:t>,</w:t>
      </w:r>
      <w:r w:rsidRPr="00D81328">
        <w:rPr>
          <w:rFonts w:ascii="Arial" w:hAnsi="Arial" w:cs="Arial"/>
          <w:sz w:val="22"/>
          <w:szCs w:val="22"/>
        </w:rPr>
        <w:t xml:space="preserve"> která ze skutečností nastane dříve.</w:t>
      </w:r>
    </w:p>
    <w:p w14:paraId="6959B25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B0E11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>
        <w:rPr>
          <w:rFonts w:ascii="Arial" w:hAnsi="Arial" w:cs="Arial"/>
          <w:sz w:val="22"/>
          <w:szCs w:val="22"/>
        </w:rPr>
        <w:t> </w:t>
      </w:r>
      <w:r w:rsidRPr="007A4C0C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75F77BF0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5A974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5869763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857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4C6BBC7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2AC20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617BD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92BB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6EFD4B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1BF82314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966816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7FC6D5" w14:textId="41CF9494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V </w:t>
      </w:r>
      <w:r w:rsidR="004D6009">
        <w:rPr>
          <w:rFonts w:ascii="Arial" w:hAnsi="Arial" w:cs="Arial"/>
          <w:sz w:val="22"/>
          <w:szCs w:val="22"/>
        </w:rPr>
        <w:t>Karviné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4D6009">
        <w:rPr>
          <w:rFonts w:ascii="Arial" w:hAnsi="Arial" w:cs="Arial"/>
          <w:sz w:val="22"/>
          <w:szCs w:val="22"/>
        </w:rPr>
        <w:t xml:space="preserve"> dle el. podpisu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E272E9">
        <w:rPr>
          <w:rFonts w:ascii="Arial" w:hAnsi="Arial" w:cs="Arial"/>
          <w:sz w:val="22"/>
          <w:szCs w:val="22"/>
        </w:rPr>
        <w:t xml:space="preserve"> 27.5.2026</w:t>
      </w:r>
    </w:p>
    <w:p w14:paraId="1CFB8E81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96BC6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C5ED6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1231F86B" w14:textId="77777777" w:rsidR="007B0953" w:rsidRDefault="007B0953" w:rsidP="007B0953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7FDCAD3D" w14:textId="5D1D37CC" w:rsidR="003F7C38" w:rsidRDefault="004D6009" w:rsidP="003F7C38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16"/>
        </w:rPr>
      </w:pPr>
      <w:r>
        <w:rPr>
          <w:rFonts w:ascii="Arial" w:hAnsi="Arial" w:cs="Arial"/>
          <w:sz w:val="22"/>
          <w:szCs w:val="22"/>
        </w:rPr>
        <w:t>Michaela Daněčková, prokurista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7B0953" w:rsidRPr="00CE02F8">
        <w:rPr>
          <w:rFonts w:ascii="Arial" w:hAnsi="Arial" w:cs="Arial"/>
          <w:sz w:val="22"/>
          <w:szCs w:val="22"/>
        </w:rPr>
        <w:t>doc. MUDr. Zdeněk Beneš,</w:t>
      </w:r>
      <w:r w:rsidR="003F7C38">
        <w:rPr>
          <w:rFonts w:ascii="Arial" w:hAnsi="Arial" w:cs="Arial"/>
          <w:sz w:val="22"/>
          <w:szCs w:val="22"/>
        </w:rPr>
        <w:t xml:space="preserve"> </w:t>
      </w:r>
      <w:r w:rsidR="007B0953" w:rsidRPr="00CE02F8">
        <w:rPr>
          <w:rFonts w:ascii="Arial" w:hAnsi="Arial" w:cs="Arial"/>
          <w:sz w:val="22"/>
          <w:szCs w:val="22"/>
        </w:rPr>
        <w:t>CSc., ředitel</w:t>
      </w:r>
    </w:p>
    <w:sectPr w:rsidR="003F7C38" w:rsidSect="003F7C3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BA13" w14:textId="77777777" w:rsidR="00877E20" w:rsidRDefault="00877E20">
      <w:r>
        <w:separator/>
      </w:r>
    </w:p>
  </w:endnote>
  <w:endnote w:type="continuationSeparator" w:id="0">
    <w:p w14:paraId="51B08CB8" w14:textId="77777777" w:rsidR="00877E20" w:rsidRDefault="0087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E5DE" w14:textId="77777777" w:rsidR="00877E20" w:rsidRDefault="00877E20">
      <w:r>
        <w:separator/>
      </w:r>
    </w:p>
  </w:footnote>
  <w:footnote w:type="continuationSeparator" w:id="0">
    <w:p w14:paraId="7198E5F5" w14:textId="77777777" w:rsidR="00877E20" w:rsidRDefault="0087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3D922417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0C0BC2">
      <w:rPr>
        <w:i/>
        <w:sz w:val="20"/>
      </w:rPr>
      <w:t>38-41/2026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3965"/>
    <w:rsid w:val="00082A86"/>
    <w:rsid w:val="00084E97"/>
    <w:rsid w:val="00087112"/>
    <w:rsid w:val="00095B5F"/>
    <w:rsid w:val="000B756C"/>
    <w:rsid w:val="000C0BC2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4A32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E73A1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262F"/>
    <w:rsid w:val="002D4684"/>
    <w:rsid w:val="002E23FE"/>
    <w:rsid w:val="002E6143"/>
    <w:rsid w:val="002E61E1"/>
    <w:rsid w:val="002F178E"/>
    <w:rsid w:val="00304C39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3F7C38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10D3"/>
    <w:rsid w:val="00474DFA"/>
    <w:rsid w:val="00491697"/>
    <w:rsid w:val="004A638A"/>
    <w:rsid w:val="004A6BBE"/>
    <w:rsid w:val="004C0E90"/>
    <w:rsid w:val="004D0CD3"/>
    <w:rsid w:val="004D4646"/>
    <w:rsid w:val="004D6009"/>
    <w:rsid w:val="004D65FE"/>
    <w:rsid w:val="004E7E6D"/>
    <w:rsid w:val="004F3D0C"/>
    <w:rsid w:val="005015F6"/>
    <w:rsid w:val="0050400D"/>
    <w:rsid w:val="00504AA1"/>
    <w:rsid w:val="00507662"/>
    <w:rsid w:val="00516ABB"/>
    <w:rsid w:val="00517AF1"/>
    <w:rsid w:val="005239DC"/>
    <w:rsid w:val="00525195"/>
    <w:rsid w:val="00526296"/>
    <w:rsid w:val="0052709B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792"/>
    <w:rsid w:val="00571687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3E1B"/>
    <w:rsid w:val="00637260"/>
    <w:rsid w:val="00637ABB"/>
    <w:rsid w:val="006415BF"/>
    <w:rsid w:val="00645F78"/>
    <w:rsid w:val="00654C53"/>
    <w:rsid w:val="006551E6"/>
    <w:rsid w:val="00662F63"/>
    <w:rsid w:val="00676DC3"/>
    <w:rsid w:val="0067788A"/>
    <w:rsid w:val="006838D7"/>
    <w:rsid w:val="00687867"/>
    <w:rsid w:val="006A04D6"/>
    <w:rsid w:val="006A0B17"/>
    <w:rsid w:val="006A4F4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953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07677"/>
    <w:rsid w:val="00815426"/>
    <w:rsid w:val="0081756E"/>
    <w:rsid w:val="008569FF"/>
    <w:rsid w:val="00864308"/>
    <w:rsid w:val="008669F0"/>
    <w:rsid w:val="00877E20"/>
    <w:rsid w:val="00881C36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40E5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1767A"/>
    <w:rsid w:val="00A2383D"/>
    <w:rsid w:val="00A2761F"/>
    <w:rsid w:val="00A330FA"/>
    <w:rsid w:val="00A378E9"/>
    <w:rsid w:val="00A432FD"/>
    <w:rsid w:val="00A478B8"/>
    <w:rsid w:val="00A60E9C"/>
    <w:rsid w:val="00A627F6"/>
    <w:rsid w:val="00A64CC9"/>
    <w:rsid w:val="00A70EE9"/>
    <w:rsid w:val="00A84141"/>
    <w:rsid w:val="00A870EB"/>
    <w:rsid w:val="00A9736B"/>
    <w:rsid w:val="00AA50C7"/>
    <w:rsid w:val="00AA7071"/>
    <w:rsid w:val="00AB1F47"/>
    <w:rsid w:val="00AB40EA"/>
    <w:rsid w:val="00AB4F35"/>
    <w:rsid w:val="00AE6C10"/>
    <w:rsid w:val="00AF0900"/>
    <w:rsid w:val="00AF3015"/>
    <w:rsid w:val="00AF3024"/>
    <w:rsid w:val="00B2647E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800AA"/>
    <w:rsid w:val="00B92203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5AE9"/>
    <w:rsid w:val="00BE7CDB"/>
    <w:rsid w:val="00BF3753"/>
    <w:rsid w:val="00BF62E5"/>
    <w:rsid w:val="00C026C9"/>
    <w:rsid w:val="00C11378"/>
    <w:rsid w:val="00C11E22"/>
    <w:rsid w:val="00C12AAC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A7EE8"/>
    <w:rsid w:val="00DB796F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272E9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6A32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0C9F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6E3D"/>
    <w:rsid w:val="00F55F2C"/>
    <w:rsid w:val="00F55F72"/>
    <w:rsid w:val="00F60B2B"/>
    <w:rsid w:val="00F66487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7B0953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7B0953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7B0953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0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9322F-4691-4CB0-AEB7-B24EDFEE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5675A-3EB5-4BA9-8216-3DABD4E0C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99232-F33C-4E3A-A8C5-D64314D52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2225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Mašterová Hana</cp:lastModifiedBy>
  <cp:revision>4</cp:revision>
  <cp:lastPrinted>2026-05-20T12:04:00Z</cp:lastPrinted>
  <dcterms:created xsi:type="dcterms:W3CDTF">2026-05-29T09:58:00Z</dcterms:created>
  <dcterms:modified xsi:type="dcterms:W3CDTF">2026-05-29T10:17:00Z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