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rtf" ContentType="application/rtf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'1.0' encoding='windows-1250' standalone='yes'?>
<Relationships xmlns='http://schemas.openxmlformats.org/package/2006/relationships'>
<Relationship Id='rId1' Type='http://schemas.openxmlformats.org/officeDocument/2006/relationships/officeDocument' Target='/word/document.xml'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430"/>
        <w:gridCol w:w="216"/>
        <w:gridCol w:w="1508"/>
        <w:gridCol w:w="107"/>
        <w:gridCol w:w="324"/>
        <w:gridCol w:w="323"/>
        <w:gridCol w:w="1831"/>
        <w:gridCol w:w="431"/>
        <w:gridCol w:w="861"/>
        <w:gridCol w:w="431"/>
        <w:gridCol w:w="431"/>
        <w:gridCol w:w="1616"/>
        <w:gridCol w:w="1076"/>
        <w:gridCol w:w="1"/>
        <w:gridCol w:w="107"/>
        <w:gridCol w:w="377"/>
        <w:gridCol w:w="189"/>
        <w:gridCol w:w="512"/>
      </w:tblGrid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drawing>
                <wp:anchor simplePos="0" behindDoc="1" relativeHeight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59635" cy="2159635"/>
                  <wp:effectExtent l="0" t="0" r="0" b="0"/>
                  <wp:wrapNone/>
                  <wp:docPr id="1" name="Report Image 1"/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img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15963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/>
        </w:trPr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ArtBotič, z.s.</w:t>
            </w:r>
          </w:p>
        </w:tc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Vyšehradská 428/35</w:t>
            </w:r>
          </w:p>
        </w:tc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128</w:t>
            </w:r>
          </w:p>
        </w:tc>
        <w:tc>
          <w:tcPr>
            <w:tcMar>
              <w:left w:w="0" w:type="dxa"/>
            </w:tcMar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</w:t>
            </w:r>
          </w:p>
        </w:tc>
        <w:tc>
          <w:tcPr>
            <w:gridSpan w:val="7"/>
            <w:tcMar>
              <w:left w:w="0" w:type="dxa"/>
            </w:tcMar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Praha 2</w:t>
            </w:r>
          </w:p>
        </w:tc>
      </w:tr>
      <w:tr>
        <w:trPr>
          <w:cantSplit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Naše značka</w:t>
            </w:r>
          </w:p>
        </w:tc>
        <w:tc>
          <w:tcPr>
            <w:gridSpan w:val="7"/>
          </w:tcPr>
          <w:p>
            <w:pPr>
              <w:spacing w:after="0" w:line="24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Vyřizuje / oddělení / tel.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 Praze dne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MC02X01OVURG</w:t>
            </w:r>
          </w:p>
        </w:tc>
        <w:tc>
          <w:tcPr>
            <w:gridSpan w:val="7"/>
          </w:tcPr>
          <w:p>
            <w:pPr>
              <w:spacing w:after="0" w:line="24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Kholová Dita DiS. / Odbor školství / 236044188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18. května 2026</w:t>
            </w:r>
          </w:p>
        </w:tc>
      </w:tr>
      <w:tr>
        <w:trPr>
          <w:cantSplit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Věc:  OBJEDNÁVKA  č. O140/2026/0028/OŠ</w:t>
            </w:r>
          </w:p>
        </w:tc>
      </w:tr>
      <w:tr>
        <w:trPr>
          <w:cantSplit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  <w:trHeight w:val="419" w:hRule="atLeast"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Zhotovitel</w:t>
            </w:r>
          </w:p>
        </w:tc>
        <w:tc>
          <w:tcPr>
            <w:gridSpan w:val="13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ArtBotič, z.s.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Sídlo: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Vyšehradská 428/35, 12800 Praha 2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IČ: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22901248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DIČ: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Bankovní spojení: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107-706710207/0100</w:t>
            </w:r>
          </w:p>
        </w:tc>
      </w:tr>
      <w:tr>
        <w:trPr>
          <w:cantSplit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</w:r>
          </w:p>
        </w:tc>
      </w:tr>
      <w:tr>
        <w:trPr>
          <w:cantSplit/>
          <w:trHeight w:val="419" w:hRule="atLeast"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Objednatel</w:t>
            </w:r>
          </w:p>
        </w:tc>
        <w:tc>
          <w:tcPr>
            <w:gridSpan w:val="13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Městská část Praha 2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Sídlo: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náměstí Míru 600/20, 120 39 Praha 2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IČ: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00063461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DIČ: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CZ00063461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Zastoupený:</w:t>
            </w:r>
          </w:p>
        </w:tc>
        <w:tc>
          <w:tcPr>
            <w:gridSpan w:val="13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Bc. Jana Paulů DiS.</w:t>
            </w:r>
          </w:p>
        </w:tc>
      </w:tr>
      <w:tr>
        <w:trPr>
          <w:cantSplit/>
        </w:trPr>
        <w:tc>
          <w:tcPr>
            <w:gridSpan w:val="18"/>
            <w:vAlign w:val="bottom"/>
          </w:tcPr>
          <w:p>
            <w:pPr>
              <w:spacing w:after="0" w:line="24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Specifikace objednávky: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Objednávka Klub Dvojka pro děti a rodiče</w:t>
            </w:r>
          </w:p>
        </w:tc>
      </w:tr>
      <w:tr>
        <w:trPr>
          <w:cantSplit/>
        </w:trPr>
        <w:tc>
          <w:tcPr>
            <w:gridSpan w:val="18"/>
            <w:vAlign w:val="bottom"/>
          </w:tcPr>
          <w:p>
            <w:pPr>
              <w:spacing w:after="0" w:line="24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  <w:vAlign w:val="bottom"/>
          </w:tcPr>
          <w:p>
            <w:pPr>
              <w:spacing w:after="0" w:line="240"/>
              <w:rPr>
                <w:u w:val="single"/>
                <w:rFonts w:ascii="Arial" w:hAnsi="Arial"/>
                <w:sz w:val="22"/>
              </w:rPr>
            </w:pPr>
            <w:r>
              <w:rPr>
                <w:u w:val="single"/>
                <w:rFonts w:ascii="Arial" w:hAnsi="Arial"/>
                <w:sz w:val="22"/>
              </w:rPr>
              <w:t>Předmět objednávky:</w:t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Organizační zajištění akce „Mezinárodní den dětí na Folimance“ dne 1. 6. 2026 v areálu Jammertal Folimanka v čase 15:00–18:00, zahrnující zajištění programu v podobě parkouru, bike rider show a tvořivých dílen (Kidzbay a klasické tvořivé dílny) pro cca 200 dětí.</w:t>
            </w:r>
          </w:p>
        </w:tc>
      </w:tr>
      <w:tr>
        <w:trPr>
          <w:cantSplit/>
        </w:trPr>
        <w:tc>
          <w:tcPr>
            <w:gridSpan w:val="18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4"/>
            <w:vAlign w:val="bottom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2"/>
              </w:rPr>
            </w:pPr>
            <w:r>
              <w:rPr>
                <w:b/>
                <w:u w:val="single"/>
                <w:rFonts w:ascii="Arial" w:hAnsi="Arial"/>
                <w:sz w:val="22"/>
              </w:rPr>
              <w:t>Termín dodání:</w:t>
            </w:r>
          </w:p>
        </w:tc>
        <w:tc>
          <w:tcPr>
            <w:gridSpan w:val="12"/>
            <w:vAlign w:val="bottom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01. června 2026</w:t>
            </w:r>
          </w:p>
        </w:tc>
      </w:tr>
      <w:tr>
        <w:trPr>
          <w:cantSplit/>
        </w:trPr>
        <w:tc>
          <w:tcPr>
            <w:gridSpan w:val="18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5"/>
            <w:vAlign w:val="bottom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Cena objednávky (vč. DPH) v Kč:</w:t>
            </w:r>
          </w:p>
        </w:tc>
        <w:tc>
          <w:tcPr>
            <w:gridSpan w:val="11"/>
            <w:vAlign w:val="bottom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72 400,00</w:t>
            </w:r>
          </w:p>
        </w:tc>
      </w:tr>
      <w:tr>
        <w:trPr>
          <w:cantSplit/>
          <w:trHeight w:val="192" w:hRule="exact"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MČ Praha 2 je plátce DPH. Na faktuře vždy uvádějte termín splatnosti minimálně 14 dní, naše číslo objednávky a název odboru.</w:t>
            </w:r>
          </w:p>
        </w:tc>
      </w:tr>
      <w:tr>
        <w:trPr>
          <w:cantSplit/>
          <w:trHeight w:val="192" w:hRule="exact"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Vzhledem ke změně zákona o DPH, kde je stanoven režim přenesení daňové povinnosti podle </w:t>
              <w:br/>
              <w:t>ust. § 92e zákona o DPH Vás žádáme, abyste uváděli ke službě odpovídající číselný kód klasifikace produkce (kód předmětu plnění).</w:t>
            </w:r>
          </w:p>
        </w:tc>
      </w:tr>
      <w:tr>
        <w:trPr>
          <w:cantSplit/>
          <w:trHeight w:val="192" w:hRule="exact"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6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Naši objednávku prosím potvrďte na adresu:</w:t>
            </w:r>
          </w:p>
        </w:tc>
        <w:tc>
          <w:tcPr>
            <w:gridSpan w:val="10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dita.kholova@praha2.cz</w:t>
            </w:r>
          </w:p>
        </w:tc>
      </w:tr>
      <w:tr>
        <w:trPr>
          <w:cantSplit/>
          <w:trHeight w:val="192" w:hRule="exact"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  <w:vAlign w:val="bottom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Bez zpětného písemného potvrzení akceptace není objednávka platně uzavřena. V případě objednávky v hodnotě nad 50 tis. Kč bez DPH bude objednávka účinná dnem uveřejnění v Registru smluv.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2"/>
          </w:tcPr>
          <w:p>
            <w:pPr>
              <w:spacing w:after="0" w:line="240"/>
              <w:rPr>
                <w:u w:val="single"/>
                <w:rFonts w:ascii="Arial" w:hAnsi="Arial"/>
                <w:sz w:val="22"/>
              </w:rPr>
            </w:pPr>
            <w:r>
              <w:rPr>
                <w:u w:val="single"/>
                <w:rFonts w:ascii="Arial" w:hAnsi="Arial"/>
                <w:sz w:val="22"/>
              </w:rPr>
              <w:t>Forma úhrady:</w:t>
            </w:r>
          </w:p>
        </w:tc>
        <w:tc>
          <w:tcPr>
            <w:gridSpan w:val="14"/>
          </w:tcPr>
          <w:p>
            <w:pPr>
              <w:spacing w:after="0" w:line="240"/>
              <w:rPr>
                <w:b/>
                <w:rFonts w:ascii="Arial" w:hAnsi="Arial"/>
                <w:sz w:val="22"/>
              </w:rPr>
            </w:pPr>
            <w:r>
              <w:rPr>
                <w:b/>
                <w:rFonts w:ascii="Arial" w:hAnsi="Arial"/>
                <w:sz w:val="22"/>
              </w:rPr>
              <w:t>převodním příkazem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u w:val="single"/>
                <w:rFonts w:ascii="Arial" w:hAnsi="Arial"/>
                <w:sz w:val="22"/>
              </w:rPr>
            </w:pPr>
            <w:r>
              <w:rPr>
                <w:u w:val="single"/>
                <w:rFonts w:ascii="Arial" w:hAnsi="Arial"/>
                <w:sz w:val="22"/>
              </w:rPr>
              <w:t>Fakturu zašlete výběrem z následujících možností: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1) elektronicky na adresu: posta@praha2.cz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2) do datové schránky úřadu ID: y7yb44i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3) poštou na adresu: Městská část Praha 2, Úřad městské části Praha 2, náměstí Míru 600/20,</w:t>
              <w:br/>
              <w:t xml:space="preserve">    120 39, Praha 2</w:t>
            </w:r>
          </w:p>
        </w:tc>
      </w:tr>
      <w:tr>
        <w:trPr>
          <w:cantSplit/>
          <w:trHeight w:val="322" w:hRule="atLeast"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/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 Praze dne:</w:t>
            </w:r>
          </w:p>
        </w:tc>
        <w:tc>
          <w:tcPr>
            <w:gridSpan w:val="15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18. května 2026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Bc. Jana Paulů DiS.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Městská část Praha 2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cantSplit/>
        </w:trPr>
        <w:tc>
          <w:tcPr>
            <w:gridSpan w:val="1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</w:tbl>
    <w:sectPr>
      <w:pgSz w:w="11905" w:h="16837" w:orient="portrait"/>
      <w:pgMar w:left="566" w:top="850" w:right="568" w:bottom="567" w:header="850" w:footer="567" w:gutter="0"/>
      <w:footerReference w:type="default" r:id="footer1"/>
    </w:sectPr>
  </w:body>
</w:document>
</file>

<file path=word/footer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430"/>
      <w:gridCol w:w="216"/>
      <w:gridCol w:w="1508"/>
      <w:gridCol w:w="107"/>
      <w:gridCol w:w="324"/>
      <w:gridCol w:w="323"/>
      <w:gridCol w:w="1831"/>
      <w:gridCol w:w="431"/>
      <w:gridCol w:w="861"/>
      <w:gridCol w:w="431"/>
      <w:gridCol w:w="431"/>
      <w:gridCol w:w="1616"/>
      <w:gridCol w:w="1076"/>
      <w:gridCol w:w="1"/>
      <w:gridCol w:w="107"/>
      <w:gridCol w:w="377"/>
      <w:gridCol w:w="189"/>
      <w:gridCol w:w="512"/>
    </w:tblGrid>
    <w:tr>
      <w:trPr>
        <w:cantSplit/>
      </w:trPr>
      <w:tc>
        <w:tcPr>
          <w:gridSpan w:val="2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</w:r>
        </w:p>
      </w:tc>
      <w:tc>
        <w:tcPr>
          <w:gridSpan w:val="16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Městská část Praha 2 – vítěz Město pro byznys desetiletí – cena týdeníku Ekonom a Českých 100 nejlepších v kategorii Cestovní </w:t>
            <w:br/>
            <w:t>ruch a hotelnictví – cena společnosti COMENIUS</w:t>
          </w:r>
        </w:p>
      </w:tc>
    </w:tr>
    <w:tr>
      <w:trPr>
        <w:cantSplit/>
      </w:trPr>
      <w:tc>
        <w:tcPr>
          <w:gridSpan w:val="2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</w:r>
        </w:p>
      </w:tc>
      <w:tc>
        <w:tcPr>
          <w:gridSpan w:val="16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Úřad městské části Praha 2, náměstí Míru 600/20, 120 39 Praha 2</w:t>
          </w:r>
        </w:p>
      </w:tc>
    </w:tr>
    <w:tr>
      <w:trPr>
        <w:cantSplit/>
      </w:trPr>
      <w:tc>
        <w:tcPr>
          <w:gridSpan w:val="2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</w:r>
        </w:p>
      </w:tc>
      <w:tc>
        <w:tcPr>
          <w:gridSpan w:val="11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ústředna: 236 044 111</w:t>
          </w:r>
        </w:p>
      </w:tc>
      <w:tc>
        <w:tcPr>
          <w:gridSpan w:val="5"/>
          <w:vAlign w:val="bottom"/>
        </w:tcPr>
        <w:p>
          <w:pPr>
            <w:spacing w:after="0" w:line="2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strana</w:t>
          </w:r>
        </w:p>
      </w:tc>
    </w:tr>
    <w:tr>
      <w:trPr>
        <w:cantSplit/>
      </w:trPr>
      <w:tc>
        <w:tcPr>
          <w:gridSpan w:val="2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</w:r>
        </w:p>
      </w:tc>
      <w:tc>
        <w:tcPr>
          <w:gridSpan w:val="12"/>
          <w:vAlign w:val="bottom"/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e-mail: posta@praha2.cz, www.praha2.cz, DIČ: 00063461, ID datové schránky: y7yb44i</w:t>
          </w:r>
        </w:p>
      </w:tc>
      <w:tc>
        <w:tcPr>
          <w:gridSpan w:val="2"/>
          <w:vAlign w:val="bottom"/>
          <w:tcMar>
            <w:right w:w="0" w:type="dxa"/>
          </w:tcMar>
        </w:tcPr>
        <w:p>
          <w:pPr>
            <w:spacing w:after="0" w:line="240"/>
            <w:jc w:val="end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fldChar w:fldCharType="begin"/>
            <w:instrText>PAGE</w:instrText>
            <w:fldChar w:fldCharType="end"/>
          </w:r>
        </w:p>
      </w:tc>
      <w:tc>
        <w:tcPr>
          <w:vAlign w:val="bottom"/>
          <w:tcMar>
            <w:left w:w="0" w:type="dxa"/>
            <w:right w:w="0" w:type="dxa"/>
          </w:tcMar>
        </w:tcPr>
        <w:p>
          <w:pPr>
            <w:spacing w:after="0" w:line="2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/</w:t>
          </w:r>
        </w:p>
      </w:tc>
      <w:tc>
        <w:tcPr>
          <w:vAlign w:val="bottom"/>
          <w:tcMar>
            <w:left w:w="0" w:type="dxa"/>
          </w:tcMar>
        </w:tcPr>
        <w:p>
          <w:pPr>
            <w:spacing w:after="0" w:line="2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fldChar w:fldCharType="begin"/>
            <w:instrText>NUMPAGES</w:instrText>
            <w:fldChar w:fldCharType="end"/>
          </w:r>
        </w:p>
      </w:tc>
    </w:tr>
  </w:tbl>
</w:ftr>
</file>

<file path=word/settings.xml><?xml version="1.0" encoding="utf-8"?>
<w:settings xmlns:mc="http://schemas.openxmlformats.org/markup-compatibility/2006" xmlns:w="http://schemas.openxmlformats.org/wordprocessingml/2006/main">
  <w:compat>
    <w:compatSetting w:name="compatibilityMode" w:uri="http://schemas.microsoft.com/office/word" w:val="99"/>
  </w:compat>
</w:settings>
</file>

<file path=word/_rels/document.xml.rels><?xml version='1.0' encoding='windows-1250'?>
<Relationships xmlns='http://schemas.openxmlformats.org/package/2006/relationships'>
<Relationship Id='r1' Type='http://schemas.openxmlformats.org/officeDocument/2006/relationships/settings' Target='settings.xml'/>
<Relationship Id='footer1' Type='http://schemas.openxmlformats.org/officeDocument/2006/relationships/footer' Target='footer1.xml'/>
<Relationship Id='img1' Type='http://schemas.openxmlformats.org/officeDocument/2006/relationships/image' Target='media/img1.png'/>
</Relationships>

</file>

<file path=word/_rels/footer1.xml.rels><?xml version='1.0' encoding='windows-1250'?>
<Relationships xmlns='http://schemas.openxmlformats.org/package/2006/relationships'>
</Relationships>

</file>