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26.05.2026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1260947602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tbl.nob.30 II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Alprox 0.5mg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Ambrobene 30mg tbl.nob.20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Azepo 1g inj/inf plv.sol.10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20mg tbl.flm.60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Clotrimazole Recordati 10mg/g crm.1x20g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Ezoleta 10mg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Famosan 40mg tbl.flm.20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40 por.tbl.nob.50x40mg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100mg sup.10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Lioton 1000IU/g gel 100g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Marixino 10mg tbl.flm.28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NAC AL 600mg tbl.eff.20(2x10)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Nimesulid Leram 100mg tbl.nob.30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Pangrol 20000IU tbl.ent.50 II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Pangrol 20000IU tbl.ent.50 II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Prestarium Neo 5mg tbl.flm.30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Species Urologicae Planta spc.20 I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Thiamin Léčiva 50mg tbl.nob.20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Vancomycin Viatris 500mg inf.plv.sol.1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Vancomycin Viatris 500mg inf.plv.sol.1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168</Words>
  <Characters>1401</Characters>
  <CharactersWithSpaces>3284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2026-05-27T12:53:02Z</dcterms:modified>
  <cp:revision>1</cp:revision>
  <dc:subject/>
  <dc:title/>
</cp:coreProperties>
</file>