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2166" w14:textId="77777777" w:rsidR="00552AD5" w:rsidRDefault="00E52CB0">
      <w:pPr>
        <w:spacing w:before="240" w:after="120" w:line="240" w:lineRule="auto"/>
        <w:jc w:val="center"/>
        <w:rPr>
          <w:rFonts w:cs="Calibri"/>
          <w:b/>
          <w:sz w:val="32"/>
          <w:szCs w:val="32"/>
        </w:rPr>
      </w:pPr>
      <w:r>
        <w:rPr>
          <w:rFonts w:cs="Calibri"/>
          <w:b/>
          <w:sz w:val="44"/>
          <w:szCs w:val="44"/>
        </w:rPr>
        <w:t>SMLOUVA</w:t>
      </w:r>
    </w:p>
    <w:p w14:paraId="256200BA" w14:textId="77777777" w:rsidR="00552AD5" w:rsidRDefault="00E52CB0">
      <w:pPr>
        <w:spacing w:after="120" w:line="240" w:lineRule="auto"/>
        <w:jc w:val="center"/>
        <w:rPr>
          <w:rFonts w:cs="Calibri"/>
        </w:rPr>
      </w:pPr>
      <w:r>
        <w:rPr>
          <w:rFonts w:cs="Calibri"/>
          <w:b/>
          <w:sz w:val="32"/>
          <w:szCs w:val="32"/>
        </w:rPr>
        <w:t>o poskytování služeb správy a podpory IT infrastruktury</w:t>
      </w:r>
    </w:p>
    <w:p w14:paraId="3BC29BAA" w14:textId="77777777" w:rsidR="00552AD5" w:rsidRDefault="00E52CB0">
      <w:pPr>
        <w:spacing w:after="0" w:line="240" w:lineRule="auto"/>
        <w:jc w:val="center"/>
      </w:pPr>
      <w:r>
        <w:rPr>
          <w:rFonts w:cs="Calibri"/>
        </w:rPr>
        <w:t>uzavřená níže uvedeného dne, měsíce a roku podle § 1746 odst. 2 zákona č. 89/2012 Sb., občanského zákoníku</w:t>
      </w:r>
    </w:p>
    <w:p w14:paraId="33DA9629" w14:textId="77777777" w:rsidR="00552AD5" w:rsidRDefault="00E52CB0" w:rsidP="00F52094">
      <w:pPr>
        <w:pStyle w:val="Nadpis1"/>
      </w:pPr>
      <w:bookmarkStart w:id="0" w:name="__RefHeading___Toc3851_93952133"/>
      <w:bookmarkStart w:id="1" w:name="_Toc212203577"/>
      <w:bookmarkStart w:id="2" w:name="_Toc230001164"/>
      <w:bookmarkEnd w:id="0"/>
      <w:r>
        <w:rPr>
          <w:lang w:val="cs-CZ"/>
        </w:rPr>
        <w:t xml:space="preserve">Smluvní </w:t>
      </w:r>
      <w:r>
        <w:rPr>
          <w:szCs w:val="22"/>
          <w:lang w:val="cs-CZ"/>
        </w:rPr>
        <w:t>strany</w:t>
      </w:r>
      <w:bookmarkEnd w:id="1"/>
      <w:bookmarkEnd w:id="2"/>
    </w:p>
    <w:p w14:paraId="63BF6EB8" w14:textId="77777777" w:rsidR="00552AD5" w:rsidRDefault="00E52CB0" w:rsidP="002655F1">
      <w:pPr>
        <w:pStyle w:val="Nadpis2"/>
        <w:rPr>
          <w:rFonts w:cs="Calibri"/>
        </w:rPr>
      </w:pPr>
      <w:bookmarkStart w:id="3" w:name="__RefHeading___Toc3853_93952133"/>
      <w:bookmarkStart w:id="4" w:name="_Toc212203578"/>
      <w:bookmarkStart w:id="5" w:name="_Toc230001165"/>
      <w:bookmarkEnd w:id="3"/>
      <w:r>
        <w:t>Město Jindřichův Hradec</w:t>
      </w:r>
      <w:bookmarkEnd w:id="4"/>
      <w:bookmarkEnd w:id="5"/>
    </w:p>
    <w:p w14:paraId="42078227" w14:textId="77777777" w:rsidR="00552AD5" w:rsidRDefault="00E52CB0">
      <w:pPr>
        <w:spacing w:after="0" w:line="312" w:lineRule="auto"/>
        <w:rPr>
          <w:rFonts w:cs="Calibri"/>
        </w:rPr>
      </w:pPr>
      <w:r>
        <w:rPr>
          <w:rFonts w:cs="Calibri"/>
        </w:rPr>
        <w:t>se sídlem:</w:t>
      </w:r>
      <w:r>
        <w:rPr>
          <w:rFonts w:cs="Calibri"/>
        </w:rPr>
        <w:tab/>
      </w:r>
      <w:r>
        <w:rPr>
          <w:rFonts w:cs="Calibri"/>
        </w:rPr>
        <w:tab/>
        <w:t>Klášterská 135, Jindřichův Hradec</w:t>
      </w:r>
    </w:p>
    <w:p w14:paraId="3518EEEE" w14:textId="77777777" w:rsidR="00552AD5" w:rsidRDefault="00E52CB0">
      <w:pPr>
        <w:spacing w:after="0" w:line="312" w:lineRule="auto"/>
        <w:rPr>
          <w:rFonts w:cs="Calibri"/>
        </w:rPr>
      </w:pPr>
      <w:r>
        <w:rPr>
          <w:rFonts w:cs="Calibri"/>
        </w:rPr>
        <w:t>IČ:</w:t>
      </w:r>
      <w:r>
        <w:rPr>
          <w:rFonts w:cs="Calibri"/>
        </w:rPr>
        <w:tab/>
      </w:r>
      <w:r>
        <w:rPr>
          <w:rFonts w:cs="Calibri"/>
        </w:rPr>
        <w:tab/>
      </w:r>
      <w:r>
        <w:rPr>
          <w:rFonts w:cs="Calibri"/>
        </w:rPr>
        <w:tab/>
        <w:t>00246875</w:t>
      </w:r>
    </w:p>
    <w:p w14:paraId="1892F55C" w14:textId="77777777" w:rsidR="00552AD5" w:rsidRDefault="00E52CB0">
      <w:pPr>
        <w:spacing w:after="0" w:line="312" w:lineRule="auto"/>
        <w:rPr>
          <w:rFonts w:cs="Calibri"/>
        </w:rPr>
      </w:pPr>
      <w:r>
        <w:rPr>
          <w:rFonts w:cs="Calibri"/>
        </w:rPr>
        <w:t>DIČ:</w:t>
      </w:r>
      <w:r>
        <w:rPr>
          <w:rFonts w:cs="Calibri"/>
        </w:rPr>
        <w:tab/>
      </w:r>
      <w:r>
        <w:rPr>
          <w:rFonts w:cs="Calibri"/>
        </w:rPr>
        <w:tab/>
      </w:r>
      <w:r>
        <w:rPr>
          <w:rFonts w:cs="Calibri"/>
        </w:rPr>
        <w:tab/>
        <w:t>CZ00246875</w:t>
      </w:r>
    </w:p>
    <w:p w14:paraId="58DB762E" w14:textId="77777777" w:rsidR="00552AD5" w:rsidRDefault="00E52CB0">
      <w:pPr>
        <w:spacing w:after="0" w:line="312" w:lineRule="auto"/>
        <w:rPr>
          <w:rFonts w:cs="Calibri"/>
        </w:rPr>
      </w:pPr>
      <w:r>
        <w:rPr>
          <w:rFonts w:cs="Calibri"/>
        </w:rPr>
        <w:t>zastoupené:</w:t>
      </w:r>
      <w:r>
        <w:rPr>
          <w:rFonts w:cs="Calibri"/>
        </w:rPr>
        <w:tab/>
      </w:r>
      <w:r>
        <w:rPr>
          <w:rFonts w:cs="Calibri"/>
        </w:rPr>
        <w:tab/>
      </w:r>
      <w:r>
        <w:rPr>
          <w:rFonts w:ascii="Carlito;Calibri" w:hAnsi="Carlito;Calibri" w:cs="Carlito;Calibri"/>
        </w:rPr>
        <w:t>Mgr. Ing. Michal Kozár, MBA, starosta</w:t>
      </w:r>
    </w:p>
    <w:p w14:paraId="76519F8B" w14:textId="0D236163" w:rsidR="00552AD5" w:rsidRDefault="00E52CB0">
      <w:pPr>
        <w:spacing w:after="0" w:line="312" w:lineRule="auto"/>
        <w:rPr>
          <w:rFonts w:cs="Calibri"/>
        </w:rPr>
      </w:pPr>
      <w:r>
        <w:rPr>
          <w:rFonts w:cs="Calibri"/>
        </w:rPr>
        <w:t>bankovní spojení:</w:t>
      </w:r>
      <w:r>
        <w:rPr>
          <w:rFonts w:cs="Calibri"/>
        </w:rPr>
        <w:tab/>
      </w:r>
      <w:r w:rsidR="008A00DD">
        <w:rPr>
          <w:rFonts w:cs="Calibri"/>
        </w:rPr>
        <w:t>XXX</w:t>
      </w:r>
    </w:p>
    <w:p w14:paraId="346299B9" w14:textId="4D44E086" w:rsidR="00552AD5" w:rsidRDefault="00E52CB0">
      <w:pPr>
        <w:spacing w:after="0" w:line="312" w:lineRule="auto"/>
        <w:rPr>
          <w:rFonts w:cs="Calibri"/>
        </w:rPr>
      </w:pPr>
      <w:proofErr w:type="spellStart"/>
      <w:r>
        <w:rPr>
          <w:rFonts w:cs="Calibri"/>
        </w:rPr>
        <w:t>č.ú</w:t>
      </w:r>
      <w:proofErr w:type="spellEnd"/>
      <w:r>
        <w:rPr>
          <w:rFonts w:cs="Calibri"/>
        </w:rPr>
        <w:t>.:</w:t>
      </w:r>
      <w:r>
        <w:rPr>
          <w:rFonts w:cs="Calibri"/>
        </w:rPr>
        <w:tab/>
      </w:r>
      <w:r>
        <w:rPr>
          <w:rFonts w:cs="Calibri"/>
        </w:rPr>
        <w:tab/>
      </w:r>
      <w:r>
        <w:rPr>
          <w:rFonts w:cs="Calibri"/>
        </w:rPr>
        <w:tab/>
      </w:r>
      <w:r w:rsidR="008A00DD">
        <w:rPr>
          <w:rFonts w:cs="Calibri"/>
        </w:rPr>
        <w:t>XXX</w:t>
      </w:r>
    </w:p>
    <w:p w14:paraId="45B01C5B" w14:textId="5F91F2A3" w:rsidR="00552AD5" w:rsidRDefault="00E52CB0">
      <w:pPr>
        <w:spacing w:after="0" w:line="312" w:lineRule="auto"/>
        <w:rPr>
          <w:rFonts w:cs="Calibri"/>
        </w:rPr>
      </w:pPr>
      <w:r>
        <w:rPr>
          <w:rFonts w:cs="Calibri"/>
        </w:rPr>
        <w:t>kontaktní osoba:</w:t>
      </w:r>
      <w:r>
        <w:rPr>
          <w:rFonts w:cs="Calibri"/>
        </w:rPr>
        <w:tab/>
        <w:t>Šicner Ivo</w:t>
      </w:r>
    </w:p>
    <w:p w14:paraId="103CBA36" w14:textId="358CCB0F" w:rsidR="00552AD5" w:rsidRDefault="00E52CB0">
      <w:pPr>
        <w:spacing w:after="0" w:line="312" w:lineRule="auto"/>
        <w:rPr>
          <w:rFonts w:cs="Calibri"/>
        </w:rPr>
      </w:pPr>
      <w:r>
        <w:rPr>
          <w:rFonts w:cs="Calibri"/>
        </w:rPr>
        <w:t xml:space="preserve">telefon: </w:t>
      </w:r>
      <w:r>
        <w:rPr>
          <w:rFonts w:cs="Calibri"/>
        </w:rPr>
        <w:tab/>
      </w:r>
      <w:r>
        <w:rPr>
          <w:rFonts w:cs="Calibri"/>
        </w:rPr>
        <w:tab/>
      </w:r>
      <w:r w:rsidR="008A00DD">
        <w:rPr>
          <w:rFonts w:cs="Calibri"/>
        </w:rPr>
        <w:t>XXX</w:t>
      </w:r>
    </w:p>
    <w:p w14:paraId="04C0535B" w14:textId="42F90E72" w:rsidR="00552AD5" w:rsidRDefault="00E52CB0">
      <w:pPr>
        <w:spacing w:after="0" w:line="312" w:lineRule="auto"/>
        <w:rPr>
          <w:rFonts w:cs="Calibri"/>
          <w:i/>
        </w:rPr>
      </w:pPr>
      <w:r>
        <w:rPr>
          <w:rFonts w:cs="Calibri"/>
        </w:rPr>
        <w:t>e-mail:</w:t>
      </w:r>
      <w:r>
        <w:rPr>
          <w:rFonts w:cs="Calibri"/>
        </w:rPr>
        <w:tab/>
      </w:r>
      <w:r>
        <w:rPr>
          <w:rFonts w:cs="Calibri"/>
        </w:rPr>
        <w:tab/>
      </w:r>
      <w:r>
        <w:rPr>
          <w:rFonts w:cs="Calibri"/>
        </w:rPr>
        <w:tab/>
      </w:r>
      <w:r w:rsidR="008A00DD">
        <w:rPr>
          <w:rFonts w:cs="Calibri"/>
        </w:rPr>
        <w:t>XXX</w:t>
      </w:r>
    </w:p>
    <w:p w14:paraId="614A8434" w14:textId="77777777" w:rsidR="00552AD5" w:rsidRDefault="00E52CB0">
      <w:pPr>
        <w:spacing w:after="0" w:line="360" w:lineRule="auto"/>
        <w:rPr>
          <w:rFonts w:cs="Calibri"/>
          <w:b/>
          <w:spacing w:val="60"/>
        </w:rPr>
      </w:pPr>
      <w:r>
        <w:rPr>
          <w:rFonts w:cs="Calibri"/>
          <w:i/>
        </w:rPr>
        <w:t>(dále jen „objednatel“, „zadavatel“)</w:t>
      </w:r>
    </w:p>
    <w:p w14:paraId="02BE96EF" w14:textId="77777777" w:rsidR="00552AD5" w:rsidRDefault="00E52CB0">
      <w:pPr>
        <w:spacing w:after="0" w:line="240" w:lineRule="auto"/>
        <w:ind w:firstLine="576"/>
      </w:pPr>
      <w:r>
        <w:rPr>
          <w:rFonts w:cs="Calibri"/>
          <w:b/>
          <w:spacing w:val="60"/>
        </w:rPr>
        <w:t>a</w:t>
      </w:r>
    </w:p>
    <w:p w14:paraId="64B112B5" w14:textId="39F181AB" w:rsidR="00552AD5" w:rsidRPr="002655F1" w:rsidRDefault="00117D29" w:rsidP="002655F1">
      <w:pPr>
        <w:pStyle w:val="Nadpis2"/>
      </w:pPr>
      <w:bookmarkStart w:id="6" w:name="__RefHeading___Toc3855_93952133"/>
      <w:bookmarkStart w:id="7" w:name="_Toc230001166"/>
      <w:bookmarkEnd w:id="6"/>
      <w:r w:rsidRPr="002655F1">
        <w:t>DATASYS s.r.o.</w:t>
      </w:r>
      <w:bookmarkEnd w:id="7"/>
    </w:p>
    <w:p w14:paraId="78279952" w14:textId="4D92952A" w:rsidR="00552AD5" w:rsidRDefault="00E52CB0">
      <w:pPr>
        <w:spacing w:after="0" w:line="312" w:lineRule="auto"/>
        <w:rPr>
          <w:rFonts w:cs="Calibri"/>
        </w:rPr>
      </w:pPr>
      <w:r>
        <w:rPr>
          <w:rFonts w:cs="Calibri"/>
        </w:rPr>
        <w:t>se sídlem:</w:t>
      </w:r>
      <w:r>
        <w:rPr>
          <w:rFonts w:cs="Calibri"/>
        </w:rPr>
        <w:tab/>
      </w:r>
      <w:r w:rsidR="00117D29">
        <w:rPr>
          <w:rFonts w:cs="Calibri"/>
        </w:rPr>
        <w:tab/>
      </w:r>
      <w:r w:rsidR="00117D29" w:rsidRPr="00117D29">
        <w:rPr>
          <w:rFonts w:cs="Calibri"/>
          <w:bCs/>
        </w:rPr>
        <w:t>Jeseniova 2829/20, 130 00 Praha 3</w:t>
      </w:r>
    </w:p>
    <w:p w14:paraId="2231E164" w14:textId="23C4BCFA" w:rsidR="00552AD5" w:rsidRPr="00117D29" w:rsidRDefault="00E52CB0">
      <w:pPr>
        <w:spacing w:after="0" w:line="312" w:lineRule="auto"/>
        <w:rPr>
          <w:rFonts w:cs="Calibri"/>
        </w:rPr>
      </w:pPr>
      <w:r w:rsidRPr="00117D29">
        <w:rPr>
          <w:rFonts w:cs="Calibri"/>
        </w:rPr>
        <w:t>IČ:</w:t>
      </w:r>
      <w:r w:rsidRPr="00117D29">
        <w:rPr>
          <w:rFonts w:cs="Calibri"/>
        </w:rPr>
        <w:tab/>
      </w:r>
      <w:r w:rsidRPr="00117D29">
        <w:rPr>
          <w:rFonts w:cs="Calibri"/>
        </w:rPr>
        <w:tab/>
      </w:r>
      <w:r w:rsidR="00117D29">
        <w:rPr>
          <w:rFonts w:cs="Calibri"/>
        </w:rPr>
        <w:tab/>
      </w:r>
      <w:r w:rsidR="00117D29" w:rsidRPr="00117D29">
        <w:rPr>
          <w:rFonts w:cs="Calibri"/>
        </w:rPr>
        <w:t>61249157</w:t>
      </w:r>
    </w:p>
    <w:p w14:paraId="6EA083E1" w14:textId="4E4E0FE6" w:rsidR="00552AD5" w:rsidRPr="00117D29" w:rsidRDefault="00E52CB0">
      <w:pPr>
        <w:spacing w:after="0" w:line="312" w:lineRule="auto"/>
        <w:rPr>
          <w:rFonts w:cs="Calibri"/>
        </w:rPr>
      </w:pPr>
      <w:r w:rsidRPr="00117D29">
        <w:rPr>
          <w:rFonts w:cs="Calibri"/>
        </w:rPr>
        <w:t>DIČ:</w:t>
      </w:r>
      <w:r w:rsidRPr="00117D29">
        <w:rPr>
          <w:rFonts w:cs="Calibri"/>
        </w:rPr>
        <w:tab/>
      </w:r>
      <w:r w:rsidRPr="00117D29">
        <w:rPr>
          <w:rFonts w:cs="Calibri"/>
        </w:rPr>
        <w:tab/>
      </w:r>
      <w:r w:rsidR="00117D29">
        <w:rPr>
          <w:rFonts w:cs="Calibri"/>
        </w:rPr>
        <w:tab/>
      </w:r>
      <w:r w:rsidR="00117D29" w:rsidRPr="00117D29">
        <w:rPr>
          <w:rFonts w:cs="Calibri"/>
        </w:rPr>
        <w:t>CZ61249157</w:t>
      </w:r>
    </w:p>
    <w:p w14:paraId="1EF044AE" w14:textId="01129A06" w:rsidR="00552AD5" w:rsidRDefault="00E52CB0">
      <w:pPr>
        <w:spacing w:after="0" w:line="312" w:lineRule="auto"/>
        <w:rPr>
          <w:rFonts w:cs="Calibri"/>
        </w:rPr>
      </w:pPr>
      <w:r>
        <w:rPr>
          <w:rFonts w:cs="Calibri"/>
        </w:rPr>
        <w:t xml:space="preserve">zapsán v obchodním rejstříku, vedeném </w:t>
      </w:r>
      <w:r w:rsidR="00117D29">
        <w:rPr>
          <w:rFonts w:cs="Calibri"/>
        </w:rPr>
        <w:t>Městským soudem v Praze</w:t>
      </w:r>
      <w:r>
        <w:rPr>
          <w:rFonts w:cs="Calibri"/>
        </w:rPr>
        <w:t>, spisová značka</w:t>
      </w:r>
      <w:r w:rsidR="00117D29">
        <w:rPr>
          <w:rFonts w:cs="Calibri"/>
        </w:rPr>
        <w:t xml:space="preserve"> C 28862</w:t>
      </w:r>
      <w:r>
        <w:rPr>
          <w:rFonts w:cs="Calibri"/>
        </w:rPr>
        <w:t xml:space="preserve"> </w:t>
      </w:r>
      <w:r>
        <w:rPr>
          <w:rFonts w:cs="Calibri"/>
          <w:b/>
        </w:rPr>
        <w:t>=</w:t>
      </w:r>
    </w:p>
    <w:p w14:paraId="02877718" w14:textId="18E618B1" w:rsidR="00552AD5" w:rsidRDefault="00E52CB0">
      <w:pPr>
        <w:spacing w:after="0" w:line="312" w:lineRule="auto"/>
        <w:rPr>
          <w:rFonts w:cs="Calibri"/>
        </w:rPr>
      </w:pPr>
      <w:r>
        <w:rPr>
          <w:rFonts w:cs="Calibri"/>
        </w:rPr>
        <w:t>zastoupený:</w:t>
      </w:r>
      <w:r>
        <w:rPr>
          <w:rFonts w:cs="Calibri"/>
        </w:rPr>
        <w:tab/>
      </w:r>
      <w:r w:rsidR="00117D29">
        <w:rPr>
          <w:rFonts w:cs="Calibri"/>
        </w:rPr>
        <w:tab/>
      </w:r>
      <w:r w:rsidR="00117D29" w:rsidRPr="00117D29">
        <w:rPr>
          <w:rFonts w:cs="Calibri"/>
          <w:bCs/>
        </w:rPr>
        <w:t>Bc. Martin Novák, jednatel</w:t>
      </w:r>
    </w:p>
    <w:p w14:paraId="21F089D2" w14:textId="48CAE04D" w:rsidR="00552AD5" w:rsidRDefault="00E52CB0">
      <w:pPr>
        <w:spacing w:after="0" w:line="312" w:lineRule="auto"/>
        <w:rPr>
          <w:rFonts w:cs="Calibri"/>
        </w:rPr>
      </w:pPr>
      <w:r>
        <w:rPr>
          <w:rFonts w:cs="Calibri"/>
        </w:rPr>
        <w:t>bankovní spojení:</w:t>
      </w:r>
      <w:r>
        <w:rPr>
          <w:rFonts w:cs="Calibri"/>
        </w:rPr>
        <w:tab/>
      </w:r>
      <w:r w:rsidR="008A00DD">
        <w:rPr>
          <w:rFonts w:cs="Calibri"/>
          <w:bCs/>
        </w:rPr>
        <w:t>XXX</w:t>
      </w:r>
    </w:p>
    <w:p w14:paraId="23E3F650" w14:textId="7EE7C5D0" w:rsidR="00552AD5" w:rsidRPr="007C1E94" w:rsidRDefault="00E52CB0">
      <w:pPr>
        <w:spacing w:after="0" w:line="312" w:lineRule="auto"/>
        <w:rPr>
          <w:rFonts w:cs="Calibri"/>
          <w:bCs/>
        </w:rPr>
      </w:pPr>
      <w:proofErr w:type="spellStart"/>
      <w:r>
        <w:rPr>
          <w:rFonts w:cs="Calibri"/>
        </w:rPr>
        <w:t>č.ú</w:t>
      </w:r>
      <w:proofErr w:type="spellEnd"/>
      <w:r>
        <w:rPr>
          <w:rFonts w:cs="Calibri"/>
        </w:rPr>
        <w:t>.:</w:t>
      </w:r>
      <w:r>
        <w:rPr>
          <w:rFonts w:cs="Calibri"/>
        </w:rPr>
        <w:tab/>
      </w:r>
      <w:r w:rsidR="007C1E94">
        <w:rPr>
          <w:rFonts w:cs="Calibri"/>
          <w:b/>
        </w:rPr>
        <w:tab/>
      </w:r>
      <w:r w:rsidR="007C1E94">
        <w:rPr>
          <w:rFonts w:cs="Calibri"/>
          <w:b/>
        </w:rPr>
        <w:tab/>
      </w:r>
      <w:r w:rsidR="008A00DD">
        <w:rPr>
          <w:rFonts w:cs="Calibri"/>
          <w:bCs/>
        </w:rPr>
        <w:t>XXX</w:t>
      </w:r>
      <w:r w:rsidR="007C1E94" w:rsidRPr="007C1E94">
        <w:rPr>
          <w:rFonts w:cs="Calibri"/>
          <w:bCs/>
        </w:rPr>
        <w:t> </w:t>
      </w:r>
    </w:p>
    <w:p w14:paraId="7B6D2E4E" w14:textId="7D22408F" w:rsidR="00552AD5" w:rsidRPr="00DE7E72" w:rsidRDefault="00E52CB0">
      <w:pPr>
        <w:spacing w:after="0" w:line="312" w:lineRule="auto"/>
        <w:rPr>
          <w:rFonts w:cs="Calibri"/>
          <w:bCs/>
        </w:rPr>
      </w:pPr>
      <w:r>
        <w:rPr>
          <w:rFonts w:cs="Calibri"/>
        </w:rPr>
        <w:t>kontaktní osoba ve věci smlouvy:</w:t>
      </w:r>
      <w:r w:rsidR="00DE7E72">
        <w:rPr>
          <w:rFonts w:cs="Calibri"/>
        </w:rPr>
        <w:t xml:space="preserve"> </w:t>
      </w:r>
      <w:r w:rsidR="007C1E94" w:rsidRPr="00DE7E72">
        <w:rPr>
          <w:rFonts w:cs="Calibri"/>
          <w:bCs/>
        </w:rPr>
        <w:t>Igor Stonawski</w:t>
      </w:r>
    </w:p>
    <w:p w14:paraId="26965EF9" w14:textId="55429271" w:rsidR="00552AD5" w:rsidRPr="00DE7E72" w:rsidRDefault="00E52CB0">
      <w:pPr>
        <w:spacing w:after="0" w:line="312" w:lineRule="auto"/>
        <w:rPr>
          <w:rFonts w:cs="Calibri"/>
          <w:bCs/>
        </w:rPr>
      </w:pPr>
      <w:r w:rsidRPr="00DE7E72">
        <w:rPr>
          <w:rFonts w:cs="Calibri"/>
          <w:bCs/>
        </w:rPr>
        <w:t>telefon:</w:t>
      </w:r>
      <w:r w:rsidR="00BA5D9A" w:rsidRPr="00DE7E72">
        <w:rPr>
          <w:rFonts w:cs="Calibri"/>
          <w:bCs/>
        </w:rPr>
        <w:t xml:space="preserve"> </w:t>
      </w:r>
      <w:r w:rsidR="00BA5D9A" w:rsidRPr="00DE7E72">
        <w:rPr>
          <w:rFonts w:cs="Calibri"/>
          <w:bCs/>
        </w:rPr>
        <w:tab/>
      </w:r>
      <w:r w:rsidR="00BA5D9A" w:rsidRPr="00DE7E72">
        <w:rPr>
          <w:rFonts w:cs="Calibri"/>
          <w:bCs/>
        </w:rPr>
        <w:tab/>
      </w:r>
      <w:r w:rsidR="008A00DD">
        <w:rPr>
          <w:rFonts w:cs="Calibri"/>
          <w:bCs/>
        </w:rPr>
        <w:t>XXX</w:t>
      </w:r>
    </w:p>
    <w:p w14:paraId="71C63B04" w14:textId="639B96BC" w:rsidR="00552AD5" w:rsidRDefault="00E52CB0">
      <w:pPr>
        <w:spacing w:after="0" w:line="312" w:lineRule="auto"/>
        <w:rPr>
          <w:rFonts w:cs="Calibri"/>
          <w:i/>
        </w:rPr>
      </w:pPr>
      <w:r>
        <w:rPr>
          <w:rFonts w:cs="Calibri"/>
        </w:rPr>
        <w:t>e-mail:</w:t>
      </w:r>
      <w:r>
        <w:rPr>
          <w:rFonts w:cs="Calibri"/>
        </w:rPr>
        <w:tab/>
      </w:r>
      <w:r>
        <w:rPr>
          <w:rFonts w:cs="Calibri"/>
        </w:rPr>
        <w:tab/>
      </w:r>
      <w:r w:rsidR="00DE7E72">
        <w:rPr>
          <w:rFonts w:cs="Calibri"/>
        </w:rPr>
        <w:tab/>
      </w:r>
      <w:r w:rsidR="008A00DD">
        <w:t>XXX</w:t>
      </w:r>
    </w:p>
    <w:p w14:paraId="5CD2EA02" w14:textId="77777777" w:rsidR="00552AD5" w:rsidRDefault="00E52CB0">
      <w:pPr>
        <w:spacing w:after="0" w:line="360" w:lineRule="auto"/>
        <w:ind w:left="1843" w:hanging="1843"/>
        <w:jc w:val="left"/>
        <w:rPr>
          <w:rFonts w:cs="Calibri"/>
          <w:i/>
        </w:rPr>
      </w:pPr>
      <w:r>
        <w:rPr>
          <w:rFonts w:cs="Calibri"/>
          <w:i/>
        </w:rPr>
        <w:t>(dále jen „poskytovatel“)</w:t>
      </w:r>
    </w:p>
    <w:p w14:paraId="22683BC0" w14:textId="77777777" w:rsidR="00552AD5" w:rsidRDefault="00E52CB0">
      <w:pPr>
        <w:suppressAutoHyphens w:val="0"/>
        <w:spacing w:after="0" w:line="240" w:lineRule="auto"/>
        <w:jc w:val="left"/>
        <w:rPr>
          <w:rFonts w:cs="Calibri"/>
          <w:i/>
        </w:rPr>
      </w:pPr>
      <w:r>
        <w:br w:type="page"/>
      </w:r>
    </w:p>
    <w:p w14:paraId="13C8F33E" w14:textId="77777777" w:rsidR="00552AD5" w:rsidRDefault="00552AD5">
      <w:pPr>
        <w:suppressAutoHyphens w:val="0"/>
        <w:spacing w:after="0" w:line="240" w:lineRule="auto"/>
        <w:jc w:val="left"/>
        <w:rPr>
          <w:rFonts w:cs="Calibri"/>
          <w:i/>
        </w:rPr>
      </w:pPr>
    </w:p>
    <w:sdt>
      <w:sdtPr>
        <w:id w:val="-1987692446"/>
        <w:docPartObj>
          <w:docPartGallery w:val="Table of Contents"/>
          <w:docPartUnique/>
        </w:docPartObj>
      </w:sdtPr>
      <w:sdtEndPr/>
      <w:sdtContent>
        <w:p w14:paraId="178F1AB9" w14:textId="2DF49AF8" w:rsidR="002655F1" w:rsidRDefault="00E52CB0">
          <w:pPr>
            <w:pStyle w:val="Obsah1"/>
            <w:rPr>
              <w:rFonts w:asciiTheme="minorHAnsi" w:eastAsiaTheme="minorEastAsia" w:hAnsiTheme="minorHAnsi" w:cstheme="minorBidi"/>
              <w:noProof/>
              <w:kern w:val="2"/>
              <w:sz w:val="24"/>
              <w:szCs w:val="24"/>
              <w:lang w:eastAsia="cs-CZ"/>
              <w14:ligatures w14:val="standardContextual"/>
            </w:rPr>
          </w:pPr>
          <w:r>
            <w:fldChar w:fldCharType="begin"/>
          </w:r>
          <w:r>
            <w:rPr>
              <w:rStyle w:val="Odkaznarejstk"/>
            </w:rPr>
            <w:instrText xml:space="preserve"> TOC \z \o "1-2" \u \h</w:instrText>
          </w:r>
          <w:r>
            <w:rPr>
              <w:rStyle w:val="Odkaznarejstk"/>
            </w:rPr>
            <w:fldChar w:fldCharType="separate"/>
          </w:r>
          <w:hyperlink w:anchor="_Toc230001164" w:history="1">
            <w:r w:rsidR="002655F1" w:rsidRPr="00773FDE">
              <w:rPr>
                <w:rStyle w:val="Hypertextovodkaz"/>
                <w:noProof/>
              </w:rPr>
              <w:t>Čl. 1.</w:t>
            </w:r>
            <w:r w:rsidR="002655F1">
              <w:rPr>
                <w:rFonts w:asciiTheme="minorHAnsi" w:eastAsiaTheme="minorEastAsia" w:hAnsiTheme="minorHAnsi" w:cstheme="minorBidi"/>
                <w:noProof/>
                <w:kern w:val="2"/>
                <w:sz w:val="24"/>
                <w:szCs w:val="24"/>
                <w:lang w:eastAsia="cs-CZ"/>
                <w14:ligatures w14:val="standardContextual"/>
              </w:rPr>
              <w:tab/>
            </w:r>
            <w:r w:rsidR="002655F1" w:rsidRPr="00773FDE">
              <w:rPr>
                <w:rStyle w:val="Hypertextovodkaz"/>
                <w:noProof/>
              </w:rPr>
              <w:t>Smluvní strany</w:t>
            </w:r>
            <w:r w:rsidR="002655F1">
              <w:rPr>
                <w:noProof/>
                <w:webHidden/>
              </w:rPr>
              <w:tab/>
            </w:r>
            <w:r w:rsidR="002655F1">
              <w:rPr>
                <w:noProof/>
                <w:webHidden/>
              </w:rPr>
              <w:fldChar w:fldCharType="begin"/>
            </w:r>
            <w:r w:rsidR="002655F1">
              <w:rPr>
                <w:noProof/>
                <w:webHidden/>
              </w:rPr>
              <w:instrText xml:space="preserve"> PAGEREF _Toc230001164 \h </w:instrText>
            </w:r>
            <w:r w:rsidR="002655F1">
              <w:rPr>
                <w:noProof/>
                <w:webHidden/>
              </w:rPr>
            </w:r>
            <w:r w:rsidR="002655F1">
              <w:rPr>
                <w:noProof/>
                <w:webHidden/>
              </w:rPr>
              <w:fldChar w:fldCharType="separate"/>
            </w:r>
            <w:r w:rsidR="0090184E">
              <w:rPr>
                <w:noProof/>
                <w:webHidden/>
              </w:rPr>
              <w:t>1</w:t>
            </w:r>
            <w:r w:rsidR="002655F1">
              <w:rPr>
                <w:noProof/>
                <w:webHidden/>
              </w:rPr>
              <w:fldChar w:fldCharType="end"/>
            </w:r>
          </w:hyperlink>
        </w:p>
        <w:p w14:paraId="6800F469" w14:textId="28F73AFD"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65" w:history="1">
            <w:r w:rsidRPr="00773FDE">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Město Jindřichův Hradec</w:t>
            </w:r>
            <w:r>
              <w:rPr>
                <w:noProof/>
                <w:webHidden/>
              </w:rPr>
              <w:tab/>
            </w:r>
            <w:r>
              <w:rPr>
                <w:noProof/>
                <w:webHidden/>
              </w:rPr>
              <w:fldChar w:fldCharType="begin"/>
            </w:r>
            <w:r>
              <w:rPr>
                <w:noProof/>
                <w:webHidden/>
              </w:rPr>
              <w:instrText xml:space="preserve"> PAGEREF _Toc230001165 \h </w:instrText>
            </w:r>
            <w:r>
              <w:rPr>
                <w:noProof/>
                <w:webHidden/>
              </w:rPr>
            </w:r>
            <w:r>
              <w:rPr>
                <w:noProof/>
                <w:webHidden/>
              </w:rPr>
              <w:fldChar w:fldCharType="separate"/>
            </w:r>
            <w:r w:rsidR="0090184E">
              <w:rPr>
                <w:noProof/>
                <w:webHidden/>
              </w:rPr>
              <w:t>1</w:t>
            </w:r>
            <w:r>
              <w:rPr>
                <w:noProof/>
                <w:webHidden/>
              </w:rPr>
              <w:fldChar w:fldCharType="end"/>
            </w:r>
          </w:hyperlink>
        </w:p>
        <w:p w14:paraId="07AD4BBF" w14:textId="78E8B609"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66" w:history="1">
            <w:r w:rsidRPr="00773FDE">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DATASYS s.r.o.</w:t>
            </w:r>
            <w:r>
              <w:rPr>
                <w:noProof/>
                <w:webHidden/>
              </w:rPr>
              <w:tab/>
            </w:r>
            <w:r>
              <w:rPr>
                <w:noProof/>
                <w:webHidden/>
              </w:rPr>
              <w:fldChar w:fldCharType="begin"/>
            </w:r>
            <w:r>
              <w:rPr>
                <w:noProof/>
                <w:webHidden/>
              </w:rPr>
              <w:instrText xml:space="preserve"> PAGEREF _Toc230001166 \h </w:instrText>
            </w:r>
            <w:r>
              <w:rPr>
                <w:noProof/>
                <w:webHidden/>
              </w:rPr>
            </w:r>
            <w:r>
              <w:rPr>
                <w:noProof/>
                <w:webHidden/>
              </w:rPr>
              <w:fldChar w:fldCharType="separate"/>
            </w:r>
            <w:r w:rsidR="0090184E">
              <w:rPr>
                <w:noProof/>
                <w:webHidden/>
              </w:rPr>
              <w:t>1</w:t>
            </w:r>
            <w:r>
              <w:rPr>
                <w:noProof/>
                <w:webHidden/>
              </w:rPr>
              <w:fldChar w:fldCharType="end"/>
            </w:r>
          </w:hyperlink>
        </w:p>
        <w:p w14:paraId="1E3F8B92" w14:textId="1541A9EB"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67" w:history="1">
            <w:r w:rsidRPr="00773FDE">
              <w:rPr>
                <w:rStyle w:val="Hypertextovodkaz"/>
                <w:noProof/>
              </w:rPr>
              <w:t>Čl. 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Předmět smlouvy</w:t>
            </w:r>
            <w:r>
              <w:rPr>
                <w:noProof/>
                <w:webHidden/>
              </w:rPr>
              <w:tab/>
            </w:r>
            <w:r>
              <w:rPr>
                <w:noProof/>
                <w:webHidden/>
              </w:rPr>
              <w:fldChar w:fldCharType="begin"/>
            </w:r>
            <w:r>
              <w:rPr>
                <w:noProof/>
                <w:webHidden/>
              </w:rPr>
              <w:instrText xml:space="preserve"> PAGEREF _Toc230001167 \h </w:instrText>
            </w:r>
            <w:r>
              <w:rPr>
                <w:noProof/>
                <w:webHidden/>
              </w:rPr>
            </w:r>
            <w:r>
              <w:rPr>
                <w:noProof/>
                <w:webHidden/>
              </w:rPr>
              <w:fldChar w:fldCharType="separate"/>
            </w:r>
            <w:r w:rsidR="0090184E">
              <w:rPr>
                <w:noProof/>
                <w:webHidden/>
              </w:rPr>
              <w:t>3</w:t>
            </w:r>
            <w:r>
              <w:rPr>
                <w:noProof/>
                <w:webHidden/>
              </w:rPr>
              <w:fldChar w:fldCharType="end"/>
            </w:r>
          </w:hyperlink>
        </w:p>
        <w:p w14:paraId="06DA27D3" w14:textId="5D66FE2E"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68" w:history="1">
            <w:r w:rsidRPr="00773FDE">
              <w:rPr>
                <w:rStyle w:val="Hypertextovodkaz"/>
                <w:noProof/>
              </w:rPr>
              <w:t>2.2.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Vzdálený přístup do prostředí objednatele</w:t>
            </w:r>
            <w:r>
              <w:rPr>
                <w:noProof/>
                <w:webHidden/>
              </w:rPr>
              <w:tab/>
            </w:r>
            <w:r>
              <w:rPr>
                <w:noProof/>
                <w:webHidden/>
              </w:rPr>
              <w:fldChar w:fldCharType="begin"/>
            </w:r>
            <w:r>
              <w:rPr>
                <w:noProof/>
                <w:webHidden/>
              </w:rPr>
              <w:instrText xml:space="preserve"> PAGEREF _Toc230001168 \h </w:instrText>
            </w:r>
            <w:r>
              <w:rPr>
                <w:noProof/>
                <w:webHidden/>
              </w:rPr>
            </w:r>
            <w:r>
              <w:rPr>
                <w:noProof/>
                <w:webHidden/>
              </w:rPr>
              <w:fldChar w:fldCharType="separate"/>
            </w:r>
            <w:r w:rsidR="0090184E">
              <w:rPr>
                <w:noProof/>
                <w:webHidden/>
              </w:rPr>
              <w:t>4</w:t>
            </w:r>
            <w:r>
              <w:rPr>
                <w:noProof/>
                <w:webHidden/>
              </w:rPr>
              <w:fldChar w:fldCharType="end"/>
            </w:r>
          </w:hyperlink>
        </w:p>
        <w:p w14:paraId="7A367D93" w14:textId="40E846C4"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69" w:history="1">
            <w:r w:rsidRPr="00773FDE">
              <w:rPr>
                <w:rStyle w:val="Hypertextovodkaz"/>
                <w:noProof/>
              </w:rPr>
              <w:t>Čl. 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Doba trvání smlouvy</w:t>
            </w:r>
            <w:r>
              <w:rPr>
                <w:noProof/>
                <w:webHidden/>
              </w:rPr>
              <w:tab/>
            </w:r>
            <w:r>
              <w:rPr>
                <w:noProof/>
                <w:webHidden/>
              </w:rPr>
              <w:fldChar w:fldCharType="begin"/>
            </w:r>
            <w:r>
              <w:rPr>
                <w:noProof/>
                <w:webHidden/>
              </w:rPr>
              <w:instrText xml:space="preserve"> PAGEREF _Toc230001169 \h </w:instrText>
            </w:r>
            <w:r>
              <w:rPr>
                <w:noProof/>
                <w:webHidden/>
              </w:rPr>
            </w:r>
            <w:r>
              <w:rPr>
                <w:noProof/>
                <w:webHidden/>
              </w:rPr>
              <w:fldChar w:fldCharType="separate"/>
            </w:r>
            <w:r w:rsidR="0090184E">
              <w:rPr>
                <w:noProof/>
                <w:webHidden/>
              </w:rPr>
              <w:t>4</w:t>
            </w:r>
            <w:r>
              <w:rPr>
                <w:noProof/>
                <w:webHidden/>
              </w:rPr>
              <w:fldChar w:fldCharType="end"/>
            </w:r>
          </w:hyperlink>
        </w:p>
        <w:p w14:paraId="177C6BE3" w14:textId="6938CA8E"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0" w:history="1">
            <w:r w:rsidRPr="00773FDE">
              <w:rPr>
                <w:rStyle w:val="Hypertextovodkaz"/>
                <w:noProof/>
              </w:rPr>
              <w:t>Čl. 4.</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Místo plnění</w:t>
            </w:r>
            <w:r>
              <w:rPr>
                <w:noProof/>
                <w:webHidden/>
              </w:rPr>
              <w:tab/>
            </w:r>
            <w:r>
              <w:rPr>
                <w:noProof/>
                <w:webHidden/>
              </w:rPr>
              <w:fldChar w:fldCharType="begin"/>
            </w:r>
            <w:r>
              <w:rPr>
                <w:noProof/>
                <w:webHidden/>
              </w:rPr>
              <w:instrText xml:space="preserve"> PAGEREF _Toc230001170 \h </w:instrText>
            </w:r>
            <w:r>
              <w:rPr>
                <w:noProof/>
                <w:webHidden/>
              </w:rPr>
            </w:r>
            <w:r>
              <w:rPr>
                <w:noProof/>
                <w:webHidden/>
              </w:rPr>
              <w:fldChar w:fldCharType="separate"/>
            </w:r>
            <w:r w:rsidR="0090184E">
              <w:rPr>
                <w:noProof/>
                <w:webHidden/>
              </w:rPr>
              <w:t>4</w:t>
            </w:r>
            <w:r>
              <w:rPr>
                <w:noProof/>
                <w:webHidden/>
              </w:rPr>
              <w:fldChar w:fldCharType="end"/>
            </w:r>
          </w:hyperlink>
        </w:p>
        <w:p w14:paraId="1B43A421" w14:textId="4B3DFA72"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1" w:history="1">
            <w:r w:rsidRPr="00773FDE">
              <w:rPr>
                <w:rStyle w:val="Hypertextovodkaz"/>
                <w:noProof/>
              </w:rPr>
              <w:t>Čl. 5.</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Cena a platební podmínky</w:t>
            </w:r>
            <w:r>
              <w:rPr>
                <w:noProof/>
                <w:webHidden/>
              </w:rPr>
              <w:tab/>
            </w:r>
            <w:r>
              <w:rPr>
                <w:noProof/>
                <w:webHidden/>
              </w:rPr>
              <w:fldChar w:fldCharType="begin"/>
            </w:r>
            <w:r>
              <w:rPr>
                <w:noProof/>
                <w:webHidden/>
              </w:rPr>
              <w:instrText xml:space="preserve"> PAGEREF _Toc230001171 \h </w:instrText>
            </w:r>
            <w:r>
              <w:rPr>
                <w:noProof/>
                <w:webHidden/>
              </w:rPr>
            </w:r>
            <w:r>
              <w:rPr>
                <w:noProof/>
                <w:webHidden/>
              </w:rPr>
              <w:fldChar w:fldCharType="separate"/>
            </w:r>
            <w:r w:rsidR="0090184E">
              <w:rPr>
                <w:noProof/>
                <w:webHidden/>
              </w:rPr>
              <w:t>4</w:t>
            </w:r>
            <w:r>
              <w:rPr>
                <w:noProof/>
                <w:webHidden/>
              </w:rPr>
              <w:fldChar w:fldCharType="end"/>
            </w:r>
          </w:hyperlink>
        </w:p>
        <w:p w14:paraId="0CFC5677" w14:textId="4301BCE5"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72" w:history="1">
            <w:r w:rsidRPr="00773FDE">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Správa IT infrastruktury</w:t>
            </w:r>
            <w:r>
              <w:rPr>
                <w:noProof/>
                <w:webHidden/>
              </w:rPr>
              <w:tab/>
            </w:r>
            <w:r>
              <w:rPr>
                <w:noProof/>
                <w:webHidden/>
              </w:rPr>
              <w:fldChar w:fldCharType="begin"/>
            </w:r>
            <w:r>
              <w:rPr>
                <w:noProof/>
                <w:webHidden/>
              </w:rPr>
              <w:instrText xml:space="preserve"> PAGEREF _Toc230001172 \h </w:instrText>
            </w:r>
            <w:r>
              <w:rPr>
                <w:noProof/>
                <w:webHidden/>
              </w:rPr>
            </w:r>
            <w:r>
              <w:rPr>
                <w:noProof/>
                <w:webHidden/>
              </w:rPr>
              <w:fldChar w:fldCharType="separate"/>
            </w:r>
            <w:r w:rsidR="0090184E">
              <w:rPr>
                <w:noProof/>
                <w:webHidden/>
              </w:rPr>
              <w:t>6</w:t>
            </w:r>
            <w:r>
              <w:rPr>
                <w:noProof/>
                <w:webHidden/>
              </w:rPr>
              <w:fldChar w:fldCharType="end"/>
            </w:r>
          </w:hyperlink>
        </w:p>
        <w:p w14:paraId="478DC9DA" w14:textId="24E91200"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73" w:history="1">
            <w:r w:rsidRPr="00773FDE">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Podpora IT infrastruktury</w:t>
            </w:r>
            <w:r>
              <w:rPr>
                <w:noProof/>
                <w:webHidden/>
              </w:rPr>
              <w:tab/>
            </w:r>
            <w:r>
              <w:rPr>
                <w:noProof/>
                <w:webHidden/>
              </w:rPr>
              <w:fldChar w:fldCharType="begin"/>
            </w:r>
            <w:r>
              <w:rPr>
                <w:noProof/>
                <w:webHidden/>
              </w:rPr>
              <w:instrText xml:space="preserve"> PAGEREF _Toc230001173 \h </w:instrText>
            </w:r>
            <w:r>
              <w:rPr>
                <w:noProof/>
                <w:webHidden/>
              </w:rPr>
            </w:r>
            <w:r>
              <w:rPr>
                <w:noProof/>
                <w:webHidden/>
              </w:rPr>
              <w:fldChar w:fldCharType="separate"/>
            </w:r>
            <w:r w:rsidR="0090184E">
              <w:rPr>
                <w:noProof/>
                <w:webHidden/>
              </w:rPr>
              <w:t>6</w:t>
            </w:r>
            <w:r>
              <w:rPr>
                <w:noProof/>
                <w:webHidden/>
              </w:rPr>
              <w:fldChar w:fldCharType="end"/>
            </w:r>
          </w:hyperlink>
        </w:p>
        <w:p w14:paraId="258599FF" w14:textId="50AAB40C"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74" w:history="1">
            <w:r w:rsidRPr="00773FDE">
              <w:rPr>
                <w:rStyle w:val="Hypertextovodkaz"/>
                <w:noProof/>
              </w:rPr>
              <w:t>5.4.</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Změna cen z důvodu inflace</w:t>
            </w:r>
            <w:r>
              <w:rPr>
                <w:noProof/>
                <w:webHidden/>
              </w:rPr>
              <w:tab/>
            </w:r>
            <w:r>
              <w:rPr>
                <w:noProof/>
                <w:webHidden/>
              </w:rPr>
              <w:fldChar w:fldCharType="begin"/>
            </w:r>
            <w:r>
              <w:rPr>
                <w:noProof/>
                <w:webHidden/>
              </w:rPr>
              <w:instrText xml:space="preserve"> PAGEREF _Toc230001174 \h </w:instrText>
            </w:r>
            <w:r>
              <w:rPr>
                <w:noProof/>
                <w:webHidden/>
              </w:rPr>
            </w:r>
            <w:r>
              <w:rPr>
                <w:noProof/>
                <w:webHidden/>
              </w:rPr>
              <w:fldChar w:fldCharType="separate"/>
            </w:r>
            <w:r w:rsidR="0090184E">
              <w:rPr>
                <w:noProof/>
                <w:webHidden/>
              </w:rPr>
              <w:t>6</w:t>
            </w:r>
            <w:r>
              <w:rPr>
                <w:noProof/>
                <w:webHidden/>
              </w:rPr>
              <w:fldChar w:fldCharType="end"/>
            </w:r>
          </w:hyperlink>
        </w:p>
        <w:p w14:paraId="11719166" w14:textId="44ED7896"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75" w:history="1">
            <w:r w:rsidRPr="00773FDE">
              <w:rPr>
                <w:rStyle w:val="Hypertextovodkaz"/>
                <w:noProof/>
              </w:rPr>
              <w:t>5.5.</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Změna cen správy IT infrastruktury z důvodu změny rozsahu</w:t>
            </w:r>
            <w:r>
              <w:rPr>
                <w:noProof/>
                <w:webHidden/>
              </w:rPr>
              <w:tab/>
            </w:r>
            <w:r>
              <w:rPr>
                <w:noProof/>
                <w:webHidden/>
              </w:rPr>
              <w:fldChar w:fldCharType="begin"/>
            </w:r>
            <w:r>
              <w:rPr>
                <w:noProof/>
                <w:webHidden/>
              </w:rPr>
              <w:instrText xml:space="preserve"> PAGEREF _Toc230001175 \h </w:instrText>
            </w:r>
            <w:r>
              <w:rPr>
                <w:noProof/>
                <w:webHidden/>
              </w:rPr>
            </w:r>
            <w:r>
              <w:rPr>
                <w:noProof/>
                <w:webHidden/>
              </w:rPr>
              <w:fldChar w:fldCharType="separate"/>
            </w:r>
            <w:r w:rsidR="0090184E">
              <w:rPr>
                <w:noProof/>
                <w:webHidden/>
              </w:rPr>
              <w:t>7</w:t>
            </w:r>
            <w:r>
              <w:rPr>
                <w:noProof/>
                <w:webHidden/>
              </w:rPr>
              <w:fldChar w:fldCharType="end"/>
            </w:r>
          </w:hyperlink>
        </w:p>
        <w:p w14:paraId="4CE3ADA7" w14:textId="2F3B55FD"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6" w:history="1">
            <w:r w:rsidRPr="00773FDE">
              <w:rPr>
                <w:rStyle w:val="Hypertextovodkaz"/>
                <w:noProof/>
              </w:rPr>
              <w:t>Čl. 6.</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Odstoupení od smlouvy</w:t>
            </w:r>
            <w:r>
              <w:rPr>
                <w:noProof/>
                <w:webHidden/>
              </w:rPr>
              <w:tab/>
            </w:r>
            <w:r>
              <w:rPr>
                <w:noProof/>
                <w:webHidden/>
              </w:rPr>
              <w:fldChar w:fldCharType="begin"/>
            </w:r>
            <w:r>
              <w:rPr>
                <w:noProof/>
                <w:webHidden/>
              </w:rPr>
              <w:instrText xml:space="preserve"> PAGEREF _Toc230001176 \h </w:instrText>
            </w:r>
            <w:r>
              <w:rPr>
                <w:noProof/>
                <w:webHidden/>
              </w:rPr>
            </w:r>
            <w:r>
              <w:rPr>
                <w:noProof/>
                <w:webHidden/>
              </w:rPr>
              <w:fldChar w:fldCharType="separate"/>
            </w:r>
            <w:r w:rsidR="0090184E">
              <w:rPr>
                <w:noProof/>
                <w:webHidden/>
              </w:rPr>
              <w:t>7</w:t>
            </w:r>
            <w:r>
              <w:rPr>
                <w:noProof/>
                <w:webHidden/>
              </w:rPr>
              <w:fldChar w:fldCharType="end"/>
            </w:r>
          </w:hyperlink>
        </w:p>
        <w:p w14:paraId="5589B0F7" w14:textId="535C1180"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7" w:history="1">
            <w:r w:rsidRPr="00773FDE">
              <w:rPr>
                <w:rStyle w:val="Hypertextovodkaz"/>
                <w:noProof/>
              </w:rPr>
              <w:t>Čl. 7.</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Mlčenlivost</w:t>
            </w:r>
            <w:r>
              <w:rPr>
                <w:noProof/>
                <w:webHidden/>
              </w:rPr>
              <w:tab/>
            </w:r>
            <w:r>
              <w:rPr>
                <w:noProof/>
                <w:webHidden/>
              </w:rPr>
              <w:fldChar w:fldCharType="begin"/>
            </w:r>
            <w:r>
              <w:rPr>
                <w:noProof/>
                <w:webHidden/>
              </w:rPr>
              <w:instrText xml:space="preserve"> PAGEREF _Toc230001177 \h </w:instrText>
            </w:r>
            <w:r>
              <w:rPr>
                <w:noProof/>
                <w:webHidden/>
              </w:rPr>
            </w:r>
            <w:r>
              <w:rPr>
                <w:noProof/>
                <w:webHidden/>
              </w:rPr>
              <w:fldChar w:fldCharType="separate"/>
            </w:r>
            <w:r w:rsidR="0090184E">
              <w:rPr>
                <w:noProof/>
                <w:webHidden/>
              </w:rPr>
              <w:t>8</w:t>
            </w:r>
            <w:r>
              <w:rPr>
                <w:noProof/>
                <w:webHidden/>
              </w:rPr>
              <w:fldChar w:fldCharType="end"/>
            </w:r>
          </w:hyperlink>
        </w:p>
        <w:p w14:paraId="1E56D0A5" w14:textId="51F9B9D2"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8" w:history="1">
            <w:r w:rsidRPr="00773FDE">
              <w:rPr>
                <w:rStyle w:val="Hypertextovodkaz"/>
                <w:noProof/>
              </w:rPr>
              <w:t>Čl. 8.</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Prohlášení a odpovědnost poskytovatele</w:t>
            </w:r>
            <w:r>
              <w:rPr>
                <w:noProof/>
                <w:webHidden/>
              </w:rPr>
              <w:tab/>
            </w:r>
            <w:r>
              <w:rPr>
                <w:noProof/>
                <w:webHidden/>
              </w:rPr>
              <w:fldChar w:fldCharType="begin"/>
            </w:r>
            <w:r>
              <w:rPr>
                <w:noProof/>
                <w:webHidden/>
              </w:rPr>
              <w:instrText xml:space="preserve"> PAGEREF _Toc230001178 \h </w:instrText>
            </w:r>
            <w:r>
              <w:rPr>
                <w:noProof/>
                <w:webHidden/>
              </w:rPr>
            </w:r>
            <w:r>
              <w:rPr>
                <w:noProof/>
                <w:webHidden/>
              </w:rPr>
              <w:fldChar w:fldCharType="separate"/>
            </w:r>
            <w:r w:rsidR="0090184E">
              <w:rPr>
                <w:noProof/>
                <w:webHidden/>
              </w:rPr>
              <w:t>8</w:t>
            </w:r>
            <w:r>
              <w:rPr>
                <w:noProof/>
                <w:webHidden/>
              </w:rPr>
              <w:fldChar w:fldCharType="end"/>
            </w:r>
          </w:hyperlink>
        </w:p>
        <w:p w14:paraId="038F066A" w14:textId="4FB13227"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79" w:history="1">
            <w:r w:rsidRPr="00773FDE">
              <w:rPr>
                <w:rStyle w:val="Hypertextovodkaz"/>
                <w:noProof/>
              </w:rPr>
              <w:t>Čl. 9.</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Odpovědnost za škodu</w:t>
            </w:r>
            <w:r>
              <w:rPr>
                <w:noProof/>
                <w:webHidden/>
              </w:rPr>
              <w:tab/>
            </w:r>
            <w:r>
              <w:rPr>
                <w:noProof/>
                <w:webHidden/>
              </w:rPr>
              <w:fldChar w:fldCharType="begin"/>
            </w:r>
            <w:r>
              <w:rPr>
                <w:noProof/>
                <w:webHidden/>
              </w:rPr>
              <w:instrText xml:space="preserve"> PAGEREF _Toc230001179 \h </w:instrText>
            </w:r>
            <w:r>
              <w:rPr>
                <w:noProof/>
                <w:webHidden/>
              </w:rPr>
            </w:r>
            <w:r>
              <w:rPr>
                <w:noProof/>
                <w:webHidden/>
              </w:rPr>
              <w:fldChar w:fldCharType="separate"/>
            </w:r>
            <w:r w:rsidR="0090184E">
              <w:rPr>
                <w:noProof/>
                <w:webHidden/>
              </w:rPr>
              <w:t>9</w:t>
            </w:r>
            <w:r>
              <w:rPr>
                <w:noProof/>
                <w:webHidden/>
              </w:rPr>
              <w:fldChar w:fldCharType="end"/>
            </w:r>
          </w:hyperlink>
        </w:p>
        <w:p w14:paraId="20F5B407" w14:textId="68AD11A3"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0" w:history="1">
            <w:r w:rsidRPr="00773FDE">
              <w:rPr>
                <w:rStyle w:val="Hypertextovodkaz"/>
                <w:noProof/>
              </w:rPr>
              <w:t>Čl. 10.</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Pojištění poskytovatele služeb podle této smlouvy</w:t>
            </w:r>
            <w:r>
              <w:rPr>
                <w:noProof/>
                <w:webHidden/>
              </w:rPr>
              <w:tab/>
            </w:r>
            <w:r>
              <w:rPr>
                <w:noProof/>
                <w:webHidden/>
              </w:rPr>
              <w:fldChar w:fldCharType="begin"/>
            </w:r>
            <w:r>
              <w:rPr>
                <w:noProof/>
                <w:webHidden/>
              </w:rPr>
              <w:instrText xml:space="preserve"> PAGEREF _Toc230001180 \h </w:instrText>
            </w:r>
            <w:r>
              <w:rPr>
                <w:noProof/>
                <w:webHidden/>
              </w:rPr>
            </w:r>
            <w:r>
              <w:rPr>
                <w:noProof/>
                <w:webHidden/>
              </w:rPr>
              <w:fldChar w:fldCharType="separate"/>
            </w:r>
            <w:r w:rsidR="0090184E">
              <w:rPr>
                <w:noProof/>
                <w:webHidden/>
              </w:rPr>
              <w:t>9</w:t>
            </w:r>
            <w:r>
              <w:rPr>
                <w:noProof/>
                <w:webHidden/>
              </w:rPr>
              <w:fldChar w:fldCharType="end"/>
            </w:r>
          </w:hyperlink>
        </w:p>
        <w:p w14:paraId="0D0827C5" w14:textId="2A588C49"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1" w:history="1">
            <w:r w:rsidRPr="00773FDE">
              <w:rPr>
                <w:rStyle w:val="Hypertextovodkaz"/>
                <w:noProof/>
              </w:rPr>
              <w:t>Čl. 11.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Role kontaktních osob</w:t>
            </w:r>
            <w:r>
              <w:rPr>
                <w:noProof/>
                <w:webHidden/>
              </w:rPr>
              <w:tab/>
            </w:r>
            <w:r>
              <w:rPr>
                <w:noProof/>
                <w:webHidden/>
              </w:rPr>
              <w:fldChar w:fldCharType="begin"/>
            </w:r>
            <w:r>
              <w:rPr>
                <w:noProof/>
                <w:webHidden/>
              </w:rPr>
              <w:instrText xml:space="preserve"> PAGEREF _Toc230001181 \h </w:instrText>
            </w:r>
            <w:r>
              <w:rPr>
                <w:noProof/>
                <w:webHidden/>
              </w:rPr>
            </w:r>
            <w:r>
              <w:rPr>
                <w:noProof/>
                <w:webHidden/>
              </w:rPr>
              <w:fldChar w:fldCharType="separate"/>
            </w:r>
            <w:r w:rsidR="0090184E">
              <w:rPr>
                <w:noProof/>
                <w:webHidden/>
              </w:rPr>
              <w:t>9</w:t>
            </w:r>
            <w:r>
              <w:rPr>
                <w:noProof/>
                <w:webHidden/>
              </w:rPr>
              <w:fldChar w:fldCharType="end"/>
            </w:r>
          </w:hyperlink>
        </w:p>
        <w:p w14:paraId="0CEA5F07" w14:textId="0C4F7819"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82" w:history="1">
            <w:r w:rsidRPr="00773FDE">
              <w:rPr>
                <w:rStyle w:val="Hypertextovodkaz"/>
                <w:noProof/>
              </w:rPr>
              <w:t>11.1.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Kontaktní osoby</w:t>
            </w:r>
            <w:r>
              <w:rPr>
                <w:noProof/>
                <w:webHidden/>
              </w:rPr>
              <w:tab/>
            </w:r>
            <w:r>
              <w:rPr>
                <w:noProof/>
                <w:webHidden/>
              </w:rPr>
              <w:fldChar w:fldCharType="begin"/>
            </w:r>
            <w:r>
              <w:rPr>
                <w:noProof/>
                <w:webHidden/>
              </w:rPr>
              <w:instrText xml:space="preserve"> PAGEREF _Toc230001182 \h </w:instrText>
            </w:r>
            <w:r>
              <w:rPr>
                <w:noProof/>
                <w:webHidden/>
              </w:rPr>
            </w:r>
            <w:r>
              <w:rPr>
                <w:noProof/>
                <w:webHidden/>
              </w:rPr>
              <w:fldChar w:fldCharType="separate"/>
            </w:r>
            <w:r w:rsidR="0090184E">
              <w:rPr>
                <w:noProof/>
                <w:webHidden/>
              </w:rPr>
              <w:t>9</w:t>
            </w:r>
            <w:r>
              <w:rPr>
                <w:noProof/>
                <w:webHidden/>
              </w:rPr>
              <w:fldChar w:fldCharType="end"/>
            </w:r>
          </w:hyperlink>
        </w:p>
        <w:p w14:paraId="164C3456" w14:textId="419A03E0"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3" w:history="1">
            <w:r w:rsidRPr="00773FDE">
              <w:rPr>
                <w:rStyle w:val="Hypertextovodkaz"/>
                <w:noProof/>
              </w:rPr>
              <w:t>Čl. 12.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Smluvní pokuty</w:t>
            </w:r>
            <w:r>
              <w:rPr>
                <w:noProof/>
                <w:webHidden/>
              </w:rPr>
              <w:tab/>
            </w:r>
            <w:r>
              <w:rPr>
                <w:noProof/>
                <w:webHidden/>
              </w:rPr>
              <w:fldChar w:fldCharType="begin"/>
            </w:r>
            <w:r>
              <w:rPr>
                <w:noProof/>
                <w:webHidden/>
              </w:rPr>
              <w:instrText xml:space="preserve"> PAGEREF _Toc230001183 \h </w:instrText>
            </w:r>
            <w:r>
              <w:rPr>
                <w:noProof/>
                <w:webHidden/>
              </w:rPr>
            </w:r>
            <w:r>
              <w:rPr>
                <w:noProof/>
                <w:webHidden/>
              </w:rPr>
              <w:fldChar w:fldCharType="separate"/>
            </w:r>
            <w:r w:rsidR="0090184E">
              <w:rPr>
                <w:noProof/>
                <w:webHidden/>
              </w:rPr>
              <w:t>10</w:t>
            </w:r>
            <w:r>
              <w:rPr>
                <w:noProof/>
                <w:webHidden/>
              </w:rPr>
              <w:fldChar w:fldCharType="end"/>
            </w:r>
          </w:hyperlink>
        </w:p>
        <w:p w14:paraId="048081D7" w14:textId="53953707"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4" w:history="1">
            <w:r w:rsidRPr="00773FDE">
              <w:rPr>
                <w:rStyle w:val="Hypertextovodkaz"/>
                <w:noProof/>
              </w:rPr>
              <w:t>Čl. 13.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Závěrečná ustanovení</w:t>
            </w:r>
            <w:r>
              <w:rPr>
                <w:noProof/>
                <w:webHidden/>
              </w:rPr>
              <w:tab/>
            </w:r>
            <w:r>
              <w:rPr>
                <w:noProof/>
                <w:webHidden/>
              </w:rPr>
              <w:fldChar w:fldCharType="begin"/>
            </w:r>
            <w:r>
              <w:rPr>
                <w:noProof/>
                <w:webHidden/>
              </w:rPr>
              <w:instrText xml:space="preserve"> PAGEREF _Toc230001184 \h </w:instrText>
            </w:r>
            <w:r>
              <w:rPr>
                <w:noProof/>
                <w:webHidden/>
              </w:rPr>
            </w:r>
            <w:r>
              <w:rPr>
                <w:noProof/>
                <w:webHidden/>
              </w:rPr>
              <w:fldChar w:fldCharType="separate"/>
            </w:r>
            <w:r w:rsidR="0090184E">
              <w:rPr>
                <w:noProof/>
                <w:webHidden/>
              </w:rPr>
              <w:t>10</w:t>
            </w:r>
            <w:r>
              <w:rPr>
                <w:noProof/>
                <w:webHidden/>
              </w:rPr>
              <w:fldChar w:fldCharType="end"/>
            </w:r>
          </w:hyperlink>
        </w:p>
        <w:p w14:paraId="5101CA3B" w14:textId="550BDBDF"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85" w:history="1">
            <w:r w:rsidRPr="00773FDE">
              <w:rPr>
                <w:rStyle w:val="Hypertextovodkaz"/>
                <w:noProof/>
              </w:rPr>
              <w:t>13.2.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Nedílnou součástí této smlouvy jsou její přílohy:</w:t>
            </w:r>
            <w:r>
              <w:rPr>
                <w:noProof/>
                <w:webHidden/>
              </w:rPr>
              <w:tab/>
            </w:r>
            <w:r>
              <w:rPr>
                <w:noProof/>
                <w:webHidden/>
              </w:rPr>
              <w:fldChar w:fldCharType="begin"/>
            </w:r>
            <w:r>
              <w:rPr>
                <w:noProof/>
                <w:webHidden/>
              </w:rPr>
              <w:instrText xml:space="preserve"> PAGEREF _Toc230001185 \h </w:instrText>
            </w:r>
            <w:r>
              <w:rPr>
                <w:noProof/>
                <w:webHidden/>
              </w:rPr>
            </w:r>
            <w:r>
              <w:rPr>
                <w:noProof/>
                <w:webHidden/>
              </w:rPr>
              <w:fldChar w:fldCharType="separate"/>
            </w:r>
            <w:r w:rsidR="0090184E">
              <w:rPr>
                <w:noProof/>
                <w:webHidden/>
              </w:rPr>
              <w:t>11</w:t>
            </w:r>
            <w:r>
              <w:rPr>
                <w:noProof/>
                <w:webHidden/>
              </w:rPr>
              <w:fldChar w:fldCharType="end"/>
            </w:r>
          </w:hyperlink>
        </w:p>
        <w:p w14:paraId="4CB80AF5" w14:textId="47738873"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6" w:history="1">
            <w:r w:rsidRPr="00773FDE">
              <w:rPr>
                <w:rStyle w:val="Hypertextovodkaz"/>
                <w:noProof/>
              </w:rPr>
              <w:t>Příloha č. 1 Smlouvy o poskytování služeb správy a podpory IT infrastruktury</w:t>
            </w:r>
            <w:r>
              <w:rPr>
                <w:noProof/>
                <w:webHidden/>
              </w:rPr>
              <w:tab/>
            </w:r>
            <w:r>
              <w:rPr>
                <w:noProof/>
                <w:webHidden/>
              </w:rPr>
              <w:fldChar w:fldCharType="begin"/>
            </w:r>
            <w:r>
              <w:rPr>
                <w:noProof/>
                <w:webHidden/>
              </w:rPr>
              <w:instrText xml:space="preserve"> PAGEREF _Toc230001186 \h </w:instrText>
            </w:r>
            <w:r>
              <w:rPr>
                <w:noProof/>
                <w:webHidden/>
              </w:rPr>
            </w:r>
            <w:r>
              <w:rPr>
                <w:noProof/>
                <w:webHidden/>
              </w:rPr>
              <w:fldChar w:fldCharType="separate"/>
            </w:r>
            <w:r w:rsidR="0090184E">
              <w:rPr>
                <w:noProof/>
                <w:webHidden/>
              </w:rPr>
              <w:t>1</w:t>
            </w:r>
            <w:r>
              <w:rPr>
                <w:noProof/>
                <w:webHidden/>
              </w:rPr>
              <w:fldChar w:fldCharType="end"/>
            </w:r>
          </w:hyperlink>
        </w:p>
        <w:p w14:paraId="4B892475" w14:textId="4A8A19D8"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87" w:history="1">
            <w:r w:rsidRPr="00773FDE">
              <w:rPr>
                <w:rStyle w:val="Hypertextovodkaz"/>
                <w:noProof/>
              </w:rPr>
              <w:t>Čl. 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Rozsah správy IT infrastruktury</w:t>
            </w:r>
            <w:r>
              <w:rPr>
                <w:noProof/>
                <w:webHidden/>
              </w:rPr>
              <w:tab/>
            </w:r>
            <w:r>
              <w:rPr>
                <w:noProof/>
                <w:webHidden/>
              </w:rPr>
              <w:fldChar w:fldCharType="begin"/>
            </w:r>
            <w:r>
              <w:rPr>
                <w:noProof/>
                <w:webHidden/>
              </w:rPr>
              <w:instrText xml:space="preserve"> PAGEREF _Toc230001187 \h </w:instrText>
            </w:r>
            <w:r>
              <w:rPr>
                <w:noProof/>
                <w:webHidden/>
              </w:rPr>
            </w:r>
            <w:r>
              <w:rPr>
                <w:noProof/>
                <w:webHidden/>
              </w:rPr>
              <w:fldChar w:fldCharType="separate"/>
            </w:r>
            <w:r w:rsidR="0090184E">
              <w:rPr>
                <w:noProof/>
                <w:webHidden/>
              </w:rPr>
              <w:t>1</w:t>
            </w:r>
            <w:r>
              <w:rPr>
                <w:noProof/>
                <w:webHidden/>
              </w:rPr>
              <w:fldChar w:fldCharType="end"/>
            </w:r>
          </w:hyperlink>
        </w:p>
        <w:p w14:paraId="674872F8" w14:textId="53B595FD"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88" w:history="1">
            <w:r w:rsidRPr="00773FDE">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Rozsah IT infrastruktury určené pro správu</w:t>
            </w:r>
            <w:r>
              <w:rPr>
                <w:noProof/>
                <w:webHidden/>
              </w:rPr>
              <w:tab/>
            </w:r>
            <w:r>
              <w:rPr>
                <w:noProof/>
                <w:webHidden/>
              </w:rPr>
              <w:fldChar w:fldCharType="begin"/>
            </w:r>
            <w:r>
              <w:rPr>
                <w:noProof/>
                <w:webHidden/>
              </w:rPr>
              <w:instrText xml:space="preserve"> PAGEREF _Toc230001188 \h </w:instrText>
            </w:r>
            <w:r>
              <w:rPr>
                <w:noProof/>
                <w:webHidden/>
              </w:rPr>
            </w:r>
            <w:r>
              <w:rPr>
                <w:noProof/>
                <w:webHidden/>
              </w:rPr>
              <w:fldChar w:fldCharType="separate"/>
            </w:r>
            <w:r w:rsidR="0090184E">
              <w:rPr>
                <w:noProof/>
                <w:webHidden/>
              </w:rPr>
              <w:t>1</w:t>
            </w:r>
            <w:r>
              <w:rPr>
                <w:noProof/>
                <w:webHidden/>
              </w:rPr>
              <w:fldChar w:fldCharType="end"/>
            </w:r>
          </w:hyperlink>
        </w:p>
        <w:p w14:paraId="616F8575" w14:textId="7C3307FC"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89" w:history="1">
            <w:r w:rsidRPr="00773FDE">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Služba „Help-line“</w:t>
            </w:r>
            <w:r>
              <w:rPr>
                <w:noProof/>
                <w:webHidden/>
              </w:rPr>
              <w:tab/>
            </w:r>
            <w:r>
              <w:rPr>
                <w:noProof/>
                <w:webHidden/>
              </w:rPr>
              <w:fldChar w:fldCharType="begin"/>
            </w:r>
            <w:r>
              <w:rPr>
                <w:noProof/>
                <w:webHidden/>
              </w:rPr>
              <w:instrText xml:space="preserve"> PAGEREF _Toc230001189 \h </w:instrText>
            </w:r>
            <w:r>
              <w:rPr>
                <w:noProof/>
                <w:webHidden/>
              </w:rPr>
            </w:r>
            <w:r>
              <w:rPr>
                <w:noProof/>
                <w:webHidden/>
              </w:rPr>
              <w:fldChar w:fldCharType="separate"/>
            </w:r>
            <w:r w:rsidR="0090184E">
              <w:rPr>
                <w:noProof/>
                <w:webHidden/>
              </w:rPr>
              <w:t>2</w:t>
            </w:r>
            <w:r>
              <w:rPr>
                <w:noProof/>
                <w:webHidden/>
              </w:rPr>
              <w:fldChar w:fldCharType="end"/>
            </w:r>
          </w:hyperlink>
        </w:p>
        <w:p w14:paraId="0E5FD2E4" w14:textId="6C388AFB"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0" w:history="1">
            <w:r w:rsidRPr="00773FDE">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Služba „Maintenance“</w:t>
            </w:r>
            <w:r>
              <w:rPr>
                <w:noProof/>
                <w:webHidden/>
              </w:rPr>
              <w:tab/>
            </w:r>
            <w:r>
              <w:rPr>
                <w:noProof/>
                <w:webHidden/>
              </w:rPr>
              <w:fldChar w:fldCharType="begin"/>
            </w:r>
            <w:r>
              <w:rPr>
                <w:noProof/>
                <w:webHidden/>
              </w:rPr>
              <w:instrText xml:space="preserve"> PAGEREF _Toc230001190 \h </w:instrText>
            </w:r>
            <w:r>
              <w:rPr>
                <w:noProof/>
                <w:webHidden/>
              </w:rPr>
            </w:r>
            <w:r>
              <w:rPr>
                <w:noProof/>
                <w:webHidden/>
              </w:rPr>
              <w:fldChar w:fldCharType="separate"/>
            </w:r>
            <w:r w:rsidR="0090184E">
              <w:rPr>
                <w:noProof/>
                <w:webHidden/>
              </w:rPr>
              <w:t>2</w:t>
            </w:r>
            <w:r>
              <w:rPr>
                <w:noProof/>
                <w:webHidden/>
              </w:rPr>
              <w:fldChar w:fldCharType="end"/>
            </w:r>
          </w:hyperlink>
        </w:p>
        <w:p w14:paraId="0D2A3233" w14:textId="2A21C129"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1" w:history="1">
            <w:r w:rsidRPr="00773FDE">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Služba „Profylaxe”</w:t>
            </w:r>
            <w:r>
              <w:rPr>
                <w:noProof/>
                <w:webHidden/>
              </w:rPr>
              <w:tab/>
            </w:r>
            <w:r>
              <w:rPr>
                <w:noProof/>
                <w:webHidden/>
              </w:rPr>
              <w:fldChar w:fldCharType="begin"/>
            </w:r>
            <w:r>
              <w:rPr>
                <w:noProof/>
                <w:webHidden/>
              </w:rPr>
              <w:instrText xml:space="preserve"> PAGEREF _Toc230001191 \h </w:instrText>
            </w:r>
            <w:r>
              <w:rPr>
                <w:noProof/>
                <w:webHidden/>
              </w:rPr>
            </w:r>
            <w:r>
              <w:rPr>
                <w:noProof/>
                <w:webHidden/>
              </w:rPr>
              <w:fldChar w:fldCharType="separate"/>
            </w:r>
            <w:r w:rsidR="0090184E">
              <w:rPr>
                <w:noProof/>
                <w:webHidden/>
              </w:rPr>
              <w:t>3</w:t>
            </w:r>
            <w:r>
              <w:rPr>
                <w:noProof/>
                <w:webHidden/>
              </w:rPr>
              <w:fldChar w:fldCharType="end"/>
            </w:r>
          </w:hyperlink>
        </w:p>
        <w:p w14:paraId="26D478F0" w14:textId="4161F13D"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92" w:history="1">
            <w:r w:rsidRPr="00773FDE">
              <w:rPr>
                <w:rStyle w:val="Hypertextovodkaz"/>
                <w:noProof/>
              </w:rPr>
              <w:t>Čl. 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Práva a povinnosti objednatele</w:t>
            </w:r>
            <w:r>
              <w:rPr>
                <w:noProof/>
                <w:webHidden/>
              </w:rPr>
              <w:tab/>
            </w:r>
            <w:r>
              <w:rPr>
                <w:noProof/>
                <w:webHidden/>
              </w:rPr>
              <w:fldChar w:fldCharType="begin"/>
            </w:r>
            <w:r>
              <w:rPr>
                <w:noProof/>
                <w:webHidden/>
              </w:rPr>
              <w:instrText xml:space="preserve"> PAGEREF _Toc230001192 \h </w:instrText>
            </w:r>
            <w:r>
              <w:rPr>
                <w:noProof/>
                <w:webHidden/>
              </w:rPr>
            </w:r>
            <w:r>
              <w:rPr>
                <w:noProof/>
                <w:webHidden/>
              </w:rPr>
              <w:fldChar w:fldCharType="separate"/>
            </w:r>
            <w:r w:rsidR="0090184E">
              <w:rPr>
                <w:noProof/>
                <w:webHidden/>
              </w:rPr>
              <w:t>5</w:t>
            </w:r>
            <w:r>
              <w:rPr>
                <w:noProof/>
                <w:webHidden/>
              </w:rPr>
              <w:fldChar w:fldCharType="end"/>
            </w:r>
          </w:hyperlink>
        </w:p>
        <w:p w14:paraId="403061AF" w14:textId="26E52F74"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93" w:history="1">
            <w:r w:rsidRPr="00773FDE">
              <w:rPr>
                <w:rStyle w:val="Hypertextovodkaz"/>
                <w:noProof/>
              </w:rPr>
              <w:t>Čl. 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Práva a povinnosti poskytovatele</w:t>
            </w:r>
            <w:r>
              <w:rPr>
                <w:noProof/>
                <w:webHidden/>
              </w:rPr>
              <w:tab/>
            </w:r>
            <w:r>
              <w:rPr>
                <w:noProof/>
                <w:webHidden/>
              </w:rPr>
              <w:fldChar w:fldCharType="begin"/>
            </w:r>
            <w:r>
              <w:rPr>
                <w:noProof/>
                <w:webHidden/>
              </w:rPr>
              <w:instrText xml:space="preserve"> PAGEREF _Toc230001193 \h </w:instrText>
            </w:r>
            <w:r>
              <w:rPr>
                <w:noProof/>
                <w:webHidden/>
              </w:rPr>
            </w:r>
            <w:r>
              <w:rPr>
                <w:noProof/>
                <w:webHidden/>
              </w:rPr>
              <w:fldChar w:fldCharType="separate"/>
            </w:r>
            <w:r w:rsidR="0090184E">
              <w:rPr>
                <w:noProof/>
                <w:webHidden/>
              </w:rPr>
              <w:t>6</w:t>
            </w:r>
            <w:r>
              <w:rPr>
                <w:noProof/>
                <w:webHidden/>
              </w:rPr>
              <w:fldChar w:fldCharType="end"/>
            </w:r>
          </w:hyperlink>
        </w:p>
        <w:p w14:paraId="1B204FE4" w14:textId="3E056258"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94" w:history="1">
            <w:r w:rsidRPr="00773FDE">
              <w:rPr>
                <w:rStyle w:val="Hypertextovodkaz"/>
                <w:noProof/>
              </w:rPr>
              <w:t>Čl. 4.</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Výčet cen správy IT infrastruktury</w:t>
            </w:r>
            <w:r>
              <w:rPr>
                <w:noProof/>
                <w:webHidden/>
              </w:rPr>
              <w:tab/>
            </w:r>
            <w:r>
              <w:rPr>
                <w:noProof/>
                <w:webHidden/>
              </w:rPr>
              <w:fldChar w:fldCharType="begin"/>
            </w:r>
            <w:r>
              <w:rPr>
                <w:noProof/>
                <w:webHidden/>
              </w:rPr>
              <w:instrText xml:space="preserve"> PAGEREF _Toc230001194 \h </w:instrText>
            </w:r>
            <w:r>
              <w:rPr>
                <w:noProof/>
                <w:webHidden/>
              </w:rPr>
            </w:r>
            <w:r>
              <w:rPr>
                <w:noProof/>
                <w:webHidden/>
              </w:rPr>
              <w:fldChar w:fldCharType="separate"/>
            </w:r>
            <w:r w:rsidR="0090184E">
              <w:rPr>
                <w:noProof/>
                <w:webHidden/>
              </w:rPr>
              <w:t>7</w:t>
            </w:r>
            <w:r>
              <w:rPr>
                <w:noProof/>
                <w:webHidden/>
              </w:rPr>
              <w:fldChar w:fldCharType="end"/>
            </w:r>
          </w:hyperlink>
        </w:p>
        <w:p w14:paraId="41A5A516" w14:textId="178E7046" w:rsidR="002655F1" w:rsidRDefault="002655F1">
          <w:pPr>
            <w:pStyle w:val="Obsah1"/>
            <w:rPr>
              <w:rFonts w:asciiTheme="minorHAnsi" w:eastAsiaTheme="minorEastAsia" w:hAnsiTheme="minorHAnsi" w:cstheme="minorBidi"/>
              <w:noProof/>
              <w:kern w:val="2"/>
              <w:sz w:val="24"/>
              <w:szCs w:val="24"/>
              <w:lang w:eastAsia="cs-CZ"/>
              <w14:ligatures w14:val="standardContextual"/>
            </w:rPr>
          </w:pPr>
          <w:hyperlink w:anchor="_Toc230001195" w:history="1">
            <w:r w:rsidRPr="00773FDE">
              <w:rPr>
                <w:rStyle w:val="Hypertextovodkaz"/>
                <w:noProof/>
              </w:rPr>
              <w:t>Čl. 5.</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Podpora IT infrastruktury</w:t>
            </w:r>
            <w:r>
              <w:rPr>
                <w:noProof/>
                <w:webHidden/>
              </w:rPr>
              <w:tab/>
            </w:r>
            <w:r>
              <w:rPr>
                <w:noProof/>
                <w:webHidden/>
              </w:rPr>
              <w:fldChar w:fldCharType="begin"/>
            </w:r>
            <w:r>
              <w:rPr>
                <w:noProof/>
                <w:webHidden/>
              </w:rPr>
              <w:instrText xml:space="preserve"> PAGEREF _Toc230001195 \h </w:instrText>
            </w:r>
            <w:r>
              <w:rPr>
                <w:noProof/>
                <w:webHidden/>
              </w:rPr>
            </w:r>
            <w:r>
              <w:rPr>
                <w:noProof/>
                <w:webHidden/>
              </w:rPr>
              <w:fldChar w:fldCharType="separate"/>
            </w:r>
            <w:r w:rsidR="0090184E">
              <w:rPr>
                <w:noProof/>
                <w:webHidden/>
              </w:rPr>
              <w:t>8</w:t>
            </w:r>
            <w:r>
              <w:rPr>
                <w:noProof/>
                <w:webHidden/>
              </w:rPr>
              <w:fldChar w:fldCharType="end"/>
            </w:r>
          </w:hyperlink>
        </w:p>
        <w:p w14:paraId="0ABB0CDF" w14:textId="1E7DD0B6"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6" w:history="1">
            <w:r w:rsidRPr="00773FDE">
              <w:rPr>
                <w:rStyle w:val="Hypertextovodkaz"/>
                <w:noProof/>
              </w:rPr>
              <w:t>5.1.</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Rozsah a typ podpory IT infrastruktury</w:t>
            </w:r>
            <w:r>
              <w:rPr>
                <w:noProof/>
                <w:webHidden/>
              </w:rPr>
              <w:tab/>
            </w:r>
            <w:r>
              <w:rPr>
                <w:noProof/>
                <w:webHidden/>
              </w:rPr>
              <w:fldChar w:fldCharType="begin"/>
            </w:r>
            <w:r>
              <w:rPr>
                <w:noProof/>
                <w:webHidden/>
              </w:rPr>
              <w:instrText xml:space="preserve"> PAGEREF _Toc230001196 \h </w:instrText>
            </w:r>
            <w:r>
              <w:rPr>
                <w:noProof/>
                <w:webHidden/>
              </w:rPr>
            </w:r>
            <w:r>
              <w:rPr>
                <w:noProof/>
                <w:webHidden/>
              </w:rPr>
              <w:fldChar w:fldCharType="separate"/>
            </w:r>
            <w:r w:rsidR="0090184E">
              <w:rPr>
                <w:noProof/>
                <w:webHidden/>
              </w:rPr>
              <w:t>8</w:t>
            </w:r>
            <w:r>
              <w:rPr>
                <w:noProof/>
                <w:webHidden/>
              </w:rPr>
              <w:fldChar w:fldCharType="end"/>
            </w:r>
          </w:hyperlink>
        </w:p>
        <w:p w14:paraId="44E96C40" w14:textId="6B421A87"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7" w:history="1">
            <w:r w:rsidRPr="00773FDE">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Předmět podpory IT infrastruktury</w:t>
            </w:r>
            <w:r>
              <w:rPr>
                <w:noProof/>
                <w:webHidden/>
              </w:rPr>
              <w:tab/>
            </w:r>
            <w:r>
              <w:rPr>
                <w:noProof/>
                <w:webHidden/>
              </w:rPr>
              <w:fldChar w:fldCharType="begin"/>
            </w:r>
            <w:r>
              <w:rPr>
                <w:noProof/>
                <w:webHidden/>
              </w:rPr>
              <w:instrText xml:space="preserve"> PAGEREF _Toc230001197 \h </w:instrText>
            </w:r>
            <w:r>
              <w:rPr>
                <w:noProof/>
                <w:webHidden/>
              </w:rPr>
            </w:r>
            <w:r>
              <w:rPr>
                <w:noProof/>
                <w:webHidden/>
              </w:rPr>
              <w:fldChar w:fldCharType="separate"/>
            </w:r>
            <w:r w:rsidR="0090184E">
              <w:rPr>
                <w:noProof/>
                <w:webHidden/>
              </w:rPr>
              <w:t>8</w:t>
            </w:r>
            <w:r>
              <w:rPr>
                <w:noProof/>
                <w:webHidden/>
              </w:rPr>
              <w:fldChar w:fldCharType="end"/>
            </w:r>
          </w:hyperlink>
        </w:p>
        <w:p w14:paraId="49EAB7A7" w14:textId="4A62D0EA"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8" w:history="1">
            <w:r w:rsidRPr="00773FDE">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Objednávka podpory IT infrastruktury</w:t>
            </w:r>
            <w:r>
              <w:rPr>
                <w:noProof/>
                <w:webHidden/>
              </w:rPr>
              <w:tab/>
            </w:r>
            <w:r>
              <w:rPr>
                <w:noProof/>
                <w:webHidden/>
              </w:rPr>
              <w:fldChar w:fldCharType="begin"/>
            </w:r>
            <w:r>
              <w:rPr>
                <w:noProof/>
                <w:webHidden/>
              </w:rPr>
              <w:instrText xml:space="preserve"> PAGEREF _Toc230001198 \h </w:instrText>
            </w:r>
            <w:r>
              <w:rPr>
                <w:noProof/>
                <w:webHidden/>
              </w:rPr>
            </w:r>
            <w:r>
              <w:rPr>
                <w:noProof/>
                <w:webHidden/>
              </w:rPr>
              <w:fldChar w:fldCharType="separate"/>
            </w:r>
            <w:r w:rsidR="0090184E">
              <w:rPr>
                <w:noProof/>
                <w:webHidden/>
              </w:rPr>
              <w:t>9</w:t>
            </w:r>
            <w:r>
              <w:rPr>
                <w:noProof/>
                <w:webHidden/>
              </w:rPr>
              <w:fldChar w:fldCharType="end"/>
            </w:r>
          </w:hyperlink>
        </w:p>
        <w:p w14:paraId="4C946ACB" w14:textId="25EC2C2F"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199" w:history="1">
            <w:r w:rsidRPr="00773FDE">
              <w:rPr>
                <w:rStyle w:val="Hypertextovodkaz"/>
                <w:noProof/>
              </w:rPr>
              <w:t>5.4.</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Realizace podpory</w:t>
            </w:r>
            <w:r>
              <w:rPr>
                <w:noProof/>
                <w:webHidden/>
              </w:rPr>
              <w:tab/>
            </w:r>
            <w:r>
              <w:rPr>
                <w:noProof/>
                <w:webHidden/>
              </w:rPr>
              <w:fldChar w:fldCharType="begin"/>
            </w:r>
            <w:r>
              <w:rPr>
                <w:noProof/>
                <w:webHidden/>
              </w:rPr>
              <w:instrText xml:space="preserve"> PAGEREF _Toc230001199 \h </w:instrText>
            </w:r>
            <w:r>
              <w:rPr>
                <w:noProof/>
                <w:webHidden/>
              </w:rPr>
            </w:r>
            <w:r>
              <w:rPr>
                <w:noProof/>
                <w:webHidden/>
              </w:rPr>
              <w:fldChar w:fldCharType="separate"/>
            </w:r>
            <w:r w:rsidR="0090184E">
              <w:rPr>
                <w:noProof/>
                <w:webHidden/>
              </w:rPr>
              <w:t>9</w:t>
            </w:r>
            <w:r>
              <w:rPr>
                <w:noProof/>
                <w:webHidden/>
              </w:rPr>
              <w:fldChar w:fldCharType="end"/>
            </w:r>
          </w:hyperlink>
        </w:p>
        <w:p w14:paraId="74D1C183" w14:textId="5915C63E" w:rsidR="002655F1" w:rsidRDefault="002655F1">
          <w:pPr>
            <w:pStyle w:val="Obsah2"/>
            <w:rPr>
              <w:rFonts w:asciiTheme="minorHAnsi" w:eastAsiaTheme="minorEastAsia" w:hAnsiTheme="minorHAnsi" w:cstheme="minorBidi"/>
              <w:noProof/>
              <w:kern w:val="2"/>
              <w:sz w:val="24"/>
              <w:szCs w:val="24"/>
              <w:lang w:eastAsia="cs-CZ"/>
              <w14:ligatures w14:val="standardContextual"/>
            </w:rPr>
          </w:pPr>
          <w:hyperlink w:anchor="_Toc230001200" w:history="1">
            <w:r w:rsidRPr="00773FDE">
              <w:rPr>
                <w:rStyle w:val="Hypertextovodkaz"/>
                <w:noProof/>
              </w:rPr>
              <w:t>5.5.</w:t>
            </w:r>
            <w:r>
              <w:rPr>
                <w:rFonts w:asciiTheme="minorHAnsi" w:eastAsiaTheme="minorEastAsia" w:hAnsiTheme="minorHAnsi" w:cstheme="minorBidi"/>
                <w:noProof/>
                <w:kern w:val="2"/>
                <w:sz w:val="24"/>
                <w:szCs w:val="24"/>
                <w:lang w:eastAsia="cs-CZ"/>
                <w14:ligatures w14:val="standardContextual"/>
              </w:rPr>
              <w:tab/>
            </w:r>
            <w:r w:rsidRPr="00773FDE">
              <w:rPr>
                <w:rStyle w:val="Hypertextovodkaz"/>
                <w:noProof/>
              </w:rPr>
              <w:t>Společná ustanovení pro podporu IT infrastruktury</w:t>
            </w:r>
            <w:r>
              <w:rPr>
                <w:noProof/>
                <w:webHidden/>
              </w:rPr>
              <w:tab/>
            </w:r>
            <w:r>
              <w:rPr>
                <w:noProof/>
                <w:webHidden/>
              </w:rPr>
              <w:fldChar w:fldCharType="begin"/>
            </w:r>
            <w:r>
              <w:rPr>
                <w:noProof/>
                <w:webHidden/>
              </w:rPr>
              <w:instrText xml:space="preserve"> PAGEREF _Toc230001200 \h </w:instrText>
            </w:r>
            <w:r>
              <w:rPr>
                <w:noProof/>
                <w:webHidden/>
              </w:rPr>
            </w:r>
            <w:r>
              <w:rPr>
                <w:noProof/>
                <w:webHidden/>
              </w:rPr>
              <w:fldChar w:fldCharType="separate"/>
            </w:r>
            <w:r w:rsidR="0090184E">
              <w:rPr>
                <w:noProof/>
                <w:webHidden/>
              </w:rPr>
              <w:t>9</w:t>
            </w:r>
            <w:r>
              <w:rPr>
                <w:noProof/>
                <w:webHidden/>
              </w:rPr>
              <w:fldChar w:fldCharType="end"/>
            </w:r>
          </w:hyperlink>
        </w:p>
        <w:p w14:paraId="5B94970C" w14:textId="2DF9C1A4" w:rsidR="00552AD5" w:rsidRDefault="00E52CB0">
          <w:pPr>
            <w:pStyle w:val="Obsah2"/>
            <w:tabs>
              <w:tab w:val="clear" w:pos="9062"/>
              <w:tab w:val="right" w:leader="dot" w:pos="9071"/>
            </w:tabs>
          </w:pPr>
          <w:r>
            <w:fldChar w:fldCharType="end"/>
          </w:r>
        </w:p>
      </w:sdtContent>
    </w:sdt>
    <w:p w14:paraId="6E73A157" w14:textId="77777777" w:rsidR="00552AD5" w:rsidRDefault="00E52CB0">
      <w:pPr>
        <w:spacing w:after="0" w:line="360" w:lineRule="auto"/>
        <w:jc w:val="left"/>
        <w:rPr>
          <w:rFonts w:eastAsia="Times New Roman" w:cs="Calibri"/>
          <w:kern w:val="2"/>
          <w:sz w:val="24"/>
          <w:szCs w:val="24"/>
          <w:lang w:eastAsia="cs-CZ"/>
        </w:rPr>
      </w:pPr>
      <w:r>
        <w:br w:type="page"/>
      </w:r>
    </w:p>
    <w:p w14:paraId="65017BB7" w14:textId="77777777" w:rsidR="00552AD5" w:rsidRDefault="00E52CB0">
      <w:pPr>
        <w:spacing w:after="0" w:line="360" w:lineRule="auto"/>
      </w:pPr>
      <w:r>
        <w:lastRenderedPageBreak/>
        <w:t>Objednatel a poskytovatel (dále také jako „smluvní strany“) uzavírají tuto smlouvu o správě a podpoře IT infrastruktury, která je výsledkem zadávacího řízení veřejné zakázky malého rozsahu na služby s názvem „Servis IT infrastruktury“ (dále jen „veřejná zakázka“ a „zadávací řízení“).</w:t>
      </w:r>
    </w:p>
    <w:p w14:paraId="04F41817" w14:textId="77777777" w:rsidR="00552AD5" w:rsidRDefault="00E52CB0" w:rsidP="00F52094">
      <w:pPr>
        <w:pStyle w:val="Nadpis1"/>
        <w:rPr>
          <w:lang w:val="cs-CZ"/>
        </w:rPr>
      </w:pPr>
      <w:bookmarkStart w:id="8" w:name="__RefHeading___Toc3857_93952133"/>
      <w:bookmarkStart w:id="9" w:name="_Toc212203580"/>
      <w:bookmarkStart w:id="10" w:name="_Toc230001167"/>
      <w:bookmarkEnd w:id="8"/>
      <w:r>
        <w:rPr>
          <w:lang w:val="cs-CZ"/>
        </w:rPr>
        <w:t>Předmět smlouvy</w:t>
      </w:r>
      <w:bookmarkEnd w:id="9"/>
      <w:bookmarkEnd w:id="10"/>
    </w:p>
    <w:p w14:paraId="234CE075" w14:textId="77777777" w:rsidR="00552AD5" w:rsidRDefault="00E52CB0">
      <w:pPr>
        <w:pStyle w:val="Nadpis3"/>
        <w:ind w:left="0" w:firstLine="0"/>
      </w:pPr>
      <w:r>
        <w:rPr>
          <w:lang w:val="cs-CZ"/>
        </w:rPr>
        <w:t>Poskytovatel</w:t>
      </w:r>
      <w:r>
        <w:t xml:space="preserve"> se zavazuje v rozsahu, kvalitě a za podmínek stanovených touto smlouvou provádět pro objednatele služby správy a podpory IT infrastruktury související s produktivním provozem </w:t>
      </w:r>
      <w:r>
        <w:rPr>
          <w:lang w:val="cs-CZ"/>
        </w:rPr>
        <w:t>informačních systémů</w:t>
      </w:r>
      <w:r>
        <w:t xml:space="preserve"> v prostředí </w:t>
      </w:r>
      <w:r>
        <w:rPr>
          <w:lang w:val="cs-CZ"/>
        </w:rPr>
        <w:t>objednatele</w:t>
      </w:r>
      <w:r>
        <w:t>.</w:t>
      </w:r>
    </w:p>
    <w:p w14:paraId="574BA186" w14:textId="77777777" w:rsidR="00552AD5" w:rsidRDefault="00E52CB0">
      <w:pPr>
        <w:pStyle w:val="Nadpis3"/>
        <w:ind w:left="0" w:firstLine="0"/>
      </w:pPr>
      <w:r>
        <w:t>Rozsah a podmínky poskytovaných služeb jsou</w:t>
      </w:r>
      <w:r>
        <w:rPr>
          <w:lang w:val="cs-CZ"/>
        </w:rPr>
        <w:t xml:space="preserve"> dále</w:t>
      </w:r>
      <w:r>
        <w:t xml:space="preserve"> uvedeny v příloze č. 1 této smlouvy.</w:t>
      </w:r>
    </w:p>
    <w:p w14:paraId="0B80744A" w14:textId="77777777" w:rsidR="00552AD5" w:rsidRDefault="00E52CB0">
      <w:pPr>
        <w:pStyle w:val="Nadpis3"/>
        <w:ind w:left="0" w:firstLine="0"/>
      </w:pPr>
      <w:r>
        <w:t xml:space="preserve">Součástí poskytovaných služeb jsou i práce v tomto článku smlouvy nespecifikované, které však jsou k řádnému provádění služeb nezbytné a o kterých </w:t>
      </w:r>
      <w:r>
        <w:rPr>
          <w:lang w:val="cs-CZ"/>
        </w:rPr>
        <w:t>poskytovatel</w:t>
      </w:r>
      <w:r>
        <w:t xml:space="preserve"> vzhledem ke své kvalifikaci a zkušenostem měl, nebo mohl vědět. Provedení těchto prací však v žádném případě nezvyšuje touto smlouvou sjednanou cenu.</w:t>
      </w:r>
    </w:p>
    <w:p w14:paraId="59F9EFDB" w14:textId="77777777" w:rsidR="00552AD5" w:rsidRDefault="00E52CB0">
      <w:pPr>
        <w:pStyle w:val="Nadpis3"/>
        <w:ind w:left="0" w:firstLine="0"/>
      </w:pPr>
      <w:r>
        <w:t xml:space="preserve">Součástí poskytovaných služeb jsou též činnosti, které nejsou výslovně uvedeny v tomto článku, avšak bezprostředně souvisejí s činnostmi výslovně vymezenými v této smlouvě a v příloze č. 1, jsou nezbytné k jejich řádnému provádění a nepřekračují obvyklý rozsah správy IT infrastruktury. </w:t>
      </w:r>
    </w:p>
    <w:p w14:paraId="64738E81" w14:textId="77777777" w:rsidR="00552AD5" w:rsidRDefault="00E52CB0">
      <w:pPr>
        <w:pStyle w:val="Nadpis3"/>
        <w:ind w:left="0" w:firstLine="0"/>
      </w:pPr>
      <w:r>
        <w:t xml:space="preserve">Činnosti, které představují rozšíření rozsahu služeb nebo mají povahu podpory IT infrastruktury dle této smlouvy, jsou poskytovány pouze na základě objednávky objednatele a za podmínek stanovených pro podporu IT infrastruktury. </w:t>
      </w:r>
    </w:p>
    <w:p w14:paraId="402EE4EC" w14:textId="77777777" w:rsidR="00552AD5" w:rsidRDefault="00E52CB0">
      <w:pPr>
        <w:pStyle w:val="Nadpis3"/>
        <w:ind w:left="0" w:firstLine="0"/>
      </w:pPr>
      <w:r>
        <w:t>Služby správy a podpory IT infrastruktury budou poskytován</w:t>
      </w:r>
      <w:r>
        <w:rPr>
          <w:lang w:val="cs-CZ"/>
        </w:rPr>
        <w:t>y k rozsahu infrastruktury, který je uveden v příloze č. 1.</w:t>
      </w:r>
    </w:p>
    <w:p w14:paraId="62110773" w14:textId="77777777" w:rsidR="00552AD5" w:rsidRDefault="00E52CB0">
      <w:pPr>
        <w:pStyle w:val="Nadpis3"/>
        <w:ind w:left="0" w:firstLine="0"/>
        <w:rPr>
          <w:lang w:val="cs-CZ"/>
        </w:rPr>
      </w:pPr>
      <w:r>
        <w:t>Služby podle této smlouvy jsou poskytovány k technologiím, ve kterých jsou zpracovávána data objednatele. Data zůstávají ve vlastnictví objednatele a nejsou daty poskytovatele. Poskytovatel odpovídá za řádné a odborné provádění sjednaných služeb. Poskytovatel neodpovídá za obsah dat, za data chybně zadaná objednatelem ani za zásahy objednatele nebo třetích osob, které mají vliv na chod nebo správnost IT infrastruktury.</w:t>
      </w:r>
    </w:p>
    <w:p w14:paraId="4257BF30" w14:textId="77777777" w:rsidR="00552AD5" w:rsidRDefault="00E52CB0">
      <w:pPr>
        <w:pStyle w:val="Nadpis3"/>
        <w:ind w:left="0" w:firstLine="0"/>
        <w:rPr>
          <w:lang w:val="cs-CZ"/>
        </w:rPr>
      </w:pPr>
      <w:bookmarkStart w:id="11" w:name="_Ref212203382"/>
      <w:r>
        <w:rPr>
          <w:lang w:val="cs-CZ"/>
        </w:rPr>
        <w:t>Služby podle této smlouvy budou poskytovány v českém nebo slovenském jazyce na úrovni min. C1 (Společného evropského referenčního rámce).</w:t>
      </w:r>
      <w:bookmarkEnd w:id="11"/>
      <w:r>
        <w:rPr>
          <w:lang w:val="cs-CZ"/>
        </w:rPr>
        <w:t xml:space="preserve"> Komunikace s objednatelem musí být odborně správná, srozumitelná a přiměřená povaze poskytovaných služeb. Za porušení tohoto ustanovení se nepovažují konkrétní odborné pojmy typicky incident, ticket, </w:t>
      </w:r>
      <w:proofErr w:type="spellStart"/>
      <w:r>
        <w:rPr>
          <w:lang w:val="cs-CZ"/>
        </w:rPr>
        <w:t>request</w:t>
      </w:r>
      <w:proofErr w:type="spellEnd"/>
      <w:r>
        <w:rPr>
          <w:lang w:val="cs-CZ"/>
        </w:rPr>
        <w:t xml:space="preserve">, patch, update, </w:t>
      </w:r>
      <w:proofErr w:type="spellStart"/>
      <w:r>
        <w:rPr>
          <w:lang w:val="cs-CZ"/>
        </w:rPr>
        <w:t>backup</w:t>
      </w:r>
      <w:proofErr w:type="spellEnd"/>
      <w:r>
        <w:rPr>
          <w:lang w:val="cs-CZ"/>
        </w:rPr>
        <w:t xml:space="preserve">, </w:t>
      </w:r>
      <w:proofErr w:type="spellStart"/>
      <w:r>
        <w:rPr>
          <w:lang w:val="cs-CZ"/>
        </w:rPr>
        <w:t>restore</w:t>
      </w:r>
      <w:proofErr w:type="spellEnd"/>
      <w:r>
        <w:rPr>
          <w:lang w:val="cs-CZ"/>
        </w:rPr>
        <w:t xml:space="preserve">, firewall, cluster, node, log, </w:t>
      </w:r>
      <w:proofErr w:type="spellStart"/>
      <w:r>
        <w:rPr>
          <w:lang w:val="cs-CZ"/>
        </w:rPr>
        <w:t>latency</w:t>
      </w:r>
      <w:proofErr w:type="spellEnd"/>
      <w:r>
        <w:rPr>
          <w:lang w:val="cs-CZ"/>
        </w:rPr>
        <w:t xml:space="preserve">, </w:t>
      </w:r>
      <w:proofErr w:type="spellStart"/>
      <w:r>
        <w:rPr>
          <w:lang w:val="cs-CZ"/>
        </w:rPr>
        <w:t>failover</w:t>
      </w:r>
      <w:proofErr w:type="spellEnd"/>
      <w:r>
        <w:rPr>
          <w:lang w:val="cs-CZ"/>
        </w:rPr>
        <w:t>, které je možné považovat za IT terminologii a u kterých by jejich ekvivalent v českém nebo slovenském jazyce mohl působit nejasnosti a snížení kvality poskytované služby.</w:t>
      </w:r>
    </w:p>
    <w:p w14:paraId="3B4E6A4E" w14:textId="77777777" w:rsidR="00552AD5" w:rsidRDefault="00E52CB0" w:rsidP="00A7371A">
      <w:pPr>
        <w:pStyle w:val="Nadpis2"/>
        <w:rPr>
          <w:lang w:val="cs-CZ"/>
        </w:rPr>
      </w:pPr>
      <w:bookmarkStart w:id="12" w:name="__RefHeading___Toc3859_93952133"/>
      <w:bookmarkStart w:id="13" w:name="_Toc212203581"/>
      <w:bookmarkStart w:id="14" w:name="_Toc230001168"/>
      <w:bookmarkEnd w:id="12"/>
      <w:r>
        <w:rPr>
          <w:lang w:val="cs-CZ"/>
        </w:rPr>
        <w:lastRenderedPageBreak/>
        <w:t>Vzdálený přístup do prostředí objednatele</w:t>
      </w:r>
      <w:bookmarkEnd w:id="13"/>
      <w:bookmarkEnd w:id="14"/>
    </w:p>
    <w:p w14:paraId="4A511252" w14:textId="77777777" w:rsidR="00552AD5" w:rsidRDefault="00E52CB0">
      <w:pPr>
        <w:pStyle w:val="Nadpis3"/>
        <w:ind w:left="0" w:firstLine="0"/>
        <w:rPr>
          <w:lang w:val="cs-CZ"/>
        </w:rPr>
      </w:pPr>
      <w:bookmarkStart w:id="15" w:name="__RefHeading___Toc4456_4161493135"/>
      <w:bookmarkEnd w:id="15"/>
      <w:r>
        <w:rPr>
          <w:lang w:val="cs-CZ"/>
        </w:rPr>
        <w:t>V souvislosti s uzavřením této smlouvy bude uzavřena i samostatná smlouva o umožnění vzdáleného přístupu poskytovatele do prostředí objednatele, a to výhradně za účelem poskytování služeb na základě této smlouvy.</w:t>
      </w:r>
    </w:p>
    <w:p w14:paraId="2338A16B" w14:textId="77777777" w:rsidR="00552AD5" w:rsidRDefault="00E52CB0" w:rsidP="00F52094">
      <w:pPr>
        <w:pStyle w:val="Nadpis1"/>
      </w:pPr>
      <w:bookmarkStart w:id="16" w:name="__RefHeading___Toc3861_93952133"/>
      <w:bookmarkStart w:id="17" w:name="_Toc212203582"/>
      <w:bookmarkStart w:id="18" w:name="_Toc230001169"/>
      <w:bookmarkEnd w:id="16"/>
      <w:r>
        <w:rPr>
          <w:lang w:val="cs-CZ"/>
        </w:rPr>
        <w:t>Doba trvání smlouvy</w:t>
      </w:r>
      <w:bookmarkEnd w:id="17"/>
      <w:bookmarkEnd w:id="18"/>
    </w:p>
    <w:p w14:paraId="4E95403D" w14:textId="77777777" w:rsidR="00552AD5" w:rsidRDefault="00E52CB0">
      <w:pPr>
        <w:pStyle w:val="Nadpis3"/>
        <w:ind w:left="0" w:firstLine="0"/>
      </w:pPr>
      <w:r>
        <w:t>Smlouva se uzavírá na dobu neurčitou</w:t>
      </w:r>
      <w:r>
        <w:rPr>
          <w:lang w:val="cs-CZ"/>
        </w:rPr>
        <w:t>. Služby na základě této smlouvy budou poskytovány</w:t>
      </w:r>
      <w:r>
        <w:t xml:space="preserve"> </w:t>
      </w:r>
      <w:r>
        <w:rPr>
          <w:lang w:val="cs-CZ"/>
        </w:rPr>
        <w:t>ode dne nabytí účinnosti této smlouvy.</w:t>
      </w:r>
    </w:p>
    <w:p w14:paraId="4ECE511B" w14:textId="77777777" w:rsidR="00552AD5" w:rsidRDefault="00E52CB0">
      <w:pPr>
        <w:pStyle w:val="Nadpis3"/>
        <w:ind w:left="0" w:firstLine="0"/>
        <w:rPr>
          <w:lang w:val="cs-CZ"/>
        </w:rPr>
      </w:pPr>
      <w:r>
        <w:t>Objednatel je oprávněn tuto smlouvu vypovědět</w:t>
      </w:r>
      <w:r>
        <w:rPr>
          <w:lang w:val="cs-CZ"/>
        </w:rPr>
        <w:t xml:space="preserve"> </w:t>
      </w:r>
      <w:r>
        <w:t xml:space="preserve">a to na základě písemné výpovědi, prokazatelně doručené </w:t>
      </w:r>
      <w:r>
        <w:rPr>
          <w:lang w:val="cs-CZ"/>
        </w:rPr>
        <w:t>poskytovateli</w:t>
      </w:r>
      <w:r>
        <w:t>. Výpovědní lhůta činí 3 kalendářní měsíce začíná běžet od prvního dne kalendářního měsíce následujícího po měsíci, v němž byla výpověď doručena druhé smluvní straně.</w:t>
      </w:r>
    </w:p>
    <w:p w14:paraId="5C0A56B1" w14:textId="77777777" w:rsidR="00552AD5" w:rsidRDefault="00E52CB0">
      <w:pPr>
        <w:pStyle w:val="Nadpis3"/>
        <w:ind w:left="0" w:firstLine="0"/>
        <w:rPr>
          <w:lang w:val="cs-CZ"/>
        </w:rPr>
      </w:pPr>
      <w:r>
        <w:rPr>
          <w:lang w:val="cs-CZ"/>
        </w:rPr>
        <w:t>Poskytovatel</w:t>
      </w:r>
      <w:r>
        <w:t xml:space="preserve"> je oprávněn tuto smlouvu vypovědět, a to na základě písemné výpovědi, prokazatelně doručené objednateli. Výpovědní lhůta činí 6 měsíců a začíná běžet od prvního dne kalendářního měsíce následujícího po měsíci, v němž byla výpověď doručena druhé smluvní straně.</w:t>
      </w:r>
    </w:p>
    <w:p w14:paraId="13ACB4FF" w14:textId="77777777" w:rsidR="00552AD5" w:rsidRDefault="00E52CB0" w:rsidP="00F52094">
      <w:pPr>
        <w:pStyle w:val="Nadpis1"/>
      </w:pPr>
      <w:bookmarkStart w:id="19" w:name="__RefHeading___Toc3863_93952133"/>
      <w:bookmarkStart w:id="20" w:name="_Toc212203583"/>
      <w:bookmarkStart w:id="21" w:name="_Toc230001170"/>
      <w:bookmarkEnd w:id="19"/>
      <w:r>
        <w:rPr>
          <w:lang w:val="cs-CZ"/>
        </w:rPr>
        <w:t>Místo plnění</w:t>
      </w:r>
      <w:bookmarkEnd w:id="20"/>
      <w:bookmarkEnd w:id="21"/>
    </w:p>
    <w:p w14:paraId="63A8554E" w14:textId="77777777" w:rsidR="00552AD5" w:rsidRDefault="00E52CB0">
      <w:pPr>
        <w:pStyle w:val="Nadpis3"/>
        <w:ind w:left="0" w:firstLine="0"/>
      </w:pPr>
      <w:r>
        <w:t xml:space="preserve">Místem poskytování služeb jsou technologické místnosti </w:t>
      </w:r>
      <w:r>
        <w:rPr>
          <w:lang w:val="cs-CZ"/>
        </w:rPr>
        <w:t>objednatele na adrese Klášterská 135, Jindřichův Hradec a Masarykovo nám. 168, Jindřichův Hradec</w:t>
      </w:r>
      <w:r>
        <w:t>.</w:t>
      </w:r>
    </w:p>
    <w:p w14:paraId="4BDD73CB" w14:textId="3CF4F0EC" w:rsidR="00552AD5" w:rsidRDefault="00E52CB0">
      <w:pPr>
        <w:pStyle w:val="Nadpis3"/>
        <w:ind w:left="0" w:firstLine="0"/>
        <w:rPr>
          <w:lang w:val="cs-CZ"/>
        </w:rPr>
      </w:pPr>
      <w:r>
        <w:t xml:space="preserve">Předpokládaným primárním způsobem poskytování předmětných služeb je vzdálený přístup </w:t>
      </w:r>
      <w:r>
        <w:rPr>
          <w:lang w:val="cs-CZ"/>
        </w:rPr>
        <w:t>poskytovatele</w:t>
      </w:r>
      <w:r>
        <w:t xml:space="preserve"> do počítačové sítě objednatele, v souladu s článkem </w:t>
      </w:r>
      <w:r>
        <w:fldChar w:fldCharType="begin"/>
      </w:r>
      <w:r>
        <w:instrText xml:space="preserve"> REF __RefHeading___Toc4456_4161493135 \n \n \h </w:instrText>
      </w:r>
      <w:r>
        <w:fldChar w:fldCharType="separate"/>
      </w:r>
      <w:r w:rsidR="0090184E">
        <w:t>2.2.1</w:t>
      </w:r>
      <w:r>
        <w:fldChar w:fldCharType="end"/>
      </w:r>
      <w:r>
        <w:t xml:space="preserve"> této smlouvy.</w:t>
      </w:r>
    </w:p>
    <w:p w14:paraId="09B00027" w14:textId="77777777" w:rsidR="00552AD5" w:rsidRDefault="00E52CB0" w:rsidP="00F52094">
      <w:pPr>
        <w:pStyle w:val="Nadpis1"/>
      </w:pPr>
      <w:bookmarkStart w:id="22" w:name="__RefHeading___Toc3865_93952133"/>
      <w:bookmarkStart w:id="23" w:name="_Toc212203584"/>
      <w:bookmarkStart w:id="24" w:name="_Toc230001171"/>
      <w:bookmarkEnd w:id="22"/>
      <w:r>
        <w:rPr>
          <w:lang w:val="cs-CZ"/>
        </w:rPr>
        <w:t>Cena a platební podmínky</w:t>
      </w:r>
      <w:bookmarkEnd w:id="23"/>
      <w:bookmarkEnd w:id="24"/>
    </w:p>
    <w:p w14:paraId="40027DA2" w14:textId="77777777" w:rsidR="00552AD5" w:rsidRDefault="00E52CB0">
      <w:pPr>
        <w:pStyle w:val="Nadpis3"/>
        <w:ind w:left="0" w:firstLine="0"/>
      </w:pPr>
      <w:r>
        <w:t xml:space="preserve">Cena za poskytování služeb správy představuje nabídkovou cenu na správu a podporu IT infrastruktury předloženou </w:t>
      </w:r>
      <w:r>
        <w:rPr>
          <w:lang w:val="cs-CZ"/>
        </w:rPr>
        <w:t>poskytovatelem</w:t>
      </w:r>
      <w:r>
        <w:t xml:space="preserve"> v jeho nabídce na veřejnou zakázku </w:t>
      </w:r>
      <w:r>
        <w:rPr>
          <w:lang w:val="cs-CZ"/>
        </w:rPr>
        <w:t>s </w:t>
      </w:r>
      <w:proofErr w:type="spellStart"/>
      <w:r>
        <w:rPr>
          <w:lang w:val="cs-CZ"/>
        </w:rPr>
        <w:t>náz</w:t>
      </w:r>
      <w:r>
        <w:t>vem</w:t>
      </w:r>
      <w:proofErr w:type="spellEnd"/>
      <w:r>
        <w:t xml:space="preserve"> „Servis IT infrastruktury“.</w:t>
      </w:r>
    </w:p>
    <w:p w14:paraId="3A9A82CC" w14:textId="77777777" w:rsidR="00552AD5" w:rsidRDefault="00E52CB0">
      <w:pPr>
        <w:pStyle w:val="Nadpis3"/>
        <w:ind w:left="0" w:firstLine="0"/>
      </w:pPr>
      <w:r>
        <w:t>Cena za jednotlivé služby poskytování správy a podpory IT infrastruktury je obsažena v příloze č.</w:t>
      </w:r>
      <w:r>
        <w:rPr>
          <w:lang w:val="cs-CZ"/>
        </w:rPr>
        <w:t> </w:t>
      </w:r>
      <w:r>
        <w:t>1 této smlouvy.</w:t>
      </w:r>
    </w:p>
    <w:p w14:paraId="5498A8DF" w14:textId="77777777" w:rsidR="00552AD5" w:rsidRDefault="00E52CB0">
      <w:pPr>
        <w:pStyle w:val="Nadpis3"/>
        <w:ind w:left="0" w:firstLine="0"/>
        <w:rPr>
          <w:lang w:val="cs-CZ"/>
        </w:rPr>
      </w:pPr>
      <w:r>
        <w:t>Cena za poskytování správy IT infrastruktury, jakož i cena hodinových sazeb za podporu IT infrastruktury, je stanovena jako cena konečná a úplná.</w:t>
      </w:r>
    </w:p>
    <w:p w14:paraId="7F9347E7" w14:textId="77777777" w:rsidR="00552AD5" w:rsidRDefault="00E52CB0">
      <w:pPr>
        <w:pStyle w:val="Nadpis3"/>
        <w:ind w:left="0" w:firstLine="0"/>
        <w:rPr>
          <w:lang w:val="cs-CZ"/>
        </w:rPr>
      </w:pPr>
      <w:r>
        <w:rPr>
          <w:lang w:val="cs-CZ"/>
        </w:rPr>
        <w:t xml:space="preserve">Poskytovatel </w:t>
      </w:r>
      <w:r>
        <w:t>není oprávněn požadovat po objednateli poskytnutí zálohy.</w:t>
      </w:r>
    </w:p>
    <w:p w14:paraId="503A6167" w14:textId="77777777" w:rsidR="00552AD5" w:rsidRDefault="00E52CB0">
      <w:pPr>
        <w:pStyle w:val="Nadpis3"/>
        <w:ind w:left="0" w:firstLine="0"/>
      </w:pPr>
      <w:r>
        <w:rPr>
          <w:lang w:val="cs-CZ"/>
        </w:rPr>
        <w:t xml:space="preserve">Poskytovatel na sebe bere odpovědnost za to, že fakturovaná sazba a výše </w:t>
      </w:r>
      <w:proofErr w:type="gramStart"/>
      <w:r>
        <w:rPr>
          <w:lang w:val="cs-CZ"/>
        </w:rPr>
        <w:t>daně DPH</w:t>
      </w:r>
      <w:proofErr w:type="gramEnd"/>
      <w:r>
        <w:rPr>
          <w:lang w:val="cs-CZ"/>
        </w:rPr>
        <w:t xml:space="preserve"> bude vždy v každé faktuře stanovena v souladu s aktuálně platnými daňovými předpisy.</w:t>
      </w:r>
    </w:p>
    <w:p w14:paraId="6AB78940" w14:textId="77777777" w:rsidR="00552AD5" w:rsidRDefault="00E52CB0">
      <w:pPr>
        <w:pStyle w:val="Nadpis3"/>
        <w:ind w:left="0" w:firstLine="0"/>
      </w:pPr>
      <w:r>
        <w:t>Daň z přidané hodnoty bude připočtena k ceně ve výši dle právní úpravy platné ke dni uskutečnění zdanitelného plnění.</w:t>
      </w:r>
    </w:p>
    <w:p w14:paraId="1E195E7A" w14:textId="46574D4E" w:rsidR="00552AD5" w:rsidRDefault="00E52CB0">
      <w:pPr>
        <w:pStyle w:val="Nadpis3"/>
        <w:ind w:left="0" w:firstLine="0"/>
      </w:pPr>
      <w:r>
        <w:lastRenderedPageBreak/>
        <w:t xml:space="preserve">Sjednaná cena na základě této smlouvy je cenou nejvýše přípustnou, s výjimkou případů výslovně stanovených touto smlouvou. Cena může být změněna pouze v důsledku změny sazby daně z přidané hodnoty, a dále v případech a způsobem uvedeným v čl. </w:t>
      </w:r>
      <w:r>
        <w:fldChar w:fldCharType="begin"/>
      </w:r>
      <w:r>
        <w:instrText xml:space="preserve"> REF __RefHeading___Toc3871_93952133 \n \n \h </w:instrText>
      </w:r>
      <w:r>
        <w:fldChar w:fldCharType="separate"/>
      </w:r>
      <w:r w:rsidR="0090184E">
        <w:t>5.4</w:t>
      </w:r>
      <w:r>
        <w:fldChar w:fldCharType="end"/>
      </w:r>
      <w:r>
        <w:t xml:space="preserve"> a čl. </w:t>
      </w:r>
      <w:r>
        <w:fldChar w:fldCharType="begin"/>
      </w:r>
      <w:r>
        <w:instrText xml:space="preserve"> REF __RefHeading___Toc3873_93952133 \n \n \h </w:instrText>
      </w:r>
      <w:r>
        <w:fldChar w:fldCharType="separate"/>
      </w:r>
      <w:r w:rsidR="0090184E">
        <w:t>5.5</w:t>
      </w:r>
      <w:r>
        <w:fldChar w:fldCharType="end"/>
      </w:r>
      <w:r>
        <w:t xml:space="preserve"> této smlouvy. V případě změny sazby DPH je poskytovatel oprávněn ke sjednané ceně bez DPH připočítat DPH v procentní sazbě odpovídající zákonné úpravě účinné ke dni uskutečnění zdanitelného plnění.</w:t>
      </w:r>
    </w:p>
    <w:p w14:paraId="4E4A3C52" w14:textId="77777777" w:rsidR="00552AD5" w:rsidRDefault="00E52CB0">
      <w:pPr>
        <w:pStyle w:val="Nadpis3"/>
        <w:ind w:left="0" w:firstLine="0"/>
      </w:pPr>
      <w:r>
        <w:t xml:space="preserve">Splatnost </w:t>
      </w:r>
      <w:r>
        <w:rPr>
          <w:lang w:val="cs-CZ"/>
        </w:rPr>
        <w:t xml:space="preserve">daňových dokladů (dále jen </w:t>
      </w:r>
      <w:r>
        <w:t>faktur</w:t>
      </w:r>
      <w:r>
        <w:rPr>
          <w:lang w:val="cs-CZ"/>
        </w:rPr>
        <w:t>a)</w:t>
      </w:r>
      <w:r>
        <w:t xml:space="preserve"> činí </w:t>
      </w:r>
      <w:r>
        <w:rPr>
          <w:lang w:val="cs-CZ"/>
        </w:rPr>
        <w:t>30</w:t>
      </w:r>
      <w:r>
        <w:t xml:space="preserve"> dnů ode dne jejich prokazatelného doručení na adresu sídla objednatele.</w:t>
      </w:r>
    </w:p>
    <w:p w14:paraId="10F8F301" w14:textId="77777777" w:rsidR="00552AD5" w:rsidRDefault="00E52CB0">
      <w:pPr>
        <w:pStyle w:val="Nadpis3"/>
        <w:ind w:left="0" w:firstLine="0"/>
      </w:pPr>
      <w:r>
        <w:t>Faktura bude mít náležitosti daňového dokladu dle platných právních předpisů (zákona č. 563/1991 Sb., o účetnictví, v platném znění a zákona č. 235/2004 Sb., o dani z přidané hodnoty, v platném znění).</w:t>
      </w:r>
    </w:p>
    <w:p w14:paraId="398F1F57" w14:textId="77777777" w:rsidR="00552AD5" w:rsidRDefault="00E52CB0">
      <w:pPr>
        <w:pStyle w:val="Nadpis3"/>
        <w:ind w:left="0" w:firstLine="0"/>
      </w:pPr>
      <w:r>
        <w:t xml:space="preserve">Všechny faktury dle této smlouvy musí obsahovat jednoznačné určení této smlouvy. </w:t>
      </w:r>
    </w:p>
    <w:p w14:paraId="42B22C5D" w14:textId="77777777" w:rsidR="00552AD5" w:rsidRDefault="00E52CB0">
      <w:pPr>
        <w:pStyle w:val="Nadpis3"/>
        <w:ind w:left="0" w:firstLine="0"/>
      </w:pPr>
      <w:r>
        <w:t xml:space="preserve">Faktury musí obsahovat název smlouvy, číslo účtu </w:t>
      </w:r>
      <w:r>
        <w:rPr>
          <w:lang w:val="cs-CZ"/>
        </w:rPr>
        <w:t>poskytovatele</w:t>
      </w:r>
      <w:r>
        <w:t xml:space="preserve"> a všechny údaje uvedené v § 28 odst. 2 zákona č. 235/2004 Sb., o dani z přidané hodnoty, ve znění pozdějších předpisů.</w:t>
      </w:r>
    </w:p>
    <w:p w14:paraId="485CCADE" w14:textId="77777777" w:rsidR="00552AD5" w:rsidRDefault="00E52CB0">
      <w:pPr>
        <w:pStyle w:val="Nadpis3"/>
        <w:ind w:left="0" w:firstLine="0"/>
      </w:pPr>
      <w:r>
        <w:t xml:space="preserve">V případě, že faktura – daňový doklad nebude obsahovat stanovené náležitosti nebo v něm nebudou správně uvedené údaje, je objednatel oprávněn ji vrátit ve lhůtě splatnosti zpět </w:t>
      </w:r>
      <w:r>
        <w:rPr>
          <w:lang w:val="cs-CZ"/>
        </w:rPr>
        <w:t>poskytovateli</w:t>
      </w:r>
      <w:r>
        <w:t xml:space="preserve"> s uvedením chybějících náležitostí nebo nesprávných údajů. V takovém případě přeruší běh lhůty splatnosti a nová lhůta splatnosti počne běžet doručením opravené faktury – daňového dokladu. </w:t>
      </w:r>
    </w:p>
    <w:p w14:paraId="2ADF93BF" w14:textId="77777777" w:rsidR="00552AD5" w:rsidRDefault="00E52CB0">
      <w:pPr>
        <w:pStyle w:val="Nadpis3"/>
        <w:ind w:left="0" w:firstLine="0"/>
      </w:pPr>
      <w:r>
        <w:t xml:space="preserve">Cena bude </w:t>
      </w:r>
      <w:r>
        <w:rPr>
          <w:lang w:val="cs-CZ"/>
        </w:rPr>
        <w:t>poskytovateli</w:t>
      </w:r>
      <w:r>
        <w:t xml:space="preserve"> zaplacena bezhotovostní formou převodem na jeho bankovní účet. Faktura je považována za proplacenou okamžikem odepsání příslušné částky z účtu objednatele ve prospěch účtu </w:t>
      </w:r>
      <w:r>
        <w:rPr>
          <w:lang w:val="cs-CZ"/>
        </w:rPr>
        <w:t>poskytovatele</w:t>
      </w:r>
      <w:r>
        <w:t>.</w:t>
      </w:r>
    </w:p>
    <w:p w14:paraId="5E33CBD8" w14:textId="77777777" w:rsidR="00552AD5" w:rsidRDefault="00E52CB0">
      <w:pPr>
        <w:pStyle w:val="Nadpis3"/>
        <w:ind w:left="0" w:firstLine="0"/>
      </w:pPr>
      <w:r>
        <w:t xml:space="preserve">Dojde-li ke dni uskutečnění zdanitelného plnění ke změně sazby DPH, bude </w:t>
      </w:r>
      <w:r>
        <w:rPr>
          <w:lang w:val="cs-CZ"/>
        </w:rPr>
        <w:t>poskytovatel</w:t>
      </w:r>
      <w:r>
        <w:t xml:space="preserve"> fakturovat objednateli cenu s DPH ve výši odpovídající platné právní úpravě ke dni uskutečnění zdanitelného plnění.</w:t>
      </w:r>
    </w:p>
    <w:p w14:paraId="042005EC" w14:textId="77777777" w:rsidR="00552AD5" w:rsidRDefault="00E52CB0">
      <w:pPr>
        <w:pStyle w:val="Nadpis3"/>
        <w:ind w:left="0" w:firstLine="0"/>
        <w:rPr>
          <w:lang w:val="cs-CZ"/>
        </w:rPr>
      </w:pPr>
      <w:r>
        <w:t xml:space="preserve">Pro případ, že </w:t>
      </w:r>
      <w:r>
        <w:rPr>
          <w:lang w:val="cs-CZ"/>
        </w:rPr>
        <w:t>poskytovatel</w:t>
      </w:r>
      <w:r>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Pr>
          <w:lang w:val="cs-CZ"/>
        </w:rPr>
        <w:t>poskytovatel</w:t>
      </w:r>
      <w:r>
        <w:t xml:space="preserve"> s tím, že mu </w:t>
      </w:r>
      <w:r>
        <w:rPr>
          <w:lang w:val="cs-CZ"/>
        </w:rPr>
        <w:t>objednatel</w:t>
      </w:r>
      <w:r>
        <w:t xml:space="preserve"> uhradí cenu plnění bez DPH a DPH v příslušné výši odvede za nespolehlivého plátce přímo příslušnému správci daně. V souvislosti s tímto ujednáním nebude </w:t>
      </w:r>
      <w:r>
        <w:rPr>
          <w:lang w:val="cs-CZ"/>
        </w:rPr>
        <w:t>poskytovatel</w:t>
      </w:r>
      <w:r>
        <w:t xml:space="preserve"> vymáhat od </w:t>
      </w:r>
      <w:r>
        <w:rPr>
          <w:lang w:val="cs-CZ"/>
        </w:rPr>
        <w:t>objednatele</w:t>
      </w:r>
      <w:r>
        <w:t xml:space="preserve"> část z ceny plnění rovnající se výši odvedeného DPH a souhlasí s tím, že tímto bude uhrazena část jeho pohledávky, kterou má vůči objednateli, a to ve výši rovnající se výši odvedené DPH.</w:t>
      </w:r>
    </w:p>
    <w:p w14:paraId="5B8FEA27" w14:textId="77777777" w:rsidR="00552AD5" w:rsidRDefault="00E52CB0">
      <w:pPr>
        <w:pStyle w:val="Nadpis3"/>
        <w:ind w:left="0" w:firstLine="0"/>
        <w:rPr>
          <w:lang w:val="cs-CZ"/>
        </w:rPr>
      </w:pPr>
      <w:r>
        <w:rPr>
          <w:lang w:val="cs-CZ"/>
        </w:rPr>
        <w:t xml:space="preserve">Poskytovatel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Objednatel cenu plnění bez DPH a DPH v příslušné výši odvede přímo příslušnému správci daně. V souvislosti s tímto ujednáním nebude poskytovatel vymáhat od Objednatele část z ceny plnění rovnající se výši odvedeného DPH a souhlasí s tím, že tímto bude uhrazena část jeho pohledávky, kterou má vůči Objednateli, a to ve výši rovnající se výši odvedené DPH. </w:t>
      </w:r>
    </w:p>
    <w:p w14:paraId="3B16B595" w14:textId="77777777" w:rsidR="00552AD5" w:rsidRDefault="00E52CB0" w:rsidP="00A7371A">
      <w:pPr>
        <w:pStyle w:val="Nadpis2"/>
      </w:pPr>
      <w:bookmarkStart w:id="25" w:name="__RefHeading___Toc3867_93952133"/>
      <w:bookmarkStart w:id="26" w:name="_Toc212203585"/>
      <w:bookmarkStart w:id="27" w:name="_Toc230001172"/>
      <w:bookmarkEnd w:id="25"/>
      <w:r>
        <w:rPr>
          <w:lang w:val="cs-CZ"/>
        </w:rPr>
        <w:lastRenderedPageBreak/>
        <w:t>Správa IT infrastruktury</w:t>
      </w:r>
      <w:bookmarkEnd w:id="26"/>
      <w:bookmarkEnd w:id="27"/>
    </w:p>
    <w:p w14:paraId="7140DFAE" w14:textId="77777777" w:rsidR="00552AD5" w:rsidRDefault="00E52CB0">
      <w:pPr>
        <w:pStyle w:val="Nadpis3"/>
        <w:ind w:left="0" w:firstLine="0"/>
        <w:rPr>
          <w:lang w:val="cs-CZ"/>
        </w:rPr>
      </w:pPr>
      <w:r>
        <w:t>Cenu za poskytování služeb správy IT infrastruktury hradí objednatel v </w:t>
      </w:r>
      <w:r>
        <w:rPr>
          <w:lang w:val="cs-CZ"/>
        </w:rPr>
        <w:t>čtvrtletních</w:t>
      </w:r>
      <w:r>
        <w:t xml:space="preserve"> platbách </w:t>
      </w:r>
      <w:r>
        <w:rPr>
          <w:lang w:val="cs-CZ"/>
        </w:rPr>
        <w:t>zpětně</w:t>
      </w:r>
      <w:r>
        <w:t>.</w:t>
      </w:r>
    </w:p>
    <w:p w14:paraId="60D20C25" w14:textId="77777777" w:rsidR="00552AD5" w:rsidRDefault="00E52CB0">
      <w:pPr>
        <w:pStyle w:val="Nadpis3"/>
        <w:ind w:left="0" w:firstLine="0"/>
      </w:pPr>
      <w:r>
        <w:rPr>
          <w:lang w:val="cs-CZ"/>
        </w:rPr>
        <w:t>Poskytovatel</w:t>
      </w:r>
      <w:r>
        <w:t xml:space="preserve"> je </w:t>
      </w:r>
      <w:r>
        <w:rPr>
          <w:lang w:val="cs-CZ"/>
        </w:rPr>
        <w:t>z</w:t>
      </w:r>
      <w:r>
        <w:t>a každ</w:t>
      </w:r>
      <w:r>
        <w:rPr>
          <w:lang w:val="cs-CZ"/>
        </w:rPr>
        <w:t>é</w:t>
      </w:r>
      <w:r>
        <w:t xml:space="preserve"> kalendářní </w:t>
      </w:r>
      <w:r>
        <w:rPr>
          <w:lang w:val="cs-CZ"/>
        </w:rPr>
        <w:t>čtvrtletí poskytování služeb</w:t>
      </w:r>
      <w:r>
        <w:t xml:space="preserve"> oprávněn vystavit fakturu vždy nejdříve k datu 1.</w:t>
      </w:r>
      <w:r>
        <w:rPr>
          <w:lang w:val="cs-CZ"/>
        </w:rPr>
        <w:t xml:space="preserve"> dne kalendářního měsíce následujícího po kalendářním čtvrtletí, ve kterém byla služba poskytována</w:t>
      </w:r>
      <w:r>
        <w:t>.</w:t>
      </w:r>
    </w:p>
    <w:p w14:paraId="7528E40B" w14:textId="77777777" w:rsidR="00552AD5" w:rsidRDefault="00E52CB0">
      <w:pPr>
        <w:pStyle w:val="Nadpis3"/>
        <w:ind w:left="0" w:firstLine="0"/>
      </w:pPr>
      <w:r>
        <w:t xml:space="preserve">Po </w:t>
      </w:r>
      <w:r>
        <w:rPr>
          <w:lang w:val="cs-CZ"/>
        </w:rPr>
        <w:t>nabytí účinnosti</w:t>
      </w:r>
      <w:r>
        <w:t xml:space="preserve"> této smlouvy je </w:t>
      </w:r>
      <w:r>
        <w:rPr>
          <w:lang w:val="cs-CZ"/>
        </w:rPr>
        <w:t>poskytovatel</w:t>
      </w:r>
      <w:r>
        <w:t xml:space="preserve"> oprávněn vystavit fakturu za poměrné část ceny odpovídající době skutečného poskytování služeb v kalendářním </w:t>
      </w:r>
      <w:r>
        <w:rPr>
          <w:lang w:val="cs-CZ"/>
        </w:rPr>
        <w:t>čtvrtletí</w:t>
      </w:r>
      <w:r>
        <w:t xml:space="preserve">, ve kterém </w:t>
      </w:r>
      <w:r>
        <w:rPr>
          <w:lang w:val="cs-CZ"/>
        </w:rPr>
        <w:t>smlouva nabyla účinnosti, vypočtenou za konkrétní počet dnů poskytování služby za kalendářní čtvrtletí a za každý započatý den poskytování služeb (typicky pokud bude služba poskytována 1 den a kalendářní čtvrtletí bude mít 90 dnů jako 1/90)</w:t>
      </w:r>
      <w:r>
        <w:t>.</w:t>
      </w:r>
    </w:p>
    <w:p w14:paraId="3CC17CD2" w14:textId="77777777" w:rsidR="00552AD5" w:rsidRDefault="00E52CB0">
      <w:pPr>
        <w:pStyle w:val="Nadpis3"/>
        <w:ind w:left="0" w:firstLine="0"/>
        <w:rPr>
          <w:lang w:val="cs-CZ"/>
        </w:rPr>
      </w:pPr>
      <w:r>
        <w:t xml:space="preserve">Cena za poskytování správy IT infrastruktury bude hrazena na základě faktur vystavených </w:t>
      </w:r>
      <w:r>
        <w:rPr>
          <w:lang w:val="cs-CZ"/>
        </w:rPr>
        <w:t>poskytovatelem</w:t>
      </w:r>
      <w:r>
        <w:t>.</w:t>
      </w:r>
    </w:p>
    <w:p w14:paraId="65DE63D2" w14:textId="77777777" w:rsidR="00552AD5" w:rsidRDefault="00E52CB0" w:rsidP="00A7371A">
      <w:pPr>
        <w:pStyle w:val="Nadpis2"/>
      </w:pPr>
      <w:bookmarkStart w:id="28" w:name="__RefHeading___Toc3869_93952133"/>
      <w:bookmarkStart w:id="29" w:name="_Toc212203586"/>
      <w:bookmarkStart w:id="30" w:name="_Toc230001173"/>
      <w:bookmarkEnd w:id="28"/>
      <w:r>
        <w:rPr>
          <w:lang w:val="cs-CZ"/>
        </w:rPr>
        <w:t>Podpora IT infrastruktury</w:t>
      </w:r>
      <w:bookmarkEnd w:id="29"/>
      <w:bookmarkEnd w:id="30"/>
    </w:p>
    <w:p w14:paraId="1FA85FD5" w14:textId="77777777" w:rsidR="00552AD5" w:rsidRDefault="00E52CB0">
      <w:pPr>
        <w:pStyle w:val="Nadpis3"/>
        <w:ind w:left="0" w:firstLine="0"/>
      </w:pPr>
      <w:r>
        <w:t xml:space="preserve">Faktury na zaplacení sjednaných cen podpory IT infrastruktury je </w:t>
      </w:r>
      <w:r>
        <w:rPr>
          <w:lang w:val="cs-CZ"/>
        </w:rPr>
        <w:t>poskytovatel</w:t>
      </w:r>
      <w:r>
        <w:t xml:space="preserve"> oprávněn vystavit nejdříve následující den po dni uskutečnění zdanitelného plnění, kterým je akceptace provedených služeb podpory</w:t>
      </w:r>
      <w:r>
        <w:rPr>
          <w:lang w:val="cs-CZ"/>
        </w:rPr>
        <w:t xml:space="preserve"> objednatelem</w:t>
      </w:r>
      <w:r>
        <w:t>.</w:t>
      </w:r>
    </w:p>
    <w:p w14:paraId="1971417A" w14:textId="77777777" w:rsidR="00552AD5" w:rsidRDefault="00E52CB0">
      <w:pPr>
        <w:pStyle w:val="Nadpis3"/>
        <w:ind w:left="0" w:firstLine="0"/>
      </w:pPr>
      <w:r>
        <w:t>Akceptací provedených služeb podpory se rozumí písemné potvrzení objednatele (včetně potvrzení e-mailem) o převzetí a provedení služeb na základě písemné výzvy k takovému převzetí ze strany poskytovatele; pokud se objednatel k výzvě k písemné výzvě o převzetí a provedení služeb poskytovatele nevyjádří do 5 pracovních dnů od doručení takové písemné výzvy, má se za to, že byly poskytnuté služby akceptovány.</w:t>
      </w:r>
    </w:p>
    <w:p w14:paraId="28E9A9A8" w14:textId="067FDC68" w:rsidR="00552AD5" w:rsidRDefault="00E52CB0">
      <w:pPr>
        <w:pStyle w:val="Nadpis3"/>
        <w:ind w:left="0" w:firstLine="0"/>
      </w:pPr>
      <w:r>
        <w:t xml:space="preserve">Cena za poskytnuté služby podpory IT infrastruktury bude hrazena na základě faktur vystavených </w:t>
      </w:r>
      <w:r>
        <w:rPr>
          <w:lang w:val="cs-CZ"/>
        </w:rPr>
        <w:t>poskytovatelem</w:t>
      </w:r>
      <w:r>
        <w:t>.</w:t>
      </w:r>
    </w:p>
    <w:p w14:paraId="271E5EAF" w14:textId="77777777" w:rsidR="00552AD5" w:rsidRDefault="00E52CB0" w:rsidP="00A7371A">
      <w:pPr>
        <w:pStyle w:val="Nadpis2"/>
        <w:rPr>
          <w:lang w:val="cs-CZ"/>
        </w:rPr>
      </w:pPr>
      <w:bookmarkStart w:id="31" w:name="__RefHeading___Toc3871_93952133"/>
      <w:bookmarkStart w:id="32" w:name="_Toc230001174"/>
      <w:bookmarkEnd w:id="31"/>
      <w:r>
        <w:t>Změna cen z důvodu i</w:t>
      </w:r>
      <w:bookmarkStart w:id="33" w:name="_Toc212203587"/>
      <w:r>
        <w:t>nflace</w:t>
      </w:r>
      <w:bookmarkEnd w:id="32"/>
      <w:bookmarkEnd w:id="33"/>
    </w:p>
    <w:p w14:paraId="53233272" w14:textId="77777777" w:rsidR="00552AD5" w:rsidRDefault="00E52CB0">
      <w:pPr>
        <w:pStyle w:val="Nadpis3"/>
        <w:ind w:left="0" w:firstLine="0"/>
        <w:rPr>
          <w:lang w:val="cs-CZ"/>
        </w:rPr>
      </w:pPr>
      <w:r>
        <w:rPr>
          <w:lang w:val="cs-CZ"/>
        </w:rPr>
        <w:t>Cena za poskytování služeb správy IT infrastruktury a hodinové sazby za poskytování podpory IT infrastruktury podle této smlouvy podléhají změně v závislosti na vývoji inflace.</w:t>
      </w:r>
    </w:p>
    <w:p w14:paraId="08531536" w14:textId="77777777" w:rsidR="00552AD5" w:rsidRDefault="00E52CB0">
      <w:pPr>
        <w:pStyle w:val="Nadpis3"/>
        <w:ind w:left="0" w:firstLine="0"/>
        <w:rPr>
          <w:lang w:val="cs-CZ"/>
        </w:rPr>
      </w:pPr>
      <w:r>
        <w:rPr>
          <w:lang w:val="cs-CZ"/>
        </w:rPr>
        <w:t xml:space="preserve">Poskytovatel i objednatel je oprávněn uplatnit změnu ceny na základě průměrné roční míry inflace oficiálně vyhlášené </w:t>
      </w:r>
      <w:r>
        <w:rPr>
          <w:b/>
          <w:lang w:val="cs-CZ"/>
        </w:rPr>
        <w:t>Českým statistickým úřadem</w:t>
      </w:r>
      <w:r>
        <w:rPr>
          <w:lang w:val="cs-CZ"/>
        </w:rPr>
        <w:t xml:space="preserve"> za poslední ukončený kalendářní rok, pokud tato inflace, popřípadě kumulovaná inflace za více po sobě bezprostředně následujících kalendářních let, </w:t>
      </w:r>
      <w:r>
        <w:rPr>
          <w:b/>
          <w:lang w:val="cs-CZ"/>
        </w:rPr>
        <w:t>překročí hranici 5 %</w:t>
      </w:r>
      <w:r>
        <w:rPr>
          <w:lang w:val="cs-CZ"/>
        </w:rPr>
        <w:t xml:space="preserve">, počítáno od nabytí účinnosti této smlouvy nebo od poslední změny ceny provedené podle tohoto článku. Do kumulované výše inflace se započítává i případná </w:t>
      </w:r>
      <w:r>
        <w:rPr>
          <w:b/>
          <w:lang w:val="cs-CZ"/>
        </w:rPr>
        <w:t>deflace</w:t>
      </w:r>
      <w:r>
        <w:rPr>
          <w:lang w:val="cs-CZ"/>
        </w:rPr>
        <w:t>; v případě deflace se postupuje obdobně i pro snížení ceny.</w:t>
      </w:r>
    </w:p>
    <w:p w14:paraId="76616B44" w14:textId="77777777" w:rsidR="00552AD5" w:rsidRDefault="00E52CB0">
      <w:pPr>
        <w:pStyle w:val="Nadpis3"/>
        <w:ind w:left="0" w:firstLine="0"/>
        <w:rPr>
          <w:lang w:val="cs-CZ"/>
        </w:rPr>
      </w:pPr>
      <w:r>
        <w:rPr>
          <w:lang w:val="cs-CZ"/>
        </w:rPr>
        <w:t>První uplatnění změny ceny podle tohoto článku je možné nejdříve po uplynutí 12 měsíců ode dne nabytí účinnosti této smlouvy.</w:t>
      </w:r>
    </w:p>
    <w:p w14:paraId="125D07D1" w14:textId="77777777" w:rsidR="00552AD5" w:rsidRDefault="00E52CB0">
      <w:pPr>
        <w:pStyle w:val="Nadpis3"/>
        <w:ind w:left="0" w:firstLine="0"/>
        <w:rPr>
          <w:lang w:val="cs-CZ"/>
        </w:rPr>
      </w:pPr>
      <w:r>
        <w:rPr>
          <w:lang w:val="cs-CZ"/>
        </w:rPr>
        <w:lastRenderedPageBreak/>
        <w:t>Změnu ceny uplatňuje poskytovatel písemnou žádostí doručenou objednateli nejpozději do 28. února kalendářního roku, ve kterém došlo k dosažení hranice inflace podle tohoto článku. Neuplatnění žádosti v daném kalendářním roce nemá vliv na započtení inflace do kumulovaného výpočtu pro další období.</w:t>
      </w:r>
    </w:p>
    <w:p w14:paraId="16019700" w14:textId="77777777" w:rsidR="00552AD5" w:rsidRDefault="00E52CB0">
      <w:pPr>
        <w:pStyle w:val="Nadpis3"/>
        <w:ind w:left="0" w:firstLine="0"/>
        <w:rPr>
          <w:lang w:val="cs-CZ"/>
        </w:rPr>
      </w:pPr>
      <w:r>
        <w:rPr>
          <w:lang w:val="cs-CZ"/>
        </w:rPr>
        <w:t>Změna ceny podle tohoto článku se provede uzavřením dodatku k této smlouvě. Účinnost změny ceny nastává od prvního dne kalendářního měsíce následujícího po nabytí účinnosti tohoto dodatku.</w:t>
      </w:r>
    </w:p>
    <w:p w14:paraId="560A85B5" w14:textId="77777777" w:rsidR="00552AD5" w:rsidRDefault="00E52CB0" w:rsidP="00A7371A">
      <w:pPr>
        <w:pStyle w:val="Nadpis2"/>
        <w:rPr>
          <w:lang w:val="cs-CZ"/>
        </w:rPr>
      </w:pPr>
      <w:bookmarkStart w:id="34" w:name="__RefHeading___Toc3873_93952133"/>
      <w:bookmarkStart w:id="35" w:name="_Toc212203588"/>
      <w:bookmarkStart w:id="36" w:name="_Toc230001175"/>
      <w:bookmarkEnd w:id="34"/>
      <w:r>
        <w:t>Změna cen správy IT infrastruktury z důvodu změny rozsahu</w:t>
      </w:r>
      <w:bookmarkEnd w:id="35"/>
      <w:bookmarkEnd w:id="36"/>
    </w:p>
    <w:p w14:paraId="6CB85F1F" w14:textId="77777777" w:rsidR="00552AD5" w:rsidRDefault="00E52CB0">
      <w:pPr>
        <w:pStyle w:val="Nadpis3"/>
        <w:ind w:left="0" w:firstLine="0"/>
        <w:rPr>
          <w:lang w:val="cs-CZ"/>
        </w:rPr>
      </w:pPr>
      <w:r>
        <w:rPr>
          <w:lang w:val="cs-CZ"/>
        </w:rPr>
        <w:t>Cena za poskytování služeb správy IT infrastruktury podle této smlouvy může být upravena v případě změny rozsahu IT infrastruktury zahrnuté do správy oproti rozsahu uvedenému v příloze č. 1 této smlouvy.</w:t>
      </w:r>
    </w:p>
    <w:p w14:paraId="78261774" w14:textId="77777777" w:rsidR="00552AD5" w:rsidRDefault="00E52CB0">
      <w:pPr>
        <w:pStyle w:val="Nadpis3"/>
        <w:ind w:left="0" w:firstLine="0"/>
        <w:rPr>
          <w:lang w:val="cs-CZ"/>
        </w:rPr>
      </w:pPr>
      <w:r>
        <w:rPr>
          <w:lang w:val="cs-CZ"/>
        </w:rPr>
        <w:t>Změnu ceny může poskytovatel uplatnit na základě písemné žádosti v případě, že dojde ke změně rozsahu IT infrastruktury, přičemž změna ceny se stanoví v procentuálním poměru změny počtu technologií aktivně zahrnutých do správy.</w:t>
      </w:r>
    </w:p>
    <w:p w14:paraId="685EAC42" w14:textId="77777777" w:rsidR="00552AD5" w:rsidRDefault="00E52CB0">
      <w:pPr>
        <w:pStyle w:val="Nadpis3"/>
        <w:ind w:left="0" w:firstLine="0"/>
        <w:rPr>
          <w:lang w:val="cs-CZ"/>
        </w:rPr>
      </w:pPr>
      <w:r>
        <w:rPr>
          <w:lang w:val="cs-CZ"/>
        </w:rPr>
        <w:t>Podkladem pro posouzení změny rozsahu je porovnání rozsahu IT infrastruktury ke dni poslední změny ceny podle tohoto článku, nebo ke dni nabytí účinnosti této smlouvy, pokud ke změně ceny dosud nedošlo, s aktuálním rozsahem IT infrastruktury.</w:t>
      </w:r>
    </w:p>
    <w:p w14:paraId="13034834" w14:textId="77777777" w:rsidR="00552AD5" w:rsidRDefault="00E52CB0">
      <w:pPr>
        <w:pStyle w:val="Nadpis3"/>
        <w:ind w:left="0" w:firstLine="0"/>
        <w:rPr>
          <w:lang w:val="cs-CZ"/>
        </w:rPr>
      </w:pPr>
      <w:r>
        <w:rPr>
          <w:lang w:val="cs-CZ"/>
        </w:rPr>
        <w:t>V případě navýšení rozsahu IT infrastruktury může být změna ceny uplatněna vždy při dosažení každých 5 % nárůstu počtu technologií zahrnutých do správy.</w:t>
      </w:r>
    </w:p>
    <w:p w14:paraId="7FF5BFC3" w14:textId="77777777" w:rsidR="00552AD5" w:rsidRDefault="00E52CB0">
      <w:pPr>
        <w:pStyle w:val="Nadpis3"/>
        <w:ind w:left="0" w:firstLine="0"/>
        <w:rPr>
          <w:lang w:val="cs-CZ"/>
        </w:rPr>
      </w:pPr>
      <w:r>
        <w:rPr>
          <w:lang w:val="cs-CZ"/>
        </w:rPr>
        <w:t>V případě snížení rozsahu IT infrastruktury může být změna ceny uplatněna při dosažení úbytku počtu technologií o více než 10 %.</w:t>
      </w:r>
    </w:p>
    <w:p w14:paraId="11CAA9FB" w14:textId="77777777" w:rsidR="00552AD5" w:rsidRDefault="00E52CB0">
      <w:pPr>
        <w:pStyle w:val="Nadpis3"/>
        <w:ind w:left="0" w:firstLine="0"/>
        <w:rPr>
          <w:lang w:val="cs-CZ"/>
        </w:rPr>
      </w:pPr>
      <w:r>
        <w:rPr>
          <w:lang w:val="cs-CZ"/>
        </w:rPr>
        <w:t>Do výpočtu změny rozsahu se započítávají jak přidané, tak i vyřazené technologie.</w:t>
      </w:r>
    </w:p>
    <w:p w14:paraId="26E7CBB1" w14:textId="77777777" w:rsidR="00552AD5" w:rsidRDefault="00E52CB0">
      <w:pPr>
        <w:pStyle w:val="Nadpis3"/>
        <w:ind w:left="0" w:firstLine="0"/>
        <w:rPr>
          <w:lang w:val="cs-CZ"/>
        </w:rPr>
      </w:pPr>
      <w:r>
        <w:rPr>
          <w:lang w:val="cs-CZ"/>
        </w:rPr>
        <w:t>Změna ceny podle tohoto článku se provede uzavřením dodatku k této smlouvě, přičemž účinnost změny ceny nastává od prvního dne kalendářního měsíce následujícího po nabytí účinnosti tohoto dodatku.</w:t>
      </w:r>
    </w:p>
    <w:p w14:paraId="257E000C" w14:textId="77777777" w:rsidR="00552AD5" w:rsidRDefault="00E52CB0" w:rsidP="00F52094">
      <w:pPr>
        <w:pStyle w:val="Nadpis1"/>
      </w:pPr>
      <w:bookmarkStart w:id="37" w:name="__RefHeading___Toc3875_93952133"/>
      <w:bookmarkStart w:id="38" w:name="_Toc212203589"/>
      <w:bookmarkStart w:id="39" w:name="_Toc230001176"/>
      <w:bookmarkEnd w:id="37"/>
      <w:r>
        <w:rPr>
          <w:lang w:val="cs-CZ"/>
        </w:rPr>
        <w:t>Odstoupení od smlouvy</w:t>
      </w:r>
      <w:bookmarkEnd w:id="38"/>
      <w:bookmarkEnd w:id="39"/>
    </w:p>
    <w:p w14:paraId="6DD48F6B" w14:textId="77777777" w:rsidR="00552AD5" w:rsidRDefault="00E52CB0">
      <w:pPr>
        <w:pStyle w:val="Nadpis3"/>
        <w:ind w:left="0" w:firstLine="0"/>
      </w:pPr>
      <w:r>
        <w:t>Smluvní strany jsou oprávněny od smlouvy ihned odstoupit v případě závažného porušení povinnosti vyplývající z této smlouvy druhou smluvní stranou. Odstoupení je účinné jeho doručením druhé smluvní straně.</w:t>
      </w:r>
    </w:p>
    <w:p w14:paraId="0E8EEB85" w14:textId="77777777" w:rsidR="00552AD5" w:rsidRDefault="00E52CB0">
      <w:pPr>
        <w:pStyle w:val="Nadpis3"/>
        <w:ind w:left="0" w:firstLine="0"/>
      </w:pPr>
      <w:r>
        <w:t xml:space="preserve">Za závažné porušení povinnosti </w:t>
      </w:r>
      <w:r>
        <w:rPr>
          <w:lang w:val="cs-CZ"/>
        </w:rPr>
        <w:t>poskytovatele</w:t>
      </w:r>
      <w:r>
        <w:t xml:space="preserve"> se rozumí prodlení </w:t>
      </w:r>
      <w:r>
        <w:rPr>
          <w:lang w:val="cs-CZ"/>
        </w:rPr>
        <w:t>poskytovatele</w:t>
      </w:r>
      <w:r>
        <w:t xml:space="preserve"> s plněním povinností specifikovaných v článku </w:t>
      </w:r>
      <w:r>
        <w:rPr>
          <w:lang w:val="cs-CZ"/>
        </w:rPr>
        <w:t>2</w:t>
      </w:r>
      <w:r>
        <w:t xml:space="preserve">. této smlouvy a zejména její přílohy č. 1 o více než 30 dní, pokud toto prodlení způsobil </w:t>
      </w:r>
      <w:r>
        <w:rPr>
          <w:lang w:val="cs-CZ"/>
        </w:rPr>
        <w:t>poskytovatel</w:t>
      </w:r>
      <w:r>
        <w:t>, a odmítnutí provedení služeb správy a podpory IT infrastruktury podle této smlouvy.</w:t>
      </w:r>
    </w:p>
    <w:p w14:paraId="1BEDF34F" w14:textId="77777777" w:rsidR="00552AD5" w:rsidRDefault="00E52CB0">
      <w:pPr>
        <w:pStyle w:val="Nadpis3"/>
        <w:ind w:left="0" w:firstLine="0"/>
      </w:pPr>
      <w:r>
        <w:lastRenderedPageBreak/>
        <w:t>Závažným porušením povinnosti objednatele se rozumí prodlení objednatele s úhradou faktur podle této smlouvy o více než 30 dní.</w:t>
      </w:r>
    </w:p>
    <w:p w14:paraId="129BD4B3" w14:textId="77777777" w:rsidR="00552AD5" w:rsidRDefault="00E52CB0">
      <w:pPr>
        <w:pStyle w:val="Nadpis3"/>
        <w:ind w:left="0" w:firstLine="0"/>
        <w:rPr>
          <w:lang w:val="cs-CZ"/>
        </w:rPr>
      </w:pPr>
      <w:r>
        <w:t>V případě odstoupení od smlouvy bude do 30 dnů provedeno vypořádání smluvních stran.</w:t>
      </w:r>
    </w:p>
    <w:p w14:paraId="7F3B96F0" w14:textId="77777777" w:rsidR="00552AD5" w:rsidRDefault="00E52CB0" w:rsidP="00F52094">
      <w:pPr>
        <w:pStyle w:val="Nadpis1"/>
      </w:pPr>
      <w:bookmarkStart w:id="40" w:name="__RefHeading___Toc3877_93952133"/>
      <w:bookmarkStart w:id="41" w:name="_Toc212203590"/>
      <w:bookmarkStart w:id="42" w:name="_Toc230001177"/>
      <w:bookmarkEnd w:id="40"/>
      <w:r>
        <w:rPr>
          <w:lang w:val="cs-CZ"/>
        </w:rPr>
        <w:t>Mlčenlivost</w:t>
      </w:r>
      <w:bookmarkEnd w:id="41"/>
      <w:bookmarkEnd w:id="42"/>
    </w:p>
    <w:p w14:paraId="2C1A7312" w14:textId="77777777" w:rsidR="00552AD5" w:rsidRDefault="00E52CB0">
      <w:pPr>
        <w:pStyle w:val="Nadpis3"/>
        <w:ind w:left="0" w:firstLine="0"/>
      </w:pPr>
      <w:r>
        <w:t>Smluvní strany považují obchodní a technické informace, které si vzájemně poskytly v souvislosti s touto smlouvou, za důvěrné a nesmí je prozradit třetí osobě nebo použít pro jiné účely než pro plnění svých závazků podle této smlouvy. Smluvní strana, která tyto informace prozradí nebo zneužije, je povinna nahradit druhé smluvní straně vzniklou škodu</w:t>
      </w:r>
      <w:r>
        <w:rPr>
          <w:lang w:val="cs-CZ"/>
        </w:rPr>
        <w:t>.</w:t>
      </w:r>
    </w:p>
    <w:p w14:paraId="0DBD3303" w14:textId="77777777" w:rsidR="00552AD5" w:rsidRDefault="00E52CB0">
      <w:pPr>
        <w:pStyle w:val="Nadpis3"/>
        <w:ind w:left="0" w:firstLine="0"/>
      </w:pPr>
      <w:r>
        <w:t>Smluvní strany zajistí, aby osoby, které spolupr</w:t>
      </w:r>
      <w:r>
        <w:rPr>
          <w:lang w:val="cs-CZ"/>
        </w:rPr>
        <w:t>acují</w:t>
      </w:r>
      <w:r>
        <w:t xml:space="preserve"> v rámci této smlouvy, zachovávaly mlčenlivost o všech informacích, s nimiž přijdou do styku v souvislosti s touto smlouvou.</w:t>
      </w:r>
    </w:p>
    <w:p w14:paraId="2E5AB9C8" w14:textId="77777777" w:rsidR="00552AD5" w:rsidRDefault="00E52CB0">
      <w:pPr>
        <w:pStyle w:val="Nadpis3"/>
        <w:ind w:left="0" w:firstLine="0"/>
      </w:pPr>
      <w:r>
        <w:t>Smluvní strany učiní veškerá potřebná opatření, která zamezí vyzrazení informací získaných v souvislosti s plněním podle této smlouvy.</w:t>
      </w:r>
    </w:p>
    <w:p w14:paraId="6995F044" w14:textId="77777777" w:rsidR="00552AD5" w:rsidRDefault="00E52CB0">
      <w:pPr>
        <w:pStyle w:val="Nadpis3"/>
        <w:ind w:left="0" w:firstLine="0"/>
      </w:pPr>
      <w:r>
        <w:t>Za důvěrné nejsou považovány informace, které jsou:</w:t>
      </w:r>
    </w:p>
    <w:p w14:paraId="382F4CE6" w14:textId="77777777" w:rsidR="00552AD5" w:rsidRDefault="00E52CB0">
      <w:pPr>
        <w:numPr>
          <w:ilvl w:val="0"/>
          <w:numId w:val="2"/>
        </w:numPr>
      </w:pPr>
      <w:r>
        <w:t>obecně známé,</w:t>
      </w:r>
    </w:p>
    <w:p w14:paraId="09A5F87D" w14:textId="77777777" w:rsidR="00552AD5" w:rsidRDefault="00E52CB0">
      <w:pPr>
        <w:numPr>
          <w:ilvl w:val="0"/>
          <w:numId w:val="2"/>
        </w:numPr>
      </w:pPr>
      <w:r>
        <w:t>prokazatelně známé smluvní straně před jejich předáním druhou smluvní stranou,</w:t>
      </w:r>
    </w:p>
    <w:p w14:paraId="3F3A7A39" w14:textId="77777777" w:rsidR="00552AD5" w:rsidRDefault="00E52CB0">
      <w:pPr>
        <w:numPr>
          <w:ilvl w:val="0"/>
          <w:numId w:val="2"/>
        </w:numPr>
      </w:pPr>
      <w:r>
        <w:t>legálně získané smluvní stranou od třetí osoby či jinak, aniž by bylo omezeno použití či zveřejnění takto získaných informací,</w:t>
      </w:r>
    </w:p>
    <w:p w14:paraId="416FB9FE" w14:textId="77777777" w:rsidR="00552AD5" w:rsidRDefault="00E52CB0">
      <w:pPr>
        <w:numPr>
          <w:ilvl w:val="0"/>
          <w:numId w:val="2"/>
        </w:numPr>
      </w:pPr>
      <w:r>
        <w:t>získané vlastní činností smluvní strany nezávisle na uzavření této či jiné smlouvy,</w:t>
      </w:r>
    </w:p>
    <w:p w14:paraId="763F2494" w14:textId="77777777" w:rsidR="00552AD5" w:rsidRDefault="00E52CB0">
      <w:pPr>
        <w:numPr>
          <w:ilvl w:val="0"/>
          <w:numId w:val="2"/>
        </w:numPr>
      </w:pPr>
      <w:r>
        <w:t>povinně zveřejňované v souladu s ustanoveními příslušných zákonů.</w:t>
      </w:r>
    </w:p>
    <w:p w14:paraId="6F6B43C3" w14:textId="77777777" w:rsidR="00552AD5" w:rsidRDefault="00E52CB0">
      <w:pPr>
        <w:pStyle w:val="Nadpis3"/>
        <w:ind w:left="0" w:firstLine="0"/>
      </w:pPr>
      <w:r>
        <w:t>Smluvní strany nejsou oprávněny pořizovat kopie informací, s nimiž přijdou do styku při plnění svých závazků podle této smlouvy, pokud to není nezbytně nutné. Smluvní strany nebudou zjišťovat informace, které nejsou nezbytně nutné k řádnému provádění služeb na základě této smlouvy.</w:t>
      </w:r>
    </w:p>
    <w:p w14:paraId="011395BE" w14:textId="77777777" w:rsidR="00552AD5" w:rsidRDefault="00E52CB0">
      <w:pPr>
        <w:pStyle w:val="Nadpis3"/>
        <w:ind w:left="0" w:firstLine="0"/>
        <w:rPr>
          <w:lang w:val="cs-CZ"/>
        </w:rPr>
      </w:pPr>
      <w:r>
        <w:t>Smluvní strany se v souvislosti s touto smlouvou zavazují učinit opatření potřebná k zajištění ochrany před šířením počítačových virů a nelegálních počítačových programů.</w:t>
      </w:r>
    </w:p>
    <w:p w14:paraId="67643DE9" w14:textId="77777777" w:rsidR="00552AD5" w:rsidRDefault="00E52CB0" w:rsidP="00F52094">
      <w:pPr>
        <w:pStyle w:val="Nadpis1"/>
        <w:rPr>
          <w:lang w:val="cs-CZ"/>
        </w:rPr>
      </w:pPr>
      <w:bookmarkStart w:id="43" w:name="__RefHeading___Toc3879_93952133"/>
      <w:bookmarkStart w:id="44" w:name="_Toc212203591"/>
      <w:bookmarkStart w:id="45" w:name="_Toc230001178"/>
      <w:bookmarkEnd w:id="43"/>
      <w:r>
        <w:rPr>
          <w:lang w:val="cs-CZ"/>
        </w:rPr>
        <w:t>P</w:t>
      </w:r>
      <w:bookmarkEnd w:id="44"/>
      <w:r>
        <w:rPr>
          <w:lang w:val="cs-CZ"/>
        </w:rPr>
        <w:t>rohlášení a odpovědnost poskytovatele</w:t>
      </w:r>
      <w:bookmarkEnd w:id="45"/>
    </w:p>
    <w:p w14:paraId="0BA81414" w14:textId="77777777" w:rsidR="00552AD5" w:rsidRDefault="00E52CB0">
      <w:pPr>
        <w:pStyle w:val="Nadpis3"/>
        <w:ind w:left="0" w:firstLine="0"/>
        <w:rPr>
          <w:lang w:val="cs-CZ"/>
        </w:rPr>
      </w:pPr>
      <w:r>
        <w:rPr>
          <w:lang w:val="cs-CZ"/>
        </w:rPr>
        <w:t>Poskytovatel prohlašuje a zavazuje se, že je oprávněn poskytovat předmět plnění podle této smlouvy a že poskytováním plnění podle této smlouvy neporušuje autorská práva ani jiná práva duševního či vlastnického charakteru třetích osob, a to po celou dobu trvání této smlouvy.</w:t>
      </w:r>
    </w:p>
    <w:p w14:paraId="4A16E894" w14:textId="77777777" w:rsidR="00552AD5" w:rsidRDefault="00E52CB0">
      <w:pPr>
        <w:pStyle w:val="Nadpis3"/>
        <w:ind w:left="0" w:firstLine="0"/>
        <w:rPr>
          <w:lang w:val="cs-CZ"/>
        </w:rPr>
      </w:pPr>
      <w:r>
        <w:t>Poskytovatel odpovídá za to, že služby budou poskytovány řádně, odborně a v souladu s touto smlouvou, včetně sjednaných parametrů služeb a SLA, a že budou mít vlastnosti sjednané touto smlouvou.</w:t>
      </w:r>
    </w:p>
    <w:p w14:paraId="6BE56123" w14:textId="77777777" w:rsidR="00552AD5" w:rsidRDefault="00E52CB0">
      <w:pPr>
        <w:pStyle w:val="Nadpis3"/>
        <w:ind w:left="0" w:firstLine="0"/>
      </w:pPr>
      <w:r>
        <w:rPr>
          <w:lang w:val="cs-CZ"/>
        </w:rPr>
        <w:lastRenderedPageBreak/>
        <w:t>Poskytovatel</w:t>
      </w:r>
      <w:r>
        <w:t xml:space="preserve"> se zavazuje, že </w:t>
      </w:r>
      <w:r>
        <w:rPr>
          <w:lang w:val="cs-CZ"/>
        </w:rPr>
        <w:t>poskytované služby</w:t>
      </w:r>
      <w:r>
        <w:t xml:space="preserve"> budou zajišťovány tak, aby předmět </w:t>
      </w:r>
      <w:r>
        <w:rPr>
          <w:lang w:val="cs-CZ"/>
        </w:rPr>
        <w:t xml:space="preserve">správy a podpory IT infrastruktury </w:t>
      </w:r>
      <w:r>
        <w:t>byl způsobilý pro užití k smluvenému účelu a zachoval si smluvené a obvyklé vlastnosti.</w:t>
      </w:r>
    </w:p>
    <w:p w14:paraId="59CC60B8" w14:textId="77777777" w:rsidR="00552AD5" w:rsidRDefault="00E52CB0" w:rsidP="00F52094">
      <w:pPr>
        <w:pStyle w:val="Nadpis1"/>
      </w:pPr>
      <w:bookmarkStart w:id="46" w:name="__RefHeading___Toc3881_93952133"/>
      <w:bookmarkStart w:id="47" w:name="_Toc212203592"/>
      <w:bookmarkStart w:id="48" w:name="_Toc230001179"/>
      <w:bookmarkEnd w:id="46"/>
      <w:r>
        <w:t>Odpovědnost za škodu</w:t>
      </w:r>
      <w:bookmarkEnd w:id="47"/>
      <w:bookmarkEnd w:id="48"/>
    </w:p>
    <w:p w14:paraId="10A746FE" w14:textId="77777777" w:rsidR="00552AD5" w:rsidRDefault="00E52CB0">
      <w:pPr>
        <w:pStyle w:val="Nadpis3"/>
        <w:ind w:left="0" w:firstLine="0"/>
      </w:pPr>
      <w:r>
        <w:t xml:space="preserve">Smluvní strany nesou odpovědnost za způsobenou škodu v rámci platných právních předpisů a této smlouvy. </w:t>
      </w:r>
    </w:p>
    <w:p w14:paraId="7C5B3112" w14:textId="77777777" w:rsidR="00552AD5" w:rsidRDefault="00E52CB0">
      <w:pPr>
        <w:pStyle w:val="Nadpis3"/>
        <w:ind w:left="0" w:firstLine="0"/>
        <w:rPr>
          <w:lang w:val="cs-CZ"/>
        </w:rPr>
      </w:pPr>
      <w:r>
        <w:t>Smluvní strany se zavazují k vyvinutí maximálního úsilí k předcházení škodám a k minimalizaci vzniklých škod.</w:t>
      </w:r>
    </w:p>
    <w:p w14:paraId="51768596" w14:textId="77777777" w:rsidR="00552AD5" w:rsidRDefault="00E52CB0">
      <w:pPr>
        <w:pStyle w:val="Nadpis3"/>
        <w:ind w:left="0" w:firstLine="0"/>
        <w:rPr>
          <w:lang w:val="cs-CZ"/>
        </w:rPr>
      </w:pPr>
      <w:r>
        <w:rPr>
          <w:lang w:val="cs-CZ"/>
        </w:rPr>
        <w:t>Poskytovatel odpovídá za škodu způsobenou při plnění této smlouvy osobami, které použije k plnění, v souladu s § 2914 občanského zákoníku.</w:t>
      </w:r>
    </w:p>
    <w:p w14:paraId="4AEFA3AF" w14:textId="77777777" w:rsidR="00552AD5" w:rsidRDefault="00E52CB0" w:rsidP="00F52094">
      <w:pPr>
        <w:pStyle w:val="Nadpis1"/>
        <w:rPr>
          <w:lang w:val="cs-CZ"/>
        </w:rPr>
      </w:pPr>
      <w:bookmarkStart w:id="49" w:name="__RefHeading___Toc3883_93952133"/>
      <w:bookmarkStart w:id="50" w:name="_Toc212203593"/>
      <w:bookmarkStart w:id="51" w:name="_Toc230001180"/>
      <w:bookmarkEnd w:id="49"/>
      <w:r>
        <w:rPr>
          <w:lang w:val="cs-CZ"/>
        </w:rPr>
        <w:t>Pojištění poskytovatele služeb podle této smlouvy</w:t>
      </w:r>
      <w:bookmarkEnd w:id="50"/>
      <w:bookmarkEnd w:id="51"/>
    </w:p>
    <w:p w14:paraId="66674265" w14:textId="77777777" w:rsidR="00552AD5" w:rsidRDefault="00E52CB0">
      <w:pPr>
        <w:pStyle w:val="Nadpis3"/>
        <w:ind w:left="0" w:firstLine="0"/>
        <w:rPr>
          <w:lang w:val="cs-CZ"/>
        </w:rPr>
      </w:pPr>
      <w:r>
        <w:rPr>
          <w:lang w:val="cs-CZ"/>
        </w:rPr>
        <w:t xml:space="preserve">Poskytovatel je povinen být po celou dobu plnění této smlouvy pojištěn v rámci pojištění </w:t>
      </w:r>
      <w:r>
        <w:t>odpovědnosti</w:t>
      </w:r>
      <w:r>
        <w:rPr>
          <w:lang w:val="cs-CZ"/>
        </w:rPr>
        <w:t xml:space="preserve"> za škodu způsobenou třetí osobě při výkonu podnikatelské činnosti, a to ve výši min. </w:t>
      </w:r>
      <w:proofErr w:type="gramStart"/>
      <w:r>
        <w:rPr>
          <w:lang w:val="cs-CZ"/>
        </w:rPr>
        <w:t>5.000.000,-</w:t>
      </w:r>
      <w:proofErr w:type="gramEnd"/>
      <w:r>
        <w:rPr>
          <w:lang w:val="cs-CZ"/>
        </w:rPr>
        <w:t xml:space="preserve"> Kč.</w:t>
      </w:r>
    </w:p>
    <w:p w14:paraId="226B0405" w14:textId="77777777" w:rsidR="00552AD5" w:rsidRDefault="00E52CB0">
      <w:pPr>
        <w:pStyle w:val="Nadpis3"/>
        <w:ind w:left="0" w:firstLine="0"/>
        <w:rPr>
          <w:lang w:val="cs-CZ"/>
        </w:rPr>
      </w:pPr>
      <w:r>
        <w:rPr>
          <w:lang w:val="cs-CZ"/>
        </w:rPr>
        <w:t xml:space="preserve">Doklady o pojištění předložil poskytovatel objednateli v rámci součinnosti před podpisem této smlouvy a zavazuje se je opětovně kdykoliv v průběhu plnění smlouvy objednateli na základě jeho žádosti předložit.  </w:t>
      </w:r>
    </w:p>
    <w:p w14:paraId="7E85F9CC" w14:textId="77777777" w:rsidR="00552AD5" w:rsidRDefault="00E52CB0" w:rsidP="00F52094">
      <w:pPr>
        <w:pStyle w:val="Nadpis1"/>
        <w:rPr>
          <w:lang w:val="cs-CZ"/>
        </w:rPr>
      </w:pPr>
      <w:bookmarkStart w:id="52" w:name="__RefHeading___Toc3885_93952133"/>
      <w:bookmarkStart w:id="53" w:name="_Toc212203594"/>
      <w:bookmarkStart w:id="54" w:name="_Toc230001181"/>
      <w:bookmarkEnd w:id="52"/>
      <w:r>
        <w:rPr>
          <w:lang w:val="cs-CZ"/>
        </w:rPr>
        <w:t>Role kontaktních osob</w:t>
      </w:r>
      <w:bookmarkEnd w:id="53"/>
      <w:bookmarkEnd w:id="54"/>
    </w:p>
    <w:p w14:paraId="74CCF9F9" w14:textId="77777777" w:rsidR="00552AD5" w:rsidRPr="00036273" w:rsidRDefault="00E52CB0" w:rsidP="00A7371A">
      <w:pPr>
        <w:pStyle w:val="Nadpis2"/>
      </w:pPr>
      <w:bookmarkStart w:id="55" w:name="__RefHeading___Toc3887_93952133"/>
      <w:bookmarkStart w:id="56" w:name="_Toc212203595"/>
      <w:bookmarkStart w:id="57" w:name="_Toc230001182"/>
      <w:bookmarkEnd w:id="55"/>
      <w:r w:rsidRPr="00036273">
        <w:rPr>
          <w:lang w:val="cs-CZ"/>
        </w:rPr>
        <w:t>Kontaktní osoby</w:t>
      </w:r>
      <w:bookmarkEnd w:id="56"/>
      <w:bookmarkEnd w:id="57"/>
    </w:p>
    <w:p w14:paraId="769EB0D4" w14:textId="77777777" w:rsidR="00552AD5" w:rsidRDefault="00E52CB0">
      <w:pPr>
        <w:pStyle w:val="Nadpis3"/>
        <w:ind w:left="0" w:firstLine="0"/>
        <w:rPr>
          <w:lang w:val="cs-CZ"/>
        </w:rPr>
      </w:pPr>
      <w:r>
        <w:t>Veškerá komunikace mezi smluvními stranami v záležitostech této smlouvy bude probíhat prostřednictvím kontaktních osob. Každá smluvní strana jmenuje kontaktní osobu/osoby. Každá ze smluvních stran má právo změnit jí jmenovanou kontaktní osobu, je však povinna vyrozumět o každé změně druhou smluvní stranu. Změna kontaktní osoby je vůči druhé straně účinná teprve okamžikem doručení oznámení na kontaktní email uvedený ve smlouvě nebo do datové schránky.</w:t>
      </w:r>
    </w:p>
    <w:p w14:paraId="40F29A18" w14:textId="77777777" w:rsidR="00552AD5" w:rsidRDefault="00E52CB0">
      <w:pPr>
        <w:pStyle w:val="Nadpis3"/>
        <w:ind w:left="0" w:firstLine="0"/>
        <w:rPr>
          <w:lang w:val="cs-CZ"/>
        </w:rPr>
      </w:pPr>
      <w:r>
        <w:rPr>
          <w:lang w:val="cs-CZ"/>
        </w:rPr>
        <w:t xml:space="preserve">Kontaktní osoby jsou jmenovány smluvními </w:t>
      </w:r>
      <w:proofErr w:type="gramStart"/>
      <w:r>
        <w:rPr>
          <w:lang w:val="cs-CZ"/>
        </w:rPr>
        <w:t>stranami</w:t>
      </w:r>
      <w:proofErr w:type="gramEnd"/>
      <w:r>
        <w:rPr>
          <w:lang w:val="cs-CZ"/>
        </w:rPr>
        <w:t xml:space="preserve"> respektive osobami oprávněnými jednat za příslušnou smluvní stranu (v době uzavření smlouvy se jedná o osoby zastupující smluvní stranu uvedené v článku 1 této smlouvy), a to písemným oznámením doručeným na emailovou adresu druhé smluvní strany uvedené v článku 1. této smlouvy nebo do datové schránky.</w:t>
      </w:r>
    </w:p>
    <w:p w14:paraId="360E65E8" w14:textId="77777777" w:rsidR="00552AD5" w:rsidRDefault="00E52CB0">
      <w:pPr>
        <w:pStyle w:val="Nadpis3"/>
        <w:ind w:left="0" w:firstLine="0"/>
        <w:rPr>
          <w:lang w:val="cs-CZ"/>
        </w:rPr>
      </w:pPr>
      <w:r>
        <w:rPr>
          <w:lang w:val="cs-CZ"/>
        </w:rPr>
        <w:t>Jmenování kontaktních osob nabývá platnosti dnem oznámení a účinnosti po uplynutí 14denní lhůty ode dne oznámení, s výjimkou jmenování kontaktních osob bezprostředně po uzavření této smlouvy, které nabývá účinnosti současně s nabytím platnosti této smlouvy.</w:t>
      </w:r>
    </w:p>
    <w:p w14:paraId="6168514B" w14:textId="77777777" w:rsidR="00552AD5" w:rsidRDefault="00E52CB0">
      <w:pPr>
        <w:pStyle w:val="Nadpis3"/>
        <w:ind w:left="0" w:firstLine="0"/>
      </w:pPr>
      <w:r>
        <w:t>Komunikace mezi kontaktními osobami bude uskutečňována v elektronické podobě (email, HelpDesk) nebo telefonicky.</w:t>
      </w:r>
    </w:p>
    <w:p w14:paraId="7A03862E" w14:textId="77777777" w:rsidR="00552AD5" w:rsidRDefault="00E52CB0">
      <w:pPr>
        <w:pStyle w:val="Nadpis3"/>
        <w:ind w:left="0" w:firstLine="0"/>
      </w:pPr>
      <w:r>
        <w:lastRenderedPageBreak/>
        <w:t>Formální oznámení a právní jednání podle této smlouvy musí být učiněna v písemné formě; tím není dotčena běžná operativní komunikace smluvních stran.</w:t>
      </w:r>
    </w:p>
    <w:p w14:paraId="743F8E0A" w14:textId="77777777" w:rsidR="00552AD5" w:rsidRDefault="00E52CB0">
      <w:pPr>
        <w:pStyle w:val="Nadpis3"/>
        <w:ind w:left="0" w:firstLine="0"/>
      </w:pPr>
      <w:r>
        <w:t>Veškerá korespondence mezi smluvními stranami bude činěna v písemné formě a doručena druhé smluvní straně, přičemž písemná forma je zachována i v případě emailové zprávy.</w:t>
      </w:r>
    </w:p>
    <w:p w14:paraId="4539153C" w14:textId="77777777" w:rsidR="00552AD5" w:rsidRDefault="00E52CB0">
      <w:pPr>
        <w:pStyle w:val="Nadpis3"/>
        <w:ind w:left="0" w:firstLine="0"/>
        <w:rPr>
          <w:lang w:val="cs-CZ"/>
        </w:rPr>
      </w:pPr>
      <w:r>
        <w:rPr>
          <w:lang w:val="cs-CZ"/>
        </w:rPr>
        <w:t>Objednávky služeb podpory vystavuje objednatel. Objednávka bude učiněna v písemné formě.</w:t>
      </w:r>
    </w:p>
    <w:p w14:paraId="39F08586" w14:textId="77777777" w:rsidR="00552AD5" w:rsidRDefault="00E52CB0">
      <w:pPr>
        <w:pStyle w:val="Nadpis3"/>
        <w:ind w:left="0" w:firstLine="0"/>
        <w:rPr>
          <w:lang w:val="cs-CZ"/>
        </w:rPr>
      </w:pPr>
      <w:r>
        <w:rPr>
          <w:lang w:val="cs-CZ"/>
        </w:rPr>
        <w:t>Rozhodným okamžikem pro zahájení poskytování služeb podpory a pro běh lhůt podle této smlouvy je založení příslušného požadavku v HelpDesku poskytovatele, a to bez ohledu na formu, jakou byla objednávka objednatelem iniciována.</w:t>
      </w:r>
    </w:p>
    <w:p w14:paraId="5B3F40A4" w14:textId="77777777" w:rsidR="00552AD5" w:rsidRDefault="00E52CB0">
      <w:pPr>
        <w:pStyle w:val="Nadpis3"/>
        <w:ind w:left="0" w:firstLine="0"/>
        <w:rPr>
          <w:lang w:val="cs-CZ"/>
        </w:rPr>
      </w:pPr>
      <w:r>
        <w:t>Kontaktní osoby budou za smluvní strany potvrzovat akceptační protokoly za provedené služby podpory IT infrastruktury podle této smlouvy.</w:t>
      </w:r>
    </w:p>
    <w:p w14:paraId="249FC10D" w14:textId="77777777" w:rsidR="00552AD5" w:rsidRDefault="00E52CB0" w:rsidP="00F52094">
      <w:pPr>
        <w:pStyle w:val="Nadpis1"/>
      </w:pPr>
      <w:bookmarkStart w:id="58" w:name="__RefHeading___Toc3889_93952133"/>
      <w:bookmarkStart w:id="59" w:name="_Toc212203596"/>
      <w:bookmarkStart w:id="60" w:name="_Toc230001183"/>
      <w:bookmarkEnd w:id="58"/>
      <w:r>
        <w:rPr>
          <w:lang w:val="cs-CZ"/>
        </w:rPr>
        <w:t>Smluvní pokuty</w:t>
      </w:r>
      <w:bookmarkEnd w:id="59"/>
      <w:bookmarkEnd w:id="60"/>
    </w:p>
    <w:p w14:paraId="1FBDD1A9" w14:textId="77777777" w:rsidR="00552AD5" w:rsidRDefault="00E52CB0">
      <w:pPr>
        <w:pStyle w:val="Nadpis3"/>
        <w:ind w:left="0" w:firstLine="0"/>
      </w:pPr>
      <w:r>
        <w:t xml:space="preserve">Pro případ prodlení se zaplacením smluvní ceny se objednatel zavazuje </w:t>
      </w:r>
      <w:r>
        <w:rPr>
          <w:lang w:val="cs-CZ"/>
        </w:rPr>
        <w:t>poskytovateli</w:t>
      </w:r>
      <w:r>
        <w:t xml:space="preserve"> uhradit smluvní </w:t>
      </w:r>
      <w:r>
        <w:rPr>
          <w:lang w:val="cs-CZ"/>
        </w:rPr>
        <w:t>úrok</w:t>
      </w:r>
      <w:r>
        <w:t xml:space="preserve"> ve výši 0,01 % z fakturované ceny za každý den prodlení.</w:t>
      </w:r>
    </w:p>
    <w:p w14:paraId="5021143D" w14:textId="67D3DE0F" w:rsidR="00552AD5" w:rsidRDefault="00E52CB0">
      <w:pPr>
        <w:pStyle w:val="Nadpis3"/>
        <w:ind w:left="0" w:firstLine="0"/>
      </w:pPr>
      <w:r>
        <w:t xml:space="preserve">Pro každý zjištěný případ porušení povinnosti ochrany důvěrných informací dle článku 7. této smlouvy se stanovuje smluvní pokuta ve výši </w:t>
      </w:r>
      <w:r w:rsidR="00853023">
        <w:t>50</w:t>
      </w:r>
      <w:r>
        <w:t xml:space="preserve">.000,- Kč. </w:t>
      </w:r>
    </w:p>
    <w:p w14:paraId="20124BD1" w14:textId="77777777" w:rsidR="00552AD5" w:rsidRDefault="00E52CB0">
      <w:pPr>
        <w:pStyle w:val="Nadpis3"/>
        <w:ind w:left="0" w:firstLine="0"/>
        <w:rPr>
          <w:shd w:val="clear" w:color="auto" w:fill="FFFF00"/>
        </w:rPr>
      </w:pPr>
      <w:r>
        <w:t>Odstraňování nahlášených závad v časech uvedených v tabulce v Příloze č. 1 této smlouvy je zajištěno smluvní pokutou ve výši uvedené pro každý typ závady v příloze č. 1 této smlouvy za každý případ a délku prodlení.</w:t>
      </w:r>
    </w:p>
    <w:p w14:paraId="78F35ABA" w14:textId="39AD1DB5" w:rsidR="00552AD5" w:rsidRDefault="00E52CB0">
      <w:pPr>
        <w:pStyle w:val="Nadpis3"/>
        <w:ind w:left="0" w:firstLine="0"/>
      </w:pPr>
      <w:r>
        <w:t xml:space="preserve">Pro každý zjištěný případ porušení povinnosti poskytovat služby podle této smlouvy v českém jazyce podle článku </w:t>
      </w:r>
      <w:r>
        <w:fldChar w:fldCharType="begin"/>
      </w:r>
      <w:r>
        <w:instrText xml:space="preserve"> REF _Ref212203382 \r \r \h </w:instrText>
      </w:r>
      <w:r>
        <w:fldChar w:fldCharType="separate"/>
      </w:r>
      <w:r w:rsidR="0090184E">
        <w:t>2.1.8</w:t>
      </w:r>
      <w:r>
        <w:fldChar w:fldCharType="end"/>
      </w:r>
      <w:r>
        <w:t xml:space="preserve"> této smlouvy se stanovuje smluvní pokuta ve výši 2.000,- Kč.</w:t>
      </w:r>
    </w:p>
    <w:p w14:paraId="2AEC8E8D" w14:textId="77777777" w:rsidR="00552AD5" w:rsidRDefault="00E52CB0">
      <w:pPr>
        <w:pStyle w:val="Nadpis3"/>
        <w:ind w:left="0" w:firstLine="0"/>
      </w:pPr>
      <w:r>
        <w:t>Zaplacením smluvní pokuty není dotčeno právo poškozené strany na náhradu škody.</w:t>
      </w:r>
    </w:p>
    <w:p w14:paraId="50259029" w14:textId="77777777" w:rsidR="00552AD5" w:rsidRDefault="00E52CB0">
      <w:pPr>
        <w:pStyle w:val="Nadpis3"/>
        <w:ind w:left="0" w:firstLine="0"/>
      </w:pPr>
      <w:r>
        <w:t>Výši smluvních pokut shodně považují obě smluvní strany za přiměřené. Smluvní pokuta je splatná do 30-ti dnů od doručení jejího vyúčtování.</w:t>
      </w:r>
    </w:p>
    <w:p w14:paraId="4C186609" w14:textId="77777777" w:rsidR="00552AD5" w:rsidRDefault="00E52CB0">
      <w:pPr>
        <w:pStyle w:val="Nadpis3"/>
        <w:ind w:left="0" w:firstLine="0"/>
        <w:rPr>
          <w:lang w:val="cs-CZ"/>
        </w:rPr>
      </w:pPr>
      <w:r>
        <w:t>Objednatel je povinen výše uvedené smluvní pokuty vyžadovat. A to vždy nejpozději do konce měsíce, ve kterém mu na zaplacení smluvní pokuty vznikl nárok.</w:t>
      </w:r>
    </w:p>
    <w:p w14:paraId="5F0F4BBF" w14:textId="77777777" w:rsidR="00552AD5" w:rsidRDefault="00E52CB0">
      <w:pPr>
        <w:pStyle w:val="Nadpis1"/>
      </w:pPr>
      <w:bookmarkStart w:id="61" w:name="__RefHeading___Toc3891_93952133"/>
      <w:bookmarkStart w:id="62" w:name="_Toc212203597"/>
      <w:bookmarkStart w:id="63" w:name="_Toc230001184"/>
      <w:bookmarkEnd w:id="61"/>
      <w:r>
        <w:rPr>
          <w:lang w:val="cs-CZ"/>
        </w:rPr>
        <w:t xml:space="preserve">Závěrečná </w:t>
      </w:r>
      <w:r w:rsidRPr="00036273">
        <w:t>ustanovení</w:t>
      </w:r>
      <w:bookmarkEnd w:id="62"/>
      <w:bookmarkEnd w:id="63"/>
    </w:p>
    <w:p w14:paraId="68D9CE7A" w14:textId="77777777" w:rsidR="00552AD5" w:rsidRDefault="00E52CB0">
      <w:pPr>
        <w:pStyle w:val="Nadpis3"/>
        <w:ind w:left="0" w:firstLine="0"/>
      </w:pPr>
      <w:r>
        <w:t xml:space="preserve">Právní vztahy touto smlouvou výslovně neupravené a z ní vyplývající nebo s ní související se řídí příslušnými ustanoveními </w:t>
      </w:r>
      <w:r>
        <w:rPr>
          <w:lang w:val="cs-CZ"/>
        </w:rPr>
        <w:t>zákona č. 89/2012 Sb., občanským zákoníkem</w:t>
      </w:r>
      <w:r>
        <w:t>.</w:t>
      </w:r>
    </w:p>
    <w:p w14:paraId="06D31456" w14:textId="77777777" w:rsidR="00552AD5" w:rsidRDefault="00E52CB0">
      <w:pPr>
        <w:pStyle w:val="Nadpis3"/>
        <w:ind w:left="0" w:firstLine="0"/>
      </w:pPr>
      <w:r>
        <w:t>Jakékoli změny či doplňky této smlouvy je možné platně učinit pouze formou písemných a vzestupně číslovaných dodatků, podepsaných oprávněnými zástupci obou smluvních stran.</w:t>
      </w:r>
    </w:p>
    <w:p w14:paraId="6ABFDDF0" w14:textId="77777777" w:rsidR="00552AD5" w:rsidRDefault="00E52CB0">
      <w:pPr>
        <w:pStyle w:val="Nadpis3"/>
        <w:ind w:left="0" w:firstLine="0"/>
      </w:pPr>
      <w:r>
        <w:t xml:space="preserve">V případě, že po podpisu této smlouvy na poskytovatele anebo jeho poddodavatele budou dopadat mezinárodní sankce podle zákona upravujícího provádění mezinárodních sankcí č. 69/2006 </w:t>
      </w:r>
      <w:r>
        <w:lastRenderedPageBreak/>
        <w:t>Sb. ve smyslu zákona č. 240/2022 Sb. účinného od 1. 9. 2022, je povinen to poskytovatel písemně oznámit objednateli. V případě, že oznámení neprovede a objednatel zjistí, že na poskytovatele anebo jeho poddodavatele mezinárodní sankce dopadají, vyzve dodavatele k vysvětlení nebo nápravě formou vyjmutí osoby ze sankčního seznamu. V případě že náprava není možná, odstoupí objednatel od této smlouvy, přičemž účinnost odstoupení nastává doručením odstoupení poskytovateli.</w:t>
      </w:r>
    </w:p>
    <w:p w14:paraId="5DB230F4" w14:textId="77777777" w:rsidR="00552AD5" w:rsidRDefault="00E52CB0">
      <w:pPr>
        <w:pStyle w:val="Nadpis3"/>
        <w:ind w:left="0" w:firstLine="0"/>
        <w:rPr>
          <w:lang w:val="cs-CZ"/>
        </w:rPr>
      </w:pPr>
      <w:r>
        <w:t>Obě smluvní strany berou na vědomí, že tato smlouva včetně případných dodatků bude v rámci plnění zákonné povinnosti objednatele uveřejněna.</w:t>
      </w:r>
    </w:p>
    <w:p w14:paraId="180CE8A5" w14:textId="77777777" w:rsidR="00552AD5" w:rsidRDefault="00E52CB0">
      <w:pPr>
        <w:pStyle w:val="Nadpis3"/>
        <w:ind w:left="0" w:firstLine="0"/>
      </w:pPr>
      <w:r>
        <w:rPr>
          <w:lang w:val="cs-CZ"/>
        </w:rPr>
        <w:t>Dle zákona č. 340/2015 Sb., o registru smluv zveřejní objednatel tuto Smlouvu včetně příloh a případných dodatků v registru smluv. Zveřejnění bude provedeno za pomoci automatického strojového převodu textu.</w:t>
      </w:r>
    </w:p>
    <w:p w14:paraId="4245B9EA" w14:textId="77777777" w:rsidR="00552AD5" w:rsidRDefault="00E52CB0">
      <w:pPr>
        <w:pStyle w:val="Nadpis3"/>
        <w:ind w:left="0" w:firstLine="0"/>
        <w:rPr>
          <w:rFonts w:eastAsia="Calibri" w:cs="Calibri"/>
        </w:rPr>
      </w:pPr>
      <w:r>
        <w:t>Tato smlouva je vyhotovena v jednom elektronickém originálu.</w:t>
      </w:r>
    </w:p>
    <w:p w14:paraId="07FA13CA" w14:textId="77777777" w:rsidR="00552AD5" w:rsidRDefault="00E52CB0">
      <w:pPr>
        <w:pStyle w:val="Nadpis3"/>
        <w:ind w:left="0" w:firstLine="0"/>
      </w:pPr>
      <w:r>
        <w:rPr>
          <w:rFonts w:eastAsia="Calibri" w:cs="Calibri"/>
        </w:rPr>
        <w:t xml:space="preserve"> </w:t>
      </w:r>
      <w:r>
        <w:t xml:space="preserve">Smlouva nabývá platnosti dnem podpisu smluvní stranou, která ji podepíše jako druhá. </w:t>
      </w:r>
    </w:p>
    <w:p w14:paraId="1FD5CE54" w14:textId="77777777" w:rsidR="00552AD5" w:rsidRDefault="00E52CB0">
      <w:pPr>
        <w:pStyle w:val="Nadpis3"/>
        <w:ind w:left="0" w:firstLine="0"/>
      </w:pPr>
      <w:r>
        <w:t>Dle § 6 odst. 1 zákona č. 340/2015 Sb., o registru smluv, tato Smlouva nabývá účinnosti dnem uveřejnění v registru smluv.</w:t>
      </w:r>
    </w:p>
    <w:p w14:paraId="68592ADB" w14:textId="77777777" w:rsidR="00552AD5" w:rsidRDefault="00E52CB0">
      <w:pPr>
        <w:pStyle w:val="Nadpis3"/>
        <w:ind w:left="0" w:firstLine="0"/>
      </w:pPr>
      <w:r>
        <w:t>Smluvní strany prohlašují, že smlouva byla sepsána dle jejich pravé a svobodné vůle, že si ji před jejím podpisem přečetly a s celým jejím obsahem souhlasí.</w:t>
      </w:r>
    </w:p>
    <w:p w14:paraId="182F03FB" w14:textId="044C7C96" w:rsidR="00DD2FE3" w:rsidRPr="00DD2FE3" w:rsidRDefault="00DD2FE3" w:rsidP="00036273">
      <w:r>
        <w:rPr>
          <w:lang w:val="x-none"/>
        </w:rPr>
        <w:t xml:space="preserve">13.1.10 </w:t>
      </w:r>
      <w:r w:rsidRPr="00DD2FE3">
        <w:t xml:space="preserve">Uzavření této smlouvy schválila Rada města Jindřichův Hradec dne </w:t>
      </w:r>
      <w:r w:rsidR="006C6929">
        <w:t>13.5.2026</w:t>
      </w:r>
      <w:r w:rsidRPr="00DD2FE3">
        <w:t xml:space="preserve"> usnesením č. </w:t>
      </w:r>
      <w:r w:rsidR="009A0895">
        <w:t>386/16R/2026</w:t>
      </w:r>
    </w:p>
    <w:p w14:paraId="67DCF404" w14:textId="5EB8760B" w:rsidR="00DD2FE3" w:rsidRPr="00036273" w:rsidRDefault="00DD2FE3" w:rsidP="00036273">
      <w:pPr>
        <w:rPr>
          <w:lang w:val="x-none"/>
        </w:rPr>
      </w:pPr>
    </w:p>
    <w:p w14:paraId="3FCDF232" w14:textId="77777777" w:rsidR="00552AD5" w:rsidRDefault="00E52CB0" w:rsidP="00A7371A">
      <w:pPr>
        <w:pStyle w:val="Nadpis2"/>
      </w:pPr>
      <w:bookmarkStart w:id="64" w:name="__RefHeading___Toc3893_93952133"/>
      <w:bookmarkStart w:id="65" w:name="_Toc212203598"/>
      <w:bookmarkStart w:id="66" w:name="_Toc230001185"/>
      <w:bookmarkEnd w:id="64"/>
      <w:r>
        <w:rPr>
          <w:lang w:val="cs-CZ"/>
        </w:rPr>
        <w:t>Nedílnou součástí této smlouvy jsou její přílohy:</w:t>
      </w:r>
      <w:bookmarkEnd w:id="65"/>
      <w:bookmarkEnd w:id="66"/>
    </w:p>
    <w:p w14:paraId="5AD12B73" w14:textId="77777777" w:rsidR="00552AD5" w:rsidRDefault="00E52CB0">
      <w:pPr>
        <w:pStyle w:val="Nadpis3"/>
        <w:keepNext/>
        <w:spacing w:after="200"/>
        <w:ind w:left="0" w:firstLine="0"/>
      </w:pPr>
      <w:r>
        <w:t>Příloha č. 1 Smlouvy o poskytování služeb správy a podpory IT infrastruktury specifikující jednotlivé druhy poskytovaných služeb.</w:t>
      </w:r>
    </w:p>
    <w:tbl>
      <w:tblPr>
        <w:tblW w:w="9288" w:type="dxa"/>
        <w:tblLayout w:type="fixed"/>
        <w:tblLook w:val="0000" w:firstRow="0" w:lastRow="0" w:firstColumn="0" w:lastColumn="0" w:noHBand="0" w:noVBand="0"/>
      </w:tblPr>
      <w:tblGrid>
        <w:gridCol w:w="4644"/>
        <w:gridCol w:w="4644"/>
      </w:tblGrid>
      <w:tr w:rsidR="00552AD5" w14:paraId="29ED0097" w14:textId="77777777" w:rsidTr="00356388">
        <w:trPr>
          <w:trHeight w:val="290"/>
        </w:trPr>
        <w:tc>
          <w:tcPr>
            <w:tcW w:w="4644" w:type="dxa"/>
            <w:vAlign w:val="center"/>
          </w:tcPr>
          <w:p w14:paraId="257CB8F7" w14:textId="4BAC391C" w:rsidR="00552AD5" w:rsidRDefault="00AA1FC0">
            <w:pPr>
              <w:keepNext/>
              <w:spacing w:before="120" w:after="0"/>
              <w:jc w:val="center"/>
            </w:pPr>
            <w:r>
              <w:t>V Praze</w:t>
            </w:r>
            <w:r w:rsidR="00E52CB0">
              <w:t xml:space="preserve"> dne</w:t>
            </w:r>
            <w:r>
              <w:t xml:space="preserve"> dle el. podpisu</w:t>
            </w:r>
          </w:p>
        </w:tc>
        <w:tc>
          <w:tcPr>
            <w:tcW w:w="4644" w:type="dxa"/>
            <w:vAlign w:val="center"/>
          </w:tcPr>
          <w:p w14:paraId="3CD09B92" w14:textId="77777777" w:rsidR="00552AD5" w:rsidRPr="00356388" w:rsidRDefault="00E52CB0">
            <w:pPr>
              <w:keepNext/>
              <w:spacing w:before="120" w:after="0"/>
              <w:jc w:val="center"/>
            </w:pPr>
            <w:r w:rsidRPr="00356388">
              <w:t>V Jindřichově Hradci dne ………………...............</w:t>
            </w:r>
          </w:p>
        </w:tc>
      </w:tr>
      <w:tr w:rsidR="00552AD5" w14:paraId="6F025BD9" w14:textId="77777777" w:rsidTr="00356388">
        <w:trPr>
          <w:trHeight w:val="338"/>
        </w:trPr>
        <w:tc>
          <w:tcPr>
            <w:tcW w:w="4644" w:type="dxa"/>
            <w:vAlign w:val="center"/>
          </w:tcPr>
          <w:p w14:paraId="043C5E73" w14:textId="77777777" w:rsidR="00552AD5" w:rsidRDefault="00E52CB0">
            <w:pPr>
              <w:keepNext/>
              <w:spacing w:after="0"/>
              <w:jc w:val="center"/>
            </w:pPr>
            <w:r>
              <w:t>Za poskytovatele</w:t>
            </w:r>
          </w:p>
        </w:tc>
        <w:tc>
          <w:tcPr>
            <w:tcW w:w="4644" w:type="dxa"/>
            <w:vAlign w:val="center"/>
          </w:tcPr>
          <w:p w14:paraId="1B002118" w14:textId="77777777" w:rsidR="00552AD5" w:rsidRPr="00356388" w:rsidRDefault="00E52CB0">
            <w:pPr>
              <w:keepNext/>
              <w:spacing w:after="0"/>
              <w:jc w:val="center"/>
            </w:pPr>
            <w:r w:rsidRPr="00356388">
              <w:t>Za objednatele</w:t>
            </w:r>
          </w:p>
        </w:tc>
      </w:tr>
      <w:tr w:rsidR="00552AD5" w14:paraId="2BDA9BF0" w14:textId="77777777" w:rsidTr="00356388">
        <w:trPr>
          <w:trHeight w:val="1186"/>
        </w:trPr>
        <w:tc>
          <w:tcPr>
            <w:tcW w:w="4644" w:type="dxa"/>
            <w:vAlign w:val="bottom"/>
          </w:tcPr>
          <w:p w14:paraId="488A94A2" w14:textId="77777777" w:rsidR="00552AD5" w:rsidRDefault="00E52CB0">
            <w:pPr>
              <w:keepNext/>
              <w:spacing w:after="0"/>
              <w:jc w:val="center"/>
            </w:pPr>
            <w:r>
              <w:t>…………………...……………..</w:t>
            </w:r>
          </w:p>
        </w:tc>
        <w:tc>
          <w:tcPr>
            <w:tcW w:w="4644" w:type="dxa"/>
            <w:vAlign w:val="bottom"/>
          </w:tcPr>
          <w:p w14:paraId="0774EDFC" w14:textId="77777777" w:rsidR="00552AD5" w:rsidRPr="00356388" w:rsidRDefault="00E52CB0">
            <w:pPr>
              <w:keepNext/>
              <w:spacing w:after="0"/>
              <w:jc w:val="center"/>
            </w:pPr>
            <w:r w:rsidRPr="00356388">
              <w:t>………………………………..</w:t>
            </w:r>
          </w:p>
        </w:tc>
      </w:tr>
      <w:tr w:rsidR="00552AD5" w14:paraId="5A0F40D5" w14:textId="77777777" w:rsidTr="00356388">
        <w:trPr>
          <w:trHeight w:val="791"/>
        </w:trPr>
        <w:tc>
          <w:tcPr>
            <w:tcW w:w="4644" w:type="dxa"/>
          </w:tcPr>
          <w:p w14:paraId="7C9D1349" w14:textId="3024582A" w:rsidR="00552AD5" w:rsidRDefault="00AA1FC0">
            <w:pPr>
              <w:spacing w:after="0"/>
              <w:jc w:val="center"/>
            </w:pPr>
            <w:r>
              <w:rPr>
                <w:b/>
              </w:rPr>
              <w:t>Bc. Martin Novák, jednatel</w:t>
            </w:r>
          </w:p>
          <w:p w14:paraId="30F9D434" w14:textId="0D8C0D3B" w:rsidR="00552AD5" w:rsidRDefault="00552AD5">
            <w:pPr>
              <w:spacing w:after="0"/>
              <w:jc w:val="center"/>
            </w:pPr>
          </w:p>
        </w:tc>
        <w:tc>
          <w:tcPr>
            <w:tcW w:w="4644" w:type="dxa"/>
          </w:tcPr>
          <w:p w14:paraId="7B4E8BF4" w14:textId="77777777" w:rsidR="00552AD5" w:rsidRPr="00356388" w:rsidRDefault="00E52CB0">
            <w:pPr>
              <w:snapToGrid w:val="0"/>
              <w:spacing w:after="0"/>
              <w:jc w:val="center"/>
              <w:rPr>
                <w:b/>
              </w:rPr>
            </w:pPr>
            <w:r w:rsidRPr="00356388">
              <w:rPr>
                <w:b/>
              </w:rPr>
              <w:t>Mgr. Ing. Michal Kozár, MBA, starosta</w:t>
            </w:r>
          </w:p>
          <w:p w14:paraId="0F5C1145" w14:textId="77777777" w:rsidR="00552AD5" w:rsidRPr="00356388" w:rsidRDefault="00552AD5">
            <w:pPr>
              <w:spacing w:after="0"/>
              <w:jc w:val="center"/>
              <w:rPr>
                <w:b/>
              </w:rPr>
            </w:pPr>
          </w:p>
        </w:tc>
      </w:tr>
    </w:tbl>
    <w:p w14:paraId="16371122" w14:textId="77777777" w:rsidR="00552AD5" w:rsidRDefault="00552AD5">
      <w:pPr>
        <w:sectPr w:rsidR="00552AD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docGrid w:linePitch="360"/>
        </w:sectPr>
      </w:pPr>
    </w:p>
    <w:p w14:paraId="59991274" w14:textId="77777777" w:rsidR="00552AD5" w:rsidRPr="00A7371A" w:rsidRDefault="00E52CB0" w:rsidP="00036273">
      <w:pPr>
        <w:pStyle w:val="Nadpis1"/>
        <w:numPr>
          <w:ilvl w:val="0"/>
          <w:numId w:val="0"/>
        </w:numPr>
        <w:jc w:val="center"/>
      </w:pPr>
      <w:bookmarkStart w:id="67" w:name="_Toc230001186"/>
      <w:r w:rsidRPr="00A7371A">
        <w:lastRenderedPageBreak/>
        <w:t>Příloha č. 1 Smlouvy o poskytování služeb správy a podpory IT infrastruktury</w:t>
      </w:r>
      <w:bookmarkEnd w:id="67"/>
    </w:p>
    <w:p w14:paraId="6065C275" w14:textId="77777777" w:rsidR="00552AD5" w:rsidRDefault="00E52CB0">
      <w:r>
        <w:t>Podmínky provádění správy a podpory IT infrastruktury.</w:t>
      </w:r>
    </w:p>
    <w:p w14:paraId="3AE1E5EF" w14:textId="77777777" w:rsidR="00552AD5" w:rsidRDefault="00E52CB0" w:rsidP="00036273">
      <w:pPr>
        <w:pStyle w:val="Nadpis1"/>
        <w:numPr>
          <w:ilvl w:val="0"/>
          <w:numId w:val="13"/>
        </w:numPr>
      </w:pPr>
      <w:bookmarkStart w:id="68" w:name="__RefHeading___Toc3895_93952133"/>
      <w:bookmarkStart w:id="69" w:name="_Toc212203599"/>
      <w:bookmarkStart w:id="70" w:name="_Toc230001187"/>
      <w:bookmarkEnd w:id="68"/>
      <w:r w:rsidRPr="00F52094">
        <w:t>Rozsah</w:t>
      </w:r>
      <w:r w:rsidRPr="00A7371A">
        <w:rPr>
          <w:lang w:val="cs-CZ"/>
        </w:rPr>
        <w:t xml:space="preserve"> </w:t>
      </w:r>
      <w:r w:rsidRPr="00F52094">
        <w:t>správy</w:t>
      </w:r>
      <w:r w:rsidRPr="00A7371A">
        <w:rPr>
          <w:lang w:val="cs-CZ"/>
        </w:rPr>
        <w:t xml:space="preserve"> IT </w:t>
      </w:r>
      <w:r w:rsidRPr="00F52094">
        <w:t>infrastruktury</w:t>
      </w:r>
      <w:bookmarkEnd w:id="69"/>
      <w:bookmarkEnd w:id="70"/>
    </w:p>
    <w:p w14:paraId="073EDD17" w14:textId="77777777" w:rsidR="00552AD5" w:rsidRDefault="00E52CB0">
      <w:r>
        <w:t>Správa IT infrastruktury bude poskytována průběžně v následujícím rozsahu (seznam technologií uvedený v této příloze č. 1 představuje výchozí rozsah IT infrastruktury ke dni nabytí účinnosti smlouvy a slouží jako referenční základ pro vyhodnocování změn rozsahu služeb, cen a SLA):</w:t>
      </w:r>
    </w:p>
    <w:p w14:paraId="11B477FA" w14:textId="77777777" w:rsidR="00552AD5" w:rsidRPr="00036273" w:rsidRDefault="00E52CB0" w:rsidP="00794E2E">
      <w:pPr>
        <w:pStyle w:val="Nadpis2"/>
        <w:rPr>
          <w:lang w:val="cs-CZ"/>
        </w:rPr>
      </w:pPr>
      <w:bookmarkStart w:id="71" w:name="__RefHeading___Toc3897_93952133"/>
      <w:bookmarkStart w:id="72" w:name="_Toc212203600"/>
      <w:bookmarkStart w:id="73" w:name="_Toc230001188"/>
      <w:bookmarkEnd w:id="71"/>
      <w:r w:rsidRPr="00A7371A">
        <w:rPr>
          <w:lang w:val="cs-CZ"/>
        </w:rPr>
        <w:t>Rozsah IT infrastruktury určené pro správu</w:t>
      </w:r>
      <w:bookmarkEnd w:id="72"/>
      <w:bookmarkEnd w:id="73"/>
    </w:p>
    <w:tbl>
      <w:tblPr>
        <w:tblW w:w="8504" w:type="dxa"/>
        <w:tblInd w:w="2" w:type="dxa"/>
        <w:tblLayout w:type="fixed"/>
        <w:tblCellMar>
          <w:left w:w="30" w:type="dxa"/>
          <w:right w:w="30" w:type="dxa"/>
        </w:tblCellMar>
        <w:tblLook w:val="04A0" w:firstRow="1" w:lastRow="0" w:firstColumn="1" w:lastColumn="0" w:noHBand="0" w:noVBand="1"/>
      </w:tblPr>
      <w:tblGrid>
        <w:gridCol w:w="3956"/>
        <w:gridCol w:w="3757"/>
        <w:gridCol w:w="791"/>
      </w:tblGrid>
      <w:tr w:rsidR="00552AD5" w14:paraId="1301209D" w14:textId="77777777">
        <w:trPr>
          <w:trHeight w:val="300"/>
        </w:trPr>
        <w:tc>
          <w:tcPr>
            <w:tcW w:w="3956" w:type="dxa"/>
            <w:vAlign w:val="center"/>
          </w:tcPr>
          <w:p w14:paraId="536B6346" w14:textId="77777777" w:rsidR="00552AD5" w:rsidRDefault="00E52CB0">
            <w:pPr>
              <w:jc w:val="center"/>
              <w:rPr>
                <w:b/>
                <w:bCs/>
              </w:rPr>
            </w:pPr>
            <w:r>
              <w:rPr>
                <w:rFonts w:ascii="Aptos Narrow" w:hAnsi="Aptos Narrow"/>
                <w:b/>
                <w:bCs/>
                <w:i/>
              </w:rPr>
              <w:t>Položka</w:t>
            </w:r>
          </w:p>
        </w:tc>
        <w:tc>
          <w:tcPr>
            <w:tcW w:w="3757" w:type="dxa"/>
            <w:vAlign w:val="center"/>
          </w:tcPr>
          <w:p w14:paraId="59CC49C6" w14:textId="77777777" w:rsidR="00552AD5" w:rsidRDefault="00E52CB0">
            <w:pPr>
              <w:jc w:val="center"/>
              <w:rPr>
                <w:b/>
                <w:bCs/>
              </w:rPr>
            </w:pPr>
            <w:r>
              <w:rPr>
                <w:rFonts w:ascii="Aptos Narrow" w:hAnsi="Aptos Narrow"/>
                <w:b/>
                <w:bCs/>
                <w:i/>
              </w:rPr>
              <w:t>Popis</w:t>
            </w:r>
          </w:p>
        </w:tc>
        <w:tc>
          <w:tcPr>
            <w:tcW w:w="791" w:type="dxa"/>
            <w:vAlign w:val="center"/>
          </w:tcPr>
          <w:p w14:paraId="0D370680" w14:textId="77777777" w:rsidR="00552AD5" w:rsidRDefault="00E52CB0">
            <w:pPr>
              <w:jc w:val="center"/>
              <w:rPr>
                <w:b/>
                <w:bCs/>
              </w:rPr>
            </w:pPr>
            <w:r>
              <w:rPr>
                <w:rFonts w:ascii="Aptos Narrow" w:hAnsi="Aptos Narrow"/>
                <w:b/>
                <w:bCs/>
                <w:i/>
              </w:rPr>
              <w:t>Počet ks</w:t>
            </w:r>
          </w:p>
        </w:tc>
      </w:tr>
      <w:tr w:rsidR="00552AD5" w14:paraId="3D5AB3DE" w14:textId="77777777">
        <w:trPr>
          <w:trHeight w:val="328"/>
        </w:trPr>
        <w:tc>
          <w:tcPr>
            <w:tcW w:w="3956" w:type="dxa"/>
            <w:vAlign w:val="center"/>
          </w:tcPr>
          <w:p w14:paraId="2D4CDEC9" w14:textId="77777777" w:rsidR="00552AD5" w:rsidRDefault="00E52CB0">
            <w:pPr>
              <w:jc w:val="left"/>
            </w:pPr>
            <w:r>
              <w:rPr>
                <w:rFonts w:ascii="Aptos Narrow" w:hAnsi="Aptos Narrow"/>
              </w:rPr>
              <w:t>1ks ESX Serveru,</w:t>
            </w:r>
          </w:p>
        </w:tc>
        <w:tc>
          <w:tcPr>
            <w:tcW w:w="3757" w:type="dxa"/>
            <w:vAlign w:val="center"/>
          </w:tcPr>
          <w:p w14:paraId="790B7DE3" w14:textId="77777777" w:rsidR="00552AD5" w:rsidRDefault="00E52CB0">
            <w:pPr>
              <w:jc w:val="left"/>
            </w:pPr>
            <w:r>
              <w:rPr>
                <w:rFonts w:ascii="Aptos Narrow" w:hAnsi="Aptos Narrow"/>
              </w:rPr>
              <w:t xml:space="preserve">Server </w:t>
            </w:r>
            <w:proofErr w:type="spellStart"/>
            <w:r>
              <w:rPr>
                <w:rFonts w:ascii="Aptos Narrow" w:hAnsi="Aptos Narrow"/>
              </w:rPr>
              <w:t>ThinkSystem</w:t>
            </w:r>
            <w:proofErr w:type="spellEnd"/>
            <w:r>
              <w:rPr>
                <w:rFonts w:ascii="Aptos Narrow" w:hAnsi="Aptos Narrow"/>
              </w:rPr>
              <w:t xml:space="preserve"> SR650 V2</w:t>
            </w:r>
          </w:p>
        </w:tc>
        <w:tc>
          <w:tcPr>
            <w:tcW w:w="791" w:type="dxa"/>
            <w:vAlign w:val="center"/>
          </w:tcPr>
          <w:p w14:paraId="48E9687F" w14:textId="77777777" w:rsidR="00552AD5" w:rsidRDefault="00E52CB0">
            <w:pPr>
              <w:jc w:val="center"/>
            </w:pPr>
            <w:r>
              <w:rPr>
                <w:rFonts w:ascii="Aptos Narrow" w:hAnsi="Aptos Narrow"/>
              </w:rPr>
              <w:t>1</w:t>
            </w:r>
          </w:p>
        </w:tc>
      </w:tr>
      <w:tr w:rsidR="00552AD5" w14:paraId="48EBB682" w14:textId="77777777">
        <w:trPr>
          <w:trHeight w:val="328"/>
        </w:trPr>
        <w:tc>
          <w:tcPr>
            <w:tcW w:w="3956" w:type="dxa"/>
            <w:vAlign w:val="center"/>
          </w:tcPr>
          <w:p w14:paraId="5BB31C6B" w14:textId="77777777" w:rsidR="00552AD5" w:rsidRDefault="00E52CB0">
            <w:pPr>
              <w:jc w:val="left"/>
            </w:pPr>
            <w:r>
              <w:rPr>
                <w:rFonts w:ascii="Aptos Narrow" w:hAnsi="Aptos Narrow"/>
              </w:rPr>
              <w:t>1ks diskového pole,</w:t>
            </w:r>
          </w:p>
        </w:tc>
        <w:tc>
          <w:tcPr>
            <w:tcW w:w="3757" w:type="dxa"/>
            <w:vAlign w:val="center"/>
          </w:tcPr>
          <w:p w14:paraId="01562DBC" w14:textId="77777777" w:rsidR="00552AD5" w:rsidRDefault="00E52CB0">
            <w:pPr>
              <w:jc w:val="left"/>
            </w:pPr>
            <w:r>
              <w:rPr>
                <w:rFonts w:ascii="Aptos Narrow" w:hAnsi="Aptos Narrow"/>
              </w:rPr>
              <w:t>IBM STORAGE FLASHSYSTEM 5045 SFF</w:t>
            </w:r>
          </w:p>
        </w:tc>
        <w:tc>
          <w:tcPr>
            <w:tcW w:w="791" w:type="dxa"/>
            <w:vAlign w:val="center"/>
          </w:tcPr>
          <w:p w14:paraId="6225383F" w14:textId="77777777" w:rsidR="00552AD5" w:rsidRDefault="00E52CB0">
            <w:pPr>
              <w:jc w:val="center"/>
            </w:pPr>
            <w:r>
              <w:rPr>
                <w:rFonts w:ascii="Aptos Narrow" w:hAnsi="Aptos Narrow"/>
              </w:rPr>
              <w:t>1</w:t>
            </w:r>
          </w:p>
        </w:tc>
      </w:tr>
      <w:tr w:rsidR="00552AD5" w14:paraId="69E706FC" w14:textId="77777777">
        <w:trPr>
          <w:trHeight w:val="328"/>
        </w:trPr>
        <w:tc>
          <w:tcPr>
            <w:tcW w:w="3956" w:type="dxa"/>
            <w:vAlign w:val="center"/>
          </w:tcPr>
          <w:p w14:paraId="15C57491" w14:textId="77777777" w:rsidR="00552AD5" w:rsidRDefault="00E52CB0">
            <w:pPr>
              <w:jc w:val="left"/>
            </w:pPr>
            <w:r>
              <w:rPr>
                <w:rFonts w:ascii="Aptos Narrow" w:hAnsi="Aptos Narrow"/>
              </w:rPr>
              <w:t xml:space="preserve">2ks </w:t>
            </w:r>
            <w:proofErr w:type="spellStart"/>
            <w:r>
              <w:rPr>
                <w:rFonts w:ascii="Aptos Narrow" w:hAnsi="Aptos Narrow"/>
              </w:rPr>
              <w:t>Fiber-channel</w:t>
            </w:r>
            <w:proofErr w:type="spellEnd"/>
            <w:r>
              <w:rPr>
                <w:rFonts w:ascii="Aptos Narrow" w:hAnsi="Aptos Narrow"/>
              </w:rPr>
              <w:t xml:space="preserve"> Switch,</w:t>
            </w:r>
          </w:p>
        </w:tc>
        <w:tc>
          <w:tcPr>
            <w:tcW w:w="3757" w:type="dxa"/>
            <w:vAlign w:val="center"/>
          </w:tcPr>
          <w:p w14:paraId="5315A243" w14:textId="77777777" w:rsidR="00552AD5" w:rsidRDefault="00E52CB0">
            <w:pPr>
              <w:jc w:val="left"/>
            </w:pPr>
            <w:r>
              <w:rPr>
                <w:rFonts w:ascii="Aptos Narrow" w:hAnsi="Aptos Narrow"/>
              </w:rPr>
              <w:t xml:space="preserve">Switch Lenovo </w:t>
            </w:r>
            <w:proofErr w:type="spellStart"/>
            <w:r>
              <w:rPr>
                <w:rFonts w:ascii="Aptos Narrow" w:hAnsi="Aptos Narrow"/>
              </w:rPr>
              <w:t>ThinkSystem</w:t>
            </w:r>
            <w:proofErr w:type="spellEnd"/>
            <w:r>
              <w:rPr>
                <w:rFonts w:ascii="Aptos Narrow" w:hAnsi="Aptos Narrow"/>
              </w:rPr>
              <w:t xml:space="preserve"> DB610S, 16 </w:t>
            </w:r>
            <w:proofErr w:type="spellStart"/>
            <w:r>
              <w:rPr>
                <w:rFonts w:ascii="Aptos Narrow" w:hAnsi="Aptos Narrow"/>
              </w:rPr>
              <w:t>ports</w:t>
            </w:r>
            <w:proofErr w:type="spellEnd"/>
          </w:p>
        </w:tc>
        <w:tc>
          <w:tcPr>
            <w:tcW w:w="791" w:type="dxa"/>
            <w:vAlign w:val="center"/>
          </w:tcPr>
          <w:p w14:paraId="7FFEB808" w14:textId="77777777" w:rsidR="00552AD5" w:rsidRDefault="00E52CB0">
            <w:pPr>
              <w:jc w:val="center"/>
            </w:pPr>
            <w:r>
              <w:rPr>
                <w:rFonts w:ascii="Aptos Narrow" w:hAnsi="Aptos Narrow"/>
              </w:rPr>
              <w:t>2</w:t>
            </w:r>
          </w:p>
        </w:tc>
      </w:tr>
      <w:tr w:rsidR="00552AD5" w14:paraId="305E5F44" w14:textId="77777777">
        <w:trPr>
          <w:trHeight w:val="626"/>
        </w:trPr>
        <w:tc>
          <w:tcPr>
            <w:tcW w:w="3956" w:type="dxa"/>
            <w:vAlign w:val="center"/>
          </w:tcPr>
          <w:p w14:paraId="5F03E9F4" w14:textId="77777777" w:rsidR="00552AD5" w:rsidRDefault="00E52CB0">
            <w:pPr>
              <w:jc w:val="left"/>
            </w:pPr>
            <w:r>
              <w:rPr>
                <w:rFonts w:ascii="Aptos Narrow" w:hAnsi="Aptos Narrow"/>
              </w:rPr>
              <w:t>1ks licence Microsoft Windows Server 2022 Datacenter,</w:t>
            </w:r>
          </w:p>
        </w:tc>
        <w:tc>
          <w:tcPr>
            <w:tcW w:w="3757" w:type="dxa"/>
            <w:vAlign w:val="center"/>
          </w:tcPr>
          <w:p w14:paraId="343331DF" w14:textId="77777777" w:rsidR="00552AD5" w:rsidRDefault="00E52CB0">
            <w:pPr>
              <w:jc w:val="left"/>
            </w:pPr>
            <w:r>
              <w:t xml:space="preserve">Microsoft® </w:t>
            </w:r>
            <w:proofErr w:type="spellStart"/>
            <w:r>
              <w:t>Win</w:t>
            </w:r>
            <w:proofErr w:type="spellEnd"/>
            <w:r>
              <w:t xml:space="preserve"> Server Datacenter </w:t>
            </w:r>
            <w:proofErr w:type="spellStart"/>
            <w:r>
              <w:t>Core</w:t>
            </w:r>
            <w:proofErr w:type="spellEnd"/>
            <w:r>
              <w:t xml:space="preserve"> 2025 Single </w:t>
            </w:r>
            <w:proofErr w:type="spellStart"/>
            <w:r>
              <w:t>Language</w:t>
            </w:r>
            <w:proofErr w:type="spellEnd"/>
            <w:r>
              <w:t xml:space="preserve"> 16L s možností </w:t>
            </w:r>
            <w:proofErr w:type="spellStart"/>
            <w:r>
              <w:t>downgrade</w:t>
            </w:r>
            <w:proofErr w:type="spellEnd"/>
            <w:r>
              <w:t xml:space="preserve"> na </w:t>
            </w:r>
            <w:proofErr w:type="spellStart"/>
            <w:r>
              <w:t>Win</w:t>
            </w:r>
            <w:proofErr w:type="spellEnd"/>
            <w:r>
              <w:t xml:space="preserve"> </w:t>
            </w:r>
            <w:proofErr w:type="spellStart"/>
            <w:r>
              <w:t>Srv</w:t>
            </w:r>
            <w:proofErr w:type="spellEnd"/>
            <w:r>
              <w:t xml:space="preserve"> 2022</w:t>
            </w:r>
          </w:p>
        </w:tc>
        <w:tc>
          <w:tcPr>
            <w:tcW w:w="791" w:type="dxa"/>
            <w:vAlign w:val="center"/>
          </w:tcPr>
          <w:p w14:paraId="2B0D17FF" w14:textId="77777777" w:rsidR="00552AD5" w:rsidRDefault="00E52CB0">
            <w:pPr>
              <w:jc w:val="center"/>
            </w:pPr>
            <w:r>
              <w:rPr>
                <w:rFonts w:ascii="Aptos Narrow" w:hAnsi="Aptos Narrow"/>
              </w:rPr>
              <w:t>1</w:t>
            </w:r>
          </w:p>
        </w:tc>
      </w:tr>
      <w:tr w:rsidR="00552AD5" w14:paraId="7E7F0226" w14:textId="77777777">
        <w:trPr>
          <w:trHeight w:val="626"/>
        </w:trPr>
        <w:tc>
          <w:tcPr>
            <w:tcW w:w="3956" w:type="dxa"/>
            <w:vAlign w:val="center"/>
          </w:tcPr>
          <w:p w14:paraId="2F796E13" w14:textId="77777777" w:rsidR="00552AD5" w:rsidRDefault="00E52CB0">
            <w:pPr>
              <w:jc w:val="left"/>
            </w:pPr>
            <w:r>
              <w:rPr>
                <w:rFonts w:ascii="Aptos Narrow" w:hAnsi="Aptos Narrow"/>
              </w:rPr>
              <w:t>200ks licence Microsoft Windows Server CAL 2022,</w:t>
            </w:r>
          </w:p>
        </w:tc>
        <w:tc>
          <w:tcPr>
            <w:tcW w:w="3757" w:type="dxa"/>
            <w:vAlign w:val="center"/>
          </w:tcPr>
          <w:p w14:paraId="6080957C" w14:textId="77777777" w:rsidR="00552AD5" w:rsidRDefault="00E52CB0">
            <w:pPr>
              <w:jc w:val="left"/>
            </w:pPr>
            <w:r>
              <w:t xml:space="preserve">Microsoft® </w:t>
            </w:r>
            <w:proofErr w:type="spellStart"/>
            <w:r>
              <w:t>Win</w:t>
            </w:r>
            <w:proofErr w:type="spellEnd"/>
            <w:r>
              <w:t xml:space="preserve"> Server CAL 2025 Single </w:t>
            </w:r>
            <w:proofErr w:type="spellStart"/>
            <w:r>
              <w:t>Language</w:t>
            </w:r>
            <w:proofErr w:type="spellEnd"/>
            <w:r>
              <w:t xml:space="preserve"> User CAL s možností </w:t>
            </w:r>
            <w:proofErr w:type="spellStart"/>
            <w:r>
              <w:t>downgrade</w:t>
            </w:r>
            <w:proofErr w:type="spellEnd"/>
            <w:r>
              <w:t xml:space="preserve"> na </w:t>
            </w:r>
            <w:proofErr w:type="spellStart"/>
            <w:r>
              <w:t>Win</w:t>
            </w:r>
            <w:proofErr w:type="spellEnd"/>
            <w:r>
              <w:t xml:space="preserve"> </w:t>
            </w:r>
            <w:proofErr w:type="spellStart"/>
            <w:r>
              <w:t>Srv</w:t>
            </w:r>
            <w:proofErr w:type="spellEnd"/>
            <w:r>
              <w:t xml:space="preserve"> 2022</w:t>
            </w:r>
          </w:p>
        </w:tc>
        <w:tc>
          <w:tcPr>
            <w:tcW w:w="791" w:type="dxa"/>
            <w:vAlign w:val="center"/>
          </w:tcPr>
          <w:p w14:paraId="3FF393EF" w14:textId="77777777" w:rsidR="00552AD5" w:rsidRDefault="00E52CB0">
            <w:pPr>
              <w:jc w:val="center"/>
            </w:pPr>
            <w:r>
              <w:rPr>
                <w:rFonts w:ascii="Aptos Narrow" w:hAnsi="Aptos Narrow"/>
              </w:rPr>
              <w:t>200</w:t>
            </w:r>
          </w:p>
        </w:tc>
      </w:tr>
      <w:tr w:rsidR="00552AD5" w14:paraId="12A56500" w14:textId="77777777">
        <w:trPr>
          <w:trHeight w:val="626"/>
        </w:trPr>
        <w:tc>
          <w:tcPr>
            <w:tcW w:w="3956" w:type="dxa"/>
            <w:vAlign w:val="center"/>
          </w:tcPr>
          <w:p w14:paraId="69827333" w14:textId="77777777" w:rsidR="00552AD5" w:rsidRDefault="00E52CB0">
            <w:pPr>
              <w:jc w:val="left"/>
            </w:pPr>
            <w:r>
              <w:rPr>
                <w:rFonts w:ascii="Aptos Narrow" w:hAnsi="Aptos Narrow"/>
              </w:rPr>
              <w:t xml:space="preserve">2ks licence DB Microsoft SQL Server 2022 Standard 2 </w:t>
            </w:r>
            <w:proofErr w:type="spellStart"/>
            <w:r>
              <w:rPr>
                <w:rFonts w:ascii="Aptos Narrow" w:hAnsi="Aptos Narrow"/>
              </w:rPr>
              <w:t>Core</w:t>
            </w:r>
            <w:proofErr w:type="spellEnd"/>
          </w:p>
        </w:tc>
        <w:tc>
          <w:tcPr>
            <w:tcW w:w="3757" w:type="dxa"/>
            <w:vAlign w:val="center"/>
          </w:tcPr>
          <w:p w14:paraId="4C8A4E0F" w14:textId="77777777" w:rsidR="00552AD5" w:rsidRDefault="00E52CB0">
            <w:pPr>
              <w:jc w:val="left"/>
            </w:pPr>
            <w:r>
              <w:t xml:space="preserve">Microsoft® SQL Server Standard </w:t>
            </w:r>
            <w:proofErr w:type="spellStart"/>
            <w:r>
              <w:t>Core</w:t>
            </w:r>
            <w:proofErr w:type="spellEnd"/>
            <w:r>
              <w:t xml:space="preserve"> Single </w:t>
            </w:r>
            <w:proofErr w:type="spellStart"/>
            <w:r>
              <w:t>Language</w:t>
            </w:r>
            <w:proofErr w:type="spellEnd"/>
            <w:r>
              <w:t xml:space="preserve"> </w:t>
            </w:r>
            <w:proofErr w:type="spellStart"/>
            <w:r>
              <w:t>License</w:t>
            </w:r>
            <w:proofErr w:type="spellEnd"/>
            <w:r>
              <w:t xml:space="preserve"> &amp; Software </w:t>
            </w:r>
            <w:proofErr w:type="spellStart"/>
            <w:r>
              <w:t>Assurance</w:t>
            </w:r>
            <w:proofErr w:type="spellEnd"/>
            <w:r>
              <w:t xml:space="preserve"> 2 </w:t>
            </w:r>
            <w:proofErr w:type="spellStart"/>
            <w:r>
              <w:t>Licenses</w:t>
            </w:r>
            <w:proofErr w:type="spellEnd"/>
            <w:r>
              <w:t xml:space="preserve"> 3Y</w:t>
            </w:r>
          </w:p>
        </w:tc>
        <w:tc>
          <w:tcPr>
            <w:tcW w:w="791" w:type="dxa"/>
            <w:vAlign w:val="center"/>
          </w:tcPr>
          <w:p w14:paraId="70E169D1" w14:textId="77777777" w:rsidR="00552AD5" w:rsidRDefault="00E52CB0">
            <w:pPr>
              <w:jc w:val="center"/>
            </w:pPr>
            <w:r>
              <w:rPr>
                <w:rFonts w:ascii="Aptos Narrow" w:hAnsi="Aptos Narrow"/>
              </w:rPr>
              <w:t>2</w:t>
            </w:r>
          </w:p>
        </w:tc>
      </w:tr>
      <w:tr w:rsidR="00552AD5" w14:paraId="3839909F" w14:textId="77777777">
        <w:trPr>
          <w:trHeight w:val="925"/>
        </w:trPr>
        <w:tc>
          <w:tcPr>
            <w:tcW w:w="3956" w:type="dxa"/>
            <w:vAlign w:val="center"/>
          </w:tcPr>
          <w:p w14:paraId="6E205E08" w14:textId="77777777" w:rsidR="00552AD5" w:rsidRDefault="00E52CB0">
            <w:pPr>
              <w:jc w:val="left"/>
            </w:pPr>
            <w:r>
              <w:rPr>
                <w:rFonts w:ascii="Aptos Narrow" w:hAnsi="Aptos Narrow"/>
              </w:rPr>
              <w:t xml:space="preserve">1ks licence virtualizace viz. </w:t>
            </w:r>
            <w:proofErr w:type="spellStart"/>
            <w:r>
              <w:rPr>
                <w:rFonts w:ascii="Aptos Narrow" w:hAnsi="Aptos Narrow"/>
              </w:rPr>
              <w:t>VMware</w:t>
            </w:r>
            <w:proofErr w:type="spellEnd"/>
            <w:r>
              <w:rPr>
                <w:rFonts w:ascii="Aptos Narrow" w:hAnsi="Aptos Narrow"/>
              </w:rPr>
              <w:t xml:space="preserve"> </w:t>
            </w:r>
            <w:proofErr w:type="spellStart"/>
            <w:r>
              <w:rPr>
                <w:rFonts w:ascii="Aptos Narrow" w:hAnsi="Aptos Narrow"/>
              </w:rPr>
              <w:t>vSphere</w:t>
            </w:r>
            <w:proofErr w:type="spellEnd"/>
            <w:r>
              <w:rPr>
                <w:rFonts w:ascii="Aptos Narrow" w:hAnsi="Aptos Narrow"/>
              </w:rPr>
              <w:t xml:space="preserve"> 8 Essentials </w:t>
            </w:r>
            <w:proofErr w:type="spellStart"/>
            <w:r>
              <w:rPr>
                <w:rFonts w:ascii="Aptos Narrow" w:hAnsi="Aptos Narrow"/>
              </w:rPr>
              <w:t>Kit</w:t>
            </w:r>
            <w:proofErr w:type="spellEnd"/>
            <w:r>
              <w:rPr>
                <w:rFonts w:ascii="Aptos Narrow" w:hAnsi="Aptos Narrow"/>
              </w:rPr>
              <w:t xml:space="preserve"> </w:t>
            </w:r>
            <w:proofErr w:type="spellStart"/>
            <w:r>
              <w:rPr>
                <w:rFonts w:ascii="Aptos Narrow" w:hAnsi="Aptos Narrow"/>
              </w:rPr>
              <w:t>for</w:t>
            </w:r>
            <w:proofErr w:type="spellEnd"/>
            <w:r>
              <w:rPr>
                <w:rFonts w:ascii="Aptos Narrow" w:hAnsi="Aptos Narrow"/>
              </w:rPr>
              <w:t xml:space="preserve"> 3 </w:t>
            </w:r>
            <w:proofErr w:type="spellStart"/>
            <w:r>
              <w:rPr>
                <w:rFonts w:ascii="Aptos Narrow" w:hAnsi="Aptos Narrow"/>
              </w:rPr>
              <w:t>hosts</w:t>
            </w:r>
            <w:proofErr w:type="spellEnd"/>
            <w:r>
              <w:rPr>
                <w:rFonts w:ascii="Aptos Narrow" w:hAnsi="Aptos Narrow"/>
              </w:rPr>
              <w:t xml:space="preserve"> či obdobného aktuálně dostupného licenčního řešení </w:t>
            </w:r>
            <w:proofErr w:type="spellStart"/>
            <w:r>
              <w:rPr>
                <w:rFonts w:ascii="Aptos Narrow" w:hAnsi="Aptos Narrow"/>
              </w:rPr>
              <w:t>VMware</w:t>
            </w:r>
            <w:proofErr w:type="spellEnd"/>
            <w:r>
              <w:rPr>
                <w:rFonts w:ascii="Aptos Narrow" w:hAnsi="Aptos Narrow"/>
              </w:rPr>
              <w:t>,</w:t>
            </w:r>
          </w:p>
        </w:tc>
        <w:tc>
          <w:tcPr>
            <w:tcW w:w="3757" w:type="dxa"/>
            <w:vAlign w:val="center"/>
          </w:tcPr>
          <w:p w14:paraId="6AC4391D" w14:textId="77777777" w:rsidR="00552AD5" w:rsidRDefault="00E52CB0">
            <w:pPr>
              <w:jc w:val="left"/>
            </w:pPr>
            <w:proofErr w:type="spellStart"/>
            <w:r>
              <w:rPr>
                <w:rFonts w:ascii="Aptos Narrow" w:hAnsi="Aptos Narrow"/>
              </w:rPr>
              <w:t>VMware</w:t>
            </w:r>
            <w:proofErr w:type="spellEnd"/>
            <w:r>
              <w:rPr>
                <w:rFonts w:ascii="Aptos Narrow" w:hAnsi="Aptos Narrow"/>
              </w:rPr>
              <w:t xml:space="preserve"> </w:t>
            </w:r>
            <w:proofErr w:type="spellStart"/>
            <w:r>
              <w:rPr>
                <w:rFonts w:ascii="Aptos Narrow" w:hAnsi="Aptos Narrow"/>
              </w:rPr>
              <w:t>vSphere</w:t>
            </w:r>
            <w:proofErr w:type="spellEnd"/>
            <w:r>
              <w:rPr>
                <w:rFonts w:ascii="Aptos Narrow" w:hAnsi="Aptos Narrow"/>
              </w:rPr>
              <w:t xml:space="preserve"> Standard 8, 16 </w:t>
            </w:r>
            <w:proofErr w:type="spellStart"/>
            <w:r>
              <w:rPr>
                <w:rFonts w:ascii="Aptos Narrow" w:hAnsi="Aptos Narrow"/>
              </w:rPr>
              <w:t>core</w:t>
            </w:r>
            <w:proofErr w:type="spellEnd"/>
          </w:p>
        </w:tc>
        <w:tc>
          <w:tcPr>
            <w:tcW w:w="791" w:type="dxa"/>
            <w:vAlign w:val="center"/>
          </w:tcPr>
          <w:p w14:paraId="04CFF012" w14:textId="77777777" w:rsidR="00552AD5" w:rsidRDefault="00E52CB0">
            <w:pPr>
              <w:jc w:val="center"/>
            </w:pPr>
            <w:r>
              <w:rPr>
                <w:rFonts w:ascii="Aptos Narrow" w:hAnsi="Aptos Narrow"/>
              </w:rPr>
              <w:t>1</w:t>
            </w:r>
          </w:p>
        </w:tc>
      </w:tr>
    </w:tbl>
    <w:p w14:paraId="136DF271" w14:textId="77777777" w:rsidR="00552AD5" w:rsidRDefault="00552AD5"/>
    <w:tbl>
      <w:tblPr>
        <w:tblW w:w="8504" w:type="dxa"/>
        <w:tblInd w:w="2" w:type="dxa"/>
        <w:tblLayout w:type="fixed"/>
        <w:tblCellMar>
          <w:left w:w="30" w:type="dxa"/>
          <w:right w:w="30" w:type="dxa"/>
        </w:tblCellMar>
        <w:tblLook w:val="04A0" w:firstRow="1" w:lastRow="0" w:firstColumn="1" w:lastColumn="0" w:noHBand="0" w:noVBand="1"/>
      </w:tblPr>
      <w:tblGrid>
        <w:gridCol w:w="2796"/>
        <w:gridCol w:w="4917"/>
        <w:gridCol w:w="791"/>
      </w:tblGrid>
      <w:tr w:rsidR="00552AD5" w14:paraId="52CBF571" w14:textId="77777777">
        <w:trPr>
          <w:trHeight w:val="300"/>
        </w:trPr>
        <w:tc>
          <w:tcPr>
            <w:tcW w:w="2796" w:type="dxa"/>
            <w:vAlign w:val="center"/>
          </w:tcPr>
          <w:p w14:paraId="7BFA81E2" w14:textId="77777777" w:rsidR="00552AD5" w:rsidRDefault="00E52CB0">
            <w:pPr>
              <w:jc w:val="center"/>
              <w:rPr>
                <w:b/>
                <w:bCs/>
                <w:i/>
                <w:iCs/>
              </w:rPr>
            </w:pPr>
            <w:r>
              <w:rPr>
                <w:rFonts w:ascii="Aptos Narrow" w:hAnsi="Aptos Narrow"/>
                <w:b/>
                <w:bCs/>
                <w:i/>
                <w:iCs/>
              </w:rPr>
              <w:t>Název položky</w:t>
            </w:r>
          </w:p>
        </w:tc>
        <w:tc>
          <w:tcPr>
            <w:tcW w:w="4917" w:type="dxa"/>
            <w:vAlign w:val="center"/>
          </w:tcPr>
          <w:p w14:paraId="5455BB14" w14:textId="77777777" w:rsidR="00552AD5" w:rsidRDefault="00E52CB0">
            <w:pPr>
              <w:jc w:val="center"/>
              <w:rPr>
                <w:b/>
                <w:bCs/>
                <w:i/>
                <w:iCs/>
              </w:rPr>
            </w:pPr>
            <w:r>
              <w:rPr>
                <w:rFonts w:ascii="Aptos Narrow" w:hAnsi="Aptos Narrow"/>
                <w:b/>
                <w:bCs/>
                <w:i/>
                <w:iCs/>
              </w:rPr>
              <w:t>Nabídka specifikace</w:t>
            </w:r>
          </w:p>
        </w:tc>
        <w:tc>
          <w:tcPr>
            <w:tcW w:w="791" w:type="dxa"/>
            <w:vAlign w:val="center"/>
          </w:tcPr>
          <w:p w14:paraId="77F6D165" w14:textId="77777777" w:rsidR="00552AD5" w:rsidRDefault="00E52CB0">
            <w:pPr>
              <w:jc w:val="center"/>
              <w:rPr>
                <w:b/>
                <w:bCs/>
                <w:i/>
                <w:iCs/>
              </w:rPr>
            </w:pPr>
            <w:r>
              <w:rPr>
                <w:rFonts w:ascii="Aptos Narrow" w:hAnsi="Aptos Narrow"/>
                <w:b/>
                <w:bCs/>
                <w:i/>
                <w:iCs/>
              </w:rPr>
              <w:t>Počet ks</w:t>
            </w:r>
          </w:p>
        </w:tc>
      </w:tr>
      <w:tr w:rsidR="00552AD5" w14:paraId="1D47D28C" w14:textId="77777777">
        <w:trPr>
          <w:trHeight w:val="328"/>
        </w:trPr>
        <w:tc>
          <w:tcPr>
            <w:tcW w:w="2796" w:type="dxa"/>
            <w:vAlign w:val="center"/>
          </w:tcPr>
          <w:p w14:paraId="7593E3AA" w14:textId="77777777" w:rsidR="00552AD5" w:rsidRDefault="00E52CB0">
            <w:pPr>
              <w:jc w:val="left"/>
            </w:pPr>
            <w:r>
              <w:rPr>
                <w:rFonts w:ascii="Aptos Narrow" w:hAnsi="Aptos Narrow"/>
              </w:rPr>
              <w:t>Virtualizační server s příslušenstvím</w:t>
            </w:r>
          </w:p>
        </w:tc>
        <w:tc>
          <w:tcPr>
            <w:tcW w:w="4917" w:type="dxa"/>
            <w:vAlign w:val="center"/>
          </w:tcPr>
          <w:p w14:paraId="4591D503" w14:textId="77777777" w:rsidR="00552AD5" w:rsidRDefault="00E52CB0">
            <w:r>
              <w:rPr>
                <w:rFonts w:ascii="Aptos Narrow" w:hAnsi="Aptos Narrow"/>
              </w:rPr>
              <w:t xml:space="preserve">HPE </w:t>
            </w:r>
            <w:proofErr w:type="spellStart"/>
            <w:r>
              <w:rPr>
                <w:rFonts w:ascii="Aptos Narrow" w:hAnsi="Aptos Narrow"/>
              </w:rPr>
              <w:t>ProLiant</w:t>
            </w:r>
            <w:proofErr w:type="spellEnd"/>
            <w:r>
              <w:rPr>
                <w:rFonts w:ascii="Aptos Narrow" w:hAnsi="Aptos Narrow"/>
              </w:rPr>
              <w:t xml:space="preserve"> DL320 Gen11 8SFF </w:t>
            </w:r>
            <w:proofErr w:type="spellStart"/>
            <w:r>
              <w:rPr>
                <w:rFonts w:ascii="Aptos Narrow" w:hAnsi="Aptos Narrow"/>
              </w:rPr>
              <w:t>Configure</w:t>
            </w:r>
            <w:proofErr w:type="spellEnd"/>
            <w:r>
              <w:rPr>
                <w:rFonts w:ascii="Aptos Narrow" w:hAnsi="Aptos Narrow"/>
              </w:rPr>
              <w:t>-to-</w:t>
            </w:r>
            <w:proofErr w:type="spellStart"/>
            <w:r>
              <w:rPr>
                <w:rFonts w:ascii="Aptos Narrow" w:hAnsi="Aptos Narrow"/>
              </w:rPr>
              <w:t>order</w:t>
            </w:r>
            <w:proofErr w:type="spellEnd"/>
            <w:r>
              <w:rPr>
                <w:rFonts w:ascii="Aptos Narrow" w:hAnsi="Aptos Narrow"/>
              </w:rPr>
              <w:t xml:space="preserve"> Server</w:t>
            </w:r>
          </w:p>
        </w:tc>
        <w:tc>
          <w:tcPr>
            <w:tcW w:w="791" w:type="dxa"/>
            <w:vAlign w:val="center"/>
          </w:tcPr>
          <w:p w14:paraId="06A5AF6E" w14:textId="77777777" w:rsidR="00552AD5" w:rsidRDefault="00E52CB0">
            <w:pPr>
              <w:jc w:val="center"/>
            </w:pPr>
            <w:r>
              <w:rPr>
                <w:rFonts w:ascii="Aptos Narrow" w:hAnsi="Aptos Narrow"/>
              </w:rPr>
              <w:t>2</w:t>
            </w:r>
          </w:p>
        </w:tc>
      </w:tr>
      <w:tr w:rsidR="00552AD5" w14:paraId="7E39FC77" w14:textId="77777777">
        <w:trPr>
          <w:trHeight w:val="626"/>
        </w:trPr>
        <w:tc>
          <w:tcPr>
            <w:tcW w:w="2796" w:type="dxa"/>
            <w:vAlign w:val="center"/>
          </w:tcPr>
          <w:p w14:paraId="6765188D" w14:textId="77777777" w:rsidR="00552AD5" w:rsidRDefault="00E52CB0">
            <w:pPr>
              <w:jc w:val="left"/>
            </w:pPr>
            <w:r>
              <w:rPr>
                <w:rFonts w:ascii="Aptos Narrow" w:hAnsi="Aptos Narrow"/>
              </w:rPr>
              <w:lastRenderedPageBreak/>
              <w:t>Licence OS serverů pro pokrytí pořizovaných virtualizačních serverů</w:t>
            </w:r>
          </w:p>
        </w:tc>
        <w:tc>
          <w:tcPr>
            <w:tcW w:w="4917" w:type="dxa"/>
            <w:vAlign w:val="center"/>
          </w:tcPr>
          <w:p w14:paraId="2C6BD54E" w14:textId="77777777" w:rsidR="00552AD5" w:rsidRDefault="00E52CB0">
            <w:r>
              <w:rPr>
                <w:rFonts w:ascii="Aptos Narrow" w:hAnsi="Aptos Narrow"/>
              </w:rPr>
              <w:t xml:space="preserve">Microsoft Windows Server 2025 </w:t>
            </w:r>
            <w:proofErr w:type="gramStart"/>
            <w:r>
              <w:rPr>
                <w:rFonts w:ascii="Aptos Narrow" w:hAnsi="Aptos Narrow"/>
              </w:rPr>
              <w:t>16-core</w:t>
            </w:r>
            <w:proofErr w:type="gramEnd"/>
            <w:r>
              <w:rPr>
                <w:rFonts w:ascii="Aptos Narrow" w:hAnsi="Aptos Narrow"/>
              </w:rPr>
              <w:t xml:space="preserve"> Datacenter</w:t>
            </w:r>
          </w:p>
        </w:tc>
        <w:tc>
          <w:tcPr>
            <w:tcW w:w="791" w:type="dxa"/>
            <w:vAlign w:val="center"/>
          </w:tcPr>
          <w:p w14:paraId="3FE2E362" w14:textId="77777777" w:rsidR="00552AD5" w:rsidRDefault="00E52CB0">
            <w:pPr>
              <w:jc w:val="center"/>
            </w:pPr>
            <w:r>
              <w:rPr>
                <w:rFonts w:ascii="Aptos Narrow" w:hAnsi="Aptos Narrow"/>
              </w:rPr>
              <w:t>2</w:t>
            </w:r>
          </w:p>
        </w:tc>
      </w:tr>
      <w:tr w:rsidR="00552AD5" w14:paraId="7175F548" w14:textId="77777777">
        <w:trPr>
          <w:trHeight w:val="328"/>
        </w:trPr>
        <w:tc>
          <w:tcPr>
            <w:tcW w:w="2796" w:type="dxa"/>
            <w:vAlign w:val="center"/>
          </w:tcPr>
          <w:p w14:paraId="11976794" w14:textId="77777777" w:rsidR="00552AD5" w:rsidRDefault="00E52CB0">
            <w:pPr>
              <w:jc w:val="left"/>
            </w:pPr>
            <w:r>
              <w:rPr>
                <w:rFonts w:ascii="Aptos Narrow" w:hAnsi="Aptos Narrow"/>
              </w:rPr>
              <w:t>Licence SW pro virtualizaci</w:t>
            </w:r>
          </w:p>
        </w:tc>
        <w:tc>
          <w:tcPr>
            <w:tcW w:w="4917" w:type="dxa"/>
            <w:vAlign w:val="center"/>
          </w:tcPr>
          <w:p w14:paraId="786D6677" w14:textId="77777777" w:rsidR="00552AD5" w:rsidRDefault="00E52CB0">
            <w:proofErr w:type="spellStart"/>
            <w:r>
              <w:rPr>
                <w:rFonts w:ascii="Aptos Narrow" w:hAnsi="Aptos Narrow"/>
              </w:rPr>
              <w:t>VMware</w:t>
            </w:r>
            <w:proofErr w:type="spellEnd"/>
            <w:r>
              <w:rPr>
                <w:rFonts w:ascii="Aptos Narrow" w:hAnsi="Aptos Narrow"/>
              </w:rPr>
              <w:t xml:space="preserve"> </w:t>
            </w:r>
            <w:proofErr w:type="spellStart"/>
            <w:r>
              <w:rPr>
                <w:rFonts w:ascii="Aptos Narrow" w:hAnsi="Aptos Narrow"/>
              </w:rPr>
              <w:t>vSphere</w:t>
            </w:r>
            <w:proofErr w:type="spellEnd"/>
            <w:r>
              <w:rPr>
                <w:rFonts w:ascii="Aptos Narrow" w:hAnsi="Aptos Narrow"/>
              </w:rPr>
              <w:t xml:space="preserve"> Standard 8 - 32Core</w:t>
            </w:r>
          </w:p>
        </w:tc>
        <w:tc>
          <w:tcPr>
            <w:tcW w:w="791" w:type="dxa"/>
            <w:vAlign w:val="center"/>
          </w:tcPr>
          <w:p w14:paraId="1800CAEF" w14:textId="77777777" w:rsidR="00552AD5" w:rsidRDefault="00E52CB0">
            <w:pPr>
              <w:jc w:val="center"/>
            </w:pPr>
            <w:r>
              <w:rPr>
                <w:rFonts w:ascii="Aptos Narrow" w:hAnsi="Aptos Narrow"/>
              </w:rPr>
              <w:t>1</w:t>
            </w:r>
          </w:p>
        </w:tc>
      </w:tr>
      <w:tr w:rsidR="00552AD5" w14:paraId="6393644A" w14:textId="77777777">
        <w:trPr>
          <w:trHeight w:val="328"/>
        </w:trPr>
        <w:tc>
          <w:tcPr>
            <w:tcW w:w="2796" w:type="dxa"/>
            <w:vAlign w:val="center"/>
          </w:tcPr>
          <w:p w14:paraId="554FCFC7" w14:textId="77777777" w:rsidR="00552AD5" w:rsidRDefault="00E52CB0">
            <w:pPr>
              <w:jc w:val="left"/>
            </w:pPr>
            <w:r>
              <w:rPr>
                <w:rFonts w:ascii="Aptos Narrow" w:hAnsi="Aptos Narrow"/>
              </w:rPr>
              <w:t>Záložní zdroj s příslušenstvím</w:t>
            </w:r>
          </w:p>
        </w:tc>
        <w:tc>
          <w:tcPr>
            <w:tcW w:w="4917" w:type="dxa"/>
            <w:vAlign w:val="center"/>
          </w:tcPr>
          <w:p w14:paraId="71E2F29C" w14:textId="77777777" w:rsidR="00552AD5" w:rsidRDefault="00E52CB0">
            <w:r>
              <w:rPr>
                <w:rFonts w:ascii="Aptos Narrow" w:hAnsi="Aptos Narrow"/>
              </w:rPr>
              <w:t xml:space="preserve">APC Smart-UPS 3000VA LCD RM 2U </w:t>
            </w:r>
            <w:proofErr w:type="gramStart"/>
            <w:r>
              <w:rPr>
                <w:rFonts w:ascii="Aptos Narrow" w:hAnsi="Aptos Narrow"/>
              </w:rPr>
              <w:t>230V</w:t>
            </w:r>
            <w:proofErr w:type="gramEnd"/>
            <w:r>
              <w:rPr>
                <w:rFonts w:ascii="Aptos Narrow" w:hAnsi="Aptos Narrow"/>
              </w:rPr>
              <w:t xml:space="preserve"> a příslušenství</w:t>
            </w:r>
          </w:p>
        </w:tc>
        <w:tc>
          <w:tcPr>
            <w:tcW w:w="791" w:type="dxa"/>
            <w:vAlign w:val="center"/>
          </w:tcPr>
          <w:p w14:paraId="2A824B66" w14:textId="77777777" w:rsidR="00552AD5" w:rsidRDefault="00E52CB0">
            <w:pPr>
              <w:jc w:val="center"/>
            </w:pPr>
            <w:r>
              <w:rPr>
                <w:rFonts w:ascii="Aptos Narrow" w:hAnsi="Aptos Narrow"/>
              </w:rPr>
              <w:t>1</w:t>
            </w:r>
          </w:p>
        </w:tc>
      </w:tr>
      <w:tr w:rsidR="00552AD5" w14:paraId="33454977" w14:textId="77777777">
        <w:trPr>
          <w:trHeight w:val="328"/>
        </w:trPr>
        <w:tc>
          <w:tcPr>
            <w:tcW w:w="2796" w:type="dxa"/>
            <w:vAlign w:val="center"/>
          </w:tcPr>
          <w:p w14:paraId="287B5BBA" w14:textId="77777777" w:rsidR="00552AD5" w:rsidRDefault="00E52CB0">
            <w:pPr>
              <w:jc w:val="left"/>
            </w:pPr>
            <w:r>
              <w:rPr>
                <w:rFonts w:ascii="Aptos Narrow" w:hAnsi="Aptos Narrow"/>
              </w:rPr>
              <w:t>NG firewall s příslušenstvím</w:t>
            </w:r>
          </w:p>
        </w:tc>
        <w:tc>
          <w:tcPr>
            <w:tcW w:w="4917" w:type="dxa"/>
            <w:vAlign w:val="center"/>
          </w:tcPr>
          <w:p w14:paraId="1F7AB72E" w14:textId="77777777" w:rsidR="00552AD5" w:rsidRDefault="00E52CB0">
            <w:proofErr w:type="spellStart"/>
            <w:r>
              <w:rPr>
                <w:rFonts w:ascii="Aptos Narrow" w:hAnsi="Aptos Narrow"/>
              </w:rPr>
              <w:t>FortiGate</w:t>
            </w:r>
            <w:proofErr w:type="spellEnd"/>
            <w:r>
              <w:rPr>
                <w:rFonts w:ascii="Aptos Narrow" w:hAnsi="Aptos Narrow"/>
              </w:rPr>
              <w:t xml:space="preserve"> </w:t>
            </w:r>
            <w:proofErr w:type="gramStart"/>
            <w:r>
              <w:rPr>
                <w:rFonts w:ascii="Aptos Narrow" w:hAnsi="Aptos Narrow"/>
              </w:rPr>
              <w:t>200F</w:t>
            </w:r>
            <w:proofErr w:type="gramEnd"/>
            <w:r>
              <w:rPr>
                <w:rFonts w:ascii="Aptos Narrow" w:hAnsi="Aptos Narrow"/>
              </w:rPr>
              <w:t xml:space="preserve">, Licence, </w:t>
            </w:r>
            <w:proofErr w:type="spellStart"/>
            <w:r>
              <w:rPr>
                <w:rFonts w:ascii="Aptos Narrow" w:hAnsi="Aptos Narrow"/>
              </w:rPr>
              <w:t>Unified</w:t>
            </w:r>
            <w:proofErr w:type="spellEnd"/>
            <w:r>
              <w:rPr>
                <w:rFonts w:ascii="Aptos Narrow" w:hAnsi="Aptos Narrow"/>
              </w:rPr>
              <w:t xml:space="preserve"> </w:t>
            </w:r>
            <w:proofErr w:type="spellStart"/>
            <w:r>
              <w:rPr>
                <w:rFonts w:ascii="Aptos Narrow" w:hAnsi="Aptos Narrow"/>
              </w:rPr>
              <w:t>Threat</w:t>
            </w:r>
            <w:proofErr w:type="spellEnd"/>
            <w:r>
              <w:rPr>
                <w:rFonts w:ascii="Aptos Narrow" w:hAnsi="Aptos Narrow"/>
              </w:rPr>
              <w:t xml:space="preserve"> </w:t>
            </w:r>
            <w:proofErr w:type="spellStart"/>
            <w:r>
              <w:rPr>
                <w:rFonts w:ascii="Aptos Narrow" w:hAnsi="Aptos Narrow"/>
              </w:rPr>
              <w:t>Protection</w:t>
            </w:r>
            <w:proofErr w:type="spellEnd"/>
            <w:r>
              <w:rPr>
                <w:rFonts w:ascii="Aptos Narrow" w:hAnsi="Aptos Narrow"/>
              </w:rPr>
              <w:t xml:space="preserve"> + </w:t>
            </w:r>
            <w:proofErr w:type="spellStart"/>
            <w:r>
              <w:rPr>
                <w:rFonts w:ascii="Aptos Narrow" w:hAnsi="Aptos Narrow"/>
              </w:rPr>
              <w:t>FortiCare</w:t>
            </w:r>
            <w:proofErr w:type="spellEnd"/>
            <w:r>
              <w:rPr>
                <w:rFonts w:ascii="Aptos Narrow" w:hAnsi="Aptos Narrow"/>
              </w:rPr>
              <w:t xml:space="preserve"> Premium 5YR</w:t>
            </w:r>
          </w:p>
        </w:tc>
        <w:tc>
          <w:tcPr>
            <w:tcW w:w="791" w:type="dxa"/>
            <w:vAlign w:val="center"/>
          </w:tcPr>
          <w:p w14:paraId="41D21390" w14:textId="77777777" w:rsidR="00552AD5" w:rsidRDefault="00E52CB0">
            <w:pPr>
              <w:jc w:val="center"/>
            </w:pPr>
            <w:r>
              <w:rPr>
                <w:rFonts w:ascii="Aptos Narrow" w:hAnsi="Aptos Narrow"/>
              </w:rPr>
              <w:t>2</w:t>
            </w:r>
          </w:p>
        </w:tc>
      </w:tr>
      <w:tr w:rsidR="00552AD5" w14:paraId="378E46FA" w14:textId="77777777">
        <w:trPr>
          <w:trHeight w:val="626"/>
        </w:trPr>
        <w:tc>
          <w:tcPr>
            <w:tcW w:w="2796" w:type="dxa"/>
            <w:vAlign w:val="center"/>
          </w:tcPr>
          <w:p w14:paraId="04201F05" w14:textId="77777777" w:rsidR="00552AD5" w:rsidRDefault="00E52CB0">
            <w:pPr>
              <w:jc w:val="left"/>
            </w:pPr>
            <w:proofErr w:type="spellStart"/>
            <w:r>
              <w:rPr>
                <w:rFonts w:ascii="Aptos Narrow" w:hAnsi="Aptos Narrow"/>
              </w:rPr>
              <w:t>Core</w:t>
            </w:r>
            <w:proofErr w:type="spellEnd"/>
            <w:r>
              <w:rPr>
                <w:rFonts w:ascii="Aptos Narrow" w:hAnsi="Aptos Narrow"/>
              </w:rPr>
              <w:t xml:space="preserve"> přepínače s příslušenstvím pro propojení primární a záložní lokality</w:t>
            </w:r>
          </w:p>
        </w:tc>
        <w:tc>
          <w:tcPr>
            <w:tcW w:w="4917" w:type="dxa"/>
            <w:vAlign w:val="center"/>
          </w:tcPr>
          <w:p w14:paraId="5F52AC8D" w14:textId="77777777" w:rsidR="00552AD5" w:rsidRDefault="00E52CB0">
            <w:r>
              <w:rPr>
                <w:rFonts w:ascii="Aptos Narrow" w:hAnsi="Aptos Narrow"/>
              </w:rPr>
              <w:t xml:space="preserve">HPE Aruba Networking CX 6300M </w:t>
            </w:r>
            <w:proofErr w:type="gramStart"/>
            <w:r>
              <w:rPr>
                <w:rFonts w:ascii="Aptos Narrow" w:hAnsi="Aptos Narrow"/>
              </w:rPr>
              <w:t>24-port</w:t>
            </w:r>
            <w:proofErr w:type="gramEnd"/>
            <w:r>
              <w:rPr>
                <w:rFonts w:ascii="Aptos Narrow" w:hAnsi="Aptos Narrow"/>
              </w:rPr>
              <w:t xml:space="preserve"> SFP+ and </w:t>
            </w:r>
            <w:proofErr w:type="gramStart"/>
            <w:r>
              <w:rPr>
                <w:rFonts w:ascii="Aptos Narrow" w:hAnsi="Aptos Narrow"/>
              </w:rPr>
              <w:t>4-port</w:t>
            </w:r>
            <w:proofErr w:type="gramEnd"/>
            <w:r>
              <w:rPr>
                <w:rFonts w:ascii="Aptos Narrow" w:hAnsi="Aptos Narrow"/>
              </w:rPr>
              <w:t xml:space="preserve"> SFP56 Switch</w:t>
            </w:r>
          </w:p>
        </w:tc>
        <w:tc>
          <w:tcPr>
            <w:tcW w:w="791" w:type="dxa"/>
            <w:vAlign w:val="center"/>
          </w:tcPr>
          <w:p w14:paraId="01B27DBC" w14:textId="77777777" w:rsidR="00552AD5" w:rsidRDefault="00E52CB0">
            <w:pPr>
              <w:jc w:val="center"/>
            </w:pPr>
            <w:r>
              <w:rPr>
                <w:rFonts w:ascii="Aptos Narrow" w:hAnsi="Aptos Narrow"/>
              </w:rPr>
              <w:t>4</w:t>
            </w:r>
          </w:p>
        </w:tc>
      </w:tr>
      <w:tr w:rsidR="00552AD5" w14:paraId="65E22DEC" w14:textId="77777777">
        <w:trPr>
          <w:trHeight w:val="626"/>
        </w:trPr>
        <w:tc>
          <w:tcPr>
            <w:tcW w:w="2796" w:type="dxa"/>
            <w:vAlign w:val="center"/>
          </w:tcPr>
          <w:p w14:paraId="6845A8B5" w14:textId="77777777" w:rsidR="00552AD5" w:rsidRDefault="00E52CB0">
            <w:pPr>
              <w:jc w:val="left"/>
            </w:pPr>
            <w:r>
              <w:rPr>
                <w:rFonts w:ascii="Aptos Narrow" w:hAnsi="Aptos Narrow"/>
              </w:rPr>
              <w:t>Přístupové přepínače typ 48 p s příslušenstvím</w:t>
            </w:r>
          </w:p>
        </w:tc>
        <w:tc>
          <w:tcPr>
            <w:tcW w:w="4917" w:type="dxa"/>
            <w:vAlign w:val="center"/>
          </w:tcPr>
          <w:p w14:paraId="536607F6" w14:textId="77777777" w:rsidR="00552AD5" w:rsidRDefault="00E52CB0">
            <w:r>
              <w:rPr>
                <w:rFonts w:ascii="Aptos Narrow" w:hAnsi="Aptos Narrow"/>
              </w:rPr>
              <w:t xml:space="preserve">HPE Aruba Networking CX 6100 48G Class4 </w:t>
            </w:r>
            <w:proofErr w:type="spellStart"/>
            <w:r>
              <w:rPr>
                <w:rFonts w:ascii="Aptos Narrow" w:hAnsi="Aptos Narrow"/>
              </w:rPr>
              <w:t>PoE</w:t>
            </w:r>
            <w:proofErr w:type="spellEnd"/>
            <w:r>
              <w:rPr>
                <w:rFonts w:ascii="Aptos Narrow" w:hAnsi="Aptos Narrow"/>
              </w:rPr>
              <w:t xml:space="preserve"> 4SFP+ 370W Switch</w:t>
            </w:r>
          </w:p>
        </w:tc>
        <w:tc>
          <w:tcPr>
            <w:tcW w:w="791" w:type="dxa"/>
            <w:vAlign w:val="center"/>
          </w:tcPr>
          <w:p w14:paraId="0C4C4AE7" w14:textId="77777777" w:rsidR="00552AD5" w:rsidRDefault="00E52CB0">
            <w:pPr>
              <w:jc w:val="center"/>
            </w:pPr>
            <w:r>
              <w:rPr>
                <w:rFonts w:ascii="Aptos Narrow" w:hAnsi="Aptos Narrow"/>
              </w:rPr>
              <w:t>7</w:t>
            </w:r>
          </w:p>
        </w:tc>
      </w:tr>
      <w:tr w:rsidR="00552AD5" w14:paraId="03F07D39" w14:textId="77777777">
        <w:trPr>
          <w:trHeight w:val="626"/>
        </w:trPr>
        <w:tc>
          <w:tcPr>
            <w:tcW w:w="2796" w:type="dxa"/>
            <w:vAlign w:val="center"/>
          </w:tcPr>
          <w:p w14:paraId="3108A4CE" w14:textId="77777777" w:rsidR="00552AD5" w:rsidRDefault="00E52CB0">
            <w:pPr>
              <w:jc w:val="left"/>
            </w:pPr>
            <w:r>
              <w:rPr>
                <w:rFonts w:ascii="Aptos Narrow" w:hAnsi="Aptos Narrow"/>
              </w:rPr>
              <w:t>Přístupové přepínače typ 24 p s příslušenstvím</w:t>
            </w:r>
          </w:p>
        </w:tc>
        <w:tc>
          <w:tcPr>
            <w:tcW w:w="4917" w:type="dxa"/>
            <w:vAlign w:val="center"/>
          </w:tcPr>
          <w:p w14:paraId="33A74628" w14:textId="77777777" w:rsidR="00552AD5" w:rsidRDefault="00E52CB0">
            <w:r>
              <w:rPr>
                <w:rFonts w:ascii="Aptos Narrow" w:hAnsi="Aptos Narrow"/>
              </w:rPr>
              <w:t xml:space="preserve">HPE Aruba Networking CX 6100 24G Class4 </w:t>
            </w:r>
            <w:proofErr w:type="spellStart"/>
            <w:r>
              <w:rPr>
                <w:rFonts w:ascii="Aptos Narrow" w:hAnsi="Aptos Narrow"/>
              </w:rPr>
              <w:t>PoE</w:t>
            </w:r>
            <w:proofErr w:type="spellEnd"/>
            <w:r>
              <w:rPr>
                <w:rFonts w:ascii="Aptos Narrow" w:hAnsi="Aptos Narrow"/>
              </w:rPr>
              <w:t xml:space="preserve"> 4SFP+ 370W Switch</w:t>
            </w:r>
          </w:p>
        </w:tc>
        <w:tc>
          <w:tcPr>
            <w:tcW w:w="791" w:type="dxa"/>
            <w:vAlign w:val="center"/>
          </w:tcPr>
          <w:p w14:paraId="333B45C6" w14:textId="77777777" w:rsidR="00552AD5" w:rsidRDefault="00E52CB0">
            <w:pPr>
              <w:jc w:val="center"/>
            </w:pPr>
            <w:r>
              <w:rPr>
                <w:rFonts w:ascii="Aptos Narrow" w:hAnsi="Aptos Narrow"/>
              </w:rPr>
              <w:t>12</w:t>
            </w:r>
          </w:p>
        </w:tc>
      </w:tr>
      <w:tr w:rsidR="00552AD5" w14:paraId="0349C7C8" w14:textId="77777777">
        <w:trPr>
          <w:trHeight w:val="328"/>
        </w:trPr>
        <w:tc>
          <w:tcPr>
            <w:tcW w:w="2796" w:type="dxa"/>
            <w:vAlign w:val="center"/>
          </w:tcPr>
          <w:p w14:paraId="3C00A157" w14:textId="77777777" w:rsidR="00552AD5" w:rsidRDefault="00E52CB0">
            <w:pPr>
              <w:jc w:val="left"/>
            </w:pPr>
            <w:r>
              <w:rPr>
                <w:rFonts w:ascii="Aptos Narrow" w:hAnsi="Aptos Narrow"/>
              </w:rPr>
              <w:t>Licence Anti-X řešení včetně EDR</w:t>
            </w:r>
          </w:p>
        </w:tc>
        <w:tc>
          <w:tcPr>
            <w:tcW w:w="4917" w:type="dxa"/>
            <w:vAlign w:val="center"/>
          </w:tcPr>
          <w:p w14:paraId="7F3A51D4" w14:textId="77777777" w:rsidR="00552AD5" w:rsidRDefault="00E52CB0">
            <w:r>
              <w:rPr>
                <w:rFonts w:ascii="Aptos Narrow" w:hAnsi="Aptos Narrow"/>
              </w:rPr>
              <w:t xml:space="preserve">ESET PROTECT </w:t>
            </w:r>
            <w:proofErr w:type="spellStart"/>
            <w:r>
              <w:rPr>
                <w:rFonts w:ascii="Aptos Narrow" w:hAnsi="Aptos Narrow"/>
              </w:rPr>
              <w:t>Elite+ESET</w:t>
            </w:r>
            <w:proofErr w:type="spellEnd"/>
            <w:r>
              <w:rPr>
                <w:rFonts w:ascii="Aptos Narrow" w:hAnsi="Aptos Narrow"/>
              </w:rPr>
              <w:t xml:space="preserve"> MDR+ESET Premium Support</w:t>
            </w:r>
          </w:p>
        </w:tc>
        <w:tc>
          <w:tcPr>
            <w:tcW w:w="791" w:type="dxa"/>
            <w:vAlign w:val="center"/>
          </w:tcPr>
          <w:p w14:paraId="7B62404D" w14:textId="77777777" w:rsidR="00552AD5" w:rsidRDefault="00E52CB0">
            <w:pPr>
              <w:jc w:val="center"/>
            </w:pPr>
            <w:r>
              <w:rPr>
                <w:rFonts w:ascii="Aptos Narrow" w:hAnsi="Aptos Narrow"/>
              </w:rPr>
              <w:t>260</w:t>
            </w:r>
          </w:p>
        </w:tc>
      </w:tr>
      <w:tr w:rsidR="00552AD5" w14:paraId="46AE5521" w14:textId="77777777">
        <w:trPr>
          <w:trHeight w:val="817"/>
        </w:trPr>
        <w:tc>
          <w:tcPr>
            <w:tcW w:w="2796" w:type="dxa"/>
            <w:vAlign w:val="center"/>
          </w:tcPr>
          <w:p w14:paraId="4081F63C" w14:textId="77777777" w:rsidR="00552AD5" w:rsidRDefault="00E52CB0">
            <w:pPr>
              <w:jc w:val="left"/>
            </w:pPr>
            <w:r>
              <w:rPr>
                <w:rFonts w:ascii="Aptos Narrow" w:hAnsi="Aptos Narrow"/>
              </w:rPr>
              <w:t>SW pro provozní dohled nad IT prostředím</w:t>
            </w:r>
          </w:p>
        </w:tc>
        <w:tc>
          <w:tcPr>
            <w:tcW w:w="4917" w:type="dxa"/>
            <w:vAlign w:val="center"/>
          </w:tcPr>
          <w:p w14:paraId="54D02694" w14:textId="77777777" w:rsidR="00552AD5" w:rsidRDefault="00E52CB0">
            <w:r>
              <w:rPr>
                <w:rFonts w:ascii="Aptos Narrow" w:hAnsi="Aptos Narrow"/>
              </w:rPr>
              <w:t xml:space="preserve">HPE Aruba Networking </w:t>
            </w:r>
            <w:proofErr w:type="spellStart"/>
            <w:r>
              <w:rPr>
                <w:rFonts w:ascii="Aptos Narrow" w:hAnsi="Aptos Narrow"/>
              </w:rPr>
              <w:t>Central</w:t>
            </w:r>
            <w:proofErr w:type="spellEnd"/>
            <w:r>
              <w:rPr>
                <w:rFonts w:ascii="Aptos Narrow" w:hAnsi="Aptos Narrow"/>
              </w:rPr>
              <w:t xml:space="preserve"> Switch </w:t>
            </w:r>
            <w:proofErr w:type="spellStart"/>
            <w:r>
              <w:rPr>
                <w:rFonts w:ascii="Aptos Narrow" w:hAnsi="Aptos Narrow"/>
              </w:rPr>
              <w:t>Foundation</w:t>
            </w:r>
            <w:proofErr w:type="spellEnd"/>
          </w:p>
        </w:tc>
        <w:tc>
          <w:tcPr>
            <w:tcW w:w="791" w:type="dxa"/>
            <w:vAlign w:val="center"/>
          </w:tcPr>
          <w:p w14:paraId="5064D0E2" w14:textId="77777777" w:rsidR="00552AD5" w:rsidRDefault="00E52CB0">
            <w:pPr>
              <w:jc w:val="center"/>
            </w:pPr>
            <w:r>
              <w:rPr>
                <w:rFonts w:ascii="Aptos Narrow" w:hAnsi="Aptos Narrow"/>
              </w:rPr>
              <w:t>1</w:t>
            </w:r>
          </w:p>
        </w:tc>
      </w:tr>
      <w:tr w:rsidR="00552AD5" w14:paraId="10C31266" w14:textId="77777777">
        <w:trPr>
          <w:trHeight w:val="626"/>
        </w:trPr>
        <w:tc>
          <w:tcPr>
            <w:tcW w:w="2796" w:type="dxa"/>
            <w:vAlign w:val="center"/>
          </w:tcPr>
          <w:p w14:paraId="2904A377" w14:textId="77777777" w:rsidR="00552AD5" w:rsidRDefault="00E52CB0">
            <w:pPr>
              <w:jc w:val="left"/>
            </w:pPr>
            <w:proofErr w:type="spellStart"/>
            <w:r>
              <w:rPr>
                <w:rFonts w:ascii="Aptos Narrow" w:hAnsi="Aptos Narrow"/>
              </w:rPr>
              <w:t>Veeam</w:t>
            </w:r>
            <w:proofErr w:type="spellEnd"/>
            <w:r>
              <w:rPr>
                <w:rFonts w:ascii="Aptos Narrow" w:hAnsi="Aptos Narrow"/>
              </w:rPr>
              <w:t xml:space="preserve"> zálohovací software serverového prostředí</w:t>
            </w:r>
          </w:p>
        </w:tc>
        <w:tc>
          <w:tcPr>
            <w:tcW w:w="4917" w:type="dxa"/>
            <w:vAlign w:val="center"/>
          </w:tcPr>
          <w:p w14:paraId="31FFC2DB" w14:textId="77777777" w:rsidR="00552AD5" w:rsidRDefault="00E52CB0">
            <w:r>
              <w:rPr>
                <w:rFonts w:ascii="Aptos Narrow" w:hAnsi="Aptos Narrow"/>
              </w:rPr>
              <w:t xml:space="preserve">Aktuálně verze 13; edice </w:t>
            </w:r>
            <w:proofErr w:type="spellStart"/>
            <w:r>
              <w:rPr>
                <w:rFonts w:ascii="Aptos Narrow" w:hAnsi="Aptos Narrow"/>
              </w:rPr>
              <w:t>Veeam</w:t>
            </w:r>
            <w:proofErr w:type="spellEnd"/>
            <w:r>
              <w:rPr>
                <w:rFonts w:ascii="Aptos Narrow" w:hAnsi="Aptos Narrow"/>
              </w:rPr>
              <w:t xml:space="preserve"> </w:t>
            </w:r>
            <w:proofErr w:type="spellStart"/>
            <w:r>
              <w:rPr>
                <w:rFonts w:ascii="Aptos Narrow" w:hAnsi="Aptos Narrow"/>
              </w:rPr>
              <w:t>Backup</w:t>
            </w:r>
            <w:proofErr w:type="spellEnd"/>
            <w:r>
              <w:rPr>
                <w:rFonts w:ascii="Aptos Narrow" w:hAnsi="Aptos Narrow"/>
              </w:rPr>
              <w:t xml:space="preserve"> Essentials</w:t>
            </w:r>
          </w:p>
        </w:tc>
        <w:tc>
          <w:tcPr>
            <w:tcW w:w="791" w:type="dxa"/>
            <w:vAlign w:val="center"/>
          </w:tcPr>
          <w:p w14:paraId="3BE30EFF" w14:textId="77777777" w:rsidR="00552AD5" w:rsidRDefault="00E52CB0">
            <w:pPr>
              <w:jc w:val="center"/>
            </w:pPr>
            <w:r>
              <w:rPr>
                <w:rFonts w:ascii="Aptos Narrow" w:hAnsi="Aptos Narrow"/>
              </w:rPr>
              <w:t>1</w:t>
            </w:r>
          </w:p>
        </w:tc>
      </w:tr>
    </w:tbl>
    <w:p w14:paraId="26A58AA7" w14:textId="77777777" w:rsidR="00552AD5" w:rsidRDefault="00E52CB0" w:rsidP="00A7371A">
      <w:pPr>
        <w:pStyle w:val="Nadpis2"/>
        <w:rPr>
          <w:lang w:val="cs-CZ"/>
        </w:rPr>
      </w:pPr>
      <w:bookmarkStart w:id="74" w:name="__RefHeading___Toc3899_93952133"/>
      <w:bookmarkStart w:id="75" w:name="_Toc212203601"/>
      <w:bookmarkStart w:id="76" w:name="_Toc230001189"/>
      <w:bookmarkEnd w:id="74"/>
      <w:r>
        <w:rPr>
          <w:lang w:val="cs-CZ"/>
        </w:rPr>
        <w:t>Služba „</w:t>
      </w:r>
      <w:proofErr w:type="spellStart"/>
      <w:r>
        <w:rPr>
          <w:lang w:val="cs-CZ"/>
        </w:rPr>
        <w:t>Help</w:t>
      </w:r>
      <w:proofErr w:type="spellEnd"/>
      <w:r>
        <w:rPr>
          <w:lang w:val="cs-CZ"/>
        </w:rPr>
        <w:t>-line“</w:t>
      </w:r>
      <w:bookmarkEnd w:id="75"/>
      <w:bookmarkEnd w:id="76"/>
    </w:p>
    <w:p w14:paraId="37C4F9F7" w14:textId="77777777" w:rsidR="00552AD5" w:rsidRDefault="00E52CB0">
      <w:pPr>
        <w:pStyle w:val="Nadpis3"/>
        <w:ind w:left="0" w:firstLine="0"/>
      </w:pPr>
      <w:r>
        <w:rPr>
          <w:lang w:val="cs-CZ"/>
        </w:rPr>
        <w:t>Poskytovatel</w:t>
      </w:r>
      <w:r>
        <w:t xml:space="preserve"> zajistí </w:t>
      </w:r>
      <w:proofErr w:type="spellStart"/>
      <w:r>
        <w:t>Help</w:t>
      </w:r>
      <w:proofErr w:type="spellEnd"/>
      <w:r>
        <w:t xml:space="preserve">-line a bude ji udržovat dostupnou </w:t>
      </w:r>
      <w:r>
        <w:rPr>
          <w:lang w:val="cs-CZ"/>
        </w:rPr>
        <w:t>nepřetržitě</w:t>
      </w:r>
      <w:r>
        <w:t>. V rámci poskytování služby „</w:t>
      </w:r>
      <w:proofErr w:type="spellStart"/>
      <w:r>
        <w:t>Help</w:t>
      </w:r>
      <w:proofErr w:type="spellEnd"/>
      <w:r>
        <w:t>-line“ získává objednatel nárok na garantovanou pomoc při řešení technických problémů objednatele souvisejících s IT infrastruktury. Jedná se o vzdálené konzultace a řešení po telefonu, emailu nebo přednostně s využitím aplikace HelpDesk. Služba je poskytována v pracovních dnech od 8 do 16 hodin.</w:t>
      </w:r>
    </w:p>
    <w:p w14:paraId="1AB655A5" w14:textId="77777777" w:rsidR="00552AD5" w:rsidRDefault="00E52CB0" w:rsidP="00A7371A">
      <w:pPr>
        <w:pStyle w:val="Nadpis2"/>
      </w:pPr>
      <w:bookmarkStart w:id="77" w:name="__RefHeading___Toc3901_93952133"/>
      <w:bookmarkStart w:id="78" w:name="_Toc212203602"/>
      <w:bookmarkStart w:id="79" w:name="_Toc230001190"/>
      <w:bookmarkEnd w:id="77"/>
      <w:r>
        <w:t xml:space="preserve">Služba </w:t>
      </w:r>
      <w:r>
        <w:rPr>
          <w:lang w:val="cs-CZ"/>
        </w:rPr>
        <w:t>„</w:t>
      </w:r>
      <w:proofErr w:type="spellStart"/>
      <w:r>
        <w:t>Maintenance</w:t>
      </w:r>
      <w:proofErr w:type="spellEnd"/>
      <w:r>
        <w:rPr>
          <w:lang w:val="cs-CZ"/>
        </w:rPr>
        <w:t>“</w:t>
      </w:r>
      <w:bookmarkEnd w:id="78"/>
      <w:bookmarkEnd w:id="79"/>
    </w:p>
    <w:p w14:paraId="60005768" w14:textId="77777777" w:rsidR="00552AD5" w:rsidRDefault="00E52CB0">
      <w:pPr>
        <w:pStyle w:val="Nadpis3"/>
        <w:ind w:left="0" w:firstLine="0"/>
      </w:pPr>
      <w:r>
        <w:t>V rámci poskytování této služby zajišťuje poskytovatel pro objednatele k IT infrastruktuře následující činnosti</w:t>
      </w:r>
    </w:p>
    <w:p w14:paraId="08262107" w14:textId="77777777" w:rsidR="00552AD5" w:rsidRDefault="00E52CB0">
      <w:pPr>
        <w:numPr>
          <w:ilvl w:val="0"/>
          <w:numId w:val="3"/>
        </w:numPr>
        <w:rPr>
          <w:lang w:val="x-none"/>
        </w:rPr>
      </w:pPr>
      <w:r>
        <w:rPr>
          <w:lang w:val="x-none"/>
        </w:rPr>
        <w:t>průběžná správa IT infrastruktury v podobě kontroly a ověřování stavu provozovaného HW a SW</w:t>
      </w:r>
    </w:p>
    <w:p w14:paraId="39CDC0C4" w14:textId="77777777" w:rsidR="00552AD5" w:rsidRDefault="00E52CB0">
      <w:pPr>
        <w:numPr>
          <w:ilvl w:val="0"/>
          <w:numId w:val="3"/>
        </w:numPr>
        <w:rPr>
          <w:lang w:val="x-none"/>
        </w:rPr>
      </w:pPr>
      <w:r>
        <w:rPr>
          <w:lang w:val="x-none"/>
        </w:rPr>
        <w:t xml:space="preserve">průběžný monitoring – nepřetržité sledování (dohled) stavu IT infrastruktury (je možný automatický systémem) s vyhodnocováním a prováděním oprav, revizí a podnětů objednateli na servis a náhradu zařízení (technologií); technologie pro dohled nad IT </w:t>
      </w:r>
      <w:r>
        <w:rPr>
          <w:lang w:val="x-none"/>
        </w:rPr>
        <w:lastRenderedPageBreak/>
        <w:t>infrastrukturu si zajišťuje poskytovatel sám a případná cena této technologie je zohledněna do ceny služby</w:t>
      </w:r>
    </w:p>
    <w:p w14:paraId="2568F406" w14:textId="77777777" w:rsidR="00552AD5" w:rsidRPr="004F62DC" w:rsidRDefault="00E52CB0">
      <w:pPr>
        <w:numPr>
          <w:ilvl w:val="0"/>
          <w:numId w:val="3"/>
        </w:numPr>
        <w:rPr>
          <w:lang w:val="x-none"/>
        </w:rPr>
      </w:pPr>
      <w:r w:rsidRPr="004F62DC">
        <w:rPr>
          <w:lang w:val="x-none"/>
        </w:rPr>
        <w:t>sledování bezpečnosti aplikací a informačních systémů zařazených do správy IT infrastruktury</w:t>
      </w:r>
    </w:p>
    <w:p w14:paraId="46665555" w14:textId="77777777" w:rsidR="00552AD5" w:rsidRDefault="00E52CB0">
      <w:pPr>
        <w:numPr>
          <w:ilvl w:val="0"/>
          <w:numId w:val="3"/>
        </w:numPr>
        <w:rPr>
          <w:lang w:val="x-none"/>
        </w:rPr>
      </w:pPr>
      <w:r>
        <w:rPr>
          <w:lang w:val="x-none"/>
        </w:rPr>
        <w:t>odstraňování závad výše uvedenými službami zjištěných nebo na helpdesk oznámených objednatelem (v případě, že oznámená vada objednatelem nebude vadou, ale vlastností nebo důsledkem stávající konfigurace, provede poskytovatel zpracování návrhu řešení problematiky, přičemž samotný návrh řešení problematiky se podáním oznámení stává objednanou službou “podpory IT infrastruktury” podle této přílohy smlouvy uvedenou dále)</w:t>
      </w:r>
    </w:p>
    <w:p w14:paraId="5EE47ED6" w14:textId="77777777" w:rsidR="00552AD5" w:rsidRDefault="00E52CB0">
      <w:pPr>
        <w:numPr>
          <w:ilvl w:val="0"/>
          <w:numId w:val="3"/>
        </w:numPr>
      </w:pPr>
      <w:r>
        <w:rPr>
          <w:lang w:val="x-none"/>
        </w:rPr>
        <w:t>sledování nových verzí, doporučení a instalace upgrade, firmware a nových verzí technologií pro správné a bezpečné fungování, včetně nasazování optimalizací (</w:t>
      </w:r>
      <w:r>
        <w:rPr>
          <w:b/>
          <w:bCs/>
          <w:lang w:val="x-none"/>
        </w:rPr>
        <w:t xml:space="preserve">odstávky pro jejich provádění </w:t>
      </w:r>
      <w:r>
        <w:rPr>
          <w:lang w:val="x-none"/>
        </w:rPr>
        <w:t>musí být založeny výhradně na předem písemně  zaslaném a potvrzeném návrhu kontaktní osobou objednatele podle této smlouvy; za písemnou formu je považována i emailová komunikace)</w:t>
      </w:r>
    </w:p>
    <w:p w14:paraId="7EE2B33A" w14:textId="77777777" w:rsidR="00552AD5" w:rsidRDefault="00E52CB0">
      <w:pPr>
        <w:pStyle w:val="Nadpis3"/>
        <w:ind w:left="0" w:firstLine="0"/>
      </w:pPr>
      <w:r>
        <w:t xml:space="preserve">Pro rozsah správy infrastruktury jsou určující technologie </w:t>
      </w:r>
    </w:p>
    <w:p w14:paraId="5A02AFF4" w14:textId="77777777" w:rsidR="00552AD5" w:rsidRDefault="00E52CB0">
      <w:pPr>
        <w:pStyle w:val="Nadpis3"/>
        <w:ind w:left="0" w:firstLine="0"/>
        <w:rPr>
          <w:lang w:val="cs-CZ"/>
        </w:rPr>
      </w:pPr>
      <w:r>
        <w:t xml:space="preserve">Služba je poskytována </w:t>
      </w:r>
      <w:r>
        <w:rPr>
          <w:lang w:val="cs-CZ"/>
        </w:rPr>
        <w:t>nepřetržitě 24 hodin denně, 7 dní v týdnu, 365 dní v roce,</w:t>
      </w:r>
      <w:r>
        <w:t xml:space="preserve"> v sídle </w:t>
      </w:r>
      <w:r>
        <w:rPr>
          <w:lang w:val="cs-CZ"/>
        </w:rPr>
        <w:t>objednatele</w:t>
      </w:r>
      <w:r>
        <w:t>.</w:t>
      </w:r>
    </w:p>
    <w:p w14:paraId="34251575" w14:textId="77777777" w:rsidR="00552AD5" w:rsidRDefault="00E52CB0" w:rsidP="00036273">
      <w:pPr>
        <w:pStyle w:val="Nadpis2"/>
      </w:pPr>
      <w:bookmarkStart w:id="80" w:name="__RefHeading___Toc3903_93952133"/>
      <w:bookmarkStart w:id="81" w:name="_Toc230001191"/>
      <w:bookmarkEnd w:id="80"/>
      <w:r>
        <w:t xml:space="preserve">Služba </w:t>
      </w:r>
      <w:r>
        <w:rPr>
          <w:lang w:val="cs-CZ"/>
        </w:rPr>
        <w:t>„</w:t>
      </w:r>
      <w:r>
        <w:t>Profylaxe”</w:t>
      </w:r>
      <w:bookmarkEnd w:id="81"/>
    </w:p>
    <w:p w14:paraId="0DB4FFF9" w14:textId="77777777" w:rsidR="00552AD5" w:rsidRDefault="00E52CB0">
      <w:pPr>
        <w:pStyle w:val="Nadpis3"/>
        <w:ind w:left="0" w:firstLine="0"/>
      </w:pPr>
      <w:r>
        <w:t>Za účelem předcházení poruchám a optimalizaci výkonu technologií, ke kterým budou poskytovány služby na základě této smlouvy, bude poskytovatel na základě této služby provádět službu inspekce a sledování chodu jednotlivých technologií u objednatele a bude provádět potřebné zásahy k optimalizaci chodu a předcházení poruchám. Tyto služby budou prováděny v periodicitě uvedené v tabulce níže pro jednotlivé typy technologií a to vždy pro řádky, u kterých je uveden jako odpovědný poskytovatel ve formě činnosti uvedené v daném řádku.</w:t>
      </w:r>
    </w:p>
    <w:tbl>
      <w:tblPr>
        <w:tblW w:w="9129" w:type="dxa"/>
        <w:tblInd w:w="2" w:type="dxa"/>
        <w:tblLayout w:type="fixed"/>
        <w:tblCellMar>
          <w:left w:w="30" w:type="dxa"/>
          <w:right w:w="30" w:type="dxa"/>
        </w:tblCellMar>
        <w:tblLook w:val="04A0" w:firstRow="1" w:lastRow="0" w:firstColumn="1" w:lastColumn="0" w:noHBand="0" w:noVBand="1"/>
      </w:tblPr>
      <w:tblGrid>
        <w:gridCol w:w="363"/>
        <w:gridCol w:w="1272"/>
        <w:gridCol w:w="5167"/>
        <w:gridCol w:w="1016"/>
        <w:gridCol w:w="1311"/>
      </w:tblGrid>
      <w:tr w:rsidR="00552AD5" w14:paraId="10B387E4" w14:textId="77777777">
        <w:trPr>
          <w:trHeight w:val="300"/>
          <w:tblHeader/>
        </w:trPr>
        <w:tc>
          <w:tcPr>
            <w:tcW w:w="9129" w:type="dxa"/>
            <w:gridSpan w:val="5"/>
            <w:vAlign w:val="center"/>
          </w:tcPr>
          <w:p w14:paraId="73CCBE75" w14:textId="77777777" w:rsidR="00552AD5" w:rsidRDefault="00E52CB0">
            <w:pPr>
              <w:spacing w:after="0" w:line="240" w:lineRule="auto"/>
              <w:jc w:val="center"/>
            </w:pPr>
            <w:r>
              <w:rPr>
                <w:b/>
              </w:rPr>
              <w:t>Seznam pravidelných činností profylaxe</w:t>
            </w:r>
          </w:p>
        </w:tc>
      </w:tr>
      <w:tr w:rsidR="00552AD5" w14:paraId="50F7B9DD" w14:textId="77777777">
        <w:trPr>
          <w:trHeight w:val="328"/>
          <w:tblHeader/>
        </w:trPr>
        <w:tc>
          <w:tcPr>
            <w:tcW w:w="363" w:type="dxa"/>
            <w:vAlign w:val="center"/>
          </w:tcPr>
          <w:p w14:paraId="5270F332" w14:textId="77777777" w:rsidR="00552AD5" w:rsidRDefault="00E52CB0">
            <w:pPr>
              <w:spacing w:after="0" w:line="240" w:lineRule="auto"/>
              <w:jc w:val="center"/>
            </w:pPr>
            <w:proofErr w:type="spellStart"/>
            <w:r>
              <w:rPr>
                <w:b/>
              </w:rPr>
              <w:t>č.ř</w:t>
            </w:r>
            <w:proofErr w:type="spellEnd"/>
            <w:r>
              <w:rPr>
                <w:b/>
              </w:rPr>
              <w:t>.</w:t>
            </w:r>
          </w:p>
        </w:tc>
        <w:tc>
          <w:tcPr>
            <w:tcW w:w="1272" w:type="dxa"/>
            <w:vAlign w:val="center"/>
          </w:tcPr>
          <w:p w14:paraId="522E95F0" w14:textId="77777777" w:rsidR="00552AD5" w:rsidRDefault="00E52CB0">
            <w:pPr>
              <w:spacing w:after="0" w:line="240" w:lineRule="auto"/>
            </w:pPr>
            <w:r>
              <w:rPr>
                <w:b/>
              </w:rPr>
              <w:t>Oblast</w:t>
            </w:r>
          </w:p>
        </w:tc>
        <w:tc>
          <w:tcPr>
            <w:tcW w:w="5167" w:type="dxa"/>
            <w:vAlign w:val="center"/>
          </w:tcPr>
          <w:p w14:paraId="603AEAAF" w14:textId="77777777" w:rsidR="00552AD5" w:rsidRDefault="00E52CB0">
            <w:pPr>
              <w:spacing w:after="0" w:line="240" w:lineRule="auto"/>
            </w:pPr>
            <w:r>
              <w:rPr>
                <w:b/>
              </w:rPr>
              <w:t>Činnost</w:t>
            </w:r>
          </w:p>
        </w:tc>
        <w:tc>
          <w:tcPr>
            <w:tcW w:w="1016" w:type="dxa"/>
            <w:vAlign w:val="center"/>
          </w:tcPr>
          <w:p w14:paraId="4F4A14E3" w14:textId="77777777" w:rsidR="00552AD5" w:rsidRDefault="00E52CB0">
            <w:pPr>
              <w:spacing w:after="0" w:line="240" w:lineRule="auto"/>
              <w:jc w:val="left"/>
            </w:pPr>
            <w:r>
              <w:rPr>
                <w:b/>
              </w:rPr>
              <w:t>Interval</w:t>
            </w:r>
          </w:p>
        </w:tc>
        <w:tc>
          <w:tcPr>
            <w:tcW w:w="1311" w:type="dxa"/>
            <w:vAlign w:val="center"/>
          </w:tcPr>
          <w:p w14:paraId="68103615" w14:textId="77777777" w:rsidR="00552AD5" w:rsidRDefault="00E52CB0">
            <w:pPr>
              <w:spacing w:after="0" w:line="240" w:lineRule="auto"/>
              <w:jc w:val="left"/>
            </w:pPr>
            <w:r>
              <w:rPr>
                <w:b/>
              </w:rPr>
              <w:t>Odpovědný</w:t>
            </w:r>
          </w:p>
        </w:tc>
      </w:tr>
      <w:tr w:rsidR="00552AD5" w14:paraId="6B036380" w14:textId="77777777">
        <w:trPr>
          <w:trHeight w:val="328"/>
        </w:trPr>
        <w:tc>
          <w:tcPr>
            <w:tcW w:w="363" w:type="dxa"/>
            <w:vAlign w:val="center"/>
          </w:tcPr>
          <w:p w14:paraId="4AA24540" w14:textId="77777777" w:rsidR="00552AD5" w:rsidRDefault="00E52CB0">
            <w:pPr>
              <w:spacing w:after="0" w:line="240" w:lineRule="auto"/>
              <w:jc w:val="center"/>
            </w:pPr>
            <w:r>
              <w:t>1</w:t>
            </w:r>
          </w:p>
        </w:tc>
        <w:tc>
          <w:tcPr>
            <w:tcW w:w="1272" w:type="dxa"/>
            <w:vAlign w:val="center"/>
          </w:tcPr>
          <w:p w14:paraId="4E478CA7" w14:textId="77777777" w:rsidR="00552AD5" w:rsidRDefault="00E52CB0">
            <w:pPr>
              <w:spacing w:after="0" w:line="240" w:lineRule="auto"/>
              <w:jc w:val="left"/>
            </w:pPr>
            <w:r>
              <w:rPr>
                <w:b/>
              </w:rPr>
              <w:t>Zálohování</w:t>
            </w:r>
          </w:p>
        </w:tc>
        <w:tc>
          <w:tcPr>
            <w:tcW w:w="5167" w:type="dxa"/>
            <w:vAlign w:val="center"/>
          </w:tcPr>
          <w:p w14:paraId="29EBCBCB" w14:textId="77777777" w:rsidR="00552AD5" w:rsidRDefault="00E52CB0">
            <w:pPr>
              <w:spacing w:after="0" w:line="240" w:lineRule="auto"/>
            </w:pPr>
            <w:r>
              <w:t>Kontrola stavu zálohovacích dávek</w:t>
            </w:r>
          </w:p>
        </w:tc>
        <w:tc>
          <w:tcPr>
            <w:tcW w:w="1016" w:type="dxa"/>
            <w:vAlign w:val="center"/>
          </w:tcPr>
          <w:p w14:paraId="55F5FE84" w14:textId="77777777" w:rsidR="00552AD5" w:rsidRDefault="00E52CB0">
            <w:pPr>
              <w:spacing w:after="0" w:line="240" w:lineRule="auto"/>
            </w:pPr>
            <w:r>
              <w:t>denně</w:t>
            </w:r>
          </w:p>
        </w:tc>
        <w:tc>
          <w:tcPr>
            <w:tcW w:w="1311" w:type="dxa"/>
            <w:vAlign w:val="center"/>
          </w:tcPr>
          <w:p w14:paraId="5931EAA3" w14:textId="77777777" w:rsidR="00552AD5" w:rsidRDefault="00E52CB0">
            <w:pPr>
              <w:spacing w:after="0" w:line="240" w:lineRule="auto"/>
            </w:pPr>
            <w:r>
              <w:t>Objednatel</w:t>
            </w:r>
          </w:p>
        </w:tc>
      </w:tr>
      <w:tr w:rsidR="00552AD5" w14:paraId="2850A8B6" w14:textId="77777777">
        <w:trPr>
          <w:trHeight w:val="328"/>
        </w:trPr>
        <w:tc>
          <w:tcPr>
            <w:tcW w:w="363" w:type="dxa"/>
            <w:vAlign w:val="center"/>
          </w:tcPr>
          <w:p w14:paraId="7C0D221A" w14:textId="77777777" w:rsidR="00552AD5" w:rsidRDefault="00E52CB0">
            <w:pPr>
              <w:spacing w:after="0" w:line="240" w:lineRule="auto"/>
              <w:jc w:val="center"/>
            </w:pPr>
            <w:r>
              <w:t>2</w:t>
            </w:r>
          </w:p>
        </w:tc>
        <w:tc>
          <w:tcPr>
            <w:tcW w:w="1272" w:type="dxa"/>
            <w:vAlign w:val="center"/>
          </w:tcPr>
          <w:p w14:paraId="1EE24259" w14:textId="77777777" w:rsidR="00552AD5" w:rsidRDefault="00E52CB0">
            <w:pPr>
              <w:spacing w:after="0" w:line="240" w:lineRule="auto"/>
              <w:jc w:val="left"/>
            </w:pPr>
            <w:r>
              <w:t>VEEAM</w:t>
            </w:r>
          </w:p>
        </w:tc>
        <w:tc>
          <w:tcPr>
            <w:tcW w:w="5167" w:type="dxa"/>
            <w:vAlign w:val="center"/>
          </w:tcPr>
          <w:p w14:paraId="69181065" w14:textId="77777777" w:rsidR="00552AD5" w:rsidRDefault="00E52CB0">
            <w:pPr>
              <w:spacing w:after="0" w:line="240" w:lineRule="auto"/>
            </w:pPr>
            <w:r>
              <w:t xml:space="preserve">Kontrola stavu sw pro </w:t>
            </w:r>
            <w:proofErr w:type="spellStart"/>
            <w:r>
              <w:t>backup</w:t>
            </w:r>
            <w:proofErr w:type="spellEnd"/>
          </w:p>
        </w:tc>
        <w:tc>
          <w:tcPr>
            <w:tcW w:w="1016" w:type="dxa"/>
            <w:vAlign w:val="center"/>
          </w:tcPr>
          <w:p w14:paraId="5B39D825" w14:textId="77777777" w:rsidR="00552AD5" w:rsidRDefault="00E52CB0">
            <w:pPr>
              <w:spacing w:after="0" w:line="240" w:lineRule="auto"/>
            </w:pPr>
            <w:r>
              <w:t>měsíčně</w:t>
            </w:r>
          </w:p>
        </w:tc>
        <w:tc>
          <w:tcPr>
            <w:tcW w:w="1311" w:type="dxa"/>
            <w:vAlign w:val="center"/>
          </w:tcPr>
          <w:p w14:paraId="5525DB08" w14:textId="77777777" w:rsidR="00552AD5" w:rsidRDefault="00E52CB0">
            <w:pPr>
              <w:spacing w:after="0" w:line="240" w:lineRule="auto"/>
            </w:pPr>
            <w:r>
              <w:t>Poskytovatel</w:t>
            </w:r>
          </w:p>
        </w:tc>
      </w:tr>
      <w:tr w:rsidR="00552AD5" w14:paraId="53C4B282" w14:textId="77777777">
        <w:trPr>
          <w:trHeight w:val="328"/>
        </w:trPr>
        <w:tc>
          <w:tcPr>
            <w:tcW w:w="363" w:type="dxa"/>
            <w:vAlign w:val="center"/>
          </w:tcPr>
          <w:p w14:paraId="396509B0" w14:textId="77777777" w:rsidR="00552AD5" w:rsidRDefault="00E52CB0">
            <w:pPr>
              <w:spacing w:after="0" w:line="240" w:lineRule="auto"/>
              <w:jc w:val="center"/>
            </w:pPr>
            <w:r>
              <w:t>3</w:t>
            </w:r>
          </w:p>
        </w:tc>
        <w:tc>
          <w:tcPr>
            <w:tcW w:w="1272" w:type="dxa"/>
            <w:vAlign w:val="center"/>
          </w:tcPr>
          <w:p w14:paraId="743167EC" w14:textId="77777777" w:rsidR="00552AD5" w:rsidRDefault="00E52CB0">
            <w:pPr>
              <w:spacing w:after="0" w:line="240" w:lineRule="auto"/>
              <w:jc w:val="left"/>
            </w:pPr>
            <w:r>
              <w:rPr>
                <w:b/>
              </w:rPr>
              <w:t>Virtualizace</w:t>
            </w:r>
          </w:p>
        </w:tc>
        <w:tc>
          <w:tcPr>
            <w:tcW w:w="5167" w:type="dxa"/>
            <w:vAlign w:val="center"/>
          </w:tcPr>
          <w:p w14:paraId="266CB169" w14:textId="77777777" w:rsidR="00552AD5" w:rsidRDefault="00E52CB0">
            <w:pPr>
              <w:spacing w:after="0" w:line="240" w:lineRule="auto"/>
            </w:pPr>
            <w:r>
              <w:t xml:space="preserve">Přehledová kontrola </w:t>
            </w:r>
            <w:proofErr w:type="spellStart"/>
            <w:r>
              <w:t>vCenter</w:t>
            </w:r>
            <w:proofErr w:type="spellEnd"/>
            <w:r>
              <w:t xml:space="preserve"> serveru</w:t>
            </w:r>
          </w:p>
        </w:tc>
        <w:tc>
          <w:tcPr>
            <w:tcW w:w="1016" w:type="dxa"/>
            <w:vAlign w:val="center"/>
          </w:tcPr>
          <w:p w14:paraId="32DED98B" w14:textId="77777777" w:rsidR="00552AD5" w:rsidRDefault="00E52CB0">
            <w:pPr>
              <w:spacing w:after="0" w:line="240" w:lineRule="auto"/>
            </w:pPr>
            <w:r>
              <w:t>měsíčně</w:t>
            </w:r>
          </w:p>
        </w:tc>
        <w:tc>
          <w:tcPr>
            <w:tcW w:w="1311" w:type="dxa"/>
            <w:vAlign w:val="center"/>
          </w:tcPr>
          <w:p w14:paraId="2A4C7F84" w14:textId="77777777" w:rsidR="00552AD5" w:rsidRDefault="00E52CB0">
            <w:pPr>
              <w:spacing w:after="0" w:line="240" w:lineRule="auto"/>
            </w:pPr>
            <w:r>
              <w:t>Poskytovatel</w:t>
            </w:r>
          </w:p>
        </w:tc>
      </w:tr>
      <w:tr w:rsidR="00552AD5" w14:paraId="6B9F0A61" w14:textId="77777777">
        <w:trPr>
          <w:trHeight w:val="328"/>
        </w:trPr>
        <w:tc>
          <w:tcPr>
            <w:tcW w:w="363" w:type="dxa"/>
            <w:vAlign w:val="center"/>
          </w:tcPr>
          <w:p w14:paraId="3C0110F9" w14:textId="77777777" w:rsidR="00552AD5" w:rsidRDefault="00E52CB0">
            <w:pPr>
              <w:spacing w:after="0" w:line="240" w:lineRule="auto"/>
              <w:jc w:val="center"/>
            </w:pPr>
            <w:r>
              <w:t>4</w:t>
            </w:r>
          </w:p>
        </w:tc>
        <w:tc>
          <w:tcPr>
            <w:tcW w:w="1272" w:type="dxa"/>
            <w:vAlign w:val="center"/>
          </w:tcPr>
          <w:p w14:paraId="0FF501F1" w14:textId="77777777" w:rsidR="00552AD5" w:rsidRDefault="00E52CB0">
            <w:pPr>
              <w:spacing w:after="0" w:line="240" w:lineRule="auto"/>
              <w:jc w:val="left"/>
            </w:pPr>
            <w:r>
              <w:t>VMWARE</w:t>
            </w:r>
          </w:p>
        </w:tc>
        <w:tc>
          <w:tcPr>
            <w:tcW w:w="5167" w:type="dxa"/>
            <w:vAlign w:val="center"/>
          </w:tcPr>
          <w:p w14:paraId="45583A17" w14:textId="77777777" w:rsidR="00552AD5" w:rsidRDefault="00E52CB0">
            <w:pPr>
              <w:spacing w:after="0" w:line="240" w:lineRule="auto"/>
            </w:pPr>
            <w:r>
              <w:t>Kontrola událostí na clusteru a jednotlivých hostech</w:t>
            </w:r>
          </w:p>
        </w:tc>
        <w:tc>
          <w:tcPr>
            <w:tcW w:w="1016" w:type="dxa"/>
            <w:vAlign w:val="center"/>
          </w:tcPr>
          <w:p w14:paraId="64B95F64" w14:textId="77777777" w:rsidR="00552AD5" w:rsidRDefault="00E52CB0">
            <w:pPr>
              <w:spacing w:after="0" w:line="240" w:lineRule="auto"/>
            </w:pPr>
            <w:r>
              <w:t>denně</w:t>
            </w:r>
          </w:p>
        </w:tc>
        <w:tc>
          <w:tcPr>
            <w:tcW w:w="1311" w:type="dxa"/>
            <w:vAlign w:val="center"/>
          </w:tcPr>
          <w:p w14:paraId="368D73C5" w14:textId="77777777" w:rsidR="00552AD5" w:rsidRDefault="00E52CB0">
            <w:pPr>
              <w:spacing w:after="0" w:line="240" w:lineRule="auto"/>
            </w:pPr>
            <w:r>
              <w:t>Objednatel</w:t>
            </w:r>
          </w:p>
        </w:tc>
      </w:tr>
      <w:tr w:rsidR="00552AD5" w14:paraId="014C6E82" w14:textId="77777777">
        <w:trPr>
          <w:trHeight w:val="328"/>
        </w:trPr>
        <w:tc>
          <w:tcPr>
            <w:tcW w:w="363" w:type="dxa"/>
            <w:vAlign w:val="center"/>
          </w:tcPr>
          <w:p w14:paraId="4F5E25D2" w14:textId="77777777" w:rsidR="00552AD5" w:rsidRDefault="00E52CB0">
            <w:pPr>
              <w:spacing w:after="0" w:line="240" w:lineRule="auto"/>
              <w:jc w:val="center"/>
            </w:pPr>
            <w:r>
              <w:t>5</w:t>
            </w:r>
          </w:p>
        </w:tc>
        <w:tc>
          <w:tcPr>
            <w:tcW w:w="1272" w:type="dxa"/>
            <w:vAlign w:val="center"/>
          </w:tcPr>
          <w:p w14:paraId="69DDC96B" w14:textId="77777777" w:rsidR="00552AD5" w:rsidRDefault="00552AD5">
            <w:pPr>
              <w:spacing w:after="0" w:line="240" w:lineRule="auto"/>
              <w:jc w:val="left"/>
            </w:pPr>
          </w:p>
        </w:tc>
        <w:tc>
          <w:tcPr>
            <w:tcW w:w="5167" w:type="dxa"/>
            <w:vAlign w:val="center"/>
          </w:tcPr>
          <w:p w14:paraId="7C850FCB" w14:textId="77777777" w:rsidR="00552AD5" w:rsidRDefault="00E52CB0">
            <w:pPr>
              <w:spacing w:after="0" w:line="240" w:lineRule="auto"/>
            </w:pPr>
            <w:r>
              <w:t xml:space="preserve">Kontrola stavu aktualizací systému </w:t>
            </w:r>
            <w:proofErr w:type="spellStart"/>
            <w:r>
              <w:t>Vmware</w:t>
            </w:r>
            <w:proofErr w:type="spellEnd"/>
          </w:p>
        </w:tc>
        <w:tc>
          <w:tcPr>
            <w:tcW w:w="1016" w:type="dxa"/>
            <w:vAlign w:val="center"/>
          </w:tcPr>
          <w:p w14:paraId="17BBDD9A" w14:textId="77777777" w:rsidR="00552AD5" w:rsidRDefault="00E52CB0">
            <w:pPr>
              <w:spacing w:after="0" w:line="240" w:lineRule="auto"/>
            </w:pPr>
            <w:r>
              <w:t>měsíčně</w:t>
            </w:r>
          </w:p>
        </w:tc>
        <w:tc>
          <w:tcPr>
            <w:tcW w:w="1311" w:type="dxa"/>
            <w:vAlign w:val="center"/>
          </w:tcPr>
          <w:p w14:paraId="1D31245B" w14:textId="77777777" w:rsidR="00552AD5" w:rsidRDefault="00E52CB0">
            <w:pPr>
              <w:spacing w:after="0" w:line="240" w:lineRule="auto"/>
            </w:pPr>
            <w:r>
              <w:t>Poskytovatel</w:t>
            </w:r>
          </w:p>
        </w:tc>
      </w:tr>
      <w:tr w:rsidR="00552AD5" w14:paraId="5F3F86C7" w14:textId="77777777">
        <w:trPr>
          <w:trHeight w:val="328"/>
        </w:trPr>
        <w:tc>
          <w:tcPr>
            <w:tcW w:w="363" w:type="dxa"/>
            <w:vAlign w:val="center"/>
          </w:tcPr>
          <w:p w14:paraId="6C383496" w14:textId="77777777" w:rsidR="00552AD5" w:rsidRDefault="00E52CB0">
            <w:pPr>
              <w:spacing w:after="0" w:line="240" w:lineRule="auto"/>
              <w:jc w:val="center"/>
            </w:pPr>
            <w:r>
              <w:t>6</w:t>
            </w:r>
          </w:p>
        </w:tc>
        <w:tc>
          <w:tcPr>
            <w:tcW w:w="1272" w:type="dxa"/>
            <w:vAlign w:val="center"/>
          </w:tcPr>
          <w:p w14:paraId="434643A6" w14:textId="77777777" w:rsidR="00552AD5" w:rsidRDefault="00E52CB0">
            <w:pPr>
              <w:spacing w:after="0" w:line="240" w:lineRule="auto"/>
              <w:jc w:val="left"/>
            </w:pPr>
            <w:r>
              <w:rPr>
                <w:b/>
              </w:rPr>
              <w:t>Disková pole</w:t>
            </w:r>
          </w:p>
        </w:tc>
        <w:tc>
          <w:tcPr>
            <w:tcW w:w="5167" w:type="dxa"/>
            <w:vAlign w:val="center"/>
          </w:tcPr>
          <w:p w14:paraId="799DFE8F" w14:textId="77777777" w:rsidR="00552AD5" w:rsidRDefault="00E52CB0">
            <w:pPr>
              <w:spacing w:after="0" w:line="240" w:lineRule="auto"/>
            </w:pPr>
            <w:r>
              <w:rPr>
                <w:b/>
              </w:rPr>
              <w:t>Přehledová kontrola pole</w:t>
            </w:r>
          </w:p>
        </w:tc>
        <w:tc>
          <w:tcPr>
            <w:tcW w:w="1016" w:type="dxa"/>
            <w:vAlign w:val="center"/>
          </w:tcPr>
          <w:p w14:paraId="3D3BAA30" w14:textId="77777777" w:rsidR="00552AD5" w:rsidRDefault="00E52CB0">
            <w:pPr>
              <w:spacing w:after="0" w:line="240" w:lineRule="auto"/>
            </w:pPr>
            <w:r>
              <w:rPr>
                <w:b/>
              </w:rPr>
              <w:t>Pololetně</w:t>
            </w:r>
          </w:p>
        </w:tc>
        <w:tc>
          <w:tcPr>
            <w:tcW w:w="1311" w:type="dxa"/>
            <w:vAlign w:val="center"/>
          </w:tcPr>
          <w:p w14:paraId="34FCBF31" w14:textId="77777777" w:rsidR="00552AD5" w:rsidRDefault="00E52CB0">
            <w:pPr>
              <w:spacing w:after="0" w:line="240" w:lineRule="auto"/>
            </w:pPr>
            <w:r>
              <w:t>Poskytovatel</w:t>
            </w:r>
          </w:p>
        </w:tc>
      </w:tr>
      <w:tr w:rsidR="00552AD5" w14:paraId="074959BB" w14:textId="77777777">
        <w:trPr>
          <w:trHeight w:val="328"/>
        </w:trPr>
        <w:tc>
          <w:tcPr>
            <w:tcW w:w="363" w:type="dxa"/>
            <w:vAlign w:val="center"/>
          </w:tcPr>
          <w:p w14:paraId="2322612D" w14:textId="77777777" w:rsidR="00552AD5" w:rsidRDefault="00E52CB0">
            <w:pPr>
              <w:spacing w:after="0" w:line="240" w:lineRule="auto"/>
              <w:jc w:val="center"/>
            </w:pPr>
            <w:r>
              <w:t>7</w:t>
            </w:r>
          </w:p>
        </w:tc>
        <w:tc>
          <w:tcPr>
            <w:tcW w:w="1272" w:type="dxa"/>
            <w:vAlign w:val="center"/>
          </w:tcPr>
          <w:p w14:paraId="78F6CFDD" w14:textId="77777777" w:rsidR="00552AD5" w:rsidRDefault="00E52CB0">
            <w:pPr>
              <w:spacing w:after="0" w:line="240" w:lineRule="auto"/>
              <w:jc w:val="left"/>
            </w:pPr>
            <w:r>
              <w:t>IBM</w:t>
            </w:r>
          </w:p>
        </w:tc>
        <w:tc>
          <w:tcPr>
            <w:tcW w:w="5167" w:type="dxa"/>
            <w:vAlign w:val="center"/>
          </w:tcPr>
          <w:p w14:paraId="2F914D4B" w14:textId="77777777" w:rsidR="00552AD5" w:rsidRDefault="00E52CB0">
            <w:pPr>
              <w:spacing w:after="0" w:line="240" w:lineRule="auto"/>
            </w:pPr>
            <w:r>
              <w:rPr>
                <w:b/>
              </w:rPr>
              <w:t>Přehledová kontrola pole</w:t>
            </w:r>
          </w:p>
        </w:tc>
        <w:tc>
          <w:tcPr>
            <w:tcW w:w="1016" w:type="dxa"/>
            <w:vAlign w:val="center"/>
          </w:tcPr>
          <w:p w14:paraId="744F0165" w14:textId="77777777" w:rsidR="00552AD5" w:rsidRDefault="00E52CB0">
            <w:pPr>
              <w:spacing w:after="0" w:line="240" w:lineRule="auto"/>
            </w:pPr>
            <w:r>
              <w:rPr>
                <w:b/>
              </w:rPr>
              <w:t>Pololetně</w:t>
            </w:r>
          </w:p>
        </w:tc>
        <w:tc>
          <w:tcPr>
            <w:tcW w:w="1311" w:type="dxa"/>
            <w:vAlign w:val="center"/>
          </w:tcPr>
          <w:p w14:paraId="15F58704" w14:textId="77777777" w:rsidR="00552AD5" w:rsidRDefault="00E52CB0">
            <w:pPr>
              <w:spacing w:after="0" w:line="240" w:lineRule="auto"/>
            </w:pPr>
            <w:r>
              <w:t>Poskytovatel</w:t>
            </w:r>
          </w:p>
        </w:tc>
      </w:tr>
      <w:tr w:rsidR="00552AD5" w14:paraId="5A060258" w14:textId="77777777">
        <w:trPr>
          <w:trHeight w:val="328"/>
        </w:trPr>
        <w:tc>
          <w:tcPr>
            <w:tcW w:w="363" w:type="dxa"/>
            <w:vAlign w:val="center"/>
          </w:tcPr>
          <w:p w14:paraId="24041408" w14:textId="77777777" w:rsidR="00552AD5" w:rsidRDefault="00E52CB0">
            <w:pPr>
              <w:spacing w:after="0" w:line="240" w:lineRule="auto"/>
              <w:jc w:val="center"/>
            </w:pPr>
            <w:r>
              <w:t>8</w:t>
            </w:r>
          </w:p>
        </w:tc>
        <w:tc>
          <w:tcPr>
            <w:tcW w:w="1272" w:type="dxa"/>
            <w:vAlign w:val="center"/>
          </w:tcPr>
          <w:p w14:paraId="4B813A1E" w14:textId="77777777" w:rsidR="00552AD5" w:rsidRDefault="00E52CB0">
            <w:pPr>
              <w:spacing w:after="0" w:line="240" w:lineRule="auto"/>
              <w:jc w:val="left"/>
            </w:pPr>
            <w:r>
              <w:rPr>
                <w:b/>
              </w:rPr>
              <w:t>AV systém</w:t>
            </w:r>
          </w:p>
        </w:tc>
        <w:tc>
          <w:tcPr>
            <w:tcW w:w="5167" w:type="dxa"/>
            <w:vAlign w:val="center"/>
          </w:tcPr>
          <w:p w14:paraId="379F681E" w14:textId="77777777" w:rsidR="00552AD5" w:rsidRDefault="00E52CB0">
            <w:pPr>
              <w:spacing w:after="0" w:line="240" w:lineRule="auto"/>
            </w:pPr>
            <w:r>
              <w:t>Kontrola detekce AV hrozeb</w:t>
            </w:r>
          </w:p>
        </w:tc>
        <w:tc>
          <w:tcPr>
            <w:tcW w:w="1016" w:type="dxa"/>
            <w:vAlign w:val="center"/>
          </w:tcPr>
          <w:p w14:paraId="796A0ADB" w14:textId="77777777" w:rsidR="00552AD5" w:rsidRDefault="00E52CB0">
            <w:pPr>
              <w:spacing w:after="0" w:line="240" w:lineRule="auto"/>
            </w:pPr>
            <w:r>
              <w:t>denně</w:t>
            </w:r>
          </w:p>
        </w:tc>
        <w:tc>
          <w:tcPr>
            <w:tcW w:w="1311" w:type="dxa"/>
            <w:vAlign w:val="center"/>
          </w:tcPr>
          <w:p w14:paraId="742F6A18" w14:textId="77777777" w:rsidR="00552AD5" w:rsidRDefault="00E52CB0">
            <w:pPr>
              <w:spacing w:after="0" w:line="240" w:lineRule="auto"/>
            </w:pPr>
            <w:r>
              <w:t>Objednatel</w:t>
            </w:r>
          </w:p>
        </w:tc>
      </w:tr>
      <w:tr w:rsidR="00552AD5" w14:paraId="7CFDE36D" w14:textId="77777777">
        <w:trPr>
          <w:trHeight w:val="328"/>
        </w:trPr>
        <w:tc>
          <w:tcPr>
            <w:tcW w:w="363" w:type="dxa"/>
            <w:vAlign w:val="center"/>
          </w:tcPr>
          <w:p w14:paraId="3394CBE7" w14:textId="77777777" w:rsidR="00552AD5" w:rsidRDefault="00E52CB0">
            <w:pPr>
              <w:spacing w:after="0" w:line="240" w:lineRule="auto"/>
              <w:jc w:val="center"/>
            </w:pPr>
            <w:r>
              <w:t>9</w:t>
            </w:r>
          </w:p>
        </w:tc>
        <w:tc>
          <w:tcPr>
            <w:tcW w:w="1272" w:type="dxa"/>
            <w:vAlign w:val="center"/>
          </w:tcPr>
          <w:p w14:paraId="6E5F1FE7" w14:textId="77777777" w:rsidR="00552AD5" w:rsidRDefault="00E52CB0">
            <w:pPr>
              <w:spacing w:after="0" w:line="240" w:lineRule="auto"/>
              <w:jc w:val="left"/>
            </w:pPr>
            <w:r>
              <w:t>ESET</w:t>
            </w:r>
          </w:p>
        </w:tc>
        <w:tc>
          <w:tcPr>
            <w:tcW w:w="5167" w:type="dxa"/>
            <w:vAlign w:val="center"/>
          </w:tcPr>
          <w:p w14:paraId="5257C998" w14:textId="77777777" w:rsidR="00552AD5" w:rsidRDefault="00E52CB0">
            <w:pPr>
              <w:spacing w:after="0" w:line="240" w:lineRule="auto"/>
            </w:pPr>
            <w:r>
              <w:t>Kontrola aktuálnosti virových definic</w:t>
            </w:r>
          </w:p>
        </w:tc>
        <w:tc>
          <w:tcPr>
            <w:tcW w:w="1016" w:type="dxa"/>
            <w:vAlign w:val="center"/>
          </w:tcPr>
          <w:p w14:paraId="0CDD9C9F" w14:textId="77777777" w:rsidR="00552AD5" w:rsidRDefault="00E52CB0">
            <w:pPr>
              <w:spacing w:after="0" w:line="240" w:lineRule="auto"/>
            </w:pPr>
            <w:r>
              <w:t>denně</w:t>
            </w:r>
          </w:p>
        </w:tc>
        <w:tc>
          <w:tcPr>
            <w:tcW w:w="1311" w:type="dxa"/>
            <w:vAlign w:val="center"/>
          </w:tcPr>
          <w:p w14:paraId="2CCE2F6B" w14:textId="77777777" w:rsidR="00552AD5" w:rsidRDefault="00E52CB0">
            <w:pPr>
              <w:spacing w:after="0" w:line="240" w:lineRule="auto"/>
            </w:pPr>
            <w:r>
              <w:t>Objednatel</w:t>
            </w:r>
          </w:p>
        </w:tc>
      </w:tr>
      <w:tr w:rsidR="00552AD5" w14:paraId="254C7012" w14:textId="77777777">
        <w:trPr>
          <w:trHeight w:val="328"/>
        </w:trPr>
        <w:tc>
          <w:tcPr>
            <w:tcW w:w="363" w:type="dxa"/>
            <w:vAlign w:val="center"/>
          </w:tcPr>
          <w:p w14:paraId="330AB858" w14:textId="77777777" w:rsidR="00552AD5" w:rsidRDefault="00E52CB0">
            <w:pPr>
              <w:spacing w:after="0" w:line="240" w:lineRule="auto"/>
              <w:jc w:val="center"/>
            </w:pPr>
            <w:r>
              <w:t>10</w:t>
            </w:r>
          </w:p>
        </w:tc>
        <w:tc>
          <w:tcPr>
            <w:tcW w:w="1272" w:type="dxa"/>
            <w:vAlign w:val="center"/>
          </w:tcPr>
          <w:p w14:paraId="3D4EE99A" w14:textId="77777777" w:rsidR="00552AD5" w:rsidRDefault="00552AD5">
            <w:pPr>
              <w:spacing w:after="0" w:line="240" w:lineRule="auto"/>
              <w:jc w:val="left"/>
            </w:pPr>
          </w:p>
        </w:tc>
        <w:tc>
          <w:tcPr>
            <w:tcW w:w="5167" w:type="dxa"/>
            <w:vAlign w:val="center"/>
          </w:tcPr>
          <w:p w14:paraId="1764866D" w14:textId="77777777" w:rsidR="00552AD5" w:rsidRDefault="00E52CB0">
            <w:pPr>
              <w:spacing w:after="0" w:line="240" w:lineRule="auto"/>
            </w:pPr>
            <w:r>
              <w:t>Kontrola distribuce virových definic na klienty</w:t>
            </w:r>
          </w:p>
        </w:tc>
        <w:tc>
          <w:tcPr>
            <w:tcW w:w="1016" w:type="dxa"/>
            <w:vAlign w:val="center"/>
          </w:tcPr>
          <w:p w14:paraId="0685B009" w14:textId="77777777" w:rsidR="00552AD5" w:rsidRDefault="00E52CB0">
            <w:pPr>
              <w:spacing w:after="0" w:line="240" w:lineRule="auto"/>
            </w:pPr>
            <w:r>
              <w:t>denně</w:t>
            </w:r>
          </w:p>
        </w:tc>
        <w:tc>
          <w:tcPr>
            <w:tcW w:w="1311" w:type="dxa"/>
            <w:vAlign w:val="center"/>
          </w:tcPr>
          <w:p w14:paraId="51BEF1BB" w14:textId="77777777" w:rsidR="00552AD5" w:rsidRDefault="00E52CB0">
            <w:pPr>
              <w:spacing w:after="0" w:line="240" w:lineRule="auto"/>
            </w:pPr>
            <w:r>
              <w:t>Objednatel</w:t>
            </w:r>
          </w:p>
        </w:tc>
      </w:tr>
      <w:tr w:rsidR="00552AD5" w14:paraId="736E8BEF" w14:textId="77777777">
        <w:trPr>
          <w:trHeight w:val="328"/>
        </w:trPr>
        <w:tc>
          <w:tcPr>
            <w:tcW w:w="363" w:type="dxa"/>
            <w:vAlign w:val="center"/>
          </w:tcPr>
          <w:p w14:paraId="007433EA" w14:textId="77777777" w:rsidR="00552AD5" w:rsidRDefault="00E52CB0">
            <w:pPr>
              <w:spacing w:after="0" w:line="240" w:lineRule="auto"/>
              <w:jc w:val="center"/>
            </w:pPr>
            <w:r>
              <w:t>11</w:t>
            </w:r>
          </w:p>
        </w:tc>
        <w:tc>
          <w:tcPr>
            <w:tcW w:w="1272" w:type="dxa"/>
            <w:vAlign w:val="center"/>
          </w:tcPr>
          <w:p w14:paraId="04F85587" w14:textId="77777777" w:rsidR="00552AD5" w:rsidRDefault="00552AD5">
            <w:pPr>
              <w:spacing w:after="0" w:line="240" w:lineRule="auto"/>
              <w:jc w:val="left"/>
            </w:pPr>
          </w:p>
        </w:tc>
        <w:tc>
          <w:tcPr>
            <w:tcW w:w="5167" w:type="dxa"/>
            <w:vAlign w:val="center"/>
          </w:tcPr>
          <w:p w14:paraId="45F5D464" w14:textId="77777777" w:rsidR="00552AD5" w:rsidRDefault="00E52CB0">
            <w:pPr>
              <w:spacing w:after="0" w:line="240" w:lineRule="auto"/>
            </w:pPr>
            <w:r>
              <w:t>Kontrola provádění automatizovaných AV testů</w:t>
            </w:r>
          </w:p>
        </w:tc>
        <w:tc>
          <w:tcPr>
            <w:tcW w:w="1016" w:type="dxa"/>
            <w:vAlign w:val="center"/>
          </w:tcPr>
          <w:p w14:paraId="02E1D615" w14:textId="77777777" w:rsidR="00552AD5" w:rsidRDefault="00E52CB0">
            <w:pPr>
              <w:spacing w:after="0" w:line="240" w:lineRule="auto"/>
            </w:pPr>
            <w:r>
              <w:t>měsíčně</w:t>
            </w:r>
          </w:p>
        </w:tc>
        <w:tc>
          <w:tcPr>
            <w:tcW w:w="1311" w:type="dxa"/>
            <w:vAlign w:val="center"/>
          </w:tcPr>
          <w:p w14:paraId="2CDE9E60" w14:textId="77777777" w:rsidR="00552AD5" w:rsidRDefault="00E52CB0">
            <w:pPr>
              <w:spacing w:after="0" w:line="240" w:lineRule="auto"/>
            </w:pPr>
            <w:r>
              <w:t>Objednatel</w:t>
            </w:r>
          </w:p>
        </w:tc>
      </w:tr>
      <w:tr w:rsidR="00552AD5" w14:paraId="66D3D102" w14:textId="77777777">
        <w:trPr>
          <w:trHeight w:val="328"/>
        </w:trPr>
        <w:tc>
          <w:tcPr>
            <w:tcW w:w="363" w:type="dxa"/>
            <w:vAlign w:val="center"/>
          </w:tcPr>
          <w:p w14:paraId="72FB5678" w14:textId="77777777" w:rsidR="00552AD5" w:rsidRDefault="00E52CB0">
            <w:pPr>
              <w:spacing w:after="0" w:line="240" w:lineRule="auto"/>
              <w:jc w:val="center"/>
            </w:pPr>
            <w:r>
              <w:lastRenderedPageBreak/>
              <w:t>12</w:t>
            </w:r>
          </w:p>
        </w:tc>
        <w:tc>
          <w:tcPr>
            <w:tcW w:w="1272" w:type="dxa"/>
            <w:vAlign w:val="center"/>
          </w:tcPr>
          <w:p w14:paraId="2F31232B" w14:textId="77777777" w:rsidR="00552AD5" w:rsidRDefault="00E52CB0">
            <w:pPr>
              <w:spacing w:after="0" w:line="240" w:lineRule="auto"/>
              <w:jc w:val="left"/>
            </w:pPr>
            <w:proofErr w:type="spellStart"/>
            <w:r>
              <w:rPr>
                <w:b/>
              </w:rPr>
              <w:t>Active</w:t>
            </w:r>
            <w:proofErr w:type="spellEnd"/>
            <w:r>
              <w:rPr>
                <w:b/>
              </w:rPr>
              <w:t xml:space="preserve"> </w:t>
            </w:r>
            <w:proofErr w:type="spellStart"/>
            <w:r>
              <w:rPr>
                <w:b/>
              </w:rPr>
              <w:t>Directory</w:t>
            </w:r>
            <w:proofErr w:type="spellEnd"/>
          </w:p>
        </w:tc>
        <w:tc>
          <w:tcPr>
            <w:tcW w:w="5167" w:type="dxa"/>
            <w:vAlign w:val="center"/>
          </w:tcPr>
          <w:p w14:paraId="0B1EFFEB" w14:textId="77777777" w:rsidR="00552AD5" w:rsidRDefault="00E52CB0">
            <w:pPr>
              <w:spacing w:after="0" w:line="240" w:lineRule="auto"/>
            </w:pPr>
            <w:r>
              <w:t>Kontrola logů řadičů domény</w:t>
            </w:r>
          </w:p>
        </w:tc>
        <w:tc>
          <w:tcPr>
            <w:tcW w:w="1016" w:type="dxa"/>
            <w:vAlign w:val="center"/>
          </w:tcPr>
          <w:p w14:paraId="3F4C7EF0" w14:textId="77777777" w:rsidR="00552AD5" w:rsidRDefault="00E52CB0">
            <w:pPr>
              <w:spacing w:after="0" w:line="240" w:lineRule="auto"/>
            </w:pPr>
            <w:r>
              <w:t>denně</w:t>
            </w:r>
          </w:p>
        </w:tc>
        <w:tc>
          <w:tcPr>
            <w:tcW w:w="1311" w:type="dxa"/>
            <w:vAlign w:val="center"/>
          </w:tcPr>
          <w:p w14:paraId="74AE893D" w14:textId="77777777" w:rsidR="00552AD5" w:rsidRDefault="00E52CB0">
            <w:pPr>
              <w:spacing w:after="0" w:line="240" w:lineRule="auto"/>
            </w:pPr>
            <w:r>
              <w:t>Objednatel</w:t>
            </w:r>
          </w:p>
        </w:tc>
      </w:tr>
      <w:tr w:rsidR="00552AD5" w14:paraId="7B2C5FD4" w14:textId="77777777">
        <w:trPr>
          <w:trHeight w:val="328"/>
        </w:trPr>
        <w:tc>
          <w:tcPr>
            <w:tcW w:w="363" w:type="dxa"/>
            <w:vAlign w:val="center"/>
          </w:tcPr>
          <w:p w14:paraId="670630A3" w14:textId="77777777" w:rsidR="00552AD5" w:rsidRDefault="00E52CB0">
            <w:pPr>
              <w:spacing w:after="0" w:line="240" w:lineRule="auto"/>
              <w:jc w:val="center"/>
            </w:pPr>
            <w:r>
              <w:t>13</w:t>
            </w:r>
          </w:p>
        </w:tc>
        <w:tc>
          <w:tcPr>
            <w:tcW w:w="1272" w:type="dxa"/>
            <w:vAlign w:val="center"/>
          </w:tcPr>
          <w:p w14:paraId="7384C12B" w14:textId="77777777" w:rsidR="00552AD5" w:rsidRDefault="00E52CB0">
            <w:pPr>
              <w:spacing w:after="0" w:line="240" w:lineRule="auto"/>
              <w:jc w:val="left"/>
            </w:pPr>
            <w:r>
              <w:t>MS Windows</w:t>
            </w:r>
          </w:p>
        </w:tc>
        <w:tc>
          <w:tcPr>
            <w:tcW w:w="5167" w:type="dxa"/>
            <w:vAlign w:val="center"/>
          </w:tcPr>
          <w:p w14:paraId="46F3744C" w14:textId="77777777" w:rsidR="00552AD5" w:rsidRDefault="00E52CB0">
            <w:pPr>
              <w:spacing w:after="0" w:line="240" w:lineRule="auto"/>
            </w:pPr>
            <w:r>
              <w:t>Provedení diagnostiky replikací</w:t>
            </w:r>
          </w:p>
        </w:tc>
        <w:tc>
          <w:tcPr>
            <w:tcW w:w="1016" w:type="dxa"/>
            <w:vAlign w:val="center"/>
          </w:tcPr>
          <w:p w14:paraId="04C1742F" w14:textId="77777777" w:rsidR="00552AD5" w:rsidRDefault="00E52CB0">
            <w:pPr>
              <w:spacing w:after="0" w:line="240" w:lineRule="auto"/>
            </w:pPr>
            <w:r>
              <w:t>měsíčně</w:t>
            </w:r>
          </w:p>
        </w:tc>
        <w:tc>
          <w:tcPr>
            <w:tcW w:w="1311" w:type="dxa"/>
            <w:vAlign w:val="center"/>
          </w:tcPr>
          <w:p w14:paraId="0C92EA1F" w14:textId="77777777" w:rsidR="00552AD5" w:rsidRDefault="00E52CB0">
            <w:pPr>
              <w:spacing w:after="0" w:line="240" w:lineRule="auto"/>
            </w:pPr>
            <w:r>
              <w:t>Objednatel</w:t>
            </w:r>
          </w:p>
        </w:tc>
      </w:tr>
      <w:tr w:rsidR="00552AD5" w14:paraId="2D6CC7E9" w14:textId="77777777">
        <w:trPr>
          <w:trHeight w:val="328"/>
        </w:trPr>
        <w:tc>
          <w:tcPr>
            <w:tcW w:w="363" w:type="dxa"/>
            <w:vAlign w:val="center"/>
          </w:tcPr>
          <w:p w14:paraId="70654D89" w14:textId="77777777" w:rsidR="00552AD5" w:rsidRDefault="00E52CB0">
            <w:pPr>
              <w:spacing w:after="0" w:line="240" w:lineRule="auto"/>
              <w:jc w:val="center"/>
            </w:pPr>
            <w:r>
              <w:t>14</w:t>
            </w:r>
          </w:p>
        </w:tc>
        <w:tc>
          <w:tcPr>
            <w:tcW w:w="1272" w:type="dxa"/>
            <w:vAlign w:val="center"/>
          </w:tcPr>
          <w:p w14:paraId="795C74FB" w14:textId="77777777" w:rsidR="00552AD5" w:rsidRDefault="00552AD5">
            <w:pPr>
              <w:spacing w:after="0" w:line="240" w:lineRule="auto"/>
              <w:jc w:val="left"/>
            </w:pPr>
          </w:p>
        </w:tc>
        <w:tc>
          <w:tcPr>
            <w:tcW w:w="5167" w:type="dxa"/>
            <w:vAlign w:val="center"/>
          </w:tcPr>
          <w:p w14:paraId="6B00B6E5" w14:textId="77777777" w:rsidR="00552AD5" w:rsidRDefault="00E52CB0">
            <w:pPr>
              <w:spacing w:after="0" w:line="240" w:lineRule="auto"/>
            </w:pPr>
            <w:r>
              <w:t>Kontrola a schvalování nových aktualizací</w:t>
            </w:r>
          </w:p>
        </w:tc>
        <w:tc>
          <w:tcPr>
            <w:tcW w:w="1016" w:type="dxa"/>
            <w:vAlign w:val="center"/>
          </w:tcPr>
          <w:p w14:paraId="157556D2" w14:textId="77777777" w:rsidR="00552AD5" w:rsidRDefault="00E52CB0">
            <w:pPr>
              <w:spacing w:after="0" w:line="240" w:lineRule="auto"/>
            </w:pPr>
            <w:r>
              <w:t>denně</w:t>
            </w:r>
          </w:p>
        </w:tc>
        <w:tc>
          <w:tcPr>
            <w:tcW w:w="1311" w:type="dxa"/>
            <w:vAlign w:val="center"/>
          </w:tcPr>
          <w:p w14:paraId="519071DB" w14:textId="77777777" w:rsidR="00552AD5" w:rsidRDefault="00E52CB0">
            <w:pPr>
              <w:spacing w:after="0" w:line="240" w:lineRule="auto"/>
            </w:pPr>
            <w:r>
              <w:t>Objednatel</w:t>
            </w:r>
          </w:p>
        </w:tc>
      </w:tr>
      <w:tr w:rsidR="00552AD5" w14:paraId="0DC28655" w14:textId="77777777">
        <w:trPr>
          <w:trHeight w:val="328"/>
        </w:trPr>
        <w:tc>
          <w:tcPr>
            <w:tcW w:w="363" w:type="dxa"/>
            <w:vAlign w:val="center"/>
          </w:tcPr>
          <w:p w14:paraId="413DF7F5" w14:textId="77777777" w:rsidR="00552AD5" w:rsidRDefault="00E52CB0">
            <w:pPr>
              <w:spacing w:after="0" w:line="240" w:lineRule="auto"/>
              <w:jc w:val="center"/>
            </w:pPr>
            <w:r>
              <w:t>15</w:t>
            </w:r>
          </w:p>
        </w:tc>
        <w:tc>
          <w:tcPr>
            <w:tcW w:w="1272" w:type="dxa"/>
            <w:vAlign w:val="center"/>
          </w:tcPr>
          <w:p w14:paraId="015E4255" w14:textId="77777777" w:rsidR="00552AD5" w:rsidRDefault="00E52CB0">
            <w:pPr>
              <w:spacing w:after="0" w:line="240" w:lineRule="auto"/>
              <w:jc w:val="left"/>
            </w:pPr>
            <w:r>
              <w:rPr>
                <w:b/>
              </w:rPr>
              <w:t>WSUS</w:t>
            </w:r>
          </w:p>
        </w:tc>
        <w:tc>
          <w:tcPr>
            <w:tcW w:w="5167" w:type="dxa"/>
            <w:vAlign w:val="center"/>
          </w:tcPr>
          <w:p w14:paraId="18235F91" w14:textId="77777777" w:rsidR="00552AD5" w:rsidRDefault="00E52CB0">
            <w:pPr>
              <w:spacing w:after="0" w:line="240" w:lineRule="auto"/>
            </w:pPr>
            <w:r>
              <w:t>Kontrola nových skupin produktů.</w:t>
            </w:r>
          </w:p>
        </w:tc>
        <w:tc>
          <w:tcPr>
            <w:tcW w:w="1016" w:type="dxa"/>
            <w:vAlign w:val="center"/>
          </w:tcPr>
          <w:p w14:paraId="2016095B" w14:textId="77777777" w:rsidR="00552AD5" w:rsidRDefault="00E52CB0">
            <w:pPr>
              <w:spacing w:after="0" w:line="240" w:lineRule="auto"/>
            </w:pPr>
            <w:r>
              <w:t>měsíčně</w:t>
            </w:r>
          </w:p>
        </w:tc>
        <w:tc>
          <w:tcPr>
            <w:tcW w:w="1311" w:type="dxa"/>
            <w:vAlign w:val="center"/>
          </w:tcPr>
          <w:p w14:paraId="0871B893" w14:textId="77777777" w:rsidR="00552AD5" w:rsidRDefault="00E52CB0">
            <w:pPr>
              <w:spacing w:after="0" w:line="240" w:lineRule="auto"/>
            </w:pPr>
            <w:r>
              <w:t>Objednatel</w:t>
            </w:r>
          </w:p>
        </w:tc>
      </w:tr>
      <w:tr w:rsidR="00552AD5" w14:paraId="6FA19E72" w14:textId="77777777">
        <w:trPr>
          <w:trHeight w:val="328"/>
        </w:trPr>
        <w:tc>
          <w:tcPr>
            <w:tcW w:w="363" w:type="dxa"/>
            <w:vAlign w:val="center"/>
          </w:tcPr>
          <w:p w14:paraId="7AA81912" w14:textId="77777777" w:rsidR="00552AD5" w:rsidRDefault="00E52CB0">
            <w:pPr>
              <w:spacing w:after="0" w:line="240" w:lineRule="auto"/>
              <w:jc w:val="center"/>
            </w:pPr>
            <w:r>
              <w:t>16</w:t>
            </w:r>
          </w:p>
        </w:tc>
        <w:tc>
          <w:tcPr>
            <w:tcW w:w="1272" w:type="dxa"/>
            <w:vAlign w:val="center"/>
          </w:tcPr>
          <w:p w14:paraId="1DD6B3DA" w14:textId="77777777" w:rsidR="00552AD5" w:rsidRDefault="00E52CB0">
            <w:pPr>
              <w:spacing w:after="0" w:line="240" w:lineRule="auto"/>
              <w:jc w:val="left"/>
            </w:pPr>
            <w:r>
              <w:t>MS Windows</w:t>
            </w:r>
          </w:p>
        </w:tc>
        <w:tc>
          <w:tcPr>
            <w:tcW w:w="5167" w:type="dxa"/>
            <w:vAlign w:val="center"/>
          </w:tcPr>
          <w:p w14:paraId="50BE6811" w14:textId="77777777" w:rsidR="00552AD5" w:rsidRDefault="00E52CB0">
            <w:pPr>
              <w:spacing w:after="0" w:line="240" w:lineRule="auto"/>
            </w:pPr>
            <w:r>
              <w:t>Odstranění nepotřebných aktualizací z úložiště.</w:t>
            </w:r>
          </w:p>
        </w:tc>
        <w:tc>
          <w:tcPr>
            <w:tcW w:w="1016" w:type="dxa"/>
            <w:vAlign w:val="center"/>
          </w:tcPr>
          <w:p w14:paraId="33AB4505" w14:textId="77777777" w:rsidR="00552AD5" w:rsidRDefault="00E52CB0">
            <w:pPr>
              <w:spacing w:after="0" w:line="240" w:lineRule="auto"/>
            </w:pPr>
            <w:r>
              <w:t>měsíčně</w:t>
            </w:r>
          </w:p>
        </w:tc>
        <w:tc>
          <w:tcPr>
            <w:tcW w:w="1311" w:type="dxa"/>
            <w:vAlign w:val="center"/>
          </w:tcPr>
          <w:p w14:paraId="4C83996C" w14:textId="77777777" w:rsidR="00552AD5" w:rsidRDefault="00E52CB0">
            <w:pPr>
              <w:spacing w:after="0" w:line="240" w:lineRule="auto"/>
            </w:pPr>
            <w:r>
              <w:t>Objednatel</w:t>
            </w:r>
          </w:p>
        </w:tc>
      </w:tr>
      <w:tr w:rsidR="00552AD5" w14:paraId="14F2803F" w14:textId="77777777">
        <w:trPr>
          <w:trHeight w:val="328"/>
        </w:trPr>
        <w:tc>
          <w:tcPr>
            <w:tcW w:w="363" w:type="dxa"/>
            <w:vAlign w:val="center"/>
          </w:tcPr>
          <w:p w14:paraId="26486FEE" w14:textId="77777777" w:rsidR="00552AD5" w:rsidRDefault="00E52CB0">
            <w:pPr>
              <w:spacing w:after="0" w:line="240" w:lineRule="auto"/>
              <w:jc w:val="center"/>
            </w:pPr>
            <w:r>
              <w:t>17</w:t>
            </w:r>
          </w:p>
        </w:tc>
        <w:tc>
          <w:tcPr>
            <w:tcW w:w="1272" w:type="dxa"/>
            <w:vAlign w:val="center"/>
          </w:tcPr>
          <w:p w14:paraId="43FAC252" w14:textId="77777777" w:rsidR="00552AD5" w:rsidRDefault="00E52CB0">
            <w:pPr>
              <w:spacing w:after="0" w:line="240" w:lineRule="auto"/>
              <w:jc w:val="left"/>
            </w:pPr>
            <w:r>
              <w:rPr>
                <w:b/>
              </w:rPr>
              <w:t>Servery</w:t>
            </w:r>
          </w:p>
        </w:tc>
        <w:tc>
          <w:tcPr>
            <w:tcW w:w="5167" w:type="dxa"/>
            <w:vAlign w:val="center"/>
          </w:tcPr>
          <w:p w14:paraId="05FD9ADC" w14:textId="77777777" w:rsidR="00552AD5" w:rsidRDefault="00E52CB0">
            <w:pPr>
              <w:spacing w:after="0" w:line="240" w:lineRule="auto"/>
            </w:pPr>
            <w:r>
              <w:rPr>
                <w:b/>
              </w:rPr>
              <w:t>Kontrola systémových a aplikačních logů serverů</w:t>
            </w:r>
          </w:p>
        </w:tc>
        <w:tc>
          <w:tcPr>
            <w:tcW w:w="1016" w:type="dxa"/>
            <w:vAlign w:val="center"/>
          </w:tcPr>
          <w:p w14:paraId="6D2A9FF1" w14:textId="77777777" w:rsidR="00552AD5" w:rsidRDefault="00E52CB0">
            <w:pPr>
              <w:spacing w:after="0" w:line="240" w:lineRule="auto"/>
            </w:pPr>
            <w:r>
              <w:rPr>
                <w:b/>
              </w:rPr>
              <w:t>Pololetně</w:t>
            </w:r>
          </w:p>
        </w:tc>
        <w:tc>
          <w:tcPr>
            <w:tcW w:w="1311" w:type="dxa"/>
            <w:vAlign w:val="center"/>
          </w:tcPr>
          <w:p w14:paraId="1746DF55" w14:textId="77777777" w:rsidR="00552AD5" w:rsidRDefault="00E52CB0">
            <w:pPr>
              <w:spacing w:after="0" w:line="240" w:lineRule="auto"/>
            </w:pPr>
            <w:r>
              <w:t>Poskytovatel</w:t>
            </w:r>
          </w:p>
        </w:tc>
      </w:tr>
      <w:tr w:rsidR="00552AD5" w14:paraId="597256B3" w14:textId="77777777">
        <w:trPr>
          <w:trHeight w:val="328"/>
        </w:trPr>
        <w:tc>
          <w:tcPr>
            <w:tcW w:w="363" w:type="dxa"/>
            <w:vAlign w:val="center"/>
          </w:tcPr>
          <w:p w14:paraId="362EA57D" w14:textId="77777777" w:rsidR="00552AD5" w:rsidRDefault="00E52CB0">
            <w:pPr>
              <w:spacing w:after="0" w:line="240" w:lineRule="auto"/>
              <w:jc w:val="center"/>
            </w:pPr>
            <w:r>
              <w:t>18</w:t>
            </w:r>
          </w:p>
        </w:tc>
        <w:tc>
          <w:tcPr>
            <w:tcW w:w="1272" w:type="dxa"/>
            <w:vAlign w:val="center"/>
          </w:tcPr>
          <w:p w14:paraId="368F7385" w14:textId="77777777" w:rsidR="00552AD5" w:rsidRDefault="00552AD5">
            <w:pPr>
              <w:spacing w:after="0" w:line="240" w:lineRule="auto"/>
              <w:jc w:val="left"/>
            </w:pPr>
          </w:p>
        </w:tc>
        <w:tc>
          <w:tcPr>
            <w:tcW w:w="5167" w:type="dxa"/>
            <w:vAlign w:val="center"/>
          </w:tcPr>
          <w:p w14:paraId="384F7741" w14:textId="77777777" w:rsidR="00552AD5" w:rsidRDefault="00E52CB0">
            <w:pPr>
              <w:spacing w:after="0" w:line="240" w:lineRule="auto"/>
            </w:pPr>
            <w:r>
              <w:rPr>
                <w:b/>
              </w:rPr>
              <w:t>Provedení instalace aktualizací na servery</w:t>
            </w:r>
          </w:p>
        </w:tc>
        <w:tc>
          <w:tcPr>
            <w:tcW w:w="1016" w:type="dxa"/>
            <w:vAlign w:val="center"/>
          </w:tcPr>
          <w:p w14:paraId="5B9ECC75" w14:textId="77777777" w:rsidR="00552AD5" w:rsidRDefault="00E52CB0">
            <w:pPr>
              <w:spacing w:after="0" w:line="240" w:lineRule="auto"/>
            </w:pPr>
            <w:r>
              <w:rPr>
                <w:b/>
              </w:rPr>
              <w:t>Pololetně</w:t>
            </w:r>
          </w:p>
        </w:tc>
        <w:tc>
          <w:tcPr>
            <w:tcW w:w="1311" w:type="dxa"/>
            <w:vAlign w:val="center"/>
          </w:tcPr>
          <w:p w14:paraId="76168828" w14:textId="77777777" w:rsidR="00552AD5" w:rsidRDefault="00E52CB0">
            <w:pPr>
              <w:spacing w:after="0" w:line="240" w:lineRule="auto"/>
            </w:pPr>
            <w:r>
              <w:t>Poskytovatel</w:t>
            </w:r>
          </w:p>
        </w:tc>
      </w:tr>
      <w:tr w:rsidR="00552AD5" w14:paraId="70317288" w14:textId="77777777">
        <w:trPr>
          <w:trHeight w:val="328"/>
        </w:trPr>
        <w:tc>
          <w:tcPr>
            <w:tcW w:w="363" w:type="dxa"/>
            <w:vAlign w:val="center"/>
          </w:tcPr>
          <w:p w14:paraId="1274E7B9" w14:textId="77777777" w:rsidR="00552AD5" w:rsidRDefault="00E52CB0">
            <w:pPr>
              <w:spacing w:after="0" w:line="240" w:lineRule="auto"/>
              <w:jc w:val="center"/>
            </w:pPr>
            <w:r>
              <w:t>19</w:t>
            </w:r>
          </w:p>
        </w:tc>
        <w:tc>
          <w:tcPr>
            <w:tcW w:w="1272" w:type="dxa"/>
            <w:vAlign w:val="center"/>
          </w:tcPr>
          <w:p w14:paraId="29EA5DC1" w14:textId="77777777" w:rsidR="00552AD5" w:rsidRDefault="00E52CB0">
            <w:pPr>
              <w:spacing w:after="0" w:line="240" w:lineRule="auto"/>
              <w:jc w:val="left"/>
            </w:pPr>
            <w:r>
              <w:rPr>
                <w:b/>
              </w:rPr>
              <w:t>Servery ostatní</w:t>
            </w:r>
          </w:p>
        </w:tc>
        <w:tc>
          <w:tcPr>
            <w:tcW w:w="5167" w:type="dxa"/>
            <w:vAlign w:val="center"/>
          </w:tcPr>
          <w:p w14:paraId="1F1B7BC6" w14:textId="77777777" w:rsidR="00552AD5" w:rsidRDefault="00E52CB0">
            <w:pPr>
              <w:spacing w:after="0" w:line="240" w:lineRule="auto"/>
            </w:pPr>
            <w:r>
              <w:t>Kontrola systémových a aplikačních logů serverů</w:t>
            </w:r>
          </w:p>
        </w:tc>
        <w:tc>
          <w:tcPr>
            <w:tcW w:w="1016" w:type="dxa"/>
            <w:vAlign w:val="center"/>
          </w:tcPr>
          <w:p w14:paraId="7C68196B" w14:textId="77777777" w:rsidR="00552AD5" w:rsidRDefault="00E52CB0">
            <w:pPr>
              <w:spacing w:after="0" w:line="240" w:lineRule="auto"/>
            </w:pPr>
            <w:r>
              <w:rPr>
                <w:b/>
              </w:rPr>
              <w:t>Pololetně</w:t>
            </w:r>
          </w:p>
        </w:tc>
        <w:tc>
          <w:tcPr>
            <w:tcW w:w="1311" w:type="dxa"/>
            <w:vAlign w:val="center"/>
          </w:tcPr>
          <w:p w14:paraId="40A40A71" w14:textId="77777777" w:rsidR="00552AD5" w:rsidRDefault="00E52CB0">
            <w:pPr>
              <w:spacing w:after="0" w:line="240" w:lineRule="auto"/>
            </w:pPr>
            <w:r>
              <w:t>Objednatel</w:t>
            </w:r>
          </w:p>
        </w:tc>
      </w:tr>
      <w:tr w:rsidR="00552AD5" w14:paraId="0A384845" w14:textId="77777777">
        <w:trPr>
          <w:trHeight w:val="328"/>
        </w:trPr>
        <w:tc>
          <w:tcPr>
            <w:tcW w:w="363" w:type="dxa"/>
            <w:vAlign w:val="center"/>
          </w:tcPr>
          <w:p w14:paraId="3403B14F" w14:textId="77777777" w:rsidR="00552AD5" w:rsidRDefault="00E52CB0">
            <w:pPr>
              <w:spacing w:after="0" w:line="240" w:lineRule="auto"/>
              <w:jc w:val="center"/>
            </w:pPr>
            <w:r>
              <w:t>20</w:t>
            </w:r>
          </w:p>
        </w:tc>
        <w:tc>
          <w:tcPr>
            <w:tcW w:w="1272" w:type="dxa"/>
            <w:vAlign w:val="center"/>
          </w:tcPr>
          <w:p w14:paraId="0CB5FEBE" w14:textId="77777777" w:rsidR="00552AD5" w:rsidRDefault="00552AD5">
            <w:pPr>
              <w:spacing w:after="0" w:line="240" w:lineRule="auto"/>
              <w:jc w:val="left"/>
            </w:pPr>
          </w:p>
        </w:tc>
        <w:tc>
          <w:tcPr>
            <w:tcW w:w="5167" w:type="dxa"/>
            <w:vAlign w:val="center"/>
          </w:tcPr>
          <w:p w14:paraId="3CFA66BC" w14:textId="77777777" w:rsidR="00552AD5" w:rsidRDefault="00E52CB0">
            <w:pPr>
              <w:spacing w:after="0" w:line="240" w:lineRule="auto"/>
            </w:pPr>
            <w:r>
              <w:t>Provedení instalace aktualizací na servery</w:t>
            </w:r>
          </w:p>
        </w:tc>
        <w:tc>
          <w:tcPr>
            <w:tcW w:w="1016" w:type="dxa"/>
            <w:vAlign w:val="center"/>
          </w:tcPr>
          <w:p w14:paraId="6D441E79" w14:textId="77777777" w:rsidR="00552AD5" w:rsidRDefault="00E52CB0">
            <w:pPr>
              <w:spacing w:after="0" w:line="240" w:lineRule="auto"/>
            </w:pPr>
            <w:r>
              <w:rPr>
                <w:b/>
              </w:rPr>
              <w:t>Pololetně</w:t>
            </w:r>
          </w:p>
        </w:tc>
        <w:tc>
          <w:tcPr>
            <w:tcW w:w="1311" w:type="dxa"/>
            <w:vAlign w:val="center"/>
          </w:tcPr>
          <w:p w14:paraId="6952028A" w14:textId="77777777" w:rsidR="00552AD5" w:rsidRDefault="00E52CB0">
            <w:pPr>
              <w:spacing w:after="0" w:line="240" w:lineRule="auto"/>
            </w:pPr>
            <w:r>
              <w:t>Objednatel</w:t>
            </w:r>
          </w:p>
        </w:tc>
      </w:tr>
      <w:tr w:rsidR="00552AD5" w14:paraId="7617D689" w14:textId="77777777">
        <w:trPr>
          <w:trHeight w:val="615"/>
        </w:trPr>
        <w:tc>
          <w:tcPr>
            <w:tcW w:w="363" w:type="dxa"/>
            <w:vAlign w:val="center"/>
          </w:tcPr>
          <w:p w14:paraId="2C393444" w14:textId="77777777" w:rsidR="00552AD5" w:rsidRDefault="00E52CB0">
            <w:pPr>
              <w:spacing w:after="0" w:line="240" w:lineRule="auto"/>
              <w:jc w:val="center"/>
            </w:pPr>
            <w:r>
              <w:t>21</w:t>
            </w:r>
          </w:p>
        </w:tc>
        <w:tc>
          <w:tcPr>
            <w:tcW w:w="1272" w:type="dxa"/>
            <w:vAlign w:val="center"/>
          </w:tcPr>
          <w:p w14:paraId="2996ED32" w14:textId="77777777" w:rsidR="00552AD5" w:rsidRDefault="00E52CB0">
            <w:pPr>
              <w:spacing w:after="0" w:line="240" w:lineRule="auto"/>
              <w:jc w:val="left"/>
            </w:pPr>
            <w:r>
              <w:rPr>
                <w:b/>
              </w:rPr>
              <w:t>DB clustery</w:t>
            </w:r>
          </w:p>
        </w:tc>
        <w:tc>
          <w:tcPr>
            <w:tcW w:w="5167" w:type="dxa"/>
            <w:vAlign w:val="center"/>
          </w:tcPr>
          <w:p w14:paraId="1E165E80" w14:textId="77777777" w:rsidR="00552AD5" w:rsidRDefault="00E52CB0">
            <w:pPr>
              <w:spacing w:after="0" w:line="240" w:lineRule="auto"/>
            </w:pPr>
            <w:r>
              <w:t>Kontrola systémových logů jednotlivých nodů clusteru</w:t>
            </w:r>
          </w:p>
        </w:tc>
        <w:tc>
          <w:tcPr>
            <w:tcW w:w="1016" w:type="dxa"/>
            <w:vAlign w:val="center"/>
          </w:tcPr>
          <w:p w14:paraId="5B3404FA" w14:textId="77777777" w:rsidR="00552AD5" w:rsidRDefault="00E52CB0">
            <w:pPr>
              <w:spacing w:after="0" w:line="240" w:lineRule="auto"/>
            </w:pPr>
            <w:r>
              <w:t>měsíčně</w:t>
            </w:r>
          </w:p>
        </w:tc>
        <w:tc>
          <w:tcPr>
            <w:tcW w:w="1311" w:type="dxa"/>
            <w:vAlign w:val="center"/>
          </w:tcPr>
          <w:p w14:paraId="75AFD8AA" w14:textId="77777777" w:rsidR="00552AD5" w:rsidRDefault="00E52CB0">
            <w:pPr>
              <w:spacing w:after="0" w:line="240" w:lineRule="auto"/>
            </w:pPr>
            <w:r>
              <w:t>Objednatel</w:t>
            </w:r>
          </w:p>
        </w:tc>
      </w:tr>
      <w:tr w:rsidR="00552AD5" w14:paraId="3CEBEB2A" w14:textId="77777777">
        <w:trPr>
          <w:trHeight w:val="328"/>
        </w:trPr>
        <w:tc>
          <w:tcPr>
            <w:tcW w:w="363" w:type="dxa"/>
            <w:vAlign w:val="center"/>
          </w:tcPr>
          <w:p w14:paraId="0B8E2B73" w14:textId="77777777" w:rsidR="00552AD5" w:rsidRDefault="00E52CB0">
            <w:pPr>
              <w:spacing w:after="0" w:line="240" w:lineRule="auto"/>
              <w:jc w:val="center"/>
            </w:pPr>
            <w:r>
              <w:t>22</w:t>
            </w:r>
          </w:p>
        </w:tc>
        <w:tc>
          <w:tcPr>
            <w:tcW w:w="1272" w:type="dxa"/>
            <w:vAlign w:val="center"/>
          </w:tcPr>
          <w:p w14:paraId="6825A0FC" w14:textId="77777777" w:rsidR="00552AD5" w:rsidRDefault="00E52CB0">
            <w:pPr>
              <w:spacing w:after="0" w:line="240" w:lineRule="auto"/>
              <w:jc w:val="left"/>
            </w:pPr>
            <w:r>
              <w:t>MS SQL server</w:t>
            </w:r>
          </w:p>
        </w:tc>
        <w:tc>
          <w:tcPr>
            <w:tcW w:w="5167" w:type="dxa"/>
            <w:vAlign w:val="center"/>
          </w:tcPr>
          <w:p w14:paraId="069DC4F5" w14:textId="77777777" w:rsidR="00552AD5" w:rsidRDefault="00E52CB0">
            <w:pPr>
              <w:spacing w:after="0" w:line="240" w:lineRule="auto"/>
            </w:pPr>
            <w:r>
              <w:t>Provedení instalace aktualizací na servery</w:t>
            </w:r>
          </w:p>
        </w:tc>
        <w:tc>
          <w:tcPr>
            <w:tcW w:w="1016" w:type="dxa"/>
            <w:vAlign w:val="center"/>
          </w:tcPr>
          <w:p w14:paraId="6D99A393" w14:textId="77777777" w:rsidR="00552AD5" w:rsidRDefault="00E52CB0">
            <w:pPr>
              <w:spacing w:after="0" w:line="240" w:lineRule="auto"/>
            </w:pPr>
            <w:r>
              <w:t>měsíčně</w:t>
            </w:r>
          </w:p>
        </w:tc>
        <w:tc>
          <w:tcPr>
            <w:tcW w:w="1311" w:type="dxa"/>
            <w:vAlign w:val="center"/>
          </w:tcPr>
          <w:p w14:paraId="3A251D90" w14:textId="77777777" w:rsidR="00552AD5" w:rsidRDefault="00E52CB0">
            <w:pPr>
              <w:spacing w:after="0" w:line="240" w:lineRule="auto"/>
            </w:pPr>
            <w:r>
              <w:t>Objednatel</w:t>
            </w:r>
          </w:p>
        </w:tc>
      </w:tr>
      <w:tr w:rsidR="00552AD5" w14:paraId="65F8C257" w14:textId="77777777">
        <w:trPr>
          <w:trHeight w:val="328"/>
        </w:trPr>
        <w:tc>
          <w:tcPr>
            <w:tcW w:w="363" w:type="dxa"/>
            <w:vAlign w:val="center"/>
          </w:tcPr>
          <w:p w14:paraId="41A97988" w14:textId="77777777" w:rsidR="00552AD5" w:rsidRDefault="00E52CB0">
            <w:pPr>
              <w:spacing w:after="0" w:line="240" w:lineRule="auto"/>
              <w:jc w:val="center"/>
            </w:pPr>
            <w:r>
              <w:t>23</w:t>
            </w:r>
          </w:p>
        </w:tc>
        <w:tc>
          <w:tcPr>
            <w:tcW w:w="1272" w:type="dxa"/>
            <w:vAlign w:val="center"/>
          </w:tcPr>
          <w:p w14:paraId="1DA836FE" w14:textId="77777777" w:rsidR="00552AD5" w:rsidRDefault="00552AD5">
            <w:pPr>
              <w:spacing w:after="0" w:line="240" w:lineRule="auto"/>
              <w:jc w:val="left"/>
            </w:pPr>
          </w:p>
        </w:tc>
        <w:tc>
          <w:tcPr>
            <w:tcW w:w="5167" w:type="dxa"/>
            <w:vAlign w:val="center"/>
          </w:tcPr>
          <w:p w14:paraId="595266EB" w14:textId="77777777" w:rsidR="00552AD5" w:rsidRDefault="00E52CB0">
            <w:pPr>
              <w:spacing w:after="0" w:line="240" w:lineRule="auto"/>
            </w:pPr>
            <w:r>
              <w:t>Kontrola servisních úloh v rámci SQL serveru</w:t>
            </w:r>
          </w:p>
        </w:tc>
        <w:tc>
          <w:tcPr>
            <w:tcW w:w="1016" w:type="dxa"/>
            <w:vAlign w:val="center"/>
          </w:tcPr>
          <w:p w14:paraId="49432B80" w14:textId="77777777" w:rsidR="00552AD5" w:rsidRDefault="00E52CB0">
            <w:pPr>
              <w:spacing w:after="0" w:line="240" w:lineRule="auto"/>
            </w:pPr>
            <w:r>
              <w:t>měsíčně</w:t>
            </w:r>
          </w:p>
        </w:tc>
        <w:tc>
          <w:tcPr>
            <w:tcW w:w="1311" w:type="dxa"/>
            <w:vAlign w:val="center"/>
          </w:tcPr>
          <w:p w14:paraId="30E89715" w14:textId="77777777" w:rsidR="00552AD5" w:rsidRDefault="00E52CB0">
            <w:pPr>
              <w:spacing w:after="0" w:line="240" w:lineRule="auto"/>
            </w:pPr>
            <w:r>
              <w:t>Objednatel</w:t>
            </w:r>
          </w:p>
        </w:tc>
      </w:tr>
      <w:tr w:rsidR="00552AD5" w14:paraId="22E02C3B" w14:textId="77777777">
        <w:trPr>
          <w:trHeight w:val="328"/>
        </w:trPr>
        <w:tc>
          <w:tcPr>
            <w:tcW w:w="363" w:type="dxa"/>
            <w:vAlign w:val="center"/>
          </w:tcPr>
          <w:p w14:paraId="134468E9" w14:textId="77777777" w:rsidR="00552AD5" w:rsidRDefault="00E52CB0">
            <w:pPr>
              <w:spacing w:after="0" w:line="240" w:lineRule="auto"/>
              <w:jc w:val="center"/>
            </w:pPr>
            <w:r>
              <w:t>24</w:t>
            </w:r>
          </w:p>
        </w:tc>
        <w:tc>
          <w:tcPr>
            <w:tcW w:w="1272" w:type="dxa"/>
            <w:vAlign w:val="center"/>
          </w:tcPr>
          <w:p w14:paraId="42797C4D" w14:textId="77777777" w:rsidR="00552AD5" w:rsidRDefault="00552AD5">
            <w:pPr>
              <w:spacing w:after="0" w:line="240" w:lineRule="auto"/>
              <w:jc w:val="left"/>
            </w:pPr>
          </w:p>
        </w:tc>
        <w:tc>
          <w:tcPr>
            <w:tcW w:w="5167" w:type="dxa"/>
            <w:vAlign w:val="center"/>
          </w:tcPr>
          <w:p w14:paraId="49A25EA7" w14:textId="77777777" w:rsidR="00552AD5" w:rsidRDefault="00E52CB0">
            <w:pPr>
              <w:spacing w:after="0" w:line="240" w:lineRule="auto"/>
            </w:pPr>
            <w:r>
              <w:rPr>
                <w:b/>
              </w:rPr>
              <w:t>Kontrola logů síťových přepínačů CORE</w:t>
            </w:r>
          </w:p>
        </w:tc>
        <w:tc>
          <w:tcPr>
            <w:tcW w:w="1016" w:type="dxa"/>
            <w:vAlign w:val="center"/>
          </w:tcPr>
          <w:p w14:paraId="75160DD9" w14:textId="77777777" w:rsidR="00552AD5" w:rsidRDefault="00E52CB0">
            <w:pPr>
              <w:spacing w:after="0" w:line="240" w:lineRule="auto"/>
            </w:pPr>
            <w:r>
              <w:rPr>
                <w:b/>
              </w:rPr>
              <w:t>Pololetně</w:t>
            </w:r>
          </w:p>
        </w:tc>
        <w:tc>
          <w:tcPr>
            <w:tcW w:w="1311" w:type="dxa"/>
            <w:vAlign w:val="center"/>
          </w:tcPr>
          <w:p w14:paraId="6A1E2E39" w14:textId="77777777" w:rsidR="00552AD5" w:rsidRDefault="00E52CB0">
            <w:pPr>
              <w:spacing w:after="0" w:line="240" w:lineRule="auto"/>
            </w:pPr>
            <w:r>
              <w:t>Poskytovatel</w:t>
            </w:r>
          </w:p>
        </w:tc>
      </w:tr>
      <w:tr w:rsidR="00552AD5" w14:paraId="7B24845E" w14:textId="77777777">
        <w:trPr>
          <w:trHeight w:val="328"/>
        </w:trPr>
        <w:tc>
          <w:tcPr>
            <w:tcW w:w="363" w:type="dxa"/>
            <w:vAlign w:val="center"/>
          </w:tcPr>
          <w:p w14:paraId="0D0DA004" w14:textId="77777777" w:rsidR="00552AD5" w:rsidRDefault="00E52CB0">
            <w:pPr>
              <w:spacing w:after="0" w:line="240" w:lineRule="auto"/>
              <w:jc w:val="center"/>
            </w:pPr>
            <w:r>
              <w:t>25</w:t>
            </w:r>
          </w:p>
        </w:tc>
        <w:tc>
          <w:tcPr>
            <w:tcW w:w="1272" w:type="dxa"/>
            <w:vAlign w:val="center"/>
          </w:tcPr>
          <w:p w14:paraId="5EC05EFE" w14:textId="77777777" w:rsidR="00552AD5" w:rsidRDefault="00E52CB0">
            <w:pPr>
              <w:spacing w:after="0" w:line="240" w:lineRule="auto"/>
              <w:jc w:val="left"/>
            </w:pPr>
            <w:r>
              <w:rPr>
                <w:b/>
              </w:rPr>
              <w:t>LAN</w:t>
            </w:r>
          </w:p>
        </w:tc>
        <w:tc>
          <w:tcPr>
            <w:tcW w:w="5167" w:type="dxa"/>
            <w:vAlign w:val="center"/>
          </w:tcPr>
          <w:p w14:paraId="15091031" w14:textId="77777777" w:rsidR="00552AD5" w:rsidRDefault="00E52CB0">
            <w:pPr>
              <w:spacing w:after="0" w:line="240" w:lineRule="auto"/>
            </w:pPr>
            <w:r>
              <w:t>Kontrola logů síťových přepínačů ACCESS</w:t>
            </w:r>
          </w:p>
        </w:tc>
        <w:tc>
          <w:tcPr>
            <w:tcW w:w="1016" w:type="dxa"/>
            <w:vAlign w:val="center"/>
          </w:tcPr>
          <w:p w14:paraId="17BEDA15" w14:textId="77777777" w:rsidR="00552AD5" w:rsidRDefault="00E52CB0">
            <w:pPr>
              <w:spacing w:after="0" w:line="240" w:lineRule="auto"/>
            </w:pPr>
            <w:r>
              <w:t>měsíčně</w:t>
            </w:r>
          </w:p>
        </w:tc>
        <w:tc>
          <w:tcPr>
            <w:tcW w:w="1311" w:type="dxa"/>
            <w:vAlign w:val="center"/>
          </w:tcPr>
          <w:p w14:paraId="0FC1068A" w14:textId="77777777" w:rsidR="00552AD5" w:rsidRDefault="00E52CB0">
            <w:pPr>
              <w:spacing w:after="0" w:line="240" w:lineRule="auto"/>
            </w:pPr>
            <w:r>
              <w:t>Poskytovatel</w:t>
            </w:r>
          </w:p>
        </w:tc>
      </w:tr>
      <w:tr w:rsidR="00552AD5" w14:paraId="34F73750" w14:textId="77777777">
        <w:trPr>
          <w:trHeight w:val="328"/>
        </w:trPr>
        <w:tc>
          <w:tcPr>
            <w:tcW w:w="363" w:type="dxa"/>
            <w:vAlign w:val="center"/>
          </w:tcPr>
          <w:p w14:paraId="42F6F8BE" w14:textId="77777777" w:rsidR="00552AD5" w:rsidRDefault="00E52CB0">
            <w:pPr>
              <w:spacing w:after="0" w:line="240" w:lineRule="auto"/>
              <w:jc w:val="center"/>
            </w:pPr>
            <w:r>
              <w:t>26</w:t>
            </w:r>
          </w:p>
        </w:tc>
        <w:tc>
          <w:tcPr>
            <w:tcW w:w="1272" w:type="dxa"/>
            <w:vAlign w:val="center"/>
          </w:tcPr>
          <w:p w14:paraId="17B16EC3" w14:textId="77777777" w:rsidR="00552AD5" w:rsidRDefault="00E52CB0">
            <w:pPr>
              <w:spacing w:after="0" w:line="240" w:lineRule="auto"/>
              <w:jc w:val="left"/>
            </w:pPr>
            <w:r>
              <w:t>Aruba</w:t>
            </w:r>
          </w:p>
        </w:tc>
        <w:tc>
          <w:tcPr>
            <w:tcW w:w="5167" w:type="dxa"/>
            <w:vAlign w:val="center"/>
          </w:tcPr>
          <w:p w14:paraId="0CF2EB3C" w14:textId="77777777" w:rsidR="00552AD5" w:rsidRDefault="00E52CB0">
            <w:pPr>
              <w:spacing w:after="0" w:line="240" w:lineRule="auto"/>
            </w:pPr>
            <w:r>
              <w:t xml:space="preserve">Kontrola </w:t>
            </w:r>
            <w:proofErr w:type="spellStart"/>
            <w:r>
              <w:t>WiFi</w:t>
            </w:r>
            <w:proofErr w:type="spellEnd"/>
            <w:r>
              <w:t xml:space="preserve"> infrastruktury</w:t>
            </w:r>
          </w:p>
        </w:tc>
        <w:tc>
          <w:tcPr>
            <w:tcW w:w="1016" w:type="dxa"/>
            <w:vAlign w:val="center"/>
          </w:tcPr>
          <w:p w14:paraId="5E371FB5" w14:textId="77777777" w:rsidR="00552AD5" w:rsidRDefault="00E52CB0">
            <w:pPr>
              <w:spacing w:after="0" w:line="240" w:lineRule="auto"/>
            </w:pPr>
            <w:r>
              <w:t>měsíčně</w:t>
            </w:r>
          </w:p>
        </w:tc>
        <w:tc>
          <w:tcPr>
            <w:tcW w:w="1311" w:type="dxa"/>
            <w:vAlign w:val="center"/>
          </w:tcPr>
          <w:p w14:paraId="03C84477" w14:textId="77777777" w:rsidR="00552AD5" w:rsidRDefault="00E52CB0">
            <w:pPr>
              <w:spacing w:after="0" w:line="240" w:lineRule="auto"/>
            </w:pPr>
            <w:r>
              <w:t>Poskytovatel</w:t>
            </w:r>
          </w:p>
        </w:tc>
      </w:tr>
      <w:tr w:rsidR="00552AD5" w14:paraId="617DFACC" w14:textId="77777777">
        <w:trPr>
          <w:trHeight w:val="328"/>
        </w:trPr>
        <w:tc>
          <w:tcPr>
            <w:tcW w:w="363" w:type="dxa"/>
            <w:vAlign w:val="center"/>
          </w:tcPr>
          <w:p w14:paraId="0B11C6BE" w14:textId="77777777" w:rsidR="00552AD5" w:rsidRDefault="00E52CB0">
            <w:pPr>
              <w:spacing w:after="0" w:line="240" w:lineRule="auto"/>
              <w:jc w:val="center"/>
            </w:pPr>
            <w:r>
              <w:t>27</w:t>
            </w:r>
          </w:p>
        </w:tc>
        <w:tc>
          <w:tcPr>
            <w:tcW w:w="1272" w:type="dxa"/>
            <w:vAlign w:val="center"/>
          </w:tcPr>
          <w:p w14:paraId="44020FDC" w14:textId="77777777" w:rsidR="00552AD5" w:rsidRDefault="00E52CB0">
            <w:pPr>
              <w:spacing w:after="0" w:line="240" w:lineRule="auto"/>
              <w:jc w:val="left"/>
            </w:pPr>
            <w:r>
              <w:rPr>
                <w:b/>
              </w:rPr>
              <w:t>FIREWALL</w:t>
            </w:r>
          </w:p>
        </w:tc>
        <w:tc>
          <w:tcPr>
            <w:tcW w:w="5167" w:type="dxa"/>
            <w:vAlign w:val="center"/>
          </w:tcPr>
          <w:p w14:paraId="1E27448A" w14:textId="77777777" w:rsidR="00552AD5" w:rsidRDefault="00E52CB0">
            <w:pPr>
              <w:spacing w:after="0" w:line="240" w:lineRule="auto"/>
            </w:pPr>
            <w:r>
              <w:rPr>
                <w:b/>
              </w:rPr>
              <w:t>Kontrola a update firmware Firewallu</w:t>
            </w:r>
          </w:p>
        </w:tc>
        <w:tc>
          <w:tcPr>
            <w:tcW w:w="1016" w:type="dxa"/>
            <w:vAlign w:val="center"/>
          </w:tcPr>
          <w:p w14:paraId="637D1EE6" w14:textId="77777777" w:rsidR="00552AD5" w:rsidRDefault="00E52CB0">
            <w:pPr>
              <w:spacing w:after="0" w:line="240" w:lineRule="auto"/>
            </w:pPr>
            <w:r>
              <w:rPr>
                <w:b/>
              </w:rPr>
              <w:t>Čtvrtletně</w:t>
            </w:r>
          </w:p>
        </w:tc>
        <w:tc>
          <w:tcPr>
            <w:tcW w:w="1311" w:type="dxa"/>
            <w:vAlign w:val="center"/>
          </w:tcPr>
          <w:p w14:paraId="5217434E" w14:textId="77777777" w:rsidR="00552AD5" w:rsidRDefault="00E52CB0">
            <w:pPr>
              <w:spacing w:after="0" w:line="240" w:lineRule="auto"/>
            </w:pPr>
            <w:r>
              <w:t>Poskytovatel</w:t>
            </w:r>
          </w:p>
        </w:tc>
      </w:tr>
      <w:tr w:rsidR="00552AD5" w14:paraId="3E2C4A77" w14:textId="77777777">
        <w:trPr>
          <w:trHeight w:val="328"/>
        </w:trPr>
        <w:tc>
          <w:tcPr>
            <w:tcW w:w="363" w:type="dxa"/>
            <w:vAlign w:val="center"/>
          </w:tcPr>
          <w:p w14:paraId="390B60CA" w14:textId="77777777" w:rsidR="00552AD5" w:rsidRDefault="00E52CB0">
            <w:pPr>
              <w:spacing w:after="0" w:line="240" w:lineRule="auto"/>
              <w:jc w:val="center"/>
            </w:pPr>
            <w:r>
              <w:t>28</w:t>
            </w:r>
          </w:p>
        </w:tc>
        <w:tc>
          <w:tcPr>
            <w:tcW w:w="1272" w:type="dxa"/>
            <w:vAlign w:val="center"/>
          </w:tcPr>
          <w:p w14:paraId="048D08D1" w14:textId="77777777" w:rsidR="00552AD5" w:rsidRDefault="00E52CB0">
            <w:pPr>
              <w:spacing w:after="0" w:line="240" w:lineRule="auto"/>
              <w:jc w:val="left"/>
            </w:pPr>
            <w:proofErr w:type="spellStart"/>
            <w:r>
              <w:rPr>
                <w:b/>
              </w:rPr>
              <w:t>Fortigate</w:t>
            </w:r>
            <w:proofErr w:type="spellEnd"/>
          </w:p>
        </w:tc>
        <w:tc>
          <w:tcPr>
            <w:tcW w:w="5167" w:type="dxa"/>
            <w:vAlign w:val="center"/>
          </w:tcPr>
          <w:p w14:paraId="3197EED4" w14:textId="77777777" w:rsidR="00552AD5" w:rsidRDefault="00552AD5">
            <w:pPr>
              <w:spacing w:after="0" w:line="240" w:lineRule="auto"/>
              <w:rPr>
                <w:b/>
              </w:rPr>
            </w:pPr>
          </w:p>
        </w:tc>
        <w:tc>
          <w:tcPr>
            <w:tcW w:w="1016" w:type="dxa"/>
            <w:vAlign w:val="center"/>
          </w:tcPr>
          <w:p w14:paraId="2CB1F7A2" w14:textId="77777777" w:rsidR="00552AD5" w:rsidRDefault="00552AD5">
            <w:pPr>
              <w:spacing w:after="0" w:line="240" w:lineRule="auto"/>
              <w:rPr>
                <w:b/>
              </w:rPr>
            </w:pPr>
          </w:p>
        </w:tc>
        <w:tc>
          <w:tcPr>
            <w:tcW w:w="1311" w:type="dxa"/>
            <w:vAlign w:val="center"/>
          </w:tcPr>
          <w:p w14:paraId="4275D9AB" w14:textId="77777777" w:rsidR="00552AD5" w:rsidRDefault="00552AD5">
            <w:pPr>
              <w:spacing w:after="0" w:line="240" w:lineRule="auto"/>
            </w:pPr>
          </w:p>
        </w:tc>
      </w:tr>
      <w:tr w:rsidR="00552AD5" w14:paraId="733FA080" w14:textId="77777777">
        <w:trPr>
          <w:trHeight w:val="328"/>
        </w:trPr>
        <w:tc>
          <w:tcPr>
            <w:tcW w:w="363" w:type="dxa"/>
            <w:vAlign w:val="bottom"/>
          </w:tcPr>
          <w:p w14:paraId="44318CCC" w14:textId="77777777" w:rsidR="00552AD5" w:rsidRDefault="00E52CB0">
            <w:pPr>
              <w:spacing w:after="0" w:line="240" w:lineRule="auto"/>
              <w:jc w:val="left"/>
            </w:pPr>
            <w:r>
              <w:t>30</w:t>
            </w:r>
          </w:p>
        </w:tc>
        <w:tc>
          <w:tcPr>
            <w:tcW w:w="1272" w:type="dxa"/>
            <w:vAlign w:val="bottom"/>
          </w:tcPr>
          <w:p w14:paraId="3BF35895" w14:textId="77777777" w:rsidR="00552AD5" w:rsidRDefault="00E52CB0">
            <w:pPr>
              <w:spacing w:after="0" w:line="240" w:lineRule="auto"/>
              <w:jc w:val="left"/>
            </w:pPr>
            <w:r>
              <w:t xml:space="preserve">Aruba Networking </w:t>
            </w:r>
            <w:proofErr w:type="spellStart"/>
            <w:r>
              <w:t>Central</w:t>
            </w:r>
            <w:proofErr w:type="spellEnd"/>
            <w:r>
              <w:t xml:space="preserve"> Switch</w:t>
            </w:r>
          </w:p>
        </w:tc>
        <w:tc>
          <w:tcPr>
            <w:tcW w:w="5167" w:type="dxa"/>
            <w:vAlign w:val="center"/>
          </w:tcPr>
          <w:p w14:paraId="019A2A3E" w14:textId="77777777" w:rsidR="00552AD5" w:rsidRDefault="00E52CB0">
            <w:pPr>
              <w:spacing w:after="0" w:line="240" w:lineRule="auto"/>
            </w:pPr>
            <w:proofErr w:type="spellStart"/>
            <w:r>
              <w:t>Udržba</w:t>
            </w:r>
            <w:proofErr w:type="spellEnd"/>
            <w:r>
              <w:t xml:space="preserve"> Aruba Centra</w:t>
            </w:r>
          </w:p>
        </w:tc>
        <w:tc>
          <w:tcPr>
            <w:tcW w:w="1016" w:type="dxa"/>
            <w:vAlign w:val="center"/>
          </w:tcPr>
          <w:p w14:paraId="12534566" w14:textId="77777777" w:rsidR="00552AD5" w:rsidRDefault="00E52CB0">
            <w:pPr>
              <w:spacing w:after="0" w:line="240" w:lineRule="auto"/>
            </w:pPr>
            <w:r>
              <w:rPr>
                <w:b/>
              </w:rPr>
              <w:t>Pololetně</w:t>
            </w:r>
          </w:p>
        </w:tc>
        <w:tc>
          <w:tcPr>
            <w:tcW w:w="1311" w:type="dxa"/>
            <w:vAlign w:val="center"/>
          </w:tcPr>
          <w:p w14:paraId="1F9A085D" w14:textId="77777777" w:rsidR="00552AD5" w:rsidRDefault="00E52CB0">
            <w:pPr>
              <w:spacing w:after="0" w:line="240" w:lineRule="auto"/>
            </w:pPr>
            <w:r>
              <w:t>Poskytovatel</w:t>
            </w:r>
          </w:p>
        </w:tc>
      </w:tr>
    </w:tbl>
    <w:p w14:paraId="6AFD4658" w14:textId="77777777" w:rsidR="00552AD5" w:rsidRDefault="00E52CB0">
      <w:pPr>
        <w:pStyle w:val="Nadpis3"/>
        <w:ind w:left="0" w:firstLine="0"/>
      </w:pPr>
      <w:r>
        <w:t>Při realizaci činností profylaxe podle tabulky výše se poskytovatel dále zavazuje zohledňovat i následující oblasti:</w:t>
      </w:r>
    </w:p>
    <w:p w14:paraId="11809F86" w14:textId="77777777" w:rsidR="00552AD5" w:rsidRDefault="00E52CB0">
      <w:pPr>
        <w:numPr>
          <w:ilvl w:val="0"/>
          <w:numId w:val="9"/>
        </w:numPr>
      </w:pPr>
      <w:r>
        <w:t>Kontrola vazeb (konzistence dat)</w:t>
      </w:r>
    </w:p>
    <w:p w14:paraId="0E748D68" w14:textId="77777777" w:rsidR="00552AD5" w:rsidRDefault="00E52CB0">
      <w:pPr>
        <w:numPr>
          <w:ilvl w:val="0"/>
          <w:numId w:val="9"/>
        </w:numPr>
      </w:pPr>
      <w:r>
        <w:t>Zaplňování databázového prostoru a návrhy jeho rozšiřování</w:t>
      </w:r>
    </w:p>
    <w:p w14:paraId="28618B53" w14:textId="77777777" w:rsidR="00552AD5" w:rsidRDefault="00E52CB0">
      <w:pPr>
        <w:numPr>
          <w:ilvl w:val="0"/>
          <w:numId w:val="9"/>
        </w:numPr>
      </w:pPr>
      <w:r>
        <w:t>Kontrola správnosti běhu dle doporučení výrobce technologie</w:t>
      </w:r>
    </w:p>
    <w:p w14:paraId="412AC000" w14:textId="77777777" w:rsidR="00552AD5" w:rsidRDefault="00E52CB0">
      <w:pPr>
        <w:numPr>
          <w:ilvl w:val="0"/>
          <w:numId w:val="9"/>
        </w:numPr>
      </w:pPr>
      <w:r>
        <w:t>Kontrola bezpečnosti a stavu technologie (hledání rizikových a chybových stavů)</w:t>
      </w:r>
    </w:p>
    <w:p w14:paraId="20149977" w14:textId="77777777" w:rsidR="00552AD5" w:rsidRDefault="00E52CB0">
      <w:pPr>
        <w:numPr>
          <w:ilvl w:val="0"/>
          <w:numId w:val="9"/>
        </w:numPr>
      </w:pPr>
      <w:r>
        <w:t>Kontrola zálohování a bezpečnosti dat</w:t>
      </w:r>
    </w:p>
    <w:p w14:paraId="51503F6C" w14:textId="77777777" w:rsidR="00552AD5" w:rsidRDefault="00E52CB0">
      <w:pPr>
        <w:numPr>
          <w:ilvl w:val="0"/>
          <w:numId w:val="9"/>
        </w:numPr>
      </w:pPr>
      <w:r>
        <w:t>Kontrola konfigurací a správnosti chování technologie na základě nastavených provozních politik a vlastností</w:t>
      </w:r>
    </w:p>
    <w:p w14:paraId="0E9E003C" w14:textId="77777777" w:rsidR="00552AD5" w:rsidRDefault="00E52CB0">
      <w:pPr>
        <w:numPr>
          <w:ilvl w:val="0"/>
          <w:numId w:val="9"/>
        </w:numPr>
      </w:pPr>
      <w:r>
        <w:t>Mapování vytížení technologie a návrh optimalizace</w:t>
      </w:r>
    </w:p>
    <w:p w14:paraId="5E7BA3C9" w14:textId="77777777" w:rsidR="00552AD5" w:rsidRDefault="00E52CB0">
      <w:pPr>
        <w:numPr>
          <w:ilvl w:val="0"/>
          <w:numId w:val="9"/>
        </w:numPr>
      </w:pPr>
      <w:r>
        <w:t>Navrhování úprav na základě provedené profylaxe za účelem zvýšení bezpečnosti, efektivity a výkonu technologie</w:t>
      </w:r>
    </w:p>
    <w:p w14:paraId="48473361" w14:textId="77777777" w:rsidR="00552AD5" w:rsidRDefault="00E52CB0">
      <w:pPr>
        <w:pStyle w:val="Nadpis3"/>
        <w:ind w:left="0" w:firstLine="0"/>
      </w:pPr>
      <w:r>
        <w:lastRenderedPageBreak/>
        <w:t>Pokud může mít provádění profylaxe dopad na fungování technologie a tato technologie z tohoto důvodu bude působit riziko provozu služeb na této technologii postavených pro objednatele, musí být takové činnosti prováděny mimo pracovní dobu objednatele, či na základě výslovného schválení takového zásahu ze strany objednatele pro provedení profylaxe v předem projednaných časech.</w:t>
      </w:r>
    </w:p>
    <w:p w14:paraId="6E8AF683" w14:textId="77777777" w:rsidR="00552AD5" w:rsidRDefault="00E52CB0">
      <w:pPr>
        <w:pStyle w:val="Nadpis3"/>
        <w:ind w:left="0" w:firstLine="0"/>
      </w:pPr>
      <w:r>
        <w:t>O provedené inspekci/profylaxi bude vyhotoven zápis, který potvrdí kontaktní osoba objednatele. V případě, že výsledky profylaxe ukáží na potřebu provedení dalších úprav technologie, předloží poskytovatel návrh takového řešení včetně předpokládaného rozsahu pracnosti v hodinách objednateli.</w:t>
      </w:r>
    </w:p>
    <w:p w14:paraId="641FFD78" w14:textId="77777777" w:rsidR="00552AD5" w:rsidRDefault="00E52CB0" w:rsidP="00A7371A">
      <w:pPr>
        <w:pStyle w:val="Nadpis1"/>
      </w:pPr>
      <w:bookmarkStart w:id="82" w:name="__RefHeading___Toc3905_93952133"/>
      <w:bookmarkStart w:id="83" w:name="_Toc212203603"/>
      <w:bookmarkStart w:id="84" w:name="_Toc230001192"/>
      <w:bookmarkEnd w:id="82"/>
      <w:r>
        <w:rPr>
          <w:lang w:val="cs-CZ"/>
        </w:rPr>
        <w:t>Práva a povinnosti objednatele</w:t>
      </w:r>
      <w:bookmarkEnd w:id="83"/>
      <w:bookmarkEnd w:id="84"/>
    </w:p>
    <w:p w14:paraId="3A4BC46D" w14:textId="77777777" w:rsidR="00552AD5" w:rsidRDefault="00E52CB0">
      <w:pPr>
        <w:pStyle w:val="Nadpis3"/>
        <w:ind w:left="0" w:firstLine="0"/>
      </w:pPr>
      <w:r>
        <w:t xml:space="preserve">Objednatel se zavazuje poskytnout </w:t>
      </w:r>
      <w:r>
        <w:rPr>
          <w:lang w:val="cs-CZ"/>
        </w:rPr>
        <w:t>poskytovateli</w:t>
      </w:r>
      <w:r>
        <w:t xml:space="preserve"> veškerou součinnost potřebnou k provádění služeb podle této smlouvy. Objednatel se zejména zavazuje předávat </w:t>
      </w:r>
      <w:r>
        <w:rPr>
          <w:lang w:val="cs-CZ"/>
        </w:rPr>
        <w:t>poskytovateli</w:t>
      </w:r>
      <w:r>
        <w:t xml:space="preserve"> potřebné nebo důvodně </w:t>
      </w:r>
      <w:r>
        <w:rPr>
          <w:lang w:val="cs-CZ"/>
        </w:rPr>
        <w:t>poskytovatelem</w:t>
      </w:r>
      <w:r>
        <w:t xml:space="preserve"> vyžádané informace a podklady pro provádění těchto služeb a v odůvodněných případech umožnit </w:t>
      </w:r>
      <w:r>
        <w:rPr>
          <w:lang w:val="cs-CZ"/>
        </w:rPr>
        <w:t>poskytovateli</w:t>
      </w:r>
      <w:r>
        <w:t xml:space="preserve"> vzdálený přístup.</w:t>
      </w:r>
    </w:p>
    <w:p w14:paraId="07BB6FA7" w14:textId="77777777" w:rsidR="00552AD5" w:rsidRDefault="00E52CB0">
      <w:pPr>
        <w:pStyle w:val="Nadpis3"/>
        <w:ind w:left="0" w:firstLine="0"/>
        <w:rPr>
          <w:rFonts w:cs="Calibri"/>
        </w:rPr>
      </w:pPr>
      <w:r>
        <w:t>Objednatel zajistí nahlášení vady či jiného požadavku, a to</w:t>
      </w:r>
      <w:r>
        <w:rPr>
          <w:lang w:val="cs-CZ"/>
        </w:rPr>
        <w:t xml:space="preserve"> v níže uvedeném pořadí</w:t>
      </w:r>
      <w:r>
        <w:t xml:space="preserve"> prostřednictvím:</w:t>
      </w:r>
    </w:p>
    <w:p w14:paraId="3CB71C48" w14:textId="23A7C201" w:rsidR="00552AD5" w:rsidRDefault="00E52CB0">
      <w:pPr>
        <w:numPr>
          <w:ilvl w:val="0"/>
          <w:numId w:val="7"/>
        </w:numPr>
        <w:rPr>
          <w:rFonts w:cs="Calibri"/>
        </w:rPr>
      </w:pPr>
      <w:r>
        <w:rPr>
          <w:rFonts w:cs="Calibri"/>
        </w:rPr>
        <w:t>primárně použitím služby HelpDesk poskytovatele na adrese</w:t>
      </w:r>
      <w:hyperlink r:id="rId17" w:history="1"/>
      <w:r w:rsidR="00494883">
        <w:rPr>
          <w:rFonts w:cs="Calibri"/>
          <w:b/>
        </w:rPr>
        <w:t xml:space="preserve"> </w:t>
      </w:r>
      <w:hyperlink r:id="rId18" w:history="1">
        <w:r w:rsidR="00FF0E4D">
          <w:rPr>
            <w:rStyle w:val="Hypertextovodkaz"/>
            <w:rFonts w:cs="Calibri"/>
            <w:b/>
          </w:rPr>
          <w:t>XXX</w:t>
        </w:r>
      </w:hyperlink>
    </w:p>
    <w:p w14:paraId="57C4BBFD" w14:textId="66C81EB9" w:rsidR="00552AD5" w:rsidRDefault="00E52CB0">
      <w:pPr>
        <w:numPr>
          <w:ilvl w:val="0"/>
          <w:numId w:val="7"/>
        </w:numPr>
        <w:rPr>
          <w:rFonts w:cs="Calibri"/>
        </w:rPr>
      </w:pPr>
      <w:r>
        <w:rPr>
          <w:rFonts w:cs="Calibri"/>
        </w:rPr>
        <w:t xml:space="preserve">a současně pro maximalizaci urychlení řešení vzniklé situace i telefonicky na č.: </w:t>
      </w:r>
      <w:r w:rsidR="00FF0E4D">
        <w:rPr>
          <w:rFonts w:cs="Calibri"/>
          <w:b/>
        </w:rPr>
        <w:t>XXX</w:t>
      </w:r>
    </w:p>
    <w:p w14:paraId="316CBDD7" w14:textId="1FC8C927" w:rsidR="00552AD5" w:rsidRDefault="00E52CB0">
      <w:pPr>
        <w:numPr>
          <w:ilvl w:val="0"/>
          <w:numId w:val="7"/>
        </w:numPr>
        <w:rPr>
          <w:rFonts w:cs="Calibri"/>
        </w:rPr>
      </w:pPr>
      <w:r>
        <w:rPr>
          <w:rFonts w:cs="Calibri"/>
        </w:rPr>
        <w:t>nebo elektronicky na emailovou adresu:</w:t>
      </w:r>
      <w:r>
        <w:rPr>
          <w:rFonts w:cs="Calibri"/>
          <w:b/>
        </w:rPr>
        <w:t xml:space="preserve"> </w:t>
      </w:r>
      <w:hyperlink r:id="rId19" w:history="1">
        <w:r w:rsidR="00FF0E4D">
          <w:rPr>
            <w:rStyle w:val="Hypertextovodkaz"/>
            <w:rFonts w:cs="Calibri"/>
            <w:b/>
          </w:rPr>
          <w:t>XXX</w:t>
        </w:r>
      </w:hyperlink>
    </w:p>
    <w:p w14:paraId="33BBAE48" w14:textId="177458D3" w:rsidR="00552AD5" w:rsidRDefault="00E52CB0" w:rsidP="00494883">
      <w:pPr>
        <w:numPr>
          <w:ilvl w:val="0"/>
          <w:numId w:val="7"/>
        </w:numPr>
      </w:pPr>
      <w:r>
        <w:rPr>
          <w:rFonts w:cs="Calibri"/>
        </w:rPr>
        <w:t>popř. písemně na adresu:</w:t>
      </w:r>
      <w:r w:rsidR="00494883" w:rsidRPr="00494883">
        <w:rPr>
          <w:rFonts w:cs="Calibri"/>
          <w:b/>
        </w:rPr>
        <w:t xml:space="preserve"> </w:t>
      </w:r>
      <w:r w:rsidR="00494883">
        <w:rPr>
          <w:rFonts w:cs="Calibri"/>
          <w:b/>
        </w:rPr>
        <w:t>Jeseniova 2829/20, 130 00 Praha 3</w:t>
      </w:r>
    </w:p>
    <w:p w14:paraId="4219DD71" w14:textId="4ADB0832" w:rsidR="00552AD5" w:rsidRDefault="00E52CB0" w:rsidP="00494883">
      <w:pPr>
        <w:pStyle w:val="Nadpis3"/>
        <w:ind w:left="0" w:firstLine="0"/>
      </w:pPr>
      <w:r>
        <w:t>Pro požadavek zásahu objednatel zajistí písemné nahlášení závady</w:t>
      </w:r>
      <w:r w:rsidRPr="00494883">
        <w:rPr>
          <w:lang w:val="cs-CZ"/>
        </w:rPr>
        <w:t xml:space="preserve"> na HelpDesk</w:t>
      </w:r>
      <w:r>
        <w:t xml:space="preserve">, ve kterém bude datum a čas nahlášení závady, závada popsána, stanovena její kategorie dle Podmínek této služby, uvedena osoba objednatele, která o závadě podá podrobnější informaci, a její telefonní číslo, a uvedeno jméno a telefonní číslo ohlašovatele závady. </w:t>
      </w:r>
      <w:r w:rsidRPr="00494883">
        <w:rPr>
          <w:lang w:val="cs-CZ"/>
        </w:rPr>
        <w:t>Incident může být nahlášen i emailem, nebude na něj však v takovém případě možné uplatnit odpovídající SLA</w:t>
      </w:r>
      <w:r>
        <w:t xml:space="preserve">. Kategorii závady stanovenou objednatelem nesmí </w:t>
      </w:r>
      <w:r w:rsidRPr="00494883">
        <w:rPr>
          <w:lang w:val="cs-CZ"/>
        </w:rPr>
        <w:t>poskytovatel</w:t>
      </w:r>
      <w:r>
        <w:t xml:space="preserve"> změnit bez souhlasu objednatele.</w:t>
      </w:r>
      <w:r w:rsidRPr="00494883">
        <w:rPr>
          <w:lang w:val="cs-CZ"/>
        </w:rPr>
        <w:t xml:space="preserve"> V případě nedostupnosti služby HelpDesk na straně poskytovatele bude na jakýkoliv další způsob nahlášení závady pohlíženo jako na podaný prostřednictvím služby HelpDesk, a to včetně SLA a jeho důsledků.</w:t>
      </w:r>
    </w:p>
    <w:p w14:paraId="7551175B" w14:textId="77777777" w:rsidR="00552AD5" w:rsidRDefault="00E52CB0">
      <w:pPr>
        <w:pStyle w:val="Nadpis3"/>
        <w:ind w:left="0" w:firstLine="0"/>
      </w:pPr>
      <w:r>
        <w:t xml:space="preserve">Po odstranění závady </w:t>
      </w:r>
      <w:r>
        <w:rPr>
          <w:lang w:val="cs-CZ"/>
        </w:rPr>
        <w:t>poskytovatel</w:t>
      </w:r>
      <w:r>
        <w:t xml:space="preserve"> její odstranění nahlásí </w:t>
      </w:r>
      <w:r>
        <w:rPr>
          <w:lang w:val="cs-CZ"/>
        </w:rPr>
        <w:t xml:space="preserve">službou HelpDesk, případně </w:t>
      </w:r>
      <w:r>
        <w:t xml:space="preserve">e-mailem, </w:t>
      </w:r>
      <w:r>
        <w:rPr>
          <w:lang w:val="cs-CZ"/>
        </w:rPr>
        <w:t>či</w:t>
      </w:r>
      <w:r>
        <w:t xml:space="preserve"> i telefonicky objednateli.</w:t>
      </w:r>
    </w:p>
    <w:p w14:paraId="42FA000F" w14:textId="77777777" w:rsidR="00552AD5" w:rsidRDefault="00E52CB0">
      <w:pPr>
        <w:pStyle w:val="Nadpis3"/>
        <w:ind w:left="0" w:firstLine="0"/>
      </w:pPr>
      <w:r>
        <w:t xml:space="preserve">Objednatel zkontroluje funkčnost a potvrdí zpětně </w:t>
      </w:r>
      <w:r>
        <w:rPr>
          <w:lang w:val="cs-CZ"/>
        </w:rPr>
        <w:t>poskytovateli</w:t>
      </w:r>
      <w:r>
        <w:t>, že je závada odstraněna.</w:t>
      </w:r>
    </w:p>
    <w:p w14:paraId="0BE11EFC" w14:textId="77777777" w:rsidR="00552AD5" w:rsidRDefault="00E52CB0">
      <w:pPr>
        <w:pStyle w:val="Nadpis3"/>
        <w:ind w:left="0" w:firstLine="0"/>
      </w:pPr>
      <w:r>
        <w:t xml:space="preserve">Objednatel zajistí </w:t>
      </w:r>
      <w:r>
        <w:rPr>
          <w:lang w:val="cs-CZ"/>
        </w:rPr>
        <w:t>poskytovateli</w:t>
      </w:r>
      <w:r>
        <w:t xml:space="preserve"> pracovní prostor v rozsahu nutném pro provedení služeb</w:t>
      </w:r>
      <w:r>
        <w:rPr>
          <w:lang w:val="cs-CZ"/>
        </w:rPr>
        <w:t xml:space="preserve"> správy IT infrastruktury</w:t>
      </w:r>
      <w:r>
        <w:t xml:space="preserve">. Objednatel odpovídá za to, že řádný průběh prací </w:t>
      </w:r>
      <w:r>
        <w:rPr>
          <w:lang w:val="cs-CZ"/>
        </w:rPr>
        <w:t>poskytovatele</w:t>
      </w:r>
      <w:r>
        <w:t xml:space="preserve"> nebude rušen zásahy třetích osob.</w:t>
      </w:r>
    </w:p>
    <w:p w14:paraId="566E73BA" w14:textId="23698215" w:rsidR="00552AD5" w:rsidRDefault="00E52CB0">
      <w:pPr>
        <w:pStyle w:val="Nadpis3"/>
        <w:ind w:left="0" w:firstLine="0"/>
      </w:pPr>
      <w:r>
        <w:lastRenderedPageBreak/>
        <w:t xml:space="preserve">Poskytovatel má právo si vyžádat fyzický přístup do prostor objednatele za účelem průběžně poskytovaných služeb k infrastruktuře. Takový přístup musí být písemně vyžádán vždy min. předstihem v délce 2 pracovních dnů. Předpokládáno je umožnění takového přístupu v časech, ve kterých se objednatel zavazuje poskytovat součinnost uvedený v bodě </w:t>
      </w:r>
      <w:r>
        <w:fldChar w:fldCharType="begin"/>
      </w:r>
      <w:r>
        <w:instrText xml:space="preserve"> REF __RefHeading___Toc2020_4161493135 \n \n \h </w:instrText>
      </w:r>
      <w:r>
        <w:fldChar w:fldCharType="separate"/>
      </w:r>
      <w:r w:rsidR="0090184E">
        <w:t>3.1.7</w:t>
      </w:r>
      <w:r>
        <w:fldChar w:fldCharType="end"/>
      </w:r>
      <w:r>
        <w:t xml:space="preserve"> této přílohy. V mimořádných odůvodněných případech (typicky potřeba vypnutí celé infrastruktury) může na základě oboustranného souhlasu dojít k odsouhlasení i v jiném termínu a času.</w:t>
      </w:r>
    </w:p>
    <w:p w14:paraId="665A79AA" w14:textId="77777777" w:rsidR="00552AD5" w:rsidRDefault="00E52CB0">
      <w:pPr>
        <w:pStyle w:val="Nadpis3"/>
        <w:ind w:left="0" w:firstLine="0"/>
        <w:rPr>
          <w:lang w:val="cs-CZ"/>
        </w:rPr>
      </w:pPr>
      <w:r>
        <w:t xml:space="preserve">Objednatel je povinen informovat </w:t>
      </w:r>
      <w:r>
        <w:rPr>
          <w:lang w:val="cs-CZ"/>
        </w:rPr>
        <w:t>poskytovatele</w:t>
      </w:r>
      <w:r>
        <w:t xml:space="preserve"> o všech opatřeních a zásazích, které na </w:t>
      </w:r>
      <w:r>
        <w:rPr>
          <w:lang w:val="cs-CZ"/>
        </w:rPr>
        <w:t>IT infrastruktuře</w:t>
      </w:r>
      <w:r>
        <w:t xml:space="preserve"> provedl sám.</w:t>
      </w:r>
    </w:p>
    <w:p w14:paraId="37FA5975" w14:textId="77777777" w:rsidR="00552AD5" w:rsidRDefault="00E52CB0" w:rsidP="00A7371A">
      <w:pPr>
        <w:pStyle w:val="Nadpis1"/>
        <w:rPr>
          <w:lang w:val="cs-CZ"/>
        </w:rPr>
      </w:pPr>
      <w:bookmarkStart w:id="85" w:name="__RefHeading___Toc3907_93952133"/>
      <w:bookmarkStart w:id="86" w:name="_Toc212203604"/>
      <w:bookmarkStart w:id="87" w:name="_Toc230001193"/>
      <w:bookmarkEnd w:id="85"/>
      <w:r>
        <w:rPr>
          <w:lang w:val="cs-CZ"/>
        </w:rPr>
        <w:t>Práva a povinnosti poskytovatele</w:t>
      </w:r>
      <w:bookmarkEnd w:id="86"/>
      <w:bookmarkEnd w:id="87"/>
    </w:p>
    <w:p w14:paraId="1A46AA28" w14:textId="77777777" w:rsidR="00552AD5" w:rsidRDefault="00E52CB0">
      <w:pPr>
        <w:pStyle w:val="Nadpis3"/>
        <w:ind w:left="0" w:firstLine="0"/>
      </w:pPr>
      <w:r>
        <w:rPr>
          <w:lang w:val="cs-CZ"/>
        </w:rPr>
        <w:t>Poskytovatel</w:t>
      </w:r>
      <w:r>
        <w:t xml:space="preserve"> se zavazuje poskytovat správu v níže uvedených garantovaných termínech plnění.</w:t>
      </w:r>
    </w:p>
    <w:p w14:paraId="23FA9367" w14:textId="77777777" w:rsidR="00552AD5" w:rsidRDefault="00E52CB0">
      <w:pPr>
        <w:pStyle w:val="Nadpis3"/>
        <w:ind w:left="0" w:firstLine="0"/>
        <w:rPr>
          <w:rFonts w:cs="Calibri"/>
          <w:b/>
        </w:rPr>
      </w:pPr>
      <w:r>
        <w:t>Každá zjištěná či nahlášená závada bude</w:t>
      </w:r>
      <w:r>
        <w:rPr>
          <w:lang w:val="cs-CZ"/>
        </w:rPr>
        <w:t xml:space="preserve"> objednatelem</w:t>
      </w:r>
      <w:r>
        <w:t xml:space="preserve"> vyhodnocena a zařazena do jedné z následujících kategorií:</w:t>
      </w:r>
    </w:p>
    <w:p w14:paraId="5EF5AC36" w14:textId="77777777" w:rsidR="00552AD5" w:rsidRDefault="00E52CB0">
      <w:pPr>
        <w:numPr>
          <w:ilvl w:val="0"/>
          <w:numId w:val="6"/>
        </w:numPr>
        <w:rPr>
          <w:rFonts w:cs="Calibri"/>
          <w:b/>
        </w:rPr>
      </w:pPr>
      <w:r>
        <w:rPr>
          <w:rFonts w:cs="Calibri"/>
          <w:b/>
        </w:rPr>
        <w:t>Kritická závada</w:t>
      </w:r>
      <w:r>
        <w:rPr>
          <w:rFonts w:cs="Calibri"/>
        </w:rPr>
        <w:t xml:space="preserve"> – závada, která má takový vliv na funkčnost IT infrastruktury, že není možné IT infrastrukturu užívat, a to ani žádným náhradním způsobem.</w:t>
      </w:r>
    </w:p>
    <w:p w14:paraId="11DC6CA3" w14:textId="77777777" w:rsidR="00552AD5" w:rsidRDefault="00E52CB0">
      <w:pPr>
        <w:numPr>
          <w:ilvl w:val="0"/>
          <w:numId w:val="6"/>
        </w:numPr>
        <w:rPr>
          <w:rFonts w:cs="Calibri"/>
          <w:b/>
        </w:rPr>
      </w:pPr>
      <w:r>
        <w:rPr>
          <w:rFonts w:cs="Calibri"/>
          <w:b/>
        </w:rPr>
        <w:t>Hlavní závada</w:t>
      </w:r>
      <w:r>
        <w:rPr>
          <w:rFonts w:cs="Calibri"/>
        </w:rPr>
        <w:t xml:space="preserve"> – závada, která neumožňuje používání IT infrastruktury, následky je možné odstranit přijetím náhradního řešení situace</w:t>
      </w:r>
      <w:r>
        <w:t xml:space="preserve"> a/nebo je možné provádět hlavní úkony alespoň náhradním postupem bez rizika ztráty nebo poškození dat</w:t>
      </w:r>
      <w:r>
        <w:rPr>
          <w:rFonts w:cs="Calibri"/>
        </w:rPr>
        <w:t>.</w:t>
      </w:r>
    </w:p>
    <w:p w14:paraId="50405499" w14:textId="77777777" w:rsidR="00552AD5" w:rsidRDefault="00E52CB0">
      <w:pPr>
        <w:numPr>
          <w:ilvl w:val="0"/>
          <w:numId w:val="6"/>
        </w:numPr>
      </w:pPr>
      <w:r>
        <w:rPr>
          <w:rFonts w:cs="Calibri"/>
          <w:b/>
        </w:rPr>
        <w:t>Drobná závada</w:t>
      </w:r>
      <w:r>
        <w:rPr>
          <w:rFonts w:cs="Calibri"/>
        </w:rPr>
        <w:t xml:space="preserve"> – závada, která neovlivňuje způsob používání IT infrastruktury, který je předmětem smlouvy z pohledu plynulého provozu a spolehlivosti.</w:t>
      </w:r>
    </w:p>
    <w:p w14:paraId="4EFA51F0" w14:textId="77777777" w:rsidR="00552AD5" w:rsidRDefault="00E52CB0">
      <w:pPr>
        <w:pStyle w:val="Nadpis3"/>
        <w:ind w:left="0" w:firstLine="0"/>
        <w:rPr>
          <w:rFonts w:cs="Calibri"/>
          <w:sz w:val="20"/>
          <w:szCs w:val="20"/>
        </w:rPr>
      </w:pPr>
      <w:r>
        <w:rPr>
          <w:lang w:val="cs-CZ"/>
        </w:rPr>
        <w:t>Poskytovatel se zavazuje po doručení oznámení objednatele o závadě IT infrastruktury zahájit práci na odstranění závady a odstranit nahlášenou závadu ve lhůtách podle následující tabulky. Do lhůt se započítává 24 hodin denně, tj. 1 den = 24 hodin. V jednotlivých buňkách jsou vždy uvedené hodiny SLA, ve kterých mají musejí být jednotlivé závady odstraňovány. Dále jsou v buňkách definovány smluvní pokuty za překročení maximálních lhůt oprav.</w:t>
      </w:r>
    </w:p>
    <w:tbl>
      <w:tblPr>
        <w:tblW w:w="9284" w:type="dxa"/>
        <w:tblLayout w:type="fixed"/>
        <w:tblCellMar>
          <w:left w:w="70" w:type="dxa"/>
          <w:right w:w="70" w:type="dxa"/>
        </w:tblCellMar>
        <w:tblLook w:val="0000" w:firstRow="0" w:lastRow="0" w:firstColumn="0" w:lastColumn="0" w:noHBand="0" w:noVBand="0"/>
      </w:tblPr>
      <w:tblGrid>
        <w:gridCol w:w="1488"/>
        <w:gridCol w:w="1701"/>
        <w:gridCol w:w="2268"/>
        <w:gridCol w:w="1984"/>
        <w:gridCol w:w="1843"/>
      </w:tblGrid>
      <w:tr w:rsidR="00552AD5" w14:paraId="44F0565A" w14:textId="77777777">
        <w:tc>
          <w:tcPr>
            <w:tcW w:w="1488" w:type="dxa"/>
            <w:tcBorders>
              <w:bottom w:val="single" w:sz="6" w:space="0" w:color="000000"/>
              <w:right w:val="single" w:sz="6" w:space="0" w:color="000000"/>
            </w:tcBorders>
            <w:vAlign w:val="center"/>
          </w:tcPr>
          <w:p w14:paraId="742654A7" w14:textId="77777777" w:rsidR="00552AD5" w:rsidRDefault="00552AD5">
            <w:pPr>
              <w:keepNext/>
              <w:snapToGrid w:val="0"/>
              <w:spacing w:after="0" w:line="240" w:lineRule="auto"/>
              <w:jc w:val="center"/>
              <w:rPr>
                <w:rFonts w:cs="Calibri"/>
                <w:sz w:val="20"/>
                <w:szCs w:val="20"/>
              </w:rPr>
            </w:pP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DAEEF3"/>
            <w:vAlign w:val="center"/>
          </w:tcPr>
          <w:p w14:paraId="7D8A7D28" w14:textId="77777777" w:rsidR="00552AD5" w:rsidRDefault="00E52CB0">
            <w:pPr>
              <w:keepNext/>
              <w:spacing w:after="0" w:line="240" w:lineRule="auto"/>
              <w:jc w:val="center"/>
            </w:pPr>
            <w:r>
              <w:rPr>
                <w:rFonts w:cs="Calibri"/>
                <w:b/>
                <w:color w:val="000000"/>
                <w:sz w:val="24"/>
                <w:szCs w:val="24"/>
              </w:rPr>
              <w:t>Časová lhůta způsobu řešení – Odstraňování závad IT infrastruktury</w:t>
            </w:r>
          </w:p>
        </w:tc>
      </w:tr>
      <w:tr w:rsidR="00552AD5" w14:paraId="2DDA08AE" w14:textId="77777777">
        <w:tc>
          <w:tcPr>
            <w:tcW w:w="1488" w:type="dxa"/>
            <w:tcBorders>
              <w:top w:val="single" w:sz="6" w:space="0" w:color="000000"/>
              <w:left w:val="single" w:sz="6" w:space="0" w:color="000000"/>
              <w:bottom w:val="single" w:sz="6" w:space="0" w:color="000000"/>
              <w:right w:val="single" w:sz="6" w:space="0" w:color="000000"/>
            </w:tcBorders>
            <w:shd w:val="clear" w:color="auto" w:fill="DAEEF3"/>
            <w:vAlign w:val="center"/>
          </w:tcPr>
          <w:p w14:paraId="532D870C" w14:textId="77777777" w:rsidR="00552AD5" w:rsidRDefault="00E52CB0">
            <w:pPr>
              <w:keepNext/>
              <w:spacing w:after="0" w:line="240" w:lineRule="auto"/>
              <w:jc w:val="center"/>
            </w:pPr>
            <w:r>
              <w:rPr>
                <w:rFonts w:cs="Calibri"/>
                <w:b/>
                <w:sz w:val="20"/>
                <w:szCs w:val="20"/>
              </w:rPr>
              <w:t>Kategorie závady</w:t>
            </w:r>
          </w:p>
        </w:tc>
        <w:tc>
          <w:tcPr>
            <w:tcW w:w="1701" w:type="dxa"/>
            <w:tcBorders>
              <w:left w:val="single" w:sz="6" w:space="0" w:color="000000"/>
              <w:bottom w:val="single" w:sz="6" w:space="0" w:color="000000"/>
              <w:right w:val="single" w:sz="6" w:space="0" w:color="000000"/>
            </w:tcBorders>
            <w:shd w:val="clear" w:color="auto" w:fill="DAEEF3"/>
            <w:vAlign w:val="center"/>
          </w:tcPr>
          <w:p w14:paraId="14A2B4B9" w14:textId="77777777" w:rsidR="00552AD5" w:rsidRDefault="00E52CB0">
            <w:pPr>
              <w:keepNext/>
              <w:spacing w:after="0" w:line="240" w:lineRule="auto"/>
              <w:jc w:val="center"/>
            </w:pPr>
            <w:r>
              <w:rPr>
                <w:rFonts w:cs="Calibri"/>
                <w:b/>
                <w:color w:val="000000"/>
                <w:sz w:val="20"/>
                <w:szCs w:val="20"/>
              </w:rPr>
              <w:t>Oznámení o způsobu</w:t>
            </w:r>
            <w:r>
              <w:rPr>
                <w:rFonts w:cs="Calibri"/>
                <w:b/>
                <w:color w:val="000000"/>
                <w:sz w:val="20"/>
                <w:szCs w:val="20"/>
              </w:rPr>
              <w:br/>
              <w:t>řešení a odhad termínu</w:t>
            </w:r>
            <w:r>
              <w:rPr>
                <w:rFonts w:cs="Calibri"/>
                <w:b/>
                <w:color w:val="000000"/>
                <w:sz w:val="20"/>
                <w:szCs w:val="20"/>
              </w:rPr>
              <w:br/>
              <w:t>odstranění závady</w:t>
            </w:r>
          </w:p>
        </w:tc>
        <w:tc>
          <w:tcPr>
            <w:tcW w:w="2268" w:type="dxa"/>
            <w:tcBorders>
              <w:left w:val="single" w:sz="6" w:space="0" w:color="000000"/>
              <w:bottom w:val="single" w:sz="6" w:space="0" w:color="000000"/>
              <w:right w:val="single" w:sz="6" w:space="0" w:color="000000"/>
            </w:tcBorders>
            <w:shd w:val="clear" w:color="auto" w:fill="DAEEF3"/>
            <w:vAlign w:val="center"/>
          </w:tcPr>
          <w:p w14:paraId="40FBDD1F" w14:textId="77777777" w:rsidR="00552AD5" w:rsidRDefault="00E52CB0">
            <w:pPr>
              <w:keepNext/>
              <w:spacing w:after="0" w:line="240" w:lineRule="auto"/>
              <w:jc w:val="center"/>
            </w:pPr>
            <w:r>
              <w:rPr>
                <w:rFonts w:cs="Calibri"/>
                <w:b/>
                <w:color w:val="000000"/>
                <w:sz w:val="20"/>
                <w:szCs w:val="20"/>
              </w:rPr>
              <w:t>Alespoň částečné zprovoznění (tj. dočasné náhradní řešení) umožňující využívání</w:t>
            </w:r>
          </w:p>
        </w:tc>
        <w:tc>
          <w:tcPr>
            <w:tcW w:w="1984" w:type="dxa"/>
            <w:tcBorders>
              <w:top w:val="single" w:sz="6" w:space="0" w:color="000000"/>
              <w:left w:val="single" w:sz="6" w:space="0" w:color="000000"/>
              <w:bottom w:val="single" w:sz="6" w:space="0" w:color="000000"/>
              <w:right w:val="single" w:sz="6" w:space="0" w:color="000000"/>
            </w:tcBorders>
            <w:shd w:val="clear" w:color="auto" w:fill="DAEEF3"/>
            <w:vAlign w:val="center"/>
          </w:tcPr>
          <w:p w14:paraId="195EC5C8" w14:textId="77777777" w:rsidR="00552AD5" w:rsidRDefault="00E52CB0">
            <w:pPr>
              <w:keepNext/>
              <w:spacing w:after="0" w:line="240" w:lineRule="auto"/>
              <w:jc w:val="center"/>
            </w:pPr>
            <w:r>
              <w:rPr>
                <w:rFonts w:cs="Calibri"/>
                <w:b/>
                <w:color w:val="000000"/>
                <w:sz w:val="20"/>
                <w:szCs w:val="20"/>
              </w:rPr>
              <w:t>Úplné odstranění</w:t>
            </w:r>
          </w:p>
        </w:tc>
        <w:tc>
          <w:tcPr>
            <w:tcW w:w="1843" w:type="dxa"/>
            <w:tcBorders>
              <w:top w:val="single" w:sz="6" w:space="0" w:color="000000"/>
              <w:left w:val="single" w:sz="6" w:space="0" w:color="000000"/>
              <w:bottom w:val="single" w:sz="6" w:space="0" w:color="000000"/>
              <w:right w:val="single" w:sz="6" w:space="0" w:color="000000"/>
            </w:tcBorders>
            <w:shd w:val="clear" w:color="auto" w:fill="DAEEF3"/>
          </w:tcPr>
          <w:p w14:paraId="63D64320" w14:textId="77777777" w:rsidR="00552AD5" w:rsidRDefault="00E52CB0">
            <w:pPr>
              <w:keepNext/>
              <w:spacing w:after="0" w:line="240" w:lineRule="auto"/>
              <w:jc w:val="center"/>
            </w:pPr>
            <w:r>
              <w:rPr>
                <w:rFonts w:cs="Calibri"/>
                <w:b/>
                <w:color w:val="000000"/>
                <w:sz w:val="20"/>
                <w:szCs w:val="20"/>
              </w:rPr>
              <w:t>Smluvní pokuta za každou, byť jen započatou hodinu prodlení s odstraněním závady</w:t>
            </w:r>
          </w:p>
        </w:tc>
      </w:tr>
      <w:tr w:rsidR="00552AD5" w14:paraId="1F46B91F" w14:textId="77777777">
        <w:tc>
          <w:tcPr>
            <w:tcW w:w="1488" w:type="dxa"/>
            <w:tcBorders>
              <w:top w:val="single" w:sz="6" w:space="0" w:color="000000"/>
              <w:left w:val="single" w:sz="6" w:space="0" w:color="000000"/>
              <w:bottom w:val="single" w:sz="6" w:space="0" w:color="000000"/>
              <w:right w:val="single" w:sz="6" w:space="0" w:color="000000"/>
            </w:tcBorders>
            <w:vAlign w:val="center"/>
          </w:tcPr>
          <w:p w14:paraId="208BBDD3" w14:textId="77777777" w:rsidR="00552AD5" w:rsidRDefault="00E52CB0">
            <w:pPr>
              <w:spacing w:after="0" w:line="240" w:lineRule="auto"/>
              <w:jc w:val="center"/>
            </w:pPr>
            <w:r>
              <w:rPr>
                <w:rFonts w:cs="Calibri"/>
                <w:b/>
                <w:sz w:val="20"/>
                <w:szCs w:val="20"/>
              </w:rPr>
              <w:t>Kritická závada</w:t>
            </w:r>
          </w:p>
        </w:tc>
        <w:tc>
          <w:tcPr>
            <w:tcW w:w="1701" w:type="dxa"/>
            <w:tcBorders>
              <w:top w:val="single" w:sz="6" w:space="0" w:color="000000"/>
              <w:left w:val="single" w:sz="6" w:space="0" w:color="000000"/>
              <w:bottom w:val="single" w:sz="6" w:space="0" w:color="000000"/>
              <w:right w:val="single" w:sz="6" w:space="0" w:color="000000"/>
            </w:tcBorders>
            <w:vAlign w:val="center"/>
          </w:tcPr>
          <w:p w14:paraId="2BFE0D7D" w14:textId="77777777" w:rsidR="00552AD5" w:rsidRDefault="00E52CB0">
            <w:pPr>
              <w:spacing w:after="0" w:line="240" w:lineRule="auto"/>
              <w:jc w:val="center"/>
            </w:pPr>
            <w:r>
              <w:rPr>
                <w:rFonts w:cs="Calibri"/>
                <w:color w:val="000000"/>
                <w:sz w:val="20"/>
                <w:szCs w:val="20"/>
              </w:rPr>
              <w:t>Do 4 hodin</w:t>
            </w:r>
            <w:r>
              <w:rPr>
                <w:rFonts w:cs="Calibri"/>
                <w:color w:val="000000"/>
                <w:sz w:val="20"/>
                <w:szCs w:val="20"/>
              </w:rPr>
              <w:br/>
              <w:t>od nahlášení</w:t>
            </w:r>
          </w:p>
        </w:tc>
        <w:tc>
          <w:tcPr>
            <w:tcW w:w="2268" w:type="dxa"/>
            <w:tcBorders>
              <w:top w:val="single" w:sz="6" w:space="0" w:color="000000"/>
              <w:left w:val="single" w:sz="6" w:space="0" w:color="000000"/>
              <w:bottom w:val="single" w:sz="6" w:space="0" w:color="000000"/>
              <w:right w:val="single" w:sz="6" w:space="0" w:color="000000"/>
            </w:tcBorders>
            <w:vAlign w:val="center"/>
          </w:tcPr>
          <w:p w14:paraId="4C5832FA" w14:textId="77777777" w:rsidR="00552AD5" w:rsidRDefault="00E52CB0">
            <w:pPr>
              <w:spacing w:after="0" w:line="240" w:lineRule="auto"/>
              <w:jc w:val="center"/>
            </w:pPr>
            <w:r>
              <w:rPr>
                <w:rFonts w:cs="Calibri"/>
                <w:sz w:val="20"/>
                <w:szCs w:val="20"/>
              </w:rPr>
              <w:t>Do 14 hodin</w:t>
            </w:r>
          </w:p>
        </w:tc>
        <w:tc>
          <w:tcPr>
            <w:tcW w:w="1984" w:type="dxa"/>
            <w:tcBorders>
              <w:top w:val="single" w:sz="6" w:space="0" w:color="000000"/>
              <w:left w:val="single" w:sz="6" w:space="0" w:color="000000"/>
              <w:bottom w:val="single" w:sz="6" w:space="0" w:color="000000"/>
              <w:right w:val="single" w:sz="6" w:space="0" w:color="000000"/>
            </w:tcBorders>
            <w:vAlign w:val="center"/>
          </w:tcPr>
          <w:p w14:paraId="6EA86DFE" w14:textId="77777777" w:rsidR="00552AD5" w:rsidRDefault="00E52CB0">
            <w:pPr>
              <w:spacing w:after="0" w:line="240" w:lineRule="auto"/>
              <w:jc w:val="center"/>
            </w:pPr>
            <w:r>
              <w:rPr>
                <w:rFonts w:cs="Calibri"/>
                <w:sz w:val="20"/>
                <w:szCs w:val="20"/>
              </w:rPr>
              <w:t>Do 24 hodin od nahlášení</w:t>
            </w:r>
          </w:p>
        </w:tc>
        <w:tc>
          <w:tcPr>
            <w:tcW w:w="1843" w:type="dxa"/>
            <w:tcBorders>
              <w:top w:val="single" w:sz="6" w:space="0" w:color="000000"/>
              <w:left w:val="single" w:sz="6" w:space="0" w:color="000000"/>
              <w:bottom w:val="single" w:sz="6" w:space="0" w:color="000000"/>
              <w:right w:val="single" w:sz="6" w:space="0" w:color="000000"/>
            </w:tcBorders>
            <w:vAlign w:val="center"/>
          </w:tcPr>
          <w:p w14:paraId="4E90ACEC" w14:textId="77777777" w:rsidR="00552AD5" w:rsidRDefault="00E52CB0">
            <w:pPr>
              <w:spacing w:after="0" w:line="240" w:lineRule="auto"/>
              <w:jc w:val="right"/>
            </w:pPr>
            <w:r>
              <w:rPr>
                <w:rFonts w:cs="Calibri"/>
                <w:sz w:val="20"/>
                <w:szCs w:val="20"/>
              </w:rPr>
              <w:t>1 % z měsíční platby správy na základě této smlouvy</w:t>
            </w:r>
          </w:p>
        </w:tc>
      </w:tr>
      <w:tr w:rsidR="00552AD5" w14:paraId="324CDD3C" w14:textId="77777777">
        <w:tc>
          <w:tcPr>
            <w:tcW w:w="1488" w:type="dxa"/>
            <w:tcBorders>
              <w:top w:val="single" w:sz="6" w:space="0" w:color="000000"/>
              <w:left w:val="single" w:sz="6" w:space="0" w:color="000000"/>
              <w:bottom w:val="single" w:sz="6" w:space="0" w:color="000000"/>
              <w:right w:val="single" w:sz="6" w:space="0" w:color="000000"/>
            </w:tcBorders>
            <w:vAlign w:val="center"/>
          </w:tcPr>
          <w:p w14:paraId="77389680" w14:textId="77777777" w:rsidR="00552AD5" w:rsidRDefault="00E52CB0">
            <w:pPr>
              <w:spacing w:after="0" w:line="240" w:lineRule="auto"/>
              <w:jc w:val="center"/>
            </w:pPr>
            <w:r>
              <w:rPr>
                <w:rFonts w:cs="Calibri"/>
                <w:b/>
                <w:sz w:val="20"/>
                <w:szCs w:val="20"/>
              </w:rPr>
              <w:t>Hlavní závada</w:t>
            </w:r>
          </w:p>
        </w:tc>
        <w:tc>
          <w:tcPr>
            <w:tcW w:w="1701" w:type="dxa"/>
            <w:tcBorders>
              <w:top w:val="single" w:sz="6" w:space="0" w:color="000000"/>
              <w:left w:val="single" w:sz="6" w:space="0" w:color="000000"/>
              <w:bottom w:val="single" w:sz="6" w:space="0" w:color="000000"/>
              <w:right w:val="single" w:sz="6" w:space="0" w:color="000000"/>
            </w:tcBorders>
            <w:vAlign w:val="center"/>
          </w:tcPr>
          <w:p w14:paraId="50F2AE33" w14:textId="77777777" w:rsidR="00552AD5" w:rsidRDefault="00E52CB0">
            <w:pPr>
              <w:spacing w:after="0" w:line="240" w:lineRule="auto"/>
              <w:jc w:val="center"/>
            </w:pPr>
            <w:r>
              <w:rPr>
                <w:rFonts w:cs="Calibri"/>
                <w:color w:val="000000"/>
                <w:sz w:val="20"/>
                <w:szCs w:val="20"/>
              </w:rPr>
              <w:t>Do 8 hodin</w:t>
            </w:r>
            <w:r>
              <w:rPr>
                <w:rFonts w:cs="Calibri"/>
                <w:color w:val="000000"/>
                <w:sz w:val="20"/>
                <w:szCs w:val="20"/>
              </w:rPr>
              <w:br/>
              <w:t>od nahlášení</w:t>
            </w:r>
          </w:p>
        </w:tc>
        <w:tc>
          <w:tcPr>
            <w:tcW w:w="2268" w:type="dxa"/>
            <w:tcBorders>
              <w:top w:val="single" w:sz="6" w:space="0" w:color="000000"/>
              <w:left w:val="single" w:sz="6" w:space="0" w:color="000000"/>
              <w:bottom w:val="single" w:sz="6" w:space="0" w:color="000000"/>
              <w:right w:val="single" w:sz="6" w:space="0" w:color="000000"/>
            </w:tcBorders>
            <w:vAlign w:val="center"/>
          </w:tcPr>
          <w:p w14:paraId="0911C48E" w14:textId="77777777" w:rsidR="00552AD5" w:rsidRDefault="00E52CB0">
            <w:pPr>
              <w:spacing w:after="0" w:line="240" w:lineRule="auto"/>
              <w:jc w:val="center"/>
            </w:pPr>
            <w:r>
              <w:rPr>
                <w:rFonts w:cs="Calibri"/>
                <w:sz w:val="20"/>
                <w:szCs w:val="20"/>
              </w:rPr>
              <w:t>Do 24 hodin</w:t>
            </w:r>
          </w:p>
        </w:tc>
        <w:tc>
          <w:tcPr>
            <w:tcW w:w="1984" w:type="dxa"/>
            <w:tcBorders>
              <w:top w:val="single" w:sz="6" w:space="0" w:color="000000"/>
              <w:left w:val="single" w:sz="6" w:space="0" w:color="000000"/>
              <w:bottom w:val="single" w:sz="6" w:space="0" w:color="000000"/>
              <w:right w:val="single" w:sz="6" w:space="0" w:color="000000"/>
            </w:tcBorders>
            <w:vAlign w:val="center"/>
          </w:tcPr>
          <w:p w14:paraId="09AE2FE4" w14:textId="77777777" w:rsidR="00552AD5" w:rsidRDefault="00E52CB0">
            <w:pPr>
              <w:spacing w:after="0" w:line="240" w:lineRule="auto"/>
              <w:jc w:val="center"/>
            </w:pPr>
            <w:r>
              <w:rPr>
                <w:rFonts w:cs="Calibri"/>
                <w:sz w:val="20"/>
                <w:szCs w:val="20"/>
              </w:rPr>
              <w:t>Do 56 hodin od nahlášení</w:t>
            </w:r>
          </w:p>
        </w:tc>
        <w:tc>
          <w:tcPr>
            <w:tcW w:w="1843" w:type="dxa"/>
            <w:tcBorders>
              <w:top w:val="single" w:sz="6" w:space="0" w:color="000000"/>
              <w:left w:val="single" w:sz="6" w:space="0" w:color="000000"/>
              <w:bottom w:val="single" w:sz="6" w:space="0" w:color="000000"/>
              <w:right w:val="single" w:sz="6" w:space="0" w:color="000000"/>
            </w:tcBorders>
            <w:vAlign w:val="center"/>
          </w:tcPr>
          <w:p w14:paraId="7A6FE90F" w14:textId="77777777" w:rsidR="00552AD5" w:rsidRDefault="00E52CB0">
            <w:pPr>
              <w:spacing w:after="0" w:line="240" w:lineRule="auto"/>
              <w:jc w:val="right"/>
            </w:pPr>
            <w:r>
              <w:rPr>
                <w:rFonts w:cs="Calibri"/>
                <w:sz w:val="20"/>
                <w:szCs w:val="20"/>
              </w:rPr>
              <w:t>0,5 % z měsíční platby správy na základě této smlouvy</w:t>
            </w:r>
          </w:p>
        </w:tc>
      </w:tr>
      <w:tr w:rsidR="00552AD5" w14:paraId="54D9BD43" w14:textId="77777777">
        <w:tc>
          <w:tcPr>
            <w:tcW w:w="1488" w:type="dxa"/>
            <w:tcBorders>
              <w:top w:val="single" w:sz="6" w:space="0" w:color="000000"/>
              <w:left w:val="single" w:sz="6" w:space="0" w:color="000000"/>
              <w:bottom w:val="single" w:sz="6" w:space="0" w:color="000000"/>
              <w:right w:val="single" w:sz="6" w:space="0" w:color="000000"/>
            </w:tcBorders>
            <w:vAlign w:val="center"/>
          </w:tcPr>
          <w:p w14:paraId="49D01925" w14:textId="77777777" w:rsidR="00552AD5" w:rsidRDefault="00E52CB0">
            <w:pPr>
              <w:spacing w:after="0" w:line="240" w:lineRule="auto"/>
              <w:jc w:val="center"/>
            </w:pPr>
            <w:r>
              <w:rPr>
                <w:rFonts w:cs="Calibri"/>
                <w:b/>
                <w:sz w:val="20"/>
                <w:szCs w:val="20"/>
              </w:rPr>
              <w:t>Drobná závada</w:t>
            </w:r>
          </w:p>
        </w:tc>
        <w:tc>
          <w:tcPr>
            <w:tcW w:w="1701" w:type="dxa"/>
            <w:tcBorders>
              <w:top w:val="single" w:sz="6" w:space="0" w:color="000000"/>
              <w:left w:val="single" w:sz="6" w:space="0" w:color="000000"/>
              <w:bottom w:val="single" w:sz="6" w:space="0" w:color="000000"/>
              <w:right w:val="single" w:sz="6" w:space="0" w:color="000000"/>
            </w:tcBorders>
            <w:vAlign w:val="center"/>
          </w:tcPr>
          <w:p w14:paraId="4F616BD2" w14:textId="77777777" w:rsidR="00552AD5" w:rsidRDefault="00E52CB0">
            <w:pPr>
              <w:spacing w:after="0" w:line="240" w:lineRule="auto"/>
              <w:jc w:val="center"/>
            </w:pPr>
            <w:r>
              <w:rPr>
                <w:rFonts w:cs="Calibri"/>
                <w:color w:val="000000"/>
                <w:sz w:val="20"/>
                <w:szCs w:val="20"/>
              </w:rPr>
              <w:t>Do 16 hodin</w:t>
            </w:r>
            <w:r>
              <w:rPr>
                <w:rFonts w:cs="Calibri"/>
                <w:color w:val="000000"/>
                <w:sz w:val="20"/>
                <w:szCs w:val="20"/>
              </w:rPr>
              <w:br/>
              <w:t>od nahlášení</w:t>
            </w:r>
          </w:p>
        </w:tc>
        <w:tc>
          <w:tcPr>
            <w:tcW w:w="2268" w:type="dxa"/>
            <w:tcBorders>
              <w:top w:val="single" w:sz="6" w:space="0" w:color="000000"/>
              <w:left w:val="single" w:sz="6" w:space="0" w:color="000000"/>
              <w:bottom w:val="single" w:sz="6" w:space="0" w:color="000000"/>
              <w:right w:val="single" w:sz="6" w:space="0" w:color="000000"/>
            </w:tcBorders>
            <w:vAlign w:val="center"/>
          </w:tcPr>
          <w:p w14:paraId="677226C9" w14:textId="77777777" w:rsidR="00552AD5" w:rsidRDefault="00E52CB0">
            <w:pPr>
              <w:spacing w:after="0" w:line="240" w:lineRule="auto"/>
              <w:jc w:val="center"/>
            </w:pPr>
            <w:r>
              <w:rPr>
                <w:rFonts w:cs="Calibri"/>
                <w:sz w:val="20"/>
                <w:szCs w:val="20"/>
              </w:rPr>
              <w:t>Do 120 hodin</w:t>
            </w:r>
          </w:p>
        </w:tc>
        <w:tc>
          <w:tcPr>
            <w:tcW w:w="1984" w:type="dxa"/>
            <w:tcBorders>
              <w:top w:val="single" w:sz="6" w:space="0" w:color="000000"/>
              <w:left w:val="single" w:sz="6" w:space="0" w:color="000000"/>
              <w:bottom w:val="single" w:sz="6" w:space="0" w:color="000000"/>
              <w:right w:val="single" w:sz="6" w:space="0" w:color="000000"/>
            </w:tcBorders>
            <w:vAlign w:val="center"/>
          </w:tcPr>
          <w:p w14:paraId="2146E282" w14:textId="77777777" w:rsidR="00552AD5" w:rsidRDefault="00E52CB0">
            <w:pPr>
              <w:spacing w:after="0" w:line="240" w:lineRule="auto"/>
              <w:jc w:val="center"/>
            </w:pPr>
            <w:r>
              <w:rPr>
                <w:rFonts w:cs="Calibri"/>
                <w:sz w:val="20"/>
                <w:szCs w:val="20"/>
              </w:rPr>
              <w:t>Do 168 hodin od nahlášení</w:t>
            </w:r>
          </w:p>
        </w:tc>
        <w:tc>
          <w:tcPr>
            <w:tcW w:w="1843" w:type="dxa"/>
            <w:tcBorders>
              <w:top w:val="single" w:sz="6" w:space="0" w:color="000000"/>
              <w:left w:val="single" w:sz="6" w:space="0" w:color="000000"/>
              <w:bottom w:val="single" w:sz="6" w:space="0" w:color="000000"/>
              <w:right w:val="single" w:sz="6" w:space="0" w:color="000000"/>
            </w:tcBorders>
            <w:vAlign w:val="center"/>
          </w:tcPr>
          <w:p w14:paraId="376C67E0" w14:textId="77777777" w:rsidR="00552AD5" w:rsidRDefault="00E52CB0">
            <w:pPr>
              <w:spacing w:after="0" w:line="240" w:lineRule="auto"/>
              <w:jc w:val="right"/>
            </w:pPr>
            <w:r>
              <w:rPr>
                <w:rFonts w:cs="Calibri"/>
                <w:sz w:val="20"/>
                <w:szCs w:val="20"/>
              </w:rPr>
              <w:t>0,1 % z měsíční platby správy na základě této smlouvy</w:t>
            </w:r>
          </w:p>
        </w:tc>
      </w:tr>
    </w:tbl>
    <w:p w14:paraId="403E98B8" w14:textId="77777777" w:rsidR="00552AD5" w:rsidRDefault="00E52CB0">
      <w:pPr>
        <w:pStyle w:val="Nadpis3"/>
        <w:ind w:left="0" w:firstLine="0"/>
        <w:rPr>
          <w:lang w:val="cs-CZ"/>
        </w:rPr>
      </w:pPr>
      <w:r>
        <w:rPr>
          <w:lang w:val="cs-CZ"/>
        </w:rPr>
        <w:lastRenderedPageBreak/>
        <w:t>Poskytovatel</w:t>
      </w:r>
      <w:r>
        <w:t xml:space="preserve"> je povinen informovat objednatele prokazatelným způsobem o zahájení prací na odstranění závady. Oznámením </w:t>
      </w:r>
      <w:r>
        <w:rPr>
          <w:lang w:val="cs-CZ"/>
        </w:rPr>
        <w:t>poskytovatele</w:t>
      </w:r>
      <w:r>
        <w:t xml:space="preserve"> o způsobu řešení se rozumí konkrétní informace kontaktní osobě objednatele.</w:t>
      </w:r>
    </w:p>
    <w:p w14:paraId="3C759B78" w14:textId="77777777" w:rsidR="00552AD5" w:rsidRDefault="00E52CB0">
      <w:pPr>
        <w:pStyle w:val="Nadpis3"/>
        <w:ind w:left="0" w:firstLine="0"/>
      </w:pPr>
      <w:r>
        <w:rPr>
          <w:lang w:val="cs-CZ"/>
        </w:rPr>
        <w:t>Poskytovatel</w:t>
      </w:r>
      <w:r>
        <w:t xml:space="preserve"> je povinen respektovat pokyny a připomínky objednatele ke způsobu provádění služeb.</w:t>
      </w:r>
    </w:p>
    <w:p w14:paraId="06DA0F28" w14:textId="77777777" w:rsidR="00552AD5" w:rsidRDefault="00E52CB0">
      <w:pPr>
        <w:pStyle w:val="Nadpis3"/>
        <w:ind w:left="0" w:firstLine="0"/>
      </w:pPr>
      <w:r>
        <w:t xml:space="preserve">Do závazné doby k odstranění </w:t>
      </w:r>
      <w:r>
        <w:rPr>
          <w:lang w:val="cs-CZ"/>
        </w:rPr>
        <w:t>závady</w:t>
      </w:r>
      <w:r>
        <w:t xml:space="preserve"> se nezapočítává čas, který je nutný z hlediska vyvolaných prací na straně Objednatele</w:t>
      </w:r>
      <w:r>
        <w:rPr>
          <w:lang w:val="cs-CZ"/>
        </w:rPr>
        <w:t xml:space="preserve"> </w:t>
      </w:r>
      <w:r>
        <w:t>(například doba na reinstalaci serveru, doba dodání a zprovoznění náhradních serverů a hardwarových komponent, hledání a kopírování záloh, doba nutná na zprovoznění technologie související, ale dodaná</w:t>
      </w:r>
      <w:r>
        <w:rPr>
          <w:lang w:val="cs-CZ"/>
        </w:rPr>
        <w:t xml:space="preserve"> nebo spravovaná</w:t>
      </w:r>
      <w:r>
        <w:t xml:space="preserve"> někým jiným než </w:t>
      </w:r>
      <w:r>
        <w:rPr>
          <w:lang w:val="cs-CZ"/>
        </w:rPr>
        <w:t>poskytovatelem</w:t>
      </w:r>
      <w:r>
        <w:t xml:space="preserve">), v případě že tyto činnosti jsou nezbytně nutné k nalezení příčin </w:t>
      </w:r>
      <w:r>
        <w:rPr>
          <w:lang w:val="cs-CZ"/>
        </w:rPr>
        <w:t>zá</w:t>
      </w:r>
      <w:r>
        <w:t>vady a k jejímu odstranění. Lhůta se rovněž prodlužuje o dobu, která byla nutná na poskytnutí součinnosti pracovníků Objednatele. Lhůty plnění lze dále prodloužit, jestliže půjde o zásah vyšší moci (podle příslušných ustanovení zákona č. 89/2012 Sb., Občanského zákoníku).</w:t>
      </w:r>
      <w:r>
        <w:rPr>
          <w:lang w:val="cs-CZ"/>
        </w:rPr>
        <w:t xml:space="preserve"> </w:t>
      </w:r>
    </w:p>
    <w:p w14:paraId="76842CB9" w14:textId="77777777" w:rsidR="00552AD5" w:rsidRDefault="00E52CB0">
      <w:pPr>
        <w:pStyle w:val="Nadpis3"/>
        <w:ind w:left="0" w:firstLine="0"/>
        <w:rPr>
          <w:rFonts w:cs="Calibri"/>
        </w:rPr>
      </w:pPr>
      <w:bookmarkStart w:id="88" w:name="__RefHeading___Toc2020_4161493135"/>
      <w:bookmarkEnd w:id="88"/>
      <w:r>
        <w:t>Podmínka nutná pro dodržení termínu</w:t>
      </w:r>
      <w:r>
        <w:rPr>
          <w:lang w:val="cs-CZ"/>
        </w:rPr>
        <w:t xml:space="preserve"> správy</w:t>
      </w:r>
      <w:r>
        <w:t xml:space="preserve"> u </w:t>
      </w:r>
      <w:r>
        <w:rPr>
          <w:lang w:val="cs-CZ"/>
        </w:rPr>
        <w:t>závady</w:t>
      </w:r>
      <w:r>
        <w:t xml:space="preserve"> typu Kritická</w:t>
      </w:r>
      <w:r>
        <w:rPr>
          <w:lang w:val="cs-CZ"/>
        </w:rPr>
        <w:t xml:space="preserve"> a Hlavní</w:t>
      </w:r>
      <w:r>
        <w:t xml:space="preserve"> </w:t>
      </w:r>
      <w:r>
        <w:rPr>
          <w:lang w:val="cs-CZ"/>
        </w:rPr>
        <w:t>zá</w:t>
      </w:r>
      <w:r>
        <w:t>vada je:</w:t>
      </w:r>
    </w:p>
    <w:p w14:paraId="47B4A214" w14:textId="77777777" w:rsidR="00552AD5" w:rsidRDefault="00E52CB0">
      <w:pPr>
        <w:numPr>
          <w:ilvl w:val="0"/>
          <w:numId w:val="7"/>
        </w:numPr>
        <w:rPr>
          <w:rFonts w:cs="Calibri"/>
        </w:rPr>
      </w:pPr>
      <w:r>
        <w:rPr>
          <w:rFonts w:cs="Calibri"/>
        </w:rPr>
        <w:t>součinnost zodpovědných pracovníků Objednatele v pracovní dny od 8.00 do 16.00 hodin, reakce pracovníků na výzvu k poskytnutí součinnosti je od 30 min. do 60 min.; součinnost v tomto čase je shodná pro online konzultaci, online součinnosti i umožnění fyzického přístupu k technologickému vybavení v prostorách objednatele</w:t>
      </w:r>
    </w:p>
    <w:p w14:paraId="77BAB041" w14:textId="77777777" w:rsidR="00552AD5" w:rsidRDefault="00E52CB0">
      <w:pPr>
        <w:numPr>
          <w:ilvl w:val="0"/>
          <w:numId w:val="7"/>
        </w:numPr>
        <w:rPr>
          <w:rFonts w:cs="Calibri"/>
        </w:rPr>
      </w:pPr>
      <w:r>
        <w:rPr>
          <w:rFonts w:cs="Calibri"/>
        </w:rPr>
        <w:t>povolení k přímé instalaci do produkčního prostředí bez testování v testovacím prostředí, kterou provádí pracovník Objednatele;</w:t>
      </w:r>
    </w:p>
    <w:p w14:paraId="5008A965" w14:textId="77777777" w:rsidR="00552AD5" w:rsidRDefault="00E52CB0">
      <w:pPr>
        <w:numPr>
          <w:ilvl w:val="0"/>
          <w:numId w:val="7"/>
        </w:numPr>
      </w:pPr>
      <w:r>
        <w:rPr>
          <w:rFonts w:cs="Calibri"/>
        </w:rPr>
        <w:t>dočasný plný vzdálený přístup k IT infrastruktuře pro řešení závady, práva budou přidělena pracovníky Objednatele po dohodě kontaktních nebo oprávněných osob.</w:t>
      </w:r>
    </w:p>
    <w:p w14:paraId="7757643A" w14:textId="77777777" w:rsidR="00552AD5" w:rsidRDefault="00E52CB0">
      <w:pPr>
        <w:pStyle w:val="Nadpis3"/>
        <w:ind w:left="0" w:firstLine="0"/>
        <w:rPr>
          <w:lang w:val="cs-CZ"/>
        </w:rPr>
      </w:pPr>
      <w:r>
        <w:t>Nebudou-li splněny nezbytné podmínky</w:t>
      </w:r>
      <w:r>
        <w:rPr>
          <w:lang w:val="cs-CZ"/>
        </w:rPr>
        <w:t xml:space="preserve"> pro součinnost ze strany objednatele uvedené v tomto článku</w:t>
      </w:r>
      <w:r>
        <w:t xml:space="preserve">, nelze ze strany </w:t>
      </w:r>
      <w:r>
        <w:rPr>
          <w:lang w:val="cs-CZ"/>
        </w:rPr>
        <w:t>poskytovatele</w:t>
      </w:r>
      <w:r>
        <w:t xml:space="preserve"> dodržet uvedené termíny k odstranění </w:t>
      </w:r>
      <w:r>
        <w:rPr>
          <w:lang w:val="cs-CZ"/>
        </w:rPr>
        <w:t>závady</w:t>
      </w:r>
      <w:r>
        <w:t xml:space="preserve"> (</w:t>
      </w:r>
      <w:proofErr w:type="spellStart"/>
      <w:r>
        <w:rPr>
          <w:lang w:val="cs-CZ"/>
        </w:rPr>
        <w:t>Service</w:t>
      </w:r>
      <w:proofErr w:type="spellEnd"/>
      <w:r>
        <w:rPr>
          <w:lang w:val="cs-CZ"/>
        </w:rPr>
        <w:t xml:space="preserve"> level </w:t>
      </w:r>
      <w:proofErr w:type="spellStart"/>
      <w:r>
        <w:rPr>
          <w:lang w:val="cs-CZ"/>
        </w:rPr>
        <w:t>agreement</w:t>
      </w:r>
      <w:proofErr w:type="spellEnd"/>
      <w:r>
        <w:t>)</w:t>
      </w:r>
      <w:r>
        <w:rPr>
          <w:lang w:val="cs-CZ"/>
        </w:rPr>
        <w:t xml:space="preserve"> </w:t>
      </w:r>
      <w:r>
        <w:t xml:space="preserve">a </w:t>
      </w:r>
      <w:r>
        <w:rPr>
          <w:lang w:val="cs-CZ"/>
        </w:rPr>
        <w:t>poskytovatele</w:t>
      </w:r>
      <w:r>
        <w:t xml:space="preserve"> nelze penalizovat sjednanými smluvními pokutami.</w:t>
      </w:r>
    </w:p>
    <w:p w14:paraId="6EACEB6B" w14:textId="77777777" w:rsidR="00552AD5" w:rsidRDefault="00E52CB0" w:rsidP="00A7371A">
      <w:pPr>
        <w:pStyle w:val="Nadpis1"/>
        <w:rPr>
          <w:lang w:val="cs-CZ"/>
        </w:rPr>
      </w:pPr>
      <w:bookmarkStart w:id="89" w:name="__RefHeading___Toc3909_93952133"/>
      <w:bookmarkStart w:id="90" w:name="_Toc212203605"/>
      <w:bookmarkStart w:id="91" w:name="_Toc230001194"/>
      <w:bookmarkEnd w:id="89"/>
      <w:r>
        <w:rPr>
          <w:lang w:val="cs-CZ"/>
        </w:rPr>
        <w:t>Výčet cen správy IT infrastruktury</w:t>
      </w:r>
      <w:bookmarkEnd w:id="90"/>
      <w:bookmarkEnd w:id="91"/>
    </w:p>
    <w:p w14:paraId="7AD06CDE" w14:textId="77777777" w:rsidR="00552AD5" w:rsidRDefault="00E52CB0">
      <w:pPr>
        <w:pStyle w:val="Nadpis3"/>
        <w:ind w:left="0" w:firstLine="0"/>
      </w:pPr>
      <w:r>
        <w:rPr>
          <w:lang w:val="cs-CZ"/>
        </w:rPr>
        <w:t xml:space="preserve">Objednatel se poskytovateli zavazuje plnit na základě této smlouvy za řádně poskytnuté služby dle článku 1. „Rozsah správy IT infrastruktury“ této přílohy č. 1 této smlouvy tyto finanční prostředky. </w:t>
      </w:r>
    </w:p>
    <w:tbl>
      <w:tblPr>
        <w:tblW w:w="8897" w:type="dxa"/>
        <w:tblLayout w:type="fixed"/>
        <w:tblLook w:val="0000" w:firstRow="0" w:lastRow="0" w:firstColumn="0" w:lastColumn="0" w:noHBand="0" w:noVBand="0"/>
      </w:tblPr>
      <w:tblGrid>
        <w:gridCol w:w="4644"/>
        <w:gridCol w:w="4253"/>
      </w:tblGrid>
      <w:tr w:rsidR="00552AD5" w14:paraId="7A9472B5" w14:textId="77777777">
        <w:trPr>
          <w:trHeight w:val="840"/>
        </w:trPr>
        <w:tc>
          <w:tcPr>
            <w:tcW w:w="4644" w:type="dxa"/>
            <w:tcBorders>
              <w:top w:val="single" w:sz="12" w:space="0" w:color="000000"/>
              <w:left w:val="single" w:sz="12" w:space="0" w:color="000000"/>
              <w:bottom w:val="single" w:sz="4" w:space="0" w:color="000000"/>
              <w:right w:val="single" w:sz="4" w:space="0" w:color="000000"/>
            </w:tcBorders>
            <w:vAlign w:val="center"/>
          </w:tcPr>
          <w:p w14:paraId="28ED6A60" w14:textId="77777777" w:rsidR="00552AD5" w:rsidRDefault="00E52CB0">
            <w:pPr>
              <w:spacing w:after="0" w:line="240" w:lineRule="auto"/>
              <w:jc w:val="center"/>
            </w:pPr>
            <w:r>
              <w:t>Označení služby podle této smlouvy</w:t>
            </w:r>
          </w:p>
        </w:tc>
        <w:tc>
          <w:tcPr>
            <w:tcW w:w="4253" w:type="dxa"/>
            <w:tcBorders>
              <w:top w:val="single" w:sz="12" w:space="0" w:color="000000"/>
              <w:left w:val="single" w:sz="4" w:space="0" w:color="000000"/>
              <w:bottom w:val="single" w:sz="4" w:space="0" w:color="000000"/>
              <w:right w:val="single" w:sz="12" w:space="0" w:color="000000"/>
            </w:tcBorders>
            <w:vAlign w:val="center"/>
          </w:tcPr>
          <w:p w14:paraId="3716A3BE" w14:textId="77777777" w:rsidR="00552AD5" w:rsidRDefault="00E52CB0">
            <w:pPr>
              <w:spacing w:after="0" w:line="240" w:lineRule="auto"/>
              <w:jc w:val="center"/>
            </w:pPr>
            <w:r>
              <w:rPr>
                <w:b/>
              </w:rPr>
              <w:t>Cena za správu IT infrastruktury za čtvrtletí v Kč bez DPH</w:t>
            </w:r>
          </w:p>
        </w:tc>
      </w:tr>
      <w:tr w:rsidR="00552AD5" w14:paraId="48D5A622" w14:textId="77777777">
        <w:tc>
          <w:tcPr>
            <w:tcW w:w="4644" w:type="dxa"/>
            <w:tcBorders>
              <w:top w:val="single" w:sz="12" w:space="0" w:color="000000"/>
              <w:left w:val="single" w:sz="12" w:space="0" w:color="000000"/>
              <w:bottom w:val="single" w:sz="4" w:space="0" w:color="000000"/>
              <w:right w:val="single" w:sz="4" w:space="0" w:color="000000"/>
            </w:tcBorders>
            <w:shd w:val="clear" w:color="auto" w:fill="B6DDE8"/>
          </w:tcPr>
          <w:p w14:paraId="2C017CEC" w14:textId="77777777" w:rsidR="00552AD5" w:rsidRDefault="00E52CB0">
            <w:pPr>
              <w:spacing w:after="0" w:line="240" w:lineRule="auto"/>
              <w:jc w:val="right"/>
            </w:pPr>
            <w:r>
              <w:t xml:space="preserve">Správa IT </w:t>
            </w:r>
            <w:proofErr w:type="gramStart"/>
            <w:r>
              <w:t xml:space="preserve">infrastruktury - </w:t>
            </w:r>
            <w:proofErr w:type="spellStart"/>
            <w:r>
              <w:t>HelpLine</w:t>
            </w:r>
            <w:proofErr w:type="spellEnd"/>
            <w:proofErr w:type="gramEnd"/>
          </w:p>
        </w:tc>
        <w:tc>
          <w:tcPr>
            <w:tcW w:w="4253" w:type="dxa"/>
            <w:tcBorders>
              <w:top w:val="single" w:sz="12" w:space="0" w:color="000000"/>
              <w:left w:val="single" w:sz="4" w:space="0" w:color="000000"/>
              <w:bottom w:val="single" w:sz="4" w:space="0" w:color="000000"/>
              <w:right w:val="single" w:sz="12" w:space="0" w:color="000000"/>
            </w:tcBorders>
            <w:shd w:val="clear" w:color="auto" w:fill="B6DDE8"/>
            <w:vAlign w:val="center"/>
          </w:tcPr>
          <w:p w14:paraId="50222441" w14:textId="2AB2125A" w:rsidR="00552AD5" w:rsidRDefault="009A247D">
            <w:pPr>
              <w:spacing w:after="0" w:line="240" w:lineRule="auto"/>
              <w:jc w:val="right"/>
            </w:pPr>
            <w:r>
              <w:rPr>
                <w:b/>
              </w:rPr>
              <w:t>15 150,-</w:t>
            </w:r>
          </w:p>
        </w:tc>
      </w:tr>
      <w:tr w:rsidR="00552AD5" w14:paraId="06BDF679" w14:textId="77777777">
        <w:tc>
          <w:tcPr>
            <w:tcW w:w="4644" w:type="dxa"/>
            <w:tcBorders>
              <w:left w:val="single" w:sz="12" w:space="0" w:color="000000"/>
              <w:bottom w:val="single" w:sz="4" w:space="0" w:color="000000"/>
              <w:right w:val="single" w:sz="4" w:space="0" w:color="000000"/>
            </w:tcBorders>
            <w:shd w:val="clear" w:color="auto" w:fill="B6DDE8"/>
          </w:tcPr>
          <w:p w14:paraId="47533BFF" w14:textId="77777777" w:rsidR="00552AD5" w:rsidRDefault="00E52CB0">
            <w:pPr>
              <w:spacing w:after="0" w:line="240" w:lineRule="auto"/>
              <w:jc w:val="right"/>
            </w:pPr>
            <w:r>
              <w:t xml:space="preserve">Správa IT </w:t>
            </w:r>
            <w:proofErr w:type="gramStart"/>
            <w:r>
              <w:t xml:space="preserve">infrastruktury - </w:t>
            </w:r>
            <w:proofErr w:type="spellStart"/>
            <w:r>
              <w:t>Maintenance</w:t>
            </w:r>
            <w:proofErr w:type="spellEnd"/>
            <w:proofErr w:type="gramEnd"/>
          </w:p>
        </w:tc>
        <w:tc>
          <w:tcPr>
            <w:tcW w:w="4253" w:type="dxa"/>
            <w:tcBorders>
              <w:left w:val="single" w:sz="4" w:space="0" w:color="000000"/>
              <w:bottom w:val="single" w:sz="4" w:space="0" w:color="000000"/>
              <w:right w:val="single" w:sz="12" w:space="0" w:color="000000"/>
            </w:tcBorders>
            <w:shd w:val="clear" w:color="auto" w:fill="B6DDE8"/>
            <w:vAlign w:val="center"/>
          </w:tcPr>
          <w:p w14:paraId="5F3170B7" w14:textId="6A93EA4D" w:rsidR="00552AD5" w:rsidRDefault="009A247D">
            <w:pPr>
              <w:spacing w:after="0" w:line="240" w:lineRule="auto"/>
              <w:jc w:val="right"/>
            </w:pPr>
            <w:r>
              <w:rPr>
                <w:b/>
              </w:rPr>
              <w:t>66 000,-</w:t>
            </w:r>
          </w:p>
        </w:tc>
      </w:tr>
      <w:tr w:rsidR="00552AD5" w14:paraId="4481BB9B" w14:textId="77777777">
        <w:tc>
          <w:tcPr>
            <w:tcW w:w="4644" w:type="dxa"/>
            <w:tcBorders>
              <w:left w:val="single" w:sz="12" w:space="0" w:color="000000"/>
              <w:bottom w:val="single" w:sz="12" w:space="0" w:color="000000"/>
              <w:right w:val="single" w:sz="4" w:space="0" w:color="000000"/>
            </w:tcBorders>
            <w:shd w:val="clear" w:color="auto" w:fill="B6DDE8"/>
          </w:tcPr>
          <w:p w14:paraId="40A53934" w14:textId="77777777" w:rsidR="00552AD5" w:rsidRDefault="00E52CB0">
            <w:pPr>
              <w:spacing w:after="0" w:line="240" w:lineRule="auto"/>
              <w:jc w:val="right"/>
            </w:pPr>
            <w:r>
              <w:t xml:space="preserve">Správa IT </w:t>
            </w:r>
            <w:proofErr w:type="gramStart"/>
            <w:r>
              <w:t>infrastruktury - Profylaxe</w:t>
            </w:r>
            <w:proofErr w:type="gramEnd"/>
          </w:p>
        </w:tc>
        <w:tc>
          <w:tcPr>
            <w:tcW w:w="4253" w:type="dxa"/>
            <w:tcBorders>
              <w:left w:val="single" w:sz="4" w:space="0" w:color="000000"/>
              <w:bottom w:val="single" w:sz="12" w:space="0" w:color="000000"/>
              <w:right w:val="single" w:sz="12" w:space="0" w:color="000000"/>
            </w:tcBorders>
            <w:shd w:val="clear" w:color="auto" w:fill="B6DDE8"/>
            <w:vAlign w:val="center"/>
          </w:tcPr>
          <w:p w14:paraId="1D90510A" w14:textId="00172A03" w:rsidR="00552AD5" w:rsidRDefault="009A247D">
            <w:pPr>
              <w:spacing w:after="0" w:line="240" w:lineRule="auto"/>
              <w:jc w:val="right"/>
            </w:pPr>
            <w:r>
              <w:rPr>
                <w:b/>
              </w:rPr>
              <w:t>52 500,-</w:t>
            </w:r>
          </w:p>
        </w:tc>
      </w:tr>
    </w:tbl>
    <w:p w14:paraId="40071462" w14:textId="77777777" w:rsidR="00552AD5" w:rsidRDefault="00E52CB0" w:rsidP="00A7371A">
      <w:pPr>
        <w:pStyle w:val="Nadpis1"/>
        <w:rPr>
          <w:lang w:val="cs-CZ"/>
        </w:rPr>
      </w:pPr>
      <w:bookmarkStart w:id="92" w:name="__RefHeading___Toc3911_93952133"/>
      <w:bookmarkStart w:id="93" w:name="_Toc212203606"/>
      <w:bookmarkStart w:id="94" w:name="_Toc230001195"/>
      <w:bookmarkEnd w:id="92"/>
      <w:r>
        <w:rPr>
          <w:lang w:val="cs-CZ"/>
        </w:rPr>
        <w:lastRenderedPageBreak/>
        <w:t>Podpora IT infrastruktury</w:t>
      </w:r>
      <w:bookmarkEnd w:id="93"/>
      <w:bookmarkEnd w:id="94"/>
    </w:p>
    <w:p w14:paraId="6AA5BCBB" w14:textId="77777777" w:rsidR="00552AD5" w:rsidRDefault="00E52CB0" w:rsidP="00A7371A">
      <w:pPr>
        <w:pStyle w:val="Nadpis2"/>
      </w:pPr>
      <w:bookmarkStart w:id="95" w:name="__RefHeading___Toc3913_93952133"/>
      <w:bookmarkStart w:id="96" w:name="_Toc212203607"/>
      <w:bookmarkStart w:id="97" w:name="_Toc230001196"/>
      <w:bookmarkEnd w:id="95"/>
      <w:r>
        <w:rPr>
          <w:lang w:val="cs-CZ"/>
        </w:rPr>
        <w:t>Rozsah a typ podpory IT infrastruktury</w:t>
      </w:r>
      <w:bookmarkEnd w:id="96"/>
      <w:bookmarkEnd w:id="97"/>
    </w:p>
    <w:p w14:paraId="7346368F" w14:textId="77777777" w:rsidR="00552AD5" w:rsidRDefault="00E52CB0">
      <w:pPr>
        <w:pStyle w:val="Nadpis3"/>
        <w:ind w:left="0" w:firstLine="0"/>
      </w:pPr>
      <w:r>
        <w:t xml:space="preserve">V rámci podpory IT infrastruktury poskytuje poskytovatel objednateli služby, které jsou svojí povahou nárazové či jednorázové a je možné je vyčíslit v podobě hodin odvedené práce specialistou poskytovatele mimo rámec služeb správy IT infrastruktury uvedených výše v této příloze smlouvy. </w:t>
      </w:r>
    </w:p>
    <w:p w14:paraId="67A809FA" w14:textId="77777777" w:rsidR="00552AD5" w:rsidRDefault="00E52CB0">
      <w:pPr>
        <w:pStyle w:val="Nadpis3"/>
        <w:ind w:left="0" w:firstLine="0"/>
        <w:rPr>
          <w:b/>
        </w:rPr>
      </w:pPr>
      <w:r>
        <w:t xml:space="preserve">Na podporu IT infrastruktury bude možné čerpat objednatelem </w:t>
      </w:r>
      <w:r>
        <w:rPr>
          <w:lang w:val="cs-CZ"/>
        </w:rPr>
        <w:t>služby níže uvedených pozic poskytovatele za níže uvedené jednotkové ceny</w:t>
      </w:r>
      <w:r>
        <w:t>.</w:t>
      </w:r>
    </w:p>
    <w:tbl>
      <w:tblPr>
        <w:tblW w:w="9288" w:type="dxa"/>
        <w:tblLayout w:type="fixed"/>
        <w:tblLook w:val="0000" w:firstRow="0" w:lastRow="0" w:firstColumn="0" w:lastColumn="0" w:noHBand="0" w:noVBand="0"/>
      </w:tblPr>
      <w:tblGrid>
        <w:gridCol w:w="2269"/>
        <w:gridCol w:w="3431"/>
        <w:gridCol w:w="3588"/>
      </w:tblGrid>
      <w:tr w:rsidR="00552AD5" w14:paraId="642A263E" w14:textId="77777777">
        <w:tc>
          <w:tcPr>
            <w:tcW w:w="2269" w:type="dxa"/>
            <w:tcBorders>
              <w:top w:val="single" w:sz="12" w:space="0" w:color="000000"/>
              <w:left w:val="single" w:sz="12" w:space="0" w:color="000000"/>
              <w:bottom w:val="single" w:sz="12" w:space="0" w:color="000000"/>
              <w:right w:val="single" w:sz="4" w:space="0" w:color="000000"/>
            </w:tcBorders>
            <w:vAlign w:val="center"/>
          </w:tcPr>
          <w:p w14:paraId="3493A9BE" w14:textId="77777777" w:rsidR="00552AD5" w:rsidRDefault="00E52CB0">
            <w:pPr>
              <w:spacing w:after="0" w:line="240" w:lineRule="auto"/>
              <w:jc w:val="center"/>
            </w:pPr>
            <w:r>
              <w:rPr>
                <w:b/>
              </w:rPr>
              <w:t>Sazba pozic poskytovatele</w:t>
            </w:r>
          </w:p>
        </w:tc>
        <w:tc>
          <w:tcPr>
            <w:tcW w:w="3431" w:type="dxa"/>
            <w:tcBorders>
              <w:top w:val="single" w:sz="12" w:space="0" w:color="000000"/>
              <w:left w:val="single" w:sz="4" w:space="0" w:color="000000"/>
              <w:bottom w:val="single" w:sz="12" w:space="0" w:color="000000"/>
              <w:right w:val="single" w:sz="4" w:space="0" w:color="000000"/>
            </w:tcBorders>
            <w:vAlign w:val="center"/>
          </w:tcPr>
          <w:p w14:paraId="1FE3A369" w14:textId="77777777" w:rsidR="00552AD5" w:rsidRDefault="00E52CB0">
            <w:pPr>
              <w:spacing w:after="0" w:line="240" w:lineRule="auto"/>
              <w:jc w:val="center"/>
            </w:pPr>
            <w:r>
              <w:rPr>
                <w:b/>
              </w:rPr>
              <w:t>Technický specialista</w:t>
            </w:r>
          </w:p>
        </w:tc>
        <w:tc>
          <w:tcPr>
            <w:tcW w:w="3588" w:type="dxa"/>
            <w:tcBorders>
              <w:top w:val="single" w:sz="12" w:space="0" w:color="000000"/>
              <w:left w:val="single" w:sz="4" w:space="0" w:color="000000"/>
              <w:bottom w:val="single" w:sz="12" w:space="0" w:color="000000"/>
              <w:right w:val="single" w:sz="12" w:space="0" w:color="000000"/>
            </w:tcBorders>
            <w:vAlign w:val="center"/>
          </w:tcPr>
          <w:p w14:paraId="7B00AE42" w14:textId="77777777" w:rsidR="00552AD5" w:rsidRDefault="00E52CB0">
            <w:pPr>
              <w:spacing w:after="0" w:line="240" w:lineRule="auto"/>
              <w:jc w:val="center"/>
            </w:pPr>
            <w:r>
              <w:rPr>
                <w:b/>
              </w:rPr>
              <w:t>Vedoucí projektu</w:t>
            </w:r>
          </w:p>
        </w:tc>
      </w:tr>
      <w:tr w:rsidR="00552AD5" w14:paraId="2F23A2AA" w14:textId="77777777">
        <w:tc>
          <w:tcPr>
            <w:tcW w:w="2269" w:type="dxa"/>
            <w:tcBorders>
              <w:top w:val="single" w:sz="12" w:space="0" w:color="000000"/>
              <w:left w:val="single" w:sz="12" w:space="0" w:color="000000"/>
              <w:bottom w:val="single" w:sz="4" w:space="0" w:color="000000"/>
              <w:right w:val="single" w:sz="4" w:space="0" w:color="000000"/>
            </w:tcBorders>
            <w:vAlign w:val="center"/>
          </w:tcPr>
          <w:p w14:paraId="4009F390" w14:textId="77777777" w:rsidR="00552AD5" w:rsidRDefault="00E52CB0">
            <w:pPr>
              <w:spacing w:after="0" w:line="240" w:lineRule="auto"/>
              <w:jc w:val="center"/>
            </w:pPr>
            <w:r>
              <w:t>Hodinová sazba v Kč bez DPH</w:t>
            </w:r>
          </w:p>
        </w:tc>
        <w:tc>
          <w:tcPr>
            <w:tcW w:w="3431" w:type="dxa"/>
            <w:tcBorders>
              <w:top w:val="single" w:sz="12" w:space="0" w:color="000000"/>
              <w:left w:val="single" w:sz="4" w:space="0" w:color="000000"/>
              <w:bottom w:val="single" w:sz="4" w:space="0" w:color="000000"/>
              <w:right w:val="single" w:sz="4" w:space="0" w:color="000000"/>
            </w:tcBorders>
            <w:vAlign w:val="center"/>
          </w:tcPr>
          <w:p w14:paraId="58D1A963" w14:textId="0FCCFD11" w:rsidR="00552AD5" w:rsidRDefault="006F7FE8">
            <w:pPr>
              <w:spacing w:after="0" w:line="240" w:lineRule="auto"/>
              <w:jc w:val="right"/>
            </w:pPr>
            <w:r>
              <w:t>87</w:t>
            </w:r>
            <w:r w:rsidR="003A5E04">
              <w:t>5,-</w:t>
            </w:r>
          </w:p>
        </w:tc>
        <w:tc>
          <w:tcPr>
            <w:tcW w:w="3588" w:type="dxa"/>
            <w:tcBorders>
              <w:top w:val="single" w:sz="12" w:space="0" w:color="000000"/>
              <w:left w:val="single" w:sz="4" w:space="0" w:color="000000"/>
              <w:bottom w:val="single" w:sz="4" w:space="0" w:color="000000"/>
              <w:right w:val="single" w:sz="12" w:space="0" w:color="000000"/>
            </w:tcBorders>
            <w:vAlign w:val="center"/>
          </w:tcPr>
          <w:p w14:paraId="7E5C1F24" w14:textId="087E7326" w:rsidR="00552AD5" w:rsidRDefault="00BD35C5">
            <w:pPr>
              <w:spacing w:after="0" w:line="240" w:lineRule="auto"/>
              <w:jc w:val="right"/>
            </w:pPr>
            <w:r>
              <w:t>1 2</w:t>
            </w:r>
            <w:r w:rsidR="00C451EB">
              <w:t>5</w:t>
            </w:r>
            <w:r>
              <w:t>0,-</w:t>
            </w:r>
          </w:p>
        </w:tc>
      </w:tr>
      <w:tr w:rsidR="00552AD5" w14:paraId="710690CD" w14:textId="77777777" w:rsidTr="004F62DC">
        <w:tc>
          <w:tcPr>
            <w:tcW w:w="2269" w:type="dxa"/>
            <w:tcBorders>
              <w:top w:val="single" w:sz="4" w:space="0" w:color="000000"/>
              <w:left w:val="single" w:sz="12" w:space="0" w:color="000000"/>
              <w:bottom w:val="single" w:sz="12" w:space="0" w:color="000000"/>
              <w:right w:val="single" w:sz="4" w:space="0" w:color="000000"/>
            </w:tcBorders>
            <w:vAlign w:val="center"/>
          </w:tcPr>
          <w:p w14:paraId="05240D88" w14:textId="77777777" w:rsidR="00552AD5" w:rsidRPr="004F62DC" w:rsidRDefault="00E52CB0">
            <w:pPr>
              <w:spacing w:after="0" w:line="240" w:lineRule="auto"/>
              <w:jc w:val="center"/>
            </w:pPr>
            <w:r w:rsidRPr="004F62DC">
              <w:t>Předpokládaný počet hodin ročně</w:t>
            </w:r>
          </w:p>
        </w:tc>
        <w:tc>
          <w:tcPr>
            <w:tcW w:w="3431" w:type="dxa"/>
            <w:tcBorders>
              <w:top w:val="single" w:sz="4" w:space="0" w:color="000000"/>
              <w:left w:val="single" w:sz="4" w:space="0" w:color="000000"/>
              <w:bottom w:val="single" w:sz="12" w:space="0" w:color="000000"/>
              <w:right w:val="single" w:sz="4" w:space="0" w:color="000000"/>
            </w:tcBorders>
            <w:vAlign w:val="center"/>
          </w:tcPr>
          <w:p w14:paraId="5327CF9B" w14:textId="06DD6DC4" w:rsidR="00552AD5" w:rsidRPr="004F62DC" w:rsidRDefault="00BD35C5">
            <w:pPr>
              <w:spacing w:after="0" w:line="240" w:lineRule="auto"/>
              <w:jc w:val="right"/>
            </w:pPr>
            <w:r w:rsidRPr="004F62DC">
              <w:t>240</w:t>
            </w:r>
          </w:p>
        </w:tc>
        <w:tc>
          <w:tcPr>
            <w:tcW w:w="3588" w:type="dxa"/>
            <w:tcBorders>
              <w:top w:val="single" w:sz="4" w:space="0" w:color="000000"/>
              <w:left w:val="single" w:sz="4" w:space="0" w:color="000000"/>
              <w:bottom w:val="single" w:sz="12" w:space="0" w:color="000000"/>
              <w:right w:val="single" w:sz="12" w:space="0" w:color="000000"/>
            </w:tcBorders>
            <w:vAlign w:val="center"/>
          </w:tcPr>
          <w:p w14:paraId="395445CD" w14:textId="77777777" w:rsidR="00552AD5" w:rsidRPr="004F62DC" w:rsidRDefault="00E52CB0">
            <w:pPr>
              <w:spacing w:after="0" w:line="240" w:lineRule="auto"/>
              <w:jc w:val="right"/>
            </w:pPr>
            <w:r w:rsidRPr="004F62DC">
              <w:t>10</w:t>
            </w:r>
          </w:p>
        </w:tc>
      </w:tr>
    </w:tbl>
    <w:p w14:paraId="23EE05AE" w14:textId="77777777" w:rsidR="00552AD5" w:rsidRDefault="00E52CB0">
      <w:pPr>
        <w:pStyle w:val="Nadpis3"/>
        <w:ind w:left="0" w:firstLine="0"/>
      </w:pPr>
      <w:r>
        <w:t xml:space="preserve">Objednatel </w:t>
      </w:r>
      <w:r>
        <w:rPr>
          <w:lang w:val="cs-CZ"/>
        </w:rPr>
        <w:t>poskytovateli</w:t>
      </w:r>
      <w:r>
        <w:t xml:space="preserve"> negarantuje žádné minimální odebrání hodin podpory IT infrastruktury. Požadavky objednatele k provedení podpory jsou přímo odvislé od potřeb, které vznikají v čase.</w:t>
      </w:r>
    </w:p>
    <w:p w14:paraId="7D5CABC4" w14:textId="77777777" w:rsidR="00552AD5" w:rsidRDefault="00E52CB0">
      <w:pPr>
        <w:pStyle w:val="Nadpis3"/>
        <w:ind w:left="0" w:firstLine="0"/>
        <w:rPr>
          <w:lang w:val="cs-CZ"/>
        </w:rPr>
      </w:pPr>
      <w:r>
        <w:t>Předpokládaný počet hodin jednotlivých pozic není počtem hodin maximálním.</w:t>
      </w:r>
    </w:p>
    <w:p w14:paraId="673669F3" w14:textId="77777777" w:rsidR="00552AD5" w:rsidRDefault="00E52CB0">
      <w:pPr>
        <w:pStyle w:val="Nadpis3"/>
        <w:ind w:left="0" w:firstLine="0"/>
      </w:pPr>
      <w:r>
        <w:rPr>
          <w:lang w:val="cs-CZ"/>
        </w:rPr>
        <w:t>Minimálním časovým rozsahem, který bude poskytovatelem na základě této smlouvy fakturován, je polovina hodiny.</w:t>
      </w:r>
    </w:p>
    <w:p w14:paraId="2D8B70E9" w14:textId="77777777" w:rsidR="00552AD5" w:rsidRDefault="00E52CB0">
      <w:pPr>
        <w:pStyle w:val="Nadpis3"/>
        <w:ind w:left="0" w:firstLine="0"/>
      </w:pPr>
      <w:r>
        <w:t>Ve výše uvedené tabulce uvedený počet hodin v Kč bez DPH za rok je rozsahem, který na základě této smlouvy</w:t>
      </w:r>
      <w:r>
        <w:rPr>
          <w:lang w:val="cs-CZ"/>
        </w:rPr>
        <w:t xml:space="preserve"> objednatel předpokládá </w:t>
      </w:r>
      <w:r>
        <w:t>čerpat.</w:t>
      </w:r>
      <w:r>
        <w:rPr>
          <w:lang w:val="cs-CZ"/>
        </w:rPr>
        <w:t xml:space="preserve"> Objednatel však nevylučuje, že v případě potřeby bude čerpat i rozsah širší, vždy však za dodržení platných legislativních pravidel.</w:t>
      </w:r>
    </w:p>
    <w:p w14:paraId="5977681F" w14:textId="77777777" w:rsidR="00552AD5" w:rsidRDefault="00E52CB0" w:rsidP="00A7371A">
      <w:pPr>
        <w:pStyle w:val="Nadpis2"/>
      </w:pPr>
      <w:bookmarkStart w:id="98" w:name="__RefHeading___Toc3915_93952133"/>
      <w:bookmarkStart w:id="99" w:name="_Toc212203608"/>
      <w:bookmarkStart w:id="100" w:name="_Toc230001197"/>
      <w:bookmarkEnd w:id="98"/>
      <w:r>
        <w:t>Předmět podpory IT infrastruktury</w:t>
      </w:r>
      <w:bookmarkEnd w:id="99"/>
      <w:bookmarkEnd w:id="100"/>
    </w:p>
    <w:p w14:paraId="54E2400E" w14:textId="77777777" w:rsidR="00552AD5" w:rsidRDefault="00E52CB0">
      <w:pPr>
        <w:pStyle w:val="Nadpis3"/>
        <w:ind w:left="0" w:firstLine="0"/>
      </w:pPr>
      <w:r>
        <w:t>Jedná se zejména o následující činnosti (výčet je demonstrativní a ve vztahu k IT infrastruktuře je připuštěno i poskytování obdobných služeb nebo služeb níže uvedeném výčtu blízkých):</w:t>
      </w:r>
    </w:p>
    <w:p w14:paraId="06C04E47" w14:textId="77777777" w:rsidR="00552AD5" w:rsidRDefault="00E52CB0">
      <w:pPr>
        <w:numPr>
          <w:ilvl w:val="0"/>
          <w:numId w:val="4"/>
        </w:numPr>
        <w:rPr>
          <w:lang w:val="x-none"/>
        </w:rPr>
      </w:pPr>
      <w:r>
        <w:rPr>
          <w:lang w:val="x-none"/>
        </w:rPr>
        <w:t>instalace a konfigurace nových technologií nasazovaných do IT infrastruktury</w:t>
      </w:r>
    </w:p>
    <w:p w14:paraId="1A87B091" w14:textId="77777777" w:rsidR="00552AD5" w:rsidRDefault="00E52CB0">
      <w:pPr>
        <w:numPr>
          <w:ilvl w:val="0"/>
          <w:numId w:val="4"/>
        </w:numPr>
        <w:rPr>
          <w:lang w:val="x-none"/>
        </w:rPr>
      </w:pPr>
      <w:r>
        <w:rPr>
          <w:lang w:val="x-none"/>
        </w:rPr>
        <w:t>reakce na oznámenou vadu objednatelem v rámci služby správa IT infrastruktury v případě, že oznámená vada objednatelem nebude vadou, ale vlastností nebo důsledkem stávající konfigurace, provede poskytovatel zpracování návrhu řešení problematiky</w:t>
      </w:r>
    </w:p>
    <w:p w14:paraId="628D7C0C" w14:textId="77777777" w:rsidR="00552AD5" w:rsidRDefault="00E52CB0">
      <w:pPr>
        <w:numPr>
          <w:ilvl w:val="0"/>
          <w:numId w:val="4"/>
        </w:numPr>
        <w:rPr>
          <w:lang w:val="x-none"/>
        </w:rPr>
      </w:pPr>
      <w:r>
        <w:rPr>
          <w:lang w:val="x-none"/>
        </w:rPr>
        <w:t xml:space="preserve">provádění rekonfigurace IT infrastruktury založené na specifickém požadavku objednatele (nesmí se jednat o stejnou službu jako v případě služby správy IT infrastruktury v části </w:t>
      </w:r>
      <w:proofErr w:type="spellStart"/>
      <w:r>
        <w:rPr>
          <w:lang w:val="x-none"/>
        </w:rPr>
        <w:t>maintenance</w:t>
      </w:r>
      <w:proofErr w:type="spellEnd"/>
      <w:r>
        <w:rPr>
          <w:lang w:val="x-none"/>
        </w:rPr>
        <w:t xml:space="preserve"> v podobě instalace nových verzí apod.)</w:t>
      </w:r>
    </w:p>
    <w:p w14:paraId="68DCBC3D" w14:textId="77777777" w:rsidR="00552AD5" w:rsidRDefault="00E52CB0">
      <w:pPr>
        <w:numPr>
          <w:ilvl w:val="0"/>
          <w:numId w:val="4"/>
        </w:numPr>
        <w:rPr>
          <w:lang w:val="x-none"/>
        </w:rPr>
      </w:pPr>
      <w:r>
        <w:rPr>
          <w:lang w:val="x-none"/>
        </w:rPr>
        <w:t>poskytování školení k provedeným úpravám IT infrastruktury</w:t>
      </w:r>
    </w:p>
    <w:p w14:paraId="772E4EDE" w14:textId="77777777" w:rsidR="00552AD5" w:rsidRDefault="00E52CB0">
      <w:pPr>
        <w:numPr>
          <w:ilvl w:val="0"/>
          <w:numId w:val="4"/>
        </w:numPr>
        <w:rPr>
          <w:lang w:val="x-none"/>
        </w:rPr>
      </w:pPr>
      <w:r>
        <w:rPr>
          <w:lang w:val="x-none"/>
        </w:rPr>
        <w:lastRenderedPageBreak/>
        <w:t>navrhování optimalizace a rozšiřování IT infrastruktury</w:t>
      </w:r>
    </w:p>
    <w:p w14:paraId="46948B44" w14:textId="77777777" w:rsidR="00552AD5" w:rsidRDefault="00E52CB0">
      <w:pPr>
        <w:numPr>
          <w:ilvl w:val="0"/>
          <w:numId w:val="4"/>
        </w:numPr>
        <w:rPr>
          <w:lang w:val="x-none"/>
        </w:rPr>
      </w:pPr>
      <w:r>
        <w:rPr>
          <w:lang w:val="x-none"/>
        </w:rPr>
        <w:t>navrhování doporučení bezpečnostních opatření nad mimo rámec správy IT infrastruktury s ní souvisejících</w:t>
      </w:r>
    </w:p>
    <w:p w14:paraId="4BAF89D7" w14:textId="77777777" w:rsidR="00552AD5" w:rsidRDefault="00E52CB0">
      <w:pPr>
        <w:numPr>
          <w:ilvl w:val="0"/>
          <w:numId w:val="4"/>
        </w:numPr>
        <w:rPr>
          <w:lang w:val="x-none"/>
        </w:rPr>
      </w:pPr>
      <w:r>
        <w:rPr>
          <w:lang w:val="x-none"/>
        </w:rPr>
        <w:t>jednorázové konfigurační a odborné služby k technologiím mimo správu IT infrastruktury vyžádané objednatelem (typicky další databázový server, který není zařazen mezi technologie v rámci správy IT infrastruktury)</w:t>
      </w:r>
    </w:p>
    <w:p w14:paraId="2847EAA7" w14:textId="77777777" w:rsidR="00552AD5" w:rsidRDefault="00E52CB0">
      <w:pPr>
        <w:numPr>
          <w:ilvl w:val="0"/>
          <w:numId w:val="4"/>
        </w:numPr>
        <w:rPr>
          <w:lang w:val="x-none"/>
        </w:rPr>
      </w:pPr>
      <w:r>
        <w:rPr>
          <w:lang w:val="x-none"/>
        </w:rPr>
        <w:t>konfigurace logovacích systémů a systémů SIEM pracujícími s logy ze spravované infrastruktury</w:t>
      </w:r>
    </w:p>
    <w:p w14:paraId="6A01D192" w14:textId="77777777" w:rsidR="00552AD5" w:rsidRDefault="00E52CB0">
      <w:pPr>
        <w:numPr>
          <w:ilvl w:val="0"/>
          <w:numId w:val="4"/>
        </w:numPr>
      </w:pPr>
      <w:r>
        <w:rPr>
          <w:lang w:val="x-none"/>
        </w:rPr>
        <w:t xml:space="preserve">provádění podpory a činností obnovy systémů a dat z důvodu výpadku, chyby nebo kybernetické bezpečnostní události </w:t>
      </w:r>
    </w:p>
    <w:p w14:paraId="62D1C420" w14:textId="77777777" w:rsidR="00552AD5" w:rsidRDefault="00E52CB0" w:rsidP="00A7371A">
      <w:pPr>
        <w:pStyle w:val="Nadpis2"/>
      </w:pPr>
      <w:bookmarkStart w:id="101" w:name="__RefHeading___Toc3917_93952133"/>
      <w:bookmarkStart w:id="102" w:name="_Toc212203609"/>
      <w:bookmarkStart w:id="103" w:name="_Toc230001198"/>
      <w:bookmarkEnd w:id="101"/>
      <w:r>
        <w:rPr>
          <w:lang w:val="cs-CZ"/>
        </w:rPr>
        <w:t>Objednávka podpory IT infrastruktury</w:t>
      </w:r>
      <w:bookmarkEnd w:id="102"/>
      <w:bookmarkEnd w:id="103"/>
    </w:p>
    <w:p w14:paraId="245DE3A8" w14:textId="77777777" w:rsidR="00552AD5" w:rsidRDefault="00E52CB0">
      <w:pPr>
        <w:pStyle w:val="Nadpis3"/>
        <w:ind w:left="0" w:firstLine="0"/>
      </w:pPr>
      <w:r>
        <w:t xml:space="preserve">Na popsaný předmět podpory IT infrastruktury odešle objednatel </w:t>
      </w:r>
      <w:r>
        <w:rPr>
          <w:lang w:val="cs-CZ"/>
        </w:rPr>
        <w:t>poskytovateli</w:t>
      </w:r>
      <w:r>
        <w:t xml:space="preserve"> předběžnou objednávku s uvedením typu požadované podpory.</w:t>
      </w:r>
    </w:p>
    <w:p w14:paraId="40F36A50" w14:textId="77777777" w:rsidR="00552AD5" w:rsidRDefault="00E52CB0">
      <w:pPr>
        <w:pStyle w:val="Nadpis3"/>
        <w:ind w:left="0" w:firstLine="0"/>
      </w:pPr>
      <w:r>
        <w:t xml:space="preserve">Do 10 kalendářních dnů zpracuje </w:t>
      </w:r>
      <w:r>
        <w:rPr>
          <w:lang w:val="cs-CZ"/>
        </w:rPr>
        <w:t>poskytovatel</w:t>
      </w:r>
      <w:r>
        <w:t xml:space="preserve"> odhadovaný rozsah pracnosti v hodinách a ten odešle objednateli k odsouhlasení, případně k jednání o rozsahu služeb a o hodinovém rozsahu.</w:t>
      </w:r>
      <w:r>
        <w:rPr>
          <w:lang w:val="cs-CZ"/>
        </w:rPr>
        <w:t xml:space="preserve"> Součástí odhadovaného rozsahu pracnosti bude vždy rozklad úkonů prováděných jednotlivými pozicemi poskytovatele a věcný popis těchto úkonů.</w:t>
      </w:r>
    </w:p>
    <w:p w14:paraId="55426770" w14:textId="77777777" w:rsidR="00552AD5" w:rsidRDefault="00E52CB0">
      <w:pPr>
        <w:pStyle w:val="Nadpis3"/>
        <w:ind w:left="0" w:firstLine="0"/>
        <w:rPr>
          <w:lang w:val="cs-CZ"/>
        </w:rPr>
      </w:pPr>
      <w:r>
        <w:t xml:space="preserve">Na základě smluvními stranami dohodnutého předmětu podpory a hodinového rozsahu čerpání odešle objednatel </w:t>
      </w:r>
      <w:r>
        <w:rPr>
          <w:lang w:val="cs-CZ"/>
        </w:rPr>
        <w:t>poskytovateli</w:t>
      </w:r>
      <w:r>
        <w:t xml:space="preserve"> objednávku na provedení požadovaných služeb.</w:t>
      </w:r>
    </w:p>
    <w:p w14:paraId="6F870E7F" w14:textId="77777777" w:rsidR="00552AD5" w:rsidRDefault="00E52CB0" w:rsidP="00A7371A">
      <w:pPr>
        <w:pStyle w:val="Nadpis2"/>
        <w:rPr>
          <w:lang w:val="cs-CZ"/>
        </w:rPr>
      </w:pPr>
      <w:bookmarkStart w:id="104" w:name="__RefHeading___Toc3919_93952133"/>
      <w:bookmarkStart w:id="105" w:name="_Toc212203610"/>
      <w:bookmarkStart w:id="106" w:name="_Toc230001199"/>
      <w:bookmarkEnd w:id="104"/>
      <w:r>
        <w:rPr>
          <w:lang w:val="cs-CZ"/>
        </w:rPr>
        <w:t>Realizace podpory</w:t>
      </w:r>
      <w:bookmarkEnd w:id="105"/>
      <w:bookmarkEnd w:id="106"/>
    </w:p>
    <w:p w14:paraId="2B442409" w14:textId="77777777" w:rsidR="00552AD5" w:rsidRDefault="00E52CB0">
      <w:pPr>
        <w:pStyle w:val="Nadpis3"/>
        <w:ind w:left="0" w:firstLine="0"/>
      </w:pPr>
      <w:r>
        <w:rPr>
          <w:lang w:val="cs-CZ"/>
        </w:rPr>
        <w:t>Poskytovatel</w:t>
      </w:r>
      <w:r>
        <w:t xml:space="preserve"> je povinen </w:t>
      </w:r>
      <w:proofErr w:type="spellStart"/>
      <w:r>
        <w:t>za</w:t>
      </w:r>
      <w:r>
        <w:rPr>
          <w:lang w:val="cs-CZ"/>
        </w:rPr>
        <w:t>po</w:t>
      </w:r>
      <w:proofErr w:type="spellEnd"/>
      <w:r>
        <w:t>čít práce na objednávce služeb podpory nejpozději do 14 kalendářní</w:t>
      </w:r>
      <w:r>
        <w:rPr>
          <w:lang w:val="cs-CZ"/>
        </w:rPr>
        <w:t>ch</w:t>
      </w:r>
      <w:r>
        <w:t xml:space="preserve"> dnů ode dne odeslání objednávky objednatelem a o zahájení prací informovat kontaktní osobu </w:t>
      </w:r>
      <w:r>
        <w:rPr>
          <w:lang w:val="cs-CZ"/>
        </w:rPr>
        <w:t>objednatele</w:t>
      </w:r>
      <w:r>
        <w:t>.</w:t>
      </w:r>
    </w:p>
    <w:p w14:paraId="70273785" w14:textId="77777777" w:rsidR="00552AD5" w:rsidRDefault="00E52CB0">
      <w:pPr>
        <w:pStyle w:val="Nadpis3"/>
        <w:ind w:left="0" w:firstLine="0"/>
      </w:pPr>
      <w:r>
        <w:t xml:space="preserve">V případě objednávky v rozsahu do 20ti hodin realizuje </w:t>
      </w:r>
      <w:r>
        <w:rPr>
          <w:lang w:val="cs-CZ"/>
        </w:rPr>
        <w:t>poskytovatel</w:t>
      </w:r>
      <w:r>
        <w:t xml:space="preserve"> úpravu obvykle do 30 kalendářních dnů ode dne odeslání objednávky objednatelem.</w:t>
      </w:r>
    </w:p>
    <w:p w14:paraId="2B89E9BF" w14:textId="77777777" w:rsidR="00552AD5" w:rsidRDefault="00E52CB0">
      <w:pPr>
        <w:pStyle w:val="Nadpis3"/>
        <w:ind w:left="0" w:firstLine="0"/>
        <w:rPr>
          <w:lang w:val="cs-CZ"/>
        </w:rPr>
      </w:pPr>
      <w:r>
        <w:t xml:space="preserve">V případě objednávky v rozsahu nad 20 hodin realizuje </w:t>
      </w:r>
      <w:r>
        <w:rPr>
          <w:lang w:val="cs-CZ"/>
        </w:rPr>
        <w:t>poskytovatel</w:t>
      </w:r>
      <w:r>
        <w:t xml:space="preserve"> úpravu obvykle do 60 kalendářních dnů ode dne odeslání objednávky objednatelem.</w:t>
      </w:r>
    </w:p>
    <w:p w14:paraId="64D904C0" w14:textId="77777777" w:rsidR="00552AD5" w:rsidRDefault="00E52CB0" w:rsidP="00A7371A">
      <w:pPr>
        <w:pStyle w:val="Nadpis2"/>
      </w:pPr>
      <w:bookmarkStart w:id="107" w:name="__RefHeading___Toc3921_93952133"/>
      <w:bookmarkStart w:id="108" w:name="_Toc212203611"/>
      <w:bookmarkStart w:id="109" w:name="_Toc230001200"/>
      <w:bookmarkEnd w:id="107"/>
      <w:r>
        <w:rPr>
          <w:lang w:val="cs-CZ"/>
        </w:rPr>
        <w:t>Společná ustanovení pro podporu IT infrastruktury</w:t>
      </w:r>
      <w:bookmarkEnd w:id="108"/>
      <w:bookmarkEnd w:id="109"/>
    </w:p>
    <w:p w14:paraId="749814B6" w14:textId="77777777" w:rsidR="00552AD5" w:rsidRDefault="00E52CB0">
      <w:pPr>
        <w:pStyle w:val="Nadpis3"/>
        <w:ind w:left="0" w:firstLine="0"/>
      </w:pPr>
      <w:r>
        <w:t>Smluvní strany mohou písemně dohodnout i jiné termíny počátku plnění a realizace služeb podpory a jejich provedení.</w:t>
      </w:r>
    </w:p>
    <w:p w14:paraId="095F7797" w14:textId="77777777" w:rsidR="00552AD5" w:rsidRDefault="00E52CB0">
      <w:pPr>
        <w:pStyle w:val="Nadpis3"/>
        <w:ind w:left="0" w:firstLine="0"/>
        <w:rPr>
          <w:lang w:val="cs-CZ"/>
        </w:rPr>
      </w:pPr>
      <w:r>
        <w:t xml:space="preserve">Veškerá komunikace týkající se rozsahu předmětu podpory, rozsahu pracnosti v hodinách a změn termínů (zahájení, skončení prací) bude realizována písemně (za písemnou formu se považuje i </w:t>
      </w:r>
      <w:r>
        <w:lastRenderedPageBreak/>
        <w:t>email mezi kontaktními osobami dle této smlouvy).</w:t>
      </w:r>
      <w:r>
        <w:rPr>
          <w:lang w:val="cs-CZ"/>
        </w:rPr>
        <w:t xml:space="preserve"> Iniciace objednávky musí být zanesena na HelpDesku poskytovatele, jedná se o rozhodný okamžik pro běh lhůt.</w:t>
      </w:r>
    </w:p>
    <w:p w14:paraId="2E7B9DDE" w14:textId="77777777" w:rsidR="00552AD5" w:rsidRDefault="00E52CB0">
      <w:pPr>
        <w:pStyle w:val="Nadpis3"/>
        <w:ind w:left="0" w:firstLine="0"/>
      </w:pPr>
      <w:r>
        <w:rPr>
          <w:lang w:val="cs-CZ"/>
        </w:rPr>
        <w:t>Ke komunikaci mezi smluvními stranami v rámci podpory jsou oprávněny kontaktní osoby obou smluvních stran.</w:t>
      </w:r>
    </w:p>
    <w:p w14:paraId="57642876" w14:textId="77777777" w:rsidR="00552AD5" w:rsidRDefault="00E52CB0">
      <w:pPr>
        <w:pStyle w:val="Nadpis3"/>
        <w:ind w:left="0" w:firstLine="0"/>
      </w:pPr>
      <w:r>
        <w:t>Za jednu hodinu služeb podpory je považována člověkohodina odborníka schopného samostatně analyzovat požadavek objednatele a fakticky provést úpravu.</w:t>
      </w:r>
    </w:p>
    <w:sectPr w:rsidR="00552AD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7D97" w14:textId="77777777" w:rsidR="005D406C" w:rsidRDefault="005D406C">
      <w:pPr>
        <w:spacing w:after="0" w:line="240" w:lineRule="auto"/>
      </w:pPr>
      <w:r>
        <w:separator/>
      </w:r>
    </w:p>
  </w:endnote>
  <w:endnote w:type="continuationSeparator" w:id="0">
    <w:p w14:paraId="0E8AC49A" w14:textId="77777777" w:rsidR="005D406C" w:rsidRDefault="005D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rlito">
    <w:altName w:val="Calibri"/>
    <w:charset w:val="EE"/>
    <w:family w:val="swiss"/>
    <w:pitch w:val="variable"/>
    <w:sig w:usb0="E10002FF" w:usb1="5000E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rlito;Calibri">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F137" w14:textId="77777777" w:rsidR="00552AD5" w:rsidRDefault="00552A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702E" w14:textId="77777777" w:rsidR="00552AD5" w:rsidRDefault="00E52CB0">
    <w:pPr>
      <w:pStyle w:val="Zpat"/>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4860" w14:textId="77777777" w:rsidR="00552AD5" w:rsidRDefault="00E52CB0">
    <w:pPr>
      <w:pStyle w:val="Zpat"/>
      <w:jc w:val="right"/>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E2B" w14:textId="77777777" w:rsidR="00552AD5" w:rsidRDefault="00552A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002F" w14:textId="77777777" w:rsidR="00552AD5" w:rsidRDefault="00E52CB0">
    <w:pPr>
      <w:pStyle w:val="Zpat"/>
      <w:jc w:val="right"/>
    </w:pPr>
    <w:r>
      <w:fldChar w:fldCharType="begin"/>
    </w:r>
    <w:r>
      <w:instrText xml:space="preserve"> PAGE </w:instrText>
    </w:r>
    <w:r>
      <w:fldChar w:fldCharType="separate"/>
    </w:r>
    <w: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3B36" w14:textId="77777777" w:rsidR="00552AD5" w:rsidRDefault="00E52CB0">
    <w:pPr>
      <w:pStyle w:val="Zpat"/>
      <w:jc w:val="right"/>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0CC4" w14:textId="77777777" w:rsidR="005D406C" w:rsidRDefault="005D406C">
      <w:pPr>
        <w:spacing w:after="0" w:line="240" w:lineRule="auto"/>
      </w:pPr>
      <w:r>
        <w:separator/>
      </w:r>
    </w:p>
  </w:footnote>
  <w:footnote w:type="continuationSeparator" w:id="0">
    <w:p w14:paraId="1DF2EC96" w14:textId="77777777" w:rsidR="005D406C" w:rsidRDefault="005D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6AA5" w14:textId="77777777" w:rsidR="00552AD5" w:rsidRDefault="00552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57BF" w14:textId="77777777" w:rsidR="00552AD5" w:rsidRDefault="00E52CB0">
    <w:pPr>
      <w:pStyle w:val="Zhlav"/>
      <w:pBdr>
        <w:bottom w:val="single" w:sz="4" w:space="1" w:color="000000"/>
      </w:pBdr>
      <w:jc w:val="center"/>
    </w:pPr>
    <w:r>
      <w:rPr>
        <w:i/>
        <w:sz w:val="20"/>
        <w:szCs w:val="20"/>
      </w:rPr>
      <w:t>Smlouva o poskytování služeb správy a podpory IT infrastruktury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6B7B" w14:textId="77777777" w:rsidR="00552AD5" w:rsidRDefault="00E52CB0">
    <w:pPr>
      <w:pStyle w:val="Zhlav"/>
      <w:pBdr>
        <w:bottom w:val="single" w:sz="4" w:space="1" w:color="000000"/>
      </w:pBdr>
      <w:jc w:val="center"/>
    </w:pPr>
    <w:r>
      <w:rPr>
        <w:i/>
        <w:sz w:val="20"/>
        <w:szCs w:val="20"/>
      </w:rPr>
      <w:t>Smlouva o poskytování služeb správy a podpory IT infrastruktury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094E" w14:textId="77777777" w:rsidR="00552AD5" w:rsidRDefault="00552A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16E1" w14:textId="77777777" w:rsidR="00552AD5" w:rsidRDefault="00E52CB0">
    <w:pPr>
      <w:pStyle w:val="Zhlav"/>
      <w:pBdr>
        <w:bottom w:val="single" w:sz="4" w:space="1" w:color="000000"/>
      </w:pBdr>
      <w:jc w:val="center"/>
    </w:pPr>
    <w:r>
      <w:rPr>
        <w:rFonts w:cs="Calibri"/>
        <w:i/>
        <w:sz w:val="20"/>
        <w:szCs w:val="20"/>
      </w:rPr>
      <w:t>Příloha č.1 Smlouvy o poskytování služeb správy a podpory IT infrastruktury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10CE" w14:textId="77777777" w:rsidR="00552AD5" w:rsidRDefault="00E52CB0">
    <w:pPr>
      <w:pStyle w:val="Zhlav"/>
      <w:pBdr>
        <w:bottom w:val="single" w:sz="4" w:space="1" w:color="000000"/>
      </w:pBdr>
      <w:jc w:val="center"/>
    </w:pPr>
    <w:r>
      <w:rPr>
        <w:rFonts w:cs="Calibri"/>
        <w:i/>
        <w:sz w:val="20"/>
        <w:szCs w:val="20"/>
      </w:rPr>
      <w:t>Příloha č.1 Smlouvy o poskytování služeb správy a podpory IT infrastruktury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720"/>
        </w:tabs>
        <w:ind w:left="720" w:hanging="360"/>
      </w:pPr>
      <w:rPr>
        <w:b w:val="0"/>
        <w:color w:val="000000"/>
      </w:rPr>
    </w:lvl>
  </w:abstractNum>
  <w:abstractNum w:abstractNumId="1" w15:restartNumberingAfterBreak="0">
    <w:nsid w:val="07585E2B"/>
    <w:multiLevelType w:val="multilevel"/>
    <w:tmpl w:val="AA446332"/>
    <w:lvl w:ilvl="0">
      <w:start w:val="1"/>
      <w:numFmt w:val="lowerLetter"/>
      <w:lvlText w:val="%1)"/>
      <w:lvlJc w:val="left"/>
      <w:pPr>
        <w:tabs>
          <w:tab w:val="num" w:pos="0"/>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372D1B"/>
    <w:multiLevelType w:val="multilevel"/>
    <w:tmpl w:val="68A8742A"/>
    <w:lvl w:ilvl="0">
      <w:start w:val="1"/>
      <w:numFmt w:val="decimal"/>
      <w:pStyle w:val="Nadpis1"/>
      <w:lvlText w:val="Čl. %1."/>
      <w:lvlJc w:val="left"/>
      <w:pPr>
        <w:tabs>
          <w:tab w:val="num" w:pos="0"/>
        </w:tabs>
        <w:ind w:left="964" w:hanging="964"/>
      </w:pPr>
    </w:lvl>
    <w:lvl w:ilvl="1">
      <w:start w:val="1"/>
      <w:numFmt w:val="decimal"/>
      <w:pStyle w:val="Nadpis2"/>
      <w:lvlText w:val="%1.%2."/>
      <w:lvlJc w:val="left"/>
      <w:pPr>
        <w:tabs>
          <w:tab w:val="num" w:pos="0"/>
        </w:tabs>
        <w:ind w:left="510" w:hanging="510"/>
      </w:pPr>
    </w:lvl>
    <w:lvl w:ilvl="2">
      <w:start w:val="1"/>
      <w:numFmt w:val="decimal"/>
      <w:pStyle w:val="Nadpis3"/>
      <w:lvlText w:val="%1.%2.%3."/>
      <w:lvlJc w:val="left"/>
      <w:pPr>
        <w:tabs>
          <w:tab w:val="num" w:pos="0"/>
        </w:tabs>
        <w:ind w:left="1004" w:hanging="720"/>
      </w:pPr>
      <w:rPr>
        <w:rFonts w:hint="default"/>
        <w:b w:val="0"/>
      </w:rPr>
    </w:lvl>
    <w:lvl w:ilvl="3">
      <w:start w:val="1"/>
      <w:numFmt w:val="decimal"/>
      <w:pStyle w:val="Nadpis4"/>
      <w:lvlText w:val="%1.%2.%3.%4"/>
      <w:lvlJc w:val="left"/>
      <w:pPr>
        <w:tabs>
          <w:tab w:val="num" w:pos="0"/>
        </w:tabs>
        <w:ind w:left="864" w:hanging="864"/>
      </w:pPr>
      <w:rPr>
        <w:rFonts w:hint="default"/>
      </w:rPr>
    </w:lvl>
    <w:lvl w:ilvl="4">
      <w:start w:val="1"/>
      <w:numFmt w:val="decimal"/>
      <w:pStyle w:val="Nadpis5"/>
      <w:lvlText w:val="%1.%2.%3.%4.%5"/>
      <w:lvlJc w:val="left"/>
      <w:pPr>
        <w:tabs>
          <w:tab w:val="num" w:pos="0"/>
        </w:tabs>
        <w:ind w:left="1008" w:hanging="1008"/>
      </w:pPr>
      <w:rPr>
        <w:rFonts w:hint="default"/>
      </w:rPr>
    </w:lvl>
    <w:lvl w:ilvl="5">
      <w:start w:val="1"/>
      <w:numFmt w:val="decimal"/>
      <w:pStyle w:val="Nadpis6"/>
      <w:lvlText w:val="%1.%2.%3.%4.%5.%6"/>
      <w:lvlJc w:val="left"/>
      <w:pPr>
        <w:tabs>
          <w:tab w:val="num" w:pos="0"/>
        </w:tabs>
        <w:ind w:left="1152" w:hanging="1152"/>
      </w:pPr>
      <w:rPr>
        <w:rFonts w:hint="default"/>
      </w:rPr>
    </w:lvl>
    <w:lvl w:ilvl="6">
      <w:start w:val="1"/>
      <w:numFmt w:val="decimal"/>
      <w:pStyle w:val="Nadpis7"/>
      <w:lvlText w:val="%1.%2.%3.%4.%5.%6.%7"/>
      <w:lvlJc w:val="left"/>
      <w:pPr>
        <w:tabs>
          <w:tab w:val="num" w:pos="0"/>
        </w:tabs>
        <w:ind w:left="1296" w:hanging="1296"/>
      </w:pPr>
      <w:rPr>
        <w:rFonts w:hint="default"/>
      </w:rPr>
    </w:lvl>
    <w:lvl w:ilvl="7">
      <w:start w:val="1"/>
      <w:numFmt w:val="decimal"/>
      <w:pStyle w:val="Nadpis8"/>
      <w:lvlText w:val="%1.%2.%3.%4.%5.%6.%7.%8"/>
      <w:lvlJc w:val="left"/>
      <w:pPr>
        <w:tabs>
          <w:tab w:val="num" w:pos="0"/>
        </w:tabs>
        <w:ind w:left="1440" w:hanging="1440"/>
      </w:pPr>
      <w:rPr>
        <w:rFonts w:hint="default"/>
      </w:rPr>
    </w:lvl>
    <w:lvl w:ilvl="8">
      <w:start w:val="1"/>
      <w:numFmt w:val="decimal"/>
      <w:pStyle w:val="Nadpis9"/>
      <w:lvlText w:val="%1.%2.%3.%4.%5.%6.%7.%8.%9"/>
      <w:lvlJc w:val="left"/>
      <w:pPr>
        <w:tabs>
          <w:tab w:val="num" w:pos="0"/>
        </w:tabs>
        <w:ind w:left="1584" w:hanging="1584"/>
      </w:pPr>
      <w:rPr>
        <w:rFonts w:hint="default"/>
      </w:rPr>
    </w:lvl>
  </w:abstractNum>
  <w:abstractNum w:abstractNumId="3" w15:restartNumberingAfterBreak="0">
    <w:nsid w:val="38E3272D"/>
    <w:multiLevelType w:val="multilevel"/>
    <w:tmpl w:val="575E0238"/>
    <w:lvl w:ilvl="0">
      <w:start w:val="1"/>
      <w:numFmt w:val="bullet"/>
      <w:lvlText w:val=""/>
      <w:lvlJc w:val="left"/>
      <w:pPr>
        <w:tabs>
          <w:tab w:val="num" w:pos="0"/>
        </w:tabs>
        <w:ind w:left="10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7D7BEE"/>
    <w:multiLevelType w:val="multilevel"/>
    <w:tmpl w:val="69F8B476"/>
    <w:lvl w:ilvl="0">
      <w:start w:val="1"/>
      <w:numFmt w:val="decimal"/>
      <w:lvlText w:val="Čl. %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1004" w:hanging="720"/>
      </w:pPr>
      <w:rPr>
        <w:rFonts w:hint="default"/>
        <w:b w:val="0"/>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51E9135D"/>
    <w:multiLevelType w:val="multilevel"/>
    <w:tmpl w:val="34204030"/>
    <w:lvl w:ilvl="0">
      <w:start w:val="1"/>
      <w:numFmt w:val="bullet"/>
      <w:lvlText w:val=""/>
      <w:lvlJc w:val="left"/>
      <w:pPr>
        <w:tabs>
          <w:tab w:val="num" w:pos="0"/>
        </w:tabs>
        <w:ind w:left="136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F9392C"/>
    <w:multiLevelType w:val="multilevel"/>
    <w:tmpl w:val="27D8F0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627854D9"/>
    <w:multiLevelType w:val="multilevel"/>
    <w:tmpl w:val="7CE26E52"/>
    <w:lvl w:ilvl="0">
      <w:start w:val="1"/>
      <w:numFmt w:val="bullet"/>
      <w:pStyle w:val="Pruka-Nadpis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BE61AF1"/>
    <w:multiLevelType w:val="multilevel"/>
    <w:tmpl w:val="66D8DADC"/>
    <w:lvl w:ilvl="0">
      <w:start w:val="1"/>
      <w:numFmt w:val="bullet"/>
      <w:lvlText w:val=""/>
      <w:lvlJc w:val="left"/>
      <w:pPr>
        <w:tabs>
          <w:tab w:val="num" w:pos="0"/>
        </w:tabs>
        <w:ind w:left="136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E526A28"/>
    <w:multiLevelType w:val="multilevel"/>
    <w:tmpl w:val="AC409DA2"/>
    <w:lvl w:ilvl="0">
      <w:start w:val="1"/>
      <w:numFmt w:val="bullet"/>
      <w:lvlText w:val=""/>
      <w:lvlJc w:val="left"/>
      <w:pPr>
        <w:tabs>
          <w:tab w:val="num" w:pos="0"/>
        </w:tabs>
        <w:ind w:left="10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1252943">
    <w:abstractNumId w:val="2"/>
  </w:num>
  <w:num w:numId="2" w16cid:durableId="1414626485">
    <w:abstractNumId w:val="1"/>
  </w:num>
  <w:num w:numId="3" w16cid:durableId="813569682">
    <w:abstractNumId w:val="8"/>
  </w:num>
  <w:num w:numId="4" w16cid:durableId="1475367287">
    <w:abstractNumId w:val="5"/>
  </w:num>
  <w:num w:numId="5" w16cid:durableId="1343509017">
    <w:abstractNumId w:val="7"/>
  </w:num>
  <w:num w:numId="6" w16cid:durableId="2020887924">
    <w:abstractNumId w:val="3"/>
  </w:num>
  <w:num w:numId="7" w16cid:durableId="285506635">
    <w:abstractNumId w:val="9"/>
  </w:num>
  <w:num w:numId="8" w16cid:durableId="306278312">
    <w:abstractNumId w:val="4"/>
  </w:num>
  <w:num w:numId="9" w16cid:durableId="1915580698">
    <w:abstractNumId w:val="6"/>
  </w:num>
  <w:num w:numId="10" w16cid:durableId="381752729">
    <w:abstractNumId w:val="0"/>
    <w:lvlOverride w:ilvl="0">
      <w:startOverride w:val="1"/>
    </w:lvlOverride>
  </w:num>
  <w:num w:numId="11" w16cid:durableId="1170950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058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192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D5"/>
    <w:rsid w:val="00036273"/>
    <w:rsid w:val="000B2F99"/>
    <w:rsid w:val="000E7256"/>
    <w:rsid w:val="00117D29"/>
    <w:rsid w:val="001302C2"/>
    <w:rsid w:val="00165E36"/>
    <w:rsid w:val="00182361"/>
    <w:rsid w:val="00192A03"/>
    <w:rsid w:val="0019658C"/>
    <w:rsid w:val="001D4621"/>
    <w:rsid w:val="001D546C"/>
    <w:rsid w:val="002461D3"/>
    <w:rsid w:val="00264718"/>
    <w:rsid w:val="002655F1"/>
    <w:rsid w:val="003451BC"/>
    <w:rsid w:val="00356388"/>
    <w:rsid w:val="003A5E04"/>
    <w:rsid w:val="003B16F1"/>
    <w:rsid w:val="00477769"/>
    <w:rsid w:val="0048092E"/>
    <w:rsid w:val="00494883"/>
    <w:rsid w:val="004B2993"/>
    <w:rsid w:val="004E7963"/>
    <w:rsid w:val="004F62DC"/>
    <w:rsid w:val="005020FD"/>
    <w:rsid w:val="00552AD5"/>
    <w:rsid w:val="005D406C"/>
    <w:rsid w:val="00665876"/>
    <w:rsid w:val="0069761B"/>
    <w:rsid w:val="006C6929"/>
    <w:rsid w:val="006E757F"/>
    <w:rsid w:val="006F7FE8"/>
    <w:rsid w:val="00794E2E"/>
    <w:rsid w:val="007C1E94"/>
    <w:rsid w:val="00853023"/>
    <w:rsid w:val="008A00DD"/>
    <w:rsid w:val="0090184E"/>
    <w:rsid w:val="009A0895"/>
    <w:rsid w:val="009A247D"/>
    <w:rsid w:val="009B1E08"/>
    <w:rsid w:val="00A27C47"/>
    <w:rsid w:val="00A70E48"/>
    <w:rsid w:val="00A7371A"/>
    <w:rsid w:val="00A74B9C"/>
    <w:rsid w:val="00AA1FC0"/>
    <w:rsid w:val="00AB1E61"/>
    <w:rsid w:val="00B039B3"/>
    <w:rsid w:val="00B373A2"/>
    <w:rsid w:val="00B7343A"/>
    <w:rsid w:val="00B90253"/>
    <w:rsid w:val="00B93ECD"/>
    <w:rsid w:val="00BA4068"/>
    <w:rsid w:val="00BA5D9A"/>
    <w:rsid w:val="00BD35C5"/>
    <w:rsid w:val="00BF6C96"/>
    <w:rsid w:val="00C11CD6"/>
    <w:rsid w:val="00C42B14"/>
    <w:rsid w:val="00C451EB"/>
    <w:rsid w:val="00CE0B83"/>
    <w:rsid w:val="00D06722"/>
    <w:rsid w:val="00D80642"/>
    <w:rsid w:val="00DB1010"/>
    <w:rsid w:val="00DD2FE3"/>
    <w:rsid w:val="00DE7E72"/>
    <w:rsid w:val="00E23CD0"/>
    <w:rsid w:val="00E50310"/>
    <w:rsid w:val="00E52CB0"/>
    <w:rsid w:val="00E54C29"/>
    <w:rsid w:val="00E80E64"/>
    <w:rsid w:val="00E96605"/>
    <w:rsid w:val="00EA6318"/>
    <w:rsid w:val="00F14386"/>
    <w:rsid w:val="00F52094"/>
    <w:rsid w:val="00FA30C0"/>
    <w:rsid w:val="00FB2D2C"/>
    <w:rsid w:val="00FF0E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B823"/>
  <w15:docId w15:val="{26FB683D-39C0-444F-8511-BECFE940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jc w:val="both"/>
    </w:pPr>
    <w:rPr>
      <w:rFonts w:ascii="Calibri" w:eastAsia="Calibri" w:hAnsi="Calibri"/>
      <w:sz w:val="22"/>
      <w:szCs w:val="22"/>
      <w:lang w:eastAsia="zh-CN"/>
    </w:rPr>
  </w:style>
  <w:style w:type="paragraph" w:styleId="Nadpis1">
    <w:name w:val="heading 1"/>
    <w:basedOn w:val="Normln"/>
    <w:next w:val="Normln"/>
    <w:qFormat/>
    <w:rsid w:val="00F52094"/>
    <w:pPr>
      <w:keepNext/>
      <w:numPr>
        <w:numId w:val="1"/>
      </w:numPr>
      <w:spacing w:before="240" w:after="60"/>
      <w:outlineLvl w:val="0"/>
    </w:pPr>
    <w:rPr>
      <w:rFonts w:ascii="Cambria" w:eastAsia="Times New Roman" w:hAnsi="Cambria" w:cs="Cambria"/>
      <w:b/>
      <w:bCs/>
      <w:kern w:val="2"/>
      <w:sz w:val="32"/>
      <w:szCs w:val="32"/>
      <w:lang w:val="x-none"/>
    </w:rPr>
  </w:style>
  <w:style w:type="paragraph" w:styleId="Nadpis2">
    <w:name w:val="heading 2"/>
    <w:basedOn w:val="Normln"/>
    <w:next w:val="Normln"/>
    <w:qFormat/>
    <w:rsid w:val="00794E2E"/>
    <w:pPr>
      <w:keepNext/>
      <w:numPr>
        <w:ilvl w:val="1"/>
        <w:numId w:val="1"/>
      </w:numPr>
      <w:spacing w:before="240" w:after="60"/>
      <w:outlineLvl w:val="1"/>
    </w:pPr>
    <w:rPr>
      <w:rFonts w:ascii="Cambria" w:eastAsia="Times New Roman" w:hAnsi="Cambria" w:cs="Cambria"/>
      <w:b/>
      <w:bCs/>
      <w:i/>
      <w:iCs/>
      <w:sz w:val="28"/>
      <w:szCs w:val="28"/>
      <w:lang w:val="x-none"/>
    </w:rPr>
  </w:style>
  <w:style w:type="paragraph" w:styleId="Nadpis3">
    <w:name w:val="heading 3"/>
    <w:basedOn w:val="Normln"/>
    <w:next w:val="Normln"/>
    <w:qFormat/>
    <w:pPr>
      <w:numPr>
        <w:ilvl w:val="2"/>
        <w:numId w:val="1"/>
      </w:numPr>
      <w:spacing w:before="240" w:after="60"/>
      <w:outlineLvl w:val="2"/>
    </w:pPr>
    <w:rPr>
      <w:rFonts w:eastAsia="Times New Roman"/>
      <w:bCs/>
      <w:szCs w:val="26"/>
      <w:lang w:val="x-none"/>
    </w:rPr>
  </w:style>
  <w:style w:type="paragraph" w:styleId="Nadpis4">
    <w:name w:val="heading 4"/>
    <w:basedOn w:val="Normln"/>
    <w:next w:val="Normln"/>
    <w:qFormat/>
    <w:pPr>
      <w:keepNext/>
      <w:numPr>
        <w:ilvl w:val="3"/>
        <w:numId w:val="1"/>
      </w:numPr>
      <w:spacing w:before="240" w:after="60"/>
      <w:outlineLvl w:val="3"/>
    </w:pPr>
    <w:rPr>
      <w:rFonts w:eastAsia="Times New Roman"/>
      <w:b/>
      <w:bCs/>
      <w:sz w:val="28"/>
      <w:szCs w:val="28"/>
      <w:lang w:val="x-none"/>
    </w:rPr>
  </w:style>
  <w:style w:type="paragraph" w:styleId="Nadpis5">
    <w:name w:val="heading 5"/>
    <w:basedOn w:val="Normln"/>
    <w:next w:val="Normln"/>
    <w:qFormat/>
    <w:pPr>
      <w:numPr>
        <w:ilvl w:val="4"/>
        <w:numId w:val="1"/>
      </w:numPr>
      <w:spacing w:before="240" w:after="60"/>
      <w:outlineLvl w:val="4"/>
    </w:pPr>
    <w:rPr>
      <w:rFonts w:eastAsia="Times New Roman"/>
      <w:b/>
      <w:bCs/>
      <w:i/>
      <w:iCs/>
      <w:sz w:val="26"/>
      <w:szCs w:val="26"/>
      <w:lang w:val="x-none"/>
    </w:rPr>
  </w:style>
  <w:style w:type="paragraph" w:styleId="Nadpis6">
    <w:name w:val="heading 6"/>
    <w:basedOn w:val="Normln"/>
    <w:next w:val="Normln"/>
    <w:qFormat/>
    <w:pPr>
      <w:numPr>
        <w:ilvl w:val="5"/>
        <w:numId w:val="1"/>
      </w:numPr>
      <w:spacing w:before="240" w:after="60"/>
      <w:outlineLvl w:val="5"/>
    </w:pPr>
    <w:rPr>
      <w:rFonts w:eastAsia="Times New Roman"/>
      <w:b/>
      <w:bCs/>
      <w:lang w:val="x-none"/>
    </w:rPr>
  </w:style>
  <w:style w:type="paragraph" w:styleId="Nadpis7">
    <w:name w:val="heading 7"/>
    <w:basedOn w:val="Normln"/>
    <w:next w:val="Normln"/>
    <w:qFormat/>
    <w:pPr>
      <w:numPr>
        <w:ilvl w:val="6"/>
        <w:numId w:val="1"/>
      </w:numPr>
      <w:spacing w:before="240" w:after="60"/>
      <w:outlineLvl w:val="6"/>
    </w:pPr>
    <w:rPr>
      <w:rFonts w:eastAsia="Times New Roman"/>
      <w:sz w:val="24"/>
      <w:szCs w:val="24"/>
      <w:lang w:val="x-none"/>
    </w:rPr>
  </w:style>
  <w:style w:type="paragraph" w:styleId="Nadpis8">
    <w:name w:val="heading 8"/>
    <w:basedOn w:val="Normln"/>
    <w:next w:val="Normln"/>
    <w:qFormat/>
    <w:pPr>
      <w:numPr>
        <w:ilvl w:val="7"/>
        <w:numId w:val="1"/>
      </w:numPr>
      <w:spacing w:before="240" w:after="60"/>
      <w:outlineLvl w:val="7"/>
    </w:pPr>
    <w:rPr>
      <w:rFonts w:eastAsia="Times New Roman"/>
      <w:i/>
      <w:iCs/>
      <w:sz w:val="24"/>
      <w:szCs w:val="24"/>
      <w:lang w:val="x-none"/>
    </w:rPr>
  </w:style>
  <w:style w:type="paragraph" w:styleId="Nadpis9">
    <w:name w:val="heading 9"/>
    <w:basedOn w:val="Normln"/>
    <w:next w:val="Normln"/>
    <w:qFormat/>
    <w:pPr>
      <w:numPr>
        <w:ilvl w:val="8"/>
        <w:numId w:val="1"/>
      </w:numPr>
      <w:spacing w:before="240" w:after="60"/>
      <w:outlineLvl w:val="8"/>
    </w:pPr>
    <w:rPr>
      <w:rFonts w:ascii="Cambria" w:eastAsia="Times New Roman" w:hAnsi="Cambria" w:cs="Cambria"/>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1">
    <w:name w:val="WW8Num1z1"/>
    <w:qFormat/>
    <w:rPr>
      <w:rFonts w:ascii="Times New Roman" w:hAnsi="Times New Roman" w:cs="Times New Roman"/>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0">
    <w:name w:val="WW8Num5z0"/>
    <w:qFormat/>
  </w:style>
  <w:style w:type="character" w:customStyle="1" w:styleId="WW8Num5z2">
    <w:name w:val="WW8Num5z2"/>
    <w:qFormat/>
    <w:rPr>
      <w:b w:val="0"/>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Standardnpsmoodstavce1">
    <w:name w:val="Standardní písmo odstavce1"/>
    <w:qFormat/>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Nadpis1Char">
    <w:name w:val="Nadpis 1 Char"/>
    <w:qFormat/>
    <w:rPr>
      <w:rFonts w:ascii="Cambria" w:eastAsia="Times New Roman" w:hAnsi="Cambria" w:cs="Cambria"/>
      <w:b/>
      <w:bCs/>
      <w:kern w:val="2"/>
      <w:sz w:val="32"/>
      <w:szCs w:val="32"/>
      <w:lang w:val="x-none"/>
    </w:rPr>
  </w:style>
  <w:style w:type="character" w:customStyle="1" w:styleId="Nadpis2Char">
    <w:name w:val="Nadpis 2 Char"/>
    <w:qFormat/>
    <w:rPr>
      <w:rFonts w:ascii="Cambria" w:eastAsia="Times New Roman" w:hAnsi="Cambria" w:cs="Cambria"/>
      <w:b/>
      <w:bCs/>
      <w:i/>
      <w:iCs/>
      <w:sz w:val="28"/>
      <w:szCs w:val="28"/>
      <w:lang w:val="x-none"/>
    </w:rPr>
  </w:style>
  <w:style w:type="character" w:customStyle="1" w:styleId="Nadpis3Char">
    <w:name w:val="Nadpis 3 Char"/>
    <w:qFormat/>
    <w:rPr>
      <w:rFonts w:eastAsia="Times New Roman"/>
      <w:bCs/>
      <w:sz w:val="22"/>
      <w:szCs w:val="26"/>
      <w:lang w:val="x-none"/>
    </w:rPr>
  </w:style>
  <w:style w:type="character" w:customStyle="1" w:styleId="Nadpis4Char">
    <w:name w:val="Nadpis 4 Char"/>
    <w:qFormat/>
    <w:rPr>
      <w:rFonts w:eastAsia="Times New Roman"/>
      <w:b/>
      <w:bCs/>
      <w:sz w:val="28"/>
      <w:szCs w:val="28"/>
      <w:lang w:val="x-none"/>
    </w:rPr>
  </w:style>
  <w:style w:type="character" w:customStyle="1" w:styleId="Nadpis5Char">
    <w:name w:val="Nadpis 5 Char"/>
    <w:qFormat/>
    <w:rPr>
      <w:rFonts w:eastAsia="Times New Roman"/>
      <w:b/>
      <w:bCs/>
      <w:i/>
      <w:iCs/>
      <w:sz w:val="26"/>
      <w:szCs w:val="26"/>
      <w:lang w:val="x-none"/>
    </w:rPr>
  </w:style>
  <w:style w:type="character" w:customStyle="1" w:styleId="Nadpis6Char">
    <w:name w:val="Nadpis 6 Char"/>
    <w:qFormat/>
    <w:rPr>
      <w:rFonts w:eastAsia="Times New Roman"/>
      <w:b/>
      <w:bCs/>
      <w:sz w:val="22"/>
      <w:szCs w:val="22"/>
      <w:lang w:val="x-none"/>
    </w:rPr>
  </w:style>
  <w:style w:type="character" w:customStyle="1" w:styleId="Nadpis7Char">
    <w:name w:val="Nadpis 7 Char"/>
    <w:qFormat/>
    <w:rPr>
      <w:rFonts w:eastAsia="Times New Roman"/>
      <w:sz w:val="24"/>
      <w:szCs w:val="24"/>
      <w:lang w:val="x-none"/>
    </w:rPr>
  </w:style>
  <w:style w:type="character" w:customStyle="1" w:styleId="Nadpis8Char">
    <w:name w:val="Nadpis 8 Char"/>
    <w:qFormat/>
    <w:rPr>
      <w:rFonts w:eastAsia="Times New Roman"/>
      <w:i/>
      <w:iCs/>
      <w:sz w:val="24"/>
      <w:szCs w:val="24"/>
      <w:lang w:val="x-none"/>
    </w:rPr>
  </w:style>
  <w:style w:type="character" w:customStyle="1" w:styleId="Nadpis9Char">
    <w:name w:val="Nadpis 9 Char"/>
    <w:qFormat/>
    <w:rPr>
      <w:rFonts w:ascii="Cambria" w:eastAsia="Times New Roman" w:hAnsi="Cambria" w:cs="Cambria"/>
      <w:sz w:val="22"/>
      <w:szCs w:val="22"/>
      <w:lang w:val="x-none"/>
    </w:rPr>
  </w:style>
  <w:style w:type="character" w:customStyle="1" w:styleId="normln0">
    <w:name w:val="normální"/>
    <w:qFormat/>
    <w:rPr>
      <w:rFonts w:ascii="Arial" w:hAnsi="Arial" w:cs="Arial"/>
    </w:rPr>
  </w:style>
  <w:style w:type="character" w:customStyle="1" w:styleId="MSTextnormlnChar">
    <w:name w:val="MS_Text normální Char"/>
    <w:qFormat/>
    <w:rPr>
      <w:rFonts w:eastAsia="Times New Roman"/>
    </w:rPr>
  </w:style>
  <w:style w:type="character" w:customStyle="1" w:styleId="CitaceChar">
    <w:name w:val="Citace Char"/>
    <w:qFormat/>
    <w:rPr>
      <w:i/>
      <w:iCs/>
      <w:color w:val="000000"/>
      <w:sz w:val="22"/>
      <w:szCs w:val="22"/>
    </w:rPr>
  </w:style>
  <w:style w:type="character" w:customStyle="1" w:styleId="ZkladntextodsazenChar">
    <w:name w:val="Základní text odsazený Char"/>
    <w:qFormat/>
    <w:rPr>
      <w:rFonts w:ascii="Times New Roman" w:hAnsi="Times New Roman" w:cs="Tahoma"/>
      <w:kern w:val="2"/>
      <w:sz w:val="24"/>
      <w:szCs w:val="24"/>
    </w:rPr>
  </w:style>
  <w:style w:type="character" w:customStyle="1" w:styleId="ListParagraphChar">
    <w:name w:val="List Paragraph Char"/>
    <w:qFormat/>
    <w:rPr>
      <w:sz w:val="24"/>
      <w:lang w:val="x-none"/>
    </w:rPr>
  </w:style>
  <w:style w:type="character" w:customStyle="1" w:styleId="ZkladntextChar">
    <w:name w:val="Základní text Char"/>
    <w:qFormat/>
    <w:rPr>
      <w:rFonts w:ascii="Times New Roman" w:hAnsi="Times New Roman" w:cs="Times New Roman"/>
      <w:sz w:val="22"/>
      <w:szCs w:val="24"/>
    </w:rPr>
  </w:style>
  <w:style w:type="character" w:customStyle="1" w:styleId="NadpispoznmkyChar">
    <w:name w:val="Nadpis poznámky Char"/>
    <w:qFormat/>
    <w:rPr>
      <w:rFonts w:ascii="Times New Roman" w:hAnsi="Times New Roman" w:cs="Times New Roman"/>
      <w:b/>
      <w:bCs/>
      <w:color w:val="000000"/>
      <w:sz w:val="18"/>
      <w:szCs w:val="18"/>
    </w:rPr>
  </w:style>
  <w:style w:type="character" w:customStyle="1" w:styleId="Zkladntext2Char">
    <w:name w:val="Základní text 2 Char"/>
    <w:qFormat/>
    <w:rPr>
      <w:sz w:val="22"/>
      <w:szCs w:val="22"/>
    </w:rPr>
  </w:style>
  <w:style w:type="character" w:customStyle="1" w:styleId="Zkladntextodsazen2Char">
    <w:name w:val="Základní text odsazený 2 Char"/>
    <w:qFormat/>
    <w:rPr>
      <w:sz w:val="22"/>
      <w:szCs w:val="22"/>
    </w:rPr>
  </w:style>
  <w:style w:type="character" w:styleId="Hypertextovodkaz">
    <w:name w:val="Hyperlink"/>
    <w:uiPriority w:val="99"/>
    <w:rPr>
      <w:color w:val="0000FF"/>
      <w:u w:val="single"/>
    </w:rPr>
  </w:style>
  <w:style w:type="character" w:customStyle="1" w:styleId="Odkaznakoment1">
    <w:name w:val="Odkaz na komentář1"/>
    <w:qFormat/>
    <w:rPr>
      <w:sz w:val="16"/>
      <w:szCs w:val="16"/>
    </w:rPr>
  </w:style>
  <w:style w:type="character" w:customStyle="1" w:styleId="TextkomenteChar">
    <w:name w:val="Text komentáře Char"/>
    <w:qFormat/>
  </w:style>
  <w:style w:type="character" w:customStyle="1" w:styleId="PedmtkomenteChar">
    <w:name w:val="Předmět komentáře Char"/>
    <w:qFormat/>
    <w:rPr>
      <w:b/>
      <w:bCs/>
    </w:rPr>
  </w:style>
  <w:style w:type="character" w:customStyle="1" w:styleId="TextbublinyChar">
    <w:name w:val="Text bubliny Char"/>
    <w:qFormat/>
    <w:rPr>
      <w:rFonts w:ascii="Tahoma" w:hAnsi="Tahoma" w:cs="Tahoma"/>
      <w:sz w:val="16"/>
      <w:szCs w:val="16"/>
    </w:rPr>
  </w:style>
  <w:style w:type="character" w:styleId="Zmnka">
    <w:name w:val="Mention"/>
    <w:qFormat/>
    <w:rPr>
      <w:color w:val="2B579A"/>
      <w:shd w:val="clear" w:color="auto" w:fill="E6E6E6"/>
    </w:rPr>
  </w:style>
  <w:style w:type="character" w:customStyle="1" w:styleId="Odrky">
    <w:name w:val="Odrážky"/>
    <w:qFormat/>
    <w:rPr>
      <w:rFonts w:ascii="OpenSymbol" w:eastAsia="OpenSymbol" w:hAnsi="OpenSymbol" w:cs="OpenSymbol"/>
    </w:rPr>
  </w:style>
  <w:style w:type="character" w:customStyle="1" w:styleId="TextkomenteChar1">
    <w:name w:val="Text komentáře Char1"/>
    <w:basedOn w:val="Standardnpsmoodstavce"/>
    <w:link w:val="Textkomente"/>
    <w:uiPriority w:val="99"/>
    <w:qFormat/>
    <w:rPr>
      <w:rFonts w:ascii="Calibri" w:eastAsia="Calibri" w:hAnsi="Calibri"/>
      <w:lang w:eastAsia="zh-CN"/>
    </w:rPr>
  </w:style>
  <w:style w:type="character" w:styleId="Odkaznakoment">
    <w:name w:val="annotation reference"/>
    <w:basedOn w:val="Standardnpsmoodstavce"/>
    <w:uiPriority w:val="99"/>
    <w:semiHidden/>
    <w:unhideWhenUsed/>
    <w:qFormat/>
    <w:rPr>
      <w:sz w:val="16"/>
      <w:szCs w:val="16"/>
    </w:rPr>
  </w:style>
  <w:style w:type="character" w:customStyle="1" w:styleId="Odkaznarejstkuser">
    <w:name w:val="Odkaz na rejstřík (user)"/>
    <w:qFormat/>
  </w:style>
  <w:style w:type="character" w:styleId="slodku">
    <w:name w:val="line numbe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20" w:line="240" w:lineRule="auto"/>
      <w:jc w:val="left"/>
    </w:pPr>
    <w:rPr>
      <w:rFonts w:ascii="Times New Roman" w:hAnsi="Times New Roman"/>
      <w:szCs w:val="24"/>
      <w:lang w:val="x-none"/>
    </w:rPr>
  </w:style>
  <w:style w:type="paragraph" w:styleId="Seznam">
    <w:name w:val="List"/>
    <w:basedOn w:val="Normln"/>
    <w:pPr>
      <w:spacing w:before="60" w:after="0" w:line="240" w:lineRule="auto"/>
      <w:ind w:left="283" w:hanging="283"/>
    </w:pPr>
    <w:rPr>
      <w:rFonts w:ascii="Times New Roman" w:eastAsia="Times New Roman" w:hAnsi="Times New Roman"/>
      <w:kern w:val="2"/>
      <w:sz w:val="24"/>
      <w:szCs w:val="24"/>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customStyle="1" w:styleId="Nadpisuser">
    <w:name w:val="Nadpis (user)"/>
    <w:basedOn w:val="Normln"/>
    <w:next w:val="Zkladntext"/>
    <w:qFormat/>
    <w:pPr>
      <w:keepNext/>
      <w:spacing w:before="240" w:after="120"/>
    </w:pPr>
    <w:rPr>
      <w:rFonts w:ascii="Carlito" w:eastAsia="Noto Sans CJK SC" w:hAnsi="Carlito" w:cs="Noto Sans Devanagari"/>
      <w:sz w:val="28"/>
      <w:szCs w:val="28"/>
    </w:rPr>
  </w:style>
  <w:style w:type="paragraph" w:customStyle="1" w:styleId="Rejstkuser">
    <w:name w:val="Rejstřík (user)"/>
    <w:basedOn w:val="Normln"/>
    <w:qFormat/>
    <w:pPr>
      <w:suppressLineNumbers/>
    </w:pPr>
    <w:rPr>
      <w:rFonts w:ascii="Carlito" w:hAnsi="Carlito" w:cs="Noto Sans Devanagari"/>
    </w:rPr>
  </w:style>
  <w:style w:type="paragraph" w:customStyle="1" w:styleId="Zhlavazpat">
    <w:name w:val="Záhlaví a zápatí"/>
    <w:basedOn w:val="Normln"/>
    <w:qFormat/>
    <w:pPr>
      <w:suppressLineNumbers/>
      <w:tabs>
        <w:tab w:val="center" w:pos="4819"/>
        <w:tab w:val="right" w:pos="9638"/>
      </w:tabs>
    </w:pPr>
  </w:style>
  <w:style w:type="paragraph" w:customStyle="1" w:styleId="Zhlavazpatuser">
    <w:name w:val="Záhlaví a zápatí (user)"/>
    <w:basedOn w:val="Normln"/>
    <w:qFormat/>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strany">
    <w:name w:val="strany"/>
    <w:basedOn w:val="Normln"/>
    <w:qFormat/>
    <w:pPr>
      <w:keepLines/>
      <w:tabs>
        <w:tab w:val="left" w:pos="2552"/>
        <w:tab w:val="left" w:pos="6237"/>
        <w:tab w:val="right" w:pos="9639"/>
      </w:tabs>
      <w:spacing w:after="120" w:line="240" w:lineRule="auto"/>
    </w:pPr>
    <w:rPr>
      <w:rFonts w:ascii="Arial Narrow" w:eastAsia="Times New Roman" w:hAnsi="Arial Narrow" w:cs="Arial Narrow"/>
      <w:spacing w:val="4"/>
      <w:szCs w:val="20"/>
    </w:rPr>
  </w:style>
  <w:style w:type="paragraph" w:customStyle="1" w:styleId="strany1">
    <w:name w:val="strany1"/>
    <w:basedOn w:val="Normln"/>
    <w:qFormat/>
    <w:pPr>
      <w:keepLines/>
      <w:tabs>
        <w:tab w:val="left" w:pos="2552"/>
        <w:tab w:val="left" w:pos="6237"/>
        <w:tab w:val="right" w:pos="9639"/>
      </w:tabs>
      <w:spacing w:after="20" w:line="240" w:lineRule="auto"/>
    </w:pPr>
    <w:rPr>
      <w:rFonts w:ascii="Arial Narrow" w:eastAsia="Times New Roman" w:hAnsi="Arial Narrow" w:cs="Arial Narrow"/>
      <w:spacing w:val="4"/>
      <w:szCs w:val="20"/>
    </w:rPr>
  </w:style>
  <w:style w:type="paragraph" w:customStyle="1" w:styleId="NADPIS10">
    <w:name w:val="NADPIS 1"/>
    <w:basedOn w:val="Normln"/>
    <w:qFormat/>
    <w:pPr>
      <w:spacing w:before="240" w:after="240" w:line="240" w:lineRule="auto"/>
      <w:jc w:val="center"/>
    </w:pPr>
    <w:rPr>
      <w:rFonts w:ascii="Arial" w:eastAsia="Times New Roman" w:hAnsi="Arial" w:cs="Arial"/>
      <w:b/>
      <w:sz w:val="24"/>
      <w:szCs w:val="24"/>
    </w:rPr>
  </w:style>
  <w:style w:type="paragraph" w:customStyle="1" w:styleId="MSTextnormln">
    <w:name w:val="MS_Text normální"/>
    <w:basedOn w:val="Normln"/>
    <w:qFormat/>
    <w:pPr>
      <w:spacing w:after="0"/>
      <w:ind w:firstLine="709"/>
    </w:pPr>
    <w:rPr>
      <w:rFonts w:eastAsia="Times New Roman"/>
      <w:sz w:val="20"/>
      <w:szCs w:val="20"/>
      <w:lang w:val="x-none"/>
    </w:rPr>
  </w:style>
  <w:style w:type="paragraph" w:styleId="Bezmezer">
    <w:name w:val="No Spacing"/>
    <w:qFormat/>
    <w:pPr>
      <w:jc w:val="both"/>
    </w:pPr>
    <w:rPr>
      <w:rFonts w:ascii="Calibri" w:eastAsia="Calibri" w:hAnsi="Calibri"/>
      <w:sz w:val="22"/>
      <w:szCs w:val="22"/>
      <w:lang w:eastAsia="zh-CN"/>
    </w:rPr>
  </w:style>
  <w:style w:type="paragraph" w:customStyle="1" w:styleId="Citace">
    <w:name w:val="Citace"/>
    <w:basedOn w:val="Normln"/>
    <w:next w:val="Normln"/>
    <w:qFormat/>
    <w:rPr>
      <w:i/>
      <w:iCs/>
      <w:color w:val="000000"/>
      <w:lang w:val="x-none"/>
    </w:rPr>
  </w:style>
  <w:style w:type="paragraph" w:styleId="Zkladntextodsazen">
    <w:name w:val="Body Text Indent"/>
    <w:basedOn w:val="Normln"/>
    <w:pPr>
      <w:spacing w:before="60" w:after="120" w:line="240" w:lineRule="auto"/>
      <w:ind w:left="283"/>
      <w:jc w:val="left"/>
    </w:pPr>
    <w:rPr>
      <w:rFonts w:ascii="Times New Roman" w:hAnsi="Times New Roman"/>
      <w:kern w:val="2"/>
      <w:sz w:val="24"/>
      <w:szCs w:val="24"/>
      <w:lang w:val="x-none"/>
    </w:rPr>
  </w:style>
  <w:style w:type="paragraph" w:customStyle="1" w:styleId="Odstavecseseznamem1">
    <w:name w:val="Odstavec se seznamem1"/>
    <w:basedOn w:val="Normln"/>
    <w:qFormat/>
    <w:pPr>
      <w:spacing w:after="40" w:line="240" w:lineRule="auto"/>
      <w:ind w:left="720"/>
      <w:contextualSpacing/>
    </w:pPr>
    <w:rPr>
      <w:sz w:val="24"/>
      <w:szCs w:val="20"/>
      <w:lang w:val="x-none"/>
    </w:rPr>
  </w:style>
  <w:style w:type="paragraph" w:customStyle="1" w:styleId="Nadpispoznmky1">
    <w:name w:val="Nadpis poznámky1"/>
    <w:basedOn w:val="Normln"/>
    <w:next w:val="Zkladntext"/>
    <w:qFormat/>
    <w:pPr>
      <w:widowControl w:val="0"/>
      <w:tabs>
        <w:tab w:val="left" w:pos="283"/>
      </w:tabs>
      <w:spacing w:after="198" w:line="220" w:lineRule="atLeast"/>
      <w:jc w:val="center"/>
    </w:pPr>
    <w:rPr>
      <w:rFonts w:ascii="Times New Roman" w:hAnsi="Times New Roman"/>
      <w:b/>
      <w:bCs/>
      <w:color w:val="000000"/>
      <w:sz w:val="18"/>
      <w:szCs w:val="18"/>
      <w:lang w:val="x-none"/>
    </w:rPr>
  </w:style>
  <w:style w:type="paragraph" w:customStyle="1" w:styleId="Zkladntext21">
    <w:name w:val="Základní text 21"/>
    <w:basedOn w:val="Normln"/>
    <w:qFormat/>
    <w:pPr>
      <w:spacing w:after="120" w:line="480" w:lineRule="auto"/>
    </w:pPr>
    <w:rPr>
      <w:lang w:val="x-none"/>
    </w:rPr>
  </w:style>
  <w:style w:type="paragraph" w:customStyle="1" w:styleId="Zkladntextodsazen21">
    <w:name w:val="Základní text odsazený 21"/>
    <w:basedOn w:val="Normln"/>
    <w:qFormat/>
    <w:pPr>
      <w:spacing w:after="120" w:line="480" w:lineRule="auto"/>
      <w:ind w:left="283"/>
    </w:pPr>
    <w:rPr>
      <w:lang w:val="x-none"/>
    </w:rPr>
  </w:style>
  <w:style w:type="paragraph" w:customStyle="1" w:styleId="Pruka-Nadpis1">
    <w:name w:val="Příručka - Nadpis 1"/>
    <w:basedOn w:val="Normln"/>
    <w:next w:val="Normln"/>
    <w:qFormat/>
    <w:pPr>
      <w:keepNext/>
      <w:numPr>
        <w:numId w:val="5"/>
      </w:numPr>
      <w:spacing w:before="240" w:after="240" w:line="240" w:lineRule="auto"/>
      <w:jc w:val="left"/>
      <w:outlineLvl w:val="0"/>
    </w:pPr>
    <w:rPr>
      <w:rFonts w:ascii="Tahoma" w:eastAsia="Times New Roman" w:hAnsi="Tahoma" w:cs="Tahoma"/>
      <w:b/>
      <w:kern w:val="2"/>
      <w:sz w:val="40"/>
      <w:szCs w:val="20"/>
    </w:rPr>
  </w:style>
  <w:style w:type="paragraph" w:customStyle="1" w:styleId="Pruky-Nadpis2">
    <w:name w:val="Příručky - Nadpis 2"/>
    <w:basedOn w:val="Normln"/>
    <w:next w:val="Normln"/>
    <w:qFormat/>
    <w:pPr>
      <w:keepNext/>
      <w:tabs>
        <w:tab w:val="left" w:pos="720"/>
        <w:tab w:val="left" w:pos="1134"/>
      </w:tabs>
      <w:spacing w:before="360" w:after="360" w:line="240" w:lineRule="auto"/>
      <w:ind w:left="720" w:hanging="360"/>
      <w:jc w:val="left"/>
      <w:outlineLvl w:val="1"/>
    </w:pPr>
    <w:rPr>
      <w:rFonts w:ascii="Tahoma" w:eastAsia="Times New Roman" w:hAnsi="Tahoma" w:cs="Tahoma"/>
      <w:b/>
      <w:sz w:val="32"/>
      <w:szCs w:val="20"/>
    </w:rPr>
  </w:style>
  <w:style w:type="paragraph" w:customStyle="1" w:styleId="Zkladntext0">
    <w:name w:val="Základní text~"/>
    <w:basedOn w:val="Normln"/>
    <w:qFormat/>
    <w:pPr>
      <w:widowControl w:val="0"/>
      <w:spacing w:after="0" w:line="288" w:lineRule="auto"/>
      <w:jc w:val="left"/>
    </w:pPr>
    <w:rPr>
      <w:rFonts w:ascii="Times New Roman" w:eastAsia="Times New Roman" w:hAnsi="Times New Roman"/>
      <w:sz w:val="24"/>
      <w:szCs w:val="20"/>
    </w:rPr>
  </w:style>
  <w:style w:type="paragraph" w:customStyle="1" w:styleId="Zkladntextodsazen22">
    <w:name w:val="Základní text odsazený 22"/>
    <w:basedOn w:val="Normln"/>
    <w:qFormat/>
    <w:pPr>
      <w:overflowPunct w:val="0"/>
      <w:spacing w:before="240" w:after="360" w:line="240" w:lineRule="auto"/>
      <w:ind w:left="709" w:hanging="709"/>
      <w:jc w:val="left"/>
      <w:textAlignment w:val="baseline"/>
    </w:pPr>
    <w:rPr>
      <w:rFonts w:ascii="Times New Roman" w:eastAsia="Times New Roman" w:hAnsi="Times New Roman"/>
      <w:sz w:val="24"/>
      <w:szCs w:val="20"/>
    </w:rPr>
  </w:style>
  <w:style w:type="paragraph" w:customStyle="1" w:styleId="Textkomente1">
    <w:name w:val="Text komentáře1"/>
    <w:basedOn w:val="Normln"/>
    <w:qFormat/>
    <w:rPr>
      <w:sz w:val="20"/>
      <w:szCs w:val="20"/>
      <w:lang w:val="x-none"/>
    </w:rPr>
  </w:style>
  <w:style w:type="paragraph" w:styleId="Pedmtkomente">
    <w:name w:val="annotation subject"/>
    <w:basedOn w:val="Textkomente1"/>
    <w:next w:val="Textkomente1"/>
    <w:qFormat/>
    <w:rPr>
      <w:b/>
      <w:bCs/>
    </w:rPr>
  </w:style>
  <w:style w:type="paragraph" w:styleId="Textbubliny">
    <w:name w:val="Balloon Text"/>
    <w:basedOn w:val="Normln"/>
    <w:qFormat/>
    <w:pPr>
      <w:spacing w:after="0" w:line="240" w:lineRule="auto"/>
    </w:pPr>
    <w:rPr>
      <w:rFonts w:ascii="Tahoma" w:hAnsi="Tahoma" w:cs="Tahoma"/>
      <w:sz w:val="16"/>
      <w:szCs w:val="16"/>
      <w:lang w:val="x-none"/>
    </w:rPr>
  </w:style>
  <w:style w:type="paragraph" w:styleId="Revize">
    <w:name w:val="Revision"/>
    <w:qFormat/>
    <w:rPr>
      <w:rFonts w:ascii="Calibri" w:eastAsia="Calibri" w:hAnsi="Calibri"/>
      <w:sz w:val="22"/>
      <w:szCs w:val="22"/>
      <w:lang w:eastAsia="zh-CN"/>
    </w:rPr>
  </w:style>
  <w:style w:type="paragraph" w:styleId="Hlavikarejstku">
    <w:name w:val="index heading"/>
    <w:basedOn w:val="Nadpis"/>
    <w:pPr>
      <w:suppressLineNumbers/>
    </w:pPr>
    <w:rPr>
      <w:b/>
      <w:bCs/>
      <w:sz w:val="32"/>
      <w:szCs w:val="32"/>
    </w:rPr>
  </w:style>
  <w:style w:type="paragraph" w:styleId="Hlavikaobsahu">
    <w:name w:val="toa heading"/>
    <w:basedOn w:val="Nadpis1"/>
    <w:next w:val="Normln"/>
    <w:qFormat/>
    <w:pPr>
      <w:keepLines/>
      <w:numPr>
        <w:numId w:val="0"/>
      </w:numPr>
      <w:spacing w:after="0" w:line="257" w:lineRule="auto"/>
      <w:jc w:val="left"/>
      <w:outlineLvl w:val="9"/>
    </w:pPr>
    <w:rPr>
      <w:rFonts w:ascii="Calibri Light" w:hAnsi="Calibri Light" w:cs="Times New Roman"/>
      <w:b w:val="0"/>
      <w:bCs w:val="0"/>
      <w:color w:val="2F5496"/>
      <w:kern w:val="0"/>
      <w:lang w:val="cs-CZ"/>
    </w:rPr>
  </w:style>
  <w:style w:type="paragraph" w:styleId="Obsah1">
    <w:name w:val="toc 1"/>
    <w:basedOn w:val="Normln"/>
    <w:next w:val="Normln"/>
    <w:uiPriority w:val="39"/>
    <w:pPr>
      <w:tabs>
        <w:tab w:val="left" w:pos="880"/>
        <w:tab w:val="right" w:leader="dot" w:pos="9062"/>
      </w:tabs>
      <w:spacing w:after="0" w:line="240" w:lineRule="auto"/>
    </w:pPr>
  </w:style>
  <w:style w:type="paragraph" w:styleId="Obsah2">
    <w:name w:val="toc 2"/>
    <w:basedOn w:val="Normln"/>
    <w:next w:val="Normln"/>
    <w:uiPriority w:val="39"/>
    <w:pPr>
      <w:tabs>
        <w:tab w:val="left" w:pos="880"/>
        <w:tab w:val="right" w:leader="dot" w:pos="9062"/>
      </w:tabs>
      <w:spacing w:after="0" w:line="240" w:lineRule="auto"/>
      <w:ind w:left="221"/>
    </w:pPr>
  </w:style>
  <w:style w:type="paragraph" w:styleId="Obsah3">
    <w:name w:val="toc 3"/>
    <w:basedOn w:val="Normln"/>
    <w:next w:val="Normln"/>
    <w:pPr>
      <w:ind w:left="440"/>
    </w:pPr>
  </w:style>
  <w:style w:type="paragraph" w:styleId="Obsah4">
    <w:name w:val="toc 4"/>
    <w:basedOn w:val="Normln"/>
    <w:next w:val="Normln"/>
    <w:pPr>
      <w:spacing w:after="100" w:line="257" w:lineRule="auto"/>
      <w:ind w:left="660"/>
      <w:jc w:val="left"/>
    </w:pPr>
    <w:rPr>
      <w:rFonts w:eastAsia="Times New Roman"/>
    </w:rPr>
  </w:style>
  <w:style w:type="paragraph" w:styleId="Obsah5">
    <w:name w:val="toc 5"/>
    <w:basedOn w:val="Normln"/>
    <w:next w:val="Normln"/>
    <w:pPr>
      <w:spacing w:after="100" w:line="257" w:lineRule="auto"/>
      <w:ind w:left="880"/>
      <w:jc w:val="left"/>
    </w:pPr>
    <w:rPr>
      <w:rFonts w:eastAsia="Times New Roman"/>
    </w:rPr>
  </w:style>
  <w:style w:type="paragraph" w:styleId="Obsah6">
    <w:name w:val="toc 6"/>
    <w:basedOn w:val="Normln"/>
    <w:next w:val="Normln"/>
    <w:pPr>
      <w:spacing w:after="100" w:line="257" w:lineRule="auto"/>
      <w:ind w:left="1100"/>
      <w:jc w:val="left"/>
    </w:pPr>
    <w:rPr>
      <w:rFonts w:eastAsia="Times New Roman"/>
    </w:rPr>
  </w:style>
  <w:style w:type="paragraph" w:styleId="Obsah7">
    <w:name w:val="toc 7"/>
    <w:basedOn w:val="Normln"/>
    <w:next w:val="Normln"/>
    <w:pPr>
      <w:spacing w:after="100" w:line="257" w:lineRule="auto"/>
      <w:ind w:left="1320"/>
      <w:jc w:val="left"/>
    </w:pPr>
    <w:rPr>
      <w:rFonts w:eastAsia="Times New Roman"/>
    </w:rPr>
  </w:style>
  <w:style w:type="paragraph" w:styleId="Obsah8">
    <w:name w:val="toc 8"/>
    <w:basedOn w:val="Normln"/>
    <w:next w:val="Normln"/>
    <w:pPr>
      <w:spacing w:after="100" w:line="257" w:lineRule="auto"/>
      <w:ind w:left="1540"/>
      <w:jc w:val="left"/>
    </w:pPr>
    <w:rPr>
      <w:rFonts w:eastAsia="Times New Roman"/>
    </w:rPr>
  </w:style>
  <w:style w:type="paragraph" w:styleId="Obsah9">
    <w:name w:val="toc 9"/>
    <w:basedOn w:val="Normln"/>
    <w:next w:val="Normln"/>
    <w:pPr>
      <w:spacing w:after="100" w:line="257" w:lineRule="auto"/>
      <w:ind w:left="1760"/>
      <w:jc w:val="left"/>
    </w:pPr>
    <w:rPr>
      <w:rFonts w:eastAsia="Times New Roman"/>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Koment">
    <w:name w:val="Komentář"/>
    <w:basedOn w:val="Normln"/>
    <w:qFormat/>
    <w:pPr>
      <w:spacing w:before="56" w:after="0" w:line="240" w:lineRule="auto"/>
      <w:ind w:left="57" w:right="57"/>
    </w:pPr>
    <w:rPr>
      <w:sz w:val="20"/>
      <w:szCs w:val="20"/>
    </w:rPr>
  </w:style>
  <w:style w:type="paragraph" w:styleId="Textkomente">
    <w:name w:val="annotation text"/>
    <w:basedOn w:val="Normln"/>
    <w:link w:val="TextkomenteChar1"/>
    <w:uiPriority w:val="99"/>
    <w:unhideWhenUsed/>
    <w:pPr>
      <w:spacing w:line="240" w:lineRule="auto"/>
    </w:pPr>
    <w:rPr>
      <w:sz w:val="20"/>
      <w:szCs w:val="20"/>
    </w:rPr>
  </w:style>
  <w:style w:type="numbering" w:customStyle="1" w:styleId="Bezseznamuuser">
    <w:name w:val="Bez seznamu (user)"/>
    <w:uiPriority w:val="99"/>
    <w:semiHidden/>
    <w:unhideWhenUsed/>
    <w:qFormat/>
  </w:style>
  <w:style w:type="character" w:styleId="Nevyeenzmnka">
    <w:name w:val="Unresolved Mention"/>
    <w:basedOn w:val="Standardnpsmoodstavce"/>
    <w:uiPriority w:val="99"/>
    <w:semiHidden/>
    <w:unhideWhenUsed/>
    <w:rsid w:val="00DE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elpdesk.datasy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elpdesk.datasys.cz"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helpdesk@datasy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BA9A-2FEE-4A82-9872-5EB49498FFFD}">
  <ds:schemaRefs>
    <ds:schemaRef ds:uri="http://schemas.microsoft.com/sharepoint/v3/contenttype/forms"/>
  </ds:schemaRefs>
</ds:datastoreItem>
</file>

<file path=customXml/itemProps2.xml><?xml version="1.0" encoding="utf-8"?>
<ds:datastoreItem xmlns:ds="http://schemas.openxmlformats.org/officeDocument/2006/customXml" ds:itemID="{AE4307C6-2B6E-4AD7-9B35-661D58A99014}">
  <ds:schemaRefs>
    <ds:schemaRef ds:uri="http://schemas.openxmlformats.org/officeDocument/2006/bibliography"/>
  </ds:schemaRefs>
</ds:datastoreItem>
</file>

<file path=customXml/itemProps3.xml><?xml version="1.0" encoding="utf-8"?>
<ds:datastoreItem xmlns:ds="http://schemas.openxmlformats.org/officeDocument/2006/customXml" ds:itemID="{5717FB18-5B8F-43E0-99E8-EF8BB76751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8B127E-0C43-4603-BB0B-DB264251D5F4}"/>
</file>

<file path=docProps/app.xml><?xml version="1.0" encoding="utf-8"?>
<Properties xmlns="http://schemas.openxmlformats.org/officeDocument/2006/extended-properties" xmlns:vt="http://schemas.openxmlformats.org/officeDocument/2006/docPropsVTypes">
  <Template>Normal</Template>
  <TotalTime>2</TotalTime>
  <Pages>21</Pages>
  <Words>6718</Words>
  <Characters>39639</Characters>
  <Application>Microsoft Office Word</Application>
  <DocSecurity>4</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Sloup Pavel</dc:creator>
  <cp:keywords/>
  <dc:description/>
  <cp:lastModifiedBy>Korandová, Iva</cp:lastModifiedBy>
  <cp:revision>2</cp:revision>
  <cp:lastPrinted>2026-05-20T08:43:00Z</cp:lastPrinted>
  <dcterms:created xsi:type="dcterms:W3CDTF">2026-05-26T11:34:00Z</dcterms:created>
  <dcterms:modified xsi:type="dcterms:W3CDTF">2026-05-26T11:34:00Z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