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799A" w14:textId="77777777" w:rsidR="00F567D9" w:rsidRDefault="00E12D76">
      <w:pPr>
        <w:spacing w:line="276" w:lineRule="auto"/>
        <w:jc w:val="center"/>
        <w:rPr>
          <w:rFonts w:eastAsiaTheme="minorHAnsi" w:cs="Arial"/>
          <w:b/>
          <w:szCs w:val="24"/>
        </w:rPr>
      </w:pPr>
      <w:r>
        <w:rPr>
          <w:rFonts w:eastAsiaTheme="minorHAnsi" w:cs="Arial"/>
          <w:b/>
          <w:szCs w:val="24"/>
        </w:rPr>
        <w:t>Dodatek č. 2</w:t>
      </w:r>
    </w:p>
    <w:p w14:paraId="63BECB68" w14:textId="77777777" w:rsidR="00F567D9" w:rsidRDefault="00E12D76">
      <w:pPr>
        <w:spacing w:line="276" w:lineRule="auto"/>
        <w:jc w:val="center"/>
        <w:rPr>
          <w:rFonts w:eastAsiaTheme="minorHAnsi" w:cs="Arial"/>
          <w:b/>
        </w:rPr>
      </w:pPr>
      <w:r>
        <w:rPr>
          <w:rFonts w:eastAsiaTheme="minorHAnsi" w:cs="Arial"/>
          <w:b/>
        </w:rPr>
        <w:t xml:space="preserve">ke Smlouvě </w:t>
      </w:r>
      <w:r>
        <w:rPr>
          <w:rFonts w:eastAsiaTheme="minorHAnsi" w:cs="Arial"/>
          <w:b/>
          <w:bCs/>
        </w:rPr>
        <w:t>o poskytování datových komunikačních služeb č. 2400556/4100065665</w:t>
      </w:r>
      <w:r>
        <w:rPr>
          <w:rFonts w:cs="Arial"/>
          <w:b/>
          <w:bCs/>
        </w:rPr>
        <w:t xml:space="preserve"> </w:t>
      </w:r>
      <w:r>
        <w:rPr>
          <w:rFonts w:eastAsiaTheme="minorHAnsi" w:cs="Arial"/>
        </w:rPr>
        <w:t>uzavřené dne 11. 6. 2025 mezi níže uvedenými smluvními stranami, ve znění Dodatku č. 1 ze dne 23. 2. 2026</w:t>
      </w:r>
    </w:p>
    <w:p w14:paraId="298E330B" w14:textId="77777777" w:rsidR="00F567D9" w:rsidRDefault="00E12D76">
      <w:pPr>
        <w:spacing w:line="276" w:lineRule="auto"/>
        <w:jc w:val="center"/>
        <w:rPr>
          <w:rFonts w:eastAsiaTheme="minorHAnsi" w:cs="Arial"/>
        </w:rPr>
      </w:pPr>
      <w:r>
        <w:rPr>
          <w:rFonts w:eastAsiaTheme="minorHAnsi" w:cs="Arial"/>
        </w:rPr>
        <w:t>(dále jen „</w:t>
      </w:r>
      <w:r>
        <w:rPr>
          <w:rFonts w:eastAsiaTheme="minorHAnsi" w:cs="Arial"/>
          <w:b/>
        </w:rPr>
        <w:t>Smlouva</w:t>
      </w:r>
      <w:r>
        <w:rPr>
          <w:rFonts w:eastAsiaTheme="minorHAnsi" w:cs="Arial"/>
        </w:rPr>
        <w:t>” a „</w:t>
      </w:r>
      <w:r>
        <w:rPr>
          <w:rFonts w:eastAsiaTheme="minorHAnsi" w:cs="Arial"/>
          <w:b/>
        </w:rPr>
        <w:t>Dodatek č. 2</w:t>
      </w:r>
      <w:r>
        <w:rPr>
          <w:rFonts w:eastAsiaTheme="minorHAnsi" w:cs="Arial"/>
        </w:rPr>
        <w:t>“)</w:t>
      </w:r>
    </w:p>
    <w:p w14:paraId="4F48F3CD" w14:textId="77777777" w:rsidR="00F567D9" w:rsidRDefault="00E12D76">
      <w:pPr>
        <w:spacing w:after="120" w:line="276" w:lineRule="auto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</w:rPr>
        <w:t xml:space="preserve">evidován VZP ČR pod ID: </w:t>
      </w:r>
      <w:r>
        <w:rPr>
          <w:rFonts w:eastAsiaTheme="minorHAnsi" w:cs="Arial"/>
          <w:b/>
          <w:bCs/>
        </w:rPr>
        <w:t>2600257</w:t>
      </w:r>
    </w:p>
    <w:p w14:paraId="3CBDF243" w14:textId="77777777" w:rsidR="00F567D9" w:rsidRDefault="00F567D9">
      <w:pPr>
        <w:spacing w:after="120" w:line="276" w:lineRule="auto"/>
        <w:jc w:val="left"/>
        <w:rPr>
          <w:rFonts w:eastAsiaTheme="minorHAnsi" w:cs="Arial"/>
        </w:rPr>
      </w:pPr>
    </w:p>
    <w:p w14:paraId="5E03D8AB" w14:textId="77777777" w:rsidR="00F567D9" w:rsidRDefault="00E12D76">
      <w:pPr>
        <w:spacing w:after="120" w:line="276" w:lineRule="auto"/>
        <w:jc w:val="left"/>
        <w:rPr>
          <w:rFonts w:eastAsiaTheme="minorHAnsi" w:cs="Arial"/>
        </w:rPr>
      </w:pPr>
      <w:r>
        <w:rPr>
          <w:rFonts w:eastAsiaTheme="minorHAnsi" w:cs="Arial"/>
          <w:b/>
          <w:bCs/>
        </w:rPr>
        <w:t xml:space="preserve">Smluvní strany </w:t>
      </w:r>
    </w:p>
    <w:p w14:paraId="549BFA47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 xml:space="preserve">Všeobecná zdravotní pojišťovna České republiky </w:t>
      </w:r>
    </w:p>
    <w:p w14:paraId="7EDD4DAE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se sídlem: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Orlická 2020/4, 130 00 Praha 3 </w:t>
      </w:r>
    </w:p>
    <w:p w14:paraId="0AFA0EE4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kterou zastupuje: </w:t>
      </w:r>
      <w:r>
        <w:rPr>
          <w:rFonts w:eastAsiaTheme="minorHAnsi" w:cs="Arial"/>
        </w:rPr>
        <w:tab/>
        <w:t>PhDr. Ivan Duškov, MSc., ředitel VZP ČR</w:t>
      </w:r>
    </w:p>
    <w:p w14:paraId="3619EBEA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IČO: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411 97 518 </w:t>
      </w:r>
    </w:p>
    <w:p w14:paraId="1B7C347F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DIČ: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CZ41197518 </w:t>
      </w:r>
    </w:p>
    <w:p w14:paraId="06F6A05E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>bankovní spojen</w:t>
      </w:r>
      <w:r>
        <w:rPr>
          <w:rFonts w:eastAsiaTheme="minorHAnsi" w:cs="Arial"/>
        </w:rPr>
        <w:t xml:space="preserve">í: </w:t>
      </w:r>
      <w:r>
        <w:rPr>
          <w:rFonts w:eastAsiaTheme="minorHAnsi" w:cs="Arial"/>
        </w:rPr>
        <w:tab/>
        <w:t xml:space="preserve">Česká národní banka, Praha 1, Na Příkopě 28 </w:t>
      </w:r>
    </w:p>
    <w:p w14:paraId="3E72DA6A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číslo účtu: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1110205001/0710 </w:t>
      </w:r>
    </w:p>
    <w:p w14:paraId="5731EB0D" w14:textId="77777777" w:rsidR="00F567D9" w:rsidRDefault="00E12D76">
      <w:pPr>
        <w:spacing w:after="120" w:line="276" w:lineRule="auto"/>
        <w:contextualSpacing/>
        <w:jc w:val="left"/>
        <w:rPr>
          <w:rFonts w:cs="Arial"/>
        </w:rPr>
      </w:pPr>
      <w:r>
        <w:rPr>
          <w:rFonts w:cs="Arial"/>
        </w:rPr>
        <w:t>datová schránka:</w:t>
      </w:r>
      <w:r>
        <w:rPr>
          <w:rFonts w:cs="Arial"/>
        </w:rPr>
        <w:tab/>
        <w:t>i48ae3q</w:t>
      </w:r>
    </w:p>
    <w:p w14:paraId="311323B2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zřízena zákonem č. 551/1991 Sb., o Všeobecné zdravotní pojišťovně České republiky, ve znění pozdějších předpisů </w:t>
      </w:r>
    </w:p>
    <w:p w14:paraId="464D3290" w14:textId="77777777" w:rsidR="00F567D9" w:rsidRDefault="00F567D9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1A99A26B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>(dále jen „</w:t>
      </w:r>
      <w:r>
        <w:rPr>
          <w:rFonts w:eastAsiaTheme="minorHAnsi" w:cs="Arial"/>
          <w:b/>
          <w:bCs/>
        </w:rPr>
        <w:t>Objednatel</w:t>
      </w:r>
      <w:r>
        <w:rPr>
          <w:rFonts w:eastAsiaTheme="minorHAnsi" w:cs="Arial"/>
        </w:rPr>
        <w:t>“ nebo „</w:t>
      </w:r>
      <w:r>
        <w:rPr>
          <w:rFonts w:eastAsiaTheme="minorHAnsi" w:cs="Arial"/>
          <w:b/>
          <w:bCs/>
        </w:rPr>
        <w:t>VZP ČR“</w:t>
      </w:r>
      <w:r>
        <w:rPr>
          <w:rFonts w:eastAsiaTheme="minorHAnsi" w:cs="Arial"/>
        </w:rPr>
        <w:t xml:space="preserve">) </w:t>
      </w:r>
    </w:p>
    <w:p w14:paraId="12F8B020" w14:textId="77777777" w:rsidR="00F567D9" w:rsidRDefault="00F567D9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69897983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a </w:t>
      </w:r>
    </w:p>
    <w:p w14:paraId="5A079824" w14:textId="77777777" w:rsidR="00F567D9" w:rsidRDefault="00F567D9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70647916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  <w:b/>
          <w:bCs/>
        </w:rPr>
        <w:t xml:space="preserve">O2 Czech Republic a.s. </w:t>
      </w:r>
    </w:p>
    <w:p w14:paraId="5986434B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se sídlem: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Praha 4 – Michle, Za Brumlovkou 266/2, PSČ 14022 </w:t>
      </w:r>
    </w:p>
    <w:p w14:paraId="0ED0694B" w14:textId="77777777" w:rsidR="00F567D9" w:rsidRDefault="00E12D76">
      <w:pPr>
        <w:spacing w:after="120" w:line="276" w:lineRule="auto"/>
        <w:ind w:left="2120" w:hanging="2120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>kterou zast</w:t>
      </w:r>
      <w:r>
        <w:rPr>
          <w:rFonts w:eastAsiaTheme="minorHAnsi" w:cs="Arial"/>
        </w:rPr>
        <w:t xml:space="preserve">upuje: </w:t>
      </w:r>
      <w:r>
        <w:rPr>
          <w:rFonts w:eastAsiaTheme="minorHAnsi" w:cs="Arial"/>
        </w:rPr>
        <w:tab/>
        <w:t xml:space="preserve">XXXXXXXXXX, </w:t>
      </w:r>
      <w:proofErr w:type="spellStart"/>
      <w:r>
        <w:rPr>
          <w:rFonts w:eastAsiaTheme="minorHAnsi" w:cs="Arial"/>
        </w:rPr>
        <w:t>Key</w:t>
      </w:r>
      <w:proofErr w:type="spellEnd"/>
      <w:r>
        <w:rPr>
          <w:rFonts w:eastAsiaTheme="minorHAnsi" w:cs="Arial"/>
        </w:rPr>
        <w:t xml:space="preserve"> </w:t>
      </w:r>
      <w:proofErr w:type="spellStart"/>
      <w:r>
        <w:rPr>
          <w:rFonts w:eastAsiaTheme="minorHAnsi" w:cs="Arial"/>
        </w:rPr>
        <w:t>Account</w:t>
      </w:r>
      <w:proofErr w:type="spellEnd"/>
      <w:r>
        <w:rPr>
          <w:rFonts w:eastAsiaTheme="minorHAnsi" w:cs="Arial"/>
        </w:rPr>
        <w:t xml:space="preserve"> Manager,</w:t>
      </w:r>
    </w:p>
    <w:p w14:paraId="6C641BF0" w14:textId="77777777" w:rsidR="00F567D9" w:rsidRDefault="00E12D76">
      <w:pPr>
        <w:spacing w:after="120" w:line="276" w:lineRule="auto"/>
        <w:ind w:left="2120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>na základě pověření ze dne 23. 1. 2026</w:t>
      </w:r>
    </w:p>
    <w:p w14:paraId="5790C125" w14:textId="77777777" w:rsidR="00F567D9" w:rsidRDefault="00E12D76">
      <w:pPr>
        <w:spacing w:after="120" w:line="276" w:lineRule="auto"/>
        <w:ind w:left="2120" w:hanging="2120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IČO: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60193336 </w:t>
      </w:r>
    </w:p>
    <w:p w14:paraId="674E8520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DIČ: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CZ60193336 </w:t>
      </w:r>
    </w:p>
    <w:p w14:paraId="4A5610EA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bankovní spojení: </w:t>
      </w:r>
      <w:r>
        <w:rPr>
          <w:rFonts w:eastAsiaTheme="minorHAnsi" w:cs="Arial"/>
        </w:rPr>
        <w:tab/>
        <w:t xml:space="preserve">Komerční banka </w:t>
      </w:r>
    </w:p>
    <w:p w14:paraId="62D3B740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číslo účtu: </w:t>
      </w:r>
      <w:r>
        <w:rPr>
          <w:rFonts w:eastAsiaTheme="minorHAnsi" w:cs="Arial"/>
        </w:rPr>
        <w:tab/>
      </w:r>
      <w:r>
        <w:rPr>
          <w:rFonts w:eastAsiaTheme="minorHAnsi" w:cs="Arial"/>
        </w:rPr>
        <w:tab/>
        <w:t xml:space="preserve">27-4908440207/0100 </w:t>
      </w:r>
    </w:p>
    <w:p w14:paraId="6F29EEB5" w14:textId="77777777" w:rsidR="00F567D9" w:rsidRDefault="00E12D76">
      <w:pPr>
        <w:spacing w:after="120" w:line="276" w:lineRule="auto"/>
        <w:contextualSpacing/>
        <w:jc w:val="left"/>
        <w:rPr>
          <w:rFonts w:cs="Arial"/>
        </w:rPr>
      </w:pPr>
      <w:r>
        <w:rPr>
          <w:rFonts w:cs="Arial"/>
        </w:rPr>
        <w:t>datová schránka:</w:t>
      </w:r>
      <w:r>
        <w:rPr>
          <w:rFonts w:cs="Arial"/>
        </w:rPr>
        <w:tab/>
        <w:t>d79ch2h</w:t>
      </w:r>
    </w:p>
    <w:p w14:paraId="36B79B80" w14:textId="77777777" w:rsidR="00F567D9" w:rsidRDefault="00E12D76">
      <w:pPr>
        <w:spacing w:after="120" w:line="276" w:lineRule="auto"/>
        <w:contextualSpacing/>
        <w:jc w:val="left"/>
        <w:rPr>
          <w:rFonts w:eastAsiaTheme="minorHAnsi" w:cs="Arial"/>
        </w:rPr>
      </w:pPr>
      <w:r>
        <w:rPr>
          <w:rFonts w:eastAsiaTheme="minorHAnsi" w:cs="Arial"/>
        </w:rPr>
        <w:t xml:space="preserve">zapsána v obchodním rejstříku vedeném Městským soudem v Praze, oddíl B, vložka 2322 </w:t>
      </w:r>
    </w:p>
    <w:p w14:paraId="3CD5602E" w14:textId="77777777" w:rsidR="00F567D9" w:rsidRDefault="00F567D9">
      <w:pPr>
        <w:spacing w:after="120" w:line="276" w:lineRule="auto"/>
        <w:contextualSpacing/>
        <w:jc w:val="left"/>
        <w:rPr>
          <w:rFonts w:eastAsiaTheme="minorHAnsi" w:cs="Arial"/>
        </w:rPr>
      </w:pPr>
    </w:p>
    <w:p w14:paraId="60D7A704" w14:textId="77777777" w:rsidR="00F567D9" w:rsidRDefault="00E12D76">
      <w:pPr>
        <w:spacing w:after="120" w:line="276" w:lineRule="auto"/>
        <w:jc w:val="left"/>
        <w:rPr>
          <w:rFonts w:eastAsiaTheme="minorHAnsi" w:cs="Arial"/>
        </w:rPr>
      </w:pPr>
      <w:r>
        <w:rPr>
          <w:rFonts w:eastAsiaTheme="minorHAnsi" w:cs="Arial"/>
        </w:rPr>
        <w:t>(dále jen „</w:t>
      </w:r>
      <w:r>
        <w:rPr>
          <w:rFonts w:eastAsiaTheme="minorHAnsi" w:cs="Arial"/>
          <w:b/>
          <w:bCs/>
        </w:rPr>
        <w:t>Poskytovatel</w:t>
      </w:r>
      <w:r>
        <w:rPr>
          <w:rFonts w:eastAsiaTheme="minorHAnsi" w:cs="Arial"/>
        </w:rPr>
        <w:t xml:space="preserve">“) </w:t>
      </w:r>
    </w:p>
    <w:p w14:paraId="4C2F2A48" w14:textId="77777777" w:rsidR="00F567D9" w:rsidRDefault="00E12D76">
      <w:pPr>
        <w:spacing w:after="120" w:line="276" w:lineRule="auto"/>
        <w:jc w:val="left"/>
        <w:rPr>
          <w:rFonts w:eastAsiaTheme="minorHAnsi" w:cs="Arial"/>
        </w:rPr>
      </w:pPr>
      <w:r>
        <w:rPr>
          <w:rFonts w:eastAsiaTheme="minorHAnsi" w:cs="Arial"/>
        </w:rPr>
        <w:t>(společně též „</w:t>
      </w:r>
      <w:r>
        <w:rPr>
          <w:rFonts w:eastAsiaTheme="minorHAnsi" w:cs="Arial"/>
          <w:b/>
          <w:bCs/>
        </w:rPr>
        <w:t>Smluvní strany</w:t>
      </w:r>
      <w:r>
        <w:rPr>
          <w:rFonts w:eastAsiaTheme="minorHAnsi" w:cs="Arial"/>
        </w:rPr>
        <w:t>“)</w:t>
      </w:r>
    </w:p>
    <w:p w14:paraId="4875E03A" w14:textId="77777777" w:rsidR="00F567D9" w:rsidRDefault="00F567D9">
      <w:pPr>
        <w:spacing w:line="276" w:lineRule="auto"/>
        <w:jc w:val="center"/>
        <w:rPr>
          <w:rFonts w:eastAsiaTheme="minorHAnsi" w:cs="Arial"/>
        </w:rPr>
      </w:pPr>
    </w:p>
    <w:p w14:paraId="6D27E344" w14:textId="77777777" w:rsidR="00F567D9" w:rsidRDefault="00E12D76">
      <w:pPr>
        <w:pStyle w:val="Odstavecseseznamem"/>
        <w:numPr>
          <w:ilvl w:val="0"/>
          <w:numId w:val="3"/>
        </w:numPr>
        <w:spacing w:after="120" w:line="276" w:lineRule="auto"/>
        <w:jc w:val="center"/>
        <w:rPr>
          <w:rFonts w:eastAsiaTheme="minorHAnsi" w:cs="Arial"/>
          <w:b/>
        </w:rPr>
      </w:pPr>
      <w:r>
        <w:rPr>
          <w:rFonts w:eastAsiaTheme="minorHAnsi" w:cs="Arial"/>
          <w:b/>
        </w:rPr>
        <w:t>Preambule</w:t>
      </w:r>
    </w:p>
    <w:p w14:paraId="2E468B82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 xml:space="preserve">Smluvní strany uzavřely dne 11. 6. 2025, na základě výsledku otevřeného zadávacího řízení </w:t>
      </w:r>
      <w:r>
        <w:rPr>
          <w:rFonts w:eastAsiaTheme="minorHAnsi"/>
        </w:rPr>
        <w:t>na nadlimitní veřejnou zakázku s názvem „Internetové WAN linky“</w:t>
      </w:r>
      <w:r>
        <w:rPr>
          <w:rFonts w:eastAsiaTheme="minorHAnsi"/>
          <w:b/>
        </w:rPr>
        <w:t>,</w:t>
      </w:r>
      <w:r>
        <w:rPr>
          <w:rFonts w:eastAsiaTheme="minorHAnsi"/>
        </w:rPr>
        <w:t xml:space="preserve"> Objednatelem evidovanou pod ID VZ: 2400556 (dále též jen </w:t>
      </w:r>
      <w:r>
        <w:rPr>
          <w:rFonts w:eastAsiaTheme="minorHAnsi"/>
          <w:b/>
        </w:rPr>
        <w:t>„Původní VZ“</w:t>
      </w:r>
      <w:r>
        <w:rPr>
          <w:rFonts w:eastAsiaTheme="minorHAnsi"/>
        </w:rPr>
        <w:t xml:space="preserve">), </w:t>
      </w:r>
      <w:r>
        <w:t xml:space="preserve">Smlouvu o poskytování datových komunikačních služeb č. 2400556/4100065665 (dále též jen </w:t>
      </w:r>
      <w:r>
        <w:rPr>
          <w:b/>
        </w:rPr>
        <w:t>„Smlouva“</w:t>
      </w:r>
      <w:r>
        <w:t>).</w:t>
      </w:r>
    </w:p>
    <w:p w14:paraId="6362D1F7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 xml:space="preserve">Smlouva </w:t>
      </w:r>
      <w:r>
        <w:t>nabyla účin</w:t>
      </w:r>
      <w:r>
        <w:t>nosti dne 1. 7. 2025.</w:t>
      </w:r>
    </w:p>
    <w:p w14:paraId="611DE578" w14:textId="77777777" w:rsidR="00F567D9" w:rsidRDefault="00F567D9">
      <w:pPr>
        <w:spacing w:after="120" w:line="276" w:lineRule="auto"/>
        <w:ind w:left="360"/>
        <w:rPr>
          <w:rFonts w:eastAsiaTheme="minorHAnsi" w:cs="Arial"/>
        </w:rPr>
      </w:pPr>
    </w:p>
    <w:p w14:paraId="52F90648" w14:textId="77777777" w:rsidR="00F567D9" w:rsidRDefault="00E12D76">
      <w:pPr>
        <w:pStyle w:val="Nadpis1"/>
      </w:pPr>
      <w:r>
        <w:lastRenderedPageBreak/>
        <w:t>Úvodní ustanovení</w:t>
      </w:r>
    </w:p>
    <w:p w14:paraId="3672E241" w14:textId="77777777" w:rsidR="00F567D9" w:rsidRDefault="00E12D76">
      <w:pPr>
        <w:pStyle w:val="Nadpis2"/>
        <w:rPr>
          <w:rFonts w:eastAsiaTheme="minorHAnsi"/>
          <w:i/>
          <w:iCs/>
        </w:rPr>
      </w:pPr>
      <w:r>
        <w:rPr>
          <w:rFonts w:eastAsiaTheme="minorHAnsi"/>
        </w:rPr>
        <w:t>Objednatel si v zadávací dokumentaci k Původní VZ vyhradil v souladu s § 100 odst. 1 zákona č. 134/2016 Sb., o zadávání veřejných zakázek, ve znění pozdějších předpisů (dále jen „</w:t>
      </w:r>
      <w:r>
        <w:rPr>
          <w:rFonts w:eastAsiaTheme="minorHAnsi"/>
          <w:b/>
        </w:rPr>
        <w:t>ZZVZ</w:t>
      </w:r>
      <w:r>
        <w:rPr>
          <w:rFonts w:eastAsiaTheme="minorHAnsi"/>
        </w:rPr>
        <w:t>“) možnost změny závazku spočíva</w:t>
      </w:r>
      <w:r>
        <w:rPr>
          <w:rFonts w:eastAsiaTheme="minorHAnsi"/>
        </w:rPr>
        <w:t>jící v omezení rozsahu poskytovaných služeb, zejména v případě zrušení poskytování služeb v jednotlivých lokalitách, když čl. IV odst. 1 Smlouvy uvedl, cit.:</w:t>
      </w:r>
      <w:r>
        <w:t xml:space="preserve"> </w:t>
      </w:r>
      <w:r>
        <w:rPr>
          <w:i/>
          <w:iCs/>
        </w:rPr>
        <w:t>„objednatel si v zadávací dokumentaci na Veřejnou zakázku v souladu s § 100 odst. 1 ZZVZ vyhradil,</w:t>
      </w:r>
      <w:r>
        <w:rPr>
          <w:i/>
          <w:iCs/>
        </w:rPr>
        <w:t xml:space="preserve"> že v případě, kdy bude zrušena některá regionální pobočka nebo klientské pracoviště, příp. se změní jejich „zařazení do síťové struktury VZP ČR“ a z toho vyplyne omezení využití datového připojení takové regionální pobočky nebo klientského pracoviště, tj.</w:t>
      </w:r>
      <w:r>
        <w:rPr>
          <w:i/>
          <w:iCs/>
        </w:rPr>
        <w:t xml:space="preserve"> v některé z lokalit uvedených v Příloze č. 3 nebo v Příloze č. 4 dojde k následné nemožnosti plnění ve smyslu § 2006 a násl. občanského zákoníku, bude poskytování příslušné Služby Poskytovatelem ukončeno.</w:t>
      </w:r>
      <w:r>
        <w:rPr>
          <w:rFonts w:eastAsiaTheme="minorHAnsi"/>
          <w:i/>
          <w:iCs/>
        </w:rPr>
        <w:t>“</w:t>
      </w:r>
    </w:p>
    <w:p w14:paraId="705EB93E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Objednatel si současně vyhradil v souladu s § 100</w:t>
      </w:r>
      <w:r>
        <w:rPr>
          <w:rFonts w:eastAsiaTheme="minorHAnsi"/>
        </w:rPr>
        <w:t xml:space="preserve"> odst. 3 ZZVZ možnost použití jednacího řízení bez uveřejnění dle § 66 ZZVZ pro poskytnutí služeb ve smyslu čl. III. Smlouvy (dále jen „</w:t>
      </w:r>
      <w:r>
        <w:rPr>
          <w:rFonts w:eastAsiaTheme="minorHAnsi"/>
          <w:b/>
        </w:rPr>
        <w:t>Služba/Služby</w:t>
      </w:r>
      <w:r>
        <w:rPr>
          <w:rFonts w:eastAsiaTheme="minorHAnsi"/>
        </w:rPr>
        <w:t xml:space="preserve">“). </w:t>
      </w:r>
    </w:p>
    <w:p w14:paraId="7CF5735C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Objednatel si v zadávací dokumentaci k Původní VZ dále vyhradil právo na poskytování nových Služeb, re</w:t>
      </w:r>
      <w:r>
        <w:rPr>
          <w:rFonts w:eastAsiaTheme="minorHAnsi"/>
        </w:rPr>
        <w:t xml:space="preserve">sp. na změnu poskytování stávajících Služeb. Výhrada změn Služeb je uvedena v čl. IV. odst. 2. Smlouvy. Jednou z vyhrazených změn Služeb je, cit.: </w:t>
      </w:r>
      <w:r>
        <w:rPr>
          <w:rFonts w:eastAsiaTheme="minorHAnsi"/>
          <w:i/>
        </w:rPr>
        <w:t>„ukončení poskytování stávající Služby a její nahrazení novou Službou, tj. poskytování Služby vč. zřízení a a</w:t>
      </w:r>
      <w:r>
        <w:rPr>
          <w:rFonts w:eastAsiaTheme="minorHAnsi"/>
          <w:i/>
        </w:rPr>
        <w:t>ktivace Služby a poskytování souvisejících služeb v lokalitě neuvedené v Příloze č. 3 nebo v Příloze č. 4 Smlouvy, tj. v případě potřeby přemístění přípojky ze stávající lokality do nové lokality, pro kterou bude Objednatel požadovat poskytování služeb dle</w:t>
      </w:r>
      <w:r>
        <w:rPr>
          <w:rFonts w:eastAsiaTheme="minorHAnsi"/>
          <w:i/>
        </w:rPr>
        <w:t xml:space="preserve"> článku III. této Smlouvy</w:t>
      </w:r>
      <w:r>
        <w:rPr>
          <w:rFonts w:eastAsiaTheme="minorHAnsi"/>
        </w:rPr>
        <w:t>“.</w:t>
      </w:r>
    </w:p>
    <w:p w14:paraId="6F5789BA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 xml:space="preserve">Tento Dodatek č. 2 se uzavírá na základě výsledku veřejné zakázky s názvem „Dodatek č. 2 ke Smlouvě o poskytování datových komunikačních služeb č. 2400556/4100065665“ evidované VZP ČR pod číslem ID VZ </w:t>
      </w:r>
      <w:r>
        <w:rPr>
          <w:kern w:val="32"/>
        </w:rPr>
        <w:t>2600257</w:t>
      </w:r>
      <w:r>
        <w:rPr>
          <w:rFonts w:eastAsiaTheme="minorHAnsi"/>
        </w:rPr>
        <w:t>, zadávané v souladu</w:t>
      </w:r>
      <w:r>
        <w:rPr>
          <w:rFonts w:eastAsiaTheme="minorHAnsi"/>
        </w:rPr>
        <w:t xml:space="preserve"> s ustanovením § 66 ve spojení s § 100 odst. 3 ZZVZ v jednacím řízení bez uveřejnění. </w:t>
      </w:r>
    </w:p>
    <w:p w14:paraId="0C4BA7C6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Pro výše uvedený způsob zadávacího řízení byly splněny všechny podmínky stanovené v § 66 ZZVZ.</w:t>
      </w:r>
    </w:p>
    <w:p w14:paraId="4D700C81" w14:textId="77777777" w:rsidR="00F567D9" w:rsidRDefault="00F567D9">
      <w:pPr>
        <w:rPr>
          <w:lang w:eastAsia="cs-CZ"/>
        </w:rPr>
      </w:pPr>
    </w:p>
    <w:p w14:paraId="5E9C85D5" w14:textId="77777777" w:rsidR="00F567D9" w:rsidRDefault="00E12D76">
      <w:pPr>
        <w:pStyle w:val="Nadpis1"/>
      </w:pPr>
      <w:r>
        <w:t>Předmět plnění</w:t>
      </w:r>
    </w:p>
    <w:p w14:paraId="35C71578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Předmětem tohoto Dodatku č. 2 je:</w:t>
      </w:r>
    </w:p>
    <w:p w14:paraId="318F754F" w14:textId="77777777" w:rsidR="00F567D9" w:rsidRDefault="00E12D76">
      <w:pPr>
        <w:pStyle w:val="Nadpis3"/>
        <w:rPr>
          <w:rFonts w:eastAsiaTheme="minorHAnsi"/>
        </w:rPr>
      </w:pPr>
      <w:r>
        <w:rPr>
          <w:rFonts w:eastAsiaTheme="minorHAnsi"/>
        </w:rPr>
        <w:t>Změna závazku ze Smlouvy</w:t>
      </w:r>
      <w:r>
        <w:rPr>
          <w:rFonts w:eastAsiaTheme="minorHAnsi"/>
        </w:rPr>
        <w:t xml:space="preserve"> na základě vyhrazené změny závazku dle § 100 odst. 1 ZZVZ, spočívající ve zrušení poskytování Služeb ke dni 1. 6. 2026 v lokalitách:</w:t>
      </w:r>
    </w:p>
    <w:p w14:paraId="679433EF" w14:textId="77777777" w:rsidR="00F567D9" w:rsidRDefault="00E12D76">
      <w:pPr>
        <w:pStyle w:val="Odstavecseseznamem"/>
        <w:numPr>
          <w:ilvl w:val="0"/>
          <w:numId w:val="29"/>
        </w:numPr>
      </w:pPr>
      <w:r>
        <w:t>Legií 765, 509 01 Nová Paka</w:t>
      </w:r>
    </w:p>
    <w:p w14:paraId="3B9948AB" w14:textId="77777777" w:rsidR="00F567D9" w:rsidRDefault="00E12D76">
      <w:pPr>
        <w:pStyle w:val="Odstavecseseznamem"/>
        <w:numPr>
          <w:ilvl w:val="0"/>
          <w:numId w:val="29"/>
        </w:numPr>
      </w:pPr>
      <w:r>
        <w:t>Mírové náměstí 104, 550 01 Broumov.</w:t>
      </w:r>
    </w:p>
    <w:p w14:paraId="028590BB" w14:textId="77777777" w:rsidR="00F567D9" w:rsidRDefault="00E12D76">
      <w:pPr>
        <w:pStyle w:val="Nadpis3"/>
        <w:rPr>
          <w:rFonts w:eastAsiaTheme="minorHAnsi"/>
        </w:rPr>
      </w:pPr>
      <w:r>
        <w:rPr>
          <w:rFonts w:eastAsiaTheme="minorHAnsi"/>
        </w:rPr>
        <w:t xml:space="preserve">Změna závazku ze Smlouvy na základě vyhrazené změny závazku dle § 100 odst. 3 ZZVZ, spočívající ve </w:t>
      </w:r>
      <w:r>
        <w:t>změně poskytování Služeb z důvodu změny lokality a z důvodu nezbytné změny technologického zajištění Služeb spočívající v ukončení poskytování Služeb v lokal</w:t>
      </w:r>
      <w:r>
        <w:t>itách:</w:t>
      </w:r>
    </w:p>
    <w:p w14:paraId="590E09C8" w14:textId="77777777" w:rsidR="00F567D9" w:rsidRDefault="00E12D76">
      <w:pPr>
        <w:pStyle w:val="Odstavecseseznamem"/>
        <w:numPr>
          <w:ilvl w:val="0"/>
          <w:numId w:val="30"/>
        </w:numPr>
      </w:pPr>
      <w:bookmarkStart w:id="0" w:name="_Hlk226642592"/>
      <w:r>
        <w:t xml:space="preserve">Sušilova 478/24, 769 01 </w:t>
      </w:r>
      <w:bookmarkStart w:id="1" w:name="_Hlk228364943"/>
      <w:r>
        <w:t>Holešov</w:t>
      </w:r>
      <w:bookmarkEnd w:id="1"/>
    </w:p>
    <w:p w14:paraId="0A9A322D" w14:textId="77777777" w:rsidR="00F567D9" w:rsidRDefault="00E12D76">
      <w:pPr>
        <w:pStyle w:val="Odstavecseseznamem"/>
        <w:numPr>
          <w:ilvl w:val="0"/>
          <w:numId w:val="30"/>
        </w:numPr>
      </w:pPr>
      <w:r>
        <w:t>T. G. Masaryka 127, 342 01 Sušice</w:t>
      </w:r>
    </w:p>
    <w:p w14:paraId="58839DC5" w14:textId="77777777" w:rsidR="00F567D9" w:rsidRDefault="00E12D76">
      <w:pPr>
        <w:pStyle w:val="Odstavecseseznamem"/>
        <w:numPr>
          <w:ilvl w:val="0"/>
          <w:numId w:val="30"/>
        </w:numPr>
      </w:pPr>
      <w:r>
        <w:t>Jihlavská 340/20, 625 00 Brno</w:t>
      </w:r>
    </w:p>
    <w:p w14:paraId="4C487BF6" w14:textId="77777777" w:rsidR="00F567D9" w:rsidRDefault="00E12D76">
      <w:pPr>
        <w:pStyle w:val="Odstavecseseznamem"/>
        <w:numPr>
          <w:ilvl w:val="0"/>
          <w:numId w:val="30"/>
        </w:numPr>
      </w:pPr>
      <w:r>
        <w:t>Jeřábkova 158, 399 01 Milevsko</w:t>
      </w:r>
    </w:p>
    <w:p w14:paraId="13C86DB4" w14:textId="77777777" w:rsidR="00F567D9" w:rsidRDefault="00E12D76">
      <w:pPr>
        <w:ind w:left="1117"/>
      </w:pPr>
      <w:r>
        <w:t>a jejich nahrazením novými Službami, tj. poskytováním Služeb vč. zřízení a aktivace Služeb nejpozději do 30. 6. 2026 a pos</w:t>
      </w:r>
      <w:r>
        <w:t>kytování souvisejících služeb v lokalitách:</w:t>
      </w:r>
    </w:p>
    <w:p w14:paraId="0B2543FF" w14:textId="77777777" w:rsidR="00F567D9" w:rsidRDefault="00E12D76">
      <w:pPr>
        <w:pStyle w:val="Odstavecseseznamem"/>
        <w:numPr>
          <w:ilvl w:val="0"/>
          <w:numId w:val="31"/>
        </w:numPr>
      </w:pPr>
      <w:r>
        <w:t>Masarykova 64/5, 769 01 Holešov</w:t>
      </w:r>
    </w:p>
    <w:p w14:paraId="2FAE4A8E" w14:textId="77777777" w:rsidR="00F567D9" w:rsidRDefault="00E12D76">
      <w:pPr>
        <w:pStyle w:val="Odstavecseseznamem"/>
        <w:numPr>
          <w:ilvl w:val="0"/>
          <w:numId w:val="31"/>
        </w:numPr>
      </w:pPr>
      <w:r>
        <w:lastRenderedPageBreak/>
        <w:t xml:space="preserve">Poštovní 10, 342 01 </w:t>
      </w:r>
      <w:bookmarkStart w:id="2" w:name="_Hlk228364953"/>
      <w:r>
        <w:t>Sušice</w:t>
      </w:r>
      <w:bookmarkEnd w:id="2"/>
    </w:p>
    <w:p w14:paraId="4C6EF6E9" w14:textId="77777777" w:rsidR="00F567D9" w:rsidRDefault="00E12D76">
      <w:pPr>
        <w:pStyle w:val="Odstavecseseznamem"/>
        <w:numPr>
          <w:ilvl w:val="0"/>
          <w:numId w:val="31"/>
        </w:numPr>
      </w:pPr>
      <w:proofErr w:type="spellStart"/>
      <w:r>
        <w:t>Netroufalky</w:t>
      </w:r>
      <w:proofErr w:type="spellEnd"/>
      <w:r>
        <w:t xml:space="preserve"> 836, 625 00 </w:t>
      </w:r>
      <w:bookmarkStart w:id="3" w:name="_Hlk228364964"/>
      <w:r>
        <w:t>Brno</w:t>
      </w:r>
      <w:bookmarkEnd w:id="3"/>
    </w:p>
    <w:p w14:paraId="580333DE" w14:textId="77777777" w:rsidR="00F567D9" w:rsidRDefault="00E12D76">
      <w:pPr>
        <w:pStyle w:val="Odstavecseseznamem"/>
        <w:numPr>
          <w:ilvl w:val="0"/>
          <w:numId w:val="31"/>
        </w:numPr>
      </w:pPr>
      <w:r>
        <w:t>Za Krejcárkem 150, 399 01 Milevsko</w:t>
      </w:r>
      <w:bookmarkEnd w:id="0"/>
      <w:r>
        <w:t>.</w:t>
      </w:r>
    </w:p>
    <w:p w14:paraId="0DE9A2B8" w14:textId="77777777" w:rsidR="00F567D9" w:rsidRDefault="00E12D76">
      <w:pPr>
        <w:pStyle w:val="Nadpis2"/>
      </w:pPr>
      <w:r>
        <w:t xml:space="preserve">V důsledku změn Služeb dle bodu 3.1. tohoto Dodatku č. 2 dochází ke změně </w:t>
      </w:r>
      <w:r>
        <w:t>měsíčních paušálních cen pro fázi „2“ za poskytování Služeb pro níže uvedené lokality:</w:t>
      </w:r>
    </w:p>
    <w:tbl>
      <w:tblPr>
        <w:tblW w:w="8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681"/>
        <w:gridCol w:w="1020"/>
        <w:gridCol w:w="1031"/>
        <w:gridCol w:w="878"/>
        <w:gridCol w:w="940"/>
        <w:gridCol w:w="872"/>
        <w:gridCol w:w="991"/>
        <w:gridCol w:w="991"/>
        <w:gridCol w:w="991"/>
      </w:tblGrid>
      <w:tr w:rsidR="00F567D9" w14:paraId="7E3DB9EC" w14:textId="77777777">
        <w:trPr>
          <w:trHeight w:val="300"/>
        </w:trPr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1422DE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A7711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PSČ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068789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Město</w:t>
            </w:r>
          </w:p>
        </w:tc>
        <w:tc>
          <w:tcPr>
            <w:tcW w:w="37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8A9419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Adresa poskytování služby (nový stav)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604A57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Původní cena za       1 měsíc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10BB7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Nová cena za 1 měsíc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F52949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Rozdíl ceny za 1 měsíc</w:t>
            </w:r>
          </w:p>
        </w:tc>
      </w:tr>
      <w:tr w:rsidR="00F567D9" w14:paraId="5DF0ED3A" w14:textId="77777777">
        <w:trPr>
          <w:trHeight w:val="810"/>
        </w:trPr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27BDC" w14:textId="77777777" w:rsidR="00F567D9" w:rsidRDefault="00F567D9">
            <w:pPr>
              <w:spacing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67AC4" w14:textId="77777777" w:rsidR="00F567D9" w:rsidRDefault="00F567D9">
            <w:pPr>
              <w:spacing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094DC" w14:textId="77777777" w:rsidR="00F567D9" w:rsidRDefault="00F567D9">
            <w:pPr>
              <w:spacing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9B85BA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66072F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Č. popisné / Č.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orientační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2E9560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Kód RÚIAN - stavební objekt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257517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Kód RÚIAN - adresní místo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9DECD" w14:textId="77777777" w:rsidR="00F567D9" w:rsidRDefault="00F567D9">
            <w:pPr>
              <w:spacing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54A71" w14:textId="77777777" w:rsidR="00F567D9" w:rsidRDefault="00F567D9">
            <w:pPr>
              <w:spacing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5C770" w14:textId="77777777" w:rsidR="00F567D9" w:rsidRDefault="00F567D9">
            <w:pPr>
              <w:spacing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F567D9" w14:paraId="7CDA5D8A" w14:textId="77777777">
        <w:trPr>
          <w:trHeight w:val="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63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F4F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509 01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167F" w14:textId="77777777" w:rsidR="00F567D9" w:rsidRDefault="00E12D76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Nová Paka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0D4F" w14:textId="77777777" w:rsidR="00F567D9" w:rsidRDefault="00E12D76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Legií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5D40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A04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17441374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7629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17562937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BA0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05D8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251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-1 065 Kč</w:t>
            </w:r>
          </w:p>
        </w:tc>
      </w:tr>
      <w:tr w:rsidR="00F567D9" w14:paraId="13178760" w14:textId="77777777">
        <w:trPr>
          <w:trHeight w:val="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6414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314E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550 01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2F3D" w14:textId="77777777" w:rsidR="00F567D9" w:rsidRDefault="00E12D76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Broumov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0FF3" w14:textId="77777777" w:rsidR="00F567D9" w:rsidRDefault="00E12D76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Mírové náměstí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C07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1B67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7346808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2DC2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7392893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889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0963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0EF4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-1 065 Kč</w:t>
            </w:r>
          </w:p>
        </w:tc>
      </w:tr>
      <w:tr w:rsidR="00F567D9" w14:paraId="3A9CCF79" w14:textId="77777777">
        <w:trPr>
          <w:trHeight w:val="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3476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4A64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769 01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8A8" w14:textId="77777777" w:rsidR="00F567D9" w:rsidRDefault="00E12D76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Holešov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1610" w14:textId="77777777" w:rsidR="00F567D9" w:rsidRDefault="00E12D76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Masarykova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4657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64/5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257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10346970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3B51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10401211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3F63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6BD8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1 065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FDC3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Kč</w:t>
            </w:r>
          </w:p>
        </w:tc>
      </w:tr>
      <w:tr w:rsidR="00F567D9" w14:paraId="1B755450" w14:textId="77777777">
        <w:trPr>
          <w:trHeight w:val="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030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9300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342 01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E5E" w14:textId="77777777" w:rsidR="00F567D9" w:rsidRDefault="00E12D76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Sušice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6E0B" w14:textId="77777777" w:rsidR="00F567D9" w:rsidRDefault="00E12D76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Poštovní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8A4A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11C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6957692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FC0C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7003277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4023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4825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1 065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8D94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Kč</w:t>
            </w:r>
          </w:p>
        </w:tc>
      </w:tr>
      <w:tr w:rsidR="00F567D9" w14:paraId="487177EE" w14:textId="77777777">
        <w:trPr>
          <w:trHeight w:val="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49F7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ED0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625 00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FBF4" w14:textId="77777777" w:rsidR="00F567D9" w:rsidRDefault="00E12D76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AC5C" w14:textId="77777777" w:rsidR="00F567D9" w:rsidRDefault="00E12D76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Netroufalky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4C5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1A0C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96685824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5D8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79182119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DE2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CB5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1 417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CAE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352 Kč</w:t>
            </w:r>
          </w:p>
        </w:tc>
      </w:tr>
      <w:tr w:rsidR="00F567D9" w14:paraId="464CDF25" w14:textId="77777777">
        <w:trPr>
          <w:trHeight w:val="4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C824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EF63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339 01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686E" w14:textId="77777777" w:rsidR="00F567D9" w:rsidRDefault="00E12D76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Milevsko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1808" w14:textId="77777777" w:rsidR="00F567D9" w:rsidRDefault="00E12D76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 Krejcárkem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BD1B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7241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5529964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D8FF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5563208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56A6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1 065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F7FF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1 065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B55F" w14:textId="77777777" w:rsidR="00F567D9" w:rsidRDefault="00E12D76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Kč</w:t>
            </w:r>
          </w:p>
        </w:tc>
      </w:tr>
    </w:tbl>
    <w:p w14:paraId="0E195BFF" w14:textId="77777777" w:rsidR="00F567D9" w:rsidRDefault="00F567D9"/>
    <w:p w14:paraId="7DEAF909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Celková měsíční paušální cena za poskytování Služeb dle Smlouvy ve znění tohoto Dodatku č. 2 činí 103 620 Kč bez DPH.</w:t>
      </w:r>
    </w:p>
    <w:p w14:paraId="3A60BF56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 xml:space="preserve">Měsíční paušální cena za poskytování Služeb v nových lokalitách zahrnuje též zřízení a aktivaci </w:t>
      </w:r>
      <w:r>
        <w:rPr>
          <w:rFonts w:eastAsiaTheme="minorHAnsi"/>
        </w:rPr>
        <w:t>Služby, jakož i ceny za poskytování souvisejících služeb dle čl. III., odst. 2.1, písm. b) Smlouvy.</w:t>
      </w:r>
    </w:p>
    <w:p w14:paraId="2C9923D4" w14:textId="77777777" w:rsidR="00F567D9" w:rsidRDefault="00F567D9">
      <w:pPr>
        <w:spacing w:after="120" w:line="276" w:lineRule="auto"/>
        <w:rPr>
          <w:rFonts w:eastAsiaTheme="minorHAnsi" w:cstheme="majorBidi"/>
          <w:bCs/>
          <w:szCs w:val="26"/>
          <w:lang w:eastAsia="cs-CZ"/>
        </w:rPr>
      </w:pPr>
    </w:p>
    <w:p w14:paraId="0A0050D7" w14:textId="77777777" w:rsidR="00F567D9" w:rsidRDefault="00E12D76">
      <w:pPr>
        <w:pStyle w:val="Nadpis1"/>
      </w:pPr>
      <w:r>
        <w:t>Závěrečná ujednání</w:t>
      </w:r>
    </w:p>
    <w:p w14:paraId="4929ECE5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Tento Dodatek č. 2 nabývá platnosti dnem podpisu poslední Smluvní stranou a účinnosti dnem uveřejnění v registru smluv. Zahájení poskyto</w:t>
      </w:r>
      <w:r>
        <w:rPr>
          <w:rFonts w:eastAsiaTheme="minorHAnsi"/>
        </w:rPr>
        <w:t>vání služeb se řídí ustanovením bodu 3.1 tohoto Dodatku č. 2.</w:t>
      </w:r>
    </w:p>
    <w:p w14:paraId="6871EE25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Tento Dodatek č. 2 se stává nedílnou součástí Smlouvy. Veškerá ujednání Smlouvy, která nejsou výslovně změněna tímto Dodatkem č. 2, zůstávají nadále platná a účinná.</w:t>
      </w:r>
    </w:p>
    <w:p w14:paraId="75CA034A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 xml:space="preserve"> Nedílnou součástí tohoto Do</w:t>
      </w:r>
      <w:r>
        <w:rPr>
          <w:rFonts w:eastAsiaTheme="minorHAnsi"/>
        </w:rPr>
        <w:t xml:space="preserve">datku č. 2 je níže uvedená příloha. </w:t>
      </w:r>
    </w:p>
    <w:p w14:paraId="61ED25C4" w14:textId="77777777" w:rsidR="00F567D9" w:rsidRDefault="00E12D76">
      <w:pPr>
        <w:pStyle w:val="Odstavecseseznamem"/>
        <w:numPr>
          <w:ilvl w:val="0"/>
          <w:numId w:val="28"/>
        </w:numPr>
        <w:contextualSpacing w:val="0"/>
        <w:rPr>
          <w:rFonts w:eastAsiaTheme="minorHAnsi" w:cstheme="majorBidi"/>
          <w:bCs/>
          <w:szCs w:val="26"/>
          <w:lang w:eastAsia="cs-CZ"/>
        </w:rPr>
      </w:pPr>
      <w:r>
        <w:rPr>
          <w:rFonts w:eastAsiaTheme="minorHAnsi" w:cstheme="majorBidi"/>
          <w:bCs/>
          <w:szCs w:val="26"/>
          <w:lang w:eastAsia="cs-CZ"/>
        </w:rPr>
        <w:t>Příloha č. 4 Smlouvy (aktualizovaná) – Tabulka lokalit, technických parametrů a cen poskytovaných služeb pro FÁZI 2</w:t>
      </w:r>
    </w:p>
    <w:p w14:paraId="61CEC204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 xml:space="preserve">Tento Dodatek č. 2 se uzavírá písemně v elektronické podobě a je podepsán elektronickým podpisem dle zákona č. 297/2016 Sb. o službách vytvářejících důvěru pro elektronické transakce, ve znění pozdějších předpisů (dále jen </w:t>
      </w:r>
      <w:r>
        <w:rPr>
          <w:rFonts w:eastAsiaTheme="minorHAnsi"/>
          <w:b/>
        </w:rPr>
        <w:t>„ZSVD“</w:t>
      </w:r>
      <w:r>
        <w:rPr>
          <w:rFonts w:eastAsiaTheme="minorHAnsi"/>
        </w:rPr>
        <w:t>). Smluvní strany se dohodl</w:t>
      </w:r>
      <w:r>
        <w:rPr>
          <w:rFonts w:eastAsiaTheme="minorHAnsi"/>
        </w:rPr>
        <w:t>y, že Poskytovatel podepíše tento Dodatek č. 2 uznávaným elektronickým podpisem v souladu s § 6 ZSVD; VZP ČR tento Dodatek č. 2 podepíše v souladu s § 5 ZSVD kvalifikovaným elektronickým podpisem.</w:t>
      </w:r>
    </w:p>
    <w:p w14:paraId="53F61048" w14:textId="77777777" w:rsidR="00F567D9" w:rsidRDefault="00E12D76">
      <w:pPr>
        <w:pStyle w:val="Nadpis2"/>
        <w:rPr>
          <w:rFonts w:eastAsiaTheme="minorHAnsi"/>
        </w:rPr>
      </w:pPr>
      <w:r>
        <w:rPr>
          <w:rFonts w:eastAsiaTheme="minorHAnsi"/>
        </w:rPr>
        <w:t>Smluvní strany prohlašují, že si tento Dodatek č. 2 řádně p</w:t>
      </w:r>
      <w:r>
        <w:rPr>
          <w:rFonts w:eastAsiaTheme="minorHAnsi"/>
        </w:rPr>
        <w:t>řečetly, s jeho zněním souhlasí a na důkaz toho připojují své podpisy.</w:t>
      </w:r>
    </w:p>
    <w:p w14:paraId="21DB8B86" w14:textId="77777777" w:rsidR="00F567D9" w:rsidRDefault="00F567D9">
      <w:pPr>
        <w:rPr>
          <w:lang w:eastAsia="cs-CZ"/>
        </w:rPr>
      </w:pPr>
    </w:p>
    <w:p w14:paraId="7E8466B2" w14:textId="77777777" w:rsidR="00F567D9" w:rsidRDefault="00F567D9">
      <w:pPr>
        <w:spacing w:line="276" w:lineRule="auto"/>
        <w:jc w:val="left"/>
        <w:rPr>
          <w:rFonts w:eastAsiaTheme="minorHAnsi" w:cs="Arial"/>
        </w:rPr>
      </w:pPr>
    </w:p>
    <w:tbl>
      <w:tblPr>
        <w:tblW w:w="5078" w:type="pct"/>
        <w:tblInd w:w="-142" w:type="dxa"/>
        <w:tblLook w:val="0000" w:firstRow="0" w:lastRow="0" w:firstColumn="0" w:lastColumn="0" w:noHBand="0" w:noVBand="0"/>
      </w:tblPr>
      <w:tblGrid>
        <w:gridCol w:w="3713"/>
        <w:gridCol w:w="2353"/>
        <w:gridCol w:w="3148"/>
      </w:tblGrid>
      <w:tr w:rsidR="00F567D9" w14:paraId="7FBD487E" w14:textId="77777777">
        <w:tc>
          <w:tcPr>
            <w:tcW w:w="2015" w:type="pct"/>
          </w:tcPr>
          <w:p w14:paraId="3864C4C2" w14:textId="77777777" w:rsidR="00F567D9" w:rsidRDefault="00E12D76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  <w:r>
              <w:rPr>
                <w:rFonts w:eastAsiaTheme="minorHAnsi" w:cs="Arial"/>
                <w:b/>
              </w:rPr>
              <w:lastRenderedPageBreak/>
              <w:t>Všeobecná zdravotní pojišťovna</w:t>
            </w:r>
            <w:r>
              <w:rPr>
                <w:rFonts w:eastAsiaTheme="minorHAnsi" w:cs="Arial"/>
                <w:b/>
              </w:rPr>
              <w:br/>
              <w:t>České republiky</w:t>
            </w:r>
          </w:p>
          <w:p w14:paraId="0CDD1754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18D4A49F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30BC1698" w14:textId="77777777" w:rsidR="00F567D9" w:rsidRDefault="00F567D9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</w:p>
          <w:p w14:paraId="3ABB8CDA" w14:textId="77777777" w:rsidR="00F567D9" w:rsidRDefault="00E12D76">
            <w:pPr>
              <w:spacing w:line="276" w:lineRule="auto"/>
              <w:jc w:val="left"/>
              <w:rPr>
                <w:rFonts w:eastAsiaTheme="minorHAnsi" w:cs="Arial"/>
                <w:bCs/>
                <w:i/>
                <w:iCs/>
              </w:rPr>
            </w:pPr>
            <w:r>
              <w:rPr>
                <w:rFonts w:eastAsiaTheme="minorHAnsi" w:cs="Arial"/>
                <w:bCs/>
                <w:i/>
                <w:iCs/>
              </w:rPr>
              <w:t>podepsáno elektronicky</w:t>
            </w:r>
          </w:p>
        </w:tc>
        <w:tc>
          <w:tcPr>
            <w:tcW w:w="1277" w:type="pct"/>
          </w:tcPr>
          <w:p w14:paraId="4817538C" w14:textId="77777777" w:rsidR="00F567D9" w:rsidRDefault="00F567D9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1708" w:type="pct"/>
          </w:tcPr>
          <w:p w14:paraId="41ECFF38" w14:textId="77777777" w:rsidR="00F567D9" w:rsidRDefault="00E12D76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  <w:b/>
                <w:bCs/>
              </w:rPr>
              <w:t xml:space="preserve">O2 Czech Republic a.s. </w:t>
            </w:r>
          </w:p>
          <w:p w14:paraId="3C07ED9F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1733C448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37FDB7A1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1B7A5B2E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4008B653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/>
              </w:rPr>
            </w:pPr>
          </w:p>
          <w:p w14:paraId="294753FD" w14:textId="77777777" w:rsidR="00F567D9" w:rsidRDefault="00E12D76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Cs/>
                <w:i/>
                <w:iCs/>
              </w:rPr>
            </w:pPr>
            <w:r>
              <w:rPr>
                <w:rFonts w:eastAsiaTheme="minorHAnsi" w:cs="Arial"/>
                <w:bCs/>
                <w:i/>
                <w:iCs/>
              </w:rPr>
              <w:t>podepsáno elektronicky</w:t>
            </w:r>
          </w:p>
          <w:p w14:paraId="306DCF7A" w14:textId="77777777" w:rsidR="00F567D9" w:rsidRDefault="00F567D9">
            <w:pPr>
              <w:spacing w:afterLines="120" w:after="288" w:line="276" w:lineRule="auto"/>
              <w:contextualSpacing/>
              <w:jc w:val="left"/>
              <w:rPr>
                <w:rFonts w:eastAsiaTheme="minorHAnsi" w:cs="Arial"/>
                <w:bCs/>
                <w:i/>
                <w:iCs/>
              </w:rPr>
            </w:pPr>
          </w:p>
        </w:tc>
      </w:tr>
      <w:tr w:rsidR="00F567D9" w14:paraId="2ABCA684" w14:textId="77777777">
        <w:trPr>
          <w:trHeight w:val="80"/>
        </w:trPr>
        <w:tc>
          <w:tcPr>
            <w:tcW w:w="2015" w:type="pct"/>
          </w:tcPr>
          <w:p w14:paraId="1B930D6D" w14:textId="77777777" w:rsidR="00F567D9" w:rsidRDefault="00E12D76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PhDr. Ivan Duškov, MSc.</w:t>
            </w:r>
          </w:p>
          <w:p w14:paraId="7376C79E" w14:textId="77777777" w:rsidR="00F567D9" w:rsidRDefault="00E12D76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ředitel VZP ČR</w:t>
            </w:r>
          </w:p>
        </w:tc>
        <w:tc>
          <w:tcPr>
            <w:tcW w:w="1277" w:type="pct"/>
          </w:tcPr>
          <w:p w14:paraId="2ED4DB01" w14:textId="77777777" w:rsidR="00F567D9" w:rsidRDefault="00F567D9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1708" w:type="pct"/>
          </w:tcPr>
          <w:p w14:paraId="36E290B4" w14:textId="77777777" w:rsidR="00F567D9" w:rsidRDefault="00E12D76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 xml:space="preserve">XXXXXXXXXX </w:t>
            </w:r>
          </w:p>
          <w:p w14:paraId="2CD60CFA" w14:textId="77777777" w:rsidR="00F567D9" w:rsidRDefault="00E12D76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proofErr w:type="spellStart"/>
            <w:r>
              <w:rPr>
                <w:rFonts w:eastAsiaTheme="minorHAnsi" w:cs="Arial"/>
              </w:rPr>
              <w:t>Key</w:t>
            </w:r>
            <w:proofErr w:type="spellEnd"/>
            <w:r>
              <w:rPr>
                <w:rFonts w:eastAsiaTheme="minorHAnsi" w:cs="Arial"/>
              </w:rPr>
              <w:t xml:space="preserve"> </w:t>
            </w:r>
            <w:proofErr w:type="spellStart"/>
            <w:r>
              <w:rPr>
                <w:rFonts w:eastAsiaTheme="minorHAnsi" w:cs="Arial"/>
              </w:rPr>
              <w:t>Account</w:t>
            </w:r>
            <w:proofErr w:type="spellEnd"/>
            <w:r>
              <w:rPr>
                <w:rFonts w:eastAsiaTheme="minorHAnsi" w:cs="Arial"/>
              </w:rPr>
              <w:t xml:space="preserve"> Manager</w:t>
            </w:r>
          </w:p>
        </w:tc>
      </w:tr>
      <w:tr w:rsidR="00F567D9" w14:paraId="0FF04791" w14:textId="77777777">
        <w:tc>
          <w:tcPr>
            <w:tcW w:w="2015" w:type="pct"/>
          </w:tcPr>
          <w:p w14:paraId="224CEBAC" w14:textId="77777777" w:rsidR="00F567D9" w:rsidRDefault="00F567D9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</w:p>
        </w:tc>
        <w:tc>
          <w:tcPr>
            <w:tcW w:w="1277" w:type="pct"/>
          </w:tcPr>
          <w:p w14:paraId="7BF9F787" w14:textId="77777777" w:rsidR="00F567D9" w:rsidRDefault="00F567D9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1708" w:type="pct"/>
          </w:tcPr>
          <w:p w14:paraId="3F99F246" w14:textId="77777777" w:rsidR="00F567D9" w:rsidRDefault="00F567D9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</w:p>
        </w:tc>
      </w:tr>
    </w:tbl>
    <w:p w14:paraId="0FF63AE1" w14:textId="77777777" w:rsidR="00F567D9" w:rsidRDefault="00F567D9">
      <w:pPr>
        <w:rPr>
          <w:lang w:eastAsia="cs-CZ"/>
        </w:rPr>
      </w:pPr>
    </w:p>
    <w:p w14:paraId="743D7BDD" w14:textId="77777777" w:rsidR="00F567D9" w:rsidRDefault="00F567D9">
      <w:pPr>
        <w:rPr>
          <w:lang w:eastAsia="cs-CZ"/>
        </w:rPr>
      </w:pPr>
    </w:p>
    <w:p w14:paraId="75C5BAFA" w14:textId="77777777" w:rsidR="00F567D9" w:rsidRDefault="00F567D9">
      <w:pPr>
        <w:rPr>
          <w:lang w:eastAsia="cs-CZ"/>
        </w:rPr>
      </w:pPr>
    </w:p>
    <w:p w14:paraId="3DA30607" w14:textId="77777777" w:rsidR="00F567D9" w:rsidRDefault="00F567D9">
      <w:pPr>
        <w:rPr>
          <w:lang w:eastAsia="cs-CZ"/>
        </w:rPr>
      </w:pPr>
    </w:p>
    <w:p w14:paraId="322B021A" w14:textId="77777777" w:rsidR="00F567D9" w:rsidRDefault="00F567D9">
      <w:pPr>
        <w:rPr>
          <w:lang w:eastAsia="cs-CZ"/>
        </w:rPr>
      </w:pPr>
    </w:p>
    <w:p w14:paraId="36FC64D4" w14:textId="77777777" w:rsidR="00F567D9" w:rsidRDefault="00F567D9">
      <w:pPr>
        <w:rPr>
          <w:lang w:eastAsia="cs-CZ"/>
        </w:rPr>
      </w:pPr>
    </w:p>
    <w:p w14:paraId="0BB4FA80" w14:textId="77777777" w:rsidR="00F567D9" w:rsidRDefault="00F567D9">
      <w:pPr>
        <w:rPr>
          <w:lang w:eastAsia="cs-CZ"/>
        </w:rPr>
      </w:pPr>
    </w:p>
    <w:p w14:paraId="38FAC00A" w14:textId="77777777" w:rsidR="00F567D9" w:rsidRDefault="00F567D9">
      <w:pPr>
        <w:rPr>
          <w:lang w:eastAsia="cs-CZ"/>
        </w:rPr>
      </w:pPr>
    </w:p>
    <w:p w14:paraId="06A61AAD" w14:textId="77777777" w:rsidR="00F567D9" w:rsidRDefault="00F567D9">
      <w:pPr>
        <w:rPr>
          <w:lang w:eastAsia="cs-CZ"/>
        </w:rPr>
      </w:pPr>
    </w:p>
    <w:p w14:paraId="2D5A0690" w14:textId="77777777" w:rsidR="00F567D9" w:rsidRDefault="00F567D9">
      <w:pPr>
        <w:rPr>
          <w:lang w:eastAsia="cs-CZ"/>
        </w:rPr>
      </w:pPr>
    </w:p>
    <w:p w14:paraId="71BA8020" w14:textId="77777777" w:rsidR="00F567D9" w:rsidRDefault="00F567D9">
      <w:pPr>
        <w:rPr>
          <w:lang w:eastAsia="cs-CZ"/>
        </w:rPr>
      </w:pPr>
    </w:p>
    <w:p w14:paraId="1AD24636" w14:textId="77777777" w:rsidR="00F567D9" w:rsidRDefault="00F567D9">
      <w:pPr>
        <w:rPr>
          <w:lang w:eastAsia="cs-CZ"/>
        </w:rPr>
      </w:pPr>
    </w:p>
    <w:p w14:paraId="0FDC3F64" w14:textId="77777777" w:rsidR="00F567D9" w:rsidRDefault="00F567D9">
      <w:pPr>
        <w:rPr>
          <w:lang w:eastAsia="cs-CZ"/>
        </w:rPr>
      </w:pPr>
    </w:p>
    <w:p w14:paraId="0F789488" w14:textId="77777777" w:rsidR="00F567D9" w:rsidRDefault="00F567D9">
      <w:pPr>
        <w:rPr>
          <w:lang w:eastAsia="cs-CZ"/>
        </w:rPr>
      </w:pPr>
    </w:p>
    <w:p w14:paraId="1FE6D789" w14:textId="77777777" w:rsidR="00F567D9" w:rsidRDefault="00F567D9">
      <w:pPr>
        <w:rPr>
          <w:lang w:eastAsia="cs-CZ"/>
        </w:rPr>
      </w:pPr>
    </w:p>
    <w:p w14:paraId="75E76A19" w14:textId="77777777" w:rsidR="00F567D9" w:rsidRDefault="00F567D9">
      <w:pPr>
        <w:rPr>
          <w:lang w:eastAsia="cs-CZ"/>
        </w:rPr>
      </w:pPr>
    </w:p>
    <w:p w14:paraId="49DE3E49" w14:textId="77777777" w:rsidR="00F567D9" w:rsidRDefault="00F567D9">
      <w:pPr>
        <w:rPr>
          <w:lang w:eastAsia="cs-CZ"/>
        </w:rPr>
      </w:pPr>
    </w:p>
    <w:p w14:paraId="6E086470" w14:textId="77777777" w:rsidR="00F567D9" w:rsidRDefault="00F567D9">
      <w:pPr>
        <w:rPr>
          <w:lang w:eastAsia="cs-CZ"/>
        </w:rPr>
      </w:pPr>
    </w:p>
    <w:p w14:paraId="5302086F" w14:textId="77777777" w:rsidR="00F567D9" w:rsidRDefault="00F567D9">
      <w:pPr>
        <w:rPr>
          <w:lang w:eastAsia="cs-CZ"/>
        </w:rPr>
      </w:pPr>
    </w:p>
    <w:p w14:paraId="100A6BF6" w14:textId="77777777" w:rsidR="00F567D9" w:rsidRDefault="00F567D9">
      <w:pPr>
        <w:rPr>
          <w:lang w:eastAsia="cs-CZ"/>
        </w:rPr>
      </w:pPr>
    </w:p>
    <w:p w14:paraId="7ADC637A" w14:textId="77777777" w:rsidR="00F567D9" w:rsidRDefault="00F567D9">
      <w:pPr>
        <w:rPr>
          <w:lang w:eastAsia="cs-CZ"/>
        </w:rPr>
      </w:pPr>
    </w:p>
    <w:p w14:paraId="73E1387A" w14:textId="77777777" w:rsidR="00F567D9" w:rsidRDefault="00F567D9">
      <w:pPr>
        <w:rPr>
          <w:lang w:eastAsia="cs-CZ"/>
        </w:rPr>
      </w:pPr>
    </w:p>
    <w:p w14:paraId="22409596" w14:textId="77777777" w:rsidR="00F567D9" w:rsidRDefault="00F567D9">
      <w:pPr>
        <w:rPr>
          <w:lang w:eastAsia="cs-CZ"/>
        </w:rPr>
        <w:sectPr w:rsidR="00F567D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B7594F" w14:textId="77777777" w:rsidR="00F567D9" w:rsidRDefault="00E12D7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E9FFEB" wp14:editId="220BBA82">
            <wp:simplePos x="0" y="0"/>
            <wp:positionH relativeFrom="margin">
              <wp:align>right</wp:align>
            </wp:positionH>
            <wp:positionV relativeFrom="paragraph">
              <wp:posOffset>275</wp:posOffset>
            </wp:positionV>
            <wp:extent cx="8896985" cy="5748655"/>
            <wp:effectExtent l="0" t="0" r="0" b="4445"/>
            <wp:wrapSquare wrapText="bothSides"/>
            <wp:docPr id="162" name="Obrázek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728" cy="574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67D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86DB" w14:textId="77777777" w:rsidR="00E12D76" w:rsidRDefault="00E12D76">
      <w:pPr>
        <w:spacing w:after="0"/>
      </w:pPr>
      <w:r>
        <w:separator/>
      </w:r>
    </w:p>
  </w:endnote>
  <w:endnote w:type="continuationSeparator" w:id="0">
    <w:p w14:paraId="3B9F7201" w14:textId="77777777" w:rsidR="00E12D76" w:rsidRDefault="00E12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364938"/>
      <w:docPartObj>
        <w:docPartGallery w:val="Page Numbers (Bottom of Page)"/>
        <w:docPartUnique/>
      </w:docPartObj>
    </w:sdtPr>
    <w:sdtEndPr/>
    <w:sdtContent>
      <w:p w14:paraId="36DAC71A" w14:textId="77777777" w:rsidR="00F567D9" w:rsidRDefault="00E12D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4F66F" w14:textId="77777777" w:rsidR="00F567D9" w:rsidRDefault="00F567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7AC1" w14:textId="77777777" w:rsidR="00F567D9" w:rsidRDefault="00F567D9">
    <w:pPr>
      <w:pStyle w:val="Zpat"/>
      <w:jc w:val="right"/>
    </w:pPr>
  </w:p>
  <w:p w14:paraId="7FE11A92" w14:textId="77777777" w:rsidR="00F567D9" w:rsidRDefault="00F56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D7DB" w14:textId="77777777" w:rsidR="00E12D76" w:rsidRDefault="00E12D76">
      <w:pPr>
        <w:spacing w:after="0"/>
      </w:pPr>
      <w:r>
        <w:separator/>
      </w:r>
    </w:p>
  </w:footnote>
  <w:footnote w:type="continuationSeparator" w:id="0">
    <w:p w14:paraId="6B2CF60B" w14:textId="77777777" w:rsidR="00E12D76" w:rsidRDefault="00E12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E82A" w14:textId="77777777" w:rsidR="00F567D9" w:rsidRDefault="00F567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53A4"/>
    <w:multiLevelType w:val="hybridMultilevel"/>
    <w:tmpl w:val="076ACB5C"/>
    <w:lvl w:ilvl="0" w:tplc="23ACC22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hybridMultilevel"/>
    <w:tmpl w:val="BA141480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" w15:restartNumberingAfterBreak="0">
    <w:nsid w:val="25C05FEB"/>
    <w:multiLevelType w:val="hybridMultilevel"/>
    <w:tmpl w:val="11A087B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1D57294"/>
    <w:multiLevelType w:val="hybridMultilevel"/>
    <w:tmpl w:val="45123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F6F51"/>
    <w:multiLevelType w:val="hybridMultilevel"/>
    <w:tmpl w:val="9D22A5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31963"/>
    <w:multiLevelType w:val="hybridMultilevel"/>
    <w:tmpl w:val="BFAE3260"/>
    <w:lvl w:ilvl="0" w:tplc="EFC28A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6640D"/>
    <w:multiLevelType w:val="hybridMultilevel"/>
    <w:tmpl w:val="0FCAFEF2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E710E"/>
    <w:multiLevelType w:val="multilevel"/>
    <w:tmpl w:val="B68CB72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C6016E"/>
    <w:multiLevelType w:val="hybridMultilevel"/>
    <w:tmpl w:val="BF48AAF6"/>
    <w:lvl w:ilvl="0" w:tplc="7F94C622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B74159"/>
    <w:multiLevelType w:val="hybridMultilevel"/>
    <w:tmpl w:val="7C96E92C"/>
    <w:lvl w:ilvl="0" w:tplc="ECE804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788B"/>
    <w:multiLevelType w:val="hybridMultilevel"/>
    <w:tmpl w:val="71D8F718"/>
    <w:lvl w:ilvl="0" w:tplc="15E67C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B53675F"/>
    <w:multiLevelType w:val="hybridMultilevel"/>
    <w:tmpl w:val="50983A1E"/>
    <w:lvl w:ilvl="0" w:tplc="9C701F64">
      <w:start w:val="1"/>
      <w:numFmt w:val="lowerLetter"/>
      <w:pStyle w:val="Nadpis4"/>
      <w:lvlText w:val="%1)"/>
      <w:lvlJc w:val="left"/>
      <w:pPr>
        <w:ind w:left="1154" w:hanging="360"/>
      </w:p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2" w15:restartNumberingAfterBreak="0">
    <w:nsid w:val="4EB116E2"/>
    <w:multiLevelType w:val="hybridMultilevel"/>
    <w:tmpl w:val="F7587D9E"/>
    <w:lvl w:ilvl="0" w:tplc="332EF17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A0858"/>
    <w:multiLevelType w:val="hybridMultilevel"/>
    <w:tmpl w:val="755CB404"/>
    <w:lvl w:ilvl="0" w:tplc="D818A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C679C"/>
    <w:multiLevelType w:val="hybridMultilevel"/>
    <w:tmpl w:val="3C529CD6"/>
    <w:name w:val="dvojka2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6A161CA4"/>
    <w:multiLevelType w:val="multilevel"/>
    <w:tmpl w:val="9BD26424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E96D0A"/>
    <w:multiLevelType w:val="hybridMultilevel"/>
    <w:tmpl w:val="F2704F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51B58"/>
    <w:multiLevelType w:val="hybridMultilevel"/>
    <w:tmpl w:val="BDCCE2A6"/>
    <w:lvl w:ilvl="0" w:tplc="9558D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65E37"/>
    <w:multiLevelType w:val="hybridMultilevel"/>
    <w:tmpl w:val="6212D7B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7"/>
  </w:num>
  <w:num w:numId="12">
    <w:abstractNumId w:val="11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4"/>
  </w:num>
  <w:num w:numId="29">
    <w:abstractNumId w:val="18"/>
  </w:num>
  <w:num w:numId="30">
    <w:abstractNumId w:val="2"/>
  </w:num>
  <w:num w:numId="31">
    <w:abstractNumId w:val="1"/>
  </w:num>
  <w:num w:numId="32">
    <w:abstractNumId w:val="13"/>
  </w:num>
  <w:num w:numId="33">
    <w:abstractNumId w:val="12"/>
  </w:num>
  <w:num w:numId="34">
    <w:abstractNumId w:val="9"/>
  </w:num>
  <w:num w:numId="35">
    <w:abstractNumId w:val="17"/>
  </w:num>
  <w:num w:numId="36">
    <w:abstractNumId w:val="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9"/>
    <w:rsid w:val="005916A8"/>
    <w:rsid w:val="00E12D76"/>
    <w:rsid w:val="00F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2C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pPr>
      <w:keepNext/>
      <w:keepLines/>
      <w:numPr>
        <w:numId w:val="17"/>
      </w:numPr>
      <w:spacing w:after="120" w:line="276" w:lineRule="auto"/>
      <w:jc w:val="center"/>
      <w:outlineLvl w:val="0"/>
    </w:pPr>
    <w:rPr>
      <w:rFonts w:eastAsiaTheme="minorHAnsi" w:cstheme="majorBidi"/>
      <w:b/>
      <w:szCs w:val="26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pPr>
      <w:numPr>
        <w:ilvl w:val="1"/>
        <w:numId w:val="17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pPr>
      <w:keepNext/>
      <w:keepLines/>
      <w:numPr>
        <w:ilvl w:val="2"/>
        <w:numId w:val="17"/>
      </w:numPr>
      <w:spacing w:after="120" w:line="276" w:lineRule="auto"/>
      <w:ind w:left="111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semiHidden/>
    <w:unhideWhenUsed/>
    <w:qFormat/>
    <w:pPr>
      <w:keepNext/>
      <w:keepLines/>
      <w:numPr>
        <w:numId w:val="12"/>
      </w:numPr>
      <w:spacing w:after="120" w:line="276" w:lineRule="auto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c">
    <w:name w:val="Odrazka c"/>
    <w:basedOn w:val="Normln"/>
    <w:qFormat/>
    <w:pPr>
      <w:keepLines/>
      <w:numPr>
        <w:numId w:val="1"/>
      </w:numPr>
      <w:spacing w:before="360"/>
    </w:p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qFormat/>
    <w:locked/>
    <w:rPr>
      <w:rFonts w:ascii="Arial" w:eastAsia="Calibri" w:hAnsi="Arial" w:cs="Times New Roman"/>
      <w:sz w:val="20"/>
    </w:rPr>
  </w:style>
  <w:style w:type="paragraph" w:customStyle="1" w:styleId="odstavec1a">
    <w:name w:val="odstavec1a"/>
    <w:basedOn w:val="Normln"/>
    <w:qFormat/>
    <w:pPr>
      <w:numPr>
        <w:numId w:val="18"/>
      </w:numPr>
      <w:spacing w:after="0" w:line="276" w:lineRule="auto"/>
      <w:contextualSpacing/>
    </w:pPr>
    <w:rPr>
      <w:rFonts w:ascii="Tahoma" w:hAnsi="Tahoma" w:cs="Tahoma"/>
      <w:szCs w:val="20"/>
      <w:lang w:eastAsia="cs-CZ"/>
    </w:rPr>
  </w:style>
  <w:style w:type="paragraph" w:customStyle="1" w:styleId="Slnek">
    <w:name w:val="S_Článek"/>
    <w:basedOn w:val="Normln"/>
    <w:next w:val="Normln"/>
    <w:qFormat/>
    <w:pPr>
      <w:numPr>
        <w:numId w:val="22"/>
      </w:numPr>
      <w:spacing w:before="360" w:after="0"/>
      <w:jc w:val="center"/>
    </w:pPr>
    <w:rPr>
      <w:rFonts w:ascii="Calibri" w:hAnsi="Calibri"/>
      <w:b/>
      <w:sz w:val="28"/>
      <w:szCs w:val="28"/>
    </w:rPr>
  </w:style>
  <w:style w:type="paragraph" w:customStyle="1" w:styleId="SOdstavec">
    <w:name w:val="S_Odstavec"/>
    <w:basedOn w:val="Normln"/>
    <w:qFormat/>
    <w:pPr>
      <w:numPr>
        <w:ilvl w:val="1"/>
        <w:numId w:val="22"/>
      </w:numPr>
      <w:tabs>
        <w:tab w:val="left" w:pos="426"/>
      </w:tabs>
      <w:spacing w:before="120" w:after="0"/>
    </w:pPr>
    <w:rPr>
      <w:rFonts w:ascii="Calibri" w:hAnsi="Calibri"/>
      <w:sz w:val="22"/>
    </w:rPr>
  </w:style>
  <w:style w:type="paragraph" w:customStyle="1" w:styleId="SBod">
    <w:name w:val="S_Bod"/>
    <w:basedOn w:val="Normln"/>
    <w:qFormat/>
    <w:pPr>
      <w:numPr>
        <w:ilvl w:val="2"/>
        <w:numId w:val="22"/>
      </w:numPr>
      <w:tabs>
        <w:tab w:val="left" w:pos="993"/>
      </w:tabs>
      <w:spacing w:before="120" w:after="0"/>
    </w:pPr>
    <w:rPr>
      <w:rFonts w:ascii="Calibri" w:hAnsi="Calibri"/>
      <w:sz w:val="22"/>
    </w:rPr>
  </w:style>
  <w:style w:type="paragraph" w:customStyle="1" w:styleId="SPsmeno">
    <w:name w:val="S_Písmeno"/>
    <w:basedOn w:val="Normln"/>
    <w:qFormat/>
    <w:pPr>
      <w:numPr>
        <w:ilvl w:val="3"/>
        <w:numId w:val="22"/>
      </w:numPr>
      <w:tabs>
        <w:tab w:val="left" w:pos="1276"/>
      </w:tabs>
      <w:spacing w:before="60" w:after="0"/>
    </w:pPr>
    <w:rPr>
      <w:rFonts w:ascii="Calibri" w:hAnsi="Calibri"/>
      <w:sz w:val="2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hAnsi="Arial" w:cstheme="majorBidi"/>
      <w:b/>
      <w:sz w:val="20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Theme="majorEastAsia" w:hAnsi="Arial" w:cstheme="majorBidi"/>
      <w:bCs/>
      <w:sz w:val="20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="Arial" w:eastAsiaTheme="majorEastAsia" w:hAnsi="Arial" w:cstheme="majorBidi"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aliases w:val="(MYCOM Legend)"/>
    <w:basedOn w:val="Normln"/>
    <w:next w:val="Normln"/>
    <w:link w:val="TitulekChar"/>
    <w:qFormat/>
    <w:pPr>
      <w:keepNext/>
      <w:spacing w:before="240" w:after="120"/>
      <w:jc w:val="left"/>
    </w:pPr>
    <w:rPr>
      <w:rFonts w:eastAsia="Times New Roman"/>
      <w:i/>
      <w:sz w:val="16"/>
      <w:szCs w:val="20"/>
    </w:rPr>
  </w:style>
  <w:style w:type="character" w:customStyle="1" w:styleId="TitulekChar">
    <w:name w:val="Titulek Char"/>
    <w:aliases w:val="(MYCOM Legend) Char"/>
    <w:link w:val="Titulek"/>
    <w:rPr>
      <w:rFonts w:ascii="Arial" w:eastAsia="Times New Roman" w:hAnsi="Arial" w:cs="Times New Roman"/>
      <w:i/>
      <w:sz w:val="16"/>
      <w:szCs w:val="20"/>
    </w:rPr>
  </w:style>
  <w:style w:type="paragraph" w:styleId="Bezmezer">
    <w:name w:val="No Spacing"/>
    <w:aliases w:val="Text"/>
    <w:autoRedefine/>
    <w:uiPriority w:val="1"/>
    <w:qFormat/>
    <w:pPr>
      <w:spacing w:after="0" w:line="240" w:lineRule="auto"/>
      <w:ind w:left="3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Calibri" w:hAnsi="Arial" w:cs="Times New Roman"/>
      <w:sz w:val="20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982B-3D10-4167-9918-6977913B4A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2026-05-26T09:46:00Z</dcterms:created>
  <dcterms:modified xsi:type="dcterms:W3CDTF">2026-05-26T09:46:00Z</dcterms:modified>
</cp:coreProperties>
</file>