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4EAF730C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8B4C32">
        <w:rPr>
          <w:b/>
          <w:sz w:val="24"/>
          <w:szCs w:val="24"/>
        </w:rPr>
        <w:t>1045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467DC9B4" w:rsidR="00376EEC" w:rsidRDefault="008B4C32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Petr Kroupa,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Petrem Kroupou</w:t>
      </w:r>
    </w:p>
    <w:p w14:paraId="08DBE883" w14:textId="33048AB8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</w:p>
    <w:p w14:paraId="7773A142" w14:textId="703C01D0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8B4C32">
        <w:rPr>
          <w:sz w:val="24"/>
          <w:szCs w:val="24"/>
        </w:rPr>
        <w:t>761 63 261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76080601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8B4C32">
        <w:rPr>
          <w:b/>
          <w:sz w:val="24"/>
          <w:szCs w:val="24"/>
        </w:rPr>
        <w:t>1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8B4C32">
        <w:rPr>
          <w:b/>
          <w:sz w:val="24"/>
          <w:szCs w:val="24"/>
        </w:rPr>
        <w:t>6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8B4C32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1780DC46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Jméno a příjmení</w:t>
      </w:r>
    </w:p>
    <w:p w14:paraId="37EAF896" w14:textId="43220D19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74CCB609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e-mail: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4AD275BB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20C85EF9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8B4C32">
        <w:rPr>
          <w:sz w:val="24"/>
          <w:szCs w:val="24"/>
        </w:rPr>
        <w:t xml:space="preserve"> 21. 5. 2026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445CF046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8B4C32">
        <w:rPr>
          <w:b/>
          <w:sz w:val="24"/>
          <w:szCs w:val="24"/>
        </w:rPr>
        <w:t>1045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06FB692B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3379F18C" w:rsidR="00677F5F" w:rsidRPr="00E40239" w:rsidRDefault="008B4C32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7B2B" w14:textId="77777777" w:rsidR="00BD043E" w:rsidRDefault="00BD043E">
      <w:r>
        <w:separator/>
      </w:r>
    </w:p>
  </w:endnote>
  <w:endnote w:type="continuationSeparator" w:id="0">
    <w:p w14:paraId="4F24E8E5" w14:textId="77777777" w:rsidR="00BD043E" w:rsidRDefault="00BD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B667" w14:textId="77777777" w:rsidR="00BD043E" w:rsidRDefault="00BD043E">
      <w:r>
        <w:separator/>
      </w:r>
    </w:p>
  </w:footnote>
  <w:footnote w:type="continuationSeparator" w:id="0">
    <w:p w14:paraId="56925AC1" w14:textId="77777777" w:rsidR="00BD043E" w:rsidRDefault="00BD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26050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B4C32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043E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75C77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1286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2026-05-21T07:35:00Z</dcterms:created>
  <dcterms:modified xsi:type="dcterms:W3CDTF">2026-05-26T06:28:00Z</dcterms:modified>
</cp:coreProperties>
</file>