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DABD536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293C26">
        <w:rPr>
          <w:sz w:val="22"/>
          <w:szCs w:val="22"/>
        </w:rPr>
        <w:t>………..</w:t>
      </w:r>
      <w:r w:rsidRPr="007D54F6">
        <w:rPr>
          <w:sz w:val="22"/>
          <w:szCs w:val="22"/>
        </w:rPr>
        <w:t xml:space="preserve"> Petr Žižka, ředitel</w:t>
      </w:r>
    </w:p>
    <w:p w14:paraId="31C5A6F9" w14:textId="521DF2D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293C26">
        <w:rPr>
          <w:sz w:val="22"/>
          <w:szCs w:val="22"/>
        </w:rPr>
        <w:t>………………………….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1A36A0A" w14:textId="77777777" w:rsidR="000B7A06" w:rsidRPr="00CE7887" w:rsidRDefault="000B7A06" w:rsidP="000B7A06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HONA INVESTMENT s.r.o.</w:t>
      </w:r>
    </w:p>
    <w:p w14:paraId="6527DF11" w14:textId="77777777" w:rsidR="000B7A06" w:rsidRPr="00CE7887" w:rsidRDefault="000B7A06" w:rsidP="000B7A06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Slavkov pod Hostýnem 195,768 61</w:t>
      </w:r>
    </w:p>
    <w:p w14:paraId="45A57C6C" w14:textId="6BA8414A" w:rsidR="000B7A06" w:rsidRPr="00CE7887" w:rsidRDefault="000B7A06" w:rsidP="000B7A06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Zapsaná:</w:t>
      </w:r>
      <w:r w:rsidRPr="00CE7887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Krajsk</w:t>
      </w:r>
      <w:r w:rsidR="005A4D58">
        <w:rPr>
          <w:rFonts w:ascii="Times New Roman" w:hAnsi="Times New Roman"/>
          <w:b w:val="0"/>
          <w:sz w:val="22"/>
          <w:szCs w:val="22"/>
        </w:rPr>
        <w:t>ý</w:t>
      </w:r>
      <w:r>
        <w:rPr>
          <w:rFonts w:ascii="Times New Roman" w:hAnsi="Times New Roman"/>
          <w:b w:val="0"/>
          <w:sz w:val="22"/>
          <w:szCs w:val="22"/>
        </w:rPr>
        <w:t xml:space="preserve">m </w:t>
      </w:r>
      <w:r w:rsidRPr="00CE7887">
        <w:rPr>
          <w:rFonts w:ascii="Times New Roman" w:hAnsi="Times New Roman"/>
          <w:b w:val="0"/>
          <w:sz w:val="22"/>
          <w:szCs w:val="22"/>
        </w:rPr>
        <w:t>soudem v </w:t>
      </w:r>
      <w:r>
        <w:rPr>
          <w:rFonts w:ascii="Times New Roman" w:hAnsi="Times New Roman"/>
          <w:b w:val="0"/>
          <w:sz w:val="22"/>
          <w:szCs w:val="22"/>
        </w:rPr>
        <w:t>Brně</w:t>
      </w:r>
      <w:r w:rsidRPr="00CE7887">
        <w:rPr>
          <w:rFonts w:ascii="Times New Roman" w:hAnsi="Times New Roman"/>
          <w:b w:val="0"/>
          <w:sz w:val="22"/>
          <w:szCs w:val="22"/>
        </w:rPr>
        <w:t>, oddíl</w:t>
      </w:r>
      <w:r>
        <w:rPr>
          <w:rFonts w:ascii="Times New Roman" w:hAnsi="Times New Roman"/>
          <w:b w:val="0"/>
          <w:sz w:val="22"/>
          <w:szCs w:val="22"/>
        </w:rPr>
        <w:t xml:space="preserve"> C,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 vložka </w:t>
      </w:r>
      <w:r>
        <w:rPr>
          <w:rFonts w:ascii="Times New Roman" w:hAnsi="Times New Roman"/>
          <w:b w:val="0"/>
          <w:sz w:val="22"/>
          <w:szCs w:val="22"/>
        </w:rPr>
        <w:t>53288</w:t>
      </w:r>
    </w:p>
    <w:p w14:paraId="78A30EA0" w14:textId="77777777" w:rsidR="000B7A06" w:rsidRPr="00CE7887" w:rsidRDefault="000B7A06" w:rsidP="000B7A06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27704386</w:t>
      </w:r>
    </w:p>
    <w:p w14:paraId="227516B3" w14:textId="77777777" w:rsidR="000B7A06" w:rsidRPr="00CE7887" w:rsidRDefault="000B7A06" w:rsidP="000B7A06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DIČ: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CZ27704386</w:t>
      </w:r>
    </w:p>
    <w:p w14:paraId="00F48D33" w14:textId="77777777" w:rsidR="000B7A06" w:rsidRPr="00CE7887" w:rsidRDefault="000B7A06" w:rsidP="000B7A06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Jednající/zastoupený: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proofErr w:type="spellStart"/>
      <w:r>
        <w:rPr>
          <w:rFonts w:ascii="Times New Roman" w:hAnsi="Times New Roman"/>
          <w:b w:val="0"/>
          <w:sz w:val="22"/>
          <w:szCs w:val="22"/>
        </w:rPr>
        <w:t>Frgal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Jaroslav, jednatel</w:t>
      </w:r>
    </w:p>
    <w:p w14:paraId="40D98B89" w14:textId="5BC1AFAB" w:rsidR="000B7A06" w:rsidRPr="00CE7887" w:rsidRDefault="000B7A06" w:rsidP="000B7A06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Kontaktní osoba: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293C26">
        <w:rPr>
          <w:rFonts w:ascii="Times New Roman" w:hAnsi="Times New Roman"/>
          <w:b w:val="0"/>
          <w:sz w:val="22"/>
          <w:szCs w:val="22"/>
        </w:rPr>
        <w:t>………………………..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A04BDC0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D3AA4" w:rsidRPr="00770FBD">
        <w:rPr>
          <w:b/>
          <w:u w:val="single"/>
        </w:rPr>
        <w:t>Nákup</w:t>
      </w:r>
      <w:r w:rsidR="0030094D">
        <w:rPr>
          <w:b/>
          <w:u w:val="single"/>
        </w:rPr>
        <w:t xml:space="preserve"> pevných a </w:t>
      </w:r>
      <w:proofErr w:type="spellStart"/>
      <w:r w:rsidR="0030094D">
        <w:rPr>
          <w:b/>
          <w:u w:val="single"/>
        </w:rPr>
        <w:t>pohupovacích</w:t>
      </w:r>
      <w:proofErr w:type="spellEnd"/>
      <w:r w:rsidR="0030094D">
        <w:rPr>
          <w:b/>
          <w:u w:val="single"/>
        </w:rPr>
        <w:t xml:space="preserve"> křesel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021A43" w:rsidRPr="00021A43">
        <w:rPr>
          <w:sz w:val="22"/>
          <w:szCs w:val="22"/>
        </w:rPr>
        <w:t>MVZ260000114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06B186F" w:rsidR="002E0AFA" w:rsidRPr="003E6C1A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E6C1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441B20">
        <w:rPr>
          <w:b/>
          <w:sz w:val="22"/>
          <w:szCs w:val="23"/>
        </w:rPr>
        <w:t>6</w:t>
      </w:r>
      <w:r w:rsidR="0030094D">
        <w:rPr>
          <w:b/>
          <w:sz w:val="22"/>
          <w:szCs w:val="23"/>
        </w:rPr>
        <w:t xml:space="preserve"> ks </w:t>
      </w:r>
      <w:proofErr w:type="spellStart"/>
      <w:r w:rsidR="0030094D">
        <w:rPr>
          <w:b/>
          <w:sz w:val="22"/>
          <w:szCs w:val="23"/>
        </w:rPr>
        <w:t>pohupovacích</w:t>
      </w:r>
      <w:proofErr w:type="spellEnd"/>
      <w:r w:rsidR="0030094D">
        <w:rPr>
          <w:b/>
          <w:sz w:val="22"/>
          <w:szCs w:val="23"/>
        </w:rPr>
        <w:t xml:space="preserve"> křesel a </w:t>
      </w:r>
      <w:r w:rsidR="00441B20">
        <w:rPr>
          <w:b/>
          <w:sz w:val="22"/>
          <w:szCs w:val="23"/>
        </w:rPr>
        <w:t>36</w:t>
      </w:r>
      <w:r w:rsidR="0030094D">
        <w:rPr>
          <w:b/>
          <w:sz w:val="22"/>
          <w:szCs w:val="23"/>
        </w:rPr>
        <w:t xml:space="preserve"> ks pevných křesel</w:t>
      </w:r>
      <w:r w:rsidR="00507EC4" w:rsidRPr="00441B20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85BB9A7" w14:textId="77777777" w:rsidR="00441B20" w:rsidRPr="00441B20" w:rsidRDefault="00C4114B" w:rsidP="00441B20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91EA9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</w:t>
      </w:r>
      <w:r w:rsidR="0030094D">
        <w:rPr>
          <w:sz w:val="22"/>
          <w:szCs w:val="22"/>
        </w:rPr>
        <w:t>,</w:t>
      </w:r>
      <w:r w:rsidR="00991EA9">
        <w:rPr>
          <w:sz w:val="22"/>
          <w:szCs w:val="22"/>
        </w:rPr>
        <w:t xml:space="preserve"> </w:t>
      </w:r>
      <w:r w:rsidR="000D043C" w:rsidRPr="00AC37D6">
        <w:rPr>
          <w:rFonts w:eastAsia="Times New Roman"/>
          <w:sz w:val="23"/>
          <w:szCs w:val="23"/>
        </w:rPr>
        <w:t>dodání návodu k užívání vč. technického popisu a dalších dokumentů,</w:t>
      </w:r>
      <w:r w:rsidR="000D043C">
        <w:rPr>
          <w:rFonts w:eastAsia="Times New Roman"/>
          <w:sz w:val="23"/>
          <w:szCs w:val="23"/>
        </w:rPr>
        <w:t xml:space="preserve"> a to v českém jazyce</w:t>
      </w:r>
      <w:r w:rsidR="000D043C" w:rsidRPr="00AC37D6">
        <w:rPr>
          <w:rFonts w:eastAsia="Times New Roman"/>
          <w:sz w:val="23"/>
          <w:szCs w:val="23"/>
        </w:rPr>
        <w:t xml:space="preserve"> (protokol o shodě, záruční list atd.)</w:t>
      </w:r>
      <w:r w:rsidR="000D043C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53527BF9" w14:textId="5DD8FC81" w:rsidR="00441B20" w:rsidRPr="00441B20" w:rsidRDefault="00441B20" w:rsidP="00441B20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441B20">
        <w:rPr>
          <w:sz w:val="22"/>
          <w:szCs w:val="22"/>
        </w:rPr>
        <w:t xml:space="preserve">Dodávaný předmět plnění musí splňovat požadavky na bezpečný výrobek ve smyslu zákona č. 387/2024 Sb., o obecné bezpečnosti výrobků a o změně některých souvisejících zákonů (zákon o obecné </w:t>
      </w:r>
      <w:r w:rsidRPr="00441B20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7C290787" w14:textId="2D61F9C3" w:rsidR="00770FBD" w:rsidRPr="00BF0287" w:rsidRDefault="009D3AA4" w:rsidP="00BF028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3E6C1A" w:rsidRPr="00266B16">
        <w:rPr>
          <w:rFonts w:eastAsia="Calibri"/>
          <w:b/>
          <w:bCs/>
          <w:sz w:val="22"/>
          <w:szCs w:val="22"/>
        </w:rPr>
        <w:t xml:space="preserve">do </w:t>
      </w:r>
      <w:r w:rsidR="00BF0287">
        <w:rPr>
          <w:rFonts w:eastAsia="Calibri"/>
          <w:b/>
          <w:bCs/>
          <w:sz w:val="22"/>
          <w:szCs w:val="22"/>
        </w:rPr>
        <w:t>2</w:t>
      </w:r>
      <w:r w:rsidR="00266B16">
        <w:rPr>
          <w:rFonts w:eastAsia="Calibri"/>
          <w:b/>
          <w:bCs/>
          <w:sz w:val="22"/>
          <w:szCs w:val="22"/>
        </w:rPr>
        <w:t xml:space="preserve">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441B20">
        <w:rPr>
          <w:rFonts w:eastAsia="Calibri"/>
          <w:b/>
          <w:bCs/>
          <w:sz w:val="22"/>
          <w:szCs w:val="22"/>
        </w:rPr>
        <w:t>účinnosti</w:t>
      </w:r>
      <w:r w:rsidR="000D043C">
        <w:rPr>
          <w:rFonts w:eastAsia="Calibri"/>
          <w:b/>
          <w:bCs/>
          <w:sz w:val="22"/>
          <w:szCs w:val="22"/>
        </w:rPr>
        <w:t xml:space="preserve">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BF0287" w:rsidRPr="00BF0287">
        <w:rPr>
          <w:rFonts w:eastAsia="Calibri"/>
          <w:sz w:val="22"/>
          <w:szCs w:val="22"/>
        </w:rPr>
        <w:t xml:space="preserve">, </w:t>
      </w:r>
      <w:r w:rsidR="00BF0287" w:rsidRPr="00BF0287">
        <w:t xml:space="preserve">odd. 6, 8, 9, 14, 16, 18 </w:t>
      </w:r>
      <w:proofErr w:type="spellStart"/>
      <w:r w:rsidR="00BF0287" w:rsidRPr="00BF0287">
        <w:t>PNvD</w:t>
      </w:r>
      <w:proofErr w:type="spellEnd"/>
      <w:r w:rsidR="00BF0287" w:rsidRPr="00BF0287">
        <w:t>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58FFFC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0171CC">
        <w:rPr>
          <w:b/>
          <w:sz w:val="22"/>
          <w:szCs w:val="22"/>
        </w:rPr>
        <w:t>154.500,-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0171CC">
        <w:rPr>
          <w:sz w:val="22"/>
          <w:szCs w:val="22"/>
        </w:rPr>
        <w:t>32.445,-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0171CC">
        <w:rPr>
          <w:b/>
          <w:sz w:val="22"/>
          <w:szCs w:val="22"/>
        </w:rPr>
        <w:t>186.945,-</w:t>
      </w:r>
      <w:r w:rsidR="003C5CC8">
        <w:rPr>
          <w:b/>
          <w:sz w:val="22"/>
          <w:szCs w:val="22"/>
        </w:rPr>
        <w:t xml:space="preserve">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22B76FB4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2451944" w14:textId="77777777" w:rsidR="00BF0287" w:rsidRPr="007D54F6" w:rsidRDefault="00BF0287" w:rsidP="00BF0287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F3CC4CF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3C5CC8">
        <w:rPr>
          <w:rFonts w:ascii="Times New Roman" w:hAnsi="Times New Roman"/>
          <w:b w:val="0"/>
          <w:sz w:val="22"/>
          <w:szCs w:val="22"/>
        </w:rPr>
        <w:t>: info@ec-offix.cz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206BC1E8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</w:t>
      </w:r>
      <w:r w:rsidR="00266B16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F0F1044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293C26">
        <w:rPr>
          <w:color w:val="000000"/>
          <w:sz w:val="22"/>
          <w:szCs w:val="22"/>
        </w:rPr>
        <w:t>25.5.2026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293C2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895FE1">
        <w:rPr>
          <w:color w:val="000000"/>
          <w:sz w:val="22"/>
          <w:szCs w:val="22"/>
        </w:rPr>
        <w:t>e Slavkově pod Hostýnem</w:t>
      </w:r>
      <w:r w:rsidRPr="007D54F6">
        <w:rPr>
          <w:color w:val="000000"/>
          <w:sz w:val="22"/>
          <w:szCs w:val="22"/>
        </w:rPr>
        <w:t xml:space="preserve">, </w:t>
      </w:r>
      <w:r w:rsidR="005A4D58">
        <w:rPr>
          <w:color w:val="000000"/>
          <w:sz w:val="22"/>
          <w:szCs w:val="22"/>
        </w:rPr>
        <w:t xml:space="preserve">dne </w:t>
      </w:r>
      <w:r w:rsidR="00293C26">
        <w:rPr>
          <w:color w:val="000000"/>
          <w:sz w:val="22"/>
          <w:szCs w:val="22"/>
        </w:rPr>
        <w:t>25.5.2026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30DDA94C" w:rsidR="00583CC5" w:rsidRPr="007D54F6" w:rsidRDefault="00D803F5" w:rsidP="00583CC5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</w:t>
      </w: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13B56E0B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D803F5">
        <w:rPr>
          <w:color w:val="000000"/>
          <w:sz w:val="22"/>
          <w:szCs w:val="22"/>
        </w:rPr>
        <w:t xml:space="preserve">                                                                               </w:t>
      </w:r>
      <w:r w:rsidR="00895FE1">
        <w:rPr>
          <w:color w:val="000000"/>
        </w:rPr>
        <w:t>jednatel</w:t>
      </w:r>
    </w:p>
    <w:p w14:paraId="2F391DFB" w14:textId="7356C192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D803F5">
        <w:rPr>
          <w:color w:val="000000"/>
          <w:sz w:val="22"/>
          <w:szCs w:val="22"/>
        </w:rPr>
        <w:t xml:space="preserve">                      </w:t>
      </w:r>
      <w:r>
        <w:rPr>
          <w:color w:val="000000"/>
        </w:rPr>
        <w:t xml:space="preserve">   </w:t>
      </w:r>
      <w:r w:rsidR="00895FE1">
        <w:rPr>
          <w:color w:val="000000"/>
        </w:rPr>
        <w:t>HONA INVESTMENT s.r.o.</w:t>
      </w:r>
    </w:p>
    <w:p w14:paraId="624D0249" w14:textId="3F5D9B49" w:rsidR="00B449F6" w:rsidRDefault="00B449F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51B2786" w14:textId="7DC7F7A6" w:rsidR="00B449F6" w:rsidRDefault="00B449F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B748F71" w14:textId="41AFD0DF" w:rsidR="00B449F6" w:rsidRDefault="00B449F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0ECC75E" w14:textId="66A91825" w:rsidR="00B449F6" w:rsidRDefault="00B449F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01029B9" w14:textId="071D4F5D" w:rsidR="00B449F6" w:rsidRDefault="00B449F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AA6D6BA" w14:textId="77777777" w:rsidR="00B449F6" w:rsidRPr="002C6986" w:rsidRDefault="00B449F6" w:rsidP="00B449F6">
      <w:pPr>
        <w:rPr>
          <w:b/>
          <w:i/>
          <w:sz w:val="26"/>
          <w:szCs w:val="26"/>
        </w:rPr>
      </w:pPr>
      <w:r w:rsidRPr="002C6986">
        <w:rPr>
          <w:b/>
          <w:sz w:val="26"/>
          <w:szCs w:val="26"/>
        </w:rPr>
        <w:lastRenderedPageBreak/>
        <w:t>Příloha č. 1 - Specifikace předmětu plnění vč. nabídkové ceny</w:t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</w:p>
    <w:p w14:paraId="014BA663" w14:textId="77777777" w:rsidR="00B449F6" w:rsidRDefault="00B449F6" w:rsidP="00B449F6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14:paraId="4E3ADD0F" w14:textId="77777777" w:rsidR="00B449F6" w:rsidRPr="00703A6B" w:rsidRDefault="00B449F6" w:rsidP="00B449F6">
      <w:pPr>
        <w:numPr>
          <w:ilvl w:val="0"/>
          <w:numId w:val="37"/>
        </w:numPr>
        <w:autoSpaceDE w:val="0"/>
        <w:autoSpaceDN w:val="0"/>
        <w:adjustRightInd w:val="0"/>
        <w:spacing w:after="120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Pohupovací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a polohovací křeslo____________________________6</w:t>
      </w:r>
      <w:r w:rsidRPr="00F72EC6">
        <w:rPr>
          <w:b/>
          <w:bCs/>
          <w:i/>
          <w:iCs/>
          <w:color w:val="000000"/>
          <w:sz w:val="28"/>
          <w:szCs w:val="28"/>
        </w:rPr>
        <w:t xml:space="preserve"> k</w:t>
      </w:r>
      <w:r>
        <w:rPr>
          <w:b/>
          <w:bCs/>
          <w:i/>
          <w:iCs/>
          <w:color w:val="000000"/>
          <w:sz w:val="28"/>
          <w:szCs w:val="28"/>
        </w:rPr>
        <w:t>s</w:t>
      </w:r>
    </w:p>
    <w:p w14:paraId="433F7206" w14:textId="5073ACF0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49BB62B" wp14:editId="253DD727">
            <wp:simplePos x="0" y="0"/>
            <wp:positionH relativeFrom="column">
              <wp:posOffset>3500755</wp:posOffset>
            </wp:positionH>
            <wp:positionV relativeFrom="paragraph">
              <wp:posOffset>149225</wp:posOffset>
            </wp:positionV>
            <wp:extent cx="2454910" cy="2228215"/>
            <wp:effectExtent l="0" t="0" r="2540" b="635"/>
            <wp:wrapThrough wrapText="bothSides">
              <wp:wrapPolygon edited="0">
                <wp:start x="0" y="0"/>
                <wp:lineTo x="0" y="21421"/>
                <wp:lineTo x="21455" y="21421"/>
                <wp:lineTo x="21455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953">
        <w:rPr>
          <w:iCs/>
          <w:color w:val="000000"/>
          <w:sz w:val="22"/>
          <w:szCs w:val="22"/>
        </w:rPr>
        <w:t>ergonomicky tvarované křeslo</w:t>
      </w:r>
    </w:p>
    <w:p w14:paraId="740632DB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prošitý sedák i opěrka</w:t>
      </w:r>
    </w:p>
    <w:p w14:paraId="2CDA043B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konstrukce křesla: bukový masiv</w:t>
      </w:r>
    </w:p>
    <w:p w14:paraId="42E10AE6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konstrukce určená k pohupování a polohování</w:t>
      </w:r>
      <w:r w:rsidRPr="00EB3953">
        <w:rPr>
          <w:noProof/>
          <w:sz w:val="22"/>
          <w:szCs w:val="22"/>
        </w:rPr>
        <w:t xml:space="preserve"> </w:t>
      </w:r>
    </w:p>
    <w:p w14:paraId="4E6BEDA0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opěrky na ruce</w:t>
      </w:r>
    </w:p>
    <w:p w14:paraId="1D87E553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mechanismus pro snadné zafixování libovolné polohy</w:t>
      </w:r>
    </w:p>
    <w:p w14:paraId="01755E99" w14:textId="77777777" w:rsidR="00B449F6" w:rsidRPr="00EB3953" w:rsidRDefault="00B449F6" w:rsidP="00B449F6">
      <w:pPr>
        <w:numPr>
          <w:ilvl w:val="0"/>
          <w:numId w:val="36"/>
        </w:numPr>
        <w:rPr>
          <w:sz w:val="22"/>
          <w:szCs w:val="22"/>
        </w:rPr>
      </w:pPr>
      <w:r w:rsidRPr="00EB3953">
        <w:rPr>
          <w:sz w:val="22"/>
          <w:szCs w:val="22"/>
        </w:rPr>
        <w:t xml:space="preserve">snímatelné područky </w:t>
      </w:r>
    </w:p>
    <w:p w14:paraId="0EBAC4F7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nosnost min. 120 kg</w:t>
      </w:r>
    </w:p>
    <w:p w14:paraId="2E22DFBF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 xml:space="preserve">rozměry křesla: </w:t>
      </w:r>
    </w:p>
    <w:p w14:paraId="0AEE6138" w14:textId="77777777" w:rsidR="00B449F6" w:rsidRPr="00EB3953" w:rsidRDefault="00B449F6" w:rsidP="00B449F6">
      <w:pPr>
        <w:numPr>
          <w:ilvl w:val="1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šířka min. 65 cm</w:t>
      </w:r>
    </w:p>
    <w:p w14:paraId="76144D5C" w14:textId="77777777" w:rsidR="00B449F6" w:rsidRPr="00EB3953" w:rsidRDefault="00B449F6" w:rsidP="00B449F6">
      <w:pPr>
        <w:numPr>
          <w:ilvl w:val="1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výška sedu od země min. 45 cm</w:t>
      </w:r>
    </w:p>
    <w:p w14:paraId="03E8CAD5" w14:textId="77777777" w:rsidR="00B449F6" w:rsidRPr="00EB3953" w:rsidRDefault="00B449F6" w:rsidP="00B449F6">
      <w:pPr>
        <w:numPr>
          <w:ilvl w:val="1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výška zádové opěrky min. 68 cm</w:t>
      </w:r>
      <w:r w:rsidRPr="00EB3953">
        <w:rPr>
          <w:i/>
          <w:sz w:val="22"/>
          <w:szCs w:val="22"/>
        </w:rPr>
        <w:t xml:space="preserve">                                                                                                         </w:t>
      </w:r>
    </w:p>
    <w:p w14:paraId="14BA07C0" w14:textId="5A447BA5" w:rsidR="00B449F6" w:rsidRPr="00EB3953" w:rsidRDefault="00B449F6" w:rsidP="00B449F6">
      <w:pPr>
        <w:numPr>
          <w:ilvl w:val="0"/>
          <w:numId w:val="36"/>
        </w:numPr>
        <w:ind w:left="709"/>
        <w:rPr>
          <w:sz w:val="22"/>
          <w:szCs w:val="22"/>
        </w:rPr>
      </w:pPr>
      <w:r w:rsidRPr="00EB3953">
        <w:rPr>
          <w:sz w:val="22"/>
          <w:szCs w:val="22"/>
        </w:rPr>
        <w:t xml:space="preserve">moření dřeva a potahový materiál (látkový)/ </w:t>
      </w:r>
      <w:r w:rsidRPr="00EB3953">
        <w:rPr>
          <w:b/>
          <w:bCs/>
          <w:sz w:val="22"/>
          <w:szCs w:val="22"/>
        </w:rPr>
        <w:t xml:space="preserve">dle vzorníku </w:t>
      </w:r>
    </w:p>
    <w:p w14:paraId="3FC81755" w14:textId="10485A89" w:rsidR="00B449F6" w:rsidRPr="00A248E9" w:rsidRDefault="00B449F6" w:rsidP="00B449F6">
      <w:pPr>
        <w:tabs>
          <w:tab w:val="left" w:pos="7575"/>
        </w:tabs>
        <w:rPr>
          <w:sz w:val="22"/>
          <w:szCs w:val="22"/>
        </w:rPr>
      </w:pPr>
      <w:r w:rsidRPr="00EB395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A835B4" wp14:editId="0DED23AE">
                <wp:simplePos x="0" y="0"/>
                <wp:positionH relativeFrom="column">
                  <wp:posOffset>4453255</wp:posOffset>
                </wp:positionH>
                <wp:positionV relativeFrom="paragraph">
                  <wp:posOffset>1905</wp:posOffset>
                </wp:positionV>
                <wp:extent cx="1320800" cy="266700"/>
                <wp:effectExtent l="0" t="635" r="3175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35AE1" w14:textId="77777777" w:rsidR="00B449F6" w:rsidRDefault="00B449F6" w:rsidP="00B449F6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835B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50.65pt;margin-top:.15pt;width:104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" stroked="f">
                <v:textbox style="mso-fit-shape-to-text:t">
                  <w:txbxContent>
                    <w:p w14:paraId="0DF35AE1" w14:textId="77777777" w:rsidR="00B449F6" w:rsidRDefault="00B449F6" w:rsidP="00B449F6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14:paraId="51072240" w14:textId="19B9D5F5" w:rsidR="003023CA" w:rsidRDefault="003023CA" w:rsidP="00B449F6">
      <w:pPr>
        <w:rPr>
          <w:b/>
          <w:i/>
        </w:rPr>
      </w:pPr>
    </w:p>
    <w:p w14:paraId="0951D047" w14:textId="77777777" w:rsidR="003023CA" w:rsidRDefault="003023CA" w:rsidP="00B449F6">
      <w:pPr>
        <w:rPr>
          <w:b/>
          <w:i/>
        </w:rPr>
      </w:pPr>
    </w:p>
    <w:p w14:paraId="7A33F5C3" w14:textId="4BEFFE99" w:rsidR="00B449F6" w:rsidRDefault="00B449F6" w:rsidP="00B449F6">
      <w:pPr>
        <w:rPr>
          <w:b/>
          <w:i/>
        </w:rPr>
      </w:pPr>
      <w:r>
        <w:rPr>
          <w:b/>
          <w:i/>
        </w:rPr>
        <w:t>6 ks – látka Aston 574 světle hnědá/moření dřeva přírodní (odd. 6)</w:t>
      </w:r>
    </w:p>
    <w:p w14:paraId="36682A88" w14:textId="77777777" w:rsidR="00B449F6" w:rsidRDefault="00B449F6" w:rsidP="00B449F6">
      <w:pPr>
        <w:rPr>
          <w:b/>
          <w:i/>
        </w:rPr>
      </w:pPr>
    </w:p>
    <w:p w14:paraId="3D06E0EF" w14:textId="77777777" w:rsidR="003023CA" w:rsidRDefault="003023CA" w:rsidP="00B449F6">
      <w:pPr>
        <w:rPr>
          <w:b/>
          <w:i/>
        </w:rPr>
      </w:pPr>
    </w:p>
    <w:p w14:paraId="03EB1BD9" w14:textId="77777777" w:rsidR="00B449F6" w:rsidRPr="00703A6B" w:rsidRDefault="00B449F6" w:rsidP="00B449F6">
      <w:pPr>
        <w:numPr>
          <w:ilvl w:val="0"/>
          <w:numId w:val="37"/>
        </w:numPr>
        <w:autoSpaceDE w:val="0"/>
        <w:autoSpaceDN w:val="0"/>
        <w:adjustRightInd w:val="0"/>
        <w:spacing w:after="120"/>
        <w:rPr>
          <w:b/>
          <w:bCs/>
          <w:i/>
          <w:iCs/>
          <w:color w:val="000000"/>
          <w:sz w:val="28"/>
          <w:szCs w:val="28"/>
        </w:rPr>
      </w:pPr>
      <w:r w:rsidRPr="00E07026">
        <w:rPr>
          <w:b/>
          <w:bCs/>
          <w:i/>
          <w:iCs/>
          <w:color w:val="000000"/>
          <w:sz w:val="28"/>
          <w:szCs w:val="28"/>
        </w:rPr>
        <w:t>Křeslo pevné</w:t>
      </w:r>
      <w:r>
        <w:rPr>
          <w:b/>
          <w:bCs/>
          <w:i/>
          <w:iCs/>
          <w:color w:val="000000"/>
          <w:sz w:val="28"/>
          <w:szCs w:val="28"/>
        </w:rPr>
        <w:t>____________________________________________36</w:t>
      </w:r>
      <w:r w:rsidRPr="00F72EC6">
        <w:rPr>
          <w:b/>
          <w:bCs/>
          <w:i/>
          <w:iCs/>
          <w:color w:val="000000"/>
          <w:sz w:val="28"/>
          <w:szCs w:val="28"/>
        </w:rPr>
        <w:t xml:space="preserve"> ks</w:t>
      </w:r>
      <w:r w:rsidRPr="00E07026">
        <w:rPr>
          <w:b/>
          <w:bCs/>
          <w:i/>
          <w:iCs/>
          <w:color w:val="000000"/>
          <w:sz w:val="28"/>
          <w:szCs w:val="28"/>
        </w:rPr>
        <w:t xml:space="preserve">     </w:t>
      </w:r>
    </w:p>
    <w:p w14:paraId="6D97F94B" w14:textId="7557F37F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42116DF" wp14:editId="11DD6427">
            <wp:simplePos x="0" y="0"/>
            <wp:positionH relativeFrom="column">
              <wp:posOffset>3576955</wp:posOffset>
            </wp:positionH>
            <wp:positionV relativeFrom="paragraph">
              <wp:posOffset>66675</wp:posOffset>
            </wp:positionV>
            <wp:extent cx="2433955" cy="2433955"/>
            <wp:effectExtent l="0" t="0" r="4445" b="4445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953">
        <w:rPr>
          <w:iCs/>
          <w:color w:val="000000"/>
          <w:sz w:val="22"/>
          <w:szCs w:val="22"/>
        </w:rPr>
        <w:t>ergonomicky tvarované křeslo</w:t>
      </w:r>
    </w:p>
    <w:p w14:paraId="7A43AB8D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prošitý sedák i opěrka</w:t>
      </w:r>
    </w:p>
    <w:p w14:paraId="1119436D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pevná konstrukce křesla: bukový masiv</w:t>
      </w:r>
    </w:p>
    <w:p w14:paraId="113C622D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opěrky na ruce</w:t>
      </w:r>
    </w:p>
    <w:p w14:paraId="548F06F4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sz w:val="22"/>
          <w:szCs w:val="22"/>
        </w:rPr>
        <w:t>snímatelné područky</w:t>
      </w:r>
    </w:p>
    <w:p w14:paraId="0E0A97BC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nosnost min. 120 kg</w:t>
      </w:r>
    </w:p>
    <w:p w14:paraId="476BB9A6" w14:textId="77777777" w:rsidR="00B449F6" w:rsidRPr="00EB3953" w:rsidRDefault="00B449F6" w:rsidP="00B449F6">
      <w:pPr>
        <w:numPr>
          <w:ilvl w:val="0"/>
          <w:numId w:val="36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>rozměry křesla: výška min. 102 cm</w:t>
      </w:r>
    </w:p>
    <w:p w14:paraId="0ABDF18C" w14:textId="77777777" w:rsidR="00B449F6" w:rsidRPr="00EB3953" w:rsidRDefault="00B449F6" w:rsidP="00B449F6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 xml:space="preserve">                          šířka min. 65 cm</w:t>
      </w:r>
    </w:p>
    <w:p w14:paraId="33E82BFA" w14:textId="77777777" w:rsidR="00B449F6" w:rsidRPr="00EB3953" w:rsidRDefault="00B449F6" w:rsidP="00B449F6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 xml:space="preserve">                          hloubka min. 80 cm</w:t>
      </w:r>
    </w:p>
    <w:p w14:paraId="6CEBDE6C" w14:textId="77777777" w:rsidR="00B449F6" w:rsidRPr="00EB3953" w:rsidRDefault="00B449F6" w:rsidP="00B449F6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EB3953">
        <w:rPr>
          <w:iCs/>
          <w:color w:val="000000"/>
          <w:sz w:val="22"/>
          <w:szCs w:val="22"/>
        </w:rPr>
        <w:t xml:space="preserve">                          výška sedu min. 45 cm</w:t>
      </w:r>
    </w:p>
    <w:p w14:paraId="2FC0D5D0" w14:textId="77777777" w:rsidR="00B449F6" w:rsidRPr="00EB3953" w:rsidRDefault="00B449F6" w:rsidP="00B449F6">
      <w:pPr>
        <w:numPr>
          <w:ilvl w:val="0"/>
          <w:numId w:val="36"/>
        </w:numPr>
        <w:rPr>
          <w:sz w:val="22"/>
          <w:szCs w:val="22"/>
        </w:rPr>
      </w:pPr>
      <w:r w:rsidRPr="00EB3953">
        <w:rPr>
          <w:sz w:val="22"/>
          <w:szCs w:val="22"/>
        </w:rPr>
        <w:t xml:space="preserve">moření dřeva a potahový materiál / </w:t>
      </w:r>
      <w:r w:rsidRPr="00EB3953">
        <w:rPr>
          <w:b/>
          <w:bCs/>
          <w:sz w:val="22"/>
          <w:szCs w:val="22"/>
        </w:rPr>
        <w:t xml:space="preserve">dle vzorníku </w:t>
      </w:r>
      <w:r w:rsidRPr="00EB3953">
        <w:rPr>
          <w:sz w:val="22"/>
          <w:szCs w:val="22"/>
        </w:rPr>
        <w:t xml:space="preserve">(24 ks – potah </w:t>
      </w:r>
      <w:proofErr w:type="spellStart"/>
      <w:r w:rsidRPr="00EB3953">
        <w:rPr>
          <w:sz w:val="22"/>
          <w:szCs w:val="22"/>
        </w:rPr>
        <w:t>ekokůže</w:t>
      </w:r>
      <w:proofErr w:type="spellEnd"/>
      <w:r w:rsidRPr="00EB3953">
        <w:rPr>
          <w:sz w:val="22"/>
          <w:szCs w:val="22"/>
        </w:rPr>
        <w:t>, 12 ks – potah látkový)</w:t>
      </w:r>
    </w:p>
    <w:p w14:paraId="13D75AB7" w14:textId="77777777" w:rsidR="00B449F6" w:rsidRPr="00EB3953" w:rsidRDefault="00B449F6" w:rsidP="00B449F6">
      <w:pPr>
        <w:rPr>
          <w:sz w:val="22"/>
          <w:szCs w:val="22"/>
        </w:rPr>
      </w:pPr>
    </w:p>
    <w:p w14:paraId="47BFE344" w14:textId="77777777" w:rsidR="00B449F6" w:rsidRDefault="00B449F6" w:rsidP="00B449F6">
      <w:pPr>
        <w:rPr>
          <w:b/>
          <w:i/>
        </w:rPr>
      </w:pPr>
    </w:p>
    <w:p w14:paraId="277E77CE" w14:textId="77777777" w:rsidR="00B449F6" w:rsidRDefault="00B449F6" w:rsidP="00B449F6">
      <w:pPr>
        <w:tabs>
          <w:tab w:val="left" w:pos="7470"/>
        </w:tabs>
        <w:rPr>
          <w:b/>
          <w:i/>
        </w:rPr>
      </w:pPr>
      <w:r>
        <w:rPr>
          <w:b/>
          <w:i/>
        </w:rPr>
        <w:t xml:space="preserve">                                 </w:t>
      </w:r>
    </w:p>
    <w:p w14:paraId="39C6D3FB" w14:textId="08436860" w:rsidR="00B449F6" w:rsidRDefault="00B449F6" w:rsidP="00B449F6">
      <w:pPr>
        <w:tabs>
          <w:tab w:val="left" w:pos="7470"/>
        </w:tabs>
        <w:rPr>
          <w:b/>
          <w:i/>
        </w:rPr>
      </w:pPr>
      <w:r w:rsidRPr="00EB3953">
        <w:rPr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774088" wp14:editId="275BCFE6">
                <wp:simplePos x="0" y="0"/>
                <wp:positionH relativeFrom="column">
                  <wp:posOffset>4329430</wp:posOffset>
                </wp:positionH>
                <wp:positionV relativeFrom="paragraph">
                  <wp:posOffset>61595</wp:posOffset>
                </wp:positionV>
                <wp:extent cx="1320800" cy="266700"/>
                <wp:effectExtent l="0" t="0" r="3175" b="190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C2393" w14:textId="77777777" w:rsidR="00B449F6" w:rsidRDefault="00B449F6" w:rsidP="00B449F6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74088" id="Textové pole 2" o:spid="_x0000_s1027" type="#_x0000_t202" style="position:absolute;margin-left:340.9pt;margin-top:4.85pt;width:104pt;height:2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" stroked="f">
                <v:textbox style="mso-fit-shape-to-text:t">
                  <w:txbxContent>
                    <w:p w14:paraId="242C2393" w14:textId="77777777" w:rsidR="00B449F6" w:rsidRDefault="00B449F6" w:rsidP="00B449F6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F1C3A" w14:textId="42C5FB55" w:rsidR="00B449F6" w:rsidRDefault="00B449F6" w:rsidP="00B449F6">
      <w:pPr>
        <w:pStyle w:val="Default"/>
        <w:jc w:val="both"/>
        <w:rPr>
          <w:b/>
          <w:i/>
        </w:rPr>
      </w:pPr>
      <w:r w:rsidRPr="00A248E9">
        <w:rPr>
          <w:rFonts w:ascii="Calibri" w:hAnsi="Calibri" w:cs="Calibri"/>
          <w:sz w:val="23"/>
          <w:szCs w:val="23"/>
        </w:rPr>
        <w:t xml:space="preserve">                  </w:t>
      </w:r>
      <w:r>
        <w:rPr>
          <w:b/>
          <w:i/>
        </w:rPr>
        <w:t xml:space="preserve"> </w:t>
      </w:r>
    </w:p>
    <w:p w14:paraId="3B3AEA1E" w14:textId="166AFB01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 xml:space="preserve">7 ks – Arizona 304 šedá/moření dřeva dub </w:t>
      </w:r>
      <w:proofErr w:type="spellStart"/>
      <w:r>
        <w:rPr>
          <w:b/>
          <w:i/>
        </w:rPr>
        <w:t>sonoma</w:t>
      </w:r>
      <w:proofErr w:type="spellEnd"/>
      <w:r>
        <w:rPr>
          <w:b/>
          <w:i/>
        </w:rPr>
        <w:t xml:space="preserve"> </w:t>
      </w:r>
      <w:r w:rsidR="003023CA">
        <w:rPr>
          <w:b/>
          <w:i/>
        </w:rPr>
        <w:tab/>
      </w:r>
      <w:r>
        <w:rPr>
          <w:b/>
          <w:i/>
        </w:rPr>
        <w:t>(odd. 8)</w:t>
      </w:r>
    </w:p>
    <w:p w14:paraId="3A3D07C0" w14:textId="212C1E45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 xml:space="preserve">15 ks – Arizona 303 šedohnědá/ moření dřeva přírodní </w:t>
      </w:r>
      <w:r w:rsidR="003023CA">
        <w:rPr>
          <w:b/>
          <w:i/>
        </w:rPr>
        <w:tab/>
      </w:r>
      <w:r>
        <w:rPr>
          <w:b/>
          <w:i/>
        </w:rPr>
        <w:t>(odd. 9)</w:t>
      </w:r>
    </w:p>
    <w:p w14:paraId="55413298" w14:textId="34920CCB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>2 ks – Arizona 303 šedohnědá/m</w:t>
      </w:r>
      <w:r w:rsidR="003023CA">
        <w:rPr>
          <w:b/>
          <w:i/>
        </w:rPr>
        <w:t>o</w:t>
      </w:r>
      <w:r>
        <w:rPr>
          <w:b/>
          <w:i/>
        </w:rPr>
        <w:t xml:space="preserve">ření dřeva přírodní </w:t>
      </w:r>
      <w:r w:rsidR="003023CA">
        <w:rPr>
          <w:b/>
          <w:i/>
        </w:rPr>
        <w:tab/>
      </w:r>
      <w:r>
        <w:rPr>
          <w:b/>
          <w:i/>
        </w:rPr>
        <w:t>(odd. 14)</w:t>
      </w:r>
    </w:p>
    <w:p w14:paraId="5E7CA6BA" w14:textId="02E6A2C3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 xml:space="preserve">4 ks – Aston 585 šedá/moření dřeva olše </w:t>
      </w:r>
      <w:r w:rsidR="003023CA">
        <w:rPr>
          <w:b/>
          <w:i/>
        </w:rPr>
        <w:tab/>
      </w:r>
      <w:r w:rsidR="003023CA">
        <w:rPr>
          <w:b/>
          <w:i/>
        </w:rPr>
        <w:tab/>
      </w:r>
      <w:r w:rsidR="003023CA">
        <w:rPr>
          <w:b/>
          <w:i/>
        </w:rPr>
        <w:tab/>
      </w:r>
      <w:r>
        <w:rPr>
          <w:b/>
          <w:i/>
        </w:rPr>
        <w:t>(odd. 9)</w:t>
      </w:r>
    </w:p>
    <w:p w14:paraId="550398E2" w14:textId="64FEC75D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 xml:space="preserve">6 ks – Aston 571 béžová/moření dřeva dub </w:t>
      </w:r>
      <w:proofErr w:type="spellStart"/>
      <w:r>
        <w:rPr>
          <w:b/>
          <w:i/>
        </w:rPr>
        <w:t>sonoma</w:t>
      </w:r>
      <w:proofErr w:type="spellEnd"/>
      <w:r>
        <w:rPr>
          <w:b/>
          <w:i/>
        </w:rPr>
        <w:t xml:space="preserve"> </w:t>
      </w:r>
      <w:r w:rsidR="003023CA">
        <w:rPr>
          <w:b/>
          <w:i/>
        </w:rPr>
        <w:tab/>
      </w:r>
      <w:r>
        <w:rPr>
          <w:b/>
          <w:i/>
        </w:rPr>
        <w:t>(odd. 16)</w:t>
      </w:r>
    </w:p>
    <w:p w14:paraId="563B54AC" w14:textId="4C783E51" w:rsidR="00B449F6" w:rsidRDefault="00B449F6" w:rsidP="00B449F6">
      <w:pPr>
        <w:pStyle w:val="Default"/>
        <w:jc w:val="both"/>
        <w:rPr>
          <w:b/>
          <w:i/>
        </w:rPr>
      </w:pPr>
      <w:r>
        <w:rPr>
          <w:b/>
          <w:i/>
        </w:rPr>
        <w:t>2 ks – Artemis 518 tyrkysová/moření dřeva olše</w:t>
      </w:r>
      <w:r w:rsidR="003023CA">
        <w:rPr>
          <w:b/>
          <w:i/>
        </w:rPr>
        <w:tab/>
      </w:r>
      <w:r w:rsidR="003023CA">
        <w:rPr>
          <w:b/>
          <w:i/>
        </w:rPr>
        <w:tab/>
      </w:r>
      <w:r>
        <w:rPr>
          <w:b/>
          <w:i/>
        </w:rPr>
        <w:t>(odd. 18)</w:t>
      </w:r>
    </w:p>
    <w:p w14:paraId="305BFBF4" w14:textId="53DD8180" w:rsidR="00B449F6" w:rsidRDefault="00B449F6" w:rsidP="00B449F6">
      <w:pPr>
        <w:pStyle w:val="Default"/>
        <w:jc w:val="both"/>
        <w:rPr>
          <w:b/>
          <w:i/>
        </w:rPr>
      </w:pPr>
    </w:p>
    <w:p w14:paraId="73BDFEBD" w14:textId="5AE2806F" w:rsidR="00B449F6" w:rsidRDefault="00B449F6" w:rsidP="00B449F6">
      <w:pPr>
        <w:pStyle w:val="Default"/>
        <w:jc w:val="both"/>
        <w:rPr>
          <w:b/>
          <w:i/>
        </w:rPr>
      </w:pPr>
    </w:p>
    <w:p w14:paraId="41064958" w14:textId="77777777" w:rsidR="00B449F6" w:rsidRPr="00B43B67" w:rsidRDefault="00B449F6" w:rsidP="00B449F6">
      <w:pPr>
        <w:pStyle w:val="Default"/>
        <w:jc w:val="both"/>
        <w:rPr>
          <w:i/>
        </w:rPr>
      </w:pPr>
    </w:p>
    <w:tbl>
      <w:tblPr>
        <w:tblpPr w:leftFromText="141" w:rightFromText="141" w:vertAnchor="text" w:horzAnchor="margin" w:tblpXSpec="center" w:tblpY="514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921"/>
        <w:gridCol w:w="1301"/>
      </w:tblGrid>
      <w:tr w:rsidR="00B449F6" w:rsidRPr="002C6986" w14:paraId="3319F446" w14:textId="77777777" w:rsidTr="0097464A">
        <w:trPr>
          <w:trHeight w:val="1271"/>
        </w:trPr>
        <w:tc>
          <w:tcPr>
            <w:tcW w:w="580" w:type="dxa"/>
          </w:tcPr>
          <w:p w14:paraId="0DAAA0F5" w14:textId="77777777" w:rsidR="00B449F6" w:rsidRPr="002C6986" w:rsidRDefault="00B449F6" w:rsidP="0097464A">
            <w:pPr>
              <w:spacing w:before="120"/>
              <w:jc w:val="center"/>
            </w:pPr>
            <w:proofErr w:type="spellStart"/>
            <w:r w:rsidRPr="002C6986">
              <w:lastRenderedPageBreak/>
              <w:t>Polč</w:t>
            </w:r>
            <w:proofErr w:type="spellEnd"/>
            <w:r w:rsidRPr="002C6986">
              <w:t>.</w:t>
            </w:r>
          </w:p>
        </w:tc>
        <w:tc>
          <w:tcPr>
            <w:tcW w:w="1852" w:type="dxa"/>
          </w:tcPr>
          <w:p w14:paraId="65EDA035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Název položky</w:t>
            </w:r>
          </w:p>
        </w:tc>
        <w:tc>
          <w:tcPr>
            <w:tcW w:w="1662" w:type="dxa"/>
          </w:tcPr>
          <w:p w14:paraId="6827FCD9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Cena v Kč</w:t>
            </w:r>
          </w:p>
          <w:p w14:paraId="611C0ABD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bez DPH / ks</w:t>
            </w:r>
          </w:p>
        </w:tc>
        <w:tc>
          <w:tcPr>
            <w:tcW w:w="963" w:type="dxa"/>
          </w:tcPr>
          <w:p w14:paraId="0BD4E2CF" w14:textId="77777777" w:rsidR="00B449F6" w:rsidRPr="002C6986" w:rsidRDefault="00B449F6" w:rsidP="0097464A">
            <w:pPr>
              <w:spacing w:before="120"/>
              <w:ind w:right="-250"/>
              <w:jc w:val="center"/>
            </w:pPr>
            <w:r w:rsidRPr="002C6986">
              <w:t>počet</w:t>
            </w:r>
          </w:p>
          <w:p w14:paraId="010DD321" w14:textId="77777777" w:rsidR="00B449F6" w:rsidRPr="002C6986" w:rsidRDefault="00B449F6" w:rsidP="0097464A">
            <w:pPr>
              <w:spacing w:before="120"/>
              <w:ind w:right="-250"/>
              <w:jc w:val="center"/>
            </w:pPr>
            <w:r w:rsidRPr="002C6986">
              <w:t>ks</w:t>
            </w:r>
          </w:p>
        </w:tc>
        <w:tc>
          <w:tcPr>
            <w:tcW w:w="1358" w:type="dxa"/>
          </w:tcPr>
          <w:p w14:paraId="0A6947BF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Celková cena v Kč bez DPH</w:t>
            </w:r>
          </w:p>
        </w:tc>
        <w:tc>
          <w:tcPr>
            <w:tcW w:w="1419" w:type="dxa"/>
          </w:tcPr>
          <w:p w14:paraId="03F22B0E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Celková cena v Kč vč. DPH</w:t>
            </w:r>
          </w:p>
        </w:tc>
        <w:tc>
          <w:tcPr>
            <w:tcW w:w="921" w:type="dxa"/>
          </w:tcPr>
          <w:p w14:paraId="7C6A6DB2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Sazba</w:t>
            </w:r>
          </w:p>
          <w:p w14:paraId="19FF314D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DPH</w:t>
            </w:r>
          </w:p>
          <w:p w14:paraId="6E131AEE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v %</w:t>
            </w:r>
          </w:p>
        </w:tc>
        <w:tc>
          <w:tcPr>
            <w:tcW w:w="1301" w:type="dxa"/>
          </w:tcPr>
          <w:p w14:paraId="6DFD12FF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Poznámka:</w:t>
            </w:r>
          </w:p>
          <w:p w14:paraId="20CEA844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Název zboží</w:t>
            </w:r>
          </w:p>
        </w:tc>
      </w:tr>
      <w:tr w:rsidR="00B449F6" w:rsidRPr="002C6986" w14:paraId="22155BC8" w14:textId="77777777" w:rsidTr="0097464A">
        <w:trPr>
          <w:trHeight w:val="909"/>
        </w:trPr>
        <w:tc>
          <w:tcPr>
            <w:tcW w:w="580" w:type="dxa"/>
            <w:vAlign w:val="center"/>
          </w:tcPr>
          <w:p w14:paraId="05BCE46B" w14:textId="77777777" w:rsidR="00B449F6" w:rsidRPr="002C6986" w:rsidRDefault="00B449F6" w:rsidP="0097464A">
            <w:pPr>
              <w:spacing w:before="120"/>
              <w:jc w:val="center"/>
            </w:pPr>
            <w:r w:rsidRPr="002C6986">
              <w:t>1.</w:t>
            </w:r>
          </w:p>
        </w:tc>
        <w:tc>
          <w:tcPr>
            <w:tcW w:w="1852" w:type="dxa"/>
            <w:vAlign w:val="center"/>
          </w:tcPr>
          <w:p w14:paraId="3A939F2F" w14:textId="77777777" w:rsidR="00B449F6" w:rsidRPr="002C6986" w:rsidRDefault="00B449F6" w:rsidP="0097464A">
            <w:pPr>
              <w:jc w:val="center"/>
            </w:pPr>
            <w:proofErr w:type="spellStart"/>
            <w:r>
              <w:t>Pohupovací</w:t>
            </w:r>
            <w:proofErr w:type="spellEnd"/>
            <w:r>
              <w:t xml:space="preserve"> </w:t>
            </w:r>
            <w:r>
              <w:br/>
              <w:t>a polohovací křeslo</w:t>
            </w:r>
          </w:p>
        </w:tc>
        <w:tc>
          <w:tcPr>
            <w:tcW w:w="1662" w:type="dxa"/>
            <w:vAlign w:val="center"/>
          </w:tcPr>
          <w:p w14:paraId="4C4E9E66" w14:textId="77777777" w:rsidR="00B449F6" w:rsidRPr="002C6986" w:rsidRDefault="00B449F6" w:rsidP="0097464A">
            <w:pPr>
              <w:spacing w:before="120"/>
              <w:jc w:val="center"/>
            </w:pPr>
            <w:r>
              <w:t>4.150,-</w:t>
            </w:r>
          </w:p>
        </w:tc>
        <w:tc>
          <w:tcPr>
            <w:tcW w:w="963" w:type="dxa"/>
            <w:vAlign w:val="center"/>
          </w:tcPr>
          <w:p w14:paraId="7F1F7E1A" w14:textId="77777777" w:rsidR="00B449F6" w:rsidRPr="002C6986" w:rsidRDefault="00B449F6" w:rsidP="0097464A">
            <w:pPr>
              <w:spacing w:before="120"/>
              <w:jc w:val="center"/>
            </w:pPr>
            <w:r>
              <w:t>6</w:t>
            </w:r>
          </w:p>
        </w:tc>
        <w:tc>
          <w:tcPr>
            <w:tcW w:w="1358" w:type="dxa"/>
            <w:vAlign w:val="center"/>
          </w:tcPr>
          <w:p w14:paraId="76359D7C" w14:textId="77777777" w:rsidR="00B449F6" w:rsidRPr="002C6986" w:rsidRDefault="00B449F6" w:rsidP="0097464A">
            <w:pPr>
              <w:spacing w:before="120"/>
              <w:jc w:val="center"/>
            </w:pPr>
            <w:r>
              <w:t>24.900,-</w:t>
            </w:r>
          </w:p>
        </w:tc>
        <w:tc>
          <w:tcPr>
            <w:tcW w:w="1419" w:type="dxa"/>
            <w:vAlign w:val="center"/>
          </w:tcPr>
          <w:p w14:paraId="01E78993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30.129,-</w:t>
            </w:r>
          </w:p>
        </w:tc>
        <w:tc>
          <w:tcPr>
            <w:tcW w:w="921" w:type="dxa"/>
            <w:vAlign w:val="center"/>
          </w:tcPr>
          <w:p w14:paraId="2A9572B1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1" w:type="dxa"/>
            <w:vAlign w:val="center"/>
          </w:tcPr>
          <w:p w14:paraId="425DC32D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Daník</w:t>
            </w:r>
            <w:proofErr w:type="spellEnd"/>
          </w:p>
        </w:tc>
      </w:tr>
      <w:tr w:rsidR="00B449F6" w:rsidRPr="002C6986" w14:paraId="204A3FFC" w14:textId="77777777" w:rsidTr="0097464A">
        <w:trPr>
          <w:trHeight w:val="745"/>
        </w:trPr>
        <w:tc>
          <w:tcPr>
            <w:tcW w:w="580" w:type="dxa"/>
            <w:vAlign w:val="center"/>
          </w:tcPr>
          <w:p w14:paraId="286ED79B" w14:textId="77777777" w:rsidR="00B449F6" w:rsidRPr="002C6986" w:rsidRDefault="00B449F6" w:rsidP="0097464A">
            <w:pPr>
              <w:spacing w:before="120"/>
              <w:jc w:val="center"/>
            </w:pPr>
            <w:r>
              <w:t>2.</w:t>
            </w:r>
          </w:p>
        </w:tc>
        <w:tc>
          <w:tcPr>
            <w:tcW w:w="1852" w:type="dxa"/>
            <w:vAlign w:val="center"/>
          </w:tcPr>
          <w:p w14:paraId="3F5227E1" w14:textId="77777777" w:rsidR="00B449F6" w:rsidRPr="002C6986" w:rsidRDefault="00B449F6" w:rsidP="0097464A">
            <w:pPr>
              <w:jc w:val="center"/>
            </w:pPr>
            <w:r>
              <w:t>Pevné křeslo</w:t>
            </w:r>
          </w:p>
        </w:tc>
        <w:tc>
          <w:tcPr>
            <w:tcW w:w="1662" w:type="dxa"/>
            <w:vAlign w:val="center"/>
          </w:tcPr>
          <w:p w14:paraId="4DD0C305" w14:textId="77777777" w:rsidR="00B449F6" w:rsidRPr="002C6986" w:rsidRDefault="00B449F6" w:rsidP="0097464A">
            <w:pPr>
              <w:spacing w:before="120"/>
              <w:jc w:val="center"/>
            </w:pPr>
            <w:r>
              <w:t>3.600,-</w:t>
            </w:r>
          </w:p>
        </w:tc>
        <w:tc>
          <w:tcPr>
            <w:tcW w:w="963" w:type="dxa"/>
            <w:vAlign w:val="center"/>
          </w:tcPr>
          <w:p w14:paraId="5CD68050" w14:textId="77777777" w:rsidR="00B449F6" w:rsidRPr="002C6986" w:rsidRDefault="00B449F6" w:rsidP="0097464A">
            <w:pPr>
              <w:spacing w:before="120"/>
              <w:jc w:val="center"/>
            </w:pPr>
            <w:r>
              <w:t>36</w:t>
            </w:r>
          </w:p>
        </w:tc>
        <w:tc>
          <w:tcPr>
            <w:tcW w:w="1358" w:type="dxa"/>
            <w:vAlign w:val="center"/>
          </w:tcPr>
          <w:p w14:paraId="2C0573AD" w14:textId="77777777" w:rsidR="00B449F6" w:rsidRPr="002C6986" w:rsidRDefault="00B449F6" w:rsidP="0097464A">
            <w:pPr>
              <w:spacing w:before="120"/>
              <w:jc w:val="center"/>
            </w:pPr>
            <w:r>
              <w:t>129.600,-</w:t>
            </w:r>
          </w:p>
        </w:tc>
        <w:tc>
          <w:tcPr>
            <w:tcW w:w="1419" w:type="dxa"/>
            <w:vAlign w:val="center"/>
          </w:tcPr>
          <w:p w14:paraId="68337BED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156.816,-</w:t>
            </w:r>
          </w:p>
        </w:tc>
        <w:tc>
          <w:tcPr>
            <w:tcW w:w="921" w:type="dxa"/>
            <w:vAlign w:val="center"/>
          </w:tcPr>
          <w:p w14:paraId="1A262943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1" w:type="dxa"/>
            <w:vAlign w:val="center"/>
          </w:tcPr>
          <w:p w14:paraId="4509B3F9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Flávio</w:t>
            </w:r>
            <w:proofErr w:type="spellEnd"/>
          </w:p>
        </w:tc>
      </w:tr>
      <w:tr w:rsidR="00B449F6" w:rsidRPr="002C6986" w14:paraId="7A32A206" w14:textId="77777777" w:rsidTr="0097464A">
        <w:trPr>
          <w:trHeight w:val="689"/>
        </w:trPr>
        <w:tc>
          <w:tcPr>
            <w:tcW w:w="5057" w:type="dxa"/>
            <w:gridSpan w:val="4"/>
            <w:vAlign w:val="center"/>
          </w:tcPr>
          <w:p w14:paraId="5B8568EF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 w:rsidRPr="002C6986">
              <w:rPr>
                <w:b/>
              </w:rPr>
              <w:t>Celková nabídková cena:</w:t>
            </w:r>
          </w:p>
        </w:tc>
        <w:tc>
          <w:tcPr>
            <w:tcW w:w="1358" w:type="dxa"/>
            <w:vAlign w:val="center"/>
          </w:tcPr>
          <w:p w14:paraId="2817701E" w14:textId="4014C48E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154.500,-</w:t>
            </w:r>
          </w:p>
        </w:tc>
        <w:tc>
          <w:tcPr>
            <w:tcW w:w="1419" w:type="dxa"/>
            <w:vAlign w:val="center"/>
          </w:tcPr>
          <w:p w14:paraId="2634F9D4" w14:textId="77777777" w:rsidR="00B449F6" w:rsidRPr="002C6986" w:rsidRDefault="00B449F6" w:rsidP="009746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186.945,-</w:t>
            </w:r>
          </w:p>
        </w:tc>
        <w:tc>
          <w:tcPr>
            <w:tcW w:w="2222" w:type="dxa"/>
            <w:gridSpan w:val="2"/>
            <w:vAlign w:val="center"/>
          </w:tcPr>
          <w:p w14:paraId="59610611" w14:textId="77777777" w:rsidR="00B449F6" w:rsidRPr="002C6986" w:rsidRDefault="00B449F6" w:rsidP="0097464A">
            <w:pPr>
              <w:spacing w:before="120"/>
              <w:rPr>
                <w:b/>
              </w:rPr>
            </w:pPr>
            <w:r>
              <w:rPr>
                <w:b/>
              </w:rPr>
              <w:t>186.945,-</w:t>
            </w:r>
          </w:p>
        </w:tc>
      </w:tr>
    </w:tbl>
    <w:p w14:paraId="037EB6F2" w14:textId="77777777" w:rsidR="00B449F6" w:rsidRPr="007E1BE3" w:rsidRDefault="00B449F6" w:rsidP="00B449F6">
      <w:pPr>
        <w:rPr>
          <w:b/>
          <w:i/>
        </w:rPr>
      </w:pPr>
      <w:r w:rsidRPr="00DB6D46">
        <w:rPr>
          <w:b/>
          <w:i/>
        </w:rPr>
        <w:t xml:space="preserve">Tabulka </w:t>
      </w:r>
      <w:r>
        <w:rPr>
          <w:b/>
          <w:i/>
        </w:rPr>
        <w:t>nabídkové ceny:</w:t>
      </w:r>
    </w:p>
    <w:p w14:paraId="2F3D11A5" w14:textId="77777777" w:rsidR="00B449F6" w:rsidRPr="002C6986" w:rsidRDefault="00B449F6" w:rsidP="00B449F6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6"/>
          <w:szCs w:val="26"/>
          <w:u w:val="single"/>
        </w:rPr>
      </w:pPr>
    </w:p>
    <w:p w14:paraId="0A7A5C43" w14:textId="77777777" w:rsidR="00B449F6" w:rsidRDefault="00B449F6" w:rsidP="00B449F6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sectPr w:rsidR="00B449F6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3BF6" w14:textId="77777777" w:rsidR="00907067" w:rsidRDefault="00907067" w:rsidP="00583CC5">
      <w:r>
        <w:separator/>
      </w:r>
    </w:p>
  </w:endnote>
  <w:endnote w:type="continuationSeparator" w:id="0">
    <w:p w14:paraId="7DC74125" w14:textId="77777777" w:rsidR="00907067" w:rsidRDefault="00907067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1A01" w14:textId="77777777" w:rsidR="00907067" w:rsidRDefault="00907067" w:rsidP="00583CC5">
      <w:r>
        <w:separator/>
      </w:r>
    </w:p>
  </w:footnote>
  <w:footnote w:type="continuationSeparator" w:id="0">
    <w:p w14:paraId="06CF1A56" w14:textId="77777777" w:rsidR="00907067" w:rsidRDefault="00907067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E115BCB"/>
    <w:multiLevelType w:val="hybridMultilevel"/>
    <w:tmpl w:val="C2D879E8"/>
    <w:lvl w:ilvl="0" w:tplc="2982C8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136F0"/>
    <w:multiLevelType w:val="hybridMultilevel"/>
    <w:tmpl w:val="820ED2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AE00AEE"/>
    <w:multiLevelType w:val="hybridMultilevel"/>
    <w:tmpl w:val="172EA3F6"/>
    <w:lvl w:ilvl="0" w:tplc="6DAAA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873883387">
    <w:abstractNumId w:val="29"/>
  </w:num>
  <w:num w:numId="2" w16cid:durableId="839082720">
    <w:abstractNumId w:val="2"/>
  </w:num>
  <w:num w:numId="3" w16cid:durableId="461995155">
    <w:abstractNumId w:val="12"/>
  </w:num>
  <w:num w:numId="4" w16cid:durableId="1880775996">
    <w:abstractNumId w:val="6"/>
  </w:num>
  <w:num w:numId="5" w16cid:durableId="207838238">
    <w:abstractNumId w:val="0"/>
  </w:num>
  <w:num w:numId="6" w16cid:durableId="345863854">
    <w:abstractNumId w:val="35"/>
  </w:num>
  <w:num w:numId="7" w16cid:durableId="915937628">
    <w:abstractNumId w:val="24"/>
  </w:num>
  <w:num w:numId="8" w16cid:durableId="618730181">
    <w:abstractNumId w:val="27"/>
  </w:num>
  <w:num w:numId="9" w16cid:durableId="2056276866">
    <w:abstractNumId w:val="26"/>
  </w:num>
  <w:num w:numId="10" w16cid:durableId="1693648119">
    <w:abstractNumId w:val="34"/>
  </w:num>
  <w:num w:numId="11" w16cid:durableId="1164853661">
    <w:abstractNumId w:val="17"/>
  </w:num>
  <w:num w:numId="12" w16cid:durableId="363099770">
    <w:abstractNumId w:val="14"/>
  </w:num>
  <w:num w:numId="13" w16cid:durableId="480342875">
    <w:abstractNumId w:val="25"/>
  </w:num>
  <w:num w:numId="14" w16cid:durableId="633754953">
    <w:abstractNumId w:val="13"/>
  </w:num>
  <w:num w:numId="15" w16cid:durableId="460075646">
    <w:abstractNumId w:val="8"/>
  </w:num>
  <w:num w:numId="16" w16cid:durableId="2071805659">
    <w:abstractNumId w:val="3"/>
  </w:num>
  <w:num w:numId="17" w16cid:durableId="231085328">
    <w:abstractNumId w:val="11"/>
  </w:num>
  <w:num w:numId="18" w16cid:durableId="561795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2932710">
    <w:abstractNumId w:val="1"/>
  </w:num>
  <w:num w:numId="20" w16cid:durableId="719329902">
    <w:abstractNumId w:val="33"/>
  </w:num>
  <w:num w:numId="21" w16cid:durableId="1780880202">
    <w:abstractNumId w:val="20"/>
  </w:num>
  <w:num w:numId="22" w16cid:durableId="910849493">
    <w:abstractNumId w:val="28"/>
  </w:num>
  <w:num w:numId="23" w16cid:durableId="1625621202">
    <w:abstractNumId w:val="31"/>
  </w:num>
  <w:num w:numId="24" w16cid:durableId="1804620728">
    <w:abstractNumId w:val="4"/>
  </w:num>
  <w:num w:numId="25" w16cid:durableId="876314177">
    <w:abstractNumId w:val="21"/>
  </w:num>
  <w:num w:numId="26" w16cid:durableId="1527138356">
    <w:abstractNumId w:val="22"/>
  </w:num>
  <w:num w:numId="27" w16cid:durableId="188878941">
    <w:abstractNumId w:val="18"/>
  </w:num>
  <w:num w:numId="28" w16cid:durableId="920525987">
    <w:abstractNumId w:val="9"/>
  </w:num>
  <w:num w:numId="29" w16cid:durableId="88892792">
    <w:abstractNumId w:val="30"/>
  </w:num>
  <w:num w:numId="30" w16cid:durableId="1124423051">
    <w:abstractNumId w:val="15"/>
  </w:num>
  <w:num w:numId="31" w16cid:durableId="34087347">
    <w:abstractNumId w:val="32"/>
  </w:num>
  <w:num w:numId="32" w16cid:durableId="1298873868">
    <w:abstractNumId w:val="5"/>
  </w:num>
  <w:num w:numId="33" w16cid:durableId="71899742">
    <w:abstractNumId w:val="7"/>
  </w:num>
  <w:num w:numId="34" w16cid:durableId="1897816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7167413">
    <w:abstractNumId w:val="19"/>
  </w:num>
  <w:num w:numId="36" w16cid:durableId="402995815">
    <w:abstractNumId w:val="23"/>
  </w:num>
  <w:num w:numId="37" w16cid:durableId="96296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171CC"/>
    <w:rsid w:val="00021A43"/>
    <w:rsid w:val="000256F1"/>
    <w:rsid w:val="00030C35"/>
    <w:rsid w:val="000510F4"/>
    <w:rsid w:val="00077221"/>
    <w:rsid w:val="000B7A06"/>
    <w:rsid w:val="000D043C"/>
    <w:rsid w:val="000E3AF4"/>
    <w:rsid w:val="001A61DA"/>
    <w:rsid w:val="001C32C6"/>
    <w:rsid w:val="001F6B6A"/>
    <w:rsid w:val="0023186F"/>
    <w:rsid w:val="002658FF"/>
    <w:rsid w:val="00266B16"/>
    <w:rsid w:val="0028789E"/>
    <w:rsid w:val="00293C26"/>
    <w:rsid w:val="002E0AFA"/>
    <w:rsid w:val="0030094D"/>
    <w:rsid w:val="003023CA"/>
    <w:rsid w:val="00312A80"/>
    <w:rsid w:val="003C5CC8"/>
    <w:rsid w:val="003D073A"/>
    <w:rsid w:val="003E6C1A"/>
    <w:rsid w:val="00441B20"/>
    <w:rsid w:val="004E1768"/>
    <w:rsid w:val="00507EC4"/>
    <w:rsid w:val="00565069"/>
    <w:rsid w:val="00571502"/>
    <w:rsid w:val="00583CC5"/>
    <w:rsid w:val="0059786B"/>
    <w:rsid w:val="005A4D58"/>
    <w:rsid w:val="005B540D"/>
    <w:rsid w:val="005E6862"/>
    <w:rsid w:val="00675238"/>
    <w:rsid w:val="00697787"/>
    <w:rsid w:val="006A1F8A"/>
    <w:rsid w:val="006A3055"/>
    <w:rsid w:val="00727655"/>
    <w:rsid w:val="00770FBD"/>
    <w:rsid w:val="007A3E39"/>
    <w:rsid w:val="007D593E"/>
    <w:rsid w:val="00826202"/>
    <w:rsid w:val="008515B9"/>
    <w:rsid w:val="00893DE1"/>
    <w:rsid w:val="00895FE1"/>
    <w:rsid w:val="008F0397"/>
    <w:rsid w:val="00907067"/>
    <w:rsid w:val="0090768A"/>
    <w:rsid w:val="00911FDE"/>
    <w:rsid w:val="009244F9"/>
    <w:rsid w:val="0093661D"/>
    <w:rsid w:val="00950D80"/>
    <w:rsid w:val="009573D3"/>
    <w:rsid w:val="00963747"/>
    <w:rsid w:val="00991EA9"/>
    <w:rsid w:val="009936CC"/>
    <w:rsid w:val="00994861"/>
    <w:rsid w:val="009B08B5"/>
    <w:rsid w:val="009D3AA4"/>
    <w:rsid w:val="009D3F00"/>
    <w:rsid w:val="009D7E61"/>
    <w:rsid w:val="009F78F7"/>
    <w:rsid w:val="00A03C83"/>
    <w:rsid w:val="00A33670"/>
    <w:rsid w:val="00AB0FD4"/>
    <w:rsid w:val="00AD3B63"/>
    <w:rsid w:val="00B449F6"/>
    <w:rsid w:val="00BF0287"/>
    <w:rsid w:val="00BF45DF"/>
    <w:rsid w:val="00C4114B"/>
    <w:rsid w:val="00C5302C"/>
    <w:rsid w:val="00C63BC4"/>
    <w:rsid w:val="00CD0246"/>
    <w:rsid w:val="00CD6EC9"/>
    <w:rsid w:val="00D2067A"/>
    <w:rsid w:val="00D50567"/>
    <w:rsid w:val="00D803F5"/>
    <w:rsid w:val="00D87F4B"/>
    <w:rsid w:val="00E33B13"/>
    <w:rsid w:val="00E62CF5"/>
    <w:rsid w:val="00EE0C73"/>
    <w:rsid w:val="00F20132"/>
    <w:rsid w:val="00F25919"/>
    <w:rsid w:val="00F32A9A"/>
    <w:rsid w:val="00F46FBB"/>
    <w:rsid w:val="00F73608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2337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2026-05-25T05:19:00Z</cp:lastPrinted>
  <dcterms:created xsi:type="dcterms:W3CDTF">2026-05-26T04:58:00Z</dcterms:created>
  <dcterms:modified xsi:type="dcterms:W3CDTF">2026-05-26T05:02:00Z</dcterms:modified>
</cp:coreProperties>
</file>