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7F9065E2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DE1375">
        <w:rPr>
          <w:b/>
          <w:sz w:val="24"/>
          <w:szCs w:val="24"/>
        </w:rPr>
        <w:t>1042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615D2354" w:rsidR="00376EEC" w:rsidRDefault="00DE1375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FERKL s.r.o.,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panem Františkem </w:t>
      </w:r>
      <w:proofErr w:type="spellStart"/>
      <w:r>
        <w:rPr>
          <w:sz w:val="24"/>
          <w:szCs w:val="24"/>
        </w:rPr>
        <w:t>Ferklem</w:t>
      </w:r>
      <w:proofErr w:type="spellEnd"/>
    </w:p>
    <w:p w14:paraId="08DBE883" w14:textId="595FD9C9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DE1375">
        <w:rPr>
          <w:sz w:val="24"/>
          <w:szCs w:val="24"/>
        </w:rPr>
        <w:t>Ostrovní 669, 411 08 Štětí</w:t>
      </w:r>
    </w:p>
    <w:p w14:paraId="7773A142" w14:textId="2DCD1C42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DE1375">
        <w:rPr>
          <w:sz w:val="24"/>
          <w:szCs w:val="24"/>
        </w:rPr>
        <w:t>272 81 949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26EADDE2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DE1375">
        <w:rPr>
          <w:b/>
          <w:sz w:val="24"/>
          <w:szCs w:val="24"/>
        </w:rPr>
        <w:t>25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DE1375">
        <w:rPr>
          <w:b/>
          <w:sz w:val="24"/>
          <w:szCs w:val="24"/>
        </w:rPr>
        <w:t>5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DE1375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6339CC22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72CD9355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Pr="00414B11">
        <w:rPr>
          <w:sz w:val="24"/>
          <w:szCs w:val="24"/>
        </w:rPr>
        <w:t xml:space="preserve"> </w:t>
      </w:r>
    </w:p>
    <w:p w14:paraId="4C4F7506" w14:textId="597020C8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4390629B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4CA3FDC4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DE1375">
        <w:rPr>
          <w:sz w:val="24"/>
          <w:szCs w:val="24"/>
        </w:rPr>
        <w:t xml:space="preserve"> 18. 5. 2026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26A7753D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DE1375">
        <w:rPr>
          <w:b/>
          <w:sz w:val="24"/>
          <w:szCs w:val="24"/>
        </w:rPr>
        <w:t>1042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1523A7C8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77777777" w:rsidR="00677F5F" w:rsidRPr="00E40239" w:rsidRDefault="005816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4DA1965F" w:rsidR="00677F5F" w:rsidRPr="00E40239" w:rsidRDefault="00DE1375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5816EA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73C9" w14:textId="77777777" w:rsidR="00271DA7" w:rsidRDefault="00271DA7">
      <w:r>
        <w:separator/>
      </w:r>
    </w:p>
  </w:endnote>
  <w:endnote w:type="continuationSeparator" w:id="0">
    <w:p w14:paraId="75556AAB" w14:textId="77777777" w:rsidR="00271DA7" w:rsidRDefault="0027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A5EE" w14:textId="77777777" w:rsidR="00271DA7" w:rsidRDefault="00271DA7">
      <w:r>
        <w:separator/>
      </w:r>
    </w:p>
  </w:footnote>
  <w:footnote w:type="continuationSeparator" w:id="0">
    <w:p w14:paraId="59645906" w14:textId="77777777" w:rsidR="00271DA7" w:rsidRDefault="0027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71DA7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24E59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C6A4F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E1375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1291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2026-05-18T07:46:00Z</dcterms:created>
  <dcterms:modified xsi:type="dcterms:W3CDTF">2026-05-25T12:29:00Z</dcterms:modified>
</cp:coreProperties>
</file>