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22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4"/>
        <w:keepNext/>
        <w:keepLines/>
        <w:widowControl w:val="0"/>
        <w:shd w:val="clear" w:color="auto" w:fill="auto"/>
        <w:bidi w:val="0"/>
        <w:spacing w:before="0" w:after="14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4"/>
        <w:keepNext/>
        <w:keepLines/>
        <w:widowControl w:val="0"/>
        <w:shd w:val="clear" w:color="auto" w:fill="auto"/>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4"/>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1384/2025</w:t>
      </w:r>
      <w:bookmarkEnd w:id="10"/>
      <w:bookmarkEnd w:id="11"/>
      <w:bookmarkEnd w:id="9"/>
    </w:p>
    <w:p>
      <w:pPr>
        <w:pStyle w:val="Style4"/>
        <w:keepNext/>
        <w:keepLines/>
        <w:widowControl w:val="0"/>
        <w:shd w:val="clear" w:color="auto" w:fill="auto"/>
        <w:bidi w:val="0"/>
        <w:spacing w:before="0" w:after="20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 26S006/02</w:t>
      </w:r>
      <w:bookmarkEnd w:id="12"/>
      <w:bookmarkEnd w:id="13"/>
      <w:bookmarkEnd w:id="14"/>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“VDN, přelivné objekty - statické zajištění slupic, manipulační přípravek pro tabule”</w:t>
      </w:r>
    </w:p>
    <w:p>
      <w:pPr>
        <w:pStyle w:val="Style4"/>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4"/>
        <w:keepNext/>
        <w:keepLines/>
        <w:widowControl w:val="0"/>
        <w:shd w:val="clear" w:color="auto" w:fill="auto"/>
        <w:tabs>
          <w:tab w:pos="2788"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4"/>
        <w:keepNext/>
        <w:keepLines/>
        <w:widowControl w:val="0"/>
        <w:shd w:val="clear" w:color="auto" w:fill="auto"/>
        <w:tabs>
          <w:tab w:pos="2788"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4"/>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4"/>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 k podpisu smlouvy</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a k jednání o věcech smluvních:</w:t>
      </w:r>
      <w:bookmarkEnd w:id="30"/>
      <w:bookmarkEnd w:id="31"/>
      <w:bookmarkEnd w:id="32"/>
    </w:p>
    <w:p>
      <w:pPr>
        <w:pStyle w:val="Style4"/>
        <w:keepNext/>
        <w:keepLines/>
        <w:widowControl w:val="0"/>
        <w:shd w:val="clear" w:color="auto" w:fill="auto"/>
        <w:bidi w:val="0"/>
        <w:spacing w:before="0" w:after="20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oprávněn jednat o věcech technických:</w:t>
      </w:r>
      <w:bookmarkEnd w:id="33"/>
      <w:bookmarkEnd w:id="34"/>
      <w:bookmarkEnd w:id="35"/>
    </w:p>
    <w:p>
      <w:pPr>
        <w:pStyle w:val="Style4"/>
        <w:keepNext/>
        <w:keepLines/>
        <w:widowControl w:val="0"/>
        <w:shd w:val="clear" w:color="auto" w:fill="auto"/>
        <w:bidi w:val="0"/>
        <w:spacing w:before="0" w:after="20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technický dozor objednatele:</w:t>
      </w:r>
      <w:bookmarkEnd w:id="36"/>
      <w:bookmarkEnd w:id="37"/>
      <w:bookmarkEnd w:id="38"/>
    </w:p>
    <w:p>
      <w:pPr>
        <w:pStyle w:val="Style4"/>
        <w:keepNext/>
        <w:keepLines/>
        <w:widowControl w:val="0"/>
        <w:shd w:val="clear" w:color="auto" w:fill="auto"/>
        <w:tabs>
          <w:tab w:pos="2788"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IČO:</w:t>
        <w:tab/>
        <w:t>70889988</w:t>
      </w:r>
      <w:bookmarkEnd w:id="39"/>
      <w:bookmarkEnd w:id="40"/>
      <w:bookmarkEnd w:id="41"/>
    </w:p>
    <w:p>
      <w:pPr>
        <w:pStyle w:val="Style4"/>
        <w:keepNext/>
        <w:keepLines/>
        <w:widowControl w:val="0"/>
        <w:shd w:val="clear" w:color="auto" w:fill="auto"/>
        <w:tabs>
          <w:tab w:pos="2788"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DIČ:</w:t>
        <w:tab/>
        <w:t>CZ70889988</w:t>
      </w:r>
      <w:bookmarkEnd w:id="42"/>
      <w:bookmarkEnd w:id="43"/>
      <w:bookmarkEnd w:id="44"/>
    </w:p>
    <w:p>
      <w:pPr>
        <w:pStyle w:val="Style4"/>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bankovní spojení:</w:t>
      </w:r>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číslo účtu:</w:t>
      </w:r>
      <w:bookmarkEnd w:id="48"/>
      <w:bookmarkEnd w:id="49"/>
      <w:bookmarkEnd w:id="50"/>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20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(dále jen „objednatel“)</w:t>
      </w:r>
      <w:bookmarkEnd w:id="51"/>
      <w:bookmarkEnd w:id="52"/>
      <w:bookmarkEnd w:id="53"/>
    </w:p>
    <w:p>
      <w:pPr>
        <w:pStyle w:val="Style4"/>
        <w:keepNext/>
        <w:keepLines/>
        <w:widowControl w:val="0"/>
        <w:shd w:val="clear" w:color="auto" w:fill="auto"/>
        <w:bidi w:val="0"/>
        <w:spacing w:before="0" w:after="20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a</w:t>
      </w:r>
      <w:bookmarkEnd w:id="54"/>
      <w:bookmarkEnd w:id="55"/>
      <w:bookmarkEnd w:id="56"/>
    </w:p>
    <w:p>
      <w:pPr>
        <w:pStyle w:val="Style4"/>
        <w:keepNext/>
        <w:keepLines/>
        <w:widowControl w:val="0"/>
        <w:shd w:val="clear" w:color="auto" w:fill="auto"/>
        <w:tabs>
          <w:tab w:pos="2788" w:val="left"/>
        </w:tabs>
        <w:bidi w:val="0"/>
        <w:spacing w:before="0" w:after="0" w:line="240" w:lineRule="auto"/>
        <w:ind w:left="0" w:right="0" w:firstLine="0"/>
        <w:jc w:val="left"/>
      </w:pPr>
      <w:bookmarkStart w:id="57" w:name="bookmark57"/>
      <w:bookmarkStart w:id="58" w:name="bookmark58"/>
      <w:bookmarkStart w:id="59" w:name="bookmark59"/>
      <w:r>
        <w:rPr>
          <w:b/>
          <w:bCs/>
          <w:color w:val="000000"/>
          <w:spacing w:val="0"/>
          <w:w w:val="100"/>
          <w:position w:val="0"/>
          <w:shd w:val="clear" w:color="auto" w:fill="auto"/>
          <w:lang w:val="cs-CZ" w:eastAsia="cs-CZ" w:bidi="cs-CZ"/>
        </w:rPr>
        <w:t>zhotovitel:</w:t>
        <w:tab/>
        <w:t>Mostecká montážní a.s.</w:t>
      </w:r>
      <w:bookmarkEnd w:id="57"/>
      <w:bookmarkEnd w:id="58"/>
      <w:bookmarkEnd w:id="59"/>
    </w:p>
    <w:p>
      <w:pPr>
        <w:pStyle w:val="Style4"/>
        <w:keepNext/>
        <w:keepLines/>
        <w:widowControl w:val="0"/>
        <w:shd w:val="clear" w:color="auto" w:fill="auto"/>
        <w:tabs>
          <w:tab w:pos="2788"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sídlo:</w:t>
        <w:tab/>
        <w:t>Na Poříčí 1071/17, Nové Město, 110 00 Praha 1</w:t>
      </w:r>
      <w:bookmarkEnd w:id="60"/>
      <w:bookmarkEnd w:id="61"/>
      <w:bookmarkEnd w:id="62"/>
    </w:p>
    <w:p>
      <w:pPr>
        <w:pStyle w:val="Style4"/>
        <w:keepNext/>
        <w:keepLines/>
        <w:widowControl w:val="0"/>
        <w:shd w:val="clear" w:color="auto" w:fill="auto"/>
        <w:bidi w:val="0"/>
        <w:spacing w:before="0" w:after="20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k podpisu smlouvy:</w:t>
      </w:r>
      <w:bookmarkEnd w:id="63"/>
      <w:bookmarkEnd w:id="64"/>
      <w:bookmarkEnd w:id="65"/>
    </w:p>
    <w:p>
      <w:pPr>
        <w:pStyle w:val="Style4"/>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smluvních:</w:t>
      </w:r>
      <w:bookmarkEnd w:id="66"/>
      <w:bookmarkEnd w:id="67"/>
      <w:bookmarkEnd w:id="68"/>
    </w:p>
    <w:p>
      <w:pPr>
        <w:pStyle w:val="Style4"/>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oprávněn(i) jednat o věcech technických:</w:t>
      </w:r>
      <w:bookmarkEnd w:id="69"/>
      <w:bookmarkEnd w:id="70"/>
      <w:bookmarkEnd w:id="71"/>
    </w:p>
    <w:p>
      <w:pPr>
        <w:pStyle w:val="Style4"/>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stavbyvedoucí:</w:t>
      </w:r>
      <w:bookmarkEnd w:id="72"/>
      <w:bookmarkEnd w:id="73"/>
      <w:bookmarkEnd w:id="74"/>
    </w:p>
    <w:p>
      <w:pPr>
        <w:pStyle w:val="Style4"/>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manažer stavby:</w:t>
      </w:r>
      <w:bookmarkEnd w:id="75"/>
      <w:bookmarkEnd w:id="76"/>
      <w:bookmarkEnd w:id="77"/>
    </w:p>
    <w:p>
      <w:pPr>
        <w:pStyle w:val="Style4"/>
        <w:keepNext/>
        <w:keepLines/>
        <w:widowControl w:val="0"/>
        <w:shd w:val="clear" w:color="auto" w:fill="auto"/>
        <w:tabs>
          <w:tab w:pos="2788" w:val="left"/>
        </w:tabs>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IČO:</w:t>
        <w:tab/>
        <w:t>25493507</w:t>
      </w:r>
      <w:bookmarkEnd w:id="78"/>
      <w:bookmarkEnd w:id="79"/>
      <w:bookmarkEnd w:id="80"/>
    </w:p>
    <w:p>
      <w:pPr>
        <w:pStyle w:val="Style4"/>
        <w:keepNext/>
        <w:keepLines/>
        <w:widowControl w:val="0"/>
        <w:shd w:val="clear" w:color="auto" w:fill="auto"/>
        <w:tabs>
          <w:tab w:pos="2788" w:val="left"/>
        </w:tabs>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DIČ:</w:t>
        <w:tab/>
        <w:t>CZ25493507</w:t>
      </w:r>
      <w:bookmarkEnd w:id="81"/>
      <w:bookmarkEnd w:id="82"/>
      <w:bookmarkEnd w:id="83"/>
    </w:p>
    <w:p>
      <w:pPr>
        <w:pStyle w:val="Style4"/>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bankovní spojení:</w:t>
      </w:r>
      <w:bookmarkEnd w:id="84"/>
      <w:bookmarkEnd w:id="85"/>
      <w:bookmarkEnd w:id="86"/>
    </w:p>
    <w:p>
      <w:pPr>
        <w:pStyle w:val="Style4"/>
        <w:keepNext/>
        <w:keepLines/>
        <w:widowControl w:val="0"/>
        <w:shd w:val="clear" w:color="auto" w:fill="auto"/>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číslo účtu:</w:t>
      </w:r>
      <w:bookmarkEnd w:id="87"/>
      <w:bookmarkEnd w:id="88"/>
      <w:bookmarkEnd w:id="89"/>
    </w:p>
    <w:p>
      <w:pPr>
        <w:pStyle w:val="Style4"/>
        <w:keepNext/>
        <w:keepLines/>
        <w:widowControl w:val="0"/>
        <w:shd w:val="clear" w:color="auto" w:fill="auto"/>
        <w:bidi w:val="0"/>
        <w:spacing w:before="0" w:after="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zápis v obchodním rejstříku: u Městského soudu v Praze, oddíl B, vložka 25273</w:t>
      </w:r>
      <w:bookmarkEnd w:id="90"/>
      <w:bookmarkEnd w:id="91"/>
      <w:bookmarkEnd w:id="92"/>
    </w:p>
    <w:p>
      <w:pPr>
        <w:pStyle w:val="Style4"/>
        <w:keepNext/>
        <w:keepLines/>
        <w:widowControl w:val="0"/>
        <w:shd w:val="clear" w:color="auto" w:fill="auto"/>
        <w:tabs>
          <w:tab w:pos="2788" w:val="left"/>
        </w:tabs>
        <w:bidi w:val="0"/>
        <w:spacing w:before="0" w:after="0" w:line="240" w:lineRule="auto"/>
        <w:ind w:left="0" w:right="0" w:firstLine="0"/>
        <w:jc w:val="left"/>
      </w:pPr>
      <w:bookmarkStart w:id="93" w:name="bookmark93"/>
      <w:bookmarkStart w:id="94" w:name="bookmark94"/>
      <w:bookmarkStart w:id="95" w:name="bookmark95"/>
      <w:r>
        <w:rPr>
          <w:color w:val="000000"/>
          <w:spacing w:val="0"/>
          <w:w w:val="100"/>
          <w:position w:val="0"/>
          <w:shd w:val="clear" w:color="auto" w:fill="auto"/>
          <w:lang w:val="cs-CZ" w:eastAsia="cs-CZ" w:bidi="cs-CZ"/>
        </w:rPr>
        <w:t>tel.:</w:t>
        <w:tab/>
        <w:t>e-mail:</w:t>
      </w:r>
      <w:bookmarkEnd w:id="93"/>
      <w:bookmarkEnd w:id="94"/>
      <w:bookmarkEnd w:id="95"/>
    </w:p>
    <w:p>
      <w:pPr>
        <w:pStyle w:val="Style4"/>
        <w:keepNext/>
        <w:keepLines/>
        <w:widowControl w:val="0"/>
        <w:shd w:val="clear" w:color="auto" w:fill="auto"/>
        <w:bidi w:val="0"/>
        <w:spacing w:before="0" w:after="700" w:line="240" w:lineRule="auto"/>
        <w:ind w:left="0" w:right="0" w:firstLine="0"/>
        <w:jc w:val="left"/>
      </w:pPr>
      <w:bookmarkStart w:id="96" w:name="bookmark96"/>
      <w:bookmarkStart w:id="97" w:name="bookmark97"/>
      <w:bookmarkStart w:id="98" w:name="bookmark98"/>
      <w:r>
        <w:rPr>
          <w:color w:val="000000"/>
          <w:spacing w:val="0"/>
          <w:w w:val="100"/>
          <w:position w:val="0"/>
          <w:shd w:val="clear" w:color="auto" w:fill="auto"/>
          <w:lang w:val="cs-CZ" w:eastAsia="cs-CZ" w:bidi="cs-CZ"/>
        </w:rPr>
        <w:t>(dále jen „zhotovitel“)</w:t>
      </w:r>
      <w:bookmarkEnd w:id="96"/>
      <w:bookmarkEnd w:id="97"/>
      <w:bookmarkEnd w:id="98"/>
    </w:p>
    <w:p>
      <w:pPr>
        <w:pStyle w:val="Style4"/>
        <w:keepNext/>
        <w:keepLines/>
        <w:widowControl w:val="0"/>
        <w:shd w:val="clear" w:color="auto" w:fill="auto"/>
        <w:bidi w:val="0"/>
        <w:spacing w:before="0" w:after="200" w:line="240" w:lineRule="auto"/>
        <w:ind w:left="0" w:right="0" w:firstLine="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bookmarkEnd w:id="100"/>
      <w:bookmarkEnd w:id="101"/>
      <w:bookmarkEnd w:id="99"/>
      <w:r>
        <w:br w:type="page"/>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Jedná se o změnu</w:t>
      </w:r>
    </w:p>
    <w:p>
      <w:pPr>
        <w:pStyle w:val="Style2"/>
        <w:keepNext w:val="0"/>
        <w:keepLines w:val="0"/>
        <w:widowControl w:val="0"/>
        <w:numPr>
          <w:ilvl w:val="0"/>
          <w:numId w:val="1"/>
        </w:numPr>
        <w:shd w:val="clear" w:color="auto" w:fill="auto"/>
        <w:tabs>
          <w:tab w:pos="397" w:val="left"/>
        </w:tabs>
        <w:bidi w:val="0"/>
        <w:spacing w:before="0" w:after="0" w:line="240" w:lineRule="auto"/>
        <w:ind w:left="0" w:right="0" w:firstLine="0"/>
        <w:jc w:val="left"/>
      </w:pPr>
      <w:bookmarkStart w:id="102" w:name="bookmark102"/>
      <w:bookmarkEnd w:id="102"/>
      <w:r>
        <w:rPr>
          <w:b/>
          <w:bCs/>
          <w:color w:val="000000"/>
          <w:spacing w:val="0"/>
          <w:w w:val="100"/>
          <w:position w:val="0"/>
          <w:shd w:val="clear" w:color="auto" w:fill="auto"/>
          <w:lang w:val="cs-CZ" w:eastAsia="cs-CZ" w:bidi="cs-CZ"/>
        </w:rPr>
        <w:t>oprávněného zástupce objednatele – zástupce ve věcech technických,</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left"/>
      </w:pPr>
      <w:bookmarkStart w:id="103" w:name="bookmark103"/>
      <w:bookmarkEnd w:id="103"/>
      <w:r>
        <w:rPr>
          <w:b/>
          <w:bCs/>
          <w:color w:val="000000"/>
          <w:spacing w:val="0"/>
          <w:w w:val="100"/>
          <w:position w:val="0"/>
          <w:shd w:val="clear" w:color="auto" w:fill="auto"/>
          <w:lang w:val="cs-CZ" w:eastAsia="cs-CZ" w:bidi="cs-CZ"/>
        </w:rPr>
        <w:t>dílčích termínů plnění díla</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vzhledem k aktuálnímu stavu hladiny VD Nechranice, která neumožňuje bezpečný přístup na pracoviště se smluvní strany dohodly na prodloužení termínu převzetí staveniště k zahájení realizace prací a montáže na stavbě. Zároveň je prodloužen termín předání a převzetí díla. Změny byly řádně projednány a odsouhlaseny oprávněnými zástupci smluvních stran.</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3"/>
        </w:numPr>
        <w:shd w:val="clear" w:color="auto" w:fill="auto"/>
        <w:tabs>
          <w:tab w:pos="397" w:val="left"/>
        </w:tabs>
        <w:bidi w:val="0"/>
        <w:spacing w:before="0" w:after="0" w:line="240" w:lineRule="auto"/>
        <w:ind w:left="0" w:right="0" w:firstLine="0"/>
        <w:jc w:val="left"/>
      </w:pPr>
      <w:bookmarkStart w:id="104" w:name="bookmark104"/>
      <w:bookmarkEnd w:id="104"/>
      <w:r>
        <w:rPr>
          <w:b/>
          <w:bCs/>
          <w:color w:val="000000"/>
          <w:spacing w:val="0"/>
          <w:w w:val="100"/>
          <w:position w:val="0"/>
          <w:shd w:val="clear" w:color="auto" w:fill="auto"/>
          <w:lang w:val="cs-CZ" w:eastAsia="cs-CZ" w:bidi="cs-CZ"/>
        </w:rPr>
        <w:t xml:space="preserve">oprávněný jednat o věcech technických </w:t>
      </w:r>
      <w:r>
        <w:rPr>
          <w:color w:val="000000"/>
          <w:spacing w:val="0"/>
          <w:w w:val="100"/>
          <w:position w:val="0"/>
          <w:shd w:val="clear" w:color="auto" w:fill="auto"/>
          <w:lang w:val="cs-CZ" w:eastAsia="cs-CZ" w:bidi="cs-CZ"/>
        </w:rPr>
        <w:t>původně: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nově:</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left"/>
      </w:pPr>
      <w:bookmarkStart w:id="105" w:name="bookmark105"/>
      <w:bookmarkEnd w:id="105"/>
      <w:r>
        <w:rPr>
          <w:b/>
          <w:bCs/>
          <w:color w:val="000000"/>
          <w:spacing w:val="0"/>
          <w:w w:val="100"/>
          <w:position w:val="0"/>
          <w:shd w:val="clear" w:color="auto" w:fill="auto"/>
          <w:lang w:val="cs-CZ" w:eastAsia="cs-CZ" w:bidi="cs-CZ"/>
        </w:rPr>
        <w:t>čl. II. Termín plnění, bod 1. písm. b) převzetí staveniště k zahájení realizace prací a montáže na stavbě a písm. c) předání a převzetí díla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původní znění:</w:t>
      </w:r>
    </w:p>
    <w:p>
      <w:pPr>
        <w:pStyle w:val="Style2"/>
        <w:keepNext w:val="0"/>
        <w:keepLines w:val="0"/>
        <w:widowControl w:val="0"/>
        <w:numPr>
          <w:ilvl w:val="0"/>
          <w:numId w:val="5"/>
        </w:numPr>
        <w:shd w:val="clear" w:color="auto" w:fill="auto"/>
        <w:tabs>
          <w:tab w:pos="397" w:val="left"/>
        </w:tabs>
        <w:bidi w:val="0"/>
        <w:spacing w:before="0" w:after="0" w:line="240" w:lineRule="auto"/>
        <w:ind w:left="0" w:right="0" w:firstLine="0"/>
        <w:jc w:val="left"/>
      </w:pPr>
      <w:bookmarkStart w:id="106" w:name="bookmark106"/>
      <w:bookmarkEnd w:id="106"/>
      <w:r>
        <w:rPr>
          <w:color w:val="000000"/>
          <w:spacing w:val="0"/>
          <w:w w:val="100"/>
          <w:position w:val="0"/>
          <w:shd w:val="clear" w:color="auto" w:fill="auto"/>
          <w:lang w:val="cs-CZ" w:eastAsia="cs-CZ" w:bidi="cs-CZ"/>
        </w:rPr>
        <w:t>převzetí staveniště k zahájení realizace prací a montáže na stavbě: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Zahájení montáže dne 23.03.2026. K zahájení montáže je povinnost předání dokumentace výroby ocelové konstrukce dle daných norem výroby ocelových konstrukcí.</w:t>
      </w:r>
    </w:p>
    <w:p>
      <w:pPr>
        <w:pStyle w:val="Style2"/>
        <w:keepNext w:val="0"/>
        <w:keepLines w:val="0"/>
        <w:widowControl w:val="0"/>
        <w:numPr>
          <w:ilvl w:val="0"/>
          <w:numId w:val="5"/>
        </w:numPr>
        <w:shd w:val="clear" w:color="auto" w:fill="auto"/>
        <w:tabs>
          <w:tab w:pos="397" w:val="left"/>
        </w:tabs>
        <w:bidi w:val="0"/>
        <w:spacing w:before="0" w:after="0" w:line="240" w:lineRule="auto"/>
        <w:ind w:left="0" w:right="0" w:firstLine="0"/>
        <w:jc w:val="left"/>
      </w:pPr>
      <w:bookmarkStart w:id="107" w:name="bookmark107"/>
      <w:bookmarkEnd w:id="107"/>
      <w:r>
        <w:rPr>
          <w:color w:val="000000"/>
          <w:spacing w:val="0"/>
          <w:w w:val="100"/>
          <w:position w:val="0"/>
          <w:shd w:val="clear" w:color="auto" w:fill="auto"/>
          <w:lang w:val="cs-CZ" w:eastAsia="cs-CZ" w:bidi="cs-CZ"/>
        </w:rPr>
        <w:t>předání a převzetí díla: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Dokončení montážních prací včetně suchých a mokrých zkoušek do 30.4. 2026 a předání a převzetí díla nejpozději do 14.5.2026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nové znění:</w:t>
      </w:r>
    </w:p>
    <w:p>
      <w:pPr>
        <w:pStyle w:val="Style2"/>
        <w:keepNext w:val="0"/>
        <w:keepLines w:val="0"/>
        <w:widowControl w:val="0"/>
        <w:numPr>
          <w:ilvl w:val="0"/>
          <w:numId w:val="7"/>
        </w:numPr>
        <w:shd w:val="clear" w:color="auto" w:fill="auto"/>
        <w:tabs>
          <w:tab w:pos="397" w:val="left"/>
        </w:tabs>
        <w:bidi w:val="0"/>
        <w:spacing w:before="0" w:after="0" w:line="240" w:lineRule="auto"/>
        <w:ind w:left="0" w:right="0" w:firstLine="0"/>
        <w:jc w:val="left"/>
      </w:pPr>
      <w:bookmarkStart w:id="108" w:name="bookmark108"/>
      <w:bookmarkEnd w:id="108"/>
      <w:r>
        <w:rPr>
          <w:color w:val="000000"/>
          <w:spacing w:val="0"/>
          <w:w w:val="100"/>
          <w:position w:val="0"/>
          <w:shd w:val="clear" w:color="auto" w:fill="auto"/>
          <w:lang w:val="cs-CZ" w:eastAsia="cs-CZ" w:bidi="cs-CZ"/>
        </w:rPr>
        <w:t>převzetí staveniště k zahájení realizace prací a montáže na stavbě: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Zahájení montáže od písemné výzvy objednatele zaslané na mailovou adresu: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zahájení montáže je povinnost předání dokumentace výroby ocelové konstrukce dle daných norem výroby ocelových konstrukcí.</w:t>
      </w:r>
    </w:p>
    <w:p>
      <w:pPr>
        <w:pStyle w:val="Style2"/>
        <w:keepNext w:val="0"/>
        <w:keepLines w:val="0"/>
        <w:widowControl w:val="0"/>
        <w:numPr>
          <w:ilvl w:val="0"/>
          <w:numId w:val="7"/>
        </w:numPr>
        <w:shd w:val="clear" w:color="auto" w:fill="auto"/>
        <w:tabs>
          <w:tab w:pos="397" w:val="left"/>
        </w:tabs>
        <w:bidi w:val="0"/>
        <w:spacing w:before="0" w:after="0" w:line="240" w:lineRule="auto"/>
        <w:ind w:left="0" w:right="0" w:firstLine="0"/>
        <w:jc w:val="left"/>
      </w:pPr>
      <w:bookmarkStart w:id="109" w:name="bookmark109"/>
      <w:bookmarkEnd w:id="109"/>
      <w:r>
        <w:rPr>
          <w:color w:val="000000"/>
          <w:spacing w:val="0"/>
          <w:w w:val="100"/>
          <w:position w:val="0"/>
          <w:shd w:val="clear" w:color="auto" w:fill="auto"/>
          <w:lang w:val="cs-CZ" w:eastAsia="cs-CZ" w:bidi="cs-CZ"/>
        </w:rPr>
        <w:t>předání a převzetí díla:</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Dokončení montážních prací včetně suchých a mokrých zkoušek do 30.11. 2026 a předání a převzetí díla nejpozději do 15.12.2026</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widowControl w:val="0"/>
        <w:spacing w:line="1" w:lineRule="exact"/>
      </w:pPr>
      <w:r>
        <mc:AlternateContent>
          <mc:Choice Requires="wps">
            <w:drawing>
              <wp:anchor distT="673100" distB="0" distL="0" distR="0" simplePos="0" relativeHeight="125829378" behindDoc="0" locked="0" layoutInCell="1" allowOverlap="1">
                <wp:simplePos x="0" y="0"/>
                <wp:positionH relativeFrom="page">
                  <wp:posOffset>883920</wp:posOffset>
                </wp:positionH>
                <wp:positionV relativeFrom="paragraph">
                  <wp:posOffset>673100</wp:posOffset>
                </wp:positionV>
                <wp:extent cx="1688465" cy="548640"/>
                <wp:wrapTopAndBottom/>
                <wp:docPr id="1" name="Shape 1"/>
                <a:graphic xmlns:a="http://schemas.openxmlformats.org/drawingml/2006/main">
                  <a:graphicData uri="http://schemas.microsoft.com/office/word/2010/wordprocessingShape">
                    <wps:wsp>
                      <wps:cNvSpPr txBox="1"/>
                      <wps:spPr>
                        <a:xfrm>
                          <a:ext cx="1688465"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00000000000009pt;margin-top:53.pt;width:132.94999999999999pt;height:43.200000000000003pt;z-index:-125829375;mso-wrap-distance-left:0;mso-wrap-distance-top:5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v:textbox>
                <w10:wrap type="topAndBottom" anchorx="page"/>
              </v:shape>
            </w:pict>
          </mc:Fallback>
        </mc:AlternateContent>
      </w:r>
      <w:r>
        <mc:AlternateContent>
          <mc:Choice Requires="wps">
            <w:drawing>
              <wp:anchor distT="673100" distB="0" distL="0" distR="0" simplePos="0" relativeHeight="125829380" behindDoc="0" locked="0" layoutInCell="1" allowOverlap="1">
                <wp:simplePos x="0" y="0"/>
                <wp:positionH relativeFrom="page">
                  <wp:posOffset>4084320</wp:posOffset>
                </wp:positionH>
                <wp:positionV relativeFrom="paragraph">
                  <wp:posOffset>673100</wp:posOffset>
                </wp:positionV>
                <wp:extent cx="1511935" cy="548640"/>
                <wp:wrapTopAndBottom/>
                <wp:docPr id="3" name="Shape 3"/>
                <a:graphic xmlns:a="http://schemas.openxmlformats.org/drawingml/2006/main">
                  <a:graphicData uri="http://schemas.microsoft.com/office/word/2010/wordprocessingShape">
                    <wps:wsp>
                      <wps:cNvSpPr txBox="1"/>
                      <wps:spPr>
                        <a:xfrm>
                          <a:ext cx="1511935"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 Mostecká montážní a.s. elektronicky podepsal</w:t>
                            </w:r>
                          </w:p>
                        </w:txbxContent>
                      </wps:txbx>
                      <wps:bodyPr lIns="0" tIns="0" rIns="0" bIns="0">
                        <a:noAutoFit/>
                      </wps:bodyPr>
                    </wps:wsp>
                  </a:graphicData>
                </a:graphic>
              </wp:anchor>
            </w:drawing>
          </mc:Choice>
          <mc:Fallback>
            <w:pict>
              <v:shape id="_x0000_s1029" type="#_x0000_t202" style="position:absolute;margin-left:321.60000000000002pt;margin-top:53.pt;width:119.05pt;height:43.200000000000003pt;z-index:-125829373;mso-wrap-distance-left:0;mso-wrap-distance-top:5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 Mostecká montážní a.s. elektronicky podepsal</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5060" w:right="0" w:firstLine="0"/>
        <w:jc w:val="left"/>
      </w:pPr>
      <w:r>
        <w:rPr>
          <w:color w:val="000000"/>
          <w:spacing w:val="0"/>
          <w:w w:val="100"/>
          <w:position w:val="0"/>
          <w:shd w:val="clear" w:color="auto" w:fill="auto"/>
          <w:lang w:val="cs-CZ" w:eastAsia="cs-CZ" w:bidi="cs-CZ"/>
        </w:rPr>
        <w:t>člen představenstva Mostecká montážní a.s. elektronicky podepsal</w:t>
      </w:r>
    </w:p>
    <w:sectPr>
      <w:footerReference w:type="default" r:id="rId5"/>
      <w:footnotePr>
        <w:pos w:val="pageBottom"/>
        <w:numFmt w:val="decimal"/>
        <w:numRestart w:val="continuous"/>
      </w:footnotePr>
      <w:pgSz w:w="11909" w:h="16838"/>
      <w:pgMar w:top="1149" w:left="1392" w:right="1376" w:bottom="1469" w:header="72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5843270</wp:posOffset>
              </wp:positionH>
              <wp:positionV relativeFrom="page">
                <wp:posOffset>9961880</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60.10000000000002pt;margin-top:784.39999999999998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