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D9F0" w14:textId="77777777" w:rsidR="00AC7E52" w:rsidRDefault="00AC7E5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2DFE7F9B" w:rsidR="00E0086F" w:rsidRDefault="00643372" w:rsidP="00AC7E5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9E27C4" w:rsidRPr="009E27C4">
        <w:rPr>
          <w:rFonts w:ascii="Arial" w:eastAsia="Times New Roman" w:hAnsi="Arial" w:cs="Arial"/>
          <w:b/>
          <w:lang w:eastAsia="cs-CZ"/>
        </w:rPr>
        <w:t>5</w:t>
      </w:r>
    </w:p>
    <w:p w14:paraId="0EC9B762" w14:textId="77777777" w:rsidR="00AC7E52" w:rsidRPr="00AC7E52" w:rsidRDefault="00AC7E52" w:rsidP="00AC7E5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</w:p>
    <w:p w14:paraId="0537783E" w14:textId="77777777" w:rsidR="002B414E" w:rsidRDefault="00CE1FA9" w:rsidP="00AB6B74">
      <w:pPr>
        <w:pStyle w:val="Normln-odrky"/>
        <w:numPr>
          <w:ilvl w:val="0"/>
          <w:numId w:val="0"/>
        </w:numPr>
        <w:spacing w:after="0"/>
        <w:ind w:left="851"/>
        <w:rPr>
          <w:rFonts w:cs="Arial"/>
          <w:b/>
          <w:bCs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2B414E" w:rsidRPr="002B414E">
        <w:rPr>
          <w:rFonts w:cs="Arial"/>
          <w:b/>
          <w:bCs/>
          <w:sz w:val="24"/>
          <w:szCs w:val="24"/>
        </w:rPr>
        <w:t>Komplexní pozemkové úpravy v</w:t>
      </w:r>
      <w:r w:rsidR="002B414E">
        <w:rPr>
          <w:rFonts w:cs="Arial"/>
          <w:b/>
          <w:bCs/>
          <w:sz w:val="24"/>
          <w:szCs w:val="24"/>
        </w:rPr>
        <w:t xml:space="preserve">  </w:t>
      </w:r>
    </w:p>
    <w:p w14:paraId="3569A2D2" w14:textId="77777777" w:rsidR="006A5655" w:rsidRPr="006A5655" w:rsidRDefault="002B414E" w:rsidP="00AB6B7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A5655">
        <w:rPr>
          <w:rFonts w:ascii="Arial" w:hAnsi="Arial" w:cs="Arial"/>
          <w:b/>
          <w:bCs/>
          <w:sz w:val="24"/>
          <w:szCs w:val="24"/>
          <w:lang w:eastAsia="cs-CZ"/>
        </w:rPr>
        <w:t>k. ú. Ouběnice a Nové Dvory, část 1: KoPÚ</w:t>
      </w:r>
      <w:r w:rsidRPr="006A5655">
        <w:rPr>
          <w:rFonts w:ascii="Arial" w:hAnsi="Arial" w:cs="Arial"/>
          <w:b/>
          <w:bCs/>
          <w:sz w:val="24"/>
          <w:szCs w:val="24"/>
        </w:rPr>
        <w:t xml:space="preserve"> Ouběnice u Dobříše</w:t>
      </w:r>
    </w:p>
    <w:p w14:paraId="4DE2E96E" w14:textId="261CAEC6" w:rsidR="006A5655" w:rsidRDefault="002B414E" w:rsidP="00AB6B74">
      <w:pPr>
        <w:spacing w:after="120"/>
        <w:jc w:val="center"/>
        <w:rPr>
          <w:rFonts w:ascii="Arial" w:hAnsi="Arial" w:cs="Arial"/>
        </w:rPr>
      </w:pPr>
      <w:r>
        <w:br/>
      </w:r>
      <w:r w:rsidR="006A5655">
        <w:rPr>
          <w:rFonts w:ascii="Arial" w:hAnsi="Arial" w:cs="Arial"/>
        </w:rPr>
        <w:t xml:space="preserve">Číslo Smlouvy Objednatele: </w:t>
      </w:r>
      <w:r w:rsidR="006A5655">
        <w:rPr>
          <w:rFonts w:ascii="Arial" w:hAnsi="Arial" w:cs="Arial"/>
          <w:szCs w:val="16"/>
          <w:lang w:val="fr-FR"/>
        </w:rPr>
        <w:t xml:space="preserve">380-2023-537212 </w:t>
      </w:r>
      <w:r w:rsidR="006A5655">
        <w:rPr>
          <w:rFonts w:ascii="Arial" w:hAnsi="Arial" w:cs="Arial"/>
        </w:rPr>
        <w:t>ze dne 5. 5. 2023</w:t>
      </w:r>
    </w:p>
    <w:p w14:paraId="4985149B" w14:textId="562AD24A" w:rsidR="00643372" w:rsidRPr="007A531E" w:rsidRDefault="006A5655" w:rsidP="007A531E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Pomocná evidence KPÚ: 2</w:t>
      </w:r>
      <w:r>
        <w:rPr>
          <w:rFonts w:ascii="Arial" w:hAnsi="Arial" w:cs="Arial"/>
          <w:szCs w:val="16"/>
          <w:lang w:val="fr-FR"/>
        </w:rPr>
        <w:t>/2023-537100</w:t>
      </w:r>
    </w:p>
    <w:p w14:paraId="079A6270" w14:textId="19001221" w:rsidR="0083666F" w:rsidRPr="009E27FC" w:rsidRDefault="0083666F" w:rsidP="00AB6B74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4398B91E" w14:textId="77777777" w:rsidR="00AD28DB" w:rsidRDefault="00AD28DB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253981A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086438">
        <w:rPr>
          <w:rFonts w:ascii="Arial" w:hAnsi="Arial" w:cs="Arial"/>
        </w:rPr>
        <w:t xml:space="preserve">. 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9ADE2AB" w14:textId="77777777" w:rsidR="00E759EB" w:rsidRPr="00150A20" w:rsidRDefault="00E759EB" w:rsidP="00E759EB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iCs/>
          <w:szCs w:val="22"/>
        </w:rPr>
      </w:pPr>
      <w:r w:rsidRPr="00150A20">
        <w:rPr>
          <w:rFonts w:ascii="Arial" w:hAnsi="Arial" w:cs="Arial"/>
          <w:b/>
          <w:iCs/>
          <w:szCs w:val="22"/>
        </w:rPr>
        <w:t>Česká republika – Státní pozemkový úřad</w:t>
      </w:r>
    </w:p>
    <w:p w14:paraId="6EDD7683" w14:textId="77777777" w:rsidR="00E759EB" w:rsidRPr="00150A20" w:rsidRDefault="00E759EB" w:rsidP="00E759EB">
      <w:pPr>
        <w:spacing w:after="120"/>
        <w:ind w:left="567"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</w:rPr>
        <w:t xml:space="preserve">se sídlem Husinecká 1024/11a, 130 00 Praha 3 – Žižkov, IČO: 013 12 774, </w:t>
      </w:r>
    </w:p>
    <w:p w14:paraId="411868DD" w14:textId="77777777" w:rsidR="00E759EB" w:rsidRPr="00CF6066" w:rsidRDefault="00E759EB" w:rsidP="00E759EB">
      <w:pPr>
        <w:spacing w:before="240" w:after="120"/>
        <w:ind w:left="567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/>
          <w:bCs/>
          <w:iCs/>
        </w:rPr>
        <w:t>Krajský pozemkový úřad</w:t>
      </w:r>
      <w:r w:rsidRPr="00150A20">
        <w:rPr>
          <w:rFonts w:ascii="Arial" w:hAnsi="Arial" w:cs="Arial"/>
          <w:iCs/>
        </w:rPr>
        <w:t xml:space="preserve"> </w:t>
      </w:r>
      <w:bookmarkStart w:id="0" w:name="_Hlk215040681"/>
      <w:r w:rsidRPr="004E261F">
        <w:rPr>
          <w:rFonts w:ascii="Arial" w:hAnsi="Arial" w:cs="Arial"/>
          <w:b/>
          <w:iCs/>
        </w:rPr>
        <w:t>pro Středočeský kraj a hl. m. Praha</w:t>
      </w:r>
      <w:r w:rsidRPr="00150A20">
        <w:rPr>
          <w:rFonts w:ascii="Arial" w:hAnsi="Arial" w:cs="Arial"/>
          <w:bCs/>
          <w:iCs/>
        </w:rPr>
        <w:t>,</w:t>
      </w:r>
      <w:r w:rsidRPr="00150A20">
        <w:rPr>
          <w:rFonts w:ascii="Arial" w:eastAsia="Times New Roman" w:hAnsi="Arial" w:cs="Arial"/>
          <w:b/>
          <w:bCs/>
          <w:iCs/>
          <w:snapToGrid w:val="0"/>
          <w:lang w:eastAsia="cs-CZ"/>
        </w:rPr>
        <w:t xml:space="preserve"> </w:t>
      </w:r>
      <w:r w:rsidRPr="002A7FBD">
        <w:rPr>
          <w:rFonts w:ascii="Arial" w:eastAsia="Times New Roman" w:hAnsi="Arial" w:cs="Arial"/>
          <w:iCs/>
          <w:snapToGrid w:val="0"/>
          <w:lang w:eastAsia="cs-CZ"/>
        </w:rPr>
        <w:t>na adrese</w:t>
      </w:r>
      <w:r w:rsidRPr="00150A20">
        <w:rPr>
          <w:rFonts w:ascii="Arial" w:eastAsia="Times New Roman" w:hAnsi="Arial" w:cs="Arial"/>
          <w:b/>
          <w:bCs/>
          <w:iCs/>
          <w:snapToGrid w:val="0"/>
          <w:lang w:eastAsia="cs-CZ"/>
        </w:rPr>
        <w:t xml:space="preserve"> </w:t>
      </w:r>
      <w:bookmarkEnd w:id="0"/>
      <w:r w:rsidRPr="00150A20">
        <w:rPr>
          <w:rFonts w:ascii="Arial" w:hAnsi="Arial" w:cs="Arial"/>
          <w:bCs/>
          <w:iCs/>
        </w:rPr>
        <w:t>Nám. Winstona Churchilla 1800/2, 130 00 Praha 3</w:t>
      </w:r>
    </w:p>
    <w:p w14:paraId="607BC811" w14:textId="77777777" w:rsidR="00E759EB" w:rsidRPr="00150A20" w:rsidRDefault="00E759EB" w:rsidP="00E759EB">
      <w:pPr>
        <w:spacing w:before="240" w:after="120"/>
        <w:ind w:left="567"/>
        <w:jc w:val="both"/>
        <w:rPr>
          <w:rFonts w:ascii="Arial" w:hAnsi="Arial" w:cs="Arial"/>
          <w:bCs/>
          <w:iCs/>
        </w:rPr>
      </w:pPr>
      <w:bookmarkStart w:id="1" w:name="_Hlk214960540"/>
      <w:r w:rsidRPr="00150A20">
        <w:rPr>
          <w:rFonts w:ascii="Arial" w:hAnsi="Arial" w:cs="Arial"/>
          <w:iCs/>
        </w:rPr>
        <w:t xml:space="preserve">Zastoupený: </w:t>
      </w:r>
      <w:r w:rsidRPr="00150A20">
        <w:rPr>
          <w:rFonts w:ascii="Arial" w:hAnsi="Arial" w:cs="Arial"/>
          <w:bCs/>
          <w:iCs/>
        </w:rPr>
        <w:t xml:space="preserve">Ing. Jiří Veselý, </w:t>
      </w:r>
      <w:r>
        <w:rPr>
          <w:rFonts w:ascii="Arial" w:eastAsia="Times New Roman" w:hAnsi="Arial" w:cs="Arial"/>
          <w:bCs/>
          <w:lang w:eastAsia="cs-CZ"/>
        </w:rPr>
        <w:t>ředitel KPÚ</w:t>
      </w:r>
      <w:r w:rsidRPr="001B3817">
        <w:rPr>
          <w:rFonts w:ascii="Arial" w:hAnsi="Arial" w:cs="Arial"/>
          <w:bCs/>
        </w:rPr>
        <w:t xml:space="preserve"> </w:t>
      </w:r>
      <w:r w:rsidRPr="00DC5358">
        <w:rPr>
          <w:rFonts w:ascii="Arial" w:hAnsi="Arial" w:cs="Arial"/>
          <w:bCs/>
        </w:rPr>
        <w:t>pro Středočeský kraj a hl. m. Praha</w:t>
      </w:r>
    </w:p>
    <w:p w14:paraId="07B70F98" w14:textId="5711B90E" w:rsidR="00E759EB" w:rsidRDefault="00E759EB" w:rsidP="00E759EB">
      <w:pPr>
        <w:spacing w:after="0"/>
        <w:ind w:left="4962" w:hanging="4395"/>
        <w:jc w:val="both"/>
        <w:rPr>
          <w:rFonts w:ascii="Arial" w:hAnsi="Arial" w:cs="Arial"/>
          <w:bCs/>
        </w:rPr>
      </w:pPr>
      <w:bookmarkStart w:id="2" w:name="_Hlk215041580"/>
      <w:r w:rsidRPr="00150A20">
        <w:rPr>
          <w:rFonts w:ascii="Arial" w:hAnsi="Arial" w:cs="Arial"/>
          <w:iCs/>
        </w:rPr>
        <w:t xml:space="preserve">Ve smluvních záležitostech </w:t>
      </w:r>
      <w:r w:rsidR="00273548" w:rsidRPr="00150A20">
        <w:rPr>
          <w:rFonts w:ascii="Arial" w:hAnsi="Arial" w:cs="Arial"/>
          <w:iCs/>
        </w:rPr>
        <w:t xml:space="preserve">zastoupený: </w:t>
      </w:r>
      <w:r w:rsidR="00273548">
        <w:rPr>
          <w:rFonts w:ascii="Arial" w:hAnsi="Arial" w:cs="Arial"/>
          <w:iCs/>
        </w:rPr>
        <w:t>Ing.</w:t>
      </w:r>
      <w:r w:rsidRPr="002A7FBD">
        <w:rPr>
          <w:rFonts w:ascii="Arial" w:hAnsi="Arial" w:cs="Arial"/>
          <w:iCs/>
          <w:snapToGrid w:val="0"/>
        </w:rPr>
        <w:t xml:space="preserve"> Jiří Veselý</w:t>
      </w:r>
      <w:r w:rsidRPr="002A7FBD">
        <w:rPr>
          <w:rFonts w:ascii="Arial" w:hAnsi="Arial" w:cs="Arial"/>
          <w:iCs/>
        </w:rPr>
        <w:t>,</w:t>
      </w:r>
      <w:r w:rsidRPr="00150A20">
        <w:rPr>
          <w:rFonts w:ascii="Arial" w:hAnsi="Arial" w:cs="Arial"/>
          <w:iCs/>
        </w:rPr>
        <w:t xml:space="preserve"> </w:t>
      </w:r>
      <w:bookmarkEnd w:id="2"/>
      <w:r>
        <w:rPr>
          <w:rFonts w:ascii="Arial" w:eastAsia="Times New Roman" w:hAnsi="Arial" w:cs="Arial"/>
          <w:bCs/>
          <w:lang w:eastAsia="cs-CZ"/>
        </w:rPr>
        <w:t>ředitel KPÚ</w:t>
      </w:r>
      <w:r w:rsidRPr="001B3817">
        <w:rPr>
          <w:rFonts w:ascii="Arial" w:hAnsi="Arial" w:cs="Arial"/>
          <w:bCs/>
        </w:rPr>
        <w:t xml:space="preserve"> </w:t>
      </w:r>
      <w:r w:rsidRPr="00DC5358">
        <w:rPr>
          <w:rFonts w:ascii="Arial" w:hAnsi="Arial" w:cs="Arial"/>
          <w:bCs/>
        </w:rPr>
        <w:t xml:space="preserve">pro Středočeský kraj </w:t>
      </w:r>
    </w:p>
    <w:p w14:paraId="14DDDE69" w14:textId="5DF538DB" w:rsidR="00E759EB" w:rsidRPr="00150A20" w:rsidRDefault="00E759EB" w:rsidP="00E759EB">
      <w:pPr>
        <w:spacing w:after="120"/>
        <w:ind w:left="4962" w:hanging="4395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 xml:space="preserve">                                                                 </w:t>
      </w:r>
      <w:r w:rsidRPr="00DC5358">
        <w:rPr>
          <w:rFonts w:ascii="Arial" w:hAnsi="Arial" w:cs="Arial"/>
          <w:bCs/>
        </w:rPr>
        <w:t>a hl. m. Praha</w:t>
      </w:r>
    </w:p>
    <w:p w14:paraId="60232EA1" w14:textId="0E2091C8" w:rsidR="005610E9" w:rsidRDefault="00E759EB" w:rsidP="005610E9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  <w:iCs/>
          <w:snapToGrid w:val="0"/>
        </w:rPr>
      </w:pPr>
      <w:r w:rsidRPr="00150A20">
        <w:rPr>
          <w:rFonts w:ascii="Arial" w:hAnsi="Arial" w:cs="Arial"/>
          <w:iCs/>
        </w:rPr>
        <w:t>V technických záležitostech zastoupený:</w:t>
      </w:r>
      <w:bookmarkEnd w:id="1"/>
      <w:r w:rsidR="005610E9">
        <w:rPr>
          <w:rFonts w:ascii="Arial" w:hAnsi="Arial" w:cs="Arial"/>
          <w:iCs/>
        </w:rPr>
        <w:t xml:space="preserve"> </w:t>
      </w:r>
      <w:r w:rsidR="004C5F02" w:rsidRPr="00273D22">
        <w:rPr>
          <w:rFonts w:ascii="Arial" w:hAnsi="Arial" w:cs="Arial"/>
          <w:snapToGrid w:val="0"/>
        </w:rPr>
        <w:t>Ing.</w:t>
      </w:r>
      <w:r w:rsidR="00064C15">
        <w:rPr>
          <w:rFonts w:ascii="Arial" w:hAnsi="Arial" w:cs="Arial"/>
          <w:snapToGrid w:val="0"/>
        </w:rPr>
        <w:t xml:space="preserve"> </w:t>
      </w:r>
      <w:r w:rsidR="004C5F02" w:rsidRPr="00273D22">
        <w:rPr>
          <w:rFonts w:ascii="Arial" w:hAnsi="Arial" w:cs="Arial"/>
          <w:snapToGrid w:val="0"/>
        </w:rPr>
        <w:t>Dana</w:t>
      </w:r>
      <w:r w:rsidR="005610E9">
        <w:rPr>
          <w:rFonts w:ascii="Arial" w:hAnsi="Arial" w:cs="Arial"/>
          <w:snapToGrid w:val="0"/>
        </w:rPr>
        <w:t xml:space="preserve"> </w:t>
      </w:r>
      <w:r w:rsidR="004C5F02" w:rsidRPr="00273D22">
        <w:rPr>
          <w:rFonts w:ascii="Arial" w:hAnsi="Arial" w:cs="Arial"/>
          <w:snapToGrid w:val="0"/>
        </w:rPr>
        <w:t>Vondráčková</w:t>
      </w:r>
      <w:r w:rsidR="00B310B1">
        <w:rPr>
          <w:rFonts w:ascii="Arial" w:hAnsi="Arial" w:cs="Arial"/>
          <w:snapToGrid w:val="0"/>
        </w:rPr>
        <w:t>,</w:t>
      </w:r>
      <w:r w:rsidR="004C5F02" w:rsidRPr="001706C9">
        <w:rPr>
          <w:rFonts w:ascii="Arial" w:hAnsi="Arial" w:cs="Arial"/>
          <w:iCs/>
          <w:snapToGrid w:val="0"/>
          <w:color w:val="FF0000"/>
        </w:rPr>
        <w:t xml:space="preserve"> </w:t>
      </w:r>
      <w:r w:rsidR="00784A42" w:rsidRPr="005610E9">
        <w:rPr>
          <w:rFonts w:ascii="Arial" w:hAnsi="Arial" w:cs="Arial"/>
          <w:iCs/>
          <w:snapToGrid w:val="0"/>
        </w:rPr>
        <w:t>odborný rada</w:t>
      </w:r>
      <w:r w:rsidR="005610E9" w:rsidRPr="005610E9">
        <w:rPr>
          <w:rFonts w:ascii="Arial" w:hAnsi="Arial" w:cs="Arial"/>
          <w:iCs/>
          <w:snapToGrid w:val="0"/>
        </w:rPr>
        <w:t xml:space="preserve"> </w:t>
      </w:r>
      <w:r w:rsidRPr="005610E9">
        <w:rPr>
          <w:rFonts w:ascii="Arial" w:hAnsi="Arial" w:cs="Arial"/>
          <w:iCs/>
          <w:snapToGrid w:val="0"/>
        </w:rPr>
        <w:t>Pobočky</w:t>
      </w:r>
      <w:r w:rsidR="005610E9">
        <w:rPr>
          <w:rFonts w:ascii="Arial" w:hAnsi="Arial" w:cs="Arial"/>
          <w:iCs/>
          <w:snapToGrid w:val="0"/>
        </w:rPr>
        <w:t xml:space="preserve"> </w:t>
      </w:r>
    </w:p>
    <w:p w14:paraId="1EAA31B9" w14:textId="230636EA" w:rsidR="00E759EB" w:rsidRPr="00064C15" w:rsidRDefault="002D546D" w:rsidP="00064C15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iCs/>
          <w:snapToGrid w:val="0"/>
        </w:rPr>
      </w:pPr>
      <w:r>
        <w:rPr>
          <w:rFonts w:ascii="Arial" w:hAnsi="Arial" w:cs="Arial"/>
          <w:iCs/>
          <w:snapToGrid w:val="0"/>
          <w:color w:val="FF0000"/>
        </w:rPr>
        <w:t xml:space="preserve">                                                                 </w:t>
      </w:r>
      <w:r w:rsidR="00E759EB" w:rsidRPr="00064C15">
        <w:rPr>
          <w:rFonts w:ascii="Arial" w:hAnsi="Arial" w:cs="Arial"/>
          <w:iCs/>
          <w:snapToGrid w:val="0"/>
        </w:rPr>
        <w:t>Příbram</w:t>
      </w:r>
    </w:p>
    <w:p w14:paraId="024235F1" w14:textId="77777777" w:rsidR="00E759EB" w:rsidRPr="00150A20" w:rsidRDefault="00E759EB" w:rsidP="000721EE">
      <w:pPr>
        <w:tabs>
          <w:tab w:val="left" w:pos="4536"/>
        </w:tabs>
        <w:spacing w:after="0"/>
        <w:contextualSpacing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  <w:snapToGrid w:val="0"/>
        </w:rPr>
        <w:t xml:space="preserve">         </w:t>
      </w:r>
      <w:r w:rsidRPr="00150A20">
        <w:rPr>
          <w:rFonts w:ascii="Arial" w:hAnsi="Arial" w:cs="Arial"/>
          <w:b/>
          <w:bCs/>
          <w:iCs/>
        </w:rPr>
        <w:t>Kontaktní údaje:</w:t>
      </w:r>
    </w:p>
    <w:p w14:paraId="411C06B6" w14:textId="5D45F3D0" w:rsidR="00E759EB" w:rsidRPr="001706C9" w:rsidRDefault="00E759EB" w:rsidP="000721EE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iCs/>
          <w:color w:val="FF0000"/>
        </w:rPr>
      </w:pPr>
      <w:r w:rsidRPr="00150A20">
        <w:rPr>
          <w:rFonts w:ascii="Arial" w:hAnsi="Arial" w:cs="Arial"/>
          <w:iCs/>
        </w:rPr>
        <w:t xml:space="preserve">Tel.: </w:t>
      </w:r>
      <w:r w:rsidRPr="00150A20">
        <w:rPr>
          <w:rFonts w:ascii="Arial" w:hAnsi="Arial" w:cs="Arial"/>
          <w:iCs/>
        </w:rPr>
        <w:tab/>
      </w:r>
      <w:r w:rsidR="00B7167A" w:rsidRPr="00273D22">
        <w:rPr>
          <w:rFonts w:ascii="Arial" w:hAnsi="Arial" w:cs="Arial"/>
          <w:snapToGrid w:val="0"/>
        </w:rPr>
        <w:t>+420 </w:t>
      </w:r>
      <w:r w:rsidR="00B7167A" w:rsidRPr="00273D22">
        <w:rPr>
          <w:rFonts w:ascii="Arial" w:hAnsi="Arial" w:cs="Arial"/>
          <w:color w:val="323130"/>
          <w:shd w:val="clear" w:color="auto" w:fill="FFFFFF"/>
        </w:rPr>
        <w:t>727 956 788</w:t>
      </w:r>
    </w:p>
    <w:p w14:paraId="757027B4" w14:textId="77777777" w:rsidR="00360DD3" w:rsidRDefault="00E759EB" w:rsidP="000721EE">
      <w:pPr>
        <w:tabs>
          <w:tab w:val="left" w:pos="4536"/>
        </w:tabs>
        <w:spacing w:after="0"/>
        <w:ind w:left="567"/>
        <w:contextualSpacing/>
      </w:pPr>
      <w:r w:rsidRPr="00150A20">
        <w:rPr>
          <w:rFonts w:ascii="Arial" w:hAnsi="Arial" w:cs="Arial"/>
          <w:iCs/>
        </w:rPr>
        <w:t>E-mail:</w:t>
      </w:r>
      <w:r w:rsidRPr="00150A20">
        <w:rPr>
          <w:rFonts w:ascii="Arial" w:hAnsi="Arial" w:cs="Arial"/>
          <w:iCs/>
          <w:snapToGrid w:val="0"/>
        </w:rPr>
        <w:t xml:space="preserve"> </w:t>
      </w:r>
      <w:r w:rsidRPr="00150A20">
        <w:rPr>
          <w:rFonts w:ascii="Arial" w:hAnsi="Arial" w:cs="Arial"/>
          <w:iCs/>
          <w:snapToGrid w:val="0"/>
        </w:rPr>
        <w:tab/>
      </w:r>
      <w:hyperlink r:id="rId12" w:history="1">
        <w:r w:rsidR="00360DD3" w:rsidRPr="004E0BFA">
          <w:rPr>
            <w:rStyle w:val="Hypertextovodkaz"/>
            <w:rFonts w:ascii="Arial" w:hAnsi="Arial" w:cs="Arial"/>
            <w:shd w:val="clear" w:color="auto" w:fill="FFFFFF"/>
          </w:rPr>
          <w:t>dana.vondrackova@spu.gov.cz</w:t>
        </w:r>
      </w:hyperlink>
    </w:p>
    <w:p w14:paraId="38DE80E2" w14:textId="68C619AB" w:rsidR="00E759EB" w:rsidRPr="00150A20" w:rsidRDefault="000721EE" w:rsidP="000721EE">
      <w:pPr>
        <w:tabs>
          <w:tab w:val="left" w:pos="4536"/>
        </w:tabs>
        <w:spacing w:after="0"/>
        <w:contextualSpacing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color w:val="323130"/>
          <w:shd w:val="clear" w:color="auto" w:fill="FFFFFF"/>
        </w:rPr>
        <w:t xml:space="preserve">         </w:t>
      </w:r>
      <w:r w:rsidR="00E759EB" w:rsidRPr="00150A20">
        <w:rPr>
          <w:rFonts w:ascii="Arial" w:hAnsi="Arial" w:cs="Arial"/>
          <w:iCs/>
        </w:rPr>
        <w:t xml:space="preserve">ID datové schránky: </w:t>
      </w:r>
      <w:r w:rsidR="00E759EB" w:rsidRPr="00150A20">
        <w:rPr>
          <w:rFonts w:ascii="Arial" w:hAnsi="Arial" w:cs="Arial"/>
          <w:iCs/>
        </w:rPr>
        <w:tab/>
        <w:t>z49per3</w:t>
      </w:r>
    </w:p>
    <w:p w14:paraId="622D0BBB" w14:textId="77777777" w:rsidR="0013243B" w:rsidRDefault="0013243B" w:rsidP="00E759E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Cs/>
        </w:rPr>
      </w:pPr>
    </w:p>
    <w:p w14:paraId="4B03377E" w14:textId="2EBEA0D6" w:rsidR="00E759EB" w:rsidRPr="00150A20" w:rsidRDefault="00E759EB" w:rsidP="0013243B">
      <w:pPr>
        <w:tabs>
          <w:tab w:val="left" w:pos="4536"/>
        </w:tabs>
        <w:spacing w:after="240"/>
        <w:ind w:left="567"/>
        <w:contextualSpacing/>
        <w:jc w:val="both"/>
        <w:rPr>
          <w:rFonts w:ascii="Arial" w:hAnsi="Arial" w:cs="Arial"/>
          <w:b/>
          <w:iCs/>
        </w:rPr>
      </w:pPr>
      <w:r w:rsidRPr="00150A20">
        <w:rPr>
          <w:rFonts w:ascii="Arial" w:hAnsi="Arial" w:cs="Arial"/>
          <w:b/>
          <w:iCs/>
        </w:rPr>
        <w:t>Bankovní</w:t>
      </w:r>
      <w:r w:rsidRPr="00150A20">
        <w:rPr>
          <w:rFonts w:ascii="Arial" w:hAnsi="Arial" w:cs="Arial"/>
          <w:iCs/>
        </w:rPr>
        <w:t xml:space="preserve"> </w:t>
      </w:r>
      <w:r w:rsidRPr="00150A20">
        <w:rPr>
          <w:rFonts w:ascii="Arial" w:hAnsi="Arial" w:cs="Arial"/>
          <w:b/>
          <w:iCs/>
        </w:rPr>
        <w:t>spojení</w:t>
      </w:r>
      <w:r w:rsidRPr="00150A20">
        <w:rPr>
          <w:rFonts w:ascii="Arial" w:hAnsi="Arial" w:cs="Arial"/>
          <w:iCs/>
        </w:rPr>
        <w:t xml:space="preserve">: </w:t>
      </w:r>
      <w:r w:rsidRPr="00150A20">
        <w:rPr>
          <w:rFonts w:ascii="Arial" w:hAnsi="Arial" w:cs="Arial"/>
          <w:iCs/>
        </w:rPr>
        <w:tab/>
        <w:t>Česká národní banka</w:t>
      </w:r>
    </w:p>
    <w:p w14:paraId="5574AAFF" w14:textId="77777777" w:rsidR="00E759EB" w:rsidRPr="00150A20" w:rsidRDefault="00E759EB" w:rsidP="0013243B">
      <w:pPr>
        <w:spacing w:after="240"/>
        <w:ind w:left="567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iCs/>
        </w:rPr>
        <w:t xml:space="preserve">Číslo účtu:                                                </w:t>
      </w:r>
      <w:r w:rsidRPr="00150A20">
        <w:rPr>
          <w:rFonts w:ascii="Arial" w:hAnsi="Arial" w:cs="Arial"/>
          <w:bCs/>
          <w:iCs/>
        </w:rPr>
        <w:t>3723001/0710</w:t>
      </w:r>
    </w:p>
    <w:p w14:paraId="77D0EAC0" w14:textId="77777777" w:rsidR="00E759EB" w:rsidRPr="00150A20" w:rsidRDefault="00E759EB" w:rsidP="00E759EB">
      <w:pPr>
        <w:spacing w:before="240" w:after="0"/>
        <w:ind w:left="4536" w:right="1417" w:hanging="3969"/>
        <w:contextualSpacing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</w:rPr>
        <w:t xml:space="preserve">DIČ:                                                         </w:t>
      </w:r>
      <w:r w:rsidRPr="00150A20">
        <w:rPr>
          <w:rFonts w:ascii="Arial" w:eastAsia="Times New Roman" w:hAnsi="Arial" w:cs="Arial"/>
          <w:b/>
          <w:bCs/>
          <w:iCs/>
          <w:snapToGrid w:val="0"/>
        </w:rPr>
        <w:t xml:space="preserve"> </w:t>
      </w:r>
      <w:r w:rsidRPr="00150A20">
        <w:rPr>
          <w:rFonts w:ascii="Arial" w:hAnsi="Arial" w:cs="Arial"/>
          <w:iCs/>
        </w:rPr>
        <w:t>CZ01312774 (není plátce DPH)</w:t>
      </w:r>
    </w:p>
    <w:p w14:paraId="24CABA18" w14:textId="712B2739" w:rsidR="00E759EB" w:rsidRPr="00150A20" w:rsidRDefault="00E759EB" w:rsidP="00E759EB">
      <w:pPr>
        <w:spacing w:before="240" w:after="0"/>
        <w:ind w:left="4536" w:right="1417" w:hanging="3969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iCs/>
        </w:rPr>
        <w:t>(dále jen „</w:t>
      </w:r>
      <w:r w:rsidRPr="00150A20">
        <w:rPr>
          <w:rFonts w:ascii="Arial" w:hAnsi="Arial" w:cs="Arial"/>
          <w:b/>
          <w:iCs/>
        </w:rPr>
        <w:t>Objednatel</w:t>
      </w:r>
      <w:r w:rsidRPr="00150A20">
        <w:rPr>
          <w:rFonts w:ascii="Arial" w:hAnsi="Arial" w:cs="Arial"/>
          <w:bCs/>
          <w:iCs/>
        </w:rPr>
        <w:t>“)</w:t>
      </w:r>
    </w:p>
    <w:p w14:paraId="15360CEA" w14:textId="5323625C" w:rsidR="00B109EE" w:rsidRDefault="002C34B5" w:rsidP="002C34B5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7CFCACB" w14:textId="77777777" w:rsidR="002C34B5" w:rsidRPr="002C34B5" w:rsidRDefault="002C34B5" w:rsidP="002C34B5">
      <w:pPr>
        <w:spacing w:after="0"/>
        <w:ind w:left="567"/>
        <w:jc w:val="both"/>
        <w:rPr>
          <w:rFonts w:ascii="Arial" w:hAnsi="Arial" w:cs="Arial"/>
        </w:rPr>
      </w:pPr>
    </w:p>
    <w:p w14:paraId="4A952F8B" w14:textId="0F668594" w:rsidR="006C31F0" w:rsidRPr="0066501F" w:rsidRDefault="0066501F" w:rsidP="0066501F">
      <w:pPr>
        <w:spacing w:before="120" w:after="0" w:line="240" w:lineRule="auto"/>
        <w:jc w:val="both"/>
        <w:rPr>
          <w:rFonts w:ascii="Arial" w:hAnsi="Arial" w:cs="Arial"/>
          <w:bCs/>
        </w:rPr>
      </w:pPr>
      <w:bookmarkStart w:id="3" w:name="_Hlk214960830"/>
      <w:r>
        <w:rPr>
          <w:rFonts w:ascii="Arial" w:hAnsi="Arial" w:cs="Arial"/>
          <w:bCs/>
        </w:rPr>
        <w:t xml:space="preserve"> (2) </w:t>
      </w:r>
      <w:r w:rsidR="009E27C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66501F">
        <w:rPr>
          <w:rFonts w:ascii="Arial" w:hAnsi="Arial" w:cs="Arial"/>
          <w:iCs/>
        </w:rPr>
        <w:t>S</w:t>
      </w:r>
      <w:r w:rsidR="006C31F0" w:rsidRPr="0066501F">
        <w:rPr>
          <w:rFonts w:ascii="Arial" w:hAnsi="Arial" w:cs="Arial"/>
          <w:iCs/>
        </w:rPr>
        <w:t>družení „</w:t>
      </w:r>
      <w:r w:rsidR="006C31F0" w:rsidRPr="0066501F">
        <w:rPr>
          <w:rFonts w:ascii="Arial" w:hAnsi="Arial" w:cs="Arial"/>
          <w:b/>
          <w:iCs/>
        </w:rPr>
        <w:t>PROJEKCE &amp; AREA G. K.“</w:t>
      </w:r>
    </w:p>
    <w:p w14:paraId="584DB9FE" w14:textId="6B1F468B" w:rsidR="006C31F0" w:rsidRPr="00DE33CF" w:rsidRDefault="006C31F0" w:rsidP="006C31F0">
      <w:pPr>
        <w:spacing w:before="24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9E27C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</w:t>
      </w:r>
      <w:r w:rsidRPr="00DE33CF">
        <w:rPr>
          <w:rFonts w:ascii="Arial" w:hAnsi="Arial" w:cs="Arial"/>
          <w:iCs/>
        </w:rPr>
        <w:t xml:space="preserve">První společník (vedoucí společník): název společnosti </w:t>
      </w:r>
      <w:r w:rsidRPr="00150A20">
        <w:rPr>
          <w:rFonts w:ascii="Arial" w:hAnsi="Arial" w:cs="Arial"/>
          <w:b/>
          <w:iCs/>
        </w:rPr>
        <w:t>AREA G. K. spol. s r. o.</w:t>
      </w:r>
    </w:p>
    <w:p w14:paraId="5DD65F66" w14:textId="77777777" w:rsidR="00AD28DB" w:rsidRDefault="006C31F0" w:rsidP="006C31F0">
      <w:pPr>
        <w:spacing w:before="120"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     </w:t>
      </w:r>
    </w:p>
    <w:p w14:paraId="38E51E97" w14:textId="1A244D2E" w:rsidR="006C31F0" w:rsidRDefault="00AD28DB" w:rsidP="006C31F0">
      <w:pPr>
        <w:spacing w:before="120"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    </w:t>
      </w:r>
      <w:r w:rsidR="009E27C4">
        <w:rPr>
          <w:rFonts w:ascii="Arial" w:hAnsi="Arial" w:cs="Arial"/>
          <w:iCs/>
        </w:rPr>
        <w:t xml:space="preserve"> </w:t>
      </w:r>
      <w:r w:rsidR="006C31F0">
        <w:rPr>
          <w:rFonts w:ascii="Arial" w:hAnsi="Arial" w:cs="Arial"/>
          <w:iCs/>
        </w:rPr>
        <w:t xml:space="preserve">   </w:t>
      </w:r>
      <w:r w:rsidR="006C31F0" w:rsidRPr="00DE33CF">
        <w:rPr>
          <w:rFonts w:ascii="Arial" w:hAnsi="Arial" w:cs="Arial"/>
          <w:iCs/>
        </w:rPr>
        <w:t xml:space="preserve">se sídlem </w:t>
      </w:r>
      <w:r w:rsidR="006C31F0" w:rsidRPr="00150A20">
        <w:rPr>
          <w:rFonts w:ascii="Arial" w:hAnsi="Arial" w:cs="Arial"/>
          <w:bCs/>
          <w:iCs/>
        </w:rPr>
        <w:t>Světská 1418, 198 00 Praha 9 - Kyje</w:t>
      </w:r>
      <w:r w:rsidR="006C31F0" w:rsidRPr="00DE33CF">
        <w:rPr>
          <w:rFonts w:ascii="Arial" w:hAnsi="Arial" w:cs="Arial"/>
          <w:iCs/>
        </w:rPr>
        <w:t xml:space="preserve">, IČO: </w:t>
      </w:r>
      <w:r w:rsidR="006C31F0" w:rsidRPr="00150A20">
        <w:rPr>
          <w:rFonts w:ascii="Arial" w:hAnsi="Arial" w:cs="Arial"/>
          <w:bCs/>
          <w:iCs/>
        </w:rPr>
        <w:t>250</w:t>
      </w:r>
      <w:r w:rsidR="006C31F0">
        <w:rPr>
          <w:rFonts w:ascii="Arial" w:hAnsi="Arial" w:cs="Arial"/>
          <w:bCs/>
          <w:iCs/>
        </w:rPr>
        <w:t xml:space="preserve"> </w:t>
      </w:r>
      <w:r w:rsidR="006C31F0" w:rsidRPr="00150A20">
        <w:rPr>
          <w:rFonts w:ascii="Arial" w:hAnsi="Arial" w:cs="Arial"/>
          <w:bCs/>
          <w:iCs/>
        </w:rPr>
        <w:t>94</w:t>
      </w:r>
      <w:r w:rsidR="006C31F0">
        <w:rPr>
          <w:rFonts w:ascii="Arial" w:hAnsi="Arial" w:cs="Arial"/>
          <w:bCs/>
          <w:iCs/>
        </w:rPr>
        <w:t> </w:t>
      </w:r>
      <w:r w:rsidR="006C31F0" w:rsidRPr="00150A20">
        <w:rPr>
          <w:rFonts w:ascii="Arial" w:hAnsi="Arial" w:cs="Arial"/>
          <w:bCs/>
          <w:iCs/>
        </w:rPr>
        <w:t>459</w:t>
      </w:r>
    </w:p>
    <w:p w14:paraId="48D34E1D" w14:textId="6836DDFF" w:rsidR="006C31F0" w:rsidRDefault="006C31F0" w:rsidP="006C31F0">
      <w:pPr>
        <w:spacing w:before="120" w:after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E27C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</w:t>
      </w:r>
      <w:r w:rsidRPr="00DE33CF">
        <w:rPr>
          <w:rFonts w:ascii="Arial" w:hAnsi="Arial" w:cs="Arial"/>
          <w:iCs/>
        </w:rPr>
        <w:t xml:space="preserve">Zastoupený: </w:t>
      </w:r>
      <w:r w:rsidRPr="00150A20">
        <w:rPr>
          <w:rFonts w:ascii="Arial" w:hAnsi="Arial" w:cs="Arial"/>
          <w:bCs/>
          <w:iCs/>
        </w:rPr>
        <w:t>Milan Nový, jednatel</w:t>
      </w:r>
      <w:r w:rsidRPr="00DE33CF">
        <w:rPr>
          <w:rFonts w:ascii="Arial" w:hAnsi="Arial" w:cs="Arial"/>
          <w:iCs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společnosti</w:t>
      </w:r>
    </w:p>
    <w:p w14:paraId="6D687E68" w14:textId="1BEF6DA2" w:rsidR="006C31F0" w:rsidRDefault="006C31F0" w:rsidP="006C31F0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E27C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</w:t>
      </w:r>
      <w:r w:rsidRPr="00DE33CF">
        <w:rPr>
          <w:rFonts w:ascii="Arial" w:hAnsi="Arial" w:cs="Arial"/>
          <w:iCs/>
        </w:rPr>
        <w:t xml:space="preserve">Druhý společník (účastník): název společnosti </w:t>
      </w:r>
      <w:r w:rsidRPr="00543907">
        <w:rPr>
          <w:rFonts w:ascii="Arial" w:hAnsi="Arial" w:cs="Arial"/>
          <w:b/>
          <w:iCs/>
        </w:rPr>
        <w:t>Ing. Jindřich Jíra</w:t>
      </w:r>
      <w:r w:rsidRPr="00DE33CF">
        <w:rPr>
          <w:rFonts w:ascii="Arial" w:hAnsi="Arial" w:cs="Arial"/>
          <w:iCs/>
        </w:rPr>
        <w:t xml:space="preserve"> </w:t>
      </w:r>
    </w:p>
    <w:p w14:paraId="5CC64DBF" w14:textId="2AE19FD3" w:rsidR="006C31F0" w:rsidRPr="00DE33CF" w:rsidRDefault="006C31F0" w:rsidP="006C31F0">
      <w:pPr>
        <w:spacing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    </w:t>
      </w:r>
      <w:r w:rsidR="009E27C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</w:t>
      </w:r>
      <w:r w:rsidRPr="00DE33CF">
        <w:rPr>
          <w:rFonts w:ascii="Arial" w:hAnsi="Arial" w:cs="Arial"/>
          <w:iCs/>
        </w:rPr>
        <w:t xml:space="preserve">se sídlem </w:t>
      </w:r>
      <w:r w:rsidR="00707347">
        <w:rPr>
          <w:rFonts w:ascii="Arial" w:hAnsi="Arial" w:cs="Arial"/>
          <w:bCs/>
          <w:iCs/>
        </w:rPr>
        <w:t>XXXXX</w:t>
      </w:r>
      <w:r w:rsidRPr="00150A20">
        <w:rPr>
          <w:rFonts w:ascii="Arial" w:hAnsi="Arial" w:cs="Arial"/>
          <w:bCs/>
          <w:iCs/>
        </w:rPr>
        <w:t xml:space="preserve">, 395 01 </w:t>
      </w:r>
      <w:r w:rsidR="00851095">
        <w:rPr>
          <w:rFonts w:ascii="Arial" w:hAnsi="Arial" w:cs="Arial"/>
          <w:bCs/>
          <w:iCs/>
        </w:rPr>
        <w:t>Lesná</w:t>
      </w:r>
      <w:r w:rsidRPr="00DE33CF">
        <w:rPr>
          <w:rFonts w:ascii="Arial" w:hAnsi="Arial" w:cs="Arial"/>
          <w:iCs/>
        </w:rPr>
        <w:t xml:space="preserve">, IČO: </w:t>
      </w:r>
      <w:r w:rsidRPr="00150A20">
        <w:rPr>
          <w:rFonts w:ascii="Arial" w:hAnsi="Arial" w:cs="Arial"/>
          <w:bCs/>
          <w:iCs/>
        </w:rPr>
        <w:t>438</w:t>
      </w:r>
      <w:r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>20</w:t>
      </w:r>
      <w:r w:rsidR="00F100FC">
        <w:rPr>
          <w:rFonts w:ascii="Arial" w:hAnsi="Arial" w:cs="Arial"/>
          <w:bCs/>
          <w:iCs/>
        </w:rPr>
        <w:t> </w:t>
      </w:r>
      <w:r w:rsidRPr="00150A20">
        <w:rPr>
          <w:rFonts w:ascii="Arial" w:hAnsi="Arial" w:cs="Arial"/>
          <w:bCs/>
          <w:iCs/>
        </w:rPr>
        <w:t>654</w:t>
      </w:r>
      <w:r w:rsidR="00F100FC">
        <w:rPr>
          <w:rFonts w:ascii="Arial" w:hAnsi="Arial" w:cs="Arial"/>
          <w:bCs/>
          <w:iCs/>
        </w:rPr>
        <w:t xml:space="preserve"> </w:t>
      </w:r>
    </w:p>
    <w:p w14:paraId="3EA17CDE" w14:textId="7DD4243F" w:rsidR="006C31F0" w:rsidRPr="00DE33CF" w:rsidRDefault="006C31F0" w:rsidP="006C31F0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E27C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</w:t>
      </w:r>
      <w:r w:rsidRPr="00DE33CF">
        <w:rPr>
          <w:rFonts w:ascii="Arial" w:hAnsi="Arial" w:cs="Arial"/>
          <w:iCs/>
        </w:rPr>
        <w:t xml:space="preserve">Zastoupený: </w:t>
      </w:r>
      <w:r>
        <w:rPr>
          <w:rFonts w:ascii="Arial" w:hAnsi="Arial" w:cs="Arial"/>
          <w:iCs/>
        </w:rPr>
        <w:t xml:space="preserve">Ing. Jindřich Jíra, jednatel </w:t>
      </w:r>
    </w:p>
    <w:p w14:paraId="54401A61" w14:textId="4E7F9187" w:rsidR="006C31F0" w:rsidRPr="00150A20" w:rsidRDefault="006C31F0" w:rsidP="006C31F0">
      <w:pPr>
        <w:spacing w:before="24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    </w:t>
      </w:r>
      <w:r w:rsidR="009E27C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</w:t>
      </w:r>
      <w:r w:rsidRPr="00DE33CF">
        <w:rPr>
          <w:rFonts w:ascii="Arial" w:hAnsi="Arial" w:cs="Arial"/>
          <w:iCs/>
        </w:rPr>
        <w:t xml:space="preserve">Ve smluvních záležitostech zastoupený: </w:t>
      </w:r>
      <w:r w:rsidRPr="00150A20">
        <w:rPr>
          <w:rFonts w:ascii="Arial" w:hAnsi="Arial" w:cs="Arial"/>
          <w:bCs/>
          <w:iCs/>
        </w:rPr>
        <w:t>Milan Nový, jednatel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společnosti</w:t>
      </w:r>
    </w:p>
    <w:p w14:paraId="3A40CAE3" w14:textId="48D0B33F" w:rsidR="006C31F0" w:rsidRPr="005E7D05" w:rsidRDefault="006C31F0" w:rsidP="006C31F0">
      <w:pPr>
        <w:spacing w:before="24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     </w:t>
      </w:r>
      <w:r w:rsidR="009E27C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  <w:r w:rsidRPr="00DE33CF">
        <w:rPr>
          <w:rFonts w:ascii="Arial" w:hAnsi="Arial" w:cs="Arial"/>
          <w:iCs/>
        </w:rPr>
        <w:t xml:space="preserve">V technických záležitostech zastoupená: </w:t>
      </w:r>
      <w:r w:rsidR="00707347">
        <w:rPr>
          <w:rFonts w:ascii="Arial" w:hAnsi="Arial" w:cs="Arial"/>
          <w:bCs/>
          <w:iCs/>
        </w:rPr>
        <w:t>XXXXXXXXXX</w:t>
      </w:r>
      <w:r w:rsidRPr="00150A20">
        <w:rPr>
          <w:rFonts w:ascii="Arial" w:hAnsi="Arial" w:cs="Arial"/>
          <w:bCs/>
          <w:iCs/>
        </w:rPr>
        <w:t xml:space="preserve">, </w:t>
      </w:r>
      <w:r w:rsidR="00707347">
        <w:rPr>
          <w:rFonts w:ascii="Arial" w:hAnsi="Arial" w:cs="Arial"/>
          <w:bCs/>
          <w:iCs/>
        </w:rPr>
        <w:t>XXXXXXXXXX</w:t>
      </w:r>
      <w:r>
        <w:rPr>
          <w:rFonts w:ascii="Arial" w:hAnsi="Arial" w:cs="Arial"/>
          <w:bCs/>
          <w:iCs/>
        </w:rPr>
        <w:t xml:space="preserve">  </w:t>
      </w:r>
    </w:p>
    <w:p w14:paraId="62B44386" w14:textId="5E0A90A7" w:rsidR="006C31F0" w:rsidRPr="00DE33CF" w:rsidRDefault="006C31F0" w:rsidP="006C3D57">
      <w:pPr>
        <w:spacing w:after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</w:t>
      </w:r>
      <w:r w:rsidR="009E27C4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  </w:t>
      </w:r>
      <w:r w:rsidRPr="00DE33CF">
        <w:rPr>
          <w:rFonts w:ascii="Arial" w:hAnsi="Arial" w:cs="Arial"/>
          <w:b/>
          <w:bCs/>
          <w:iCs/>
        </w:rPr>
        <w:t>Kontaktní údaje:</w:t>
      </w:r>
    </w:p>
    <w:p w14:paraId="388F5C73" w14:textId="7B822206" w:rsidR="006C31F0" w:rsidRDefault="006C31F0" w:rsidP="006C3D57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  <w:r w:rsidR="009E27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</w:t>
      </w:r>
      <w:r w:rsidRPr="00150A20">
        <w:rPr>
          <w:rFonts w:ascii="Arial" w:hAnsi="Arial" w:cs="Arial"/>
          <w:bCs/>
          <w:iCs/>
        </w:rPr>
        <w:t xml:space="preserve">Tel.: </w:t>
      </w:r>
      <w:r>
        <w:rPr>
          <w:rFonts w:ascii="Arial" w:hAnsi="Arial" w:cs="Arial"/>
          <w:bCs/>
          <w:iCs/>
        </w:rPr>
        <w:t xml:space="preserve">                                                            </w:t>
      </w:r>
      <w:r w:rsidR="00707347">
        <w:rPr>
          <w:rFonts w:ascii="Arial" w:hAnsi="Arial" w:cs="Arial"/>
          <w:bCs/>
          <w:iCs/>
        </w:rPr>
        <w:t>XXXXXXXXXX</w:t>
      </w:r>
    </w:p>
    <w:p w14:paraId="6EDA6969" w14:textId="1A6474A0" w:rsidR="006C31F0" w:rsidRPr="00150A20" w:rsidRDefault="006C31F0" w:rsidP="006C3D57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  <w:r w:rsidRPr="00150A20">
        <w:rPr>
          <w:rFonts w:ascii="Arial" w:hAnsi="Arial" w:cs="Arial"/>
          <w:bCs/>
          <w:iCs/>
        </w:rPr>
        <w:t xml:space="preserve"> </w:t>
      </w:r>
      <w:r w:rsidR="009E27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</w:t>
      </w:r>
      <w:r w:rsidRPr="00150A20">
        <w:rPr>
          <w:rFonts w:ascii="Arial" w:hAnsi="Arial" w:cs="Arial"/>
          <w:bCs/>
          <w:iCs/>
        </w:rPr>
        <w:t xml:space="preserve">E-mail: </w:t>
      </w:r>
      <w:r>
        <w:rPr>
          <w:rFonts w:ascii="Arial" w:hAnsi="Arial" w:cs="Arial"/>
          <w:bCs/>
          <w:iCs/>
        </w:rPr>
        <w:t xml:space="preserve">                                                       </w:t>
      </w:r>
      <w:r w:rsidR="00707347">
        <w:rPr>
          <w:rFonts w:ascii="Arial" w:hAnsi="Arial" w:cs="Arial"/>
          <w:bCs/>
          <w:iCs/>
        </w:rPr>
        <w:t>XXXXXXXXXX</w:t>
      </w:r>
    </w:p>
    <w:p w14:paraId="4C0AE5D8" w14:textId="74B94922" w:rsidR="006C31F0" w:rsidRPr="00150A20" w:rsidRDefault="006C31F0" w:rsidP="006C3D57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="009E27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</w:t>
      </w:r>
      <w:r w:rsidRPr="00150A20">
        <w:rPr>
          <w:rFonts w:ascii="Arial" w:hAnsi="Arial" w:cs="Arial"/>
          <w:bCs/>
          <w:iCs/>
        </w:rPr>
        <w:t xml:space="preserve">ID datové schránky: </w:t>
      </w:r>
      <w:r>
        <w:rPr>
          <w:rFonts w:ascii="Arial" w:hAnsi="Arial" w:cs="Arial"/>
          <w:bCs/>
          <w:iCs/>
        </w:rPr>
        <w:t xml:space="preserve">                                   </w:t>
      </w:r>
      <w:r w:rsidRPr="00150A20">
        <w:rPr>
          <w:rFonts w:ascii="Arial" w:hAnsi="Arial" w:cs="Arial"/>
          <w:bCs/>
          <w:iCs/>
        </w:rPr>
        <w:t>jyem6ry</w:t>
      </w:r>
    </w:p>
    <w:p w14:paraId="4374C49D" w14:textId="77777777" w:rsidR="00375C14" w:rsidRDefault="006C31F0" w:rsidP="006C3D57">
      <w:pPr>
        <w:spacing w:before="240"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="009E27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</w:t>
      </w:r>
      <w:r w:rsidRPr="00861103">
        <w:rPr>
          <w:rFonts w:ascii="Arial" w:hAnsi="Arial" w:cs="Arial"/>
          <w:b/>
          <w:iCs/>
        </w:rPr>
        <w:t>Bankovní spojení:</w:t>
      </w:r>
      <w:r>
        <w:rPr>
          <w:rFonts w:ascii="Arial" w:hAnsi="Arial" w:cs="Arial"/>
          <w:b/>
          <w:iCs/>
        </w:rPr>
        <w:t xml:space="preserve">                                    </w:t>
      </w:r>
      <w:r w:rsidRPr="00150A20">
        <w:rPr>
          <w:rFonts w:ascii="Arial" w:hAnsi="Arial" w:cs="Arial"/>
          <w:bCs/>
          <w:iCs/>
        </w:rPr>
        <w:t xml:space="preserve"> Komerční banka a. s.</w:t>
      </w:r>
    </w:p>
    <w:p w14:paraId="49A8E210" w14:textId="7DE899DD" w:rsidR="006C31F0" w:rsidRPr="00150A20" w:rsidRDefault="00375C14" w:rsidP="00375C14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</w:t>
      </w:r>
      <w:r w:rsidR="006C31F0" w:rsidRPr="00150A20">
        <w:rPr>
          <w:rFonts w:ascii="Arial" w:hAnsi="Arial" w:cs="Arial"/>
          <w:bCs/>
          <w:iCs/>
        </w:rPr>
        <w:t xml:space="preserve">Číslo účtu: </w:t>
      </w:r>
      <w:r w:rsidR="006C31F0">
        <w:rPr>
          <w:rFonts w:ascii="Arial" w:hAnsi="Arial" w:cs="Arial"/>
          <w:bCs/>
          <w:iCs/>
        </w:rPr>
        <w:t xml:space="preserve">                                                 </w:t>
      </w:r>
      <w:r w:rsidR="006C31F0" w:rsidRPr="00150A20">
        <w:rPr>
          <w:rFonts w:ascii="Arial" w:hAnsi="Arial" w:cs="Arial"/>
          <w:bCs/>
          <w:iCs/>
        </w:rPr>
        <w:t>19-4040960207/0100</w:t>
      </w:r>
    </w:p>
    <w:p w14:paraId="6EF56064" w14:textId="09D48F42" w:rsidR="006C31F0" w:rsidRDefault="006C31F0" w:rsidP="006C31F0">
      <w:pPr>
        <w:spacing w:before="240"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9E27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 </w:t>
      </w:r>
      <w:r w:rsidRPr="00150A2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>DIČ:</w:t>
      </w:r>
      <w:r>
        <w:rPr>
          <w:rFonts w:ascii="Arial" w:hAnsi="Arial" w:cs="Arial"/>
          <w:bCs/>
          <w:iCs/>
        </w:rPr>
        <w:t xml:space="preserve">                                                           </w:t>
      </w:r>
      <w:r w:rsidRPr="00150A20">
        <w:rPr>
          <w:rFonts w:ascii="Arial" w:hAnsi="Arial" w:cs="Arial"/>
          <w:bCs/>
          <w:iCs/>
        </w:rPr>
        <w:t xml:space="preserve"> CZ25094459</w:t>
      </w:r>
    </w:p>
    <w:p w14:paraId="03027629" w14:textId="2142247D" w:rsidR="006C31F0" w:rsidRPr="00150A20" w:rsidRDefault="006C31F0" w:rsidP="006C31F0">
      <w:pPr>
        <w:spacing w:before="240"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</w:t>
      </w:r>
      <w:r w:rsidRPr="00490EB5">
        <w:rPr>
          <w:rFonts w:ascii="Arial" w:hAnsi="Arial" w:cs="Arial"/>
          <w:bCs/>
          <w:iCs/>
        </w:rPr>
        <w:t xml:space="preserve">(dále jen </w:t>
      </w:r>
      <w:r w:rsidRPr="00490EB5">
        <w:rPr>
          <w:rFonts w:ascii="Arial" w:hAnsi="Arial" w:cs="Arial"/>
          <w:b/>
          <w:bCs/>
          <w:iCs/>
        </w:rPr>
        <w:t>„Zhotovitel“</w:t>
      </w:r>
      <w:r w:rsidRPr="00490EB5">
        <w:rPr>
          <w:rFonts w:ascii="Arial" w:hAnsi="Arial" w:cs="Arial"/>
          <w:bCs/>
          <w:iCs/>
        </w:rPr>
        <w:t>)</w:t>
      </w:r>
    </w:p>
    <w:bookmarkEnd w:id="3"/>
    <w:p w14:paraId="25DC541E" w14:textId="77777777" w:rsidR="002A49A5" w:rsidRDefault="006C31F0" w:rsidP="000068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978F1C8" w14:textId="04C8C939" w:rsidR="00006857" w:rsidRDefault="006C31F0" w:rsidP="000068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49AE66C" w14:textId="4BD0E77D" w:rsidR="00F449C4" w:rsidRDefault="00006857" w:rsidP="000068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C31F0">
        <w:rPr>
          <w:rFonts w:ascii="Arial" w:hAnsi="Arial" w:cs="Arial"/>
        </w:rPr>
        <w:t xml:space="preserve">  </w:t>
      </w:r>
      <w:r w:rsidR="00E0086F" w:rsidRPr="00ED6435">
        <w:rPr>
          <w:rFonts w:ascii="Arial" w:hAnsi="Arial" w:cs="Arial"/>
        </w:rPr>
        <w:t>(Objednatel a Zhotovitel dále jako „</w:t>
      </w:r>
      <w:r w:rsidR="00E0086F" w:rsidRPr="00ED6435">
        <w:rPr>
          <w:rFonts w:ascii="Arial" w:hAnsi="Arial" w:cs="Arial"/>
          <w:b/>
        </w:rPr>
        <w:t>Smluvní strany</w:t>
      </w:r>
      <w:r w:rsidR="00E0086F" w:rsidRPr="00ED6435">
        <w:rPr>
          <w:rFonts w:ascii="Arial" w:hAnsi="Arial" w:cs="Arial"/>
        </w:rPr>
        <w:t xml:space="preserve">“ a každý z nich samostatně jako </w:t>
      </w:r>
    </w:p>
    <w:p w14:paraId="6EE35A18" w14:textId="6C32B68D" w:rsidR="00E0086F" w:rsidRDefault="006C31F0" w:rsidP="000068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0086F" w:rsidRPr="00ED6435">
        <w:rPr>
          <w:rFonts w:ascii="Arial" w:hAnsi="Arial" w:cs="Arial"/>
        </w:rPr>
        <w:t>„</w:t>
      </w:r>
      <w:r w:rsidR="00E0086F" w:rsidRPr="00ED6435">
        <w:rPr>
          <w:rFonts w:ascii="Arial" w:hAnsi="Arial" w:cs="Arial"/>
          <w:b/>
        </w:rPr>
        <w:t>Smluvní strana</w:t>
      </w:r>
      <w:r w:rsidR="00E0086F" w:rsidRPr="00ED6435">
        <w:rPr>
          <w:rFonts w:ascii="Arial" w:hAnsi="Arial" w:cs="Arial"/>
        </w:rPr>
        <w:t>“)</w:t>
      </w:r>
    </w:p>
    <w:p w14:paraId="6C6CAA57" w14:textId="77777777" w:rsidR="009C4AE5" w:rsidRDefault="009C4AE5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67777266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E27C4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2997B12" w14:textId="77777777" w:rsidR="002A49A5" w:rsidRDefault="002A49A5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12B4503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 xml:space="preserve">a změně termínů předání </w:t>
      </w:r>
      <w:r w:rsidR="000E292C" w:rsidRPr="00873E66">
        <w:rPr>
          <w:rFonts w:ascii="Arial" w:hAnsi="Arial" w:cs="Arial"/>
          <w:szCs w:val="22"/>
        </w:rPr>
        <w:t>Hlavn</w:t>
      </w:r>
      <w:r w:rsidR="00007496">
        <w:rPr>
          <w:rFonts w:ascii="Arial" w:hAnsi="Arial" w:cs="Arial"/>
          <w:szCs w:val="22"/>
        </w:rPr>
        <w:t>ích</w:t>
      </w:r>
      <w:r w:rsidR="000E292C" w:rsidRPr="00873E66">
        <w:rPr>
          <w:rFonts w:ascii="Arial" w:hAnsi="Arial" w:cs="Arial"/>
          <w:szCs w:val="22"/>
        </w:rPr>
        <w:t xml:space="preserve"> celk</w:t>
      </w:r>
      <w:r w:rsidR="00007496">
        <w:rPr>
          <w:rFonts w:ascii="Arial" w:hAnsi="Arial" w:cs="Arial"/>
          <w:szCs w:val="22"/>
        </w:rPr>
        <w:t>ů</w:t>
      </w:r>
      <w:r w:rsidR="000E292C" w:rsidRPr="00873E66">
        <w:rPr>
          <w:rFonts w:ascii="Arial" w:hAnsi="Arial" w:cs="Arial"/>
          <w:szCs w:val="22"/>
        </w:rPr>
        <w:t xml:space="preserve"> a dílč</w:t>
      </w:r>
      <w:r w:rsidR="006564CC">
        <w:rPr>
          <w:rFonts w:ascii="Arial" w:hAnsi="Arial" w:cs="Arial"/>
          <w:szCs w:val="22"/>
        </w:rPr>
        <w:t>ích</w:t>
      </w:r>
      <w:r w:rsidR="000E292C" w:rsidRPr="00873E66">
        <w:rPr>
          <w:rFonts w:ascii="Arial" w:hAnsi="Arial" w:cs="Arial"/>
          <w:szCs w:val="22"/>
        </w:rPr>
        <w:t xml:space="preserve"> část</w:t>
      </w:r>
      <w:r w:rsidR="006564CC">
        <w:rPr>
          <w:rFonts w:ascii="Arial" w:hAnsi="Arial" w:cs="Arial"/>
          <w:szCs w:val="22"/>
        </w:rPr>
        <w:t>í</w:t>
      </w:r>
      <w:r w:rsidR="000E292C" w:rsidRPr="00873E66">
        <w:rPr>
          <w:rFonts w:ascii="Arial" w:hAnsi="Arial" w:cs="Arial"/>
          <w:szCs w:val="22"/>
        </w:rPr>
        <w:t xml:space="preserve"> Hlav</w:t>
      </w:r>
      <w:r w:rsidR="006564CC">
        <w:rPr>
          <w:rFonts w:ascii="Arial" w:hAnsi="Arial" w:cs="Arial"/>
          <w:szCs w:val="22"/>
        </w:rPr>
        <w:t>ních</w:t>
      </w:r>
      <w:r w:rsidR="000E292C">
        <w:rPr>
          <w:rFonts w:ascii="Arial" w:hAnsi="Arial" w:cs="Arial"/>
          <w:szCs w:val="22"/>
        </w:rPr>
        <w:t xml:space="preserve"> </w:t>
      </w:r>
      <w:r w:rsidR="000E292C" w:rsidRPr="00873E66">
        <w:rPr>
          <w:rFonts w:ascii="Arial" w:hAnsi="Arial" w:cs="Arial"/>
          <w:szCs w:val="22"/>
        </w:rPr>
        <w:t>celk</w:t>
      </w:r>
      <w:r w:rsidR="006564CC">
        <w:rPr>
          <w:rFonts w:ascii="Arial" w:hAnsi="Arial" w:cs="Arial"/>
          <w:szCs w:val="22"/>
        </w:rPr>
        <w:t>ů</w:t>
      </w:r>
      <w:r w:rsidR="000E292C" w:rsidRPr="00873E66">
        <w:rPr>
          <w:rFonts w:ascii="Arial" w:hAnsi="Arial" w:cs="Arial"/>
          <w:szCs w:val="22"/>
        </w:rPr>
        <w:t>.</w:t>
      </w:r>
    </w:p>
    <w:p w14:paraId="678D3276" w14:textId="4036EFF8" w:rsidR="002A49A5" w:rsidRDefault="00064D38" w:rsidP="00064D38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383335">
        <w:rPr>
          <w:rFonts w:ascii="Arial" w:hAnsi="Arial" w:cs="Arial"/>
          <w:szCs w:val="22"/>
        </w:rPr>
        <w:t>Dodatkem se mění počet měrných jednotek a termín</w:t>
      </w:r>
      <w:r>
        <w:rPr>
          <w:rFonts w:ascii="Arial" w:hAnsi="Arial" w:cs="Arial"/>
          <w:szCs w:val="22"/>
        </w:rPr>
        <w:t>y</w:t>
      </w:r>
      <w:r w:rsidRPr="00383335">
        <w:rPr>
          <w:rFonts w:ascii="Arial" w:hAnsi="Arial" w:cs="Arial"/>
          <w:szCs w:val="22"/>
        </w:rPr>
        <w:t xml:space="preserve"> u níže uved</w:t>
      </w:r>
      <w:r>
        <w:rPr>
          <w:rFonts w:ascii="Arial" w:hAnsi="Arial" w:cs="Arial"/>
          <w:szCs w:val="22"/>
        </w:rPr>
        <w:t>en</w:t>
      </w:r>
      <w:r w:rsidR="003546AB">
        <w:rPr>
          <w:rFonts w:ascii="Arial" w:hAnsi="Arial" w:cs="Arial"/>
          <w:szCs w:val="22"/>
        </w:rPr>
        <w:t>ých</w:t>
      </w:r>
      <w:r w:rsidRPr="00383335">
        <w:rPr>
          <w:rFonts w:ascii="Arial" w:hAnsi="Arial" w:cs="Arial"/>
          <w:szCs w:val="22"/>
        </w:rPr>
        <w:t xml:space="preserve"> </w:t>
      </w:r>
      <w:r w:rsidR="00FE1177" w:rsidRPr="00873E66">
        <w:rPr>
          <w:rFonts w:ascii="Arial" w:hAnsi="Arial" w:cs="Arial"/>
          <w:szCs w:val="22"/>
        </w:rPr>
        <w:t>Hlavn</w:t>
      </w:r>
      <w:r w:rsidR="00FE1177">
        <w:rPr>
          <w:rFonts w:ascii="Arial" w:hAnsi="Arial" w:cs="Arial"/>
          <w:szCs w:val="22"/>
        </w:rPr>
        <w:t>ích</w:t>
      </w:r>
      <w:r w:rsidR="00FE1177" w:rsidRPr="00873E66">
        <w:rPr>
          <w:rFonts w:ascii="Arial" w:hAnsi="Arial" w:cs="Arial"/>
          <w:szCs w:val="22"/>
        </w:rPr>
        <w:t xml:space="preserve"> celk</w:t>
      </w:r>
      <w:r w:rsidR="00FE1177">
        <w:rPr>
          <w:rFonts w:ascii="Arial" w:hAnsi="Arial" w:cs="Arial"/>
          <w:szCs w:val="22"/>
        </w:rPr>
        <w:t>ů</w:t>
      </w:r>
      <w:r w:rsidR="00FE1177" w:rsidRPr="00873E66">
        <w:rPr>
          <w:rFonts w:ascii="Arial" w:hAnsi="Arial" w:cs="Arial"/>
          <w:szCs w:val="22"/>
        </w:rPr>
        <w:t xml:space="preserve"> a dílč</w:t>
      </w:r>
      <w:r w:rsidR="00FE1177">
        <w:rPr>
          <w:rFonts w:ascii="Arial" w:hAnsi="Arial" w:cs="Arial"/>
          <w:szCs w:val="22"/>
        </w:rPr>
        <w:t>ích</w:t>
      </w:r>
      <w:r w:rsidR="00FE1177" w:rsidRPr="00873E66">
        <w:rPr>
          <w:rFonts w:ascii="Arial" w:hAnsi="Arial" w:cs="Arial"/>
          <w:szCs w:val="22"/>
        </w:rPr>
        <w:t xml:space="preserve"> část</w:t>
      </w:r>
      <w:r w:rsidR="00FE1177">
        <w:rPr>
          <w:rFonts w:ascii="Arial" w:hAnsi="Arial" w:cs="Arial"/>
          <w:szCs w:val="22"/>
        </w:rPr>
        <w:t>í</w:t>
      </w:r>
      <w:r w:rsidR="00FE1177" w:rsidRPr="00873E66">
        <w:rPr>
          <w:rFonts w:ascii="Arial" w:hAnsi="Arial" w:cs="Arial"/>
          <w:szCs w:val="22"/>
        </w:rPr>
        <w:t xml:space="preserve"> Hlav</w:t>
      </w:r>
      <w:r w:rsidR="00FE1177">
        <w:rPr>
          <w:rFonts w:ascii="Arial" w:hAnsi="Arial" w:cs="Arial"/>
          <w:szCs w:val="22"/>
        </w:rPr>
        <w:t xml:space="preserve">ních </w:t>
      </w:r>
      <w:r w:rsidR="00FE1177" w:rsidRPr="00873E66">
        <w:rPr>
          <w:rFonts w:ascii="Arial" w:hAnsi="Arial" w:cs="Arial"/>
          <w:szCs w:val="22"/>
        </w:rPr>
        <w:t>celk</w:t>
      </w:r>
      <w:r w:rsidR="00FE1177">
        <w:rPr>
          <w:rFonts w:ascii="Arial" w:hAnsi="Arial" w:cs="Arial"/>
          <w:szCs w:val="22"/>
        </w:rPr>
        <w:t>ů</w:t>
      </w:r>
      <w:r w:rsidRPr="00383335">
        <w:rPr>
          <w:rFonts w:ascii="Arial" w:hAnsi="Arial" w:cs="Arial"/>
          <w:szCs w:val="22"/>
        </w:rPr>
        <w:t xml:space="preserve">: </w:t>
      </w:r>
    </w:p>
    <w:p w14:paraId="7D845B5F" w14:textId="4C421B6E" w:rsidR="00836A71" w:rsidRDefault="00935C3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</w:t>
      </w:r>
      <w:r w:rsidR="00EB63B1">
        <w:rPr>
          <w:rFonts w:ascii="Arial" w:hAnsi="Arial" w:cs="Arial"/>
          <w:szCs w:val="22"/>
          <w:u w:val="single"/>
        </w:rPr>
        <w:t xml:space="preserve">u </w:t>
      </w:r>
      <w:r w:rsidR="00EB63B1" w:rsidRPr="00FE6CB7">
        <w:rPr>
          <w:rFonts w:ascii="Arial" w:hAnsi="Arial" w:cs="Arial"/>
          <w:szCs w:val="22"/>
          <w:u w:val="single"/>
        </w:rPr>
        <w:t>dílčí</w:t>
      </w:r>
      <w:r w:rsidR="00215E0D">
        <w:rPr>
          <w:rFonts w:ascii="Arial" w:hAnsi="Arial" w:cs="Arial"/>
          <w:szCs w:val="22"/>
          <w:u w:val="single"/>
        </w:rPr>
        <w:t>ch</w:t>
      </w:r>
      <w:r w:rsidR="00EB63B1" w:rsidRPr="00FE6CB7">
        <w:rPr>
          <w:rFonts w:ascii="Arial" w:hAnsi="Arial" w:cs="Arial"/>
          <w:szCs w:val="22"/>
          <w:u w:val="single"/>
        </w:rPr>
        <w:t xml:space="preserve"> část</w:t>
      </w:r>
      <w:r w:rsidR="00812587">
        <w:rPr>
          <w:rFonts w:ascii="Arial" w:hAnsi="Arial" w:cs="Arial"/>
          <w:szCs w:val="22"/>
          <w:u w:val="single"/>
        </w:rPr>
        <w:t>í</w:t>
      </w:r>
      <w:r w:rsidR="00EB63B1">
        <w:rPr>
          <w:rFonts w:ascii="Arial" w:hAnsi="Arial" w:cs="Arial"/>
          <w:szCs w:val="22"/>
          <w:u w:val="single"/>
        </w:rPr>
        <w:t xml:space="preserve"> Hlavní</w:t>
      </w:r>
      <w:r w:rsidR="00812587">
        <w:rPr>
          <w:rFonts w:ascii="Arial" w:hAnsi="Arial" w:cs="Arial"/>
          <w:szCs w:val="22"/>
          <w:u w:val="single"/>
        </w:rPr>
        <w:t>ch</w:t>
      </w:r>
      <w:r w:rsidR="00EB63B1">
        <w:rPr>
          <w:rFonts w:ascii="Arial" w:hAnsi="Arial" w:cs="Arial"/>
          <w:szCs w:val="22"/>
          <w:u w:val="single"/>
        </w:rPr>
        <w:t xml:space="preserve"> celk</w:t>
      </w:r>
      <w:r w:rsidR="00812587">
        <w:rPr>
          <w:rFonts w:ascii="Arial" w:hAnsi="Arial" w:cs="Arial"/>
          <w:szCs w:val="22"/>
          <w:u w:val="single"/>
        </w:rPr>
        <w:t>ů</w:t>
      </w:r>
      <w:r w:rsidR="00EB63B1">
        <w:rPr>
          <w:rFonts w:ascii="Arial" w:hAnsi="Arial" w:cs="Arial"/>
          <w:szCs w:val="22"/>
          <w:u w:val="single"/>
        </w:rPr>
        <w:t xml:space="preserve"> a u </w:t>
      </w:r>
      <w:r w:rsidR="00EC30A3">
        <w:rPr>
          <w:rFonts w:ascii="Arial" w:hAnsi="Arial" w:cs="Arial"/>
          <w:szCs w:val="22"/>
          <w:u w:val="single"/>
        </w:rPr>
        <w:t>Hlavního celku 3 „Mapové dílo“</w:t>
      </w:r>
      <w:r w:rsidR="000664D0">
        <w:rPr>
          <w:rFonts w:ascii="Arial" w:hAnsi="Arial" w:cs="Arial"/>
          <w:szCs w:val="22"/>
          <w:u w:val="single"/>
        </w:rPr>
        <w:t>:</w:t>
      </w:r>
    </w:p>
    <w:p w14:paraId="4E3FCD12" w14:textId="77777777" w:rsidR="00883372" w:rsidRDefault="00883372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</w:p>
    <w:p w14:paraId="320C4FE3" w14:textId="77777777" w:rsidR="002A49A5" w:rsidRPr="004831E9" w:rsidRDefault="002A49A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</w:p>
    <w:tbl>
      <w:tblPr>
        <w:tblStyle w:val="Mkatabulky"/>
        <w:tblW w:w="9749" w:type="dxa"/>
        <w:tblLook w:val="04A0" w:firstRow="1" w:lastRow="0" w:firstColumn="1" w:lastColumn="0" w:noHBand="0" w:noVBand="1"/>
      </w:tblPr>
      <w:tblGrid>
        <w:gridCol w:w="1089"/>
        <w:gridCol w:w="2691"/>
        <w:gridCol w:w="734"/>
        <w:gridCol w:w="1212"/>
        <w:gridCol w:w="1323"/>
        <w:gridCol w:w="1263"/>
        <w:gridCol w:w="1437"/>
      </w:tblGrid>
      <w:tr w:rsidR="005576E2" w14:paraId="72C3FB32" w14:textId="77777777" w:rsidTr="00655E81">
        <w:trPr>
          <w:trHeight w:val="916"/>
        </w:trPr>
        <w:tc>
          <w:tcPr>
            <w:tcW w:w="10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3CE85B4F" w:rsidR="005576E2" w:rsidRPr="004D5928" w:rsidRDefault="00080B65" w:rsidP="005576E2">
            <w:pPr>
              <w:rPr>
                <w:rFonts w:ascii="Arial" w:eastAsia="Arial" w:hAnsi="Arial" w:cs="Arial"/>
                <w:b/>
                <w:bCs/>
              </w:rPr>
            </w:pPr>
            <w:r w:rsidRPr="00582C12">
              <w:rPr>
                <w:rFonts w:ascii="Arial" w:eastAsia="Arial" w:hAnsi="Arial" w:cs="Arial"/>
                <w:b/>
                <w:bCs/>
              </w:rPr>
              <w:t>Hlavní celek / Dílčí část Hlavního celku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A222D3" w:rsidRPr="00CB6F0F" w14:paraId="73EB2CBF" w14:textId="77777777" w:rsidTr="00655E81">
        <w:trPr>
          <w:trHeight w:val="420"/>
        </w:trPr>
        <w:tc>
          <w:tcPr>
            <w:tcW w:w="1089" w:type="dxa"/>
            <w:shd w:val="clear" w:color="auto" w:fill="D9D9D9" w:themeFill="background1" w:themeFillShade="D9"/>
          </w:tcPr>
          <w:p w14:paraId="7730221C" w14:textId="5620DE66" w:rsidR="00A222D3" w:rsidRPr="00B278FA" w:rsidRDefault="00A222D3" w:rsidP="00A222D3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8B4592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0C997FCA" w14:textId="2AE21FEE" w:rsidR="00A222D3" w:rsidRPr="006A669D" w:rsidRDefault="00A222D3" w:rsidP="00A222D3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592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77C82658" w14:textId="77777777" w:rsidR="00A222D3" w:rsidRPr="006A669D" w:rsidRDefault="00A222D3" w:rsidP="00A222D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5D3860D7" w14:textId="77777777" w:rsidR="00A222D3" w:rsidRPr="00404E33" w:rsidRDefault="00A222D3" w:rsidP="00A222D3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5474067D" w14:textId="52B74E01" w:rsidR="00A222D3" w:rsidRPr="006A669D" w:rsidRDefault="00A222D3" w:rsidP="00A222D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0229C174" w14:textId="12B8EDF7" w:rsidR="00A222D3" w:rsidRPr="006A669D" w:rsidRDefault="00A222D3" w:rsidP="00A222D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16EF4307" w14:textId="77777777" w:rsidR="00A222D3" w:rsidRPr="006A669D" w:rsidRDefault="00A222D3" w:rsidP="00A222D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22C40" w14:paraId="780C6DFD" w14:textId="77777777" w:rsidTr="00655E81">
        <w:trPr>
          <w:trHeight w:val="1290"/>
        </w:trPr>
        <w:tc>
          <w:tcPr>
            <w:tcW w:w="1089" w:type="dxa"/>
          </w:tcPr>
          <w:p w14:paraId="52A3E9ED" w14:textId="04B911E0" w:rsidR="00F22C40" w:rsidRPr="00833AB7" w:rsidRDefault="008F65D0" w:rsidP="005D1DBC">
            <w:pPr>
              <w:jc w:val="both"/>
              <w:rPr>
                <w:rFonts w:ascii="Arial" w:hAnsi="Arial" w:cs="Arial"/>
              </w:rPr>
            </w:pPr>
            <w:r w:rsidRPr="00833AB7">
              <w:rPr>
                <w:rFonts w:ascii="Arial" w:hAnsi="Arial" w:cs="Arial"/>
              </w:rPr>
              <w:t>6.2.2 a)</w:t>
            </w:r>
          </w:p>
        </w:tc>
        <w:tc>
          <w:tcPr>
            <w:tcW w:w="2691" w:type="dxa"/>
          </w:tcPr>
          <w:p w14:paraId="75520542" w14:textId="1DA64C7F" w:rsidR="00F22C40" w:rsidRPr="00833AB7" w:rsidRDefault="0035306F" w:rsidP="005D1DBC">
            <w:pPr>
              <w:rPr>
                <w:rFonts w:ascii="Arial" w:hAnsi="Arial" w:cs="Arial"/>
                <w:i/>
                <w:iCs/>
              </w:rPr>
            </w:pPr>
            <w:r w:rsidRPr="00833AB7">
              <w:rPr>
                <w:rFonts w:ascii="Arial" w:hAnsi="Arial" w:cs="Arial"/>
                <w:i/>
                <w:iCs/>
              </w:rPr>
              <w:t xml:space="preserve">Podrobné měření polohopisu v obvodu KoPÚ mimo trvalé </w:t>
            </w:r>
            <w:r w:rsidR="007E1370" w:rsidRPr="00833AB7">
              <w:rPr>
                <w:rFonts w:ascii="Arial" w:hAnsi="Arial" w:cs="Arial"/>
                <w:i/>
                <w:iCs/>
              </w:rPr>
              <w:t>porosty – doměření</w:t>
            </w:r>
          </w:p>
        </w:tc>
        <w:tc>
          <w:tcPr>
            <w:tcW w:w="734" w:type="dxa"/>
            <w:vAlign w:val="center"/>
          </w:tcPr>
          <w:p w14:paraId="66A09ED9" w14:textId="053E1593" w:rsidR="00F22C40" w:rsidRPr="00833AB7" w:rsidRDefault="00F21D32" w:rsidP="005D1DBC">
            <w:pPr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212" w:type="dxa"/>
          </w:tcPr>
          <w:p w14:paraId="3A4913B3" w14:textId="77777777" w:rsidR="00F22C40" w:rsidRPr="00833AB7" w:rsidRDefault="00F22C40" w:rsidP="005D1DBC">
            <w:pPr>
              <w:jc w:val="center"/>
              <w:rPr>
                <w:rFonts w:ascii="Arial" w:eastAsia="Arial" w:hAnsi="Arial" w:cs="Arial"/>
              </w:rPr>
            </w:pPr>
          </w:p>
          <w:p w14:paraId="3AFADDFF" w14:textId="2085869B" w:rsidR="00F21D32" w:rsidRPr="00833AB7" w:rsidRDefault="00F21D32" w:rsidP="005D1DBC">
            <w:pPr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>0</w:t>
            </w:r>
          </w:p>
        </w:tc>
        <w:tc>
          <w:tcPr>
            <w:tcW w:w="1323" w:type="dxa"/>
            <w:vAlign w:val="center"/>
          </w:tcPr>
          <w:p w14:paraId="45236072" w14:textId="3D89B436" w:rsidR="00F22C40" w:rsidRDefault="00F21D3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263" w:type="dxa"/>
            <w:vAlign w:val="center"/>
          </w:tcPr>
          <w:p w14:paraId="7937C2F6" w14:textId="69C5EFB1" w:rsidR="00F22C40" w:rsidRDefault="002C2ACF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770,00</w:t>
            </w:r>
          </w:p>
        </w:tc>
        <w:tc>
          <w:tcPr>
            <w:tcW w:w="1437" w:type="dxa"/>
            <w:vAlign w:val="center"/>
          </w:tcPr>
          <w:p w14:paraId="3AF7E214" w14:textId="77777777" w:rsidR="002C2ACF" w:rsidRDefault="002C2ACF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18EE6BD5" w14:textId="5A38C02B" w:rsidR="00F22C40" w:rsidRDefault="002C2ACF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3 080,00</w:t>
            </w:r>
          </w:p>
          <w:p w14:paraId="6B3F577E" w14:textId="0A3473A7" w:rsidR="002C2ACF" w:rsidRDefault="002C2ACF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993D47" w14:paraId="4AA66AD4" w14:textId="77777777" w:rsidTr="00655E81">
        <w:trPr>
          <w:trHeight w:val="2550"/>
        </w:trPr>
        <w:tc>
          <w:tcPr>
            <w:tcW w:w="1089" w:type="dxa"/>
          </w:tcPr>
          <w:p w14:paraId="6DD33329" w14:textId="7A8CEDD9" w:rsidR="00993D47" w:rsidRPr="00833AB7" w:rsidRDefault="00993D47" w:rsidP="00E73971">
            <w:pPr>
              <w:spacing w:after="360"/>
              <w:jc w:val="both"/>
              <w:rPr>
                <w:rFonts w:ascii="Arial" w:hAnsi="Arial" w:cs="Arial"/>
              </w:rPr>
            </w:pPr>
            <w:r w:rsidRPr="00833AB7">
              <w:rPr>
                <w:rFonts w:ascii="Arial" w:hAnsi="Arial" w:cs="Arial"/>
              </w:rPr>
              <w:t>6.2.4 a)</w:t>
            </w:r>
          </w:p>
        </w:tc>
        <w:tc>
          <w:tcPr>
            <w:tcW w:w="2691" w:type="dxa"/>
          </w:tcPr>
          <w:p w14:paraId="5A5E9E62" w14:textId="5F651382" w:rsidR="00993D47" w:rsidRPr="00833AB7" w:rsidRDefault="00993D47" w:rsidP="00E73971">
            <w:pPr>
              <w:spacing w:after="360"/>
              <w:rPr>
                <w:rFonts w:ascii="Arial" w:hAnsi="Arial" w:cs="Arial"/>
                <w:i/>
                <w:iCs/>
              </w:rPr>
            </w:pPr>
            <w:r w:rsidRPr="00833AB7">
              <w:rPr>
                <w:rFonts w:ascii="Arial" w:hAnsi="Arial" w:cs="Arial"/>
                <w:i/>
                <w:iCs/>
              </w:rPr>
              <w:t>Zjišťování hranic obvodu KoPÚ, geometrické plány pro stanovení obvodu KoPÚ, předepsaná stabilizace dle vyhlášky č. 357/2013 Sb.</w:t>
            </w:r>
            <w:r w:rsidR="007E1370">
              <w:rPr>
                <w:rFonts w:ascii="Arial" w:hAnsi="Arial" w:cs="Arial"/>
                <w:i/>
                <w:iCs/>
              </w:rPr>
              <w:t xml:space="preserve"> -</w:t>
            </w:r>
            <w:r w:rsidRPr="00833AB7">
              <w:rPr>
                <w:rFonts w:ascii="Arial" w:hAnsi="Arial" w:cs="Arial"/>
                <w:i/>
                <w:iCs/>
              </w:rPr>
              <w:t xml:space="preserve">  došetření</w:t>
            </w:r>
          </w:p>
        </w:tc>
        <w:tc>
          <w:tcPr>
            <w:tcW w:w="734" w:type="dxa"/>
            <w:vAlign w:val="center"/>
          </w:tcPr>
          <w:p w14:paraId="545EC0B8" w14:textId="77777777" w:rsidR="00993D47" w:rsidRPr="00833AB7" w:rsidRDefault="00993D47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</w:p>
          <w:p w14:paraId="7AEF046B" w14:textId="52144509" w:rsidR="00993D47" w:rsidRPr="00833AB7" w:rsidRDefault="00993D47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212" w:type="dxa"/>
          </w:tcPr>
          <w:p w14:paraId="6EA93D36" w14:textId="77777777" w:rsidR="00993D47" w:rsidRPr="00833AB7" w:rsidRDefault="00993D47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</w:p>
          <w:p w14:paraId="6D9E43BD" w14:textId="77777777" w:rsidR="00993D47" w:rsidRPr="00833AB7" w:rsidRDefault="00993D47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</w:p>
          <w:p w14:paraId="3E896F83" w14:textId="6B99A511" w:rsidR="00993D47" w:rsidRPr="00833AB7" w:rsidRDefault="00993D47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 xml:space="preserve">     0</w:t>
            </w:r>
          </w:p>
        </w:tc>
        <w:tc>
          <w:tcPr>
            <w:tcW w:w="1323" w:type="dxa"/>
            <w:vAlign w:val="center"/>
          </w:tcPr>
          <w:p w14:paraId="005E5D50" w14:textId="77777777" w:rsidR="00993D47" w:rsidRDefault="00993D47" w:rsidP="00E73971">
            <w:pPr>
              <w:spacing w:after="360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3987CB22" w14:textId="0B7C965A" w:rsidR="00993D47" w:rsidRDefault="00E73971" w:rsidP="00E73971">
            <w:pPr>
              <w:spacing w:after="36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263" w:type="dxa"/>
            <w:vAlign w:val="center"/>
          </w:tcPr>
          <w:p w14:paraId="753E71B3" w14:textId="77777777" w:rsidR="00993D47" w:rsidRDefault="00993D47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  <w:p w14:paraId="2988A953" w14:textId="779CD7FC" w:rsidR="00993D47" w:rsidRDefault="00993D47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6 000,00</w:t>
            </w:r>
          </w:p>
        </w:tc>
        <w:tc>
          <w:tcPr>
            <w:tcW w:w="1437" w:type="dxa"/>
            <w:vAlign w:val="center"/>
          </w:tcPr>
          <w:p w14:paraId="5716D768" w14:textId="77777777" w:rsidR="00993D47" w:rsidRDefault="00993D47" w:rsidP="00E73971">
            <w:pPr>
              <w:spacing w:after="36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7AD4A40C" w14:textId="647565EC" w:rsidR="00993D47" w:rsidRDefault="009F154D" w:rsidP="00E73971">
            <w:pPr>
              <w:spacing w:after="36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24</w:t>
            </w:r>
            <w:r w:rsidR="00993D47">
              <w:rPr>
                <w:rFonts w:ascii="Arial" w:eastAsia="Arial" w:hAnsi="Arial" w:cs="Arial"/>
                <w:b/>
                <w:bCs/>
                <w:color w:val="FF0000"/>
              </w:rPr>
              <w:t> 000,00</w:t>
            </w:r>
          </w:p>
        </w:tc>
      </w:tr>
      <w:tr w:rsidR="009A688F" w14:paraId="46C44CE2" w14:textId="77777777" w:rsidTr="00655E81">
        <w:trPr>
          <w:trHeight w:val="507"/>
        </w:trPr>
        <w:tc>
          <w:tcPr>
            <w:tcW w:w="1089" w:type="dxa"/>
            <w:shd w:val="clear" w:color="auto" w:fill="D9D9D9" w:themeFill="background1" w:themeFillShade="D9"/>
          </w:tcPr>
          <w:p w14:paraId="763A6CD6" w14:textId="45E222C6" w:rsidR="009A688F" w:rsidRPr="00952E81" w:rsidRDefault="007D33E0" w:rsidP="00E73971">
            <w:pPr>
              <w:spacing w:after="360"/>
              <w:jc w:val="both"/>
              <w:rPr>
                <w:rFonts w:ascii="Arial" w:hAnsi="Arial" w:cs="Arial"/>
                <w:b/>
                <w:bCs/>
              </w:rPr>
            </w:pPr>
            <w:r w:rsidRPr="00952E81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3A6E4A46" w14:textId="52192752" w:rsidR="009A688F" w:rsidRPr="00ED7114" w:rsidRDefault="00ED7114" w:rsidP="00E73971">
            <w:pPr>
              <w:spacing w:after="360"/>
              <w:rPr>
                <w:rFonts w:ascii="Arial" w:hAnsi="Arial" w:cs="Arial"/>
                <w:b/>
                <w:bCs/>
              </w:rPr>
            </w:pPr>
            <w:r w:rsidRPr="00ED7114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34243513" w14:textId="77777777" w:rsidR="009A688F" w:rsidRPr="00833AB7" w:rsidRDefault="009A688F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6C14E4FA" w14:textId="77777777" w:rsidR="009A688F" w:rsidRPr="00833AB7" w:rsidRDefault="009A688F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78A14B2B" w14:textId="77777777" w:rsidR="009A688F" w:rsidRDefault="009A688F" w:rsidP="00E73971">
            <w:pPr>
              <w:spacing w:after="36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5ECDB6AB" w14:textId="77777777" w:rsidR="009A688F" w:rsidRDefault="009A688F" w:rsidP="00E73971">
            <w:pPr>
              <w:spacing w:after="36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14E59651" w14:textId="77777777" w:rsidR="009A688F" w:rsidRDefault="009A688F" w:rsidP="00E73971">
            <w:pPr>
              <w:spacing w:after="36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993D47" w14:paraId="10249BBC" w14:textId="77777777" w:rsidTr="00655E81">
        <w:trPr>
          <w:trHeight w:val="975"/>
        </w:trPr>
        <w:tc>
          <w:tcPr>
            <w:tcW w:w="1089" w:type="dxa"/>
          </w:tcPr>
          <w:p w14:paraId="20209DFD" w14:textId="3E25F069" w:rsidR="00993D47" w:rsidRPr="00833AB7" w:rsidRDefault="00993D47" w:rsidP="00993D47">
            <w:pPr>
              <w:jc w:val="both"/>
              <w:rPr>
                <w:rFonts w:ascii="Arial" w:eastAsia="Arial" w:hAnsi="Arial" w:cs="Arial"/>
              </w:rPr>
            </w:pPr>
            <w:r w:rsidRPr="00833AB7">
              <w:rPr>
                <w:rFonts w:ascii="Arial" w:hAnsi="Arial" w:cs="Arial"/>
              </w:rPr>
              <w:t>6.3.1</w:t>
            </w:r>
          </w:p>
        </w:tc>
        <w:tc>
          <w:tcPr>
            <w:tcW w:w="2691" w:type="dxa"/>
          </w:tcPr>
          <w:p w14:paraId="1E59BD77" w14:textId="1880862E" w:rsidR="00993D47" w:rsidRPr="00833AB7" w:rsidRDefault="009F154D" w:rsidP="00993D47">
            <w:pPr>
              <w:rPr>
                <w:rFonts w:ascii="Arial" w:eastAsia="Arial" w:hAnsi="Arial" w:cs="Arial"/>
              </w:rPr>
            </w:pPr>
            <w:r w:rsidRPr="00833AB7">
              <w:rPr>
                <w:rFonts w:ascii="Arial" w:hAnsi="Arial" w:cs="Arial"/>
                <w:i/>
                <w:iCs/>
              </w:rPr>
              <w:t>Vypracování plánu společných zařízení ("PSZ")</w:t>
            </w:r>
          </w:p>
        </w:tc>
        <w:tc>
          <w:tcPr>
            <w:tcW w:w="734" w:type="dxa"/>
            <w:vAlign w:val="center"/>
          </w:tcPr>
          <w:p w14:paraId="73C64DCD" w14:textId="77777777" w:rsidR="00993D47" w:rsidRPr="00833AB7" w:rsidRDefault="00993D47" w:rsidP="00993D47">
            <w:pPr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212" w:type="dxa"/>
          </w:tcPr>
          <w:p w14:paraId="60C98E8B" w14:textId="77777777" w:rsidR="00993D47" w:rsidRPr="00833AB7" w:rsidRDefault="00993D47" w:rsidP="0062274D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  <w:p w14:paraId="1E8F5C2E" w14:textId="1FD491C8" w:rsidR="00236317" w:rsidRPr="00833AB7" w:rsidRDefault="00236317" w:rsidP="0062274D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>251</w:t>
            </w:r>
          </w:p>
        </w:tc>
        <w:tc>
          <w:tcPr>
            <w:tcW w:w="1323" w:type="dxa"/>
            <w:vAlign w:val="center"/>
          </w:tcPr>
          <w:p w14:paraId="19A3ADEE" w14:textId="61090E40" w:rsidR="00993D47" w:rsidRPr="006A669D" w:rsidRDefault="0062274D" w:rsidP="0062274D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1263" w:type="dxa"/>
            <w:vAlign w:val="center"/>
          </w:tcPr>
          <w:p w14:paraId="37545210" w14:textId="309452FA" w:rsidR="00993D47" w:rsidRPr="006A669D" w:rsidRDefault="00236317" w:rsidP="0062274D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1 100,00</w:t>
            </w:r>
          </w:p>
        </w:tc>
        <w:tc>
          <w:tcPr>
            <w:tcW w:w="1437" w:type="dxa"/>
            <w:vAlign w:val="center"/>
          </w:tcPr>
          <w:p w14:paraId="38DCF80B" w14:textId="73CF1BB0" w:rsidR="00993D47" w:rsidRPr="006A669D" w:rsidRDefault="00041717" w:rsidP="0062274D">
            <w:pPr>
              <w:spacing w:after="1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3 300,00</w:t>
            </w:r>
          </w:p>
        </w:tc>
      </w:tr>
      <w:tr w:rsidR="00993D47" w14:paraId="56AE28E7" w14:textId="77777777" w:rsidTr="00655E81">
        <w:trPr>
          <w:trHeight w:val="1530"/>
        </w:trPr>
        <w:tc>
          <w:tcPr>
            <w:tcW w:w="1089" w:type="dxa"/>
          </w:tcPr>
          <w:p w14:paraId="74A185EA" w14:textId="0E34D7FD" w:rsidR="00993D47" w:rsidRPr="00833AB7" w:rsidRDefault="00DC7A5D" w:rsidP="00993D47">
            <w:pPr>
              <w:jc w:val="both"/>
              <w:rPr>
                <w:rFonts w:ascii="Arial" w:hAnsi="Arial" w:cs="Arial"/>
              </w:rPr>
            </w:pPr>
            <w:r w:rsidRPr="00833AB7">
              <w:rPr>
                <w:rFonts w:ascii="Arial" w:hAnsi="Arial" w:cs="Arial"/>
              </w:rPr>
              <w:t>6.3.2</w:t>
            </w:r>
          </w:p>
        </w:tc>
        <w:tc>
          <w:tcPr>
            <w:tcW w:w="2691" w:type="dxa"/>
          </w:tcPr>
          <w:p w14:paraId="739B6820" w14:textId="0C2DB9B6" w:rsidR="00993D47" w:rsidRPr="00833AB7" w:rsidRDefault="00DC7A5D" w:rsidP="00993D47">
            <w:pPr>
              <w:rPr>
                <w:rFonts w:ascii="Arial" w:hAnsi="Arial" w:cs="Arial"/>
                <w:i/>
                <w:iCs/>
              </w:rPr>
            </w:pPr>
            <w:r w:rsidRPr="00833AB7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</w:t>
            </w:r>
          </w:p>
        </w:tc>
        <w:tc>
          <w:tcPr>
            <w:tcW w:w="734" w:type="dxa"/>
            <w:vAlign w:val="center"/>
          </w:tcPr>
          <w:p w14:paraId="2BF69939" w14:textId="0573744E" w:rsidR="00993D47" w:rsidRPr="00833AB7" w:rsidRDefault="00D12C2F" w:rsidP="00993D47">
            <w:pPr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212" w:type="dxa"/>
          </w:tcPr>
          <w:p w14:paraId="2473CC2C" w14:textId="77777777" w:rsidR="00993D47" w:rsidRPr="00833AB7" w:rsidRDefault="00993D47" w:rsidP="0062274D">
            <w:pPr>
              <w:spacing w:after="240"/>
              <w:jc w:val="center"/>
              <w:rPr>
                <w:rFonts w:ascii="Arial" w:eastAsia="Arial" w:hAnsi="Arial" w:cs="Arial"/>
              </w:rPr>
            </w:pPr>
          </w:p>
          <w:p w14:paraId="2E60F474" w14:textId="72C4F45E" w:rsidR="00D12C2F" w:rsidRPr="00833AB7" w:rsidRDefault="0062274D" w:rsidP="0062274D">
            <w:pPr>
              <w:spacing w:after="240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 xml:space="preserve">    </w:t>
            </w:r>
            <w:r w:rsidR="00D12C2F" w:rsidRPr="00833AB7">
              <w:rPr>
                <w:rFonts w:ascii="Arial" w:eastAsia="Arial" w:hAnsi="Arial" w:cs="Arial"/>
              </w:rPr>
              <w:t>251</w:t>
            </w:r>
          </w:p>
        </w:tc>
        <w:tc>
          <w:tcPr>
            <w:tcW w:w="1323" w:type="dxa"/>
            <w:vAlign w:val="center"/>
          </w:tcPr>
          <w:p w14:paraId="588ECA53" w14:textId="1991A1F8" w:rsidR="00993D47" w:rsidRDefault="0062274D" w:rsidP="0062274D">
            <w:pPr>
              <w:spacing w:after="24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1263" w:type="dxa"/>
            <w:vAlign w:val="center"/>
          </w:tcPr>
          <w:p w14:paraId="78F4B73A" w14:textId="5510E534" w:rsidR="00993D47" w:rsidRDefault="0062274D" w:rsidP="0062274D">
            <w:pPr>
              <w:spacing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1 650,00</w:t>
            </w:r>
          </w:p>
        </w:tc>
        <w:tc>
          <w:tcPr>
            <w:tcW w:w="1437" w:type="dxa"/>
            <w:vAlign w:val="center"/>
          </w:tcPr>
          <w:p w14:paraId="5F262D8B" w14:textId="59D5E8DA" w:rsidR="00993D47" w:rsidRDefault="0062274D" w:rsidP="0062274D">
            <w:pPr>
              <w:spacing w:after="24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4 950,00</w:t>
            </w:r>
          </w:p>
        </w:tc>
      </w:tr>
      <w:tr w:rsidR="00993D47" w14:paraId="5D8F370E" w14:textId="77777777" w:rsidTr="00655E81">
        <w:trPr>
          <w:trHeight w:val="690"/>
        </w:trPr>
        <w:tc>
          <w:tcPr>
            <w:tcW w:w="1089" w:type="dxa"/>
            <w:shd w:val="clear" w:color="auto" w:fill="D9D9D9" w:themeFill="background1" w:themeFillShade="D9"/>
          </w:tcPr>
          <w:p w14:paraId="037B998E" w14:textId="51E2BE4F" w:rsidR="00993D47" w:rsidRPr="00833AB7" w:rsidRDefault="00AA6A6A" w:rsidP="00993D47">
            <w:pPr>
              <w:jc w:val="both"/>
              <w:rPr>
                <w:rFonts w:ascii="Arial" w:hAnsi="Arial" w:cs="Arial"/>
                <w:b/>
                <w:bCs/>
              </w:rPr>
            </w:pPr>
            <w:r w:rsidRPr="00833AB7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37BE7F34" w14:textId="586BE3C2" w:rsidR="00993D47" w:rsidRPr="00833AB7" w:rsidRDefault="00AA6A6A" w:rsidP="00993D4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33AB7">
              <w:rPr>
                <w:rFonts w:ascii="Arial" w:hAnsi="Arial" w:cs="Arial"/>
                <w:b/>
                <w:bCs/>
                <w:i/>
                <w:iCs/>
              </w:rPr>
              <w:t>Hlavní celek 3 „Mapové dílo“</w:t>
            </w:r>
          </w:p>
        </w:tc>
        <w:tc>
          <w:tcPr>
            <w:tcW w:w="734" w:type="dxa"/>
            <w:vAlign w:val="center"/>
          </w:tcPr>
          <w:p w14:paraId="2222C496" w14:textId="0FB1E761" w:rsidR="00993D47" w:rsidRPr="00833AB7" w:rsidRDefault="00AA6A6A" w:rsidP="001D463D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212" w:type="dxa"/>
          </w:tcPr>
          <w:p w14:paraId="01D2844C" w14:textId="77777777" w:rsidR="00993D47" w:rsidRPr="00833AB7" w:rsidRDefault="00993D47" w:rsidP="001D463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p w14:paraId="2ADC680A" w14:textId="41EB9D43" w:rsidR="00AA6A6A" w:rsidRPr="00833AB7" w:rsidRDefault="00B46C7A" w:rsidP="001D463D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33AB7">
              <w:rPr>
                <w:rFonts w:ascii="Arial" w:eastAsia="Arial" w:hAnsi="Arial" w:cs="Arial"/>
              </w:rPr>
              <w:t>271</w:t>
            </w:r>
          </w:p>
        </w:tc>
        <w:tc>
          <w:tcPr>
            <w:tcW w:w="1323" w:type="dxa"/>
            <w:vAlign w:val="center"/>
          </w:tcPr>
          <w:p w14:paraId="64900E4A" w14:textId="06FCF487" w:rsidR="00993D47" w:rsidRDefault="00B46C7A" w:rsidP="001D463D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263" w:type="dxa"/>
            <w:vAlign w:val="center"/>
          </w:tcPr>
          <w:p w14:paraId="058111BD" w14:textId="42A1710A" w:rsidR="00993D47" w:rsidRDefault="00B46C7A" w:rsidP="001D463D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286</w:t>
            </w:r>
            <w:r w:rsidR="006677A3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437" w:type="dxa"/>
            <w:vAlign w:val="center"/>
          </w:tcPr>
          <w:p w14:paraId="439245DE" w14:textId="673417A3" w:rsidR="00993D47" w:rsidRDefault="006677A3" w:rsidP="001D463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572,00</w:t>
            </w:r>
          </w:p>
        </w:tc>
      </w:tr>
      <w:tr w:rsidR="00993D47" w14:paraId="28FE01F0" w14:textId="77777777" w:rsidTr="00655E81">
        <w:trPr>
          <w:trHeight w:val="705"/>
        </w:trPr>
        <w:tc>
          <w:tcPr>
            <w:tcW w:w="1089" w:type="dxa"/>
          </w:tcPr>
          <w:p w14:paraId="55267F73" w14:textId="77777777" w:rsidR="00993D47" w:rsidRPr="00833AB7" w:rsidRDefault="00993D47" w:rsidP="00993D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0F43E9C" w14:textId="4F75644A" w:rsidR="00993D47" w:rsidRPr="00833AB7" w:rsidRDefault="00993D47" w:rsidP="00993D47">
            <w:pPr>
              <w:rPr>
                <w:rFonts w:ascii="Arial" w:hAnsi="Arial" w:cs="Arial"/>
              </w:rPr>
            </w:pPr>
            <w:r w:rsidRPr="00833AB7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734" w:type="dxa"/>
            <w:vAlign w:val="center"/>
          </w:tcPr>
          <w:p w14:paraId="7512CCB9" w14:textId="77777777" w:rsidR="00993D47" w:rsidRPr="00833AB7" w:rsidRDefault="00993D47" w:rsidP="00993D4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</w:tcPr>
          <w:p w14:paraId="6D44BE2E" w14:textId="77777777" w:rsidR="00993D47" w:rsidRPr="00833AB7" w:rsidRDefault="00993D47" w:rsidP="00993D4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0140D6FD" w14:textId="77777777" w:rsidR="00993D47" w:rsidRDefault="00993D47" w:rsidP="00993D4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63" w:type="dxa"/>
            <w:vAlign w:val="center"/>
          </w:tcPr>
          <w:p w14:paraId="00AA998F" w14:textId="77777777" w:rsidR="00993D47" w:rsidRDefault="00993D47" w:rsidP="00993D4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2BD1C1A1" w14:textId="4518FC46" w:rsidR="00993D47" w:rsidRDefault="002E4A7E" w:rsidP="00993D4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35 902,00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13063EEC" w14:textId="3EDAFB73" w:rsidR="00C12C54" w:rsidRPr="00FE53D4" w:rsidRDefault="00DF6A64" w:rsidP="00FE53D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B270E0" w:rsidRPr="008B1614">
        <w:rPr>
          <w:rFonts w:ascii="Arial" w:hAnsi="Arial" w:cs="Arial"/>
        </w:rPr>
        <w:t xml:space="preserve">činí </w:t>
      </w:r>
      <w:r w:rsidR="00B270E0">
        <w:rPr>
          <w:rFonts w:ascii="Arial" w:hAnsi="Arial" w:cs="Arial"/>
          <w:b/>
          <w:bCs/>
        </w:rPr>
        <w:t>35 902,00</w:t>
      </w:r>
      <w:r w:rsidRPr="008B1614">
        <w:rPr>
          <w:rFonts w:ascii="Arial" w:hAnsi="Arial" w:cs="Arial"/>
        </w:rPr>
        <w:t xml:space="preserve"> Kč bez DPH</w:t>
      </w:r>
      <w:r w:rsidR="00FE53D4">
        <w:rPr>
          <w:rFonts w:ascii="Arial" w:hAnsi="Arial" w:cs="Arial"/>
        </w:rPr>
        <w:t>,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2E589C6" w14:textId="21BC1C2D" w:rsidR="00DF6A64" w:rsidRPr="00B270E0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>Celkově se cena díla po změnách</w:t>
      </w:r>
      <w:r w:rsidR="00FE53D4">
        <w:rPr>
          <w:rFonts w:ascii="Arial" w:hAnsi="Arial" w:cs="Arial"/>
          <w:b/>
          <w:bCs/>
        </w:rPr>
        <w:t xml:space="preserve"> </w:t>
      </w:r>
      <w:r w:rsidR="00C060EA" w:rsidRPr="00B270E0">
        <w:rPr>
          <w:rFonts w:ascii="Arial" w:hAnsi="Arial" w:cs="Arial"/>
          <w:b/>
          <w:bCs/>
        </w:rPr>
        <w:t>zvýší</w:t>
      </w:r>
      <w:r w:rsidRPr="00B270E0">
        <w:rPr>
          <w:rFonts w:ascii="Arial" w:hAnsi="Arial" w:cs="Arial"/>
          <w:b/>
          <w:bCs/>
        </w:rPr>
        <w:t xml:space="preserve"> o </w:t>
      </w:r>
      <w:r w:rsidR="00B270E0" w:rsidRPr="00B270E0">
        <w:rPr>
          <w:rFonts w:ascii="Arial" w:hAnsi="Arial" w:cs="Arial"/>
          <w:b/>
          <w:bCs/>
        </w:rPr>
        <w:t>35 902,00</w:t>
      </w:r>
      <w:r w:rsidRPr="00B270E0">
        <w:rPr>
          <w:rFonts w:ascii="Arial" w:hAnsi="Arial" w:cs="Arial"/>
          <w:b/>
          <w:bCs/>
        </w:rPr>
        <w:t xml:space="preserve"> Kč bez DPH</w:t>
      </w:r>
      <w:r w:rsidR="00F449C4" w:rsidRPr="00B270E0">
        <w:rPr>
          <w:rFonts w:ascii="Arial" w:hAnsi="Arial" w:cs="Arial"/>
          <w:b/>
          <w:bCs/>
        </w:rPr>
        <w:t>.</w:t>
      </w:r>
      <w:r w:rsidR="003A266D" w:rsidRPr="00B270E0">
        <w:rPr>
          <w:rFonts w:ascii="Arial" w:hAnsi="Arial" w:cs="Arial"/>
          <w:b/>
          <w:bCs/>
        </w:rPr>
        <w:t xml:space="preserve"> </w:t>
      </w:r>
    </w:p>
    <w:p w14:paraId="3D6955F7" w14:textId="7FC23401" w:rsidR="00053341" w:rsidRPr="00053341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2044D374" w14:textId="77777777" w:rsidR="00EE4D1B" w:rsidRDefault="00EE4D1B" w:rsidP="00DF6A64">
      <w:pPr>
        <w:rPr>
          <w:rFonts w:ascii="Arial" w:hAnsi="Arial" w:cs="Arial"/>
          <w:b/>
          <w:bCs/>
          <w:u w:val="single"/>
        </w:rPr>
      </w:pPr>
    </w:p>
    <w:p w14:paraId="11EF9B0A" w14:textId="4DF08C57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6B6FFBE9" w14:textId="77777777" w:rsidR="00EE4D1B" w:rsidRDefault="00A241D4" w:rsidP="00A241D4">
      <w:pPr>
        <w:spacing w:after="0"/>
        <w:jc w:val="both"/>
        <w:rPr>
          <w:rFonts w:ascii="Arial" w:hAnsi="Arial" w:cs="Arial"/>
        </w:rPr>
      </w:pPr>
      <w:bookmarkStart w:id="4" w:name="_Hlk215054031"/>
      <w:r w:rsidRPr="00B43C5B">
        <w:rPr>
          <w:rFonts w:ascii="Arial" w:hAnsi="Arial" w:cs="Arial"/>
        </w:rPr>
        <w:t xml:space="preserve">V souladu se Smlouvou na KoPÚ </w:t>
      </w:r>
      <w:r w:rsidR="00CF7B1B">
        <w:rPr>
          <w:rFonts w:ascii="Arial" w:hAnsi="Arial" w:cs="Arial"/>
        </w:rPr>
        <w:t>Ouběnice u Dobříše</w:t>
      </w:r>
      <w:r w:rsidRPr="00B43C5B">
        <w:rPr>
          <w:rFonts w:ascii="Arial" w:hAnsi="Arial" w:cs="Arial"/>
        </w:rPr>
        <w:t xml:space="preserve"> Zhotovitel zaslal </w:t>
      </w:r>
      <w:r w:rsidR="00B633EE">
        <w:rPr>
          <w:rFonts w:ascii="Arial" w:hAnsi="Arial" w:cs="Arial"/>
        </w:rPr>
        <w:t>P</w:t>
      </w:r>
      <w:r w:rsidRPr="00B43C5B">
        <w:rPr>
          <w:rFonts w:ascii="Arial" w:hAnsi="Arial" w:cs="Arial"/>
        </w:rPr>
        <w:t xml:space="preserve">obočce Příbram žádost, která byla zaevidována u Státního pozemkového úřadu dne </w:t>
      </w:r>
      <w:r w:rsidR="00CF7B1B">
        <w:rPr>
          <w:rFonts w:ascii="Arial" w:hAnsi="Arial" w:cs="Arial"/>
        </w:rPr>
        <w:t>1. 4. 2026</w:t>
      </w:r>
      <w:r w:rsidRPr="00B43C5B">
        <w:rPr>
          <w:rFonts w:ascii="Arial" w:hAnsi="Arial" w:cs="Arial"/>
        </w:rPr>
        <w:t xml:space="preserve"> pod č.j. SPU </w:t>
      </w:r>
      <w:r w:rsidR="004D13AF">
        <w:rPr>
          <w:rFonts w:ascii="Arial" w:hAnsi="Arial" w:cs="Arial"/>
        </w:rPr>
        <w:t>128083/202</w:t>
      </w:r>
      <w:r w:rsidR="00E57C46">
        <w:rPr>
          <w:rFonts w:ascii="Arial" w:hAnsi="Arial" w:cs="Arial"/>
        </w:rPr>
        <w:t>6</w:t>
      </w:r>
      <w:r w:rsidR="00FD4539">
        <w:rPr>
          <w:rFonts w:ascii="Arial" w:hAnsi="Arial" w:cs="Arial"/>
        </w:rPr>
        <w:t>,</w:t>
      </w:r>
      <w:r w:rsidR="00705835" w:rsidRPr="00705835">
        <w:rPr>
          <w:rFonts w:ascii="Arial" w:hAnsi="Arial" w:cs="Arial"/>
        </w:rPr>
        <w:t xml:space="preserve"> </w:t>
      </w:r>
      <w:r w:rsidR="00705835" w:rsidRPr="00566F4B">
        <w:rPr>
          <w:rFonts w:ascii="Arial" w:hAnsi="Arial" w:cs="Arial"/>
        </w:rPr>
        <w:t xml:space="preserve">a dále </w:t>
      </w:r>
      <w:r w:rsidR="00705835">
        <w:rPr>
          <w:rFonts w:ascii="Arial" w:hAnsi="Arial" w:cs="Arial"/>
        </w:rPr>
        <w:t xml:space="preserve">byla </w:t>
      </w:r>
      <w:r w:rsidR="00705835" w:rsidRPr="00566F4B">
        <w:rPr>
          <w:rFonts w:ascii="Arial" w:hAnsi="Arial" w:cs="Arial"/>
        </w:rPr>
        <w:t>upřesněn</w:t>
      </w:r>
      <w:r w:rsidR="00705835">
        <w:rPr>
          <w:rFonts w:ascii="Arial" w:hAnsi="Arial" w:cs="Arial"/>
        </w:rPr>
        <w:t>a</w:t>
      </w:r>
      <w:r w:rsidR="00705835" w:rsidRPr="00566F4B">
        <w:rPr>
          <w:rFonts w:ascii="Arial" w:hAnsi="Arial" w:cs="Arial"/>
        </w:rPr>
        <w:t xml:space="preserve"> dne</w:t>
      </w:r>
      <w:r w:rsidR="00705835">
        <w:rPr>
          <w:rFonts w:ascii="Arial" w:hAnsi="Arial" w:cs="Arial"/>
        </w:rPr>
        <w:t xml:space="preserve"> 10. 4. 2026 pod č.j. SPU 139427/2026</w:t>
      </w:r>
      <w:r w:rsidR="00C760AA">
        <w:rPr>
          <w:rFonts w:ascii="Arial" w:hAnsi="Arial" w:cs="Arial"/>
        </w:rPr>
        <w:t>,</w:t>
      </w:r>
      <w:r w:rsidRPr="00B43C5B">
        <w:rPr>
          <w:rFonts w:ascii="Arial" w:hAnsi="Arial" w:cs="Arial"/>
        </w:rPr>
        <w:t xml:space="preserve"> </w:t>
      </w:r>
      <w:r w:rsidRPr="004D13AF">
        <w:rPr>
          <w:rFonts w:ascii="Arial" w:hAnsi="Arial" w:cs="Arial"/>
        </w:rPr>
        <w:t xml:space="preserve">týkající se navýšení počtu měrných </w:t>
      </w:r>
    </w:p>
    <w:p w14:paraId="604DDC76" w14:textId="77777777" w:rsidR="00EE4D1B" w:rsidRDefault="00EE4D1B" w:rsidP="00A241D4">
      <w:pPr>
        <w:spacing w:after="0"/>
        <w:jc w:val="both"/>
        <w:rPr>
          <w:rFonts w:ascii="Arial" w:hAnsi="Arial" w:cs="Arial"/>
        </w:rPr>
      </w:pPr>
    </w:p>
    <w:p w14:paraId="01B60B28" w14:textId="2AE55603" w:rsidR="00B665BC" w:rsidRDefault="00A241D4" w:rsidP="00A241D4">
      <w:pPr>
        <w:spacing w:after="0"/>
        <w:jc w:val="both"/>
        <w:rPr>
          <w:rFonts w:ascii="Arial" w:hAnsi="Arial" w:cs="Arial"/>
        </w:rPr>
      </w:pPr>
      <w:r w:rsidRPr="004D13AF">
        <w:rPr>
          <w:rFonts w:ascii="Arial" w:hAnsi="Arial" w:cs="Arial"/>
        </w:rPr>
        <w:t xml:space="preserve">jednotek spojených s vícepracemi, které vyplynuly </w:t>
      </w:r>
      <w:r w:rsidR="00187483">
        <w:rPr>
          <w:rFonts w:ascii="Arial" w:hAnsi="Arial" w:cs="Arial"/>
        </w:rPr>
        <w:t>na základě žádost</w:t>
      </w:r>
      <w:r w:rsidR="000E187C">
        <w:rPr>
          <w:rFonts w:ascii="Arial" w:hAnsi="Arial" w:cs="Arial"/>
        </w:rPr>
        <w:t>í</w:t>
      </w:r>
      <w:r w:rsidR="009A0C34">
        <w:rPr>
          <w:rFonts w:ascii="Arial" w:hAnsi="Arial" w:cs="Arial"/>
        </w:rPr>
        <w:t xml:space="preserve"> </w:t>
      </w:r>
      <w:r w:rsidR="003546AB">
        <w:rPr>
          <w:rFonts w:ascii="Arial" w:hAnsi="Arial" w:cs="Arial"/>
        </w:rPr>
        <w:t xml:space="preserve">o úpravu katastrální hranice mezi k.ú. Druhlice a k.ú. Ouběnice u Dobříše v rámci komplexních pozemkových úprav od </w:t>
      </w:r>
      <w:r w:rsidR="009A0C34">
        <w:rPr>
          <w:rFonts w:ascii="Arial" w:hAnsi="Arial" w:cs="Arial"/>
        </w:rPr>
        <w:t>Obce</w:t>
      </w:r>
      <w:r w:rsidR="000E187C">
        <w:rPr>
          <w:rFonts w:ascii="Arial" w:hAnsi="Arial" w:cs="Arial"/>
        </w:rPr>
        <w:t xml:space="preserve"> Daleké </w:t>
      </w:r>
      <w:r w:rsidR="0019159D">
        <w:rPr>
          <w:rFonts w:ascii="Arial" w:hAnsi="Arial" w:cs="Arial"/>
        </w:rPr>
        <w:t>D</w:t>
      </w:r>
      <w:r w:rsidR="000E187C">
        <w:rPr>
          <w:rFonts w:ascii="Arial" w:hAnsi="Arial" w:cs="Arial"/>
        </w:rPr>
        <w:t>ušníky</w:t>
      </w:r>
      <w:r w:rsidR="008B4CA1">
        <w:rPr>
          <w:rFonts w:ascii="Arial" w:hAnsi="Arial" w:cs="Arial"/>
        </w:rPr>
        <w:t xml:space="preserve"> a Obce </w:t>
      </w:r>
      <w:r w:rsidR="0019159D">
        <w:rPr>
          <w:rFonts w:ascii="Arial" w:hAnsi="Arial" w:cs="Arial"/>
        </w:rPr>
        <w:t>Ouběnice</w:t>
      </w:r>
      <w:r w:rsidR="008B4CA1">
        <w:rPr>
          <w:rFonts w:ascii="Arial" w:hAnsi="Arial" w:cs="Arial"/>
        </w:rPr>
        <w:t>, které byly zaevidovány</w:t>
      </w:r>
      <w:r w:rsidR="008518AA" w:rsidRPr="008518AA">
        <w:rPr>
          <w:rFonts w:ascii="Arial" w:hAnsi="Arial" w:cs="Arial"/>
        </w:rPr>
        <w:t xml:space="preserve"> </w:t>
      </w:r>
      <w:r w:rsidR="008518AA" w:rsidRPr="00B43C5B">
        <w:rPr>
          <w:rFonts w:ascii="Arial" w:hAnsi="Arial" w:cs="Arial"/>
        </w:rPr>
        <w:t>u Státního pozemkového úřadu</w:t>
      </w:r>
      <w:r w:rsidR="008B4CA1">
        <w:rPr>
          <w:rFonts w:ascii="Arial" w:hAnsi="Arial" w:cs="Arial"/>
        </w:rPr>
        <w:t xml:space="preserve"> dne </w:t>
      </w:r>
      <w:r w:rsidR="00B62AAE">
        <w:rPr>
          <w:rFonts w:ascii="Arial" w:hAnsi="Arial" w:cs="Arial"/>
        </w:rPr>
        <w:t xml:space="preserve">         </w:t>
      </w:r>
      <w:r w:rsidR="008B4CA1">
        <w:rPr>
          <w:rFonts w:ascii="Arial" w:hAnsi="Arial" w:cs="Arial"/>
        </w:rPr>
        <w:t>2</w:t>
      </w:r>
      <w:r w:rsidR="00185432">
        <w:rPr>
          <w:rFonts w:ascii="Arial" w:hAnsi="Arial" w:cs="Arial"/>
        </w:rPr>
        <w:t>6.</w:t>
      </w:r>
      <w:r w:rsidR="0019159D">
        <w:rPr>
          <w:rFonts w:ascii="Arial" w:hAnsi="Arial" w:cs="Arial"/>
        </w:rPr>
        <w:t xml:space="preserve"> </w:t>
      </w:r>
      <w:r w:rsidR="00185432">
        <w:rPr>
          <w:rFonts w:ascii="Arial" w:hAnsi="Arial" w:cs="Arial"/>
        </w:rPr>
        <w:t>2.</w:t>
      </w:r>
      <w:r w:rsidR="0019159D">
        <w:rPr>
          <w:rFonts w:ascii="Arial" w:hAnsi="Arial" w:cs="Arial"/>
        </w:rPr>
        <w:t xml:space="preserve"> </w:t>
      </w:r>
      <w:r w:rsidR="00185432">
        <w:rPr>
          <w:rFonts w:ascii="Arial" w:hAnsi="Arial" w:cs="Arial"/>
        </w:rPr>
        <w:t>2026</w:t>
      </w:r>
      <w:r w:rsidR="008B4CA1">
        <w:rPr>
          <w:rFonts w:ascii="Arial" w:hAnsi="Arial" w:cs="Arial"/>
        </w:rPr>
        <w:t xml:space="preserve"> pod č.j. </w:t>
      </w:r>
      <w:r w:rsidR="00E74D5E">
        <w:rPr>
          <w:rFonts w:ascii="Arial" w:hAnsi="Arial" w:cs="Arial"/>
        </w:rPr>
        <w:t>SPU 072571/2026</w:t>
      </w:r>
      <w:r w:rsidR="0019371B">
        <w:rPr>
          <w:rFonts w:ascii="Arial" w:hAnsi="Arial" w:cs="Arial"/>
        </w:rPr>
        <w:t xml:space="preserve"> </w:t>
      </w:r>
      <w:r w:rsidR="00B557D4">
        <w:rPr>
          <w:rFonts w:ascii="Arial" w:hAnsi="Arial" w:cs="Arial"/>
        </w:rPr>
        <w:t>a pod</w:t>
      </w:r>
      <w:r w:rsidR="00161448">
        <w:rPr>
          <w:rFonts w:ascii="Arial" w:hAnsi="Arial" w:cs="Arial"/>
        </w:rPr>
        <w:t xml:space="preserve"> č.j. SPU 073756/2026</w:t>
      </w:r>
      <w:r w:rsidR="00BB44D7">
        <w:rPr>
          <w:rFonts w:ascii="Arial" w:hAnsi="Arial" w:cs="Arial"/>
        </w:rPr>
        <w:t>.</w:t>
      </w:r>
    </w:p>
    <w:p w14:paraId="205098E7" w14:textId="77777777" w:rsidR="00D35AF2" w:rsidRDefault="00D35AF2" w:rsidP="00D35AF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Stávající průběh části katastrální hranice vede přes areál a budovy místního zemědělského družstva a zasahuje rovněž do přilehlých zahrad, což způsobuje komplikace při správě nemovitostí, evidenci pozemků i při výkonu vlastnických práv.</w:t>
      </w:r>
    </w:p>
    <w:p w14:paraId="289BE3E5" w14:textId="77777777" w:rsidR="00053341" w:rsidRDefault="00307B1E" w:rsidP="000533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Úpravou</w:t>
      </w:r>
      <w:r w:rsidR="00F80322">
        <w:rPr>
          <w:rFonts w:ascii="Arial" w:hAnsi="Arial" w:cs="Arial"/>
        </w:rPr>
        <w:t xml:space="preserve"> katastrální hranice</w:t>
      </w:r>
      <w:r w:rsidR="00550B16">
        <w:rPr>
          <w:rFonts w:ascii="Arial" w:hAnsi="Arial" w:cs="Arial"/>
        </w:rPr>
        <w:t xml:space="preserve"> </w:t>
      </w:r>
      <w:r w:rsidR="00492E5D">
        <w:rPr>
          <w:rFonts w:ascii="Arial" w:hAnsi="Arial" w:cs="Arial"/>
        </w:rPr>
        <w:t>dojde</w:t>
      </w:r>
      <w:r w:rsidR="00F977CC">
        <w:rPr>
          <w:rFonts w:ascii="Arial" w:hAnsi="Arial" w:cs="Arial"/>
        </w:rPr>
        <w:t xml:space="preserve"> k novému logickému </w:t>
      </w:r>
      <w:r w:rsidR="006000B4">
        <w:rPr>
          <w:rFonts w:ascii="Arial" w:hAnsi="Arial" w:cs="Arial"/>
        </w:rPr>
        <w:t>uspořádání území</w:t>
      </w:r>
      <w:r w:rsidR="00F977CC">
        <w:rPr>
          <w:rFonts w:ascii="Arial" w:hAnsi="Arial" w:cs="Arial"/>
        </w:rPr>
        <w:t xml:space="preserve"> za </w:t>
      </w:r>
      <w:r w:rsidR="0004417E">
        <w:rPr>
          <w:rFonts w:ascii="Arial" w:hAnsi="Arial" w:cs="Arial"/>
        </w:rPr>
        <w:t>účelem</w:t>
      </w:r>
      <w:r w:rsidR="00F977CC">
        <w:rPr>
          <w:rFonts w:ascii="Arial" w:hAnsi="Arial" w:cs="Arial"/>
        </w:rPr>
        <w:t xml:space="preserve"> dosažení </w:t>
      </w:r>
      <w:r w:rsidR="00436017">
        <w:rPr>
          <w:rFonts w:ascii="Arial" w:hAnsi="Arial" w:cs="Arial"/>
        </w:rPr>
        <w:t>územní celistvosti obou obcí</w:t>
      </w:r>
      <w:r w:rsidR="00C30C63">
        <w:rPr>
          <w:rFonts w:ascii="Arial" w:hAnsi="Arial" w:cs="Arial"/>
        </w:rPr>
        <w:t xml:space="preserve">. V souvislosti s tím je nezbytné provést doměření </w:t>
      </w:r>
      <w:r w:rsidR="0004417E">
        <w:rPr>
          <w:rFonts w:ascii="Arial" w:hAnsi="Arial" w:cs="Arial"/>
        </w:rPr>
        <w:t>polohopisu</w:t>
      </w:r>
      <w:r w:rsidR="00C30C63">
        <w:rPr>
          <w:rFonts w:ascii="Arial" w:hAnsi="Arial" w:cs="Arial"/>
        </w:rPr>
        <w:t xml:space="preserve"> </w:t>
      </w:r>
      <w:r w:rsidR="0004417E">
        <w:rPr>
          <w:rFonts w:ascii="Arial" w:hAnsi="Arial" w:cs="Arial"/>
        </w:rPr>
        <w:t>v obvodu KoPÚ a nové došetření průběhu hranic pozemků na obvodu KoPÚ</w:t>
      </w:r>
      <w:r w:rsidR="004145A4">
        <w:rPr>
          <w:rFonts w:ascii="Arial" w:hAnsi="Arial" w:cs="Arial"/>
        </w:rPr>
        <w:t>.</w:t>
      </w:r>
    </w:p>
    <w:p w14:paraId="237814B2" w14:textId="77777777" w:rsidR="00B557D4" w:rsidRDefault="00B557D4" w:rsidP="00053341">
      <w:pPr>
        <w:spacing w:after="0"/>
        <w:jc w:val="both"/>
        <w:rPr>
          <w:rFonts w:ascii="Arial" w:hAnsi="Arial" w:cs="Arial"/>
        </w:rPr>
      </w:pPr>
    </w:p>
    <w:p w14:paraId="39CF75C5" w14:textId="276A0057" w:rsidR="00860B42" w:rsidRDefault="00860B42" w:rsidP="000533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Navrhovaný postup je v souladu s § 2 zákona č. 139/2002 Sb., o pozemkových úpravách a pozemkových úřadech, ve znění pozdějších předpisů, jejíž cílem je prostorové a funkční uspořádání pozemků, scelení vlastnictví a odstranění nesouladů mezi evidovaným a skutečným stavem.</w:t>
      </w:r>
    </w:p>
    <w:p w14:paraId="7E0BD431" w14:textId="77777777" w:rsidR="00753142" w:rsidRDefault="00753142" w:rsidP="00A241D4">
      <w:pPr>
        <w:spacing w:after="0"/>
        <w:jc w:val="both"/>
        <w:rPr>
          <w:rFonts w:ascii="Arial" w:hAnsi="Arial" w:cs="Arial"/>
        </w:rPr>
      </w:pPr>
    </w:p>
    <w:p w14:paraId="2B3B88F8" w14:textId="172730F2" w:rsidR="00753142" w:rsidRPr="00753142" w:rsidRDefault="00753142" w:rsidP="00EF4357">
      <w:pPr>
        <w:spacing w:after="0"/>
        <w:jc w:val="both"/>
        <w:rPr>
          <w:rFonts w:ascii="Arial" w:hAnsi="Arial" w:cs="Arial"/>
        </w:rPr>
      </w:pPr>
      <w:r w:rsidRPr="00753142">
        <w:rPr>
          <w:rFonts w:ascii="Arial" w:hAnsi="Arial" w:cs="Arial"/>
        </w:rPr>
        <w:t>Z tohoto důvodu je nutné znovu realizovat dílčí části Hlavního celku 6.2.2, 6.2.4</w:t>
      </w:r>
      <w:r w:rsidRPr="00A3100A">
        <w:rPr>
          <w:rFonts w:ascii="Arial" w:hAnsi="Arial" w:cs="Arial"/>
        </w:rPr>
        <w:t>,</w:t>
      </w:r>
      <w:r w:rsidR="00A3100A">
        <w:rPr>
          <w:rFonts w:ascii="Arial" w:hAnsi="Arial" w:cs="Arial"/>
        </w:rPr>
        <w:t xml:space="preserve"> </w:t>
      </w:r>
      <w:r w:rsidRPr="00753142">
        <w:rPr>
          <w:rFonts w:ascii="Arial" w:hAnsi="Arial" w:cs="Arial"/>
        </w:rPr>
        <w:t>které budou</w:t>
      </w:r>
      <w:r w:rsidRPr="00A3100A">
        <w:rPr>
          <w:rFonts w:ascii="Arial" w:hAnsi="Arial" w:cs="Arial"/>
        </w:rPr>
        <w:t xml:space="preserve"> </w:t>
      </w:r>
      <w:r w:rsidR="000D3BBC" w:rsidRPr="00753142">
        <w:rPr>
          <w:rFonts w:ascii="Arial" w:hAnsi="Arial" w:cs="Arial"/>
        </w:rPr>
        <w:t>rozšířené</w:t>
      </w:r>
      <w:r w:rsidR="000D3BBC">
        <w:rPr>
          <w:rFonts w:ascii="Arial" w:hAnsi="Arial" w:cs="Arial"/>
        </w:rPr>
        <w:t xml:space="preserve"> </w:t>
      </w:r>
      <w:r w:rsidR="000D3BBC" w:rsidRPr="00753142">
        <w:rPr>
          <w:rFonts w:ascii="Arial" w:hAnsi="Arial" w:cs="Arial"/>
        </w:rPr>
        <w:t>o</w:t>
      </w:r>
      <w:r w:rsidRPr="00753142">
        <w:rPr>
          <w:rFonts w:ascii="Arial" w:hAnsi="Arial" w:cs="Arial"/>
        </w:rPr>
        <w:t xml:space="preserve"> dílčí část</w:t>
      </w:r>
      <w:r w:rsidR="007A3D58">
        <w:rPr>
          <w:rFonts w:ascii="Arial" w:hAnsi="Arial" w:cs="Arial"/>
        </w:rPr>
        <w:t>i</w:t>
      </w:r>
      <w:r w:rsidRPr="00753142">
        <w:rPr>
          <w:rFonts w:ascii="Arial" w:hAnsi="Arial" w:cs="Arial"/>
        </w:rPr>
        <w:t xml:space="preserve"> Hlavního celku 6.2.2 a), 6.2.4 a</w:t>
      </w:r>
      <w:r w:rsidR="00EF4357" w:rsidRPr="00A3100A">
        <w:rPr>
          <w:rFonts w:ascii="Arial" w:hAnsi="Arial" w:cs="Arial"/>
        </w:rPr>
        <w:t xml:space="preserve">) </w:t>
      </w:r>
      <w:r w:rsidRPr="00753142">
        <w:rPr>
          <w:rFonts w:ascii="Arial" w:hAnsi="Arial" w:cs="Arial"/>
        </w:rPr>
        <w:t>a dále dojde k navýšení počtu měrných</w:t>
      </w:r>
      <w:r w:rsidR="00A3100A">
        <w:rPr>
          <w:rFonts w:ascii="Arial" w:hAnsi="Arial" w:cs="Arial"/>
        </w:rPr>
        <w:t xml:space="preserve"> </w:t>
      </w:r>
      <w:r w:rsidRPr="00753142">
        <w:rPr>
          <w:rFonts w:ascii="Arial" w:hAnsi="Arial" w:cs="Arial"/>
        </w:rPr>
        <w:t>jednotek u dílčích částí Hlavního celku 6.3.1, 6.3.2 a u Hlavního celku 3 „Mapové dílo“</w:t>
      </w:r>
      <w:r w:rsidR="00340DB8">
        <w:rPr>
          <w:rFonts w:ascii="Arial" w:hAnsi="Arial" w:cs="Arial"/>
        </w:rPr>
        <w:t xml:space="preserve"> </w:t>
      </w:r>
      <w:r w:rsidR="00340DB8" w:rsidRPr="00340DB8">
        <w:rPr>
          <w:rFonts w:ascii="Arial" w:hAnsi="Arial" w:cs="Arial"/>
        </w:rPr>
        <w:t xml:space="preserve">v rámci víceprací, aby mohlo dojít k dokončení KoPÚ </w:t>
      </w:r>
      <w:r w:rsidR="00340DB8">
        <w:rPr>
          <w:rFonts w:ascii="Arial" w:hAnsi="Arial" w:cs="Arial"/>
        </w:rPr>
        <w:t>Ouběnice u Dobříše</w:t>
      </w:r>
      <w:r w:rsidR="00340DB8" w:rsidRPr="00340DB8">
        <w:rPr>
          <w:rFonts w:ascii="Arial" w:hAnsi="Arial" w:cs="Arial"/>
        </w:rPr>
        <w:t>.</w:t>
      </w:r>
    </w:p>
    <w:p w14:paraId="4EC98DB7" w14:textId="77777777" w:rsidR="00A241D4" w:rsidRDefault="00A241D4" w:rsidP="00A241D4">
      <w:pPr>
        <w:spacing w:after="0"/>
        <w:jc w:val="both"/>
        <w:rPr>
          <w:rFonts w:ascii="Arial" w:hAnsi="Arial" w:cs="Arial"/>
          <w:color w:val="FF0000"/>
        </w:rPr>
      </w:pPr>
    </w:p>
    <w:bookmarkEnd w:id="4"/>
    <w:p w14:paraId="26C8EC5A" w14:textId="1D2511E6" w:rsidR="00C50715" w:rsidRPr="00C50715" w:rsidRDefault="00C50715" w:rsidP="00D4696D">
      <w:pPr>
        <w:pStyle w:val="Level2"/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C50715">
        <w:rPr>
          <w:rFonts w:ascii="Arial" w:hAnsi="Arial" w:cs="Arial"/>
          <w:bCs/>
        </w:rPr>
        <w:t>Stanovení ceny na znovu realizovanou dílčí část Hlavního celku 6.2.4 a) byl použit průzkum trhu,</w:t>
      </w:r>
      <w:r w:rsidR="00D4696D">
        <w:rPr>
          <w:rFonts w:ascii="Arial" w:hAnsi="Arial" w:cs="Arial"/>
          <w:bCs/>
        </w:rPr>
        <w:t xml:space="preserve"> </w:t>
      </w:r>
      <w:r w:rsidRPr="00C50715">
        <w:rPr>
          <w:rFonts w:ascii="Arial" w:hAnsi="Arial" w:cs="Arial"/>
          <w:bCs/>
        </w:rPr>
        <w:t xml:space="preserve">který byl podkladem pro uzavření Dodatku č. 5 pro KoPÚ </w:t>
      </w:r>
      <w:r w:rsidR="00B62AAE" w:rsidRPr="00C50715">
        <w:rPr>
          <w:rFonts w:ascii="Arial" w:hAnsi="Arial" w:cs="Arial"/>
          <w:bCs/>
        </w:rPr>
        <w:t>Milín</w:t>
      </w:r>
      <w:r w:rsidRPr="00C50715">
        <w:rPr>
          <w:rFonts w:ascii="Arial" w:hAnsi="Arial" w:cs="Arial"/>
          <w:bCs/>
        </w:rPr>
        <w:t>. Průzkum trhu byl proveden ve smyslu čl. 17.2 Smlouvy, ve kterém bylo osloveno sedm zhotovitelů komplexních pozemkových úprav s požadavkem na ocenění výše uvedenou položku. Čtyři zhotovitelé na požadavek ocenění měrných jednotek neodpověděli a tři zhotovitelé položku nacenili.</w:t>
      </w:r>
    </w:p>
    <w:p w14:paraId="59A36F94" w14:textId="05200367" w:rsidR="003149D5" w:rsidRDefault="00C50715" w:rsidP="00C5071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r w:rsidRPr="00C50715">
        <w:rPr>
          <w:rFonts w:ascii="Arial" w:hAnsi="Arial" w:cs="Arial"/>
          <w:bCs/>
        </w:rPr>
        <w:t>Dílčí část Hlavního celku 6.2.4 a) navrhovaná Zhotovitelem 6 000,00 Kč bez DPH za 1 měrnou jednotku. Průměr průzkumu trhu 12 667,00 Kč bez DPH za 1 měrnou jednotku. Průměrná cena z tohoto průzkumu trhu je však vyšší za 1 měrnou jednotku než ta, kterou navrhuje Zhotovitel KoPÚ Ouběnice u Dobříše ve své žádosti.</w:t>
      </w:r>
    </w:p>
    <w:p w14:paraId="6F9EEDF4" w14:textId="77777777" w:rsidR="00450DBB" w:rsidRDefault="00450DBB" w:rsidP="00C5071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4539AD43" w14:textId="64C7A21F" w:rsidR="00953816" w:rsidRDefault="00953816" w:rsidP="00953816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</w:t>
      </w:r>
      <w:r>
        <w:rPr>
          <w:rFonts w:ascii="Arial" w:hAnsi="Arial" w:cs="Arial"/>
          <w:bCs/>
        </w:rPr>
        <w:t xml:space="preserve">ech </w:t>
      </w:r>
      <w:r w:rsidRPr="005F3A6D">
        <w:rPr>
          <w:rFonts w:ascii="Arial" w:hAnsi="Arial" w:cs="Arial"/>
          <w:bCs/>
        </w:rPr>
        <w:t>změn</w:t>
      </w:r>
      <w:r>
        <w:rPr>
          <w:rFonts w:ascii="Arial" w:hAnsi="Arial" w:cs="Arial"/>
          <w:bCs/>
        </w:rPr>
        <w:t xml:space="preserve">, i dříve provedených </w:t>
      </w:r>
      <w:r w:rsidRPr="002C6293">
        <w:rPr>
          <w:rFonts w:ascii="Arial" w:hAnsi="Arial" w:cs="Arial"/>
          <w:bCs/>
        </w:rPr>
        <w:t>(</w:t>
      </w:r>
      <w:r w:rsidR="00554E00">
        <w:rPr>
          <w:rFonts w:ascii="Arial" w:hAnsi="Arial" w:cs="Arial"/>
          <w:bCs/>
        </w:rPr>
        <w:t>dodatek</w:t>
      </w:r>
      <w:r w:rsidRPr="008268C2">
        <w:rPr>
          <w:rFonts w:ascii="Arial" w:hAnsi="Arial" w:cs="Arial"/>
          <w:bCs/>
        </w:rPr>
        <w:t xml:space="preserve"> č. </w:t>
      </w:r>
      <w:r w:rsidR="008268C2" w:rsidRPr="008268C2">
        <w:rPr>
          <w:rFonts w:ascii="Arial" w:hAnsi="Arial" w:cs="Arial"/>
          <w:bCs/>
        </w:rPr>
        <w:t>3</w:t>
      </w:r>
      <w:r w:rsidRPr="002C6293">
        <w:rPr>
          <w:rFonts w:ascii="Arial" w:hAnsi="Arial" w:cs="Arial"/>
          <w:bCs/>
        </w:rPr>
        <w:t>),</w:t>
      </w:r>
      <w:r w:rsidRPr="005F3A6D">
        <w:rPr>
          <w:rFonts w:ascii="Arial" w:hAnsi="Arial" w:cs="Arial"/>
          <w:bCs/>
        </w:rPr>
        <w:t xml:space="preserve"> nepřesáhne</w:t>
      </w:r>
      <w:r>
        <w:rPr>
          <w:rFonts w:ascii="Arial" w:hAnsi="Arial" w:cs="Arial"/>
          <w:bCs/>
        </w:rPr>
        <w:t xml:space="preserve"> dle § 222 odst. 6 ZZVZ 30% </w:t>
      </w:r>
      <w:r w:rsidRPr="005F3A6D">
        <w:rPr>
          <w:rFonts w:ascii="Arial" w:hAnsi="Arial" w:cs="Arial"/>
          <w:bCs/>
        </w:rPr>
        <w:t xml:space="preserve">původní hodnoty závazku. 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3E724215" w14:textId="77777777" w:rsidR="00EE4D1B" w:rsidRDefault="00EE4D1B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7926F1A5" w14:textId="69E2628C" w:rsidR="0004784B" w:rsidRDefault="00591610" w:rsidP="0004784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</w:t>
      </w:r>
      <w:r w:rsidR="0004784B">
        <w:rPr>
          <w:rFonts w:ascii="Arial" w:hAnsi="Arial" w:cs="Arial"/>
          <w:szCs w:val="22"/>
          <w:u w:val="single"/>
        </w:rPr>
        <w:t>Hlavního celku 1 „Přípravné práce“ a dílčí</w:t>
      </w:r>
      <w:r w:rsidR="00CA4B59">
        <w:rPr>
          <w:rFonts w:ascii="Arial" w:hAnsi="Arial" w:cs="Arial"/>
          <w:szCs w:val="22"/>
          <w:u w:val="single"/>
        </w:rPr>
        <w:t>ch</w:t>
      </w:r>
      <w:r w:rsidR="0004784B">
        <w:rPr>
          <w:rFonts w:ascii="Arial" w:hAnsi="Arial" w:cs="Arial"/>
          <w:szCs w:val="22"/>
          <w:u w:val="single"/>
        </w:rPr>
        <w:t xml:space="preserve"> část</w:t>
      </w:r>
      <w:r w:rsidR="00CA4B59">
        <w:rPr>
          <w:rFonts w:ascii="Arial" w:hAnsi="Arial" w:cs="Arial"/>
          <w:szCs w:val="22"/>
          <w:u w:val="single"/>
        </w:rPr>
        <w:t>í</w:t>
      </w:r>
      <w:r w:rsidR="0004784B">
        <w:rPr>
          <w:rFonts w:ascii="Arial" w:hAnsi="Arial" w:cs="Arial"/>
          <w:szCs w:val="22"/>
          <w:u w:val="single"/>
        </w:rPr>
        <w:t xml:space="preserve"> </w:t>
      </w:r>
      <w:r w:rsidR="0004784B" w:rsidRPr="005F7E53">
        <w:rPr>
          <w:rFonts w:ascii="Arial" w:hAnsi="Arial" w:cs="Arial"/>
          <w:szCs w:val="22"/>
          <w:u w:val="single"/>
        </w:rPr>
        <w:t>Hlavní</w:t>
      </w:r>
      <w:r w:rsidR="000870DB">
        <w:rPr>
          <w:rFonts w:ascii="Arial" w:hAnsi="Arial" w:cs="Arial"/>
          <w:szCs w:val="22"/>
          <w:u w:val="single"/>
        </w:rPr>
        <w:t>ch</w:t>
      </w:r>
      <w:r w:rsidR="0004784B" w:rsidRPr="005F7E53">
        <w:rPr>
          <w:rFonts w:ascii="Arial" w:hAnsi="Arial" w:cs="Arial"/>
          <w:szCs w:val="22"/>
          <w:u w:val="single"/>
        </w:rPr>
        <w:t xml:space="preserve"> celk</w:t>
      </w:r>
      <w:r w:rsidR="000870DB">
        <w:rPr>
          <w:rFonts w:ascii="Arial" w:hAnsi="Arial" w:cs="Arial"/>
          <w:szCs w:val="22"/>
          <w:u w:val="single"/>
        </w:rPr>
        <w:t>ů</w:t>
      </w:r>
      <w:r w:rsidR="0004784B" w:rsidRPr="005F7E53">
        <w:rPr>
          <w:rFonts w:ascii="Arial" w:hAnsi="Arial" w:cs="Arial"/>
          <w:szCs w:val="22"/>
          <w:u w:val="single"/>
        </w:rPr>
        <w:t>:</w:t>
      </w:r>
    </w:p>
    <w:p w14:paraId="2A747B6C" w14:textId="6086A93D" w:rsidR="002548EF" w:rsidRDefault="002548EF" w:rsidP="00D3504D">
      <w:pPr>
        <w:spacing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 xml:space="preserve">ého Hlavního celku a </w:t>
      </w:r>
      <w:r w:rsidRPr="006C6A93">
        <w:rPr>
          <w:rFonts w:ascii="Arial" w:hAnsi="Arial" w:cs="Arial"/>
        </w:rPr>
        <w:t>dílčí</w:t>
      </w:r>
      <w:r w:rsidR="000870DB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</w:p>
    <w:p w14:paraId="51AF9D40" w14:textId="4E3D1864" w:rsidR="002548EF" w:rsidRPr="001D7C99" w:rsidRDefault="002548EF" w:rsidP="002548E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část</w:t>
      </w:r>
      <w:r w:rsidR="000870DB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="000870DB">
        <w:rPr>
          <w:rFonts w:ascii="Arial" w:hAnsi="Arial" w:cs="Arial"/>
        </w:rPr>
        <w:t>Hlavních</w:t>
      </w:r>
      <w:r>
        <w:rPr>
          <w:rFonts w:ascii="Arial" w:hAnsi="Arial" w:cs="Arial"/>
        </w:rPr>
        <w:t xml:space="preserve"> celk</w:t>
      </w:r>
      <w:r w:rsidR="000870DB">
        <w:rPr>
          <w:rFonts w:ascii="Arial" w:hAnsi="Arial" w:cs="Arial"/>
        </w:rPr>
        <w:t>ů</w:t>
      </w:r>
      <w:r w:rsidRPr="006C6A93">
        <w:rPr>
          <w:rFonts w:ascii="Arial" w:hAnsi="Arial" w:cs="Arial"/>
        </w:rPr>
        <w:t xml:space="preserve">:   </w:t>
      </w:r>
    </w:p>
    <w:tbl>
      <w:tblPr>
        <w:tblW w:w="96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362"/>
        <w:gridCol w:w="1612"/>
        <w:gridCol w:w="1551"/>
      </w:tblGrid>
      <w:tr w:rsidR="00B64EF4" w14:paraId="043CE381" w14:textId="77777777" w:rsidTr="006F7251">
        <w:trPr>
          <w:trHeight w:val="750"/>
          <w:jc w:val="center"/>
        </w:trPr>
        <w:tc>
          <w:tcPr>
            <w:tcW w:w="11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5" w:name="_Hlk214973483"/>
          </w:p>
        </w:tc>
        <w:tc>
          <w:tcPr>
            <w:tcW w:w="536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6CFB2928" w:rsidR="00B64EF4" w:rsidRPr="000D0486" w:rsidRDefault="00D664BB" w:rsidP="00612E51">
            <w:pPr>
              <w:pStyle w:val="Normlnweb"/>
              <w:rPr>
                <w:rFonts w:ascii="Arial" w:hAnsi="Arial" w:cs="Arial"/>
              </w:rPr>
            </w:pPr>
            <w:r w:rsidRPr="00D664BB">
              <w:rPr>
                <w:rFonts w:ascii="Arial" w:hAnsi="Arial" w:cs="Arial"/>
              </w:rPr>
              <w:t>Hlavní celek /Dílčí část Hlavního celku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3B62E6" w14:paraId="56CAAC75" w14:textId="77777777" w:rsidTr="006F7251">
        <w:trPr>
          <w:trHeight w:val="518"/>
          <w:jc w:val="center"/>
        </w:trPr>
        <w:tc>
          <w:tcPr>
            <w:tcW w:w="11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3EC8" w14:textId="3B79A554" w:rsidR="003B62E6" w:rsidRPr="00591610" w:rsidRDefault="005A2673" w:rsidP="003D48B6">
            <w:pPr>
              <w:pStyle w:val="Normlnweb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B62E6" w:rsidRPr="00833AB7">
              <w:rPr>
                <w:rFonts w:ascii="Arial" w:hAnsi="Arial" w:cs="Arial"/>
              </w:rPr>
              <w:t>6.2.2 a)</w:t>
            </w:r>
          </w:p>
        </w:tc>
        <w:tc>
          <w:tcPr>
            <w:tcW w:w="53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57E5" w14:textId="5135C9EF" w:rsidR="003B62E6" w:rsidRPr="0041048D" w:rsidRDefault="003B62E6" w:rsidP="00C11151">
            <w:pPr>
              <w:pStyle w:val="Normlnweb"/>
              <w:spacing w:after="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41048D">
              <w:rPr>
                <w:rFonts w:ascii="Arial" w:hAnsi="Arial" w:cs="Arial"/>
                <w:i/>
                <w:iCs/>
              </w:rPr>
              <w:t xml:space="preserve">Podrobné měření polohopisu v obvodu KoPÚ mimo trvalé </w:t>
            </w:r>
            <w:r w:rsidR="00554E00" w:rsidRPr="0041048D">
              <w:rPr>
                <w:rFonts w:ascii="Arial" w:hAnsi="Arial" w:cs="Arial"/>
                <w:i/>
                <w:iCs/>
              </w:rPr>
              <w:t>porosty – doměření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D2D9" w14:textId="41E0D922" w:rsidR="003B62E6" w:rsidRDefault="0009546E" w:rsidP="00C1115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1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7C77" w14:textId="0E71DB91" w:rsidR="003B62E6" w:rsidRPr="00F27DCD" w:rsidRDefault="003B62E6" w:rsidP="00C1115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31.5.2026</w:t>
            </w:r>
          </w:p>
        </w:tc>
      </w:tr>
      <w:tr w:rsidR="003B62E6" w14:paraId="59850FD5" w14:textId="77777777" w:rsidTr="008730AC">
        <w:trPr>
          <w:trHeight w:val="518"/>
          <w:jc w:val="center"/>
        </w:trPr>
        <w:tc>
          <w:tcPr>
            <w:tcW w:w="114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7953" w14:textId="77079BC2" w:rsidR="003B62E6" w:rsidRPr="00591610" w:rsidRDefault="003B62E6" w:rsidP="003B62E6">
            <w:pPr>
              <w:pStyle w:val="Normlnweb"/>
              <w:jc w:val="center"/>
              <w:rPr>
                <w:rFonts w:ascii="Arial" w:hAnsi="Arial" w:cs="Arial"/>
                <w:highlight w:val="yellow"/>
              </w:rPr>
            </w:pPr>
            <w:r w:rsidRPr="00427CA5">
              <w:rPr>
                <w:rFonts w:ascii="Arial" w:hAnsi="Arial" w:cs="Arial"/>
              </w:rPr>
              <w:t>6.2.4 a)</w:t>
            </w:r>
          </w:p>
        </w:tc>
        <w:tc>
          <w:tcPr>
            <w:tcW w:w="536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30AE" w14:textId="4A7AF3EE" w:rsidR="003B62E6" w:rsidRPr="0041048D" w:rsidRDefault="003D48B6" w:rsidP="003B62E6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41048D">
              <w:rPr>
                <w:rFonts w:ascii="Arial" w:hAnsi="Arial" w:cs="Arial"/>
                <w:i/>
                <w:iCs/>
              </w:rPr>
              <w:t>Zjišťování hranic obvodu KoPÚ, geometrické plány pro stanovení obvodu KoPÚ, předepsaná stabilizace dle vyhlášky č. 357/2013 Sb.  -  došetření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60A6" w14:textId="6CB7623B" w:rsidR="003B62E6" w:rsidRDefault="003B62E6" w:rsidP="003B62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8731" w14:textId="6D0E4122" w:rsidR="003B62E6" w:rsidRPr="00F27DCD" w:rsidRDefault="003D48B6" w:rsidP="003B62E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30.6.</w:t>
            </w:r>
            <w:r w:rsidR="0071759D">
              <w:rPr>
                <w:rFonts w:ascii="Arial" w:hAnsi="Arial" w:cs="Arial"/>
                <w:b/>
                <w:bCs/>
                <w:color w:val="FF0000"/>
              </w:rPr>
              <w:t>2026</w:t>
            </w:r>
          </w:p>
        </w:tc>
      </w:tr>
      <w:tr w:rsidR="00DC0C8F" w14:paraId="054F9BD6" w14:textId="77777777" w:rsidTr="008730AC">
        <w:trPr>
          <w:trHeight w:val="518"/>
          <w:jc w:val="center"/>
        </w:trPr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7AEC" w14:textId="0507E8B7" w:rsidR="00DC0C8F" w:rsidRPr="0041048D" w:rsidRDefault="00DC0C8F" w:rsidP="003B62E6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                </w:t>
            </w:r>
            <w:r w:rsidRPr="0041048D">
              <w:rPr>
                <w:rFonts w:ascii="Arial" w:eastAsia="Arial" w:hAnsi="Arial" w:cs="Arial"/>
                <w:i/>
                <w:iCs/>
              </w:rPr>
              <w:t>„Přípravné práce“ celkem bez DPH v Kč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7AD1" w14:textId="3AB0D226" w:rsidR="00DC0C8F" w:rsidRDefault="00DC0C8F" w:rsidP="00CE290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  <w:r w:rsidR="0078127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.2025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578D" w14:textId="7EBD056A" w:rsidR="00DC0C8F" w:rsidRDefault="00DC0C8F" w:rsidP="00CE2902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30.6.2026</w:t>
            </w:r>
          </w:p>
        </w:tc>
      </w:tr>
      <w:tr w:rsidR="003B62E6" w14:paraId="162A1C5B" w14:textId="77777777" w:rsidTr="008730AC">
        <w:trPr>
          <w:trHeight w:val="518"/>
          <w:jc w:val="center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3B62E6" w:rsidRPr="00EE0211" w:rsidRDefault="003B62E6" w:rsidP="003B62E6">
            <w:pPr>
              <w:pStyle w:val="Normlnweb"/>
              <w:jc w:val="center"/>
              <w:rPr>
                <w:rFonts w:ascii="Arial" w:hAnsi="Arial" w:cs="Arial"/>
              </w:rPr>
            </w:pPr>
            <w:r w:rsidRPr="00EE0211">
              <w:rPr>
                <w:rFonts w:ascii="Arial" w:hAnsi="Arial" w:cs="Arial"/>
              </w:rPr>
              <w:lastRenderedPageBreak/>
              <w:t>6.3.1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3B62E6" w:rsidRPr="0041048D" w:rsidRDefault="003B62E6" w:rsidP="003B62E6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1048D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505B2825" w:rsidR="003B62E6" w:rsidRPr="00133809" w:rsidRDefault="00FB59C5" w:rsidP="003B62E6">
            <w:pPr>
              <w:jc w:val="center"/>
              <w:rPr>
                <w:rFonts w:ascii="Arial" w:hAnsi="Arial" w:cs="Arial"/>
              </w:rPr>
            </w:pPr>
            <w:r w:rsidRPr="00FB59C5">
              <w:rPr>
                <w:rFonts w:ascii="Arial" w:hAnsi="Arial" w:cs="Arial"/>
              </w:rPr>
              <w:t>31.7.2026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17AA1079" w:rsidR="003B62E6" w:rsidRPr="00566DD8" w:rsidRDefault="0041744E" w:rsidP="003B62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31.10.2026</w:t>
            </w:r>
          </w:p>
        </w:tc>
      </w:tr>
      <w:tr w:rsidR="003B62E6" w14:paraId="68BB00C7" w14:textId="77777777" w:rsidTr="006F7251">
        <w:trPr>
          <w:trHeight w:val="518"/>
          <w:jc w:val="center"/>
        </w:trPr>
        <w:tc>
          <w:tcPr>
            <w:tcW w:w="11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3B62E6" w:rsidRPr="00EE0211" w:rsidRDefault="003B62E6" w:rsidP="003B62E6">
            <w:pPr>
              <w:pStyle w:val="Normlnweb"/>
              <w:jc w:val="center"/>
              <w:rPr>
                <w:rFonts w:ascii="Arial" w:hAnsi="Arial" w:cs="Arial"/>
              </w:rPr>
            </w:pPr>
            <w:r w:rsidRPr="00EE0211">
              <w:rPr>
                <w:rFonts w:ascii="Arial" w:hAnsi="Arial" w:cs="Arial"/>
              </w:rPr>
              <w:t>6.3.1 i) a)</w:t>
            </w:r>
          </w:p>
        </w:tc>
        <w:tc>
          <w:tcPr>
            <w:tcW w:w="53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117D5256" w:rsidR="003B62E6" w:rsidRPr="0041048D" w:rsidRDefault="003B62E6" w:rsidP="003B62E6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1048D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Pr="0041048D">
              <w:rPr>
                <w:rFonts w:ascii="Arial" w:hAnsi="Arial" w:cs="Arial"/>
                <w:i/>
                <w:iCs/>
                <w:snapToGrid w:val="0"/>
              </w:rPr>
              <w:t xml:space="preserve"> </w:t>
            </w:r>
            <w:r w:rsidR="00D157CA" w:rsidRPr="0041048D">
              <w:rPr>
                <w:rFonts w:ascii="Arial" w:hAnsi="Arial" w:cs="Arial"/>
                <w:i/>
                <w:iCs/>
                <w:snapToGrid w:val="0"/>
              </w:rPr>
              <w:t>2)</w:t>
            </w:r>
          </w:p>
        </w:tc>
        <w:tc>
          <w:tcPr>
            <w:tcW w:w="161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3B62E6" w:rsidRDefault="003B62E6" w:rsidP="003B6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3B62E6" w:rsidRDefault="003B62E6" w:rsidP="003B62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62E6" w14:paraId="7C4D0379" w14:textId="77777777" w:rsidTr="006F7251">
        <w:trPr>
          <w:trHeight w:val="518"/>
          <w:jc w:val="center"/>
        </w:trPr>
        <w:tc>
          <w:tcPr>
            <w:tcW w:w="11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3B62E6" w:rsidRPr="00EE0211" w:rsidRDefault="003B62E6" w:rsidP="003B62E6">
            <w:pPr>
              <w:pStyle w:val="Normlnweb"/>
              <w:jc w:val="center"/>
              <w:rPr>
                <w:rFonts w:ascii="Arial" w:hAnsi="Arial" w:cs="Arial"/>
              </w:rPr>
            </w:pPr>
            <w:r w:rsidRPr="00EE0211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3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2FA15944" w:rsidR="003B62E6" w:rsidRPr="0041048D" w:rsidRDefault="003B62E6" w:rsidP="003B62E6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1048D">
              <w:rPr>
                <w:rFonts w:ascii="Arial" w:eastAsia="Arial" w:hAnsi="Arial" w:cs="Arial"/>
                <w:i/>
                <w:iCs/>
              </w:rPr>
              <w:t xml:space="preserve">DTR liniových dopravních staveb PSZ pro stanovení plochy záboru půdy stavbami dle čl. 6.3.1 i) b) Smlouvy </w:t>
            </w:r>
            <w:r w:rsidR="00D157CA" w:rsidRPr="0041048D">
              <w:rPr>
                <w:rFonts w:ascii="Arial" w:eastAsia="Arial" w:hAnsi="Arial" w:cs="Arial"/>
                <w:i/>
                <w:iCs/>
              </w:rPr>
              <w:t>2)</w:t>
            </w:r>
          </w:p>
        </w:tc>
        <w:tc>
          <w:tcPr>
            <w:tcW w:w="161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3B62E6" w:rsidRDefault="003B62E6" w:rsidP="003B6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3B62E6" w:rsidRDefault="003B62E6" w:rsidP="003B62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62E6" w14:paraId="1DB06CD8" w14:textId="77777777" w:rsidTr="006F7251">
        <w:trPr>
          <w:trHeight w:val="518"/>
          <w:jc w:val="center"/>
        </w:trPr>
        <w:tc>
          <w:tcPr>
            <w:tcW w:w="11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3B62E6" w:rsidRPr="00EE0211" w:rsidRDefault="003B62E6" w:rsidP="003B62E6">
            <w:pPr>
              <w:pStyle w:val="Normlnweb"/>
              <w:jc w:val="center"/>
              <w:rPr>
                <w:rFonts w:ascii="Arial" w:hAnsi="Arial" w:cs="Arial"/>
              </w:rPr>
            </w:pPr>
            <w:r w:rsidRPr="00EE0211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3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2CCFC338" w:rsidR="003B62E6" w:rsidRPr="0041048D" w:rsidRDefault="003B62E6" w:rsidP="003B62E6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1048D">
              <w:rPr>
                <w:rFonts w:ascii="Arial" w:eastAsia="Arial" w:hAnsi="Arial" w:cs="Arial"/>
                <w:i/>
                <w:iCs/>
              </w:rPr>
              <w:t>DTR</w:t>
            </w:r>
            <w:r w:rsidR="00AE7E7D" w:rsidRPr="0041048D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41048D">
              <w:rPr>
                <w:rFonts w:ascii="Arial" w:eastAsia="Arial" w:hAnsi="Arial" w:cs="Arial"/>
                <w:i/>
                <w:iCs/>
              </w:rPr>
              <w:t>liniových vodohospodářských a protierozních staveb</w:t>
            </w:r>
            <w:r w:rsidR="00AE7E7D" w:rsidRPr="0041048D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41048D">
              <w:rPr>
                <w:rFonts w:ascii="Arial" w:eastAsia="Arial" w:hAnsi="Arial" w:cs="Arial"/>
                <w:i/>
                <w:iCs/>
              </w:rPr>
              <w:t xml:space="preserve">PSZ pro stanovení plochy záboru půdy stavbami dle čl. 6.3.1 i) b) Smlouvy </w:t>
            </w:r>
            <w:r w:rsidR="00D157CA" w:rsidRPr="0041048D">
              <w:rPr>
                <w:rFonts w:ascii="Arial" w:eastAsia="Arial" w:hAnsi="Arial" w:cs="Arial"/>
                <w:i/>
                <w:iCs/>
              </w:rPr>
              <w:t>2)</w:t>
            </w:r>
          </w:p>
        </w:tc>
        <w:tc>
          <w:tcPr>
            <w:tcW w:w="161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3B62E6" w:rsidRDefault="003B62E6" w:rsidP="003B6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3B62E6" w:rsidRDefault="003B62E6" w:rsidP="003B62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62E6" w14:paraId="70E15380" w14:textId="77777777" w:rsidTr="006F7251">
        <w:trPr>
          <w:trHeight w:val="518"/>
          <w:jc w:val="center"/>
        </w:trPr>
        <w:tc>
          <w:tcPr>
            <w:tcW w:w="11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3B62E6" w:rsidRPr="00EE0211" w:rsidRDefault="003B62E6" w:rsidP="003B62E6">
            <w:pPr>
              <w:pStyle w:val="Normlnweb"/>
              <w:jc w:val="center"/>
              <w:rPr>
                <w:rFonts w:ascii="Arial" w:hAnsi="Arial" w:cs="Arial"/>
              </w:rPr>
            </w:pPr>
            <w:r w:rsidRPr="00EE0211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3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781E65" w:rsidR="003B62E6" w:rsidRPr="0041048D" w:rsidRDefault="003B62E6" w:rsidP="003B62E6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1048D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  <w:r w:rsidR="0098795E" w:rsidRPr="0041048D">
              <w:rPr>
                <w:rFonts w:ascii="Arial" w:eastAsia="Arial" w:hAnsi="Arial" w:cs="Arial"/>
                <w:i/>
                <w:iCs/>
              </w:rPr>
              <w:t xml:space="preserve"> 2)</w:t>
            </w:r>
          </w:p>
        </w:tc>
        <w:tc>
          <w:tcPr>
            <w:tcW w:w="1612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3B62E6" w:rsidRDefault="003B62E6" w:rsidP="003B6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3B62E6" w:rsidRDefault="003B62E6" w:rsidP="003B62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62E6" w14:paraId="39915FB1" w14:textId="77777777" w:rsidTr="006F7251">
        <w:trPr>
          <w:trHeight w:val="518"/>
          <w:jc w:val="center"/>
        </w:trPr>
        <w:tc>
          <w:tcPr>
            <w:tcW w:w="11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3B62E6" w:rsidRDefault="003B62E6" w:rsidP="003B62E6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3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2B32E561" w:rsidR="003B62E6" w:rsidRPr="0041048D" w:rsidRDefault="003B62E6" w:rsidP="003B62E6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41048D">
              <w:rPr>
                <w:rFonts w:ascii="Arial" w:eastAsia="Arial" w:hAnsi="Arial" w:cs="Arial"/>
                <w:i/>
                <w:iCs/>
              </w:rPr>
              <w:t>Vypracování návrhu nového uspořádání pozemků k jeho vystavení dle § 11 odst. 1 Zákona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FB4EBC1" w:rsidR="003B62E6" w:rsidRDefault="00C11151" w:rsidP="00C11151">
            <w:pPr>
              <w:spacing w:after="0"/>
              <w:jc w:val="center"/>
              <w:rPr>
                <w:rFonts w:ascii="Arial" w:hAnsi="Arial" w:cs="Arial"/>
              </w:rPr>
            </w:pPr>
            <w:r w:rsidRPr="00C11151">
              <w:rPr>
                <w:rFonts w:ascii="Arial" w:hAnsi="Arial" w:cs="Arial"/>
              </w:rPr>
              <w:t>31.1.2027</w:t>
            </w:r>
          </w:p>
        </w:tc>
        <w:tc>
          <w:tcPr>
            <w:tcW w:w="1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6142D6E4" w:rsidR="003B62E6" w:rsidRDefault="00C11151" w:rsidP="00C1115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30.4.2027</w:t>
            </w:r>
          </w:p>
        </w:tc>
      </w:tr>
      <w:bookmarkEnd w:id="5"/>
    </w:tbl>
    <w:p w14:paraId="4F64E1DF" w14:textId="77777777" w:rsidR="00692A4D" w:rsidRDefault="00692A4D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22453CB" w14:textId="7D37592C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5DD23B4F" w14:textId="77777777" w:rsidR="0021506B" w:rsidRDefault="00824BDC" w:rsidP="0021506B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1356F506" w14:textId="0DEBC88A" w:rsidR="00562248" w:rsidRPr="00053341" w:rsidRDefault="0021506B" w:rsidP="00053341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D</w:t>
      </w:r>
      <w:r w:rsidR="009D6DA6" w:rsidRPr="00F03097">
        <w:rPr>
          <w:rFonts w:ascii="Arial" w:hAnsi="Arial" w:cs="Arial"/>
        </w:rPr>
        <w:t>ošetření</w:t>
      </w:r>
      <w:r w:rsidR="00147190">
        <w:rPr>
          <w:rFonts w:ascii="Arial" w:hAnsi="Arial" w:cs="Arial"/>
        </w:rPr>
        <w:t>m</w:t>
      </w:r>
      <w:r w:rsidR="009D6DA6" w:rsidRPr="00F03097">
        <w:rPr>
          <w:rFonts w:ascii="Arial" w:hAnsi="Arial" w:cs="Arial"/>
        </w:rPr>
        <w:t xml:space="preserve"> průběhu hranic</w:t>
      </w:r>
      <w:r w:rsidR="00F80B49">
        <w:rPr>
          <w:rFonts w:ascii="Arial" w:hAnsi="Arial" w:cs="Arial"/>
        </w:rPr>
        <w:t xml:space="preserve"> v obvodu KoPÚ</w:t>
      </w:r>
      <w:r w:rsidR="00023983">
        <w:rPr>
          <w:rFonts w:ascii="Arial" w:hAnsi="Arial" w:cs="Arial"/>
        </w:rPr>
        <w:t xml:space="preserve"> </w:t>
      </w:r>
      <w:r w:rsidR="00372D64" w:rsidRPr="00F03097">
        <w:rPr>
          <w:rFonts w:ascii="Arial" w:hAnsi="Arial" w:cs="Arial"/>
        </w:rPr>
        <w:t>bude</w:t>
      </w:r>
      <w:r w:rsidR="009D6DA6" w:rsidRPr="00F03097">
        <w:rPr>
          <w:rFonts w:ascii="Arial" w:hAnsi="Arial" w:cs="Arial"/>
        </w:rPr>
        <w:t xml:space="preserve"> nutné provést nový výpočet opravného koeficientu, vypracovat soupisy nároku na rozšířené území, případně při překročení mezní odchylky aktualizovat celé soupisy nároků. </w:t>
      </w:r>
      <w:r w:rsidR="00C307C7">
        <w:rPr>
          <w:rFonts w:ascii="Arial" w:hAnsi="Arial" w:cs="Arial"/>
        </w:rPr>
        <w:t>Z</w:t>
      </w:r>
      <w:r w:rsidR="00F27A83" w:rsidRPr="00F03097">
        <w:rPr>
          <w:rFonts w:ascii="Arial" w:hAnsi="Arial" w:cs="Arial"/>
        </w:rPr>
        <w:t>měnu</w:t>
      </w:r>
      <w:r w:rsidR="009D6DA6" w:rsidRPr="00F03097">
        <w:rPr>
          <w:rFonts w:ascii="Arial" w:hAnsi="Arial" w:cs="Arial"/>
        </w:rPr>
        <w:t xml:space="preserve"> řešeného území bude nutné zapracovat do rozpracovaného </w:t>
      </w:r>
      <w:r w:rsidR="00FB4ED2" w:rsidRPr="00E7076C">
        <w:rPr>
          <w:rFonts w:ascii="Arial" w:hAnsi="Arial" w:cs="Arial"/>
        </w:rPr>
        <w:t xml:space="preserve">plánu společných zařízení </w:t>
      </w:r>
      <w:r w:rsidR="00FB4ED2" w:rsidRPr="00E7076C">
        <w:rPr>
          <w:rFonts w:ascii="Arial" w:hAnsi="Arial" w:cs="Arial"/>
          <w:i/>
          <w:iCs/>
        </w:rPr>
        <w:t>("PSZ")</w:t>
      </w:r>
      <w:r w:rsidR="009D6DA6" w:rsidRPr="00F03097">
        <w:rPr>
          <w:rFonts w:ascii="Arial" w:hAnsi="Arial" w:cs="Arial"/>
        </w:rPr>
        <w:t xml:space="preserve"> a následně do návrhu nového uspořádání pozemků</w:t>
      </w:r>
      <w:r w:rsidR="00403123" w:rsidRPr="00F03097">
        <w:rPr>
          <w:rFonts w:ascii="Arial" w:hAnsi="Arial" w:cs="Arial"/>
        </w:rPr>
        <w:t>. Z</w:t>
      </w:r>
      <w:r w:rsidR="005F417C">
        <w:rPr>
          <w:rFonts w:ascii="Arial" w:hAnsi="Arial" w:cs="Arial"/>
        </w:rPr>
        <w:t> </w:t>
      </w:r>
      <w:r w:rsidR="00FE09C6">
        <w:rPr>
          <w:rFonts w:ascii="Arial" w:hAnsi="Arial" w:cs="Arial"/>
        </w:rPr>
        <w:t>výše</w:t>
      </w:r>
      <w:r w:rsidR="005F417C">
        <w:rPr>
          <w:rFonts w:ascii="Arial" w:hAnsi="Arial" w:cs="Arial"/>
        </w:rPr>
        <w:t xml:space="preserve"> uvedených důvodů </w:t>
      </w:r>
      <w:r w:rsidR="00D21050" w:rsidRPr="00F03097">
        <w:rPr>
          <w:rFonts w:ascii="Arial" w:hAnsi="Arial" w:cs="Arial"/>
        </w:rPr>
        <w:t>Zhotovitel KoPÚ Ouběnice u Dobříše</w:t>
      </w:r>
      <w:r w:rsidR="0002611D">
        <w:rPr>
          <w:rFonts w:ascii="Arial" w:hAnsi="Arial" w:cs="Arial"/>
        </w:rPr>
        <w:t xml:space="preserve"> ve své </w:t>
      </w:r>
      <w:r w:rsidR="00C27117">
        <w:rPr>
          <w:rFonts w:ascii="Arial" w:hAnsi="Arial" w:cs="Arial"/>
        </w:rPr>
        <w:t xml:space="preserve">žádosti </w:t>
      </w:r>
      <w:r w:rsidR="00C27117" w:rsidRPr="00F03097">
        <w:rPr>
          <w:rFonts w:ascii="Arial" w:hAnsi="Arial" w:cs="Arial"/>
        </w:rPr>
        <w:t>požaduje</w:t>
      </w:r>
      <w:r w:rsidR="00F95A09" w:rsidRPr="00F03097">
        <w:rPr>
          <w:rFonts w:ascii="Arial" w:hAnsi="Arial" w:cs="Arial"/>
        </w:rPr>
        <w:t xml:space="preserve"> </w:t>
      </w:r>
      <w:r w:rsidR="00330290" w:rsidRPr="00F03097">
        <w:rPr>
          <w:rFonts w:ascii="Arial" w:hAnsi="Arial" w:cs="Arial"/>
        </w:rPr>
        <w:t>změ</w:t>
      </w:r>
      <w:r w:rsidR="00E112ED" w:rsidRPr="00F03097">
        <w:rPr>
          <w:rFonts w:ascii="Arial" w:hAnsi="Arial" w:cs="Arial"/>
        </w:rPr>
        <w:t>n</w:t>
      </w:r>
      <w:r w:rsidR="00C27117">
        <w:rPr>
          <w:rFonts w:ascii="Arial" w:hAnsi="Arial" w:cs="Arial"/>
        </w:rPr>
        <w:t>y</w:t>
      </w:r>
      <w:r w:rsidR="00330290" w:rsidRPr="00F03097">
        <w:rPr>
          <w:rFonts w:ascii="Arial" w:hAnsi="Arial" w:cs="Arial"/>
        </w:rPr>
        <w:t xml:space="preserve"> termín</w:t>
      </w:r>
      <w:r w:rsidR="008D1DDA">
        <w:rPr>
          <w:rFonts w:ascii="Arial" w:hAnsi="Arial" w:cs="Arial"/>
        </w:rPr>
        <w:t>ů</w:t>
      </w:r>
      <w:r w:rsidR="00330290" w:rsidRPr="00F03097">
        <w:rPr>
          <w:rFonts w:ascii="Arial" w:hAnsi="Arial" w:cs="Arial"/>
        </w:rPr>
        <w:t xml:space="preserve"> </w:t>
      </w:r>
      <w:r w:rsidR="00073431">
        <w:rPr>
          <w:rFonts w:ascii="Arial" w:hAnsi="Arial" w:cs="Arial"/>
        </w:rPr>
        <w:t>u</w:t>
      </w:r>
      <w:r w:rsidR="00073431" w:rsidRPr="00E7076C">
        <w:rPr>
          <w:rFonts w:ascii="Arial" w:hAnsi="Arial" w:cs="Arial"/>
        </w:rPr>
        <w:t xml:space="preserve"> dílčí</w:t>
      </w:r>
      <w:r w:rsidR="006A4486">
        <w:rPr>
          <w:rFonts w:ascii="Arial" w:hAnsi="Arial" w:cs="Arial"/>
        </w:rPr>
        <w:t>ch</w:t>
      </w:r>
      <w:r w:rsidR="00073431" w:rsidRPr="00E7076C">
        <w:rPr>
          <w:rFonts w:ascii="Arial" w:hAnsi="Arial" w:cs="Arial"/>
        </w:rPr>
        <w:t xml:space="preserve"> část</w:t>
      </w:r>
      <w:r w:rsidR="006A4486">
        <w:rPr>
          <w:rFonts w:ascii="Arial" w:hAnsi="Arial" w:cs="Arial"/>
        </w:rPr>
        <w:t>í</w:t>
      </w:r>
      <w:r w:rsidR="00073431" w:rsidRPr="00E7076C">
        <w:rPr>
          <w:rFonts w:ascii="Arial" w:hAnsi="Arial" w:cs="Arial"/>
        </w:rPr>
        <w:t xml:space="preserve"> Hlavního celku 6.2.2, 6.2.4, které budou</w:t>
      </w:r>
      <w:r w:rsidR="00073431" w:rsidRPr="00F03097">
        <w:rPr>
          <w:rFonts w:ascii="Arial" w:hAnsi="Arial" w:cs="Arial"/>
        </w:rPr>
        <w:t xml:space="preserve"> </w:t>
      </w:r>
      <w:r w:rsidR="00073431" w:rsidRPr="00E7076C">
        <w:rPr>
          <w:rFonts w:ascii="Arial" w:hAnsi="Arial" w:cs="Arial"/>
        </w:rPr>
        <w:t>rozšířeny o dílčí části Hlavního celku 6.2.2 a), 6.2.4 a</w:t>
      </w:r>
      <w:r w:rsidR="0046442A" w:rsidRPr="00E7076C">
        <w:rPr>
          <w:rFonts w:ascii="Arial" w:hAnsi="Arial" w:cs="Arial"/>
        </w:rPr>
        <w:t>)</w:t>
      </w:r>
      <w:r w:rsidR="0046442A">
        <w:rPr>
          <w:rFonts w:ascii="Arial" w:hAnsi="Arial" w:cs="Arial"/>
        </w:rPr>
        <w:t xml:space="preserve">, </w:t>
      </w:r>
      <w:r w:rsidR="00E15E4E">
        <w:rPr>
          <w:rFonts w:ascii="Arial" w:hAnsi="Arial" w:cs="Arial"/>
        </w:rPr>
        <w:t xml:space="preserve">              </w:t>
      </w:r>
      <w:r w:rsidR="0046442A" w:rsidRPr="00E7076C">
        <w:rPr>
          <w:rFonts w:ascii="Arial" w:hAnsi="Arial" w:cs="Arial"/>
        </w:rPr>
        <w:t>u</w:t>
      </w:r>
      <w:r w:rsidR="00E7076C" w:rsidRPr="00E7076C">
        <w:rPr>
          <w:rFonts w:ascii="Arial" w:hAnsi="Arial" w:cs="Arial"/>
        </w:rPr>
        <w:t xml:space="preserve"> Hlavního celku 1 „Přípravné práce“ a u</w:t>
      </w:r>
      <w:r w:rsidR="00330290" w:rsidRPr="00F03097">
        <w:rPr>
          <w:rFonts w:ascii="Arial" w:hAnsi="Arial" w:cs="Arial"/>
        </w:rPr>
        <w:t xml:space="preserve"> </w:t>
      </w:r>
      <w:r w:rsidR="00E7076C" w:rsidRPr="00F03097">
        <w:rPr>
          <w:rFonts w:ascii="Arial" w:hAnsi="Arial" w:cs="Arial"/>
        </w:rPr>
        <w:t>následujících dílčích částí Hlavního celku 6.3.1, 6.3.1 i) a), 6.3.1 i) b), 6.3.1 i) c), 6.3.2.</w:t>
      </w:r>
    </w:p>
    <w:p w14:paraId="749116E1" w14:textId="5322DA5B" w:rsidR="004E7842" w:rsidRDefault="004E7842" w:rsidP="004E784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</w:t>
      </w:r>
      <w:r w:rsidRPr="001C55FC">
        <w:rPr>
          <w:rFonts w:ascii="Arial" w:hAnsi="Arial" w:cs="Arial"/>
          <w:bCs/>
        </w:rPr>
        <w:t>uzavřen v souladu s ustanovením § 222</w:t>
      </w:r>
      <w:r w:rsidRPr="00404E33">
        <w:rPr>
          <w:rFonts w:ascii="Arial" w:hAnsi="Arial" w:cs="Arial"/>
          <w:bCs/>
        </w:rPr>
        <w:t xml:space="preserve">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</w:t>
      </w:r>
      <w:r>
        <w:rPr>
          <w:rFonts w:ascii="Arial" w:hAnsi="Arial" w:cs="Arial"/>
          <w:bCs/>
        </w:rPr>
        <w:t>ů Hlavního celku 1 „Přípravné práce“ a</w:t>
      </w:r>
      <w:r w:rsidRPr="001F1BD1">
        <w:rPr>
          <w:rFonts w:ascii="Arial" w:hAnsi="Arial" w:cs="Arial"/>
          <w:bCs/>
        </w:rPr>
        <w:t xml:space="preserve"> dílčí</w:t>
      </w:r>
      <w:r w:rsidR="007C6678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7C667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 Hlavní</w:t>
      </w:r>
      <w:r w:rsidR="002C5250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celk</w:t>
      </w:r>
      <w:r w:rsidR="002C5250">
        <w:rPr>
          <w:rFonts w:ascii="Arial" w:hAnsi="Arial" w:cs="Arial"/>
          <w:bCs/>
        </w:rPr>
        <w:t>ů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6.</w:t>
      </w:r>
      <w:r w:rsidR="0024314B">
        <w:rPr>
          <w:rFonts w:ascii="Arial" w:hAnsi="Arial" w:cs="Arial"/>
          <w:bCs/>
        </w:rPr>
        <w:t>2.2</w:t>
      </w:r>
      <w:r w:rsidR="00B45799">
        <w:rPr>
          <w:rFonts w:ascii="Arial" w:hAnsi="Arial" w:cs="Arial"/>
          <w:bCs/>
        </w:rPr>
        <w:t xml:space="preserve"> </w:t>
      </w:r>
      <w:r w:rsidR="0024314B">
        <w:rPr>
          <w:rFonts w:ascii="Arial" w:hAnsi="Arial" w:cs="Arial"/>
          <w:bCs/>
        </w:rPr>
        <w:t>a)</w:t>
      </w:r>
      <w:r w:rsidR="00B4579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6.2.4 a)</w:t>
      </w:r>
      <w:r w:rsidR="00B45799">
        <w:rPr>
          <w:rFonts w:ascii="Arial" w:hAnsi="Arial" w:cs="Arial"/>
          <w:bCs/>
        </w:rPr>
        <w:t xml:space="preserve">, </w:t>
      </w:r>
      <w:r w:rsidR="00F03F32">
        <w:rPr>
          <w:rFonts w:ascii="Arial" w:hAnsi="Arial" w:cs="Arial"/>
          <w:bCs/>
        </w:rPr>
        <w:t>6.3.1</w:t>
      </w:r>
      <w:r w:rsidR="0009546E">
        <w:rPr>
          <w:rFonts w:ascii="Arial" w:hAnsi="Arial" w:cs="Arial"/>
          <w:bCs/>
        </w:rPr>
        <w:t xml:space="preserve">, </w:t>
      </w:r>
      <w:r w:rsidR="00575033">
        <w:rPr>
          <w:rFonts w:ascii="Arial" w:hAnsi="Arial" w:cs="Arial"/>
          <w:bCs/>
        </w:rPr>
        <w:t>6.3.1 i) a), 6.3.1 i) b)</w:t>
      </w:r>
      <w:r w:rsidR="00E660C0">
        <w:rPr>
          <w:rFonts w:ascii="Arial" w:hAnsi="Arial" w:cs="Arial"/>
          <w:bCs/>
        </w:rPr>
        <w:t>, 6.3.1 i) c),</w:t>
      </w:r>
      <w:r w:rsidR="00EE0211">
        <w:rPr>
          <w:rFonts w:ascii="Arial" w:hAnsi="Arial" w:cs="Arial"/>
          <w:bCs/>
        </w:rPr>
        <w:t xml:space="preserve"> 6.3.2 </w:t>
      </w:r>
      <w:r w:rsidR="00EE0211" w:rsidRPr="001F1BD1">
        <w:rPr>
          <w:rFonts w:ascii="Arial" w:hAnsi="Arial" w:cs="Arial"/>
          <w:bCs/>
        </w:rPr>
        <w:t>je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změnou nepodstatnou, která vznikla v důsledku okolností, které zadavatel jednající s náležitou péčí nemohl předvídat a která nemění celkovou povahu veřejné zakázky a je nezbytná k dokončení díla. Prodlení s provedením dílčí</w:t>
      </w:r>
      <w:r w:rsidR="00044DEB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část</w:t>
      </w:r>
      <w:r w:rsidR="00E774C8">
        <w:rPr>
          <w:rFonts w:ascii="Arial" w:hAnsi="Arial" w:cs="Arial"/>
          <w:bCs/>
        </w:rPr>
        <w:t>í Hlavních celků</w:t>
      </w:r>
      <w:r>
        <w:rPr>
          <w:rFonts w:ascii="Arial" w:hAnsi="Arial" w:cs="Arial"/>
          <w:bCs/>
        </w:rPr>
        <w:t xml:space="preserve"> díla není způsobeno zaviněným prodlením Zhotovitele.</w:t>
      </w:r>
    </w:p>
    <w:p w14:paraId="4AE2DB60" w14:textId="459CF33F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</w:t>
      </w:r>
      <w:r w:rsidR="009C7D43">
        <w:rPr>
          <w:rFonts w:ascii="Arial" w:hAnsi="Arial" w:cs="Arial"/>
          <w:snapToGrid w:val="0"/>
        </w:rPr>
        <w:t xml:space="preserve">ého Hlavního celku </w:t>
      </w:r>
      <w:r w:rsidR="00EE0211">
        <w:rPr>
          <w:rFonts w:ascii="Arial" w:hAnsi="Arial" w:cs="Arial"/>
          <w:snapToGrid w:val="0"/>
        </w:rPr>
        <w:t>a dílčích</w:t>
      </w:r>
      <w:r>
        <w:rPr>
          <w:rFonts w:ascii="Arial" w:hAnsi="Arial" w:cs="Arial"/>
          <w:snapToGrid w:val="0"/>
        </w:rPr>
        <w:t xml:space="preserve"> </w:t>
      </w:r>
      <w:r w:rsidR="00620035">
        <w:rPr>
          <w:rFonts w:ascii="Arial" w:hAnsi="Arial" w:cs="Arial"/>
          <w:snapToGrid w:val="0"/>
        </w:rPr>
        <w:t xml:space="preserve">částí </w:t>
      </w:r>
      <w:r w:rsidR="00E52D28">
        <w:rPr>
          <w:rFonts w:ascii="Arial" w:hAnsi="Arial" w:cs="Arial"/>
          <w:snapToGrid w:val="0"/>
        </w:rPr>
        <w:t>Hlavních celků</w:t>
      </w:r>
      <w:r w:rsidR="002D5B7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5CCEAF57" w14:textId="77777777" w:rsidR="00540278" w:rsidRDefault="00540278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50C1F8" w14:textId="272F4BE7" w:rsidR="00547368" w:rsidRDefault="00540278" w:rsidP="002C33DE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V rámci probíhajících KoPÚ </w:t>
      </w:r>
      <w:r w:rsidR="00EE0211" w:rsidRPr="00EE0211">
        <w:rPr>
          <w:rFonts w:ascii="Arial" w:hAnsi="Arial" w:cs="Arial"/>
          <w:sz w:val="24"/>
          <w:szCs w:val="24"/>
        </w:rPr>
        <w:t>Ouběnice u Dobříše</w:t>
      </w:r>
      <w:r>
        <w:rPr>
          <w:rFonts w:ascii="Arial" w:hAnsi="Arial" w:cs="Arial"/>
          <w:szCs w:val="22"/>
        </w:rPr>
        <w:t xml:space="preserve"> došlo na straně</w:t>
      </w:r>
      <w:r w:rsidR="002C33DE" w:rsidRPr="002C33DE">
        <w:rPr>
          <w:rFonts w:ascii="Arial" w:hAnsi="Arial" w:cs="Arial"/>
          <w:bCs/>
        </w:rPr>
        <w:t xml:space="preserve"> </w:t>
      </w:r>
      <w:r w:rsidR="002C33DE">
        <w:rPr>
          <w:rFonts w:ascii="Arial" w:hAnsi="Arial" w:cs="Arial"/>
          <w:bCs/>
        </w:rPr>
        <w:t xml:space="preserve">Zhotovitele </w:t>
      </w:r>
      <w:r w:rsidR="00F03097">
        <w:rPr>
          <w:rFonts w:ascii="Arial" w:hAnsi="Arial" w:cs="Arial"/>
          <w:bCs/>
        </w:rPr>
        <w:t>ke změně</w:t>
      </w:r>
      <w:r w:rsidR="002C33DE">
        <w:rPr>
          <w:rFonts w:ascii="Arial" w:hAnsi="Arial" w:cs="Arial"/>
          <w:bCs/>
        </w:rPr>
        <w:t xml:space="preserve"> sídla firmy</w:t>
      </w:r>
      <w:r w:rsidR="00134915">
        <w:rPr>
          <w:rFonts w:ascii="Arial" w:hAnsi="Arial" w:cs="Arial"/>
          <w:bCs/>
        </w:rPr>
        <w:t>,</w:t>
      </w:r>
      <w:r w:rsidR="002C33DE">
        <w:rPr>
          <w:rFonts w:ascii="Arial" w:hAnsi="Arial" w:cs="Arial"/>
          <w:bCs/>
        </w:rPr>
        <w:t xml:space="preserve"> </w:t>
      </w:r>
    </w:p>
    <w:p w14:paraId="3F4FEDD1" w14:textId="7BBEF2E2" w:rsidR="002C33DE" w:rsidRPr="006E761E" w:rsidRDefault="002C33DE" w:rsidP="0054736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to ze sídla</w:t>
      </w:r>
      <w:r w:rsidR="0054736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</w:t>
      </w:r>
      <w:r w:rsidR="006E761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Elektry 650, 198 00 Praha 9 na</w:t>
      </w:r>
      <w:r w:rsidR="006E761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nové sídlo </w:t>
      </w:r>
      <w:r w:rsidRPr="00F03BFC">
        <w:rPr>
          <w:rFonts w:ascii="Arial" w:hAnsi="Arial" w:cs="Arial"/>
          <w:b/>
        </w:rPr>
        <w:t>Světská 1418, 198 00 Praha 9 – Kyje</w:t>
      </w:r>
      <w:r>
        <w:rPr>
          <w:rFonts w:ascii="Arial" w:hAnsi="Arial" w:cs="Arial"/>
          <w:bCs/>
        </w:rPr>
        <w:t>.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D57AEC0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</w:t>
      </w:r>
      <w:r w:rsidR="002B2FE0" w:rsidRPr="00AB2493">
        <w:rPr>
          <w:rFonts w:ascii="Arial" w:hAnsi="Arial" w:cs="Arial"/>
          <w:snapToGrid w:val="0"/>
        </w:rPr>
        <w:t>čl.</w:t>
      </w:r>
      <w:r w:rsidR="002B2FE0">
        <w:rPr>
          <w:rFonts w:ascii="Arial" w:hAnsi="Arial" w:cs="Arial"/>
          <w:snapToGrid w:val="0"/>
        </w:rPr>
        <w:t xml:space="preserve"> 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1AF7BD86" w:rsidR="0084399A" w:rsidRPr="00763C03" w:rsidRDefault="001527A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1 338 280,00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03CD0EF5" w:rsidR="0084399A" w:rsidRPr="00763C03" w:rsidRDefault="00A7567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1 619 318,80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2017DAB4" w:rsidR="0084399A" w:rsidRPr="00763C03" w:rsidRDefault="00AD1CD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906 455,00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64EE18F" w:rsidR="0084399A" w:rsidRPr="00763C03" w:rsidRDefault="00274E0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1 096 810,55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345B9BA" w:rsidR="0084399A" w:rsidRPr="00763C03" w:rsidRDefault="00AD1CD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78 078,00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165A1BAF" w:rsidR="0084399A" w:rsidRPr="00763C03" w:rsidRDefault="0062003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1871E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94 474,38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E3158E9" w:rsidR="0084399A" w:rsidRPr="00763C03" w:rsidRDefault="000A5028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B608B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322 813,00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1C89049" w:rsidR="0084399A" w:rsidRPr="00763C03" w:rsidRDefault="00942067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127B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810 603,73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lastRenderedPageBreak/>
        <w:t>Podrobnosti kalkulace ceny jsou uvedeny v Položkovém výkazu činností, který je nedílnou součástí tohoto dodatku.</w:t>
      </w:r>
    </w:p>
    <w:p w14:paraId="7F1B407B" w14:textId="77777777" w:rsidR="00181050" w:rsidRPr="00AB2493" w:rsidRDefault="00181050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0F83DB" w14:textId="77777777" w:rsidR="00EB7B11" w:rsidRDefault="00EB7B11" w:rsidP="00EB7B11">
      <w:pPr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  <w:t xml:space="preserve">            </w:t>
      </w:r>
      <w:r>
        <w:rPr>
          <w:rFonts w:ascii="Arial" w:hAnsi="Arial" w:cs="Arial"/>
          <w:b/>
        </w:rPr>
        <w:t xml:space="preserve">AREA G.K. spol. s r.o. </w:t>
      </w:r>
    </w:p>
    <w:p w14:paraId="33E16FE2" w14:textId="3CF2EF12" w:rsidR="00EB7B11" w:rsidRDefault="00EB7B11" w:rsidP="00EB7B11">
      <w:pPr>
        <w:spacing w:after="120"/>
        <w:rPr>
          <w:rFonts w:ascii="Arial" w:hAnsi="Arial" w:cs="Arial"/>
          <w:b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4C3760">
        <w:rPr>
          <w:rFonts w:ascii="Arial" w:hAnsi="Arial" w:cs="Arial"/>
          <w:b/>
        </w:rPr>
        <w:t xml:space="preserve">pro Středočeský </w:t>
      </w:r>
      <w:r>
        <w:rPr>
          <w:rFonts w:ascii="Arial" w:hAnsi="Arial" w:cs="Arial"/>
          <w:b/>
        </w:rPr>
        <w:t xml:space="preserve">                    (reprezentant sdružení)                </w:t>
      </w:r>
    </w:p>
    <w:p w14:paraId="23EB57CD" w14:textId="77777777" w:rsidR="00EB7B11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C3760">
        <w:rPr>
          <w:rFonts w:ascii="Arial" w:hAnsi="Arial" w:cs="Arial"/>
          <w:b/>
        </w:rPr>
        <w:t>kraj a hl. m. Praha</w:t>
      </w:r>
      <w:r w:rsidRPr="004C3760">
        <w:rPr>
          <w:rFonts w:ascii="Arial" w:eastAsia="Times New Roman" w:hAnsi="Arial" w:cs="Arial"/>
          <w:b/>
          <w:lang w:eastAsia="cs-CZ"/>
        </w:rPr>
        <w:t xml:space="preserve"> </w:t>
      </w:r>
    </w:p>
    <w:p w14:paraId="2B9C911C" w14:textId="692A9BC8" w:rsidR="00EB7B11" w:rsidRDefault="00EB7B11" w:rsidP="00EB7B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14:paraId="363329CF" w14:textId="77777777" w:rsidR="00EB7B11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5DBC174" w14:textId="5D2E8852" w:rsidR="00EB7B11" w:rsidRDefault="00EB7B11" w:rsidP="00EB7B11">
      <w:pPr>
        <w:spacing w:after="0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 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Praha</w:t>
      </w:r>
    </w:p>
    <w:p w14:paraId="5C157CEB" w14:textId="77777777" w:rsidR="00707347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653B3FD1" w14:textId="56ACF2D0" w:rsidR="00EB7B11" w:rsidRPr="00ED6435" w:rsidRDefault="00707347" w:rsidP="00EB7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22.05.2026</w:t>
      </w:r>
      <w:r>
        <w:rPr>
          <w:rFonts w:ascii="Arial" w:eastAsia="Times New Roman" w:hAnsi="Arial" w:cs="Arial"/>
          <w:bCs/>
          <w:lang w:eastAsia="cs-CZ"/>
        </w:rPr>
        <w:tab/>
        <w:t>21.05.2026</w:t>
      </w:r>
      <w:r w:rsidR="00EB7B11" w:rsidRPr="00ED6435">
        <w:rPr>
          <w:rFonts w:ascii="Arial" w:eastAsia="Times New Roman" w:hAnsi="Arial" w:cs="Arial"/>
          <w:bCs/>
          <w:lang w:eastAsia="cs-CZ"/>
        </w:rPr>
        <w:tab/>
      </w:r>
    </w:p>
    <w:p w14:paraId="42ADA63A" w14:textId="77777777" w:rsidR="00EB7B11" w:rsidRPr="00ED6435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CEEA38" w14:textId="77777777" w:rsidR="00EB7B11" w:rsidRPr="00ED6435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FC3672" w14:textId="77777777" w:rsidR="00EB7B11" w:rsidRPr="00B523F0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CC16D8E" w14:textId="77777777" w:rsidR="00EB7B11" w:rsidRPr="00ED6435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394DEFE" w14:textId="111CA0C3" w:rsidR="00EB7B11" w:rsidRDefault="00EB7B11" w:rsidP="00EB7B11">
      <w:pPr>
        <w:tabs>
          <w:tab w:val="left" w:pos="567"/>
          <w:tab w:val="left" w:pos="5670"/>
        </w:tabs>
        <w:spacing w:after="0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Pr="00DC5358">
        <w:rPr>
          <w:rFonts w:ascii="Arial" w:hAnsi="Arial" w:cs="Arial"/>
          <w:bCs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hAnsi="Arial" w:cs="Arial"/>
          <w:bCs/>
        </w:rPr>
        <w:t>Milan Nový</w:t>
      </w:r>
    </w:p>
    <w:p w14:paraId="4A4B917D" w14:textId="77777777" w:rsidR="00EB7B11" w:rsidRPr="00C452AD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Pr="001B3817">
        <w:rPr>
          <w:rFonts w:ascii="Arial" w:hAnsi="Arial" w:cs="Arial"/>
          <w:bCs/>
        </w:rPr>
        <w:t xml:space="preserve"> </w:t>
      </w:r>
      <w:r w:rsidRPr="00DC5358">
        <w:rPr>
          <w:rFonts w:ascii="Arial" w:hAnsi="Arial" w:cs="Arial"/>
          <w:bCs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213B7A3C" w14:textId="50194A44" w:rsidR="00EB7B11" w:rsidRPr="001B3817" w:rsidRDefault="00EB7B11" w:rsidP="00EB7B11">
      <w:pPr>
        <w:tabs>
          <w:tab w:val="left" w:pos="567"/>
          <w:tab w:val="left" w:pos="5670"/>
        </w:tabs>
        <w:spacing w:after="0"/>
        <w:rPr>
          <w:rFonts w:ascii="Arial" w:hAnsi="Arial" w:cs="Arial"/>
          <w:bCs/>
        </w:rPr>
      </w:pPr>
    </w:p>
    <w:p w14:paraId="35505492" w14:textId="77777777" w:rsidR="00EB7B11" w:rsidRDefault="00EB7B11" w:rsidP="00EB7B11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47928947" w14:textId="77777777" w:rsidR="00EB7B11" w:rsidRPr="001B5655" w:rsidRDefault="00EB7B11" w:rsidP="00EB7B11">
      <w:pPr>
        <w:rPr>
          <w:rFonts w:ascii="Arial" w:hAnsi="Arial" w:cs="Arial"/>
        </w:rPr>
      </w:pPr>
      <w:r w:rsidRPr="001B5655">
        <w:rPr>
          <w:rFonts w:ascii="Arial" w:hAnsi="Arial" w:cs="Arial"/>
        </w:rPr>
        <w:t>Příloha:</w:t>
      </w:r>
    </w:p>
    <w:p w14:paraId="5BA943D4" w14:textId="77777777" w:rsidR="00EB7B11" w:rsidRPr="001B5655" w:rsidRDefault="00EB7B11" w:rsidP="00EB7B11">
      <w:pPr>
        <w:rPr>
          <w:rFonts w:ascii="Arial" w:hAnsi="Arial" w:cs="Arial"/>
        </w:rPr>
      </w:pPr>
      <w:r w:rsidRPr="001B5655">
        <w:rPr>
          <w:rFonts w:ascii="Arial" w:hAnsi="Arial" w:cs="Arial"/>
        </w:rPr>
        <w:t xml:space="preserve">1.Položkový výkaz činností  </w:t>
      </w:r>
    </w:p>
    <w:p w14:paraId="0516C2B3" w14:textId="77777777" w:rsidR="008972E5" w:rsidRDefault="008972E5" w:rsidP="00EB7B11">
      <w:pPr>
        <w:rPr>
          <w:rFonts w:ascii="Arial" w:eastAsia="Times New Roman" w:hAnsi="Arial" w:cs="Arial"/>
          <w:bCs/>
          <w:lang w:eastAsia="cs-CZ"/>
        </w:rPr>
      </w:pPr>
    </w:p>
    <w:p w14:paraId="40A3D1EF" w14:textId="77777777" w:rsidR="00D52AF0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  <w:sectPr w:rsidR="00D52AF0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Pr="00A16782">
        <w:rPr>
          <w:rFonts w:ascii="Arial" w:hAnsi="Arial" w:cs="Arial"/>
        </w:rPr>
        <w:t>Jana Gregořicová</w:t>
      </w:r>
      <w:r w:rsidRPr="00403809">
        <w:rPr>
          <w:rFonts w:ascii="Arial" w:hAnsi="Arial" w:cs="Arial"/>
          <w:b/>
          <w:bCs/>
          <w:snapToGrid w:val="0"/>
        </w:rPr>
        <w:t xml:space="preserve"> </w:t>
      </w:r>
    </w:p>
    <w:p w14:paraId="787DCB7B" w14:textId="77777777" w:rsidR="00EB7B11" w:rsidRPr="00C452AD" w:rsidRDefault="00EB7B11" w:rsidP="00EB7B1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3330"/>
        <w:gridCol w:w="757"/>
        <w:gridCol w:w="811"/>
        <w:gridCol w:w="1348"/>
        <w:gridCol w:w="1307"/>
        <w:gridCol w:w="1430"/>
      </w:tblGrid>
      <w:tr w:rsidR="00D52AF0" w:rsidRPr="00D52AF0" w14:paraId="2B4B22FD" w14:textId="77777777" w:rsidTr="00D52AF0">
        <w:trPr>
          <w:trHeight w:val="74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BFD4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1796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9ACC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84FD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A192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4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B38B4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Č.j.: SPU 176977/2026</w:t>
            </w:r>
          </w:p>
        </w:tc>
      </w:tr>
      <w:tr w:rsidR="00D52AF0" w:rsidRPr="00D52AF0" w14:paraId="6FD957F1" w14:textId="77777777" w:rsidTr="00D52AF0">
        <w:trPr>
          <w:trHeight w:val="74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1654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8D39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B585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AC25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F8CF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4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F04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UID: spudms00000016640691</w:t>
            </w:r>
          </w:p>
        </w:tc>
      </w:tr>
      <w:tr w:rsidR="00D52AF0" w:rsidRPr="00D52AF0" w14:paraId="22A68DD3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AB92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AC9E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2C86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F35D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F2BB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AF67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B020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1CE02A3F" w14:textId="77777777" w:rsidTr="00D52AF0">
        <w:trPr>
          <w:trHeight w:val="425"/>
        </w:trPr>
        <w:tc>
          <w:tcPr>
            <w:tcW w:w="42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951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Položkový výkaz činností –  Příloha ke Smlouvě –  Komplexní pozemkové úpravy Ouběnice u Dobříše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3917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65599E33" w14:textId="77777777" w:rsidTr="00D52AF0">
        <w:trPr>
          <w:trHeight w:val="425"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EC1665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C80CF7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4A394E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293E36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E884B9F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Cena za Měrnou jednotku bez </w:t>
            </w: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DCA051B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bez DPH</w:t>
            </w: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2AE6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52AF0" w:rsidRPr="00D52AF0" w14:paraId="3889F72D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3A17033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4068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ABA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434F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12D7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A157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D6F53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442EEF29" w14:textId="77777777" w:rsidTr="00D52AF0">
        <w:trPr>
          <w:trHeight w:val="425"/>
        </w:trPr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C5C0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17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AD9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11CA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537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CE6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1 650,00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0F7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6 600,00</w:t>
            </w:r>
          </w:p>
        </w:tc>
        <w:tc>
          <w:tcPr>
            <w:tcW w:w="73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719A0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30.4.2024</w:t>
            </w:r>
          </w:p>
        </w:tc>
      </w:tr>
      <w:tr w:rsidR="00D52AF0" w:rsidRPr="00D52AF0" w14:paraId="15CC836A" w14:textId="77777777" w:rsidTr="00D52AF0">
        <w:trPr>
          <w:trHeight w:val="425"/>
        </w:trPr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9D208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6A74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AD0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751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8AA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3 080,00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3BC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30 800,00</w:t>
            </w:r>
          </w:p>
        </w:tc>
        <w:tc>
          <w:tcPr>
            <w:tcW w:w="73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3241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4EAD58D9" w14:textId="77777777" w:rsidTr="00D52AF0">
        <w:trPr>
          <w:trHeight w:val="425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DA330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66B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6BE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5CF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915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770,00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D5B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193 270,00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F2AF95E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31.7.2024</w:t>
            </w:r>
          </w:p>
        </w:tc>
      </w:tr>
      <w:tr w:rsidR="00D52AF0" w:rsidRPr="00D52AF0" w14:paraId="52DE9745" w14:textId="77777777" w:rsidTr="00D52AF0">
        <w:trPr>
          <w:trHeight w:val="425"/>
        </w:trPr>
        <w:tc>
          <w:tcPr>
            <w:tcW w:w="39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6488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E3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1BC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0225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524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2C2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22 000,00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88F2F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0992BED4" w14:textId="77777777" w:rsidTr="00D52AF0">
        <w:trPr>
          <w:trHeight w:val="425"/>
        </w:trPr>
        <w:tc>
          <w:tcPr>
            <w:tcW w:w="39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1738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ADA16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 - doměření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6A38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8C05C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567D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770,00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2CD1A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770,00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74093B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15.11.2024</w:t>
            </w:r>
          </w:p>
        </w:tc>
      </w:tr>
      <w:tr w:rsidR="00D52AF0" w:rsidRPr="00D52AF0" w14:paraId="1F10740F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F8CC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6.2.2 a)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B980B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 - doměření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CE4E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36FAC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FF50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770,00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882C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3 080,00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AE200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31.5.2026</w:t>
            </w:r>
          </w:p>
        </w:tc>
      </w:tr>
      <w:tr w:rsidR="00D52AF0" w:rsidRPr="00D52AF0" w14:paraId="05524EC6" w14:textId="77777777" w:rsidTr="00D52AF0">
        <w:trPr>
          <w:trHeight w:val="479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1150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D17701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CF2EB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F012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C58F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2 860,00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DB1C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454 740,00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E9118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31.3.2025</w:t>
            </w:r>
          </w:p>
        </w:tc>
      </w:tr>
      <w:tr w:rsidR="00D52AF0" w:rsidRPr="00D52AF0" w14:paraId="52595449" w14:textId="77777777" w:rsidTr="00D52AF0">
        <w:trPr>
          <w:trHeight w:val="612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4B68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 a)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FB468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došetření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CCF7E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EB9A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5DF2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E31E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8C81B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30.6.2026</w:t>
            </w:r>
          </w:p>
        </w:tc>
      </w:tr>
      <w:tr w:rsidR="00D52AF0" w:rsidRPr="00D52AF0" w14:paraId="3D61EE8A" w14:textId="77777777" w:rsidTr="00D52AF0">
        <w:trPr>
          <w:trHeight w:val="425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34DF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91BE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8AEDA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C126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A170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3 080,00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2A18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304 920,00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7B185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31.3.2025</w:t>
            </w:r>
          </w:p>
        </w:tc>
      </w:tr>
      <w:tr w:rsidR="00D52AF0" w:rsidRPr="00D52AF0" w14:paraId="09589C20" w14:textId="77777777" w:rsidTr="00D52AF0">
        <w:trPr>
          <w:trHeight w:val="425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906A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517C22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13C5D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9D0BB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271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9578F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550,00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D0FE6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149 050,00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C716F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30.4.2025</w:t>
            </w:r>
          </w:p>
        </w:tc>
      </w:tr>
      <w:tr w:rsidR="00D52AF0" w:rsidRPr="00D52AF0" w14:paraId="5BE3526E" w14:textId="77777777" w:rsidTr="00D52AF0">
        <w:trPr>
          <w:trHeight w:val="425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6A213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88E731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19FCB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01085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271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A9E83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550,00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3E746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149 050,00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5498B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31.8.2025</w:t>
            </w:r>
          </w:p>
        </w:tc>
      </w:tr>
      <w:tr w:rsidR="00D52AF0" w:rsidRPr="00D52AF0" w14:paraId="194A1123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DE266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73C1C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DD4436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8E948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E4A86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1 338 280,00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D5B7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30.6.2026</w:t>
            </w:r>
          </w:p>
        </w:tc>
      </w:tr>
      <w:tr w:rsidR="00D52AF0" w:rsidRPr="00D52AF0" w14:paraId="4E356547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98034C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75473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3A57DB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959F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CC6F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A166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7B108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06703AAC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400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B086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AD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38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905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65BAE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279 400,00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F808A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31.10.2026</w:t>
            </w:r>
          </w:p>
        </w:tc>
      </w:tr>
      <w:tr w:rsidR="00D52AF0" w:rsidRPr="00D52AF0" w14:paraId="70694EE4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789B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BAF1E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A64E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C15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4F7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9588F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27 500,00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70EA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112F3299" w14:textId="77777777" w:rsidTr="00D52AF0">
        <w:trPr>
          <w:trHeight w:val="649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046C3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C59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A66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524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4DD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2 200,00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D78C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33 000,00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FB9F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14CEA966" w14:textId="77777777" w:rsidTr="00D52AF0">
        <w:trPr>
          <w:trHeight w:val="640"/>
        </w:trPr>
        <w:tc>
          <w:tcPr>
            <w:tcW w:w="39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CB9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EF3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F3E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1C5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028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5 500,00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8CA3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5 500,00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D364C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7FE5B33F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565E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c)</w:t>
            </w:r>
          </w:p>
        </w:tc>
        <w:tc>
          <w:tcPr>
            <w:tcW w:w="1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2894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864F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8F0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724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66 000,00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8083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66 000,00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C06B6A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384CA90F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DC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F12DF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11)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C9CE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9BB9F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9D1C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30CC9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25201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06680829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7FC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792BF9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89CF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986D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6D66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7 700,00   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CD1C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7 700,00   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29031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D52AF0" w:rsidRPr="00D52AF0" w14:paraId="72E4723F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C3F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3C7F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B953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83F3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CF6F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4 400,00   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B5C7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4 400,00   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B7091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D52AF0" w:rsidRPr="00D52AF0" w14:paraId="5603A45E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D266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iii)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37621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B717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D8D6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2726E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1 650,00   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B338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1 650,00   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44E7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D52AF0" w:rsidRPr="00D52AF0" w14:paraId="56F96ACC" w14:textId="77777777" w:rsidTr="00D52AF0">
        <w:trPr>
          <w:trHeight w:val="616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824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358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740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42E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81C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1 650,00   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EF6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419 100,00   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EE387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30.4.2027</w:t>
            </w:r>
          </w:p>
        </w:tc>
      </w:tr>
      <w:tr w:rsidR="00D52AF0" w:rsidRPr="00D52AF0" w14:paraId="13810307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3031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19F07A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6CD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129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750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16 500,00   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D07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33 000,00    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58B0B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D52AF0" w:rsidRPr="00D52AF0" w14:paraId="3126099E" w14:textId="77777777" w:rsidTr="00D52AF0">
        <w:trPr>
          <w:trHeight w:val="425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5DD82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39CA8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452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09BE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7B5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8 580,00   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79C3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8 580,00   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165A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52AF0" w:rsidRPr="00D52AF0" w14:paraId="599C4EFE" w14:textId="77777777" w:rsidTr="00D52AF0">
        <w:trPr>
          <w:trHeight w:val="425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BCA9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7D4AD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6D82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EFFC5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B0156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31159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16E6AE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366C4E7A" w14:textId="77777777" w:rsidTr="00D52AF0">
        <w:trPr>
          <w:trHeight w:val="425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F3F7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18B5E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C93A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8525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BBF0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11 550,00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D41B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11 550,00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3E19B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52AF0" w:rsidRPr="00D52AF0" w14:paraId="7462BAA9" w14:textId="77777777" w:rsidTr="00D52AF0">
        <w:trPr>
          <w:trHeight w:val="425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B7A7B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66AA8E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9FCC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232A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D455F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6 600,00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B232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6 600,00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50809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52AF0" w:rsidRPr="00D52AF0" w14:paraId="51A683F4" w14:textId="77777777" w:rsidTr="00D52AF0">
        <w:trPr>
          <w:trHeight w:val="425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9FDC0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iii)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C800E2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D6B4DE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E58F8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BFF09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2 475,00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7D42FE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2 475,00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FF35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52AF0" w:rsidRPr="00D52AF0" w14:paraId="2251C2FE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21087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4DF15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2FFD5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175DB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73A854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906 455,00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D466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43A36003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B2564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6.4</w:t>
            </w:r>
          </w:p>
        </w:tc>
        <w:tc>
          <w:tcPr>
            <w:tcW w:w="17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A3B62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F0ADF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A0E2A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24121C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286,00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D7962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78 078,00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A8828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52AF0" w:rsidRPr="00D52AF0" w14:paraId="052DCC9D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DA7221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D2AAE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F28FA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7E7EB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D02C63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78 078,00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3C01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3DA43E1D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0F5FBA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8415A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01149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3CD19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1F0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4365C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2F1612EC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A890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87D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E951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BAB1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F249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1 338 280,00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A9E07E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004F4086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B6B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28D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1639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4DF0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EA18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906 455,00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E188F0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3B5ED74B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065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BB4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9D4A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06B0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4981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78 078,00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45C337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7E3278C6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2892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381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9608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9C48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34CB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2 322 813,00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C94A42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410BD5C3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49F9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DPH  21% v Kč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D40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48FD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9D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F55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487 790,73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E58AD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224C5A1F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E145F2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930F51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BF8074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AF9684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2E1E85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2 810 603,73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55A29D" w14:textId="77777777" w:rsidR="00D52AF0" w:rsidRPr="00D52AF0" w:rsidRDefault="00D52AF0" w:rsidP="00D52A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78F8A327" w14:textId="77777777" w:rsidTr="00D52AF0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2A1F1E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52AF0" w:rsidRPr="00D52AF0" w14:paraId="367788CF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8068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F5084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0D24F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09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1124A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AREA G. K. spol. s r. o. (reprezentant sdružení)</w:t>
            </w:r>
          </w:p>
        </w:tc>
      </w:tr>
      <w:tr w:rsidR="00D52AF0" w:rsidRPr="00D52AF0" w14:paraId="593DFE04" w14:textId="77777777" w:rsidTr="00D52AF0">
        <w:trPr>
          <w:trHeight w:val="425"/>
        </w:trPr>
        <w:tc>
          <w:tcPr>
            <w:tcW w:w="248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44A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Krajský pozemkový úřad pro Středočeský kraj a hl. m. Praha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E2071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7939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A6862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34801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34FB19E9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6CD60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1A142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44275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686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38D1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9E71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5C35B143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CD693" w14:textId="77777777" w:rsid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elektronického podpisu</w:t>
            </w:r>
          </w:p>
          <w:p w14:paraId="201DD6B7" w14:textId="2A64E788" w:rsidR="00707347" w:rsidRPr="00D52AF0" w:rsidRDefault="00707347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22.05.2026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2E081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B8D47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5D7F8" w14:textId="77777777" w:rsid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elektronického podpisu</w:t>
            </w:r>
          </w:p>
          <w:p w14:paraId="5FD7C385" w14:textId="24EBE101" w:rsidR="00707347" w:rsidRPr="00D52AF0" w:rsidRDefault="00707347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21.05.2026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A04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31662CCD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E3FB8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F2A4A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65EC7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EE8E8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0CB6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627A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E3A7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51D98328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1719D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07643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5ED91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785A7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376E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2FB0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134E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12DC5895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97E0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C7D6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03409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0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90833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„elektronicky podepsáno“</w:t>
            </w:r>
          </w:p>
        </w:tc>
      </w:tr>
      <w:tr w:rsidR="00D52AF0" w:rsidRPr="00D52AF0" w14:paraId="33574B44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F0D9E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A36C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0620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8E78C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Milan Nový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7AB3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14B02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40C34D31" w14:textId="77777777" w:rsidTr="00D52AF0">
        <w:trPr>
          <w:trHeight w:val="425"/>
        </w:trPr>
        <w:tc>
          <w:tcPr>
            <w:tcW w:w="21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F4ABE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291A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8844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4468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Funkce: jednatel společnosti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BC15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6C3C0EB0" w14:textId="77777777" w:rsidTr="00D52AF0">
        <w:trPr>
          <w:trHeight w:val="425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294B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DE993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6A99B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58D3B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7D5D2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9467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43FB0" w14:textId="77777777" w:rsidR="00D52AF0" w:rsidRPr="00D52AF0" w:rsidRDefault="00D52AF0" w:rsidP="00D52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52AF0" w:rsidRPr="00D52AF0" w14:paraId="12094CD4" w14:textId="77777777" w:rsidTr="00D52AF0">
        <w:trPr>
          <w:trHeight w:val="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C6847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D52AF0" w:rsidRPr="00D52AF0" w14:paraId="4FCA8892" w14:textId="77777777" w:rsidTr="00D52AF0">
        <w:trPr>
          <w:trHeight w:val="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51D1D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D52AF0" w:rsidRPr="00D52AF0" w14:paraId="467B1961" w14:textId="77777777" w:rsidTr="00D52AF0">
        <w:trPr>
          <w:trHeight w:val="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63B3B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D52AF0" w:rsidRPr="00D52AF0" w14:paraId="644083E4" w14:textId="77777777" w:rsidTr="00D52AF0">
        <w:trPr>
          <w:trHeight w:val="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97AF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D52AF0" w:rsidRPr="00D52AF0" w14:paraId="0ECB4BC6" w14:textId="77777777" w:rsidTr="00D52AF0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0BA64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D52AF0" w:rsidRPr="00D52AF0" w14:paraId="6C475112" w14:textId="77777777" w:rsidTr="00D52AF0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69C4F" w14:textId="77777777" w:rsidR="00D52AF0" w:rsidRPr="00D52AF0" w:rsidRDefault="00D52AF0" w:rsidP="00D5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52AF0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09206286" w14:textId="6A69696A" w:rsidR="00260AFF" w:rsidRPr="00C452AD" w:rsidRDefault="00260AFF" w:rsidP="00EB7B1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B8F1" w14:textId="77777777" w:rsidR="00853475" w:rsidRDefault="00853475" w:rsidP="007936E4">
      <w:pPr>
        <w:spacing w:after="0"/>
      </w:pPr>
      <w:r>
        <w:separator/>
      </w:r>
    </w:p>
  </w:endnote>
  <w:endnote w:type="continuationSeparator" w:id="0">
    <w:p w14:paraId="2C3458F1" w14:textId="77777777" w:rsidR="00853475" w:rsidRDefault="00853475" w:rsidP="007936E4">
      <w:pPr>
        <w:spacing w:after="0"/>
      </w:pPr>
      <w:r>
        <w:continuationSeparator/>
      </w:r>
    </w:p>
  </w:endnote>
  <w:endnote w:type="continuationNotice" w:id="1">
    <w:p w14:paraId="42D45EAC" w14:textId="77777777" w:rsidR="00853475" w:rsidRDefault="0085347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084A56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52AF0">
      <w:rPr>
        <w:rFonts w:ascii="Arial" w:hAnsi="Arial" w:cs="Arial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F659" w14:textId="55399357" w:rsidR="00D52AF0" w:rsidRPr="00D52AF0" w:rsidRDefault="00D52AF0" w:rsidP="00D52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8BCB" w14:textId="77777777" w:rsidR="00853475" w:rsidRDefault="00853475" w:rsidP="007936E4">
      <w:pPr>
        <w:spacing w:after="0"/>
      </w:pPr>
      <w:r>
        <w:separator/>
      </w:r>
    </w:p>
  </w:footnote>
  <w:footnote w:type="continuationSeparator" w:id="0">
    <w:p w14:paraId="17943EE0" w14:textId="77777777" w:rsidR="00853475" w:rsidRDefault="00853475" w:rsidP="007936E4">
      <w:pPr>
        <w:spacing w:after="0"/>
      </w:pPr>
      <w:r>
        <w:continuationSeparator/>
      </w:r>
    </w:p>
  </w:footnote>
  <w:footnote w:type="continuationNotice" w:id="1">
    <w:p w14:paraId="0FC06490" w14:textId="77777777" w:rsidR="00853475" w:rsidRDefault="0085347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A304" w14:textId="36B5234E" w:rsidR="00734836" w:rsidRDefault="00734836" w:rsidP="0073483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Č.j.: </w:t>
    </w:r>
    <w:r w:rsidRPr="008B3BE7">
      <w:rPr>
        <w:rFonts w:cs="Arial"/>
        <w:sz w:val="18"/>
        <w:szCs w:val="18"/>
        <w:lang w:val="fr-FR" w:eastAsia="cs-CZ"/>
      </w:rPr>
      <w:t>SPU</w:t>
    </w:r>
    <w:r>
      <w:rPr>
        <w:rFonts w:cs="Arial"/>
        <w:sz w:val="18"/>
        <w:szCs w:val="18"/>
        <w:lang w:val="fr-FR" w:eastAsia="cs-CZ"/>
      </w:rPr>
      <w:t xml:space="preserve"> </w:t>
    </w:r>
    <w:r w:rsidRPr="008B3BE7">
      <w:rPr>
        <w:rFonts w:cs="Arial"/>
        <w:sz w:val="18"/>
        <w:szCs w:val="18"/>
        <w:lang w:val="fr-FR" w:eastAsia="cs-CZ"/>
      </w:rPr>
      <w:t>176977/2026</w:t>
    </w:r>
  </w:p>
  <w:p w14:paraId="2F33E4BB" w14:textId="3EED752D" w:rsidR="00734836" w:rsidRDefault="00734836" w:rsidP="0073483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</w:t>
    </w:r>
    <w:r w:rsidRPr="00976B2F">
      <w:rPr>
        <w:rFonts w:cs="Arial"/>
        <w:sz w:val="18"/>
        <w:szCs w:val="18"/>
        <w:lang w:val="fr-FR" w:eastAsia="cs-CZ"/>
      </w:rPr>
      <w:tab/>
    </w:r>
    <w:r w:rsidRPr="00976B2F">
      <w:rPr>
        <w:rFonts w:cs="Arial"/>
        <w:sz w:val="18"/>
        <w:szCs w:val="18"/>
        <w:lang w:val="fr-FR" w:eastAsia="cs-CZ"/>
      </w:rPr>
      <w:tab/>
    </w:r>
    <w:r w:rsidRPr="00AB519F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                                         </w:t>
    </w:r>
    <w:r w:rsidRPr="007E182C">
      <w:rPr>
        <w:rFonts w:cs="Arial"/>
        <w:szCs w:val="16"/>
        <w:lang w:val="fr-FR" w:eastAsia="cs-CZ"/>
      </w:rPr>
      <w:t xml:space="preserve">UID : </w:t>
    </w:r>
    <w:r w:rsidRPr="00B46C1C">
      <w:rPr>
        <w:rFonts w:cs="Arial"/>
        <w:szCs w:val="16"/>
        <w:lang w:val="fr-FR" w:eastAsia="cs-CZ"/>
      </w:rPr>
      <w:t>spudms00000016640691</w:t>
    </w:r>
  </w:p>
  <w:p w14:paraId="2D4AAC78" w14:textId="7F0CF585" w:rsidR="00043079" w:rsidRPr="00734836" w:rsidRDefault="00043079" w:rsidP="0073483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szCs w:val="16"/>
      </w:rPr>
      <w:t xml:space="preserve">Komplexní pozemkové úpravy </w:t>
    </w:r>
    <w:r w:rsidR="000C2192">
      <w:rPr>
        <w:szCs w:val="16"/>
      </w:rPr>
      <w:t>v k.</w:t>
    </w:r>
    <w:r w:rsidR="007A531E" w:rsidRPr="007A531E">
      <w:rPr>
        <w:rFonts w:cs="Arial"/>
        <w:szCs w:val="16"/>
        <w:lang w:eastAsia="cs-CZ"/>
      </w:rPr>
      <w:t xml:space="preserve"> ú</w:t>
    </w:r>
    <w:r w:rsidR="007A531E">
      <w:rPr>
        <w:rFonts w:cs="Arial"/>
        <w:szCs w:val="16"/>
        <w:lang w:eastAsia="cs-CZ"/>
      </w:rPr>
      <w:t>. Ouběnice u Dobříše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F046" w14:textId="55E28FCB" w:rsidR="00D52AF0" w:rsidRPr="00D52AF0" w:rsidRDefault="00D52AF0" w:rsidP="00D52AF0">
    <w:pPr>
      <w:pStyle w:val="07Zkladntext"/>
      <w:rPr>
        <w:rFonts w:ascii="Arial" w:hAnsi="Arial"/>
        <w:sz w:val="16"/>
        <w:szCs w:val="16"/>
      </w:rPr>
    </w:pPr>
    <w:r>
      <w:tab/>
    </w:r>
    <w:r w:rsidRPr="00D52AF0">
      <w:rPr>
        <w:sz w:val="16"/>
        <w:szCs w:val="16"/>
      </w:rPr>
      <w:t xml:space="preserve">                                                                              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52AF0">
      <w:rPr>
        <w:rFonts w:ascii="Arial" w:hAnsi="Arial"/>
        <w:sz w:val="16"/>
        <w:szCs w:val="16"/>
      </w:rPr>
      <w:t>Č.j.: SPU 176977/2026</w:t>
    </w:r>
  </w:p>
  <w:p w14:paraId="02B69AE7" w14:textId="446AF269" w:rsidR="00D52AF0" w:rsidRPr="00D52AF0" w:rsidRDefault="00D52AF0" w:rsidP="00D52AF0">
    <w:pPr>
      <w:pStyle w:val="07Zkladntext"/>
      <w:rPr>
        <w:rFonts w:ascii="Arial" w:hAnsi="Arial"/>
        <w:sz w:val="16"/>
        <w:szCs w:val="16"/>
      </w:rPr>
    </w:pPr>
    <w:r w:rsidRPr="00D52AF0">
      <w:rPr>
        <w:sz w:val="16"/>
        <w:szCs w:val="16"/>
      </w:rPr>
      <w:tab/>
    </w:r>
    <w:r w:rsidRPr="00D52AF0">
      <w:rPr>
        <w:sz w:val="16"/>
        <w:szCs w:val="16"/>
      </w:rPr>
      <w:tab/>
    </w:r>
    <w:r w:rsidRPr="00D52AF0">
      <w:rPr>
        <w:sz w:val="16"/>
        <w:szCs w:val="16"/>
      </w:rPr>
      <w:tab/>
    </w:r>
    <w:r w:rsidRPr="00D52AF0">
      <w:rPr>
        <w:sz w:val="16"/>
        <w:szCs w:val="16"/>
      </w:rPr>
      <w:tab/>
    </w:r>
    <w:r w:rsidRPr="00D52AF0">
      <w:rPr>
        <w:sz w:val="16"/>
        <w:szCs w:val="16"/>
      </w:rPr>
      <w:tab/>
    </w:r>
    <w:r w:rsidRPr="00D52AF0">
      <w:rPr>
        <w:sz w:val="16"/>
        <w:szCs w:val="16"/>
      </w:rPr>
      <w:tab/>
    </w:r>
    <w:r w:rsidRPr="00D52AF0">
      <w:rPr>
        <w:sz w:val="16"/>
        <w:szCs w:val="16"/>
      </w:rPr>
      <w:tab/>
    </w:r>
    <w:r w:rsidRPr="00D52AF0">
      <w:rPr>
        <w:sz w:val="16"/>
        <w:szCs w:val="16"/>
      </w:rPr>
      <w:tab/>
    </w:r>
    <w:r w:rsidRPr="00D52AF0">
      <w:rPr>
        <w:sz w:val="16"/>
        <w:szCs w:val="16"/>
      </w:rPr>
      <w:tab/>
    </w:r>
    <w:r>
      <w:rPr>
        <w:sz w:val="16"/>
        <w:szCs w:val="16"/>
      </w:rPr>
      <w:tab/>
    </w:r>
    <w:r w:rsidRPr="00D52AF0">
      <w:rPr>
        <w:rFonts w:ascii="Arial" w:hAnsi="Arial"/>
        <w:sz w:val="16"/>
        <w:szCs w:val="16"/>
      </w:rPr>
      <w:t>UID : spudms00000016640691</w:t>
    </w:r>
  </w:p>
  <w:p w14:paraId="31AFBC26" w14:textId="326151DB" w:rsidR="007A531E" w:rsidRPr="00D52AF0" w:rsidRDefault="00D52AF0" w:rsidP="00D52AF0">
    <w:pPr>
      <w:pStyle w:val="Zhlav"/>
      <w:pBdr>
        <w:bottom w:val="single" w:sz="4" w:space="1" w:color="auto"/>
      </w:pBdr>
      <w:rPr>
        <w:szCs w:val="16"/>
      </w:rPr>
    </w:pPr>
    <w:r w:rsidRPr="00D52AF0">
      <w:rPr>
        <w:rFonts w:cs="Arial"/>
        <w:szCs w:val="16"/>
        <w:lang w:eastAsia="cs-CZ"/>
      </w:rPr>
      <w:t>Komplexní pozemkové úpravy v k. ú. Ouběnice u Dobříše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C05C" w14:textId="37B8753F" w:rsidR="00D52AF0" w:rsidRPr="00D52AF0" w:rsidRDefault="00D52AF0" w:rsidP="00D52A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857"/>
    <w:rsid w:val="00007496"/>
    <w:rsid w:val="0001135A"/>
    <w:rsid w:val="000125A9"/>
    <w:rsid w:val="0001270D"/>
    <w:rsid w:val="000129D0"/>
    <w:rsid w:val="000129FF"/>
    <w:rsid w:val="00012F3E"/>
    <w:rsid w:val="0001351E"/>
    <w:rsid w:val="00014D51"/>
    <w:rsid w:val="00015425"/>
    <w:rsid w:val="0001592E"/>
    <w:rsid w:val="00016AB1"/>
    <w:rsid w:val="0001701D"/>
    <w:rsid w:val="00017030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3983"/>
    <w:rsid w:val="0002419A"/>
    <w:rsid w:val="00024EBF"/>
    <w:rsid w:val="00025481"/>
    <w:rsid w:val="0002611D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717"/>
    <w:rsid w:val="00042790"/>
    <w:rsid w:val="00042CA0"/>
    <w:rsid w:val="00042D8E"/>
    <w:rsid w:val="00043079"/>
    <w:rsid w:val="000433CE"/>
    <w:rsid w:val="000436AD"/>
    <w:rsid w:val="00043B8E"/>
    <w:rsid w:val="0004417E"/>
    <w:rsid w:val="00044CBE"/>
    <w:rsid w:val="00044DEB"/>
    <w:rsid w:val="000452CD"/>
    <w:rsid w:val="00045DA8"/>
    <w:rsid w:val="00046459"/>
    <w:rsid w:val="00046C44"/>
    <w:rsid w:val="0004784B"/>
    <w:rsid w:val="00050FA0"/>
    <w:rsid w:val="000514AB"/>
    <w:rsid w:val="00051C4E"/>
    <w:rsid w:val="00051DEB"/>
    <w:rsid w:val="00051F45"/>
    <w:rsid w:val="00052027"/>
    <w:rsid w:val="0005310A"/>
    <w:rsid w:val="00053341"/>
    <w:rsid w:val="000536F4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A2E"/>
    <w:rsid w:val="00063CE1"/>
    <w:rsid w:val="000648C7"/>
    <w:rsid w:val="00064C15"/>
    <w:rsid w:val="00064D38"/>
    <w:rsid w:val="0006560F"/>
    <w:rsid w:val="00065B61"/>
    <w:rsid w:val="000664D0"/>
    <w:rsid w:val="000669FB"/>
    <w:rsid w:val="0007122E"/>
    <w:rsid w:val="000713BA"/>
    <w:rsid w:val="00071467"/>
    <w:rsid w:val="00071ADD"/>
    <w:rsid w:val="000721EE"/>
    <w:rsid w:val="00072457"/>
    <w:rsid w:val="000725EF"/>
    <w:rsid w:val="00072804"/>
    <w:rsid w:val="00073431"/>
    <w:rsid w:val="00073465"/>
    <w:rsid w:val="0007348E"/>
    <w:rsid w:val="00073A55"/>
    <w:rsid w:val="00073E29"/>
    <w:rsid w:val="000744BC"/>
    <w:rsid w:val="00074AC4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B65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438"/>
    <w:rsid w:val="0008656A"/>
    <w:rsid w:val="000870DB"/>
    <w:rsid w:val="00087767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46E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2FA8"/>
    <w:rsid w:val="000A3062"/>
    <w:rsid w:val="000A36C1"/>
    <w:rsid w:val="000A37B0"/>
    <w:rsid w:val="000A3A5F"/>
    <w:rsid w:val="000A46AC"/>
    <w:rsid w:val="000A4816"/>
    <w:rsid w:val="000A488A"/>
    <w:rsid w:val="000A4EA8"/>
    <w:rsid w:val="000A5028"/>
    <w:rsid w:val="000A523B"/>
    <w:rsid w:val="000A6425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19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BBC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87C"/>
    <w:rsid w:val="000E1936"/>
    <w:rsid w:val="000E1FA0"/>
    <w:rsid w:val="000E2074"/>
    <w:rsid w:val="000E2380"/>
    <w:rsid w:val="000E2883"/>
    <w:rsid w:val="000E292C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19B0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71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6AD"/>
    <w:rsid w:val="00111732"/>
    <w:rsid w:val="001128F2"/>
    <w:rsid w:val="00112F05"/>
    <w:rsid w:val="00113334"/>
    <w:rsid w:val="00113352"/>
    <w:rsid w:val="00113B80"/>
    <w:rsid w:val="00115810"/>
    <w:rsid w:val="00115F52"/>
    <w:rsid w:val="00117696"/>
    <w:rsid w:val="001204E2"/>
    <w:rsid w:val="001208EE"/>
    <w:rsid w:val="00120D0A"/>
    <w:rsid w:val="001212CE"/>
    <w:rsid w:val="00121AD3"/>
    <w:rsid w:val="00121BF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BEA"/>
    <w:rsid w:val="00127C34"/>
    <w:rsid w:val="001313B9"/>
    <w:rsid w:val="0013226B"/>
    <w:rsid w:val="0013243B"/>
    <w:rsid w:val="00132DD9"/>
    <w:rsid w:val="00133D07"/>
    <w:rsid w:val="00134915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190"/>
    <w:rsid w:val="00147307"/>
    <w:rsid w:val="001500FF"/>
    <w:rsid w:val="001501D9"/>
    <w:rsid w:val="00150A54"/>
    <w:rsid w:val="00151E68"/>
    <w:rsid w:val="00151E7E"/>
    <w:rsid w:val="00152135"/>
    <w:rsid w:val="001525B8"/>
    <w:rsid w:val="0015279B"/>
    <w:rsid w:val="001527A3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448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596"/>
    <w:rsid w:val="001706C9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050"/>
    <w:rsid w:val="0018121A"/>
    <w:rsid w:val="00181DCB"/>
    <w:rsid w:val="00182976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32"/>
    <w:rsid w:val="001854FB"/>
    <w:rsid w:val="00185879"/>
    <w:rsid w:val="00185D00"/>
    <w:rsid w:val="00186343"/>
    <w:rsid w:val="00186D1D"/>
    <w:rsid w:val="00186F08"/>
    <w:rsid w:val="001871EF"/>
    <w:rsid w:val="00187483"/>
    <w:rsid w:val="00187918"/>
    <w:rsid w:val="00187D94"/>
    <w:rsid w:val="0019063D"/>
    <w:rsid w:val="00190D35"/>
    <w:rsid w:val="00190DD1"/>
    <w:rsid w:val="0019136F"/>
    <w:rsid w:val="0019159D"/>
    <w:rsid w:val="00191AB3"/>
    <w:rsid w:val="0019371B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4C5"/>
    <w:rsid w:val="001C658F"/>
    <w:rsid w:val="001C6636"/>
    <w:rsid w:val="001C66DE"/>
    <w:rsid w:val="001C6C1D"/>
    <w:rsid w:val="001C6E8E"/>
    <w:rsid w:val="001C733D"/>
    <w:rsid w:val="001C77BC"/>
    <w:rsid w:val="001C7D82"/>
    <w:rsid w:val="001D09E6"/>
    <w:rsid w:val="001D09F0"/>
    <w:rsid w:val="001D2151"/>
    <w:rsid w:val="001D3991"/>
    <w:rsid w:val="001D3F05"/>
    <w:rsid w:val="001D463D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0F82"/>
    <w:rsid w:val="001E18E0"/>
    <w:rsid w:val="001E1E98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06B"/>
    <w:rsid w:val="00215588"/>
    <w:rsid w:val="002159EA"/>
    <w:rsid w:val="00215E0D"/>
    <w:rsid w:val="00216E03"/>
    <w:rsid w:val="0021777A"/>
    <w:rsid w:val="00217A40"/>
    <w:rsid w:val="00217CC6"/>
    <w:rsid w:val="00217E8B"/>
    <w:rsid w:val="00220574"/>
    <w:rsid w:val="00220B41"/>
    <w:rsid w:val="002212CD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64A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50AC"/>
    <w:rsid w:val="00236317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14B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48EF"/>
    <w:rsid w:val="002550D9"/>
    <w:rsid w:val="00255151"/>
    <w:rsid w:val="00255E0B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548"/>
    <w:rsid w:val="002736AC"/>
    <w:rsid w:val="00273825"/>
    <w:rsid w:val="00273D67"/>
    <w:rsid w:val="0027408D"/>
    <w:rsid w:val="0027431A"/>
    <w:rsid w:val="00274B37"/>
    <w:rsid w:val="00274E0C"/>
    <w:rsid w:val="002756C5"/>
    <w:rsid w:val="00275A06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459"/>
    <w:rsid w:val="00283C94"/>
    <w:rsid w:val="00283F1C"/>
    <w:rsid w:val="002840C7"/>
    <w:rsid w:val="00284163"/>
    <w:rsid w:val="0028504E"/>
    <w:rsid w:val="00286400"/>
    <w:rsid w:val="002867C9"/>
    <w:rsid w:val="00286B6F"/>
    <w:rsid w:val="00287987"/>
    <w:rsid w:val="00290F10"/>
    <w:rsid w:val="00291113"/>
    <w:rsid w:val="00291E5B"/>
    <w:rsid w:val="00292078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3DE7"/>
    <w:rsid w:val="002A46EA"/>
    <w:rsid w:val="002A49A5"/>
    <w:rsid w:val="002A5340"/>
    <w:rsid w:val="002A5411"/>
    <w:rsid w:val="002A5625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7E0"/>
    <w:rsid w:val="002B2B06"/>
    <w:rsid w:val="002B2DDF"/>
    <w:rsid w:val="002B2FE0"/>
    <w:rsid w:val="002B33F6"/>
    <w:rsid w:val="002B374B"/>
    <w:rsid w:val="002B3B15"/>
    <w:rsid w:val="002B3C2A"/>
    <w:rsid w:val="002B3FF1"/>
    <w:rsid w:val="002B414E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ACF"/>
    <w:rsid w:val="002C2DA2"/>
    <w:rsid w:val="002C33DE"/>
    <w:rsid w:val="002C34B5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250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546D"/>
    <w:rsid w:val="002D5B7B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0F4"/>
    <w:rsid w:val="002E21D0"/>
    <w:rsid w:val="002E257F"/>
    <w:rsid w:val="002E26DE"/>
    <w:rsid w:val="002E3664"/>
    <w:rsid w:val="002E3910"/>
    <w:rsid w:val="002E4A7E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3C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1E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467"/>
    <w:rsid w:val="00313870"/>
    <w:rsid w:val="00313ADC"/>
    <w:rsid w:val="00313C9C"/>
    <w:rsid w:val="003149D5"/>
    <w:rsid w:val="0031588C"/>
    <w:rsid w:val="003158CD"/>
    <w:rsid w:val="00315B30"/>
    <w:rsid w:val="003177EF"/>
    <w:rsid w:val="00317E4D"/>
    <w:rsid w:val="00320B98"/>
    <w:rsid w:val="00320F00"/>
    <w:rsid w:val="00321220"/>
    <w:rsid w:val="00321647"/>
    <w:rsid w:val="0032237D"/>
    <w:rsid w:val="003227DC"/>
    <w:rsid w:val="00323728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290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932"/>
    <w:rsid w:val="00337E99"/>
    <w:rsid w:val="00340121"/>
    <w:rsid w:val="003402D2"/>
    <w:rsid w:val="00340DB8"/>
    <w:rsid w:val="0034134A"/>
    <w:rsid w:val="0034150A"/>
    <w:rsid w:val="00341FAE"/>
    <w:rsid w:val="003420A8"/>
    <w:rsid w:val="0034244B"/>
    <w:rsid w:val="003424A9"/>
    <w:rsid w:val="00342E09"/>
    <w:rsid w:val="00343835"/>
    <w:rsid w:val="0034481E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06F"/>
    <w:rsid w:val="00353157"/>
    <w:rsid w:val="00353F04"/>
    <w:rsid w:val="00354192"/>
    <w:rsid w:val="003543A0"/>
    <w:rsid w:val="003546AB"/>
    <w:rsid w:val="00354BC6"/>
    <w:rsid w:val="00355040"/>
    <w:rsid w:val="00355261"/>
    <w:rsid w:val="0035612C"/>
    <w:rsid w:val="003562D8"/>
    <w:rsid w:val="00356454"/>
    <w:rsid w:val="00356A1D"/>
    <w:rsid w:val="00360010"/>
    <w:rsid w:val="00360DD3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D64"/>
    <w:rsid w:val="003736C7"/>
    <w:rsid w:val="003736E7"/>
    <w:rsid w:val="0037386F"/>
    <w:rsid w:val="00373AE7"/>
    <w:rsid w:val="0037403B"/>
    <w:rsid w:val="00375304"/>
    <w:rsid w:val="0037551A"/>
    <w:rsid w:val="00375856"/>
    <w:rsid w:val="00375C14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254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4FF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4DE4"/>
    <w:rsid w:val="003B50A4"/>
    <w:rsid w:val="003B53FD"/>
    <w:rsid w:val="003B5655"/>
    <w:rsid w:val="003B593C"/>
    <w:rsid w:val="003B5BA3"/>
    <w:rsid w:val="003B62E6"/>
    <w:rsid w:val="003B721F"/>
    <w:rsid w:val="003B7DFB"/>
    <w:rsid w:val="003C0848"/>
    <w:rsid w:val="003C093E"/>
    <w:rsid w:val="003C0BF1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5B85"/>
    <w:rsid w:val="003C6F12"/>
    <w:rsid w:val="003C7339"/>
    <w:rsid w:val="003D0904"/>
    <w:rsid w:val="003D2307"/>
    <w:rsid w:val="003D2FD2"/>
    <w:rsid w:val="003D3820"/>
    <w:rsid w:val="003D3CE1"/>
    <w:rsid w:val="003D4866"/>
    <w:rsid w:val="003D48B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123"/>
    <w:rsid w:val="00403809"/>
    <w:rsid w:val="00404486"/>
    <w:rsid w:val="0040495D"/>
    <w:rsid w:val="00404E33"/>
    <w:rsid w:val="00404FB1"/>
    <w:rsid w:val="0040517D"/>
    <w:rsid w:val="004051C8"/>
    <w:rsid w:val="004064E5"/>
    <w:rsid w:val="004073F4"/>
    <w:rsid w:val="004076BB"/>
    <w:rsid w:val="0041048D"/>
    <w:rsid w:val="0041088A"/>
    <w:rsid w:val="00411819"/>
    <w:rsid w:val="00411CDE"/>
    <w:rsid w:val="00411FA7"/>
    <w:rsid w:val="004122C6"/>
    <w:rsid w:val="0041252C"/>
    <w:rsid w:val="00412E62"/>
    <w:rsid w:val="00413339"/>
    <w:rsid w:val="004145A4"/>
    <w:rsid w:val="00414F89"/>
    <w:rsid w:val="004158D8"/>
    <w:rsid w:val="0041744E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017"/>
    <w:rsid w:val="004362E3"/>
    <w:rsid w:val="0043780D"/>
    <w:rsid w:val="00437BAD"/>
    <w:rsid w:val="00440581"/>
    <w:rsid w:val="0044083F"/>
    <w:rsid w:val="0044100B"/>
    <w:rsid w:val="004416DF"/>
    <w:rsid w:val="00441890"/>
    <w:rsid w:val="00442228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0DBB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095"/>
    <w:rsid w:val="004562A0"/>
    <w:rsid w:val="0045784F"/>
    <w:rsid w:val="00460566"/>
    <w:rsid w:val="004610F9"/>
    <w:rsid w:val="004611EF"/>
    <w:rsid w:val="00461EDC"/>
    <w:rsid w:val="00461F25"/>
    <w:rsid w:val="00462580"/>
    <w:rsid w:val="00462A6F"/>
    <w:rsid w:val="00462F02"/>
    <w:rsid w:val="00462F18"/>
    <w:rsid w:val="00463781"/>
    <w:rsid w:val="0046442A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4DA3"/>
    <w:rsid w:val="00475203"/>
    <w:rsid w:val="004754C9"/>
    <w:rsid w:val="004758C4"/>
    <w:rsid w:val="00475B8F"/>
    <w:rsid w:val="004760C7"/>
    <w:rsid w:val="00476D3B"/>
    <w:rsid w:val="00476E79"/>
    <w:rsid w:val="00480150"/>
    <w:rsid w:val="00480D3C"/>
    <w:rsid w:val="004812FF"/>
    <w:rsid w:val="00481B61"/>
    <w:rsid w:val="00481BA2"/>
    <w:rsid w:val="0048228C"/>
    <w:rsid w:val="00482641"/>
    <w:rsid w:val="004831E9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A8"/>
    <w:rsid w:val="004867E1"/>
    <w:rsid w:val="00486CB0"/>
    <w:rsid w:val="00486FE3"/>
    <w:rsid w:val="00487E52"/>
    <w:rsid w:val="004922F1"/>
    <w:rsid w:val="004923DB"/>
    <w:rsid w:val="004924BA"/>
    <w:rsid w:val="00492A10"/>
    <w:rsid w:val="00492E5D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A7D0C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989"/>
    <w:rsid w:val="004C4550"/>
    <w:rsid w:val="004C4899"/>
    <w:rsid w:val="004C49DC"/>
    <w:rsid w:val="004C4CBC"/>
    <w:rsid w:val="004C52F6"/>
    <w:rsid w:val="004C5F02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3AF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E7842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E24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14F"/>
    <w:rsid w:val="00535AF1"/>
    <w:rsid w:val="0053604B"/>
    <w:rsid w:val="00537A46"/>
    <w:rsid w:val="00537D03"/>
    <w:rsid w:val="00537D34"/>
    <w:rsid w:val="0054016B"/>
    <w:rsid w:val="00540278"/>
    <w:rsid w:val="00540A93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06F"/>
    <w:rsid w:val="00547368"/>
    <w:rsid w:val="00547AF4"/>
    <w:rsid w:val="00547FD3"/>
    <w:rsid w:val="005501CE"/>
    <w:rsid w:val="005502C0"/>
    <w:rsid w:val="00550B16"/>
    <w:rsid w:val="00551CF0"/>
    <w:rsid w:val="00552E0B"/>
    <w:rsid w:val="00553621"/>
    <w:rsid w:val="00553DE3"/>
    <w:rsid w:val="00554E00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0E9"/>
    <w:rsid w:val="0056162D"/>
    <w:rsid w:val="005616B2"/>
    <w:rsid w:val="005617AC"/>
    <w:rsid w:val="005620A8"/>
    <w:rsid w:val="0056224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033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2673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449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969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17C"/>
    <w:rsid w:val="005F432A"/>
    <w:rsid w:val="005F4706"/>
    <w:rsid w:val="005F4BFA"/>
    <w:rsid w:val="005F52C9"/>
    <w:rsid w:val="005F54A2"/>
    <w:rsid w:val="005F726A"/>
    <w:rsid w:val="005F7CBB"/>
    <w:rsid w:val="006000B4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3F3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035"/>
    <w:rsid w:val="00620B2E"/>
    <w:rsid w:val="006224C0"/>
    <w:rsid w:val="0062274D"/>
    <w:rsid w:val="00622F03"/>
    <w:rsid w:val="00623AB5"/>
    <w:rsid w:val="00623C16"/>
    <w:rsid w:val="0062419E"/>
    <w:rsid w:val="006246B0"/>
    <w:rsid w:val="00625710"/>
    <w:rsid w:val="00625F29"/>
    <w:rsid w:val="00626291"/>
    <w:rsid w:val="006267CD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42FC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5E81"/>
    <w:rsid w:val="006564CC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01F"/>
    <w:rsid w:val="00665456"/>
    <w:rsid w:val="00665837"/>
    <w:rsid w:val="0066595D"/>
    <w:rsid w:val="00665DE0"/>
    <w:rsid w:val="006674DF"/>
    <w:rsid w:val="006677A3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07F"/>
    <w:rsid w:val="006806AC"/>
    <w:rsid w:val="0068076C"/>
    <w:rsid w:val="006810E8"/>
    <w:rsid w:val="00682382"/>
    <w:rsid w:val="00682A53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A4D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486"/>
    <w:rsid w:val="006A4CC4"/>
    <w:rsid w:val="006A5655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55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09"/>
    <w:rsid w:val="006C1A15"/>
    <w:rsid w:val="006C2957"/>
    <w:rsid w:val="006C31F0"/>
    <w:rsid w:val="006C323D"/>
    <w:rsid w:val="006C3740"/>
    <w:rsid w:val="006C3A84"/>
    <w:rsid w:val="006C3D57"/>
    <w:rsid w:val="006C43AD"/>
    <w:rsid w:val="006C535E"/>
    <w:rsid w:val="006C54B1"/>
    <w:rsid w:val="006C637B"/>
    <w:rsid w:val="006C7BBC"/>
    <w:rsid w:val="006C7EEE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61E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251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835"/>
    <w:rsid w:val="00705F75"/>
    <w:rsid w:val="00706352"/>
    <w:rsid w:val="00706824"/>
    <w:rsid w:val="00707347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59D"/>
    <w:rsid w:val="00717E30"/>
    <w:rsid w:val="0072053E"/>
    <w:rsid w:val="007207C4"/>
    <w:rsid w:val="00720F80"/>
    <w:rsid w:val="00722528"/>
    <w:rsid w:val="00722F00"/>
    <w:rsid w:val="007233D7"/>
    <w:rsid w:val="00723841"/>
    <w:rsid w:val="0072399C"/>
    <w:rsid w:val="007243F5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836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142"/>
    <w:rsid w:val="007533A8"/>
    <w:rsid w:val="007538BB"/>
    <w:rsid w:val="00754573"/>
    <w:rsid w:val="00754587"/>
    <w:rsid w:val="00755D81"/>
    <w:rsid w:val="007562FB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675FE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277"/>
    <w:rsid w:val="0078132B"/>
    <w:rsid w:val="0078253D"/>
    <w:rsid w:val="007828B4"/>
    <w:rsid w:val="00783826"/>
    <w:rsid w:val="00783FBB"/>
    <w:rsid w:val="007846E1"/>
    <w:rsid w:val="00784A42"/>
    <w:rsid w:val="00784C3F"/>
    <w:rsid w:val="00785DC0"/>
    <w:rsid w:val="007905D6"/>
    <w:rsid w:val="00790A76"/>
    <w:rsid w:val="00791617"/>
    <w:rsid w:val="007917C4"/>
    <w:rsid w:val="0079249D"/>
    <w:rsid w:val="007932BE"/>
    <w:rsid w:val="007936E4"/>
    <w:rsid w:val="0079388A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3D58"/>
    <w:rsid w:val="007A4CFB"/>
    <w:rsid w:val="007A531E"/>
    <w:rsid w:val="007A54E4"/>
    <w:rsid w:val="007A5640"/>
    <w:rsid w:val="007A5660"/>
    <w:rsid w:val="007A5799"/>
    <w:rsid w:val="007A5BC9"/>
    <w:rsid w:val="007A6230"/>
    <w:rsid w:val="007A6ABA"/>
    <w:rsid w:val="007A6ACA"/>
    <w:rsid w:val="007A6E7C"/>
    <w:rsid w:val="007A7A16"/>
    <w:rsid w:val="007B058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678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33E0"/>
    <w:rsid w:val="007D3514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0F82"/>
    <w:rsid w:val="007E113B"/>
    <w:rsid w:val="007E1370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9FA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0BC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587"/>
    <w:rsid w:val="00814A2D"/>
    <w:rsid w:val="00815095"/>
    <w:rsid w:val="00816AD6"/>
    <w:rsid w:val="008178E0"/>
    <w:rsid w:val="00820570"/>
    <w:rsid w:val="008205C2"/>
    <w:rsid w:val="00821AEE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8C2"/>
    <w:rsid w:val="00827599"/>
    <w:rsid w:val="008279C0"/>
    <w:rsid w:val="00830273"/>
    <w:rsid w:val="00830A4E"/>
    <w:rsid w:val="00832502"/>
    <w:rsid w:val="00832DB0"/>
    <w:rsid w:val="0083309B"/>
    <w:rsid w:val="008331BB"/>
    <w:rsid w:val="00833336"/>
    <w:rsid w:val="00833AB7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174"/>
    <w:rsid w:val="00850D47"/>
    <w:rsid w:val="00851095"/>
    <w:rsid w:val="008512C3"/>
    <w:rsid w:val="008518AA"/>
    <w:rsid w:val="008527FF"/>
    <w:rsid w:val="00853090"/>
    <w:rsid w:val="00853097"/>
    <w:rsid w:val="00853376"/>
    <w:rsid w:val="00853475"/>
    <w:rsid w:val="008557C1"/>
    <w:rsid w:val="008558F0"/>
    <w:rsid w:val="00855F12"/>
    <w:rsid w:val="00856781"/>
    <w:rsid w:val="00856B00"/>
    <w:rsid w:val="00857781"/>
    <w:rsid w:val="008600D1"/>
    <w:rsid w:val="00860B42"/>
    <w:rsid w:val="008624EC"/>
    <w:rsid w:val="00862DC0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0AC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372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D7"/>
    <w:rsid w:val="00895BF5"/>
    <w:rsid w:val="00895DC6"/>
    <w:rsid w:val="00895E59"/>
    <w:rsid w:val="00896A6E"/>
    <w:rsid w:val="00896F45"/>
    <w:rsid w:val="008972E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3BE7"/>
    <w:rsid w:val="008B4CA1"/>
    <w:rsid w:val="008B5AB4"/>
    <w:rsid w:val="008B60C6"/>
    <w:rsid w:val="008B6313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208"/>
    <w:rsid w:val="008C76AB"/>
    <w:rsid w:val="008C794C"/>
    <w:rsid w:val="008D0AB6"/>
    <w:rsid w:val="008D1061"/>
    <w:rsid w:val="008D1DDA"/>
    <w:rsid w:val="008D21DB"/>
    <w:rsid w:val="008D2DA8"/>
    <w:rsid w:val="008D310F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01A8"/>
    <w:rsid w:val="008F2D4B"/>
    <w:rsid w:val="008F3DB6"/>
    <w:rsid w:val="008F3EE5"/>
    <w:rsid w:val="008F4254"/>
    <w:rsid w:val="008F4522"/>
    <w:rsid w:val="008F521D"/>
    <w:rsid w:val="008F6438"/>
    <w:rsid w:val="008F65D0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3C40"/>
    <w:rsid w:val="00913FC1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C35"/>
    <w:rsid w:val="00935DCA"/>
    <w:rsid w:val="00935E5B"/>
    <w:rsid w:val="00936429"/>
    <w:rsid w:val="00936AC0"/>
    <w:rsid w:val="009372CE"/>
    <w:rsid w:val="009400EF"/>
    <w:rsid w:val="0094057D"/>
    <w:rsid w:val="00940601"/>
    <w:rsid w:val="00940E69"/>
    <w:rsid w:val="00940EB1"/>
    <w:rsid w:val="00941387"/>
    <w:rsid w:val="00941672"/>
    <w:rsid w:val="00941E7C"/>
    <w:rsid w:val="00942067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2E81"/>
    <w:rsid w:val="0095379E"/>
    <w:rsid w:val="00953816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BA2"/>
    <w:rsid w:val="009634E5"/>
    <w:rsid w:val="00963C0C"/>
    <w:rsid w:val="00963F02"/>
    <w:rsid w:val="0096416E"/>
    <w:rsid w:val="009644DA"/>
    <w:rsid w:val="00964850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95E"/>
    <w:rsid w:val="00987DB9"/>
    <w:rsid w:val="00987DBF"/>
    <w:rsid w:val="009901EA"/>
    <w:rsid w:val="009927D7"/>
    <w:rsid w:val="00993142"/>
    <w:rsid w:val="00993395"/>
    <w:rsid w:val="00993D47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0C34"/>
    <w:rsid w:val="009A13CB"/>
    <w:rsid w:val="009A1A0A"/>
    <w:rsid w:val="009A47DA"/>
    <w:rsid w:val="009A4A81"/>
    <w:rsid w:val="009A5AB1"/>
    <w:rsid w:val="009A5DCA"/>
    <w:rsid w:val="009A5DE6"/>
    <w:rsid w:val="009A62AE"/>
    <w:rsid w:val="009A688F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0C2"/>
    <w:rsid w:val="009B5E32"/>
    <w:rsid w:val="009B61DB"/>
    <w:rsid w:val="009B6450"/>
    <w:rsid w:val="009C0148"/>
    <w:rsid w:val="009C0A39"/>
    <w:rsid w:val="009C1C0B"/>
    <w:rsid w:val="009C209E"/>
    <w:rsid w:val="009C2424"/>
    <w:rsid w:val="009C2796"/>
    <w:rsid w:val="009C3124"/>
    <w:rsid w:val="009C3147"/>
    <w:rsid w:val="009C34AA"/>
    <w:rsid w:val="009C39C5"/>
    <w:rsid w:val="009C3DA9"/>
    <w:rsid w:val="009C413B"/>
    <w:rsid w:val="009C4257"/>
    <w:rsid w:val="009C4AE5"/>
    <w:rsid w:val="009C6169"/>
    <w:rsid w:val="009C651F"/>
    <w:rsid w:val="009C6CF9"/>
    <w:rsid w:val="009C7957"/>
    <w:rsid w:val="009C7D43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6DA6"/>
    <w:rsid w:val="009D7AC8"/>
    <w:rsid w:val="009E0270"/>
    <w:rsid w:val="009E02CD"/>
    <w:rsid w:val="009E113C"/>
    <w:rsid w:val="009E145E"/>
    <w:rsid w:val="009E1B34"/>
    <w:rsid w:val="009E271F"/>
    <w:rsid w:val="009E27C4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4D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3B2"/>
    <w:rsid w:val="00A17AE4"/>
    <w:rsid w:val="00A21469"/>
    <w:rsid w:val="00A222D3"/>
    <w:rsid w:val="00A22BB4"/>
    <w:rsid w:val="00A237FF"/>
    <w:rsid w:val="00A238BE"/>
    <w:rsid w:val="00A241D4"/>
    <w:rsid w:val="00A25D5D"/>
    <w:rsid w:val="00A26B27"/>
    <w:rsid w:val="00A26D12"/>
    <w:rsid w:val="00A301B1"/>
    <w:rsid w:val="00A30589"/>
    <w:rsid w:val="00A3084C"/>
    <w:rsid w:val="00A30942"/>
    <w:rsid w:val="00A3100A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67A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1FD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6A6A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B74"/>
    <w:rsid w:val="00AC09E6"/>
    <w:rsid w:val="00AC1BD2"/>
    <w:rsid w:val="00AC40B5"/>
    <w:rsid w:val="00AC4980"/>
    <w:rsid w:val="00AC4FB4"/>
    <w:rsid w:val="00AC54FA"/>
    <w:rsid w:val="00AC5D2F"/>
    <w:rsid w:val="00AC6D6E"/>
    <w:rsid w:val="00AC6F47"/>
    <w:rsid w:val="00AC7165"/>
    <w:rsid w:val="00AC74BE"/>
    <w:rsid w:val="00AC7E2E"/>
    <w:rsid w:val="00AC7E52"/>
    <w:rsid w:val="00AD0FFC"/>
    <w:rsid w:val="00AD11AB"/>
    <w:rsid w:val="00AD1B73"/>
    <w:rsid w:val="00AD1CD1"/>
    <w:rsid w:val="00AD28DB"/>
    <w:rsid w:val="00AD2BC8"/>
    <w:rsid w:val="00AD36F0"/>
    <w:rsid w:val="00AD3A63"/>
    <w:rsid w:val="00AD3DE8"/>
    <w:rsid w:val="00AD5420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E7E7D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181D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0E0"/>
    <w:rsid w:val="00B278FA"/>
    <w:rsid w:val="00B30318"/>
    <w:rsid w:val="00B304FC"/>
    <w:rsid w:val="00B305E3"/>
    <w:rsid w:val="00B310B1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37676"/>
    <w:rsid w:val="00B40314"/>
    <w:rsid w:val="00B41347"/>
    <w:rsid w:val="00B415EE"/>
    <w:rsid w:val="00B42DED"/>
    <w:rsid w:val="00B43737"/>
    <w:rsid w:val="00B43890"/>
    <w:rsid w:val="00B43B3F"/>
    <w:rsid w:val="00B43C5B"/>
    <w:rsid w:val="00B43FF1"/>
    <w:rsid w:val="00B453C8"/>
    <w:rsid w:val="00B45799"/>
    <w:rsid w:val="00B46279"/>
    <w:rsid w:val="00B463E7"/>
    <w:rsid w:val="00B46B7A"/>
    <w:rsid w:val="00B46C1C"/>
    <w:rsid w:val="00B46C7A"/>
    <w:rsid w:val="00B4708C"/>
    <w:rsid w:val="00B4769E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57D4"/>
    <w:rsid w:val="00B5615F"/>
    <w:rsid w:val="00B566FC"/>
    <w:rsid w:val="00B57189"/>
    <w:rsid w:val="00B571F7"/>
    <w:rsid w:val="00B601B8"/>
    <w:rsid w:val="00B601D0"/>
    <w:rsid w:val="00B608B3"/>
    <w:rsid w:val="00B614B5"/>
    <w:rsid w:val="00B615D1"/>
    <w:rsid w:val="00B61A77"/>
    <w:rsid w:val="00B62048"/>
    <w:rsid w:val="00B6261B"/>
    <w:rsid w:val="00B62AAE"/>
    <w:rsid w:val="00B633EE"/>
    <w:rsid w:val="00B63AC7"/>
    <w:rsid w:val="00B64EAB"/>
    <w:rsid w:val="00B64EF4"/>
    <w:rsid w:val="00B65BF7"/>
    <w:rsid w:val="00B6642D"/>
    <w:rsid w:val="00B665BC"/>
    <w:rsid w:val="00B66FB1"/>
    <w:rsid w:val="00B67221"/>
    <w:rsid w:val="00B67F90"/>
    <w:rsid w:val="00B70A10"/>
    <w:rsid w:val="00B7167A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1B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B9D"/>
    <w:rsid w:val="00B93C4A"/>
    <w:rsid w:val="00B93DC4"/>
    <w:rsid w:val="00B941C3"/>
    <w:rsid w:val="00B94A99"/>
    <w:rsid w:val="00B954A9"/>
    <w:rsid w:val="00B95798"/>
    <w:rsid w:val="00B95F9E"/>
    <w:rsid w:val="00B973B9"/>
    <w:rsid w:val="00BA25F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4D7"/>
    <w:rsid w:val="00BB49BD"/>
    <w:rsid w:val="00BB50B8"/>
    <w:rsid w:val="00BB5E1F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3D5C"/>
    <w:rsid w:val="00BC54BD"/>
    <w:rsid w:val="00BC6C67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6EAA"/>
    <w:rsid w:val="00BD7BD4"/>
    <w:rsid w:val="00BD7DD8"/>
    <w:rsid w:val="00BE0367"/>
    <w:rsid w:val="00BE03E0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5FE0"/>
    <w:rsid w:val="00BF6373"/>
    <w:rsid w:val="00BF63BE"/>
    <w:rsid w:val="00BF75F9"/>
    <w:rsid w:val="00BF7C39"/>
    <w:rsid w:val="00C007B3"/>
    <w:rsid w:val="00C018AA"/>
    <w:rsid w:val="00C023E6"/>
    <w:rsid w:val="00C028D5"/>
    <w:rsid w:val="00C033E2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51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4CB1"/>
    <w:rsid w:val="00C15AEB"/>
    <w:rsid w:val="00C15AF9"/>
    <w:rsid w:val="00C15B28"/>
    <w:rsid w:val="00C170DD"/>
    <w:rsid w:val="00C173B7"/>
    <w:rsid w:val="00C1749F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27117"/>
    <w:rsid w:val="00C307C7"/>
    <w:rsid w:val="00C30C63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101"/>
    <w:rsid w:val="00C46218"/>
    <w:rsid w:val="00C463F6"/>
    <w:rsid w:val="00C4651F"/>
    <w:rsid w:val="00C47079"/>
    <w:rsid w:val="00C47971"/>
    <w:rsid w:val="00C50586"/>
    <w:rsid w:val="00C50715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BC9"/>
    <w:rsid w:val="00C57C31"/>
    <w:rsid w:val="00C57D0B"/>
    <w:rsid w:val="00C57DFF"/>
    <w:rsid w:val="00C60377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7A4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60AA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55A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074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B59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902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AE0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1B"/>
    <w:rsid w:val="00CF7B23"/>
    <w:rsid w:val="00CF7E55"/>
    <w:rsid w:val="00D00847"/>
    <w:rsid w:val="00D014C4"/>
    <w:rsid w:val="00D01D2D"/>
    <w:rsid w:val="00D020EC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C2F"/>
    <w:rsid w:val="00D13336"/>
    <w:rsid w:val="00D13490"/>
    <w:rsid w:val="00D138A8"/>
    <w:rsid w:val="00D13B57"/>
    <w:rsid w:val="00D1478C"/>
    <w:rsid w:val="00D14C28"/>
    <w:rsid w:val="00D157CA"/>
    <w:rsid w:val="00D15E3B"/>
    <w:rsid w:val="00D15F51"/>
    <w:rsid w:val="00D167AD"/>
    <w:rsid w:val="00D16C8E"/>
    <w:rsid w:val="00D2036C"/>
    <w:rsid w:val="00D204D7"/>
    <w:rsid w:val="00D20747"/>
    <w:rsid w:val="00D21050"/>
    <w:rsid w:val="00D22353"/>
    <w:rsid w:val="00D22546"/>
    <w:rsid w:val="00D22722"/>
    <w:rsid w:val="00D2290F"/>
    <w:rsid w:val="00D22BB2"/>
    <w:rsid w:val="00D22F3C"/>
    <w:rsid w:val="00D233E8"/>
    <w:rsid w:val="00D234FF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AF2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96D"/>
    <w:rsid w:val="00D46AC5"/>
    <w:rsid w:val="00D46BC9"/>
    <w:rsid w:val="00D478F2"/>
    <w:rsid w:val="00D47981"/>
    <w:rsid w:val="00D47C5C"/>
    <w:rsid w:val="00D50DDD"/>
    <w:rsid w:val="00D51124"/>
    <w:rsid w:val="00D513D1"/>
    <w:rsid w:val="00D5179F"/>
    <w:rsid w:val="00D51EC5"/>
    <w:rsid w:val="00D527A0"/>
    <w:rsid w:val="00D52A3D"/>
    <w:rsid w:val="00D52AF0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4BB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13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E13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2D25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0C8F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C7A5D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B72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27B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12ED"/>
    <w:rsid w:val="00E124C0"/>
    <w:rsid w:val="00E1275C"/>
    <w:rsid w:val="00E137F4"/>
    <w:rsid w:val="00E13F4E"/>
    <w:rsid w:val="00E15BFC"/>
    <w:rsid w:val="00E15E4E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152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3EA3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0E6C"/>
    <w:rsid w:val="00E41CA2"/>
    <w:rsid w:val="00E4262A"/>
    <w:rsid w:val="00E427B2"/>
    <w:rsid w:val="00E42C9C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2D28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57C46"/>
    <w:rsid w:val="00E610E3"/>
    <w:rsid w:val="00E61A27"/>
    <w:rsid w:val="00E629DB"/>
    <w:rsid w:val="00E62EB2"/>
    <w:rsid w:val="00E63F4D"/>
    <w:rsid w:val="00E647CC"/>
    <w:rsid w:val="00E65963"/>
    <w:rsid w:val="00E65FC6"/>
    <w:rsid w:val="00E6601B"/>
    <w:rsid w:val="00E660C0"/>
    <w:rsid w:val="00E6762B"/>
    <w:rsid w:val="00E70361"/>
    <w:rsid w:val="00E7076C"/>
    <w:rsid w:val="00E7175E"/>
    <w:rsid w:val="00E71951"/>
    <w:rsid w:val="00E71A62"/>
    <w:rsid w:val="00E725E0"/>
    <w:rsid w:val="00E725FC"/>
    <w:rsid w:val="00E73894"/>
    <w:rsid w:val="00E73909"/>
    <w:rsid w:val="00E73971"/>
    <w:rsid w:val="00E74541"/>
    <w:rsid w:val="00E74BA4"/>
    <w:rsid w:val="00E74D5E"/>
    <w:rsid w:val="00E75049"/>
    <w:rsid w:val="00E75270"/>
    <w:rsid w:val="00E7558F"/>
    <w:rsid w:val="00E757CC"/>
    <w:rsid w:val="00E759EB"/>
    <w:rsid w:val="00E75BF8"/>
    <w:rsid w:val="00E764E3"/>
    <w:rsid w:val="00E7728F"/>
    <w:rsid w:val="00E77455"/>
    <w:rsid w:val="00E774C8"/>
    <w:rsid w:val="00E774CF"/>
    <w:rsid w:val="00E779EA"/>
    <w:rsid w:val="00E80528"/>
    <w:rsid w:val="00E80C53"/>
    <w:rsid w:val="00E80D2E"/>
    <w:rsid w:val="00E81996"/>
    <w:rsid w:val="00E81C8C"/>
    <w:rsid w:val="00E81EA6"/>
    <w:rsid w:val="00E8265C"/>
    <w:rsid w:val="00E83744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70D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3B1"/>
    <w:rsid w:val="00EB6FF2"/>
    <w:rsid w:val="00EB75F7"/>
    <w:rsid w:val="00EB7758"/>
    <w:rsid w:val="00EB783B"/>
    <w:rsid w:val="00EB7B11"/>
    <w:rsid w:val="00EC0805"/>
    <w:rsid w:val="00EC1291"/>
    <w:rsid w:val="00EC1750"/>
    <w:rsid w:val="00EC304F"/>
    <w:rsid w:val="00EC30A3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5A5"/>
    <w:rsid w:val="00ED4E56"/>
    <w:rsid w:val="00ED6435"/>
    <w:rsid w:val="00ED7114"/>
    <w:rsid w:val="00EE0211"/>
    <w:rsid w:val="00EE1BF1"/>
    <w:rsid w:val="00EE1EA2"/>
    <w:rsid w:val="00EE3339"/>
    <w:rsid w:val="00EE339A"/>
    <w:rsid w:val="00EE3D88"/>
    <w:rsid w:val="00EE4D1B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357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097"/>
    <w:rsid w:val="00F03F32"/>
    <w:rsid w:val="00F040F4"/>
    <w:rsid w:val="00F047B7"/>
    <w:rsid w:val="00F0511C"/>
    <w:rsid w:val="00F05140"/>
    <w:rsid w:val="00F05210"/>
    <w:rsid w:val="00F05BBB"/>
    <w:rsid w:val="00F061C4"/>
    <w:rsid w:val="00F077BD"/>
    <w:rsid w:val="00F100D7"/>
    <w:rsid w:val="00F100FC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1D32"/>
    <w:rsid w:val="00F227A3"/>
    <w:rsid w:val="00F22C40"/>
    <w:rsid w:val="00F22D6F"/>
    <w:rsid w:val="00F241DF"/>
    <w:rsid w:val="00F249A4"/>
    <w:rsid w:val="00F258D4"/>
    <w:rsid w:val="00F263F4"/>
    <w:rsid w:val="00F277EA"/>
    <w:rsid w:val="00F27A83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4CDD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B0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3F54"/>
    <w:rsid w:val="00F64A51"/>
    <w:rsid w:val="00F65596"/>
    <w:rsid w:val="00F65669"/>
    <w:rsid w:val="00F656CF"/>
    <w:rsid w:val="00F664DA"/>
    <w:rsid w:val="00F66910"/>
    <w:rsid w:val="00F66E53"/>
    <w:rsid w:val="00F67ADF"/>
    <w:rsid w:val="00F67B6C"/>
    <w:rsid w:val="00F67F47"/>
    <w:rsid w:val="00F701FB"/>
    <w:rsid w:val="00F70766"/>
    <w:rsid w:val="00F72E75"/>
    <w:rsid w:val="00F72FCD"/>
    <w:rsid w:val="00F73B4A"/>
    <w:rsid w:val="00F73EF7"/>
    <w:rsid w:val="00F73FB9"/>
    <w:rsid w:val="00F759A5"/>
    <w:rsid w:val="00F75BD4"/>
    <w:rsid w:val="00F75E08"/>
    <w:rsid w:val="00F75F9F"/>
    <w:rsid w:val="00F768B7"/>
    <w:rsid w:val="00F76A5A"/>
    <w:rsid w:val="00F77027"/>
    <w:rsid w:val="00F80062"/>
    <w:rsid w:val="00F80322"/>
    <w:rsid w:val="00F80B49"/>
    <w:rsid w:val="00F80B59"/>
    <w:rsid w:val="00F8158B"/>
    <w:rsid w:val="00F816CF"/>
    <w:rsid w:val="00F821DF"/>
    <w:rsid w:val="00F82378"/>
    <w:rsid w:val="00F823FB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166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5A09"/>
    <w:rsid w:val="00F9668C"/>
    <w:rsid w:val="00F96F47"/>
    <w:rsid w:val="00F970E1"/>
    <w:rsid w:val="00F977CC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ED2"/>
    <w:rsid w:val="00FB5371"/>
    <w:rsid w:val="00FB59C5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A58"/>
    <w:rsid w:val="00FD3B2B"/>
    <w:rsid w:val="00FD41D1"/>
    <w:rsid w:val="00FD4238"/>
    <w:rsid w:val="00FD4539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09C6"/>
    <w:rsid w:val="00FE10C8"/>
    <w:rsid w:val="00FE1177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3D4"/>
    <w:rsid w:val="00FE599F"/>
    <w:rsid w:val="00FE5EE5"/>
    <w:rsid w:val="00FF0089"/>
    <w:rsid w:val="00FF02E0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34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0734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0734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na.vondra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2714</Words>
  <Characters>16016</Characters>
  <Application>Microsoft Office Word</Application>
  <DocSecurity>0</DocSecurity>
  <Lines>133</Lines>
  <Paragraphs>37</Paragraphs>
  <ScaleCrop>false</ScaleCrop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367</cp:revision>
  <cp:lastPrinted>2026-05-14T11:46:00Z</cp:lastPrinted>
  <dcterms:created xsi:type="dcterms:W3CDTF">2026-04-10T09:40:00Z</dcterms:created>
  <dcterms:modified xsi:type="dcterms:W3CDTF">2026-05-22T10:26:00Z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