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037AC" w14:textId="77777777" w:rsidR="00730264" w:rsidRPr="00C911CD" w:rsidRDefault="00730264" w:rsidP="00730264">
      <w:pPr>
        <w:spacing w:line="280" w:lineRule="atLeast"/>
        <w:jc w:val="right"/>
        <w:rPr>
          <w:rFonts w:ascii="Palatino Linotype" w:hAnsi="Palatino Linotype" w:cs="Arial"/>
        </w:rPr>
      </w:pPr>
    </w:p>
    <w:p w14:paraId="45C4A237" w14:textId="0B3E6C57" w:rsidR="00730264" w:rsidRPr="00C911CD" w:rsidRDefault="00730264" w:rsidP="00730264">
      <w:pPr>
        <w:spacing w:line="280" w:lineRule="atLeast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C911CD">
        <w:rPr>
          <w:rFonts w:ascii="Palatino Linotype" w:hAnsi="Palatino Linotype" w:cs="Arial"/>
          <w:b/>
          <w:bCs/>
          <w:sz w:val="28"/>
          <w:szCs w:val="28"/>
        </w:rPr>
        <w:t xml:space="preserve">DODATEK č. </w:t>
      </w:r>
      <w:r w:rsidR="00020328">
        <w:rPr>
          <w:rFonts w:ascii="Palatino Linotype" w:hAnsi="Palatino Linotype" w:cs="Arial"/>
          <w:b/>
          <w:bCs/>
          <w:sz w:val="28"/>
          <w:szCs w:val="28"/>
        </w:rPr>
        <w:t>3</w:t>
      </w:r>
    </w:p>
    <w:p w14:paraId="0FB4A07D" w14:textId="77777777" w:rsidR="000B1C45" w:rsidRDefault="000B1C45" w:rsidP="000B1C45">
      <w:pPr>
        <w:spacing w:line="280" w:lineRule="atLeast"/>
        <w:jc w:val="center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>ke Smlouvě o dílo</w:t>
      </w:r>
    </w:p>
    <w:p w14:paraId="239004EE" w14:textId="616E5B05" w:rsidR="00730264" w:rsidRPr="00C911CD" w:rsidRDefault="000B1C45" w:rsidP="000B1C45">
      <w:pPr>
        <w:spacing w:line="280" w:lineRule="atLeast"/>
        <w:jc w:val="center"/>
        <w:rPr>
          <w:rFonts w:ascii="Palatino Linotype" w:hAnsi="Palatino Linotype" w:cs="Arial"/>
          <w:sz w:val="28"/>
          <w:szCs w:val="28"/>
        </w:rPr>
      </w:pPr>
      <w:r w:rsidRPr="000B1C45">
        <w:rPr>
          <w:rFonts w:ascii="Palatino Linotype" w:hAnsi="Palatino Linotype" w:cs="Arial"/>
          <w:b/>
          <w:bCs/>
          <w:sz w:val="28"/>
          <w:szCs w:val="28"/>
        </w:rPr>
        <w:t>na vytvoření převodových vztahů/můstků v oblasti znalostí, dovedností a kompetencí mezi Centrální databází kompetencí</w:t>
      </w:r>
      <w:r>
        <w:rPr>
          <w:rFonts w:ascii="Palatino Linotype" w:hAnsi="Palatino Linotype" w:cs="Arial"/>
          <w:b/>
          <w:bCs/>
          <w:sz w:val="28"/>
          <w:szCs w:val="28"/>
        </w:rPr>
        <w:br/>
      </w:r>
      <w:r w:rsidRPr="000B1C45">
        <w:rPr>
          <w:rFonts w:ascii="Palatino Linotype" w:hAnsi="Palatino Linotype" w:cs="Arial"/>
          <w:b/>
          <w:bCs/>
          <w:sz w:val="28"/>
          <w:szCs w:val="28"/>
        </w:rPr>
        <w:t>a evropskou klasifikací ESCO</w:t>
      </w:r>
    </w:p>
    <w:p w14:paraId="6719D5FB" w14:textId="77777777" w:rsidR="00730264" w:rsidRPr="00C911CD" w:rsidRDefault="00730264" w:rsidP="00730264">
      <w:pPr>
        <w:spacing w:line="280" w:lineRule="atLeast"/>
        <w:rPr>
          <w:rFonts w:ascii="Palatino Linotype" w:hAnsi="Palatino Linotype" w:cs="Arial"/>
        </w:rPr>
      </w:pPr>
    </w:p>
    <w:p w14:paraId="6532EEE0" w14:textId="77777777" w:rsidR="00730264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6E02E868" w14:textId="77777777" w:rsidR="00730264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  <w:r w:rsidRPr="00734383">
        <w:rPr>
          <w:rFonts w:ascii="Palatino Linotype" w:hAnsi="Palatino Linotype" w:cs="Tahoma"/>
          <w:sz w:val="22"/>
        </w:rPr>
        <w:t>Smluvní strany:</w:t>
      </w:r>
    </w:p>
    <w:p w14:paraId="009AC03E" w14:textId="77777777" w:rsidR="00730264" w:rsidRPr="00C911CD" w:rsidRDefault="00730264" w:rsidP="00730264">
      <w:pPr>
        <w:spacing w:line="276" w:lineRule="auto"/>
        <w:ind w:firstLine="360"/>
        <w:rPr>
          <w:rFonts w:ascii="Palatino Linotype" w:hAnsi="Palatino Linotype" w:cs="Tahoma"/>
          <w:sz w:val="22"/>
        </w:rPr>
      </w:pPr>
    </w:p>
    <w:p w14:paraId="4BCDB1B6" w14:textId="77777777" w:rsidR="00730264" w:rsidRPr="0091185B" w:rsidRDefault="00730264" w:rsidP="00730264">
      <w:pPr>
        <w:ind w:firstLine="360"/>
        <w:rPr>
          <w:rFonts w:ascii="Palatino Linotype" w:hAnsi="Palatino Linotype"/>
          <w:sz w:val="22"/>
          <w:szCs w:val="22"/>
        </w:rPr>
      </w:pPr>
      <w:r w:rsidRPr="003225F5">
        <w:rPr>
          <w:rFonts w:ascii="Palatino Linotype" w:hAnsi="Palatino Linotype"/>
          <w:b/>
          <w:bCs/>
          <w:sz w:val="22"/>
          <w:szCs w:val="22"/>
        </w:rPr>
        <w:t xml:space="preserve">Česká republika – </w:t>
      </w:r>
      <w:r w:rsidRPr="003123D0">
        <w:rPr>
          <w:rFonts w:ascii="Palatino Linotype" w:hAnsi="Palatino Linotype"/>
          <w:b/>
          <w:bCs/>
          <w:sz w:val="22"/>
          <w:szCs w:val="22"/>
        </w:rPr>
        <w:t>Ministerstvo práce a sociálních věcí</w:t>
      </w:r>
      <w:r w:rsidRPr="003225F5">
        <w:rPr>
          <w:rFonts w:ascii="Palatino Linotype" w:hAnsi="Palatino Linotype"/>
          <w:b/>
          <w:bCs/>
          <w:sz w:val="22"/>
          <w:szCs w:val="22"/>
        </w:rPr>
        <w:t xml:space="preserve"> </w:t>
      </w:r>
    </w:p>
    <w:p w14:paraId="2D276CE2" w14:textId="77777777" w:rsidR="00730264" w:rsidRPr="003225F5" w:rsidRDefault="00730264" w:rsidP="00730264">
      <w:pPr>
        <w:numPr>
          <w:ilvl w:val="12"/>
          <w:numId w:val="0"/>
        </w:num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se sídlem: 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3123D0">
        <w:rPr>
          <w:rFonts w:ascii="Palatino Linotype" w:hAnsi="Palatino Linotype"/>
          <w:sz w:val="22"/>
          <w:szCs w:val="22"/>
        </w:rPr>
        <w:t>Na Poříčním právu 376/1</w:t>
      </w:r>
      <w:r>
        <w:rPr>
          <w:rFonts w:ascii="Palatino Linotype" w:hAnsi="Palatino Linotype"/>
          <w:sz w:val="22"/>
          <w:szCs w:val="22"/>
        </w:rPr>
        <w:t xml:space="preserve">, </w:t>
      </w:r>
      <w:r w:rsidRPr="003123D0">
        <w:rPr>
          <w:rFonts w:ascii="Palatino Linotype" w:hAnsi="Palatino Linotype"/>
          <w:sz w:val="22"/>
          <w:szCs w:val="22"/>
        </w:rPr>
        <w:t>128 0</w:t>
      </w:r>
      <w:r>
        <w:rPr>
          <w:rFonts w:ascii="Palatino Linotype" w:hAnsi="Palatino Linotype"/>
          <w:sz w:val="22"/>
          <w:szCs w:val="22"/>
        </w:rPr>
        <w:t>0</w:t>
      </w:r>
      <w:r w:rsidRPr="003123D0">
        <w:rPr>
          <w:rFonts w:ascii="Palatino Linotype" w:hAnsi="Palatino Linotype"/>
          <w:sz w:val="22"/>
          <w:szCs w:val="22"/>
        </w:rPr>
        <w:t xml:space="preserve"> Praha 2</w:t>
      </w:r>
    </w:p>
    <w:p w14:paraId="5C88F045" w14:textId="2C3F19B4" w:rsidR="00730264" w:rsidRDefault="00730264" w:rsidP="00730264">
      <w:pPr>
        <w:numPr>
          <w:ilvl w:val="12"/>
          <w:numId w:val="0"/>
        </w:numPr>
        <w:spacing w:line="276" w:lineRule="auto"/>
        <w:ind w:left="2835" w:hanging="2475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="00A75D78" w:rsidRPr="008A7690">
        <w:rPr>
          <w:rFonts w:ascii="Palatino Linotype" w:hAnsi="Palatino Linotype"/>
          <w:i/>
          <w:iCs/>
          <w:sz w:val="22"/>
          <w:szCs w:val="22"/>
        </w:rPr>
        <w:t>neveřejný údaj</w:t>
      </w:r>
      <w:r w:rsidR="001346AC" w:rsidRPr="001346AC">
        <w:rPr>
          <w:rFonts w:ascii="Palatino Linotype" w:hAnsi="Palatino Linotype"/>
          <w:sz w:val="22"/>
          <w:szCs w:val="22"/>
        </w:rPr>
        <w:t>, vrchní</w:t>
      </w:r>
      <w:r w:rsidR="00020328">
        <w:rPr>
          <w:rFonts w:ascii="Palatino Linotype" w:hAnsi="Palatino Linotype"/>
          <w:sz w:val="22"/>
          <w:szCs w:val="22"/>
        </w:rPr>
        <w:t>m</w:t>
      </w:r>
      <w:r w:rsidR="001346AC" w:rsidRPr="001346AC">
        <w:rPr>
          <w:rFonts w:ascii="Palatino Linotype" w:hAnsi="Palatino Linotype"/>
          <w:sz w:val="22"/>
          <w:szCs w:val="22"/>
        </w:rPr>
        <w:t xml:space="preserve"> ředitel</w:t>
      </w:r>
      <w:r w:rsidR="00020328">
        <w:rPr>
          <w:rFonts w:ascii="Palatino Linotype" w:hAnsi="Palatino Linotype"/>
          <w:sz w:val="22"/>
          <w:szCs w:val="22"/>
        </w:rPr>
        <w:t>em</w:t>
      </w:r>
      <w:r w:rsidR="001346AC" w:rsidRPr="001346AC">
        <w:rPr>
          <w:rFonts w:ascii="Palatino Linotype" w:hAnsi="Palatino Linotype"/>
          <w:sz w:val="22"/>
          <w:szCs w:val="22"/>
        </w:rPr>
        <w:t xml:space="preserve"> sekce zaměstnanosti</w:t>
      </w:r>
    </w:p>
    <w:p w14:paraId="0C765C90" w14:textId="77777777" w:rsidR="00730264" w:rsidRPr="003225F5" w:rsidRDefault="00730264" w:rsidP="00730264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>IČO:</w:t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bCs/>
          <w:sz w:val="22"/>
          <w:szCs w:val="22"/>
        </w:rPr>
        <w:t>00551023</w:t>
      </w:r>
    </w:p>
    <w:p w14:paraId="33C9BD74" w14:textId="3DA4070E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 xml:space="preserve">Číslo účtu: 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</w:rPr>
        <w:tab/>
      </w:r>
      <w:r w:rsidR="00A75D78" w:rsidRPr="00A75D78">
        <w:rPr>
          <w:rFonts w:ascii="Palatino Linotype" w:eastAsia="Calibri" w:hAnsi="Palatino Linotype"/>
          <w:b w:val="0"/>
          <w:bCs w:val="0"/>
          <w:i/>
          <w:iCs/>
          <w:sz w:val="22"/>
          <w:szCs w:val="22"/>
          <w:lang w:val="cs-CZ"/>
        </w:rPr>
        <w:t>neveřejný údaj</w:t>
      </w:r>
    </w:p>
    <w:p w14:paraId="5D75ED5F" w14:textId="77777777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  <w:t xml:space="preserve">sc9aavg </w:t>
      </w:r>
    </w:p>
    <w:p w14:paraId="10203460" w14:textId="75E408B4" w:rsidR="00730264" w:rsidRPr="00734383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iCs/>
          <w:sz w:val="22"/>
          <w:szCs w:val="22"/>
        </w:rPr>
      </w:pP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</w:rPr>
        <w:t>(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dále jen</w:t>
      </w:r>
      <w:r w:rsidRPr="00734383">
        <w:rPr>
          <w:rFonts w:ascii="Palatino Linotype" w:hAnsi="Palatino Linotype" w:cs="Tahoma"/>
          <w:iCs/>
          <w:sz w:val="22"/>
          <w:szCs w:val="22"/>
        </w:rPr>
        <w:t xml:space="preserve"> 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„</w:t>
      </w:r>
      <w:r w:rsidRPr="00C911CD">
        <w:rPr>
          <w:rFonts w:ascii="Palatino Linotype" w:hAnsi="Palatino Linotype" w:cs="Tahoma"/>
          <w:bCs w:val="0"/>
          <w:i/>
          <w:iCs/>
          <w:sz w:val="22"/>
          <w:szCs w:val="22"/>
        </w:rPr>
        <w:t>Objednatel</w:t>
      </w:r>
      <w:r w:rsidRPr="00C911CD">
        <w:rPr>
          <w:rFonts w:ascii="Palatino Linotype" w:hAnsi="Palatino Linotype" w:cs="Tahoma"/>
          <w:b w:val="0"/>
          <w:bCs w:val="0"/>
          <w:iCs/>
          <w:sz w:val="22"/>
          <w:szCs w:val="22"/>
        </w:rPr>
        <w:t>“</w:t>
      </w:r>
      <w:r w:rsidRPr="00AF25EC">
        <w:rPr>
          <w:rFonts w:ascii="Palatino Linotype" w:hAnsi="Palatino Linotype" w:cs="Tahoma"/>
          <w:b w:val="0"/>
          <w:bCs w:val="0"/>
          <w:iCs/>
          <w:sz w:val="22"/>
          <w:szCs w:val="22"/>
        </w:rPr>
        <w:t>)</w:t>
      </w:r>
    </w:p>
    <w:p w14:paraId="3E85F8B4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34A2E337" w14:textId="77777777" w:rsidR="00730264" w:rsidRDefault="00730264" w:rsidP="00730264">
      <w:pPr>
        <w:spacing w:line="280" w:lineRule="atLeast"/>
        <w:ind w:firstLine="360"/>
        <w:jc w:val="both"/>
        <w:rPr>
          <w:rFonts w:ascii="Palatino Linotype" w:hAnsi="Palatino Linotype" w:cs="Arial"/>
          <w:iCs/>
        </w:rPr>
      </w:pPr>
      <w:r>
        <w:rPr>
          <w:rFonts w:ascii="Palatino Linotype" w:hAnsi="Palatino Linotype" w:cs="Arial"/>
          <w:iCs/>
        </w:rPr>
        <w:t>a</w:t>
      </w:r>
    </w:p>
    <w:p w14:paraId="67F375F1" w14:textId="77777777" w:rsidR="00730264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02008AE7" w14:textId="77777777" w:rsidR="00730264" w:rsidRPr="00D712F9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TREXIMA, spol. s r.o.</w:t>
      </w:r>
    </w:p>
    <w:p w14:paraId="69DD660E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se sídlem/místo podnikání: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 xml:space="preserve">třída Tomáše Bati 299, 763 02 Zlín – Louky </w:t>
      </w:r>
    </w:p>
    <w:p w14:paraId="6DA11262" w14:textId="4620719B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zastoupena:</w:t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="00A75D78" w:rsidRPr="008A7690">
        <w:rPr>
          <w:rFonts w:ascii="Palatino Linotype" w:hAnsi="Palatino Linotype"/>
          <w:i/>
          <w:iCs/>
          <w:sz w:val="22"/>
          <w:szCs w:val="22"/>
        </w:rPr>
        <w:t>neveřejný údaj</w:t>
      </w:r>
      <w:r w:rsidR="00A6124C" w:rsidRPr="00A6124C">
        <w:rPr>
          <w:rFonts w:ascii="Palatino Linotype" w:hAnsi="Palatino Linotype"/>
          <w:sz w:val="22"/>
          <w:szCs w:val="22"/>
        </w:rPr>
        <w:t>, jednatelk</w:t>
      </w:r>
      <w:r w:rsidR="00A6124C">
        <w:rPr>
          <w:rFonts w:ascii="Palatino Linotype" w:hAnsi="Palatino Linotype"/>
          <w:sz w:val="22"/>
          <w:szCs w:val="22"/>
        </w:rPr>
        <w:t>ou</w:t>
      </w:r>
    </w:p>
    <w:p w14:paraId="574B2EA3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IČ</w:t>
      </w:r>
      <w:r>
        <w:rPr>
          <w:rFonts w:ascii="Palatino Linotype" w:hAnsi="Palatino Linotype" w:cs="Tahoma"/>
          <w:sz w:val="22"/>
          <w:szCs w:val="22"/>
        </w:rPr>
        <w:t>O</w:t>
      </w:r>
      <w:r w:rsidRPr="00734383">
        <w:rPr>
          <w:rFonts w:ascii="Palatino Linotype" w:hAnsi="Palatino Linotype" w:cs="Tahoma"/>
          <w:sz w:val="22"/>
          <w:szCs w:val="22"/>
        </w:rPr>
        <w:t>:</w:t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44004508</w:t>
      </w:r>
    </w:p>
    <w:p w14:paraId="7A4918ED" w14:textId="77777777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DIČ: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>CZ44004508</w:t>
      </w:r>
    </w:p>
    <w:p w14:paraId="614E23A6" w14:textId="685A85BB" w:rsidR="00730264" w:rsidRPr="00734383" w:rsidRDefault="00730264" w:rsidP="00730264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Číslo účtu:</w:t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Pr="00734383">
        <w:rPr>
          <w:rFonts w:ascii="Palatino Linotype" w:hAnsi="Palatino Linotype" w:cs="Tahoma"/>
          <w:sz w:val="22"/>
          <w:szCs w:val="22"/>
        </w:rPr>
        <w:tab/>
      </w:r>
      <w:r w:rsidR="00A75D78" w:rsidRPr="008A7690">
        <w:rPr>
          <w:rFonts w:ascii="Palatino Linotype" w:hAnsi="Palatino Linotype"/>
          <w:i/>
          <w:iCs/>
          <w:sz w:val="22"/>
          <w:szCs w:val="22"/>
        </w:rPr>
        <w:t>neveřejný údaj</w:t>
      </w:r>
    </w:p>
    <w:p w14:paraId="0DBA7259" w14:textId="77777777" w:rsidR="00730264" w:rsidRPr="00C911CD" w:rsidRDefault="00730264" w:rsidP="00730264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</w:pP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>ID datové schránky:</w:t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 w:cs="Tahoma"/>
          <w:b w:val="0"/>
          <w:bCs w:val="0"/>
          <w:sz w:val="22"/>
          <w:szCs w:val="22"/>
          <w:lang w:val="cs-CZ"/>
        </w:rPr>
        <w:tab/>
      </w:r>
      <w:r w:rsidRPr="00C911CD">
        <w:rPr>
          <w:rFonts w:ascii="Palatino Linotype" w:hAnsi="Palatino Linotype"/>
          <w:b w:val="0"/>
          <w:bCs w:val="0"/>
          <w:sz w:val="22"/>
          <w:szCs w:val="22"/>
          <w:lang w:val="cs-CZ"/>
        </w:rPr>
        <w:t>ce2ukrt</w:t>
      </w:r>
    </w:p>
    <w:p w14:paraId="44C1680B" w14:textId="77777777" w:rsidR="00730264" w:rsidRPr="00734383" w:rsidRDefault="00730264" w:rsidP="00730264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 w:cs="Tahoma"/>
          <w:sz w:val="22"/>
          <w:szCs w:val="22"/>
        </w:rPr>
        <w:t xml:space="preserve">Spisová značka </w:t>
      </w:r>
      <w:r w:rsidRPr="00734383">
        <w:rPr>
          <w:rFonts w:ascii="Palatino Linotype" w:hAnsi="Palatino Linotype" w:cs="Tahoma"/>
          <w:sz w:val="22"/>
          <w:szCs w:val="22"/>
        </w:rPr>
        <w:t>v obchodním rejstříku</w:t>
      </w:r>
      <w:r>
        <w:rPr>
          <w:rFonts w:ascii="Palatino Linotype" w:hAnsi="Palatino Linotype" w:cs="Tahoma"/>
          <w:sz w:val="22"/>
          <w:szCs w:val="22"/>
        </w:rPr>
        <w:t xml:space="preserve">: C 3330 vedená u Krajského </w:t>
      </w:r>
      <w:r w:rsidRPr="00734383">
        <w:rPr>
          <w:rFonts w:ascii="Palatino Linotype" w:hAnsi="Palatino Linotype" w:cs="Tahoma"/>
          <w:sz w:val="22"/>
          <w:szCs w:val="22"/>
        </w:rPr>
        <w:t xml:space="preserve">soudu </w:t>
      </w:r>
      <w:r>
        <w:rPr>
          <w:rFonts w:ascii="Palatino Linotype" w:hAnsi="Palatino Linotype" w:cs="Tahoma"/>
          <w:sz w:val="22"/>
          <w:szCs w:val="22"/>
        </w:rPr>
        <w:t>v Brně</w:t>
      </w:r>
    </w:p>
    <w:p w14:paraId="4AC1522D" w14:textId="0A01C97C" w:rsidR="00730264" w:rsidRPr="00734383" w:rsidRDefault="00730264" w:rsidP="00730264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>(dále jen „</w:t>
      </w:r>
      <w:r w:rsidR="00F062E8">
        <w:rPr>
          <w:rFonts w:ascii="Palatino Linotype" w:hAnsi="Palatino Linotype" w:cs="Tahoma"/>
          <w:b/>
          <w:i/>
          <w:sz w:val="22"/>
          <w:szCs w:val="22"/>
        </w:rPr>
        <w:t>Zhotovi</w:t>
      </w:r>
      <w:r>
        <w:rPr>
          <w:rFonts w:ascii="Palatino Linotype" w:hAnsi="Palatino Linotype" w:cs="Tahoma"/>
          <w:b/>
          <w:i/>
          <w:sz w:val="22"/>
          <w:szCs w:val="22"/>
        </w:rPr>
        <w:t>tel</w:t>
      </w:r>
      <w:r>
        <w:rPr>
          <w:rFonts w:ascii="Palatino Linotype" w:hAnsi="Palatino Linotype" w:cs="Tahoma"/>
          <w:sz w:val="22"/>
          <w:szCs w:val="22"/>
        </w:rPr>
        <w:t>“)</w:t>
      </w:r>
    </w:p>
    <w:p w14:paraId="757A5C90" w14:textId="7742D0E5" w:rsidR="00730264" w:rsidRDefault="00730264" w:rsidP="00730264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34383">
        <w:rPr>
          <w:rFonts w:ascii="Palatino Linotype" w:hAnsi="Palatino Linotype" w:cs="Tahoma"/>
          <w:sz w:val="22"/>
          <w:szCs w:val="22"/>
        </w:rPr>
        <w:t xml:space="preserve">(Objednatel a </w:t>
      </w:r>
      <w:r w:rsidR="00F062E8">
        <w:rPr>
          <w:rFonts w:ascii="Palatino Linotype" w:hAnsi="Palatino Linotype" w:cs="Tahoma"/>
          <w:sz w:val="22"/>
          <w:szCs w:val="22"/>
        </w:rPr>
        <w:t>Zhotovi</w:t>
      </w:r>
      <w:r>
        <w:rPr>
          <w:rFonts w:ascii="Palatino Linotype" w:hAnsi="Palatino Linotype" w:cs="Tahoma"/>
          <w:sz w:val="22"/>
          <w:szCs w:val="22"/>
        </w:rPr>
        <w:t>tel</w:t>
      </w:r>
      <w:r w:rsidRPr="00734383">
        <w:rPr>
          <w:rFonts w:ascii="Palatino Linotype" w:hAnsi="Palatino Linotype" w:cs="Tahoma"/>
          <w:sz w:val="22"/>
          <w:szCs w:val="22"/>
        </w:rPr>
        <w:t xml:space="preserve"> dále jednotlivě též jen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strana</w:t>
      </w:r>
      <w:r w:rsidRPr="00734383">
        <w:rPr>
          <w:rFonts w:ascii="Palatino Linotype" w:hAnsi="Palatino Linotype" w:cs="Tahoma"/>
          <w:sz w:val="22"/>
          <w:szCs w:val="22"/>
        </w:rPr>
        <w:t>“ nebo společně „</w:t>
      </w:r>
      <w:r w:rsidRPr="00734383">
        <w:rPr>
          <w:rFonts w:ascii="Palatino Linotype" w:hAnsi="Palatino Linotype" w:cs="Tahoma"/>
          <w:b/>
          <w:i/>
          <w:sz w:val="22"/>
          <w:szCs w:val="22"/>
        </w:rPr>
        <w:t>Smluvní strany</w:t>
      </w:r>
      <w:r w:rsidRPr="00734383">
        <w:rPr>
          <w:rFonts w:ascii="Palatino Linotype" w:hAnsi="Palatino Linotype" w:cs="Tahoma"/>
          <w:sz w:val="22"/>
          <w:szCs w:val="22"/>
        </w:rPr>
        <w:t>“)</w:t>
      </w:r>
    </w:p>
    <w:p w14:paraId="723E06CE" w14:textId="77777777" w:rsidR="00730264" w:rsidRPr="0001207E" w:rsidRDefault="00730264" w:rsidP="00730264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14:paraId="50980ED6" w14:textId="38175538" w:rsidR="00730264" w:rsidRPr="0001207E" w:rsidRDefault="00730264" w:rsidP="00730264">
      <w:pPr>
        <w:pStyle w:val="RLdajeosmluvnstran"/>
        <w:rPr>
          <w:rFonts w:ascii="Palatino Linotype" w:hAnsi="Palatino Linotype" w:cs="Calibri"/>
          <w:sz w:val="22"/>
          <w:szCs w:val="22"/>
          <w:lang w:val="cs-CZ"/>
        </w:rPr>
      </w:pPr>
      <w:r w:rsidRPr="0001207E">
        <w:rPr>
          <w:rFonts w:ascii="Palatino Linotype" w:hAnsi="Palatino Linotype"/>
          <w:sz w:val="22"/>
          <w:szCs w:val="22"/>
        </w:rPr>
        <w:t xml:space="preserve">uzavírají v souladu s ustanovením § </w:t>
      </w:r>
      <w:r w:rsidR="00F062E8">
        <w:rPr>
          <w:rFonts w:ascii="Palatino Linotype" w:hAnsi="Palatino Linotype"/>
          <w:sz w:val="22"/>
          <w:szCs w:val="22"/>
        </w:rPr>
        <w:t>2586</w:t>
      </w:r>
      <w:r w:rsidRPr="0001207E">
        <w:rPr>
          <w:rFonts w:ascii="Palatino Linotype" w:hAnsi="Palatino Linotype"/>
          <w:sz w:val="22"/>
          <w:szCs w:val="22"/>
        </w:rPr>
        <w:t xml:space="preserve"> </w:t>
      </w:r>
      <w:r w:rsidR="00F062E8">
        <w:rPr>
          <w:rFonts w:ascii="Palatino Linotype" w:hAnsi="Palatino Linotype"/>
          <w:sz w:val="22"/>
          <w:szCs w:val="22"/>
        </w:rPr>
        <w:t>a násl.</w:t>
      </w:r>
      <w:r w:rsidRPr="0001207E">
        <w:rPr>
          <w:rFonts w:ascii="Palatino Linotype" w:hAnsi="Palatino Linotype"/>
          <w:sz w:val="22"/>
          <w:szCs w:val="22"/>
        </w:rPr>
        <w:t xml:space="preserve"> zákona č. 89/2012 Sb., občanský zákoník, ve znění pozdějších předpisů (dále jen „</w:t>
      </w:r>
      <w:r w:rsidRPr="0001207E">
        <w:rPr>
          <w:rFonts w:ascii="Palatino Linotype" w:hAnsi="Palatino Linotype"/>
          <w:b/>
          <w:i/>
          <w:sz w:val="22"/>
          <w:szCs w:val="22"/>
        </w:rPr>
        <w:t>Občanský zákoník</w:t>
      </w:r>
      <w:r w:rsidRPr="0001207E">
        <w:rPr>
          <w:rFonts w:ascii="Palatino Linotype" w:hAnsi="Palatino Linotype"/>
          <w:sz w:val="22"/>
          <w:szCs w:val="22"/>
        </w:rPr>
        <w:t xml:space="preserve">“) </w:t>
      </w:r>
      <w:r w:rsidRPr="0001207E">
        <w:rPr>
          <w:rFonts w:ascii="Palatino Linotype" w:hAnsi="Palatino Linotype"/>
          <w:bCs/>
          <w:sz w:val="22"/>
          <w:szCs w:val="22"/>
          <w:lang w:val="cs-CZ"/>
        </w:rPr>
        <w:t>tento</w:t>
      </w:r>
    </w:p>
    <w:p w14:paraId="747E0746" w14:textId="77777777" w:rsidR="00730264" w:rsidRPr="00BF5C7D" w:rsidRDefault="00730264" w:rsidP="00730264">
      <w:pPr>
        <w:pStyle w:val="RLdajeosmluvnstran"/>
        <w:rPr>
          <w:rFonts w:ascii="Palatino Linotype" w:hAnsi="Palatino Linotype" w:cs="Calibri"/>
          <w:szCs w:val="22"/>
          <w:highlight w:val="yellow"/>
        </w:rPr>
      </w:pPr>
    </w:p>
    <w:p w14:paraId="21E9F8F9" w14:textId="4F3827DD" w:rsidR="00730264" w:rsidRPr="00D41F6E" w:rsidRDefault="00730264" w:rsidP="00730264">
      <w:pPr>
        <w:pStyle w:val="RLdajeosmluvnstran"/>
        <w:rPr>
          <w:rFonts w:ascii="Palatino Linotype" w:hAnsi="Palatino Linotype"/>
          <w:szCs w:val="22"/>
        </w:rPr>
      </w:pPr>
      <w:r>
        <w:rPr>
          <w:rFonts w:ascii="Palatino Linotype" w:hAnsi="Palatino Linotype"/>
          <w:b/>
          <w:sz w:val="24"/>
          <w:lang w:val="cs-CZ"/>
        </w:rPr>
        <w:t xml:space="preserve">Dodatek č. </w:t>
      </w:r>
      <w:r w:rsidR="00EE5FDE">
        <w:rPr>
          <w:rFonts w:ascii="Palatino Linotype" w:hAnsi="Palatino Linotype"/>
          <w:b/>
          <w:sz w:val="24"/>
          <w:lang w:val="cs-CZ"/>
        </w:rPr>
        <w:t>3</w:t>
      </w:r>
      <w:r>
        <w:rPr>
          <w:rFonts w:ascii="Palatino Linotype" w:hAnsi="Palatino Linotype"/>
          <w:b/>
          <w:sz w:val="24"/>
          <w:lang w:val="cs-CZ"/>
        </w:rPr>
        <w:t xml:space="preserve"> ke </w:t>
      </w:r>
      <w:bookmarkStart w:id="0" w:name="_Hlk164249424"/>
      <w:r w:rsidRPr="00E77ABF">
        <w:rPr>
          <w:rFonts w:ascii="Palatino Linotype" w:hAnsi="Palatino Linotype"/>
          <w:b/>
          <w:sz w:val="24"/>
        </w:rPr>
        <w:t>Smlouv</w:t>
      </w:r>
      <w:r>
        <w:rPr>
          <w:rFonts w:ascii="Palatino Linotype" w:hAnsi="Palatino Linotype"/>
          <w:b/>
          <w:sz w:val="24"/>
          <w:lang w:val="cs-CZ"/>
        </w:rPr>
        <w:t>ě</w:t>
      </w:r>
      <w:r w:rsidRPr="00E77ABF">
        <w:rPr>
          <w:rFonts w:ascii="Palatino Linotype" w:hAnsi="Palatino Linotype"/>
          <w:b/>
          <w:sz w:val="24"/>
        </w:rPr>
        <w:t xml:space="preserve"> o </w:t>
      </w:r>
      <w:r w:rsidR="00F062E8">
        <w:rPr>
          <w:rFonts w:ascii="Palatino Linotype" w:hAnsi="Palatino Linotype"/>
          <w:b/>
          <w:sz w:val="24"/>
        </w:rPr>
        <w:t>dílo na v</w:t>
      </w:r>
      <w:r w:rsidR="00F062E8" w:rsidRPr="00F062E8">
        <w:rPr>
          <w:rFonts w:ascii="Palatino Linotype" w:hAnsi="Palatino Linotype"/>
          <w:b/>
          <w:sz w:val="24"/>
        </w:rPr>
        <w:t>ytvoření převodových vztahů/můstků v oblasti znalostí, dovedností a kompetencí mezi Centrální databází kompetencí</w:t>
      </w:r>
      <w:r w:rsidR="00F062E8">
        <w:rPr>
          <w:rFonts w:ascii="Palatino Linotype" w:hAnsi="Palatino Linotype"/>
          <w:b/>
          <w:sz w:val="24"/>
        </w:rPr>
        <w:br/>
      </w:r>
      <w:r w:rsidR="00F062E8" w:rsidRPr="00F062E8">
        <w:rPr>
          <w:rFonts w:ascii="Palatino Linotype" w:hAnsi="Palatino Linotype"/>
          <w:b/>
          <w:sz w:val="24"/>
        </w:rPr>
        <w:t>a evropskou klasifikací ESCO</w:t>
      </w:r>
      <w:r>
        <w:rPr>
          <w:rFonts w:ascii="Palatino Linotype" w:hAnsi="Palatino Linotype"/>
          <w:b/>
          <w:sz w:val="24"/>
        </w:rPr>
        <w:t xml:space="preserve"> </w:t>
      </w:r>
      <w:bookmarkEnd w:id="0"/>
      <w:r w:rsidRPr="0001207E">
        <w:rPr>
          <w:rFonts w:ascii="Palatino Linotype" w:hAnsi="Palatino Linotype"/>
          <w:sz w:val="22"/>
          <w:szCs w:val="22"/>
        </w:rPr>
        <w:t xml:space="preserve">(dále jen </w:t>
      </w:r>
      <w:r w:rsidRPr="00AF25EC">
        <w:rPr>
          <w:rFonts w:ascii="Palatino Linotype" w:hAnsi="Palatino Linotype"/>
          <w:bCs/>
          <w:sz w:val="22"/>
          <w:szCs w:val="22"/>
        </w:rPr>
        <w:t>„</w:t>
      </w:r>
      <w:r w:rsidRPr="0001207E">
        <w:rPr>
          <w:rFonts w:ascii="Palatino Linotype" w:hAnsi="Palatino Linotype"/>
          <w:b/>
          <w:i/>
          <w:sz w:val="22"/>
          <w:szCs w:val="22"/>
          <w:lang w:val="cs-CZ"/>
        </w:rPr>
        <w:t xml:space="preserve">Dodatek č. </w:t>
      </w:r>
      <w:r w:rsidR="00EE5FDE">
        <w:rPr>
          <w:rFonts w:ascii="Palatino Linotype" w:hAnsi="Palatino Linotype"/>
          <w:b/>
          <w:i/>
          <w:sz w:val="22"/>
          <w:szCs w:val="22"/>
          <w:lang w:val="cs-CZ"/>
        </w:rPr>
        <w:t>3</w:t>
      </w:r>
      <w:r w:rsidRPr="00AF25EC">
        <w:rPr>
          <w:rFonts w:ascii="Palatino Linotype" w:hAnsi="Palatino Linotype"/>
          <w:bCs/>
          <w:iCs/>
          <w:sz w:val="22"/>
          <w:szCs w:val="22"/>
        </w:rPr>
        <w:t>“</w:t>
      </w:r>
      <w:r w:rsidRPr="0001207E">
        <w:rPr>
          <w:rFonts w:ascii="Palatino Linotype" w:hAnsi="Palatino Linotype"/>
          <w:sz w:val="22"/>
          <w:szCs w:val="22"/>
        </w:rPr>
        <w:t>)</w:t>
      </w:r>
    </w:p>
    <w:p w14:paraId="525C3AA9" w14:textId="77777777" w:rsidR="00730264" w:rsidRPr="00C911CD" w:rsidRDefault="00730264" w:rsidP="00730264">
      <w:pPr>
        <w:spacing w:line="280" w:lineRule="atLeast"/>
        <w:jc w:val="both"/>
        <w:rPr>
          <w:rFonts w:ascii="Palatino Linotype" w:hAnsi="Palatino Linotype" w:cs="Arial"/>
          <w:iCs/>
        </w:rPr>
      </w:pPr>
    </w:p>
    <w:p w14:paraId="0F8A47E3" w14:textId="77777777" w:rsidR="00EE5FDE" w:rsidRDefault="00EE5FDE">
      <w:pPr>
        <w:spacing w:after="160" w:line="259" w:lineRule="auto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br w:type="page"/>
      </w:r>
    </w:p>
    <w:p w14:paraId="3743502B" w14:textId="385E2A51" w:rsidR="00730264" w:rsidRPr="0001207E" w:rsidRDefault="00730264" w:rsidP="00730264">
      <w:pPr>
        <w:spacing w:line="280" w:lineRule="atLeast"/>
        <w:jc w:val="center"/>
        <w:rPr>
          <w:rFonts w:ascii="Palatino Linotype" w:hAnsi="Palatino Linotype"/>
          <w:b/>
          <w:sz w:val="22"/>
          <w:szCs w:val="22"/>
        </w:rPr>
      </w:pPr>
      <w:r w:rsidRPr="0001207E">
        <w:rPr>
          <w:rFonts w:ascii="Palatino Linotype" w:hAnsi="Palatino Linotype"/>
          <w:b/>
          <w:sz w:val="22"/>
          <w:szCs w:val="22"/>
        </w:rPr>
        <w:lastRenderedPageBreak/>
        <w:t>Článek 1</w:t>
      </w:r>
    </w:p>
    <w:p w14:paraId="2C67553E" w14:textId="77777777" w:rsidR="00730264" w:rsidRPr="0001207E" w:rsidRDefault="00730264" w:rsidP="00730264">
      <w:pPr>
        <w:keepNext/>
        <w:keepLines/>
        <w:spacing w:line="280" w:lineRule="atLeast"/>
        <w:jc w:val="center"/>
        <w:rPr>
          <w:rFonts w:ascii="Palatino Linotype" w:hAnsi="Palatino Linotype" w:cs="Arial"/>
          <w:b/>
          <w:bCs/>
          <w:sz w:val="22"/>
          <w:szCs w:val="22"/>
        </w:rPr>
      </w:pPr>
      <w:r w:rsidRPr="0001207E">
        <w:rPr>
          <w:rFonts w:ascii="Palatino Linotype" w:hAnsi="Palatino Linotype" w:cs="Arial"/>
          <w:b/>
          <w:bCs/>
          <w:sz w:val="22"/>
          <w:szCs w:val="22"/>
        </w:rPr>
        <w:t>Úvodní ustanovení</w:t>
      </w:r>
    </w:p>
    <w:p w14:paraId="717D82E5" w14:textId="77777777" w:rsidR="006610F6" w:rsidRPr="006610F6" w:rsidRDefault="00730264" w:rsidP="006610F6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7C3F10">
        <w:rPr>
          <w:rFonts w:ascii="Palatino Linotype" w:hAnsi="Palatino Linotype" w:cs="Arial"/>
          <w:sz w:val="22"/>
          <w:szCs w:val="22"/>
          <w:lang w:val="cs-CZ"/>
        </w:rPr>
        <w:t>Na základě výsledku zadávacího řízení veřejné zakázky s</w:t>
      </w:r>
      <w:r w:rsidR="000B1C45" w:rsidRPr="007C3F1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názvem </w:t>
      </w:r>
      <w:r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0B1C45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Realizace převodových vztahů/můstků v oblasti znalostí, dovedností a kompetencí mezi centrální databází kompetencí</w:t>
      </w:r>
      <w:r w:rsidR="007C3F10">
        <w:rPr>
          <w:rFonts w:ascii="Palatino Linotype" w:hAnsi="Palatino Linotype" w:cs="Arial"/>
          <w:i/>
          <w:iCs/>
          <w:sz w:val="22"/>
          <w:szCs w:val="22"/>
          <w:lang w:val="cs-CZ"/>
        </w:rPr>
        <w:br/>
      </w:r>
      <w:r w:rsidR="000B1C45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a evropskou klasifikací ESCO</w:t>
      </w:r>
      <w:r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4C7217" w:rsidRPr="007C3F10">
        <w:rPr>
          <w:rFonts w:ascii="Palatino Linotype" w:hAnsi="Palatino Linotype" w:cs="Arial"/>
          <w:sz w:val="22"/>
          <w:szCs w:val="22"/>
          <w:lang w:val="cs-CZ"/>
        </w:rPr>
        <w:t xml:space="preserve">, ev. č. ve Věstníku veřejných zakázek: </w:t>
      </w:r>
      <w:r w:rsidR="0044090D" w:rsidRPr="007C3F10">
        <w:rPr>
          <w:rFonts w:ascii="Palatino Linotype" w:hAnsi="Palatino Linotype" w:cs="Arial"/>
          <w:sz w:val="22"/>
          <w:szCs w:val="22"/>
          <w:lang w:val="cs-CZ"/>
        </w:rPr>
        <w:t>Z2024-024640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3C39BA" w:rsidRPr="007C3F10">
        <w:rPr>
          <w:rFonts w:ascii="Palatino Linotype" w:hAnsi="Palatino Linotype" w:cs="Arial"/>
          <w:sz w:val="22"/>
          <w:szCs w:val="22"/>
          <w:lang w:val="cs-CZ"/>
        </w:rPr>
        <w:t xml:space="preserve">(dále jen </w:t>
      </w:r>
      <w:r w:rsidR="003C39BA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3C39BA" w:rsidRPr="007C3F10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Veřejná zakázka</w:t>
      </w:r>
      <w:r w:rsidR="003C39BA" w:rsidRPr="007C3F10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3C39BA" w:rsidRPr="007C3F10">
        <w:rPr>
          <w:rFonts w:ascii="Palatino Linotype" w:hAnsi="Palatino Linotype" w:cs="Arial"/>
          <w:sz w:val="22"/>
          <w:szCs w:val="22"/>
          <w:lang w:val="cs-CZ"/>
        </w:rPr>
        <w:t xml:space="preserve">) 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uzavřely Smluvní strany dne 1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1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. 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9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. 202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4</w:t>
      </w:r>
      <w:r w:rsidRPr="007C3F10">
        <w:rPr>
          <w:rFonts w:ascii="Palatino Linotype" w:hAnsi="Palatino Linotype"/>
          <w:b/>
          <w:sz w:val="24"/>
        </w:rPr>
        <w:t xml:space="preserve"> 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Smlouvu o 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dílo na vytvoření převodových vztahů/můstků v oblasti znalostí, dovedností a kompetencí mezi Centrální databází kompetencí</w:t>
      </w:r>
      <w:r w:rsidR="007C3F1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="007C3F10" w:rsidRPr="007C3F10">
        <w:rPr>
          <w:rFonts w:ascii="Palatino Linotype" w:hAnsi="Palatino Linotype" w:cs="Arial"/>
          <w:sz w:val="22"/>
          <w:szCs w:val="22"/>
          <w:lang w:val="cs-CZ"/>
        </w:rPr>
        <w:t>a evropskou klasifikací ESCO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 (dále jen </w:t>
      </w:r>
      <w:bookmarkStart w:id="1" w:name="_Hlk227136032"/>
      <w:r w:rsidRPr="007C3F10">
        <w:rPr>
          <w:rFonts w:ascii="Palatino Linotype" w:hAnsi="Palatino Linotype" w:cs="Arial"/>
          <w:sz w:val="22"/>
          <w:szCs w:val="22"/>
          <w:lang w:val="cs-CZ"/>
        </w:rPr>
        <w:t>„</w:t>
      </w:r>
      <w:bookmarkEnd w:id="1"/>
      <w:r w:rsidRPr="007C3F10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Smlouva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“) a tato nabyla účinnosti dne 1</w:t>
      </w:r>
      <w:r w:rsidR="00412AE8">
        <w:rPr>
          <w:rFonts w:ascii="Palatino Linotype" w:hAnsi="Palatino Linotype" w:cs="Arial"/>
          <w:sz w:val="22"/>
          <w:szCs w:val="22"/>
          <w:lang w:val="cs-CZ"/>
        </w:rPr>
        <w:t>3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. </w:t>
      </w:r>
      <w:r w:rsidR="00412AE8">
        <w:rPr>
          <w:rFonts w:ascii="Palatino Linotype" w:hAnsi="Palatino Linotype" w:cs="Arial"/>
          <w:sz w:val="22"/>
          <w:szCs w:val="22"/>
          <w:lang w:val="cs-CZ"/>
        </w:rPr>
        <w:t>9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. 202</w:t>
      </w:r>
      <w:r w:rsidR="00412AE8">
        <w:rPr>
          <w:rFonts w:ascii="Palatino Linotype" w:hAnsi="Palatino Linotype" w:cs="Arial"/>
          <w:sz w:val="22"/>
          <w:szCs w:val="22"/>
          <w:lang w:val="cs-CZ"/>
        </w:rPr>
        <w:t>4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 uveřejněním v registru smluv v souladu se </w:t>
      </w:r>
      <w:r w:rsidRPr="007C3F10">
        <w:rPr>
          <w:rFonts w:ascii="Palatino Linotype" w:hAnsi="Palatino Linotype" w:cs="Arial"/>
          <w:sz w:val="22"/>
          <w:szCs w:val="22"/>
        </w:rPr>
        <w:t>zákon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em</w:t>
      </w:r>
      <w:r w:rsidRPr="007C3F10">
        <w:rPr>
          <w:rFonts w:ascii="Palatino Linotype" w:hAnsi="Palatino Linotype" w:cs="Arial"/>
          <w:sz w:val="22"/>
          <w:szCs w:val="22"/>
        </w:rPr>
        <w:t xml:space="preserve"> č. 340/2015 Sb., </w:t>
      </w:r>
      <w:r w:rsidR="003C39BA" w:rsidRPr="007C3F10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7C3F10">
        <w:rPr>
          <w:rFonts w:ascii="Palatino Linotype" w:hAnsi="Palatino Linotype" w:cs="Arial"/>
          <w:sz w:val="22"/>
          <w:szCs w:val="22"/>
        </w:rPr>
        <w:t>o zvláštních podmínkách účinnosti smluv, uveřejňování těchto smluv a o registru smluv,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 xml:space="preserve"> ve znění pozdějších předpisů (dále jen „</w:t>
      </w:r>
      <w:r w:rsidRPr="007C3F10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Zákon o registru smluv</w:t>
      </w:r>
      <w:r w:rsidRPr="007C3F10">
        <w:rPr>
          <w:rFonts w:ascii="Palatino Linotype" w:hAnsi="Palatino Linotype" w:cs="Arial"/>
          <w:sz w:val="22"/>
          <w:szCs w:val="22"/>
          <w:lang w:val="cs-CZ"/>
        </w:rPr>
        <w:t>“).</w:t>
      </w:r>
    </w:p>
    <w:p w14:paraId="133DFA47" w14:textId="6B86BA12" w:rsidR="00730264" w:rsidRDefault="006610F6" w:rsidP="006610F6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6610F6">
        <w:rPr>
          <w:rFonts w:ascii="Palatino Linotype" w:hAnsi="Palatino Linotype" w:cs="Arial"/>
          <w:sz w:val="22"/>
          <w:szCs w:val="22"/>
        </w:rPr>
        <w:t xml:space="preserve">Smluvní strany uzavřely dne 18. 11. 2024 </w:t>
      </w:r>
      <w:r w:rsidR="00267C60">
        <w:rPr>
          <w:rFonts w:ascii="Palatino Linotype" w:hAnsi="Palatino Linotype" w:cs="Arial"/>
          <w:sz w:val="22"/>
          <w:szCs w:val="22"/>
        </w:rPr>
        <w:t>d</w:t>
      </w:r>
      <w:r w:rsidRPr="006610F6">
        <w:rPr>
          <w:rFonts w:ascii="Palatino Linotype" w:hAnsi="Palatino Linotype" w:cs="Arial"/>
          <w:sz w:val="22"/>
          <w:szCs w:val="22"/>
        </w:rPr>
        <w:t>odatek č. 1 ke Smlouvě, který nabyl účinnosti dne 19. 11. 2024 uveřejněním v registru smluv v souladu se Zákonem o registru smluv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78D8543C" w14:textId="6B795FED" w:rsidR="006610F6" w:rsidRDefault="006610F6" w:rsidP="006610F6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6610F6">
        <w:rPr>
          <w:rFonts w:ascii="Palatino Linotype" w:hAnsi="Palatino Linotype" w:cs="Arial"/>
          <w:sz w:val="22"/>
          <w:szCs w:val="22"/>
        </w:rPr>
        <w:t xml:space="preserve">Smluvní strany uzavřely dne </w:t>
      </w:r>
      <w:r>
        <w:rPr>
          <w:rFonts w:ascii="Palatino Linotype" w:hAnsi="Palatino Linotype" w:cs="Arial"/>
          <w:sz w:val="22"/>
          <w:szCs w:val="22"/>
        </w:rPr>
        <w:t>2</w:t>
      </w:r>
      <w:r w:rsidRPr="006610F6">
        <w:rPr>
          <w:rFonts w:ascii="Palatino Linotype" w:hAnsi="Palatino Linotype" w:cs="Arial"/>
          <w:sz w:val="22"/>
          <w:szCs w:val="22"/>
        </w:rPr>
        <w:t xml:space="preserve">8. </w:t>
      </w:r>
      <w:r>
        <w:rPr>
          <w:rFonts w:ascii="Palatino Linotype" w:hAnsi="Palatino Linotype" w:cs="Arial"/>
          <w:sz w:val="22"/>
          <w:szCs w:val="22"/>
        </w:rPr>
        <w:t>5</w:t>
      </w:r>
      <w:r w:rsidRPr="006610F6">
        <w:rPr>
          <w:rFonts w:ascii="Palatino Linotype" w:hAnsi="Palatino Linotype" w:cs="Arial"/>
          <w:sz w:val="22"/>
          <w:szCs w:val="22"/>
        </w:rPr>
        <w:t>. 202</w:t>
      </w:r>
      <w:r>
        <w:rPr>
          <w:rFonts w:ascii="Palatino Linotype" w:hAnsi="Palatino Linotype" w:cs="Arial"/>
          <w:sz w:val="22"/>
          <w:szCs w:val="22"/>
        </w:rPr>
        <w:t>5</w:t>
      </w:r>
      <w:r w:rsidRPr="006610F6">
        <w:rPr>
          <w:rFonts w:ascii="Palatino Linotype" w:hAnsi="Palatino Linotype" w:cs="Arial"/>
          <w:sz w:val="22"/>
          <w:szCs w:val="22"/>
        </w:rPr>
        <w:t xml:space="preserve"> </w:t>
      </w:r>
      <w:r w:rsidR="00267C60">
        <w:rPr>
          <w:rFonts w:ascii="Palatino Linotype" w:hAnsi="Palatino Linotype" w:cs="Arial"/>
          <w:sz w:val="22"/>
          <w:szCs w:val="22"/>
        </w:rPr>
        <w:t>d</w:t>
      </w:r>
      <w:r w:rsidRPr="006610F6">
        <w:rPr>
          <w:rFonts w:ascii="Palatino Linotype" w:hAnsi="Palatino Linotype" w:cs="Arial"/>
          <w:sz w:val="22"/>
          <w:szCs w:val="22"/>
        </w:rPr>
        <w:t xml:space="preserve">odatek č. </w:t>
      </w:r>
      <w:r>
        <w:rPr>
          <w:rFonts w:ascii="Palatino Linotype" w:hAnsi="Palatino Linotype" w:cs="Arial"/>
          <w:sz w:val="22"/>
          <w:szCs w:val="22"/>
        </w:rPr>
        <w:t>2</w:t>
      </w:r>
      <w:r w:rsidRPr="006610F6">
        <w:rPr>
          <w:rFonts w:ascii="Palatino Linotype" w:hAnsi="Palatino Linotype" w:cs="Arial"/>
          <w:sz w:val="22"/>
          <w:szCs w:val="22"/>
        </w:rPr>
        <w:t xml:space="preserve"> ke Smlouvě, který nabyl účinnosti dne </w:t>
      </w:r>
      <w:r>
        <w:rPr>
          <w:rFonts w:ascii="Palatino Linotype" w:hAnsi="Palatino Linotype" w:cs="Arial"/>
          <w:sz w:val="22"/>
          <w:szCs w:val="22"/>
        </w:rPr>
        <w:t>2</w:t>
      </w:r>
      <w:r w:rsidRPr="006610F6">
        <w:rPr>
          <w:rFonts w:ascii="Palatino Linotype" w:hAnsi="Palatino Linotype" w:cs="Arial"/>
          <w:sz w:val="22"/>
          <w:szCs w:val="22"/>
        </w:rPr>
        <w:t xml:space="preserve">9. </w:t>
      </w:r>
      <w:r>
        <w:rPr>
          <w:rFonts w:ascii="Palatino Linotype" w:hAnsi="Palatino Linotype" w:cs="Arial"/>
          <w:sz w:val="22"/>
          <w:szCs w:val="22"/>
        </w:rPr>
        <w:t>5</w:t>
      </w:r>
      <w:r w:rsidRPr="006610F6">
        <w:rPr>
          <w:rFonts w:ascii="Palatino Linotype" w:hAnsi="Palatino Linotype" w:cs="Arial"/>
          <w:sz w:val="22"/>
          <w:szCs w:val="22"/>
        </w:rPr>
        <w:t>. 202</w:t>
      </w:r>
      <w:r>
        <w:rPr>
          <w:rFonts w:ascii="Palatino Linotype" w:hAnsi="Palatino Linotype" w:cs="Arial"/>
          <w:sz w:val="22"/>
          <w:szCs w:val="22"/>
        </w:rPr>
        <w:t>5</w:t>
      </w:r>
      <w:r w:rsidRPr="006610F6">
        <w:rPr>
          <w:rFonts w:ascii="Palatino Linotype" w:hAnsi="Palatino Linotype" w:cs="Arial"/>
          <w:sz w:val="22"/>
          <w:szCs w:val="22"/>
        </w:rPr>
        <w:t xml:space="preserve"> uveřejněním v registru smluv v souladu se Zákonem o registru smluv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12E23E53" w14:textId="117EFCEB" w:rsidR="001E06C5" w:rsidRDefault="00E87906" w:rsidP="00C2557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C25574">
        <w:rPr>
          <w:rFonts w:ascii="Palatino Linotype" w:hAnsi="Palatino Linotype" w:cs="Arial"/>
          <w:sz w:val="22"/>
          <w:szCs w:val="22"/>
        </w:rPr>
        <w:t xml:space="preserve">Důvodem uzavření tohoto Dodatku č. </w:t>
      </w:r>
      <w:r w:rsidR="006E5B85" w:rsidRPr="00C25574">
        <w:rPr>
          <w:rFonts w:ascii="Palatino Linotype" w:hAnsi="Palatino Linotype" w:cs="Arial"/>
          <w:sz w:val="22"/>
          <w:szCs w:val="22"/>
        </w:rPr>
        <w:t>3</w:t>
      </w:r>
      <w:r w:rsidRPr="00C25574">
        <w:rPr>
          <w:rFonts w:ascii="Palatino Linotype" w:hAnsi="Palatino Linotype" w:cs="Arial"/>
          <w:sz w:val="22"/>
          <w:szCs w:val="22"/>
        </w:rPr>
        <w:t xml:space="preserve"> je skutečnost, že </w:t>
      </w:r>
      <w:r w:rsidR="008D0C16" w:rsidRPr="00C25574">
        <w:rPr>
          <w:rFonts w:ascii="Palatino Linotype" w:hAnsi="Palatino Linotype" w:cs="Arial"/>
          <w:sz w:val="22"/>
          <w:szCs w:val="22"/>
        </w:rPr>
        <w:t xml:space="preserve">Evropská komise (dále jen </w:t>
      </w:r>
      <w:r w:rsidR="008D0C16" w:rsidRPr="00C25574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="008D0C16" w:rsidRPr="00C25574"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EK</w:t>
      </w:r>
      <w:r w:rsidR="008D0C16" w:rsidRPr="00C25574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 w:rsidR="008D0C16" w:rsidRPr="00C25574">
        <w:rPr>
          <w:rFonts w:ascii="Palatino Linotype" w:hAnsi="Palatino Linotype" w:cs="Arial"/>
          <w:sz w:val="22"/>
          <w:szCs w:val="22"/>
        </w:rPr>
        <w:t xml:space="preserve">) </w:t>
      </w:r>
      <w:r w:rsidR="00D55B3B" w:rsidRPr="00C25574">
        <w:rPr>
          <w:rFonts w:ascii="Palatino Linotype" w:hAnsi="Palatino Linotype" w:cs="Arial"/>
          <w:sz w:val="22"/>
          <w:szCs w:val="22"/>
        </w:rPr>
        <w:t>před nabytím účinnosti Smlouvy</w:t>
      </w:r>
      <w:r w:rsidR="008D0C16" w:rsidRPr="00C25574">
        <w:rPr>
          <w:rFonts w:ascii="Palatino Linotype" w:hAnsi="Palatino Linotype" w:cs="Arial"/>
          <w:sz w:val="22"/>
          <w:szCs w:val="22"/>
        </w:rPr>
        <w:t xml:space="preserve"> oficiálně představila verzi 1.2. číselníku ES</w:t>
      </w:r>
      <w:r w:rsidR="00763EF9" w:rsidRPr="00C25574">
        <w:rPr>
          <w:rFonts w:ascii="Palatino Linotype" w:hAnsi="Palatino Linotype" w:cs="Arial"/>
          <w:sz w:val="22"/>
          <w:szCs w:val="22"/>
        </w:rPr>
        <w:t>C</w:t>
      </w:r>
      <w:r w:rsidR="008D0C16" w:rsidRPr="00C25574">
        <w:rPr>
          <w:rFonts w:ascii="Palatino Linotype" w:hAnsi="Palatino Linotype" w:cs="Arial"/>
          <w:sz w:val="22"/>
          <w:szCs w:val="22"/>
        </w:rPr>
        <w:t>O.</w:t>
      </w:r>
      <w:r w:rsidR="00C25574" w:rsidRPr="00C25574">
        <w:rPr>
          <w:rFonts w:ascii="Palatino Linotype" w:hAnsi="Palatino Linotype" w:cs="Arial"/>
          <w:sz w:val="22"/>
          <w:szCs w:val="22"/>
        </w:rPr>
        <w:t xml:space="preserve"> Tato verze je sice používána například v HR systémech </w:t>
      </w:r>
      <w:r w:rsidR="00C25574">
        <w:rPr>
          <w:rFonts w:ascii="Palatino Linotype" w:hAnsi="Palatino Linotype" w:cs="Arial"/>
          <w:sz w:val="22"/>
          <w:szCs w:val="22"/>
        </w:rPr>
        <w:t>EK</w:t>
      </w:r>
      <w:r w:rsidR="00C25574" w:rsidRPr="00C25574">
        <w:rPr>
          <w:rFonts w:ascii="Palatino Linotype" w:hAnsi="Palatino Linotype" w:cs="Arial"/>
          <w:sz w:val="22"/>
          <w:szCs w:val="22"/>
        </w:rPr>
        <w:t xml:space="preserve">, ale nebyla dosud implementována do systému EURES, kde je stále používána verze ESCO 1.0.x. Pro verzi 1.0.x je také připravena mapovací platforma ESCO. Z výše uvedených důvodů </w:t>
      </w:r>
      <w:r w:rsidR="00C25574">
        <w:rPr>
          <w:rFonts w:ascii="Palatino Linotype" w:hAnsi="Palatino Linotype" w:cs="Arial"/>
          <w:sz w:val="22"/>
          <w:szCs w:val="22"/>
        </w:rPr>
        <w:t>byl Smluvními stranami uzavřen</w:t>
      </w:r>
      <w:r w:rsidR="00C25574" w:rsidRPr="00C25574">
        <w:rPr>
          <w:rFonts w:ascii="Palatino Linotype" w:hAnsi="Palatino Linotype" w:cs="Arial"/>
          <w:sz w:val="22"/>
          <w:szCs w:val="22"/>
        </w:rPr>
        <w:t xml:space="preserve"> Dodatek č.</w:t>
      </w:r>
      <w:r w:rsidR="00C25574">
        <w:rPr>
          <w:rFonts w:ascii="Palatino Linotype" w:hAnsi="Palatino Linotype" w:cs="Arial"/>
          <w:sz w:val="22"/>
          <w:szCs w:val="22"/>
        </w:rPr>
        <w:t xml:space="preserve"> </w:t>
      </w:r>
      <w:r w:rsidR="00C25574" w:rsidRPr="00C25574">
        <w:rPr>
          <w:rFonts w:ascii="Palatino Linotype" w:hAnsi="Palatino Linotype" w:cs="Arial"/>
          <w:sz w:val="22"/>
          <w:szCs w:val="22"/>
        </w:rPr>
        <w:t xml:space="preserve">1, který stanovuje požadavek </w:t>
      </w:r>
      <w:r w:rsidR="00C25574">
        <w:rPr>
          <w:rFonts w:ascii="Palatino Linotype" w:hAnsi="Palatino Linotype" w:cs="Arial"/>
          <w:sz w:val="22"/>
          <w:szCs w:val="22"/>
        </w:rPr>
        <w:t>Objedn</w:t>
      </w:r>
      <w:r w:rsidR="00C25574" w:rsidRPr="00C25574">
        <w:rPr>
          <w:rFonts w:ascii="Palatino Linotype" w:hAnsi="Palatino Linotype" w:cs="Arial"/>
          <w:sz w:val="22"/>
          <w:szCs w:val="22"/>
        </w:rPr>
        <w:t xml:space="preserve">atele (potvrzený </w:t>
      </w:r>
      <w:r w:rsidR="00C25574">
        <w:rPr>
          <w:rFonts w:ascii="Palatino Linotype" w:hAnsi="Palatino Linotype" w:cs="Arial"/>
          <w:sz w:val="22"/>
          <w:szCs w:val="22"/>
        </w:rPr>
        <w:t>EK</w:t>
      </w:r>
      <w:r w:rsidR="00C25574" w:rsidRPr="00C25574">
        <w:rPr>
          <w:rFonts w:ascii="Palatino Linotype" w:hAnsi="Palatino Linotype" w:cs="Arial"/>
          <w:sz w:val="22"/>
          <w:szCs w:val="22"/>
        </w:rPr>
        <w:t xml:space="preserve">) na tvorbu převodových můstků pro verzi 1.0.x ESCO. Na plenárním zasedání ESCO </w:t>
      </w:r>
      <w:proofErr w:type="spellStart"/>
      <w:r w:rsidR="00C25574" w:rsidRPr="00C25574">
        <w:rPr>
          <w:rFonts w:ascii="Palatino Linotype" w:hAnsi="Palatino Linotype" w:cs="Arial"/>
          <w:sz w:val="22"/>
          <w:szCs w:val="22"/>
        </w:rPr>
        <w:t>Memeber</w:t>
      </w:r>
      <w:proofErr w:type="spellEnd"/>
      <w:r w:rsidR="00C25574" w:rsidRPr="00C25574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C25574" w:rsidRPr="00C25574">
        <w:rPr>
          <w:rFonts w:ascii="Palatino Linotype" w:hAnsi="Palatino Linotype" w:cs="Arial"/>
          <w:sz w:val="22"/>
          <w:szCs w:val="22"/>
        </w:rPr>
        <w:t>States</w:t>
      </w:r>
      <w:proofErr w:type="spellEnd"/>
      <w:r w:rsidR="00C25574" w:rsidRPr="00C25574">
        <w:rPr>
          <w:rFonts w:ascii="Palatino Linotype" w:hAnsi="Palatino Linotype" w:cs="Arial"/>
          <w:sz w:val="22"/>
          <w:szCs w:val="22"/>
        </w:rPr>
        <w:t xml:space="preserve"> </w:t>
      </w:r>
      <w:proofErr w:type="spellStart"/>
      <w:r w:rsidR="00C25574" w:rsidRPr="00C25574">
        <w:rPr>
          <w:rFonts w:ascii="Palatino Linotype" w:hAnsi="Palatino Linotype" w:cs="Arial"/>
          <w:sz w:val="22"/>
          <w:szCs w:val="22"/>
        </w:rPr>
        <w:t>Working</w:t>
      </w:r>
      <w:proofErr w:type="spellEnd"/>
      <w:r w:rsidR="00C25574" w:rsidRPr="00C25574">
        <w:rPr>
          <w:rFonts w:ascii="Palatino Linotype" w:hAnsi="Palatino Linotype" w:cs="Arial"/>
          <w:sz w:val="22"/>
          <w:szCs w:val="22"/>
        </w:rPr>
        <w:t xml:space="preserve"> Group dne 20. 3. 2026 byla ze strany </w:t>
      </w:r>
      <w:r w:rsidR="00C25574">
        <w:rPr>
          <w:rFonts w:ascii="Palatino Linotype" w:hAnsi="Palatino Linotype" w:cs="Arial"/>
          <w:sz w:val="22"/>
          <w:szCs w:val="22"/>
        </w:rPr>
        <w:t>EK</w:t>
      </w:r>
      <w:r w:rsidR="00C25574" w:rsidRPr="00C25574">
        <w:rPr>
          <w:rFonts w:ascii="Palatino Linotype" w:hAnsi="Palatino Linotype" w:cs="Arial"/>
          <w:sz w:val="22"/>
          <w:szCs w:val="22"/>
        </w:rPr>
        <w:t xml:space="preserve"> deklarována jednoznačná snaha verzi 1.0.x v EURES opustit a v dalších systémech, které </w:t>
      </w:r>
      <w:r w:rsidR="00C25574">
        <w:rPr>
          <w:rFonts w:ascii="Palatino Linotype" w:hAnsi="Palatino Linotype" w:cs="Arial"/>
          <w:sz w:val="22"/>
          <w:szCs w:val="22"/>
        </w:rPr>
        <w:t xml:space="preserve">EK </w:t>
      </w:r>
      <w:r w:rsidR="00C25574" w:rsidRPr="00C25574">
        <w:rPr>
          <w:rFonts w:ascii="Palatino Linotype" w:hAnsi="Palatino Linotype" w:cs="Arial"/>
          <w:sz w:val="22"/>
          <w:szCs w:val="22"/>
        </w:rPr>
        <w:t>technicky zajišťuje (Talent Pool, EUROPASS)</w:t>
      </w:r>
      <w:r w:rsidR="0059623C">
        <w:rPr>
          <w:rStyle w:val="Znakapoznpodarou"/>
          <w:rFonts w:ascii="Palatino Linotype" w:hAnsi="Palatino Linotype" w:cs="Arial"/>
          <w:sz w:val="22"/>
          <w:szCs w:val="22"/>
        </w:rPr>
        <w:footnoteReference w:id="1"/>
      </w:r>
      <w:r w:rsidR="00C25574" w:rsidRPr="00C25574">
        <w:rPr>
          <w:rFonts w:ascii="Palatino Linotype" w:hAnsi="Palatino Linotype" w:cs="Arial"/>
          <w:sz w:val="22"/>
          <w:szCs w:val="22"/>
        </w:rPr>
        <w:t xml:space="preserve"> využívat aktuálně platnou verzi ESCO (verze 1.2.1).</w:t>
      </w:r>
    </w:p>
    <w:p w14:paraId="29E0EDEE" w14:textId="00EDF76A" w:rsidR="005360ED" w:rsidRDefault="004331C8" w:rsidP="00C25574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P</w:t>
      </w:r>
      <w:r w:rsidRPr="004331C8">
        <w:rPr>
          <w:rFonts w:ascii="Palatino Linotype" w:hAnsi="Palatino Linotype" w:cs="Arial"/>
          <w:sz w:val="22"/>
          <w:szCs w:val="22"/>
        </w:rPr>
        <w:t>ro Č</w:t>
      </w:r>
      <w:r>
        <w:rPr>
          <w:rFonts w:ascii="Palatino Linotype" w:hAnsi="Palatino Linotype" w:cs="Arial"/>
          <w:sz w:val="22"/>
          <w:szCs w:val="22"/>
        </w:rPr>
        <w:t>eskou republiku</w:t>
      </w:r>
      <w:r w:rsidRPr="004331C8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(dále jen </w:t>
      </w:r>
      <w:r w:rsidRPr="00C25574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>
        <w:rPr>
          <w:rFonts w:ascii="Palatino Linotype" w:hAnsi="Palatino Linotype" w:cs="Arial"/>
          <w:b/>
          <w:bCs/>
          <w:i/>
          <w:iCs/>
          <w:sz w:val="22"/>
          <w:szCs w:val="22"/>
          <w:lang w:val="cs-CZ"/>
        </w:rPr>
        <w:t>ČR</w:t>
      </w:r>
      <w:r w:rsidRPr="00C25574">
        <w:rPr>
          <w:rFonts w:ascii="Palatino Linotype" w:hAnsi="Palatino Linotype" w:cs="Arial"/>
          <w:i/>
          <w:iCs/>
          <w:sz w:val="22"/>
          <w:szCs w:val="22"/>
          <w:lang w:val="cs-CZ"/>
        </w:rPr>
        <w:t>“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4331C8">
        <w:rPr>
          <w:rFonts w:ascii="Palatino Linotype" w:hAnsi="Palatino Linotype" w:cs="Arial"/>
          <w:sz w:val="22"/>
          <w:szCs w:val="22"/>
        </w:rPr>
        <w:t>trvá povinnost podle článku 19 odst. 6 Nařízení (EU) 2016/589, o evropské síti služeb zaměstnanosti (EURES), přístupu pracovníků k službám mobility a prohloubení integrace trhů práce</w:t>
      </w:r>
      <w:r>
        <w:rPr>
          <w:rFonts w:ascii="Palatino Linotype" w:hAnsi="Palatino Linotype" w:cs="Arial"/>
          <w:sz w:val="22"/>
          <w:szCs w:val="22"/>
        </w:rPr>
        <w:t>, které uvádí, že</w:t>
      </w:r>
      <w:r w:rsidRPr="004331C8">
        <w:rPr>
          <w:rFonts w:ascii="Palatino Linotype" w:hAnsi="Palatino Linotype" w:cs="Arial"/>
          <w:sz w:val="22"/>
          <w:szCs w:val="22"/>
        </w:rPr>
        <w:t xml:space="preserve"> </w:t>
      </w:r>
      <w:r w:rsidRPr="004331C8">
        <w:rPr>
          <w:rFonts w:ascii="Palatino Linotype" w:hAnsi="Palatino Linotype" w:cs="Arial"/>
          <w:i/>
          <w:iCs/>
          <w:sz w:val="22"/>
          <w:szCs w:val="22"/>
        </w:rPr>
        <w:t>„pokud členský stát nepoužívá evropskou klasifikaci (ESCO) přímo, musí zajistit mapování (převod) mezi svými národními, regionálními nebo sektorovými klasifikacemi a evropskou klasifikací, aby bylo možné automatizované párování pracovních míst a životopisů v EURES“</w:t>
      </w:r>
      <w:r w:rsidRPr="004331C8">
        <w:rPr>
          <w:rFonts w:ascii="Palatino Linotype" w:hAnsi="Palatino Linotype" w:cs="Arial"/>
          <w:sz w:val="22"/>
          <w:szCs w:val="22"/>
        </w:rPr>
        <w:t xml:space="preserve">. </w:t>
      </w:r>
      <w:r>
        <w:rPr>
          <w:rFonts w:ascii="Palatino Linotype" w:hAnsi="Palatino Linotype" w:cs="Arial"/>
          <w:sz w:val="22"/>
          <w:szCs w:val="22"/>
        </w:rPr>
        <w:t xml:space="preserve">S ohledem na ustanovení odstavce 4. a 5. tohoto článku Dodatku č. 3 </w:t>
      </w:r>
      <w:r w:rsidR="00267C60">
        <w:rPr>
          <w:rFonts w:ascii="Palatino Linotype" w:hAnsi="Palatino Linotype" w:cs="Arial"/>
          <w:sz w:val="22"/>
          <w:szCs w:val="22"/>
        </w:rPr>
        <w:t xml:space="preserve">je nezbytné, aby </w:t>
      </w:r>
      <w:r w:rsidRPr="004331C8">
        <w:rPr>
          <w:rFonts w:ascii="Palatino Linotype" w:hAnsi="Palatino Linotype" w:cs="Arial"/>
          <w:sz w:val="22"/>
          <w:szCs w:val="22"/>
        </w:rPr>
        <w:t xml:space="preserve">ČR </w:t>
      </w:r>
      <w:r w:rsidR="00267C60">
        <w:rPr>
          <w:rFonts w:ascii="Palatino Linotype" w:hAnsi="Palatino Linotype" w:cs="Arial"/>
          <w:sz w:val="22"/>
          <w:szCs w:val="22"/>
        </w:rPr>
        <w:t>měla</w:t>
      </w:r>
      <w:r w:rsidRPr="004331C8">
        <w:rPr>
          <w:rFonts w:ascii="Palatino Linotype" w:hAnsi="Palatino Linotype" w:cs="Arial"/>
          <w:sz w:val="22"/>
          <w:szCs w:val="22"/>
        </w:rPr>
        <w:t xml:space="preserve"> k dispozici převodové tabulky pro verzi 1.2.1.</w:t>
      </w:r>
      <w:r>
        <w:rPr>
          <w:rFonts w:ascii="Palatino Linotype" w:hAnsi="Palatino Linotype" w:cs="Arial"/>
          <w:sz w:val="22"/>
          <w:szCs w:val="22"/>
        </w:rPr>
        <w:t xml:space="preserve"> ESCO.</w:t>
      </w:r>
    </w:p>
    <w:p w14:paraId="072A4D18" w14:textId="39FF8268" w:rsidR="00816726" w:rsidRPr="00F15595" w:rsidRDefault="00DD31A6" w:rsidP="00F15595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Klasifikace </w:t>
      </w:r>
      <w:r w:rsidRPr="00DD31A6">
        <w:rPr>
          <w:rFonts w:ascii="Palatino Linotype" w:hAnsi="Palatino Linotype" w:cs="Arial"/>
          <w:sz w:val="22"/>
          <w:szCs w:val="22"/>
        </w:rPr>
        <w:t xml:space="preserve">ESCO </w:t>
      </w:r>
      <w:r>
        <w:rPr>
          <w:rFonts w:ascii="Palatino Linotype" w:hAnsi="Palatino Linotype" w:cs="Arial"/>
          <w:sz w:val="22"/>
          <w:szCs w:val="22"/>
        </w:rPr>
        <w:t xml:space="preserve">ve verzi </w:t>
      </w:r>
      <w:r w:rsidRPr="00DD31A6">
        <w:rPr>
          <w:rFonts w:ascii="Palatino Linotype" w:hAnsi="Palatino Linotype" w:cs="Arial"/>
          <w:sz w:val="22"/>
          <w:szCs w:val="22"/>
        </w:rPr>
        <w:t>1.2.1 se od</w:t>
      </w:r>
      <w:r>
        <w:rPr>
          <w:rFonts w:ascii="Palatino Linotype" w:hAnsi="Palatino Linotype" w:cs="Arial"/>
          <w:sz w:val="22"/>
          <w:szCs w:val="22"/>
        </w:rPr>
        <w:t xml:space="preserve"> klasifikace</w:t>
      </w:r>
      <w:r w:rsidRPr="00DD31A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E</w:t>
      </w:r>
      <w:r w:rsidRPr="00DD31A6">
        <w:rPr>
          <w:rFonts w:ascii="Palatino Linotype" w:hAnsi="Palatino Linotype" w:cs="Arial"/>
          <w:sz w:val="22"/>
          <w:szCs w:val="22"/>
        </w:rPr>
        <w:t xml:space="preserve">SCO </w:t>
      </w:r>
      <w:r>
        <w:rPr>
          <w:rFonts w:ascii="Palatino Linotype" w:hAnsi="Palatino Linotype" w:cs="Arial"/>
          <w:sz w:val="22"/>
          <w:szCs w:val="22"/>
        </w:rPr>
        <w:t xml:space="preserve">ve verzi </w:t>
      </w:r>
      <w:r w:rsidRPr="00DD31A6">
        <w:rPr>
          <w:rFonts w:ascii="Palatino Linotype" w:hAnsi="Palatino Linotype" w:cs="Arial"/>
          <w:sz w:val="22"/>
          <w:szCs w:val="22"/>
        </w:rPr>
        <w:t>1.0.9 liší</w:t>
      </w:r>
      <w:r w:rsidR="00471CEE">
        <w:rPr>
          <w:rFonts w:ascii="Palatino Linotype" w:hAnsi="Palatino Linotype" w:cs="Arial"/>
          <w:sz w:val="22"/>
          <w:szCs w:val="22"/>
        </w:rPr>
        <w:br/>
      </w:r>
      <w:r w:rsidRPr="00DD31A6">
        <w:rPr>
          <w:rFonts w:ascii="Palatino Linotype" w:hAnsi="Palatino Linotype" w:cs="Arial"/>
          <w:sz w:val="22"/>
          <w:szCs w:val="22"/>
        </w:rPr>
        <w:t>o 1</w:t>
      </w:r>
      <w:r w:rsidR="00AA4F46">
        <w:rPr>
          <w:rFonts w:ascii="Palatino Linotype" w:hAnsi="Palatino Linotype" w:cs="Arial"/>
          <w:sz w:val="22"/>
          <w:szCs w:val="22"/>
        </w:rPr>
        <w:t xml:space="preserve"> </w:t>
      </w:r>
      <w:r w:rsidRPr="00DD31A6">
        <w:rPr>
          <w:rFonts w:ascii="Palatino Linotype" w:hAnsi="Palatino Linotype" w:cs="Arial"/>
          <w:sz w:val="22"/>
          <w:szCs w:val="22"/>
        </w:rPr>
        <w:t xml:space="preserve">052 kompetencí, </w:t>
      </w:r>
      <w:r>
        <w:rPr>
          <w:rFonts w:ascii="Palatino Linotype" w:hAnsi="Palatino Linotype" w:cs="Arial"/>
          <w:sz w:val="22"/>
          <w:szCs w:val="22"/>
        </w:rPr>
        <w:t>což činí</w:t>
      </w:r>
      <w:r w:rsidRPr="00DD31A6">
        <w:rPr>
          <w:rFonts w:ascii="Palatino Linotype" w:hAnsi="Palatino Linotype" w:cs="Arial"/>
          <w:sz w:val="22"/>
          <w:szCs w:val="22"/>
        </w:rPr>
        <w:t xml:space="preserve"> 4 208 </w:t>
      </w:r>
      <w:r w:rsidR="00E81DF0" w:rsidRPr="00E81DF0">
        <w:rPr>
          <w:rFonts w:ascii="Palatino Linotype" w:hAnsi="Palatino Linotype" w:cs="Arial"/>
          <w:sz w:val="22"/>
          <w:szCs w:val="22"/>
        </w:rPr>
        <w:t>ad-hoc změn převodových můstků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D31A6">
        <w:rPr>
          <w:rFonts w:ascii="Palatino Linotype" w:hAnsi="Palatino Linotype" w:cs="Arial"/>
          <w:sz w:val="22"/>
          <w:szCs w:val="22"/>
        </w:rPr>
        <w:t>(</w:t>
      </w:r>
      <w:r w:rsidR="001B351D">
        <w:rPr>
          <w:rFonts w:ascii="Palatino Linotype" w:hAnsi="Palatino Linotype" w:cs="Arial"/>
          <w:sz w:val="22"/>
          <w:szCs w:val="22"/>
        </w:rPr>
        <w:t xml:space="preserve">tj. </w:t>
      </w:r>
      <w:r w:rsidR="00471CEE">
        <w:rPr>
          <w:rFonts w:ascii="Palatino Linotype" w:hAnsi="Palatino Linotype" w:cs="Arial"/>
          <w:sz w:val="22"/>
          <w:szCs w:val="22"/>
        </w:rPr>
        <w:t xml:space="preserve">položek, resp. </w:t>
      </w:r>
      <w:r w:rsidRPr="00DD31A6">
        <w:rPr>
          <w:rFonts w:ascii="Palatino Linotype" w:hAnsi="Palatino Linotype" w:cs="Arial"/>
          <w:sz w:val="22"/>
          <w:szCs w:val="22"/>
        </w:rPr>
        <w:t>změněných záznamů ve smyslu článku 4. odst. 4.2. Smlouvy)</w:t>
      </w:r>
      <w:r w:rsidR="0078190E">
        <w:rPr>
          <w:rFonts w:ascii="Palatino Linotype" w:hAnsi="Palatino Linotype" w:cs="Arial"/>
          <w:sz w:val="22"/>
          <w:szCs w:val="22"/>
        </w:rPr>
        <w:t>.</w:t>
      </w:r>
      <w:r w:rsidR="00471CEE">
        <w:rPr>
          <w:rFonts w:ascii="Palatino Linotype" w:hAnsi="Palatino Linotype" w:cs="Arial"/>
          <w:sz w:val="22"/>
          <w:szCs w:val="22"/>
        </w:rPr>
        <w:t>.</w:t>
      </w:r>
      <w:r w:rsidR="0078190E" w:rsidRPr="0078190E">
        <w:rPr>
          <w:rFonts w:ascii="Palatino Linotype" w:hAnsi="Palatino Linotype" w:cs="Arial"/>
          <w:sz w:val="22"/>
          <w:szCs w:val="22"/>
        </w:rPr>
        <w:t xml:space="preserve"> Smluvní strany sjednávají, že tímto Dodatkem č. 3 dochází k navýšení maximálního množství položek dle článku 13. odst. 13.2. Smlouvy, u kterých dle přílohy č. 1 Smlouvy může dojít ke změně, a to z původního počtu 1 000 položek na 4 500 položek.</w:t>
      </w:r>
    </w:p>
    <w:p w14:paraId="2F9FF8C0" w14:textId="149491CD" w:rsidR="005E4148" w:rsidRPr="00816726" w:rsidRDefault="005E4148" w:rsidP="00816726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816726">
        <w:rPr>
          <w:rFonts w:ascii="Palatino Linotype" w:hAnsi="Palatino Linotype" w:cs="Arial"/>
          <w:sz w:val="22"/>
          <w:szCs w:val="22"/>
        </w:rPr>
        <w:t xml:space="preserve">Tento </w:t>
      </w:r>
      <w:r w:rsidR="002807E1" w:rsidRPr="00816726">
        <w:rPr>
          <w:rFonts w:ascii="Palatino Linotype" w:hAnsi="Palatino Linotype" w:cs="Arial"/>
          <w:sz w:val="22"/>
          <w:szCs w:val="22"/>
        </w:rPr>
        <w:t>D</w:t>
      </w:r>
      <w:r w:rsidRPr="00816726">
        <w:rPr>
          <w:rFonts w:ascii="Palatino Linotype" w:hAnsi="Palatino Linotype" w:cs="Arial"/>
          <w:sz w:val="22"/>
          <w:szCs w:val="22"/>
        </w:rPr>
        <w:t xml:space="preserve">odatek </w:t>
      </w:r>
      <w:r w:rsidR="002807E1" w:rsidRPr="00816726">
        <w:rPr>
          <w:rFonts w:ascii="Palatino Linotype" w:hAnsi="Palatino Linotype" w:cs="Arial"/>
          <w:sz w:val="22"/>
          <w:szCs w:val="22"/>
        </w:rPr>
        <w:t xml:space="preserve">č. </w:t>
      </w:r>
      <w:r w:rsidR="00C25574" w:rsidRPr="00816726">
        <w:rPr>
          <w:rFonts w:ascii="Palatino Linotype" w:hAnsi="Palatino Linotype" w:cs="Arial"/>
          <w:sz w:val="22"/>
          <w:szCs w:val="22"/>
        </w:rPr>
        <w:t>3</w:t>
      </w:r>
      <w:r w:rsidR="002807E1" w:rsidRPr="00816726">
        <w:rPr>
          <w:rFonts w:ascii="Palatino Linotype" w:hAnsi="Palatino Linotype" w:cs="Arial"/>
          <w:sz w:val="22"/>
          <w:szCs w:val="22"/>
        </w:rPr>
        <w:t xml:space="preserve"> </w:t>
      </w:r>
      <w:r w:rsidR="00AF25EC" w:rsidRPr="00816726">
        <w:rPr>
          <w:rFonts w:ascii="Palatino Linotype" w:hAnsi="Palatino Linotype" w:cs="Arial"/>
          <w:sz w:val="22"/>
          <w:szCs w:val="22"/>
        </w:rPr>
        <w:t>je uzavírán v souladu</w:t>
      </w:r>
      <w:r w:rsidRPr="00816726">
        <w:rPr>
          <w:rFonts w:ascii="Palatino Linotype" w:hAnsi="Palatino Linotype" w:cs="Arial"/>
          <w:sz w:val="22"/>
          <w:szCs w:val="22"/>
        </w:rPr>
        <w:t xml:space="preserve"> s § 222 odst. </w:t>
      </w:r>
      <w:r w:rsidR="006E5B85" w:rsidRPr="00816726">
        <w:rPr>
          <w:rFonts w:ascii="Palatino Linotype" w:hAnsi="Palatino Linotype" w:cs="Arial"/>
          <w:sz w:val="22"/>
          <w:szCs w:val="22"/>
        </w:rPr>
        <w:t>6</w:t>
      </w:r>
      <w:r w:rsidRPr="00816726">
        <w:rPr>
          <w:rFonts w:ascii="Palatino Linotype" w:hAnsi="Palatino Linotype" w:cs="Arial"/>
          <w:sz w:val="22"/>
          <w:szCs w:val="22"/>
        </w:rPr>
        <w:t xml:space="preserve"> zákona č. 134/2016 Sb.,</w:t>
      </w:r>
      <w:r w:rsidR="00AF25EC" w:rsidRPr="00816726">
        <w:rPr>
          <w:rFonts w:ascii="Palatino Linotype" w:hAnsi="Palatino Linotype" w:cs="Arial"/>
          <w:sz w:val="22"/>
          <w:szCs w:val="22"/>
        </w:rPr>
        <w:t xml:space="preserve"> </w:t>
      </w:r>
      <w:r w:rsidRPr="00816726">
        <w:rPr>
          <w:rFonts w:ascii="Palatino Linotype" w:hAnsi="Palatino Linotype" w:cs="Arial"/>
          <w:sz w:val="22"/>
          <w:szCs w:val="22"/>
        </w:rPr>
        <w:t xml:space="preserve">o zadávání veřejných zakázek, ve znění pozdějších předpisů </w:t>
      </w:r>
      <w:r w:rsidR="00952E9B" w:rsidRPr="00816726">
        <w:rPr>
          <w:rFonts w:ascii="Palatino Linotype" w:hAnsi="Palatino Linotype" w:cs="Arial"/>
          <w:sz w:val="22"/>
          <w:szCs w:val="22"/>
        </w:rPr>
        <w:t xml:space="preserve">(dále jen </w:t>
      </w:r>
      <w:r w:rsidR="00952E9B" w:rsidRPr="00816726">
        <w:rPr>
          <w:rFonts w:ascii="Palatino Linotype" w:hAnsi="Palatino Linotype" w:cs="Arial"/>
          <w:i/>
          <w:iCs/>
          <w:sz w:val="22"/>
          <w:szCs w:val="22"/>
        </w:rPr>
        <w:t>„</w:t>
      </w:r>
      <w:r w:rsidR="00E61901" w:rsidRPr="00816726">
        <w:rPr>
          <w:rFonts w:ascii="Palatino Linotype" w:hAnsi="Palatino Linotype" w:cs="Arial"/>
          <w:b/>
          <w:bCs/>
          <w:i/>
          <w:iCs/>
          <w:sz w:val="22"/>
          <w:szCs w:val="22"/>
        </w:rPr>
        <w:t>Z</w:t>
      </w:r>
      <w:r w:rsidR="00952E9B" w:rsidRPr="00816726">
        <w:rPr>
          <w:rFonts w:ascii="Palatino Linotype" w:hAnsi="Palatino Linotype" w:cs="Arial"/>
          <w:b/>
          <w:bCs/>
          <w:i/>
          <w:iCs/>
          <w:sz w:val="22"/>
          <w:szCs w:val="22"/>
        </w:rPr>
        <w:t>ákon</w:t>
      </w:r>
      <w:r w:rsidR="00EF1BDA" w:rsidRPr="00816726">
        <w:rPr>
          <w:rFonts w:ascii="Palatino Linotype" w:hAnsi="Palatino Linotype" w:cs="Arial"/>
          <w:b/>
          <w:bCs/>
          <w:i/>
          <w:iCs/>
          <w:sz w:val="22"/>
          <w:szCs w:val="22"/>
        </w:rPr>
        <w:t xml:space="preserve"> </w:t>
      </w:r>
      <w:r w:rsidR="00952E9B" w:rsidRPr="00816726">
        <w:rPr>
          <w:rFonts w:ascii="Palatino Linotype" w:hAnsi="Palatino Linotype" w:cs="Arial"/>
          <w:b/>
          <w:bCs/>
          <w:i/>
          <w:iCs/>
          <w:sz w:val="22"/>
          <w:szCs w:val="22"/>
        </w:rPr>
        <w:t>o zadávání veřejných zakázek</w:t>
      </w:r>
      <w:r w:rsidR="00952E9B" w:rsidRPr="00816726">
        <w:rPr>
          <w:rFonts w:ascii="Palatino Linotype" w:hAnsi="Palatino Linotype" w:cs="Arial"/>
          <w:i/>
          <w:iCs/>
          <w:sz w:val="22"/>
          <w:szCs w:val="22"/>
        </w:rPr>
        <w:t>“</w:t>
      </w:r>
      <w:r w:rsidR="00952E9B" w:rsidRPr="00816726">
        <w:rPr>
          <w:rFonts w:ascii="Palatino Linotype" w:hAnsi="Palatino Linotype" w:cs="Arial"/>
          <w:sz w:val="22"/>
          <w:szCs w:val="22"/>
        </w:rPr>
        <w:t>)</w:t>
      </w:r>
      <w:r w:rsidR="001E06C5" w:rsidRPr="00816726">
        <w:rPr>
          <w:rFonts w:ascii="Palatino Linotype" w:hAnsi="Palatino Linotype" w:cs="Arial"/>
          <w:sz w:val="22"/>
          <w:szCs w:val="22"/>
        </w:rPr>
        <w:t>.</w:t>
      </w:r>
      <w:r w:rsidR="00816726" w:rsidRPr="00816726">
        <w:t xml:space="preserve"> </w:t>
      </w:r>
      <w:r w:rsidR="00816726" w:rsidRPr="00816726">
        <w:rPr>
          <w:rFonts w:ascii="Palatino Linotype" w:hAnsi="Palatino Linotype" w:cs="Arial"/>
          <w:sz w:val="22"/>
          <w:szCs w:val="22"/>
        </w:rPr>
        <w:t xml:space="preserve">Potřeba změny závazku ze Smlouvy  vznikla v důsledku objektivních </w:t>
      </w:r>
      <w:r w:rsidR="00816726" w:rsidRPr="00816726">
        <w:rPr>
          <w:rFonts w:ascii="Palatino Linotype" w:hAnsi="Palatino Linotype" w:cs="Arial"/>
          <w:sz w:val="22"/>
          <w:szCs w:val="22"/>
        </w:rPr>
        <w:lastRenderedPageBreak/>
        <w:t>okolností, které Objednatel jednající s náležitou péčí nemohl předvídat s tím, že změna dle tohoto Dodatku č. 3 nemění celkovou povahu Veřejné zakázky a nemá vliv na ceny uvedené v čl. 9. Smlouvy ani finanční limit Smlouvy uvedený v článku 13. odst. 13.2. Smlouvy.</w:t>
      </w:r>
    </w:p>
    <w:p w14:paraId="3E259AED" w14:textId="281A23A5" w:rsidR="006E5B85" w:rsidRPr="006610F6" w:rsidRDefault="006E5B85" w:rsidP="006E5B85">
      <w:pPr>
        <w:pStyle w:val="Odstavecseseznamem"/>
        <w:numPr>
          <w:ilvl w:val="0"/>
          <w:numId w:val="1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Veškeré pojmy uvedené v tomto Dodatku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č. </w:t>
      </w:r>
      <w:r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budou vykládány v souladu s jejich významem uvedeným v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e</w:t>
      </w:r>
      <w:r w:rsidRPr="0001207E">
        <w:rPr>
          <w:rFonts w:ascii="Palatino Linotype" w:hAnsi="Palatino Linotype" w:cs="Arial"/>
          <w:sz w:val="22"/>
          <w:szCs w:val="22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Smlouvě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, ve znění </w:t>
      </w:r>
      <w:r w:rsidR="00267C60">
        <w:rPr>
          <w:rFonts w:ascii="Palatino Linotype" w:hAnsi="Palatino Linotype" w:cs="Arial"/>
          <w:sz w:val="22"/>
          <w:szCs w:val="22"/>
          <w:lang w:val="cs-CZ"/>
        </w:rPr>
        <w:t xml:space="preserve">předchozích dodatků. </w:t>
      </w:r>
    </w:p>
    <w:p w14:paraId="07429804" w14:textId="77777777" w:rsidR="00730264" w:rsidRPr="0001207E" w:rsidRDefault="00730264" w:rsidP="00730264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</w:rPr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2</w:t>
      </w:r>
    </w:p>
    <w:p w14:paraId="20CE89F4" w14:textId="5ECAA19A" w:rsidR="00730264" w:rsidRPr="0001207E" w:rsidRDefault="00730264" w:rsidP="00730264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/>
          <w:sz w:val="22"/>
        </w:rPr>
      </w:pPr>
      <w:r w:rsidRPr="0001207E">
        <w:rPr>
          <w:rFonts w:ascii="Palatino Linotype" w:hAnsi="Palatino Linotype"/>
          <w:sz w:val="22"/>
          <w:lang w:val="cs-CZ"/>
        </w:rPr>
        <w:t xml:space="preserve">Předmět Dodatku č. </w:t>
      </w:r>
      <w:r w:rsidR="00C74CF7">
        <w:rPr>
          <w:rFonts w:ascii="Palatino Linotype" w:hAnsi="Palatino Linotype"/>
          <w:sz w:val="22"/>
          <w:lang w:val="cs-CZ"/>
        </w:rPr>
        <w:t>3</w:t>
      </w:r>
    </w:p>
    <w:p w14:paraId="4470755D" w14:textId="0DD629AA" w:rsidR="0078190E" w:rsidRDefault="00A0405E" w:rsidP="00267C60">
      <w:pPr>
        <w:pStyle w:val="Odstavecseseznamem"/>
        <w:numPr>
          <w:ilvl w:val="0"/>
          <w:numId w:val="7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bookmarkStart w:id="2" w:name="_Hlk227143673"/>
      <w:r>
        <w:rPr>
          <w:rFonts w:ascii="Palatino Linotype" w:hAnsi="Palatino Linotype" w:cs="Arial"/>
          <w:sz w:val="22"/>
          <w:szCs w:val="22"/>
        </w:rPr>
        <w:t xml:space="preserve">Smluvní strany sjednávají, že </w:t>
      </w:r>
      <w:r w:rsidR="0078190E">
        <w:rPr>
          <w:rFonts w:ascii="Palatino Linotype" w:hAnsi="Palatino Linotype" w:cs="Arial"/>
          <w:sz w:val="22"/>
          <w:szCs w:val="22"/>
        </w:rPr>
        <w:t>znění</w:t>
      </w:r>
      <w:r w:rsidR="004D27EB">
        <w:rPr>
          <w:rFonts w:ascii="Palatino Linotype" w:hAnsi="Palatino Linotype" w:cs="Arial"/>
          <w:sz w:val="22"/>
          <w:szCs w:val="22"/>
        </w:rPr>
        <w:t xml:space="preserve"> </w:t>
      </w:r>
      <w:r w:rsidR="004D27EB" w:rsidRPr="00471CEE">
        <w:rPr>
          <w:rFonts w:ascii="Palatino Linotype" w:hAnsi="Palatino Linotype" w:cs="Arial"/>
          <w:sz w:val="22"/>
          <w:szCs w:val="22"/>
        </w:rPr>
        <w:t>článk</w:t>
      </w:r>
      <w:r w:rsidR="004D27EB">
        <w:rPr>
          <w:rFonts w:ascii="Palatino Linotype" w:hAnsi="Palatino Linotype" w:cs="Arial"/>
          <w:sz w:val="22"/>
          <w:szCs w:val="22"/>
        </w:rPr>
        <w:t>u</w:t>
      </w:r>
      <w:r w:rsidR="00267C60">
        <w:rPr>
          <w:rFonts w:ascii="Palatino Linotype" w:hAnsi="Palatino Linotype" w:cs="Arial"/>
          <w:sz w:val="22"/>
          <w:szCs w:val="22"/>
        </w:rPr>
        <w:t xml:space="preserve"> </w:t>
      </w:r>
      <w:r w:rsidR="004D27EB" w:rsidRPr="00471CEE">
        <w:rPr>
          <w:rFonts w:ascii="Palatino Linotype" w:hAnsi="Palatino Linotype" w:cs="Arial"/>
          <w:sz w:val="22"/>
          <w:szCs w:val="22"/>
        </w:rPr>
        <w:t>13. odst. 13.2. Smlouvy</w:t>
      </w:r>
      <w:r w:rsidR="0078190E">
        <w:rPr>
          <w:rFonts w:ascii="Palatino Linotype" w:hAnsi="Palatino Linotype" w:cs="Arial"/>
          <w:sz w:val="22"/>
          <w:szCs w:val="22"/>
        </w:rPr>
        <w:t xml:space="preserve"> se mění následovně:</w:t>
      </w:r>
    </w:p>
    <w:p w14:paraId="370A0214" w14:textId="0802AC16" w:rsidR="0078190E" w:rsidRPr="005C0797" w:rsidRDefault="0078190E" w:rsidP="0078190E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i/>
          <w:iCs/>
          <w:sz w:val="22"/>
          <w:szCs w:val="22"/>
        </w:rPr>
      </w:pPr>
      <w:r w:rsidRPr="00952E9B">
        <w:rPr>
          <w:rFonts w:ascii="Palatino Linotype" w:hAnsi="Palatino Linotype" w:cs="Arial"/>
          <w:i/>
          <w:iCs/>
          <w:sz w:val="22"/>
          <w:szCs w:val="22"/>
          <w:lang w:val="cs-CZ"/>
        </w:rPr>
        <w:t>„</w:t>
      </w:r>
      <w:r w:rsidRPr="0078190E">
        <w:rPr>
          <w:rFonts w:ascii="Palatino Linotype" w:hAnsi="Palatino Linotype" w:cs="Arial"/>
          <w:i/>
          <w:iCs/>
          <w:sz w:val="22"/>
          <w:szCs w:val="22"/>
          <w:lang w:val="cs-CZ"/>
        </w:rPr>
        <w:t>S</w:t>
      </w:r>
      <w:proofErr w:type="spellStart"/>
      <w:r w:rsidRPr="005C0797">
        <w:rPr>
          <w:rFonts w:ascii="Palatino Linotype" w:hAnsi="Palatino Linotype" w:cs="Arial"/>
          <w:i/>
          <w:iCs/>
          <w:sz w:val="22"/>
          <w:szCs w:val="22"/>
        </w:rPr>
        <w:t>mlouva</w:t>
      </w:r>
      <w:proofErr w:type="spellEnd"/>
      <w:r w:rsidRPr="005C0797">
        <w:rPr>
          <w:rFonts w:ascii="Palatino Linotype" w:hAnsi="Palatino Linotype" w:cs="Arial"/>
          <w:i/>
          <w:iCs/>
          <w:sz w:val="22"/>
          <w:szCs w:val="22"/>
        </w:rPr>
        <w:t xml:space="preserve"> se uzavírá na dobu určitou, a to do řádného splnění závazku Zhotovitele dle článku 2. odst. 2.1. této Smlouvy v termínech a lhůtách dle článku 4. této Smlouvy, případně do vyčerpání finanční částky ve výši 11 550 000,- Kč bez DPH a/nebo do vyčerpání maximálního množství</w:t>
      </w:r>
      <w:r>
        <w:rPr>
          <w:rFonts w:ascii="Palatino Linotype" w:hAnsi="Palatino Linotype" w:cs="Arial"/>
          <w:i/>
          <w:iCs/>
          <w:sz w:val="22"/>
          <w:szCs w:val="22"/>
        </w:rPr>
        <w:br/>
        <w:t>4</w:t>
      </w:r>
      <w:r w:rsidRPr="005C0797">
        <w:rPr>
          <w:rFonts w:ascii="Palatino Linotype" w:hAnsi="Palatino Linotype" w:cs="Arial"/>
          <w:i/>
          <w:iCs/>
          <w:sz w:val="22"/>
          <w:szCs w:val="22"/>
        </w:rPr>
        <w:t xml:space="preserve"> </w:t>
      </w:r>
      <w:r>
        <w:rPr>
          <w:rFonts w:ascii="Palatino Linotype" w:hAnsi="Palatino Linotype" w:cs="Arial"/>
          <w:i/>
          <w:iCs/>
          <w:sz w:val="22"/>
          <w:szCs w:val="22"/>
        </w:rPr>
        <w:t>5</w:t>
      </w:r>
      <w:r w:rsidRPr="005C0797">
        <w:rPr>
          <w:rFonts w:ascii="Palatino Linotype" w:hAnsi="Palatino Linotype" w:cs="Arial"/>
          <w:i/>
          <w:iCs/>
          <w:sz w:val="22"/>
          <w:szCs w:val="22"/>
        </w:rPr>
        <w:t>00 položek, u kterých dle přílohy č. 1 této Smlouvy může dojít ke změně, a to podle toho, která skutečnost nastane dříve.</w:t>
      </w:r>
    </w:p>
    <w:p w14:paraId="6C23AB68" w14:textId="2D38F873" w:rsidR="0078190E" w:rsidRDefault="0078190E" w:rsidP="0078190E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  <w:r w:rsidRPr="005C0797">
        <w:rPr>
          <w:rFonts w:ascii="Palatino Linotype" w:hAnsi="Palatino Linotype" w:cs="Arial"/>
          <w:i/>
          <w:iCs/>
          <w:sz w:val="22"/>
          <w:szCs w:val="22"/>
        </w:rPr>
        <w:t>K ukončení doby trvání této Smlouvy však nemůže dojít dříve, než bude řádně splněn závazek Zhotovitele spočívající ve vytvoření převodových můstků včetně metodiky dle článku 2. odst. 2.1. písm. a) a c) této Smlouvy, resp. jejich akceptaci ze strany Objednatele</w:t>
      </w:r>
      <w:r w:rsidRPr="0078190E">
        <w:rPr>
          <w:rFonts w:ascii="Palatino Linotype" w:hAnsi="Palatino Linotype" w:cs="Arial"/>
          <w:sz w:val="22"/>
          <w:szCs w:val="22"/>
        </w:rPr>
        <w:t>.</w:t>
      </w:r>
      <w:r>
        <w:rPr>
          <w:rFonts w:ascii="Palatino Linotype" w:hAnsi="Palatino Linotype" w:cs="Arial"/>
          <w:sz w:val="22"/>
          <w:szCs w:val="22"/>
        </w:rPr>
        <w:t>”</w:t>
      </w:r>
    </w:p>
    <w:p w14:paraId="3A85907C" w14:textId="60720C78" w:rsidR="00267C60" w:rsidRDefault="00267C60" w:rsidP="005C0797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bookmarkEnd w:id="2"/>
    <w:p w14:paraId="0A6041FC" w14:textId="35FE13DF" w:rsidR="00D53D50" w:rsidRPr="00267C60" w:rsidRDefault="00267C60" w:rsidP="00267C60">
      <w:pPr>
        <w:pStyle w:val="Odstavecseseznamem"/>
        <w:numPr>
          <w:ilvl w:val="0"/>
          <w:numId w:val="7"/>
        </w:numPr>
        <w:tabs>
          <w:tab w:val="left" w:pos="0"/>
        </w:tabs>
        <w:spacing w:before="120" w:line="280" w:lineRule="atLeast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Smluvní strany potvrzují, že o</w:t>
      </w:r>
      <w:r w:rsidRPr="0001207E">
        <w:rPr>
          <w:rFonts w:ascii="Palatino Linotype" w:hAnsi="Palatino Linotype" w:cs="Arial"/>
          <w:sz w:val="22"/>
          <w:szCs w:val="22"/>
        </w:rPr>
        <w:t>statní ustanovení Smlouvy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>tímto Dodatkem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</w:rPr>
        <w:t xml:space="preserve"> nedotčená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,</w:t>
      </w:r>
      <w:r w:rsidRPr="0001207E">
        <w:rPr>
          <w:rFonts w:ascii="Palatino Linotype" w:hAnsi="Palatino Linotype" w:cs="Arial"/>
          <w:sz w:val="22"/>
          <w:szCs w:val="22"/>
        </w:rPr>
        <w:t xml:space="preserve"> zůstávají beze změny.</w:t>
      </w:r>
    </w:p>
    <w:p w14:paraId="3157D88F" w14:textId="654BF1B5" w:rsidR="00730264" w:rsidRPr="0001207E" w:rsidRDefault="00730264" w:rsidP="00730264">
      <w:pPr>
        <w:pStyle w:val="Nadpis1"/>
        <w:numPr>
          <w:ilvl w:val="0"/>
          <w:numId w:val="0"/>
        </w:numPr>
        <w:spacing w:before="360" w:line="280" w:lineRule="atLeast"/>
        <w:ind w:left="357" w:hanging="357"/>
        <w:rPr>
          <w:rFonts w:ascii="Palatino Linotype" w:hAnsi="Palatino Linotype"/>
          <w:sz w:val="22"/>
          <w:lang w:val="cs-CZ"/>
        </w:rPr>
      </w:pPr>
      <w:r w:rsidRPr="0001207E">
        <w:rPr>
          <w:rFonts w:ascii="Palatino Linotype" w:hAnsi="Palatino Linotype"/>
          <w:sz w:val="22"/>
        </w:rPr>
        <w:t>Článek</w:t>
      </w:r>
      <w:r w:rsidRPr="0001207E">
        <w:rPr>
          <w:rFonts w:ascii="Palatino Linotype" w:hAnsi="Palatino Linotype"/>
          <w:sz w:val="22"/>
          <w:lang w:val="cs-CZ"/>
        </w:rPr>
        <w:t xml:space="preserve"> 3</w:t>
      </w:r>
    </w:p>
    <w:p w14:paraId="121BA4AB" w14:textId="77777777" w:rsidR="00730264" w:rsidRPr="0001207E" w:rsidRDefault="00730264" w:rsidP="00730264">
      <w:pPr>
        <w:pStyle w:val="Nadpis1"/>
        <w:numPr>
          <w:ilvl w:val="0"/>
          <w:numId w:val="0"/>
        </w:numPr>
        <w:spacing w:line="280" w:lineRule="atLeast"/>
        <w:ind w:left="360" w:hanging="360"/>
        <w:rPr>
          <w:rFonts w:ascii="Palatino Linotype" w:hAnsi="Palatino Linotype" w:cs="Arial"/>
          <w:sz w:val="22"/>
        </w:rPr>
      </w:pPr>
      <w:r w:rsidRPr="0001207E">
        <w:rPr>
          <w:rFonts w:ascii="Palatino Linotype" w:hAnsi="Palatino Linotype" w:cs="Arial"/>
          <w:sz w:val="22"/>
        </w:rPr>
        <w:t>Závěrečná ustanovení</w:t>
      </w:r>
    </w:p>
    <w:p w14:paraId="245A880F" w14:textId="4FA73CFB" w:rsidR="00730264" w:rsidRPr="0001207E" w:rsidRDefault="00730264" w:rsidP="000042E6">
      <w:pPr>
        <w:pStyle w:val="Odstavecseseznamem"/>
        <w:numPr>
          <w:ilvl w:val="0"/>
          <w:numId w:val="7"/>
        </w:numPr>
        <w:tabs>
          <w:tab w:val="left" w:pos="0"/>
        </w:tabs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</w:rPr>
      </w:pP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Tento </w:t>
      </w:r>
      <w:r w:rsidRPr="0001207E">
        <w:rPr>
          <w:rFonts w:ascii="Palatino Linotype" w:hAnsi="Palatino Linotype" w:cs="Arial"/>
          <w:sz w:val="22"/>
          <w:szCs w:val="22"/>
        </w:rPr>
        <w:t>Dodatek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č. </w:t>
      </w:r>
      <w:r w:rsidR="00C74CF7"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</w:rPr>
        <w:t xml:space="preserve"> nabývá platnosti dnem jeho podpisu oběma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>S</w:t>
      </w:r>
      <w:r w:rsidRPr="0001207E">
        <w:rPr>
          <w:rFonts w:ascii="Palatino Linotype" w:hAnsi="Palatino Linotype" w:cs="Arial"/>
          <w:sz w:val="22"/>
          <w:szCs w:val="22"/>
        </w:rPr>
        <w:t>mluvními stranami</w:t>
      </w:r>
      <w:r w:rsidR="00267C60">
        <w:rPr>
          <w:rFonts w:ascii="Palatino Linotype" w:hAnsi="Palatino Linotype" w:cs="Arial"/>
          <w:sz w:val="22"/>
          <w:szCs w:val="22"/>
        </w:rPr>
        <w:t xml:space="preserve"> a ú</w:t>
      </w:r>
      <w:r w:rsidRPr="0001207E">
        <w:rPr>
          <w:rFonts w:ascii="Palatino Linotype" w:hAnsi="Palatino Linotype" w:cs="Arial"/>
          <w:sz w:val="22"/>
          <w:szCs w:val="22"/>
        </w:rPr>
        <w:t xml:space="preserve">činnosti dnem uveřejnění v registru smluv ve smyslu </w:t>
      </w:r>
      <w:proofErr w:type="spellStart"/>
      <w:r w:rsidRPr="0001207E">
        <w:rPr>
          <w:rFonts w:ascii="Palatino Linotype" w:hAnsi="Palatino Linotype" w:cs="Arial"/>
          <w:sz w:val="22"/>
          <w:szCs w:val="22"/>
        </w:rPr>
        <w:t>ust</w:t>
      </w:r>
      <w:proofErr w:type="spellEnd"/>
      <w:r w:rsidRPr="0001207E">
        <w:rPr>
          <w:rFonts w:ascii="Palatino Linotype" w:hAnsi="Palatino Linotype" w:cs="Arial"/>
          <w:sz w:val="22"/>
          <w:szCs w:val="22"/>
        </w:rPr>
        <w:t xml:space="preserve">. § 4 </w:t>
      </w:r>
      <w:r>
        <w:rPr>
          <w:rFonts w:ascii="Palatino Linotype" w:hAnsi="Palatino Linotype" w:cs="Arial"/>
          <w:sz w:val="22"/>
          <w:szCs w:val="22"/>
          <w:lang w:val="cs-CZ"/>
        </w:rPr>
        <w:t xml:space="preserve">Zákona </w:t>
      </w:r>
      <w:r w:rsidRPr="0001207E">
        <w:rPr>
          <w:rFonts w:ascii="Palatino Linotype" w:hAnsi="Palatino Linotype" w:cs="Arial"/>
          <w:sz w:val="22"/>
          <w:szCs w:val="22"/>
        </w:rPr>
        <w:t>o registru smluv. Uveřejnění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tohoto Dodatku č. </w:t>
      </w:r>
      <w:r w:rsidR="00C74CF7">
        <w:rPr>
          <w:rFonts w:ascii="Palatino Linotype" w:hAnsi="Palatino Linotype" w:cs="Arial"/>
          <w:sz w:val="22"/>
          <w:szCs w:val="22"/>
          <w:lang w:val="cs-CZ"/>
        </w:rPr>
        <w:t>3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 </w:t>
      </w:r>
      <w:r w:rsidRPr="0001207E">
        <w:rPr>
          <w:rFonts w:ascii="Palatino Linotype" w:hAnsi="Palatino Linotype" w:cs="Arial"/>
          <w:sz w:val="22"/>
          <w:szCs w:val="22"/>
        </w:rPr>
        <w:t xml:space="preserve">v registru smluv </w:t>
      </w:r>
      <w:r w:rsidRPr="0001207E">
        <w:rPr>
          <w:rFonts w:ascii="Palatino Linotype" w:hAnsi="Palatino Linotype" w:cs="Arial"/>
          <w:sz w:val="22"/>
          <w:szCs w:val="22"/>
          <w:lang w:val="cs-CZ"/>
        </w:rPr>
        <w:t xml:space="preserve">zajistí bez zbytečného odkladu </w:t>
      </w:r>
      <w:r>
        <w:rPr>
          <w:rFonts w:ascii="Palatino Linotype" w:hAnsi="Palatino Linotype" w:cs="Arial"/>
          <w:sz w:val="22"/>
          <w:szCs w:val="22"/>
          <w:lang w:val="cs-CZ"/>
        </w:rPr>
        <w:t>Objednatel</w:t>
      </w:r>
      <w:r w:rsidRPr="0001207E">
        <w:rPr>
          <w:rFonts w:ascii="Palatino Linotype" w:hAnsi="Palatino Linotype" w:cs="Arial"/>
          <w:sz w:val="22"/>
          <w:szCs w:val="22"/>
        </w:rPr>
        <w:t>.</w:t>
      </w:r>
    </w:p>
    <w:p w14:paraId="40226125" w14:textId="5DDB517B" w:rsidR="00730264" w:rsidRDefault="00730264" w:rsidP="000042E6">
      <w:pPr>
        <w:numPr>
          <w:ilvl w:val="0"/>
          <w:numId w:val="7"/>
        </w:numPr>
        <w:spacing w:before="120"/>
        <w:ind w:left="426" w:hanging="426"/>
        <w:jc w:val="both"/>
        <w:rPr>
          <w:rFonts w:ascii="Palatino Linotype" w:hAnsi="Palatino Linotype" w:cs="Arial"/>
          <w:sz w:val="22"/>
          <w:szCs w:val="22"/>
          <w:lang w:val="x-none"/>
        </w:rPr>
      </w:pPr>
      <w:r w:rsidRPr="0001207E">
        <w:rPr>
          <w:rFonts w:ascii="Palatino Linotype" w:hAnsi="Palatino Linotype" w:cs="Arial"/>
          <w:sz w:val="22"/>
          <w:szCs w:val="22"/>
        </w:rPr>
        <w:t xml:space="preserve">Tento Dodatek č. </w:t>
      </w:r>
      <w:r w:rsidR="00C74CF7">
        <w:rPr>
          <w:rFonts w:ascii="Palatino Linotype" w:hAnsi="Palatino Linotype" w:cs="Arial"/>
          <w:sz w:val="22"/>
          <w:szCs w:val="22"/>
        </w:rPr>
        <w:t>3</w:t>
      </w:r>
      <w:r w:rsidRPr="0001207E">
        <w:rPr>
          <w:rFonts w:ascii="Palatino Linotype" w:hAnsi="Palatino Linotype" w:cs="Arial"/>
          <w:sz w:val="22"/>
          <w:szCs w:val="22"/>
        </w:rPr>
        <w:t xml:space="preserve"> je uzavírán v elektronické podobě, </w:t>
      </w:r>
      <w:r w:rsidRPr="0001207E">
        <w:rPr>
          <w:rFonts w:ascii="Palatino Linotype" w:hAnsi="Palatino Linotype" w:cs="Arial"/>
          <w:sz w:val="22"/>
          <w:szCs w:val="22"/>
          <w:lang w:val="x-none"/>
        </w:rPr>
        <w:t>tj. prostřednictvím uznávaného elektronického podpisu ve smyslu zákona č. 297/2016 Sb., o službách vytvářejících důvěru pro elektronické transakce, ve znění pozdějších předpisů</w:t>
      </w:r>
      <w:r w:rsidR="00267C60">
        <w:rPr>
          <w:rFonts w:ascii="Palatino Linotype" w:hAnsi="Palatino Linotype" w:cs="Arial"/>
          <w:sz w:val="22"/>
          <w:szCs w:val="22"/>
          <w:lang w:val="x-none"/>
        </w:rPr>
        <w:t xml:space="preserve">, </w:t>
      </w:r>
      <w:r w:rsidR="00267C60" w:rsidRPr="00267C60">
        <w:rPr>
          <w:rFonts w:ascii="Palatino Linotype" w:hAnsi="Palatino Linotype" w:cs="Arial"/>
          <w:sz w:val="22"/>
          <w:szCs w:val="22"/>
          <w:lang w:val="x-none"/>
        </w:rPr>
        <w:t xml:space="preserve">opatřeného časovým razítkem min. ze strany </w:t>
      </w:r>
      <w:r w:rsidR="00267C60">
        <w:rPr>
          <w:rFonts w:ascii="Palatino Linotype" w:hAnsi="Palatino Linotype" w:cs="Arial"/>
          <w:sz w:val="22"/>
          <w:szCs w:val="22"/>
          <w:lang w:val="x-none"/>
        </w:rPr>
        <w:t>poslední podepisující Smluvní strany.</w:t>
      </w:r>
    </w:p>
    <w:p w14:paraId="22974324" w14:textId="77777777" w:rsidR="00DB3DEF" w:rsidRDefault="00DB3DEF" w:rsidP="00DB3DEF">
      <w:pPr>
        <w:spacing w:before="120"/>
        <w:jc w:val="both"/>
        <w:rPr>
          <w:rFonts w:ascii="Palatino Linotype" w:hAnsi="Palatino Linotype" w:cs="Arial"/>
          <w:sz w:val="22"/>
          <w:szCs w:val="22"/>
          <w:lang w:val="x-none"/>
        </w:rPr>
      </w:pPr>
    </w:p>
    <w:p w14:paraId="7625ADBA" w14:textId="77777777" w:rsidR="00DB3DEF" w:rsidRDefault="00DB3DEF" w:rsidP="00DB3DEF">
      <w:pPr>
        <w:spacing w:before="120"/>
        <w:jc w:val="both"/>
        <w:rPr>
          <w:rFonts w:ascii="Palatino Linotype" w:hAnsi="Palatino Linotype" w:cs="Arial"/>
          <w:sz w:val="22"/>
          <w:szCs w:val="22"/>
          <w:lang w:val="x-none"/>
        </w:rPr>
      </w:pPr>
    </w:p>
    <w:p w14:paraId="2E4DA987" w14:textId="77777777" w:rsidR="00DB3DEF" w:rsidRDefault="00DB3DEF" w:rsidP="00DB3DEF">
      <w:pPr>
        <w:spacing w:before="120"/>
        <w:jc w:val="both"/>
        <w:rPr>
          <w:rFonts w:ascii="Palatino Linotype" w:hAnsi="Palatino Linotype" w:cs="Arial"/>
          <w:sz w:val="22"/>
          <w:szCs w:val="22"/>
          <w:lang w:val="x-none"/>
        </w:rPr>
      </w:pPr>
    </w:p>
    <w:p w14:paraId="2645CC26" w14:textId="77777777" w:rsidR="00DB3DEF" w:rsidRDefault="00DB3DEF" w:rsidP="00DB3DEF">
      <w:pPr>
        <w:spacing w:before="120"/>
        <w:jc w:val="both"/>
        <w:rPr>
          <w:rFonts w:ascii="Palatino Linotype" w:hAnsi="Palatino Linotype" w:cs="Arial"/>
          <w:sz w:val="22"/>
          <w:szCs w:val="22"/>
          <w:lang w:val="x-none"/>
        </w:rPr>
      </w:pPr>
    </w:p>
    <w:p w14:paraId="74D43153" w14:textId="77777777" w:rsidR="00DB3DEF" w:rsidRDefault="00DB3DEF" w:rsidP="00DB3DEF">
      <w:pPr>
        <w:spacing w:before="120"/>
        <w:jc w:val="both"/>
        <w:rPr>
          <w:rFonts w:ascii="Palatino Linotype" w:hAnsi="Palatino Linotype" w:cs="Arial"/>
          <w:sz w:val="22"/>
          <w:szCs w:val="22"/>
          <w:lang w:val="x-none"/>
        </w:rPr>
      </w:pPr>
    </w:p>
    <w:p w14:paraId="2A5B2DD8" w14:textId="77777777" w:rsidR="00DB3DEF" w:rsidRDefault="00DB3DEF" w:rsidP="00DB3DEF">
      <w:pPr>
        <w:spacing w:before="120"/>
        <w:jc w:val="both"/>
        <w:rPr>
          <w:rFonts w:ascii="Palatino Linotype" w:hAnsi="Palatino Linotype" w:cs="Arial"/>
          <w:sz w:val="22"/>
          <w:szCs w:val="22"/>
          <w:lang w:val="x-none"/>
        </w:rPr>
      </w:pPr>
    </w:p>
    <w:p w14:paraId="01F59D0A" w14:textId="77777777" w:rsidR="00730264" w:rsidRPr="0001207E" w:rsidRDefault="00730264" w:rsidP="00730264">
      <w:pPr>
        <w:pStyle w:val="Odstavecseseznamem"/>
        <w:tabs>
          <w:tab w:val="left" w:pos="0"/>
        </w:tabs>
        <w:spacing w:before="120" w:line="280" w:lineRule="atLeast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46963EE1" w14:textId="7030B3AE" w:rsidR="00730264" w:rsidRPr="0001207E" w:rsidRDefault="00730264" w:rsidP="00730264">
      <w:pPr>
        <w:pStyle w:val="RLProhlensmluvnchstran"/>
        <w:spacing w:line="280" w:lineRule="atLeast"/>
        <w:rPr>
          <w:rFonts w:ascii="Palatino Linotype" w:hAnsi="Palatino Linotype"/>
          <w:sz w:val="22"/>
          <w:szCs w:val="22"/>
        </w:rPr>
      </w:pPr>
      <w:r w:rsidRPr="0001207E">
        <w:rPr>
          <w:rFonts w:ascii="Palatino Linotype" w:hAnsi="Palatino Linotype"/>
          <w:sz w:val="22"/>
          <w:szCs w:val="22"/>
        </w:rPr>
        <w:lastRenderedPageBreak/>
        <w:t xml:space="preserve">Smluvní strany prohlašují, že si tento Dodatek č. </w:t>
      </w:r>
      <w:r w:rsidR="00C74CF7">
        <w:rPr>
          <w:rFonts w:ascii="Palatino Linotype" w:hAnsi="Palatino Linotype"/>
          <w:sz w:val="22"/>
          <w:szCs w:val="22"/>
        </w:rPr>
        <w:t>3</w:t>
      </w:r>
      <w:r w:rsidRPr="0001207E">
        <w:rPr>
          <w:rFonts w:ascii="Palatino Linotype" w:hAnsi="Palatino Linotype"/>
          <w:sz w:val="22"/>
          <w:szCs w:val="22"/>
        </w:rPr>
        <w:t xml:space="preserve"> přečetly, že s jeho obsahem souhlasí </w:t>
      </w:r>
      <w:r>
        <w:rPr>
          <w:rFonts w:ascii="Palatino Linotype" w:hAnsi="Palatino Linotype"/>
          <w:sz w:val="22"/>
          <w:szCs w:val="22"/>
        </w:rPr>
        <w:br/>
      </w:r>
      <w:r w:rsidRPr="0001207E">
        <w:rPr>
          <w:rFonts w:ascii="Palatino Linotype" w:hAnsi="Palatino Linotype"/>
          <w:sz w:val="22"/>
          <w:szCs w:val="22"/>
        </w:rPr>
        <w:t>a na důkaz toho k němu připojují svoje podpisy.</w:t>
      </w:r>
    </w:p>
    <w:p w14:paraId="0CF72B10" w14:textId="77777777" w:rsidR="00730264" w:rsidRPr="0001207E" w:rsidRDefault="00730264" w:rsidP="00730264">
      <w:pPr>
        <w:tabs>
          <w:tab w:val="left" w:pos="567"/>
          <w:tab w:val="left" w:pos="1701"/>
        </w:tabs>
        <w:spacing w:line="280" w:lineRule="atLeast"/>
        <w:rPr>
          <w:rFonts w:ascii="Palatino Linotype" w:hAnsi="Palatino Linotype" w:cs="Arial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4"/>
        <w:gridCol w:w="4728"/>
      </w:tblGrid>
      <w:tr w:rsidR="00730264" w:rsidRPr="0001207E" w14:paraId="6A813EEE" w14:textId="77777777" w:rsidTr="00410DD2">
        <w:tc>
          <w:tcPr>
            <w:tcW w:w="4275" w:type="dxa"/>
            <w:vAlign w:val="center"/>
          </w:tcPr>
          <w:p w14:paraId="013BCFD2" w14:textId="093A2C4F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Za </w:t>
            </w:r>
            <w:r w:rsidR="00020328">
              <w:rPr>
                <w:rFonts w:ascii="Palatino Linotype" w:hAnsi="Palatino Linotype" w:cs="Arial"/>
                <w:sz w:val="22"/>
                <w:szCs w:val="22"/>
              </w:rPr>
              <w:t>Objednatele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>:</w:t>
            </w:r>
          </w:p>
          <w:p w14:paraId="6EA057F2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797" w:type="dxa"/>
            <w:vAlign w:val="center"/>
          </w:tcPr>
          <w:p w14:paraId="185AC2A6" w14:textId="76B2239B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Za </w:t>
            </w:r>
            <w:r w:rsidR="00F062E8">
              <w:rPr>
                <w:rFonts w:ascii="Palatino Linotype" w:hAnsi="Palatino Linotype" w:cs="Arial"/>
                <w:sz w:val="22"/>
                <w:szCs w:val="22"/>
              </w:rPr>
              <w:t>Zhotovitel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>e:</w:t>
            </w:r>
          </w:p>
          <w:p w14:paraId="6CEA105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730264" w:rsidRPr="0001207E" w14:paraId="7551A1AC" w14:textId="77777777" w:rsidTr="00410DD2">
        <w:tc>
          <w:tcPr>
            <w:tcW w:w="4275" w:type="dxa"/>
            <w:vAlign w:val="bottom"/>
          </w:tcPr>
          <w:p w14:paraId="1A239F70" w14:textId="77777777" w:rsidR="00730264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i/>
                <w:i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V Praze dne </w:t>
            </w:r>
            <w:r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dle elektronického podpisu</w:t>
            </w:r>
          </w:p>
          <w:p w14:paraId="7B58172F" w14:textId="2BE64BE4" w:rsidR="00C32004" w:rsidRPr="0001207E" w:rsidRDefault="00C3200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C32004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dne </w:t>
            </w:r>
            <w:r w:rsidR="00353123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20</w:t>
            </w:r>
            <w:r w:rsidRPr="00C32004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. 5. 2026</w:t>
            </w:r>
          </w:p>
        </w:tc>
        <w:tc>
          <w:tcPr>
            <w:tcW w:w="4797" w:type="dxa"/>
            <w:vAlign w:val="bottom"/>
          </w:tcPr>
          <w:p w14:paraId="5C9C7F38" w14:textId="77777777" w:rsidR="00C32004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i/>
                <w:i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Ve Zlíně dne </w:t>
            </w:r>
            <w:r w:rsidRPr="00122D2F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dle elektronického podpisu</w:t>
            </w:r>
          </w:p>
          <w:p w14:paraId="7D7E6766" w14:textId="7B252F82" w:rsidR="00730264" w:rsidRPr="0001207E" w:rsidRDefault="00A75D78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 dne 4. 5. 2026</w:t>
            </w:r>
          </w:p>
        </w:tc>
      </w:tr>
      <w:tr w:rsidR="00730264" w:rsidRPr="0001207E" w14:paraId="38C3D20B" w14:textId="77777777" w:rsidTr="00410DD2">
        <w:tc>
          <w:tcPr>
            <w:tcW w:w="4275" w:type="dxa"/>
          </w:tcPr>
          <w:p w14:paraId="57B439C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81A19C2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C5AE85D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26911D2A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2818A4E2" w14:textId="77777777" w:rsidR="00730264" w:rsidRPr="0001207E" w:rsidRDefault="00730264" w:rsidP="00410DD2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Česká republika – Ministerstvo práce</w:t>
            </w:r>
          </w:p>
          <w:p w14:paraId="547A36A9" w14:textId="77777777" w:rsidR="00730264" w:rsidRPr="0001207E" w:rsidRDefault="00730264" w:rsidP="00410DD2">
            <w:pPr>
              <w:spacing w:line="280" w:lineRule="atLeast"/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sz w:val="22"/>
                <w:szCs w:val="22"/>
              </w:rPr>
              <w:t>a sociálních věcí</w:t>
            </w:r>
          </w:p>
          <w:p w14:paraId="59895B18" w14:textId="77777777" w:rsidR="00A75D78" w:rsidRDefault="00A75D78" w:rsidP="00410DD2">
            <w:pPr>
              <w:jc w:val="center"/>
              <w:rPr>
                <w:rFonts w:ascii="Palatino Linotype" w:hAnsi="Palatino Linotype" w:cs="Arial"/>
                <w:bCs/>
                <w:sz w:val="22"/>
                <w:szCs w:val="22"/>
              </w:rPr>
            </w:pPr>
            <w:r w:rsidRPr="008A7690">
              <w:rPr>
                <w:rFonts w:ascii="Palatino Linotype" w:hAnsi="Palatino Linotype"/>
                <w:i/>
                <w:iCs/>
                <w:sz w:val="22"/>
                <w:szCs w:val="22"/>
              </w:rPr>
              <w:t>neveřejný údaj</w:t>
            </w: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 </w:t>
            </w:r>
          </w:p>
          <w:p w14:paraId="7B9CA125" w14:textId="7DD117C2" w:rsidR="00730264" w:rsidRPr="0001207E" w:rsidRDefault="00730264" w:rsidP="00410DD2">
            <w:pPr>
              <w:jc w:val="center"/>
              <w:rPr>
                <w:rFonts w:ascii="Palatino Linotype" w:hAnsi="Palatino Linotype" w:cs="Arial"/>
                <w:b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Cs/>
                <w:sz w:val="22"/>
                <w:szCs w:val="22"/>
              </w:rPr>
              <w:t xml:space="preserve">vrchní ředitel sekce </w:t>
            </w:r>
            <w:r w:rsidR="0088036F">
              <w:rPr>
                <w:rFonts w:ascii="Palatino Linotype" w:hAnsi="Palatino Linotype" w:cs="Arial"/>
                <w:bCs/>
                <w:sz w:val="22"/>
                <w:szCs w:val="22"/>
              </w:rPr>
              <w:t>zaměstnanosti</w:t>
            </w:r>
          </w:p>
        </w:tc>
        <w:tc>
          <w:tcPr>
            <w:tcW w:w="4797" w:type="dxa"/>
          </w:tcPr>
          <w:p w14:paraId="42DF05C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00EE389B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4DFE4F7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03AD103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______________________________</w:t>
            </w:r>
          </w:p>
          <w:p w14:paraId="5B71240C" w14:textId="7777777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b/>
                <w:bCs/>
                <w:sz w:val="22"/>
                <w:szCs w:val="22"/>
              </w:rPr>
              <w:t>TREXIMA, spol. s r.o.</w:t>
            </w:r>
          </w:p>
          <w:p w14:paraId="4C1BDA86" w14:textId="77777777" w:rsidR="00A75D78" w:rsidRDefault="00A75D78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8A7690">
              <w:rPr>
                <w:rFonts w:ascii="Palatino Linotype" w:hAnsi="Palatino Linotype"/>
                <w:i/>
                <w:iCs/>
                <w:sz w:val="22"/>
                <w:szCs w:val="22"/>
              </w:rPr>
              <w:t>neveřejný údaj</w:t>
            </w:r>
            <w:r w:rsidRPr="0001207E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  <w:p w14:paraId="4FC0F6AB" w14:textId="132D4E27" w:rsidR="00730264" w:rsidRPr="0001207E" w:rsidRDefault="00730264" w:rsidP="00410DD2">
            <w:pPr>
              <w:tabs>
                <w:tab w:val="left" w:pos="5103"/>
              </w:tabs>
              <w:spacing w:line="280" w:lineRule="atLeast"/>
              <w:jc w:val="center"/>
              <w:rPr>
                <w:rFonts w:ascii="Palatino Linotype" w:hAnsi="Palatino Linotype" w:cs="Arial"/>
                <w:b/>
                <w:bCs/>
                <w:sz w:val="22"/>
                <w:szCs w:val="22"/>
              </w:rPr>
            </w:pPr>
            <w:r w:rsidRPr="0001207E">
              <w:rPr>
                <w:rFonts w:ascii="Palatino Linotype" w:hAnsi="Palatino Linotype" w:cs="Arial"/>
                <w:sz w:val="22"/>
                <w:szCs w:val="22"/>
              </w:rPr>
              <w:t>jednatel</w:t>
            </w:r>
            <w:r w:rsidR="00CC45C5">
              <w:rPr>
                <w:rFonts w:ascii="Palatino Linotype" w:hAnsi="Palatino Linotype" w:cs="Arial"/>
                <w:sz w:val="22"/>
                <w:szCs w:val="22"/>
              </w:rPr>
              <w:t>ka</w:t>
            </w:r>
          </w:p>
        </w:tc>
      </w:tr>
    </w:tbl>
    <w:p w14:paraId="4B5DB441" w14:textId="3013229D" w:rsidR="00AA56E5" w:rsidRDefault="00AA56E5" w:rsidP="00730264">
      <w:pPr>
        <w:spacing w:line="280" w:lineRule="atLeast"/>
        <w:rPr>
          <w:rFonts w:ascii="Palatino Linotype" w:hAnsi="Palatino Linotype" w:cs="Arial"/>
          <w:b/>
          <w:sz w:val="22"/>
          <w:szCs w:val="22"/>
        </w:rPr>
      </w:pPr>
    </w:p>
    <w:p w14:paraId="75EDE362" w14:textId="1DCBFB06" w:rsidR="00730264" w:rsidRPr="003F2B9A" w:rsidRDefault="00730264" w:rsidP="003F2B9A">
      <w:pPr>
        <w:spacing w:after="160" w:line="259" w:lineRule="auto"/>
        <w:rPr>
          <w:rFonts w:ascii="Palatino Linotype" w:hAnsi="Palatino Linotype" w:cs="Arial"/>
          <w:b/>
          <w:sz w:val="22"/>
          <w:szCs w:val="22"/>
        </w:rPr>
      </w:pPr>
    </w:p>
    <w:sectPr w:rsidR="00730264" w:rsidRPr="003F2B9A" w:rsidSect="00F3653A"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D2966" w14:textId="77777777" w:rsidR="001F4F87" w:rsidRDefault="001F4F87" w:rsidP="00F3653A">
      <w:r>
        <w:separator/>
      </w:r>
    </w:p>
  </w:endnote>
  <w:endnote w:type="continuationSeparator" w:id="0">
    <w:p w14:paraId="7F4BD68A" w14:textId="77777777" w:rsidR="001F4F87" w:rsidRDefault="001F4F87" w:rsidP="00F3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2262" w14:textId="77777777" w:rsidR="00515A08" w:rsidRPr="00A34070" w:rsidRDefault="00515A08" w:rsidP="00E0193A">
    <w:pPr>
      <w:pStyle w:val="Zpat"/>
      <w:tabs>
        <w:tab w:val="right" w:pos="14034"/>
      </w:tabs>
      <w:rPr>
        <w:rFonts w:cs="Arial"/>
        <w:sz w:val="18"/>
        <w:szCs w:val="18"/>
      </w:rPr>
    </w:pPr>
  </w:p>
  <w:p w14:paraId="24E8E624" w14:textId="77777777" w:rsidR="00515A08" w:rsidRPr="00A3248B" w:rsidRDefault="00515A08" w:rsidP="00FC4EEB">
    <w:pPr>
      <w:pStyle w:val="Zpat"/>
      <w:jc w:val="center"/>
      <w:rPr>
        <w:rFonts w:ascii="Palatino Linotype" w:hAnsi="Palatino Linotype"/>
      </w:rPr>
    </w:pPr>
    <w:r w:rsidRPr="00A3248B">
      <w:rPr>
        <w:rFonts w:ascii="Palatino Linotype" w:hAnsi="Palatino Linotype"/>
        <w:lang w:val="cs-CZ"/>
      </w:rPr>
      <w:t xml:space="preserve">Stránka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PAGE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Pr="00A3248B">
      <w:rPr>
        <w:rFonts w:ascii="Palatino Linotype" w:hAnsi="Palatino Linotype"/>
        <w:b/>
        <w:bCs/>
        <w:noProof/>
        <w:lang w:val="cs-CZ"/>
      </w:rPr>
      <w:t>2</w:t>
    </w:r>
    <w:r w:rsidRPr="00A3248B">
      <w:rPr>
        <w:rFonts w:ascii="Palatino Linotype" w:hAnsi="Palatino Linotype"/>
        <w:b/>
        <w:bCs/>
      </w:rPr>
      <w:fldChar w:fldCharType="end"/>
    </w:r>
    <w:r w:rsidRPr="00A3248B">
      <w:rPr>
        <w:rFonts w:ascii="Palatino Linotype" w:hAnsi="Palatino Linotype"/>
        <w:lang w:val="cs-CZ"/>
      </w:rPr>
      <w:t xml:space="preserve"> z </w:t>
    </w:r>
    <w:r w:rsidRPr="00A3248B">
      <w:rPr>
        <w:rFonts w:ascii="Palatino Linotype" w:hAnsi="Palatino Linotype"/>
        <w:b/>
        <w:bCs/>
      </w:rPr>
      <w:fldChar w:fldCharType="begin"/>
    </w:r>
    <w:r w:rsidRPr="00A3248B">
      <w:rPr>
        <w:rFonts w:ascii="Palatino Linotype" w:hAnsi="Palatino Linotype"/>
        <w:b/>
        <w:bCs/>
      </w:rPr>
      <w:instrText>NUMPAGES  \* Arabic  \* MERGEFORMAT</w:instrText>
    </w:r>
    <w:r w:rsidRPr="00A3248B">
      <w:rPr>
        <w:rFonts w:ascii="Palatino Linotype" w:hAnsi="Palatino Linotype"/>
        <w:b/>
        <w:bCs/>
      </w:rPr>
      <w:fldChar w:fldCharType="separate"/>
    </w:r>
    <w:r w:rsidRPr="00A3248B">
      <w:rPr>
        <w:rFonts w:ascii="Palatino Linotype" w:hAnsi="Palatino Linotype"/>
        <w:b/>
        <w:bCs/>
        <w:noProof/>
        <w:lang w:val="cs-CZ"/>
      </w:rPr>
      <w:t>3</w:t>
    </w:r>
    <w:r w:rsidRPr="00A3248B">
      <w:rPr>
        <w:rFonts w:ascii="Palatino Linotype" w:hAnsi="Palatino Linotype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71A9" w14:textId="77777777" w:rsidR="00515A08" w:rsidRDefault="00515A08" w:rsidP="00FC4EEB">
    <w:pPr>
      <w:pStyle w:val="Zpat"/>
      <w:jc w:val="center"/>
    </w:pPr>
    <w:r>
      <w:rPr>
        <w:lang w:val="cs-CZ"/>
      </w:rP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8B2547">
      <w:rPr>
        <w:b/>
        <w:bCs/>
        <w:noProof/>
        <w:lang w:val="cs-CZ"/>
      </w:rPr>
      <w:t>1</w:t>
    </w:r>
    <w:r>
      <w:rPr>
        <w:b/>
        <w:bCs/>
      </w:rPr>
      <w:fldChar w:fldCharType="end"/>
    </w:r>
    <w:r>
      <w:rPr>
        <w:lang w:val="cs-CZ"/>
      </w:rP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8B2547">
      <w:rPr>
        <w:b/>
        <w:bCs/>
        <w:noProof/>
        <w:lang w:val="cs-CZ"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2EAB3" w14:textId="77777777" w:rsidR="001F4F87" w:rsidRDefault="001F4F87" w:rsidP="00F3653A">
      <w:r>
        <w:separator/>
      </w:r>
    </w:p>
  </w:footnote>
  <w:footnote w:type="continuationSeparator" w:id="0">
    <w:p w14:paraId="6B42E8C5" w14:textId="77777777" w:rsidR="001F4F87" w:rsidRDefault="001F4F87" w:rsidP="00F3653A">
      <w:r>
        <w:continuationSeparator/>
      </w:r>
    </w:p>
  </w:footnote>
  <w:footnote w:id="1">
    <w:p w14:paraId="4B2EE9A9" w14:textId="77777777" w:rsidR="0059623C" w:rsidRPr="004110A1" w:rsidRDefault="0059623C" w:rsidP="0059623C">
      <w:pPr>
        <w:pStyle w:val="Textpoznpodarou"/>
        <w:rPr>
          <w:rFonts w:ascii="Palatino Linotype" w:hAnsi="Palatino Linotype"/>
        </w:rPr>
      </w:pPr>
      <w:r w:rsidRPr="004110A1">
        <w:rPr>
          <w:rStyle w:val="Znakapoznpodarou"/>
          <w:rFonts w:ascii="Palatino Linotype" w:hAnsi="Palatino Linotype"/>
        </w:rPr>
        <w:footnoteRef/>
      </w:r>
      <w:r w:rsidRPr="004110A1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</w:t>
      </w:r>
      <w:r w:rsidRPr="004110A1">
        <w:rPr>
          <w:rFonts w:ascii="Palatino Linotype" w:hAnsi="Palatino Linotype"/>
        </w:rPr>
        <w:t>ne 7. 4. 2026</w:t>
      </w:r>
      <w:r>
        <w:rPr>
          <w:rFonts w:ascii="Palatino Linotype" w:hAnsi="Palatino Linotype"/>
        </w:rPr>
        <w:t xml:space="preserve"> EK potvrdila</w:t>
      </w:r>
      <w:r w:rsidRPr="004110A1">
        <w:rPr>
          <w:rFonts w:ascii="Palatino Linotype" w:hAnsi="Palatino Linotype"/>
        </w:rPr>
        <w:t xml:space="preserve">, že </w:t>
      </w:r>
      <w:r>
        <w:rPr>
          <w:rFonts w:ascii="Palatino Linotype" w:hAnsi="Palatino Linotype"/>
        </w:rPr>
        <w:t xml:space="preserve">v těchto případech </w:t>
      </w:r>
      <w:r w:rsidRPr="004110A1">
        <w:rPr>
          <w:rFonts w:ascii="Palatino Linotype" w:hAnsi="Palatino Linotype"/>
        </w:rPr>
        <w:t>již využívá verzi 1.2 ESCO</w:t>
      </w:r>
      <w:r>
        <w:rPr>
          <w:rFonts w:ascii="Palatino Linotype" w:hAnsi="Palatino Linotyp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6AF"/>
    <w:multiLevelType w:val="hybridMultilevel"/>
    <w:tmpl w:val="E7E6FB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062B"/>
    <w:multiLevelType w:val="hybridMultilevel"/>
    <w:tmpl w:val="F594E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858EC"/>
    <w:multiLevelType w:val="hybridMultilevel"/>
    <w:tmpl w:val="5AF4DB9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CF87028"/>
    <w:multiLevelType w:val="hybridMultilevel"/>
    <w:tmpl w:val="F594E6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0034B"/>
    <w:multiLevelType w:val="hybridMultilevel"/>
    <w:tmpl w:val="F6F25A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F4C3B"/>
    <w:multiLevelType w:val="hybridMultilevel"/>
    <w:tmpl w:val="272E51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844B75"/>
    <w:multiLevelType w:val="multilevel"/>
    <w:tmpl w:val="181AF9F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F245169"/>
    <w:multiLevelType w:val="hybridMultilevel"/>
    <w:tmpl w:val="C854C168"/>
    <w:lvl w:ilvl="0" w:tplc="3E2EFB56">
      <w:start w:val="3"/>
      <w:numFmt w:val="decimal"/>
      <w:pStyle w:val="Nadpis1"/>
      <w:lvlText w:val="Článek %1"/>
      <w:lvlJc w:val="left"/>
      <w:pPr>
        <w:ind w:left="4472" w:hanging="360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552" w:hanging="360"/>
      </w:pPr>
    </w:lvl>
    <w:lvl w:ilvl="2" w:tplc="0405001B">
      <w:start w:val="1"/>
      <w:numFmt w:val="lowerRoman"/>
      <w:lvlText w:val="%3."/>
      <w:lvlJc w:val="right"/>
      <w:pPr>
        <w:ind w:left="6272" w:hanging="180"/>
      </w:pPr>
    </w:lvl>
    <w:lvl w:ilvl="3" w:tplc="0405000F">
      <w:start w:val="1"/>
      <w:numFmt w:val="decimal"/>
      <w:lvlText w:val="%4."/>
      <w:lvlJc w:val="left"/>
      <w:pPr>
        <w:ind w:left="6992" w:hanging="360"/>
      </w:pPr>
    </w:lvl>
    <w:lvl w:ilvl="4" w:tplc="04050019">
      <w:start w:val="1"/>
      <w:numFmt w:val="lowerLetter"/>
      <w:lvlText w:val="%5."/>
      <w:lvlJc w:val="left"/>
      <w:pPr>
        <w:ind w:left="7712" w:hanging="360"/>
      </w:pPr>
    </w:lvl>
    <w:lvl w:ilvl="5" w:tplc="0405001B">
      <w:start w:val="1"/>
      <w:numFmt w:val="lowerRoman"/>
      <w:lvlText w:val="%6."/>
      <w:lvlJc w:val="right"/>
      <w:pPr>
        <w:ind w:left="8432" w:hanging="180"/>
      </w:pPr>
    </w:lvl>
    <w:lvl w:ilvl="6" w:tplc="0405000F">
      <w:start w:val="1"/>
      <w:numFmt w:val="decimal"/>
      <w:lvlText w:val="%7."/>
      <w:lvlJc w:val="left"/>
      <w:pPr>
        <w:ind w:left="9152" w:hanging="360"/>
      </w:pPr>
    </w:lvl>
    <w:lvl w:ilvl="7" w:tplc="04050019">
      <w:start w:val="1"/>
      <w:numFmt w:val="lowerLetter"/>
      <w:lvlText w:val="%8."/>
      <w:lvlJc w:val="left"/>
      <w:pPr>
        <w:ind w:left="9872" w:hanging="360"/>
      </w:pPr>
    </w:lvl>
    <w:lvl w:ilvl="8" w:tplc="0405001B">
      <w:start w:val="1"/>
      <w:numFmt w:val="lowerRoman"/>
      <w:lvlText w:val="%9."/>
      <w:lvlJc w:val="right"/>
      <w:pPr>
        <w:ind w:left="10592" w:hanging="180"/>
      </w:pPr>
    </w:lvl>
  </w:abstractNum>
  <w:num w:numId="1" w16cid:durableId="590743084">
    <w:abstractNumId w:val="5"/>
  </w:num>
  <w:num w:numId="2" w16cid:durableId="66920174">
    <w:abstractNumId w:val="7"/>
  </w:num>
  <w:num w:numId="3" w16cid:durableId="1388382564">
    <w:abstractNumId w:val="0"/>
  </w:num>
  <w:num w:numId="4" w16cid:durableId="1700546951">
    <w:abstractNumId w:val="1"/>
  </w:num>
  <w:num w:numId="5" w16cid:durableId="318846509">
    <w:abstractNumId w:val="2"/>
  </w:num>
  <w:num w:numId="6" w16cid:durableId="88545879">
    <w:abstractNumId w:val="4"/>
  </w:num>
  <w:num w:numId="7" w16cid:durableId="132061438">
    <w:abstractNumId w:val="3"/>
  </w:num>
  <w:num w:numId="8" w16cid:durableId="1356344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64"/>
    <w:rsid w:val="000042E6"/>
    <w:rsid w:val="00014DAB"/>
    <w:rsid w:val="00020328"/>
    <w:rsid w:val="00036FE9"/>
    <w:rsid w:val="0004346A"/>
    <w:rsid w:val="000455B1"/>
    <w:rsid w:val="00093BB0"/>
    <w:rsid w:val="000B1C45"/>
    <w:rsid w:val="000F5C31"/>
    <w:rsid w:val="000F7C04"/>
    <w:rsid w:val="0010438D"/>
    <w:rsid w:val="001119CD"/>
    <w:rsid w:val="001131DC"/>
    <w:rsid w:val="00122D2F"/>
    <w:rsid w:val="00133CBF"/>
    <w:rsid w:val="001346AC"/>
    <w:rsid w:val="0014594A"/>
    <w:rsid w:val="00165B48"/>
    <w:rsid w:val="00166A5C"/>
    <w:rsid w:val="00181188"/>
    <w:rsid w:val="00182F2C"/>
    <w:rsid w:val="001A1BF0"/>
    <w:rsid w:val="001B351D"/>
    <w:rsid w:val="001B36DD"/>
    <w:rsid w:val="001D75DF"/>
    <w:rsid w:val="001E06C5"/>
    <w:rsid w:val="001F1040"/>
    <w:rsid w:val="001F2E6C"/>
    <w:rsid w:val="001F4F87"/>
    <w:rsid w:val="00206653"/>
    <w:rsid w:val="00207652"/>
    <w:rsid w:val="00247F97"/>
    <w:rsid w:val="0025171D"/>
    <w:rsid w:val="0026362A"/>
    <w:rsid w:val="00266570"/>
    <w:rsid w:val="00267C60"/>
    <w:rsid w:val="002807E1"/>
    <w:rsid w:val="002A42C8"/>
    <w:rsid w:val="002C75AA"/>
    <w:rsid w:val="002D1B94"/>
    <w:rsid w:val="002F40FA"/>
    <w:rsid w:val="0030053A"/>
    <w:rsid w:val="00303995"/>
    <w:rsid w:val="003157FF"/>
    <w:rsid w:val="00324B17"/>
    <w:rsid w:val="00334D3F"/>
    <w:rsid w:val="00335945"/>
    <w:rsid w:val="00353123"/>
    <w:rsid w:val="00370E1D"/>
    <w:rsid w:val="003750C6"/>
    <w:rsid w:val="00380FDC"/>
    <w:rsid w:val="00383056"/>
    <w:rsid w:val="00385F2A"/>
    <w:rsid w:val="00390CB0"/>
    <w:rsid w:val="003A0E50"/>
    <w:rsid w:val="003B42CC"/>
    <w:rsid w:val="003C03D2"/>
    <w:rsid w:val="003C17EA"/>
    <w:rsid w:val="003C39BA"/>
    <w:rsid w:val="003C67C7"/>
    <w:rsid w:val="003D4FDE"/>
    <w:rsid w:val="003F2B9A"/>
    <w:rsid w:val="003F429E"/>
    <w:rsid w:val="004007B7"/>
    <w:rsid w:val="00404566"/>
    <w:rsid w:val="004110A1"/>
    <w:rsid w:val="00412AE8"/>
    <w:rsid w:val="004203B8"/>
    <w:rsid w:val="004331C8"/>
    <w:rsid w:val="0044090D"/>
    <w:rsid w:val="004538F8"/>
    <w:rsid w:val="00454390"/>
    <w:rsid w:val="0046356F"/>
    <w:rsid w:val="00467830"/>
    <w:rsid w:val="00471CEE"/>
    <w:rsid w:val="00475ACB"/>
    <w:rsid w:val="00485C54"/>
    <w:rsid w:val="004925F6"/>
    <w:rsid w:val="004932DB"/>
    <w:rsid w:val="004B1615"/>
    <w:rsid w:val="004C7217"/>
    <w:rsid w:val="004D02A3"/>
    <w:rsid w:val="004D27EB"/>
    <w:rsid w:val="004D3E0A"/>
    <w:rsid w:val="004D485A"/>
    <w:rsid w:val="00515A08"/>
    <w:rsid w:val="005204EC"/>
    <w:rsid w:val="005207D4"/>
    <w:rsid w:val="005360ED"/>
    <w:rsid w:val="005540C6"/>
    <w:rsid w:val="00564268"/>
    <w:rsid w:val="00581DF2"/>
    <w:rsid w:val="00582340"/>
    <w:rsid w:val="00587EDC"/>
    <w:rsid w:val="00596105"/>
    <w:rsid w:val="0059623C"/>
    <w:rsid w:val="005B3F41"/>
    <w:rsid w:val="005C0797"/>
    <w:rsid w:val="005C174F"/>
    <w:rsid w:val="005E4148"/>
    <w:rsid w:val="00613FDD"/>
    <w:rsid w:val="00627746"/>
    <w:rsid w:val="006429CB"/>
    <w:rsid w:val="006610F6"/>
    <w:rsid w:val="00666354"/>
    <w:rsid w:val="00672126"/>
    <w:rsid w:val="00674665"/>
    <w:rsid w:val="0068213A"/>
    <w:rsid w:val="006B3703"/>
    <w:rsid w:val="006C6764"/>
    <w:rsid w:val="006C7957"/>
    <w:rsid w:val="006E5B85"/>
    <w:rsid w:val="007235AA"/>
    <w:rsid w:val="00730264"/>
    <w:rsid w:val="00741D81"/>
    <w:rsid w:val="0075189F"/>
    <w:rsid w:val="007568F2"/>
    <w:rsid w:val="00761273"/>
    <w:rsid w:val="00763EF9"/>
    <w:rsid w:val="00766E9E"/>
    <w:rsid w:val="007709CC"/>
    <w:rsid w:val="0078190E"/>
    <w:rsid w:val="00784F41"/>
    <w:rsid w:val="007A2545"/>
    <w:rsid w:val="007A3036"/>
    <w:rsid w:val="007A7E76"/>
    <w:rsid w:val="007B77EE"/>
    <w:rsid w:val="007C3F10"/>
    <w:rsid w:val="00801386"/>
    <w:rsid w:val="008146C3"/>
    <w:rsid w:val="00816726"/>
    <w:rsid w:val="008223CF"/>
    <w:rsid w:val="00853D21"/>
    <w:rsid w:val="00856DDC"/>
    <w:rsid w:val="0088036F"/>
    <w:rsid w:val="008A0C4D"/>
    <w:rsid w:val="008A59EE"/>
    <w:rsid w:val="008D0C16"/>
    <w:rsid w:val="008F7CCF"/>
    <w:rsid w:val="009039EC"/>
    <w:rsid w:val="00904FDA"/>
    <w:rsid w:val="00907D9F"/>
    <w:rsid w:val="00924E2B"/>
    <w:rsid w:val="009350A9"/>
    <w:rsid w:val="00952E9B"/>
    <w:rsid w:val="0098052B"/>
    <w:rsid w:val="0099504B"/>
    <w:rsid w:val="009C0BC8"/>
    <w:rsid w:val="009D4727"/>
    <w:rsid w:val="00A0405E"/>
    <w:rsid w:val="00A13A41"/>
    <w:rsid w:val="00A16E26"/>
    <w:rsid w:val="00A51905"/>
    <w:rsid w:val="00A6124C"/>
    <w:rsid w:val="00A75D78"/>
    <w:rsid w:val="00A861E9"/>
    <w:rsid w:val="00A914D8"/>
    <w:rsid w:val="00A97C51"/>
    <w:rsid w:val="00AA4F46"/>
    <w:rsid w:val="00AA56E5"/>
    <w:rsid w:val="00AA5B5D"/>
    <w:rsid w:val="00AF25EC"/>
    <w:rsid w:val="00B02B72"/>
    <w:rsid w:val="00B048E9"/>
    <w:rsid w:val="00B23EB4"/>
    <w:rsid w:val="00B57082"/>
    <w:rsid w:val="00B6752A"/>
    <w:rsid w:val="00B90EA8"/>
    <w:rsid w:val="00BD53DD"/>
    <w:rsid w:val="00BE6718"/>
    <w:rsid w:val="00C1211D"/>
    <w:rsid w:val="00C23585"/>
    <w:rsid w:val="00C23C21"/>
    <w:rsid w:val="00C25574"/>
    <w:rsid w:val="00C26535"/>
    <w:rsid w:val="00C32004"/>
    <w:rsid w:val="00C621CF"/>
    <w:rsid w:val="00C62E1E"/>
    <w:rsid w:val="00C74CF7"/>
    <w:rsid w:val="00C85357"/>
    <w:rsid w:val="00C8688B"/>
    <w:rsid w:val="00CB4E3D"/>
    <w:rsid w:val="00CB61AB"/>
    <w:rsid w:val="00CB78EF"/>
    <w:rsid w:val="00CC31FD"/>
    <w:rsid w:val="00CC45C5"/>
    <w:rsid w:val="00CC7D18"/>
    <w:rsid w:val="00CD6D55"/>
    <w:rsid w:val="00D066E4"/>
    <w:rsid w:val="00D26ED4"/>
    <w:rsid w:val="00D35E2B"/>
    <w:rsid w:val="00D46B11"/>
    <w:rsid w:val="00D53D50"/>
    <w:rsid w:val="00D55447"/>
    <w:rsid w:val="00D55B3B"/>
    <w:rsid w:val="00D55FB3"/>
    <w:rsid w:val="00D61682"/>
    <w:rsid w:val="00D71503"/>
    <w:rsid w:val="00DB3DEF"/>
    <w:rsid w:val="00DB5E0D"/>
    <w:rsid w:val="00DD31A6"/>
    <w:rsid w:val="00DF2D01"/>
    <w:rsid w:val="00DF76EA"/>
    <w:rsid w:val="00E10920"/>
    <w:rsid w:val="00E301B0"/>
    <w:rsid w:val="00E31583"/>
    <w:rsid w:val="00E325DF"/>
    <w:rsid w:val="00E61901"/>
    <w:rsid w:val="00E64B60"/>
    <w:rsid w:val="00E81DF0"/>
    <w:rsid w:val="00E864E0"/>
    <w:rsid w:val="00E87906"/>
    <w:rsid w:val="00EA66CB"/>
    <w:rsid w:val="00EC0449"/>
    <w:rsid w:val="00EC4EA0"/>
    <w:rsid w:val="00EE263A"/>
    <w:rsid w:val="00EE5FDE"/>
    <w:rsid w:val="00EF1BDA"/>
    <w:rsid w:val="00F00655"/>
    <w:rsid w:val="00F062E8"/>
    <w:rsid w:val="00F15595"/>
    <w:rsid w:val="00F15BFE"/>
    <w:rsid w:val="00F27F73"/>
    <w:rsid w:val="00F3653A"/>
    <w:rsid w:val="00F4698E"/>
    <w:rsid w:val="00F82797"/>
    <w:rsid w:val="00FA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B397D"/>
  <w15:chartTrackingRefBased/>
  <w15:docId w15:val="{0BC231EB-CB5F-4E07-8E7C-AF9AEA10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0264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730264"/>
    <w:pPr>
      <w:keepNext/>
      <w:numPr>
        <w:numId w:val="2"/>
      </w:numPr>
      <w:jc w:val="center"/>
      <w:outlineLvl w:val="0"/>
    </w:pPr>
    <w:rPr>
      <w:b/>
      <w:bCs/>
      <w:szCs w:val="2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30264"/>
    <w:rPr>
      <w:rFonts w:ascii="Arial" w:eastAsia="Calibri" w:hAnsi="Arial" w:cs="Times New Roman"/>
      <w:b/>
      <w:bCs/>
      <w:kern w:val="0"/>
      <w:sz w:val="20"/>
      <w:lang w:val="x-none"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730264"/>
    <w:pPr>
      <w:ind w:left="720"/>
    </w:pPr>
    <w:rPr>
      <w:lang w:val="x-none"/>
    </w:rPr>
  </w:style>
  <w:style w:type="paragraph" w:styleId="Zkladntext">
    <w:name w:val="Body Text"/>
    <w:basedOn w:val="Normln"/>
    <w:link w:val="ZkladntextChar"/>
    <w:uiPriority w:val="99"/>
    <w:rsid w:val="00730264"/>
    <w:pPr>
      <w:jc w:val="both"/>
    </w:pPr>
    <w:rPr>
      <w:rFonts w:eastAsia="Times New Roman"/>
      <w:b/>
      <w:bCs/>
      <w:sz w:val="28"/>
      <w:szCs w:val="28"/>
      <w:lang w:val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264"/>
    <w:rPr>
      <w:rFonts w:ascii="Arial" w:eastAsia="Times New Roman" w:hAnsi="Arial" w:cs="Times New Roman"/>
      <w:b/>
      <w:bCs/>
      <w:kern w:val="0"/>
      <w:sz w:val="28"/>
      <w:szCs w:val="28"/>
      <w:lang w:val="x-none" w:eastAsia="cs-CZ"/>
      <w14:ligatures w14:val="none"/>
    </w:rPr>
  </w:style>
  <w:style w:type="paragraph" w:styleId="Zpat">
    <w:name w:val="footer"/>
    <w:basedOn w:val="Normln"/>
    <w:link w:val="ZpatChar"/>
    <w:uiPriority w:val="99"/>
    <w:rsid w:val="00730264"/>
    <w:pPr>
      <w:tabs>
        <w:tab w:val="center" w:pos="4536"/>
        <w:tab w:val="right" w:pos="9072"/>
      </w:tabs>
    </w:pPr>
    <w:rPr>
      <w:rFonts w:eastAsia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73026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OdstavecseseznamemChar">
    <w:name w:val="Odstavec se seznamem Char"/>
    <w:link w:val="Odstavecseseznamem"/>
    <w:uiPriority w:val="34"/>
    <w:rsid w:val="00730264"/>
    <w:rPr>
      <w:rFonts w:ascii="Arial" w:eastAsia="Calibri" w:hAnsi="Arial" w:cs="Times New Roman"/>
      <w:kern w:val="0"/>
      <w:sz w:val="20"/>
      <w:szCs w:val="20"/>
      <w:lang w:val="x-none" w:eastAsia="cs-CZ"/>
      <w14:ligatures w14:val="none"/>
    </w:rPr>
  </w:style>
  <w:style w:type="paragraph" w:customStyle="1" w:styleId="RLdajeosmluvnstran">
    <w:name w:val="RL  údaje o smluvní straně"/>
    <w:basedOn w:val="Normln"/>
    <w:link w:val="RLdajeosmluvnstranChar"/>
    <w:uiPriority w:val="99"/>
    <w:rsid w:val="00730264"/>
    <w:pPr>
      <w:spacing w:after="120" w:line="280" w:lineRule="exact"/>
      <w:jc w:val="center"/>
    </w:pPr>
    <w:rPr>
      <w:rFonts w:ascii="Garamond" w:eastAsia="Times New Roman" w:hAnsi="Garamond"/>
      <w:lang w:val="x-none"/>
    </w:rPr>
  </w:style>
  <w:style w:type="character" w:customStyle="1" w:styleId="RLdajeosmluvnstranChar">
    <w:name w:val="RL  údaje o smluvní straně Char"/>
    <w:link w:val="RLdajeosmluvnstran"/>
    <w:uiPriority w:val="99"/>
    <w:rsid w:val="00730264"/>
    <w:rPr>
      <w:rFonts w:ascii="Garamond" w:eastAsia="Times New Roman" w:hAnsi="Garamond" w:cs="Times New Roman"/>
      <w:kern w:val="0"/>
      <w:sz w:val="20"/>
      <w:szCs w:val="20"/>
      <w:lang w:val="x-none" w:eastAsia="cs-CZ"/>
      <w14:ligatures w14:val="none"/>
    </w:rPr>
  </w:style>
  <w:style w:type="paragraph" w:customStyle="1" w:styleId="RLProhlensmluvnchstran">
    <w:name w:val="RL Prohlášení smluvních stran"/>
    <w:basedOn w:val="Normln"/>
    <w:link w:val="RLProhlensmluvnchstranChar"/>
    <w:rsid w:val="00730264"/>
    <w:pPr>
      <w:spacing w:after="120" w:line="280" w:lineRule="exact"/>
      <w:jc w:val="center"/>
    </w:pPr>
    <w:rPr>
      <w:rFonts w:eastAsia="Times New Roman"/>
      <w:b/>
      <w:szCs w:val="24"/>
    </w:rPr>
  </w:style>
  <w:style w:type="character" w:customStyle="1" w:styleId="RLProhlensmluvnchstranChar">
    <w:name w:val="RL Prohlášení smluvních stran Char"/>
    <w:link w:val="RLProhlensmluvnchstran"/>
    <w:rsid w:val="00730264"/>
    <w:rPr>
      <w:rFonts w:ascii="Arial" w:eastAsia="Times New Roman" w:hAnsi="Arial" w:cs="Times New Roman"/>
      <w:b/>
      <w:kern w:val="0"/>
      <w:sz w:val="20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7302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0264"/>
  </w:style>
  <w:style w:type="character" w:customStyle="1" w:styleId="TextkomenteChar">
    <w:name w:val="Text komentáře Char"/>
    <w:basedOn w:val="Standardnpsmoodstavce"/>
    <w:link w:val="Textkomente"/>
    <w:uiPriority w:val="99"/>
    <w:rsid w:val="00730264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02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0264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365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53A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Revize">
    <w:name w:val="Revision"/>
    <w:hidden/>
    <w:uiPriority w:val="99"/>
    <w:semiHidden/>
    <w:rsid w:val="007235AA"/>
    <w:pPr>
      <w:spacing w:after="0" w:line="240" w:lineRule="auto"/>
    </w:pPr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10A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10A1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4110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070F2-65C2-4B52-BCBF-F3E63F849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1018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Teichman Klaudia Mgr. (MPSV)</dc:creator>
  <cp:keywords/>
  <dc:description/>
  <cp:lastModifiedBy>Zákoutská Petra Ing. (MPSV)</cp:lastModifiedBy>
  <cp:revision>105</cp:revision>
  <cp:lastPrinted>2026-05-04T10:21:00Z</cp:lastPrinted>
  <dcterms:created xsi:type="dcterms:W3CDTF">2024-08-08T10:48:00Z</dcterms:created>
  <dcterms:modified xsi:type="dcterms:W3CDTF">2026-05-20T11:21:00Z</dcterms:modified>
</cp:coreProperties>
</file>