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530B17AB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8F3AA4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F3AA4" w:rsidRDefault="006A7B64" w:rsidP="00773DB1">
      <w:pPr>
        <w:ind w:left="567" w:hanging="567"/>
        <w:rPr>
          <w:rFonts w:cs="Times New Roman"/>
        </w:rPr>
      </w:pPr>
      <w:r w:rsidRPr="008F3AA4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74DAA3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D1629">
        <w:rPr>
          <w:rFonts w:cs="Times New Roman"/>
          <w:bCs/>
        </w:rPr>
        <w:t>xxxxxxxxxxxx</w:t>
      </w:r>
    </w:p>
    <w:p w14:paraId="1570BA0A" w14:textId="2827CE16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D1629">
        <w:rPr>
          <w:rFonts w:cs="Times New Roman"/>
          <w:bCs/>
        </w:rPr>
        <w:t>xxxxxxxxxxxxxxx</w:t>
      </w:r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6512E770" w14:textId="77777777" w:rsidR="008F3AA4" w:rsidRPr="00E364A7" w:rsidRDefault="008F3AA4" w:rsidP="008F3AA4">
      <w:pPr>
        <w:spacing w:line="276" w:lineRule="auto"/>
        <w:rPr>
          <w:rFonts w:cs="Times New Roman"/>
          <w:b/>
          <w:bCs/>
        </w:rPr>
      </w:pPr>
      <w:r w:rsidRPr="00E364A7">
        <w:rPr>
          <w:rFonts w:cs="Times New Roman"/>
          <w:b/>
          <w:bCs/>
        </w:rPr>
        <w:t>Ing. arch. Benedikt Markel</w:t>
      </w:r>
    </w:p>
    <w:p w14:paraId="072A8500" w14:textId="77777777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  <w:bCs/>
        </w:rPr>
        <w:t xml:space="preserve">sídlo: </w:t>
      </w:r>
      <w:r w:rsidRPr="00E364A7">
        <w:rPr>
          <w:rFonts w:cs="Times New Roman"/>
        </w:rPr>
        <w:t>Keramická 287/3</w:t>
      </w:r>
      <w:r>
        <w:rPr>
          <w:rFonts w:cs="Times New Roman"/>
        </w:rPr>
        <w:t xml:space="preserve">, </w:t>
      </w:r>
      <w:r w:rsidRPr="00E364A7">
        <w:rPr>
          <w:rFonts w:cs="Times New Roman"/>
        </w:rPr>
        <w:t>170 00 Praha 7 – Bubeneč</w:t>
      </w:r>
    </w:p>
    <w:p w14:paraId="069F4F5B" w14:textId="7140FC14" w:rsidR="008F3AA4" w:rsidRPr="0060154C" w:rsidRDefault="008F3AA4" w:rsidP="008F3AA4">
      <w:pPr>
        <w:spacing w:line="276" w:lineRule="auto"/>
        <w:rPr>
          <w:rFonts w:cs="Times New Roman"/>
          <w:b/>
          <w:bCs/>
        </w:rPr>
      </w:pPr>
      <w:r>
        <w:rPr>
          <w:rFonts w:cs="Times New Roman"/>
        </w:rPr>
        <w:t>zapsaný: v živnostenském rejstříku vedeném Úřadem městské části Praha 7</w:t>
      </w:r>
    </w:p>
    <w:p w14:paraId="053CFD36" w14:textId="77777777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Pr="00E364A7">
        <w:rPr>
          <w:rFonts w:cs="Times New Roman"/>
        </w:rPr>
        <w:t>75977150</w:t>
      </w:r>
    </w:p>
    <w:p w14:paraId="0FCABA8A" w14:textId="77777777" w:rsidR="008F3AA4" w:rsidRPr="0060154C" w:rsidRDefault="008F3AA4" w:rsidP="008F3AA4">
      <w:pPr>
        <w:spacing w:line="276" w:lineRule="auto"/>
        <w:rPr>
          <w:rFonts w:cs="Times New Roman"/>
        </w:rPr>
      </w:pPr>
      <w:r>
        <w:rPr>
          <w:rFonts w:cs="Times New Roman"/>
        </w:rPr>
        <w:t>DIČ: CZ8504043955</w:t>
      </w:r>
    </w:p>
    <w:p w14:paraId="6F630344" w14:textId="24657B10" w:rsidR="008F3AA4" w:rsidRPr="0060154C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r w:rsidR="009D1629">
        <w:rPr>
          <w:rFonts w:cs="Times New Roman"/>
        </w:rPr>
        <w:t>xxxxxxxxxxxxxx</w:t>
      </w:r>
    </w:p>
    <w:p w14:paraId="44813E51" w14:textId="38B80EC1" w:rsidR="008F3AA4" w:rsidRDefault="008F3AA4" w:rsidP="008F3AA4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r w:rsidR="009D1629">
        <w:rPr>
          <w:rFonts w:cs="Times New Roman"/>
        </w:rPr>
        <w:t>xxxxxxxxxxxxxxxx</w:t>
      </w:r>
    </w:p>
    <w:p w14:paraId="2D407195" w14:textId="77777777" w:rsidR="008F3AA4" w:rsidRPr="0060154C" w:rsidRDefault="008F3AA4" w:rsidP="008F3AA4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plátce DPH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36C71C6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1B0721" w:rsidRPr="00D7400E">
        <w:rPr>
          <w:rFonts w:cs="Times New Roman"/>
          <w:b/>
        </w:rPr>
        <w:t xml:space="preserve">Architektonické a koncepční řešení – </w:t>
      </w:r>
      <w:r w:rsidR="001B0721">
        <w:rPr>
          <w:rFonts w:cs="Times New Roman"/>
          <w:b/>
        </w:rPr>
        <w:t xml:space="preserve">projekt </w:t>
      </w:r>
      <w:r w:rsidR="00C47475">
        <w:rPr>
          <w:rFonts w:cs="Times New Roman"/>
          <w:b/>
        </w:rPr>
        <w:t>Stavba povolena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21C48DB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1372D2">
        <w:rPr>
          <w:rFonts w:cs="Times New Roman"/>
        </w:rPr>
        <w:t>Architektonické a koncepční řešení - projekt</w:t>
      </w:r>
      <w:r w:rsidR="00CB7D8B">
        <w:rPr>
          <w:rFonts w:cs="Times New Roman"/>
        </w:rPr>
        <w:t xml:space="preserve"> Stavba povolena</w:t>
      </w:r>
      <w:r w:rsidRPr="00A15479">
        <w:rPr>
          <w:rFonts w:cs="Times New Roman"/>
        </w:rPr>
        <w:t>“, zadávanou objednatelem jako veřejným</w:t>
      </w:r>
      <w:r w:rsidR="001372D2">
        <w:rPr>
          <w:rFonts w:cs="Times New Roman"/>
        </w:rPr>
        <w:t> </w:t>
      </w:r>
      <w:r w:rsidRPr="00A15479">
        <w:rPr>
          <w:rFonts w:cs="Times New Roman"/>
        </w:rPr>
        <w:t>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7A0112">
        <w:rPr>
          <w:rFonts w:cs="Times New Roman"/>
          <w:b/>
        </w:rPr>
        <w:t>2</w:t>
      </w:r>
      <w:r w:rsidR="00C47475">
        <w:rPr>
          <w:rFonts w:cs="Times New Roman"/>
          <w:b/>
        </w:rPr>
        <w:t>6-0090/1.3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0083E169" w:rsidR="003375C0" w:rsidRPr="00A15479" w:rsidRDefault="009C0728" w:rsidP="007A011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touto smlouvou garantuje objednateli splnění zadání zakázky a všech z toho vyplývajících podmínek a povinností </w:t>
      </w:r>
      <w:bookmarkEnd w:id="1"/>
    </w:p>
    <w:p w14:paraId="6A4482B1" w14:textId="77777777" w:rsidR="00F176B3" w:rsidRDefault="00F176B3" w:rsidP="0007550F">
      <w:pPr>
        <w:pStyle w:val="Nadpis2"/>
        <w:spacing w:before="0" w:line="276" w:lineRule="auto"/>
        <w:rPr>
          <w:szCs w:val="22"/>
        </w:rPr>
      </w:pPr>
    </w:p>
    <w:p w14:paraId="194D2AC1" w14:textId="49695DE9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5F5BEFC2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7A0112">
        <w:rPr>
          <w:rFonts w:cs="Times New Roman"/>
        </w:rPr>
        <w:t xml:space="preserve">architektonického řešení výstavy </w:t>
      </w:r>
      <w:r w:rsidR="00C47475">
        <w:rPr>
          <w:rFonts w:cs="Times New Roman"/>
        </w:rPr>
        <w:t>Výstavní intervence Stavba povolena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</w:t>
      </w:r>
      <w:r w:rsidRPr="00510530">
        <w:rPr>
          <w:rFonts w:cs="Times New Roman"/>
          <w:b/>
          <w:bCs/>
        </w:rPr>
        <w:t>licence</w:t>
      </w:r>
      <w:r w:rsidRPr="00A60C46">
        <w:rPr>
          <w:rFonts w:cs="Times New Roman"/>
        </w:rPr>
        <w:t>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2B2BF251" w14:textId="760EC23C" w:rsidR="00C47475" w:rsidRPr="00C47475" w:rsidRDefault="00C47475" w:rsidP="009771B9">
      <w:pPr>
        <w:pStyle w:val="Odstavecseseznamem"/>
        <w:numPr>
          <w:ilvl w:val="0"/>
          <w:numId w:val="34"/>
        </w:numPr>
        <w:suppressAutoHyphens/>
        <w:ind w:left="426"/>
        <w:contextualSpacing w:val="0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Retrospektivní výstava Stavba povolena: Výstavy, které jste nestihli </w:t>
      </w:r>
    </w:p>
    <w:p w14:paraId="4FFBD9C7" w14:textId="77777777" w:rsidR="00C47475" w:rsidRPr="00C47475" w:rsidRDefault="00C47475" w:rsidP="00C47475">
      <w:pPr>
        <w:jc w:val="both"/>
        <w:rPr>
          <w:rFonts w:cs="Times New Roman"/>
          <w:bCs/>
        </w:rPr>
      </w:pPr>
    </w:p>
    <w:p w14:paraId="0BDE84A8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a.1) Architektonické řešení výstav (dtto Výkonové fáze 1, 2, 5 a 7 Standardu služeb architekta a jeho dokumentace pro navrhování staveb, Část 2, INTERIÉRY) </w:t>
      </w:r>
    </w:p>
    <w:p w14:paraId="7293E0F1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návrh prostorového řešení výstavy – rozmístění mobiliáře</w:t>
      </w:r>
    </w:p>
    <w:p w14:paraId="2E297B6F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zpracování projektové dokumentace</w:t>
      </w:r>
    </w:p>
    <w:p w14:paraId="08710ACC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spolupráce při instalaci výstavy (autorský a technický dozor)</w:t>
      </w:r>
    </w:p>
    <w:p w14:paraId="73B7F3CC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</w:p>
    <w:p w14:paraId="7310C215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a.2) Spolupráce na koncepčním řešení výstavy </w:t>
      </w:r>
    </w:p>
    <w:p w14:paraId="64F28BE6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art direction — spolupráce při koordinaci tvůrčích složek výstavy – grafická podoba výstavy</w:t>
      </w:r>
    </w:p>
    <w:p w14:paraId="47EDE287" w14:textId="77777777" w:rsidR="00C47475" w:rsidRPr="00C47475" w:rsidRDefault="00C47475" w:rsidP="00C47475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účast na poradách, konzultace externích dodavatelů</w:t>
      </w:r>
    </w:p>
    <w:p w14:paraId="0C182512" w14:textId="77777777" w:rsidR="00C47475" w:rsidRPr="00C47475" w:rsidRDefault="00C47475" w:rsidP="00C47475">
      <w:pPr>
        <w:jc w:val="both"/>
        <w:rPr>
          <w:rFonts w:cs="Times New Roman"/>
          <w:bCs/>
        </w:rPr>
      </w:pPr>
    </w:p>
    <w:p w14:paraId="1552D6B8" w14:textId="18B9D7F3" w:rsidR="00C47475" w:rsidRPr="00C47475" w:rsidRDefault="00C47475" w:rsidP="009771B9">
      <w:pPr>
        <w:pStyle w:val="Odstavecseseznamem"/>
        <w:numPr>
          <w:ilvl w:val="0"/>
          <w:numId w:val="34"/>
        </w:numPr>
        <w:suppressAutoHyphens/>
        <w:ind w:left="567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Výstava Stavba povolena: Umělecké intervence </w:t>
      </w:r>
    </w:p>
    <w:p w14:paraId="260406A5" w14:textId="77777777" w:rsidR="00C47475" w:rsidRPr="00C47475" w:rsidRDefault="00C47475" w:rsidP="00C47475">
      <w:pPr>
        <w:pStyle w:val="Odstavecseseznamem"/>
        <w:jc w:val="both"/>
        <w:rPr>
          <w:rFonts w:cs="Times New Roman"/>
          <w:bCs/>
        </w:rPr>
      </w:pPr>
    </w:p>
    <w:p w14:paraId="037FAB75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b.1) Architektonické řešení výstav (dtto Výkonové fáze 1, 2, 5 a 7 Standardu služeb architekta a jeho dokumentace pro navrhování staveb, Část 2, INTERIÉRY) </w:t>
      </w:r>
    </w:p>
    <w:p w14:paraId="53E14DDE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návrh prostorového řešení výstavy</w:t>
      </w:r>
    </w:p>
    <w:p w14:paraId="0575177E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řešení přístupnosti výstavy</w:t>
      </w:r>
    </w:p>
    <w:p w14:paraId="7812E814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zpracování projektové dokumentace</w:t>
      </w:r>
    </w:p>
    <w:p w14:paraId="085E4706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zpracování prezentačních podkladů</w:t>
      </w:r>
    </w:p>
    <w:p w14:paraId="23D7591E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spolupráce při výběru zhotovitele/zhotovitelů</w:t>
      </w:r>
    </w:p>
    <w:p w14:paraId="1782A69F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spolupráce při řešení provozu před zahájením a po dobu trvání výstavy</w:t>
      </w:r>
    </w:p>
    <w:p w14:paraId="0A3EE99F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spolupráce při instalaci a deinstalaci výstavy (autorský a technický dozor)</w:t>
      </w:r>
    </w:p>
    <w:p w14:paraId="2A9533A8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</w:p>
    <w:p w14:paraId="38EB8508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b.2) Spolupráce na koncepčním řešení výstavy </w:t>
      </w:r>
    </w:p>
    <w:p w14:paraId="3E5B44F2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 xml:space="preserve">art direction — spolupráce při koordinaci tvůrčích složek výstavy – umělců </w:t>
      </w:r>
    </w:p>
    <w:p w14:paraId="4E70C4DD" w14:textId="77777777" w:rsidR="00C47475" w:rsidRDefault="00C47475" w:rsidP="00C47475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účast na poradách, konzultace externích dodavatelů</w:t>
      </w:r>
    </w:p>
    <w:p w14:paraId="56049EFA" w14:textId="77777777" w:rsidR="00F176B3" w:rsidRDefault="00F176B3" w:rsidP="0012794E">
      <w:pPr>
        <w:pStyle w:val="Zkladntextodsazen21"/>
        <w:spacing w:after="0" w:line="276" w:lineRule="auto"/>
        <w:ind w:left="0"/>
        <w:jc w:val="both"/>
        <w:rPr>
          <w:rFonts w:cs="Times New Roman"/>
          <w:bCs/>
        </w:rPr>
      </w:pPr>
    </w:p>
    <w:p w14:paraId="20A3220F" w14:textId="77777777" w:rsidR="001372D2" w:rsidRDefault="001372D2" w:rsidP="0012794E">
      <w:pPr>
        <w:pStyle w:val="Zkladntextodsazen21"/>
        <w:spacing w:after="0" w:line="276" w:lineRule="auto"/>
        <w:ind w:left="0"/>
        <w:jc w:val="both"/>
        <w:rPr>
          <w:rFonts w:cs="Times New Roman"/>
          <w:bCs/>
        </w:rPr>
      </w:pPr>
    </w:p>
    <w:p w14:paraId="646A35D5" w14:textId="6D4C1C41" w:rsidR="00015FE1" w:rsidRDefault="00015FE1" w:rsidP="00C47475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b.3) Autorsk</w:t>
      </w:r>
      <w:r w:rsidR="00DF03BF">
        <w:rPr>
          <w:rFonts w:cs="Times New Roman"/>
          <w:bCs/>
        </w:rPr>
        <w:t>ý zásah do intervence</w:t>
      </w:r>
    </w:p>
    <w:p w14:paraId="14B85EDD" w14:textId="06E6464F" w:rsidR="00DF03BF" w:rsidRPr="00C47475" w:rsidRDefault="00DF03BF" w:rsidP="00C47475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="00ED48C2">
        <w:rPr>
          <w:rFonts w:cs="Times New Roman"/>
          <w:bCs/>
        </w:rPr>
        <w:t>koncepce</w:t>
      </w:r>
      <w:r w:rsidR="00B92A18">
        <w:rPr>
          <w:rFonts w:cs="Times New Roman"/>
          <w:bCs/>
        </w:rPr>
        <w:t xml:space="preserve">, </w:t>
      </w:r>
      <w:r w:rsidR="00ED48C2">
        <w:rPr>
          <w:rFonts w:cs="Times New Roman"/>
          <w:bCs/>
        </w:rPr>
        <w:t>návrh</w:t>
      </w:r>
      <w:r w:rsidR="00B92A18">
        <w:rPr>
          <w:rFonts w:cs="Times New Roman"/>
          <w:bCs/>
        </w:rPr>
        <w:t xml:space="preserve"> a </w:t>
      </w:r>
      <w:r w:rsidR="00796477">
        <w:rPr>
          <w:rFonts w:cs="Times New Roman"/>
          <w:bCs/>
        </w:rPr>
        <w:t>dohled při realizaci</w:t>
      </w:r>
      <w:r w:rsidR="00ED48C2">
        <w:rPr>
          <w:rFonts w:cs="Times New Roman"/>
          <w:bCs/>
        </w:rPr>
        <w:t xml:space="preserve"> autorského díla – Systém GAMA v areálu IPR Praha</w:t>
      </w:r>
    </w:p>
    <w:p w14:paraId="573D4107" w14:textId="77777777" w:rsidR="00C47475" w:rsidRPr="00C47475" w:rsidRDefault="00C47475" w:rsidP="00C47475">
      <w:pPr>
        <w:jc w:val="both"/>
        <w:rPr>
          <w:rFonts w:cs="Times New Roman"/>
          <w:bCs/>
        </w:rPr>
      </w:pPr>
    </w:p>
    <w:p w14:paraId="63F49537" w14:textId="77777777" w:rsidR="00C47475" w:rsidRPr="00C47475" w:rsidRDefault="00C47475" w:rsidP="00F3531A">
      <w:pPr>
        <w:pStyle w:val="Odstavecseseznamem"/>
        <w:numPr>
          <w:ilvl w:val="0"/>
          <w:numId w:val="34"/>
        </w:numPr>
        <w:suppressAutoHyphens/>
        <w:ind w:left="426" w:hanging="284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Událost Stavba povolena: Closing party</w:t>
      </w:r>
    </w:p>
    <w:p w14:paraId="390D397F" w14:textId="77777777" w:rsidR="00C47475" w:rsidRPr="00C47475" w:rsidRDefault="00C47475" w:rsidP="00C47475">
      <w:pPr>
        <w:pStyle w:val="Odstavecseseznamem"/>
        <w:jc w:val="both"/>
        <w:rPr>
          <w:rFonts w:cs="Times New Roman"/>
          <w:bCs/>
        </w:rPr>
      </w:pPr>
    </w:p>
    <w:p w14:paraId="4B6380CC" w14:textId="15B4B383" w:rsidR="00C47475" w:rsidRPr="00C47475" w:rsidRDefault="00C47475" w:rsidP="00C47475">
      <w:pPr>
        <w:ind w:left="360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 xml:space="preserve">c.1) Architektonické řešení výstav (dtto Výkonové fáze 1, 2, 5 a 7 Standardu služeb architekta </w:t>
      </w:r>
      <w:r w:rsidR="00F33EE5">
        <w:rPr>
          <w:rFonts w:cs="Times New Roman"/>
          <w:bCs/>
        </w:rPr>
        <w:br/>
      </w:r>
      <w:r w:rsidRPr="00C47475">
        <w:rPr>
          <w:rFonts w:cs="Times New Roman"/>
          <w:bCs/>
        </w:rPr>
        <w:t xml:space="preserve">a jeho dokumentace pro navrhování staveb, Část 2, INTERIÉRY) </w:t>
      </w:r>
    </w:p>
    <w:p w14:paraId="4350ECC6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konzultace prostorového řešení areálu</w:t>
      </w:r>
    </w:p>
    <w:p w14:paraId="12983988" w14:textId="77777777" w:rsidR="00C47475" w:rsidRPr="00C47475" w:rsidRDefault="00C47475" w:rsidP="00C47475">
      <w:pPr>
        <w:pStyle w:val="Zkladntextodsazen21"/>
        <w:spacing w:after="0" w:line="276" w:lineRule="auto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zpracování projektové dokumentace</w:t>
      </w:r>
    </w:p>
    <w:p w14:paraId="4EFC0207" w14:textId="2F76B179" w:rsidR="007A0112" w:rsidRDefault="00C47475" w:rsidP="0015758B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  <w:r w:rsidRPr="00C47475">
        <w:rPr>
          <w:rFonts w:cs="Times New Roman"/>
          <w:bCs/>
        </w:rPr>
        <w:t>-</w:t>
      </w:r>
      <w:r w:rsidRPr="00C47475">
        <w:rPr>
          <w:rFonts w:cs="Times New Roman"/>
          <w:bCs/>
        </w:rPr>
        <w:tab/>
        <w:t>účast na poradách, konzultace externích dodavatelů</w:t>
      </w:r>
      <w:r>
        <w:rPr>
          <w:rFonts w:cs="Times New Roman"/>
          <w:bCs/>
        </w:rPr>
        <w:t>.</w:t>
      </w:r>
    </w:p>
    <w:p w14:paraId="1DCBF5D0" w14:textId="77777777" w:rsidR="00F176B3" w:rsidRPr="0015758B" w:rsidRDefault="00F176B3" w:rsidP="0015758B">
      <w:pPr>
        <w:pStyle w:val="Zkladntextodsazen21"/>
        <w:spacing w:after="0" w:line="276" w:lineRule="auto"/>
        <w:ind w:left="284"/>
        <w:jc w:val="both"/>
        <w:rPr>
          <w:rFonts w:cs="Times New Roman"/>
          <w:bCs/>
        </w:rPr>
      </w:pPr>
    </w:p>
    <w:p w14:paraId="4F072886" w14:textId="68E3133B" w:rsidR="0081750C" w:rsidRPr="007A0112" w:rsidRDefault="002A1B71" w:rsidP="00C4747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A0112">
        <w:rPr>
          <w:rFonts w:cs="Times New Roman"/>
        </w:rPr>
        <w:t xml:space="preserve">Plnění předmětu smlouvy </w:t>
      </w:r>
      <w:bookmarkStart w:id="2" w:name="_Hlk168306389"/>
      <w:r w:rsidRPr="007A0112">
        <w:rPr>
          <w:rFonts w:cs="Times New Roman"/>
        </w:rPr>
        <w:t xml:space="preserve">bude provedeno za podmínek stanovených v této smlouvě </w:t>
      </w:r>
      <w:bookmarkEnd w:id="2"/>
    </w:p>
    <w:p w14:paraId="05A40343" w14:textId="4CB68A94" w:rsidR="00BC6011" w:rsidRPr="009771B9" w:rsidRDefault="00FE2031" w:rsidP="00BC601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A0112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7A0112">
        <w:rPr>
          <w:rFonts w:cs="Times New Roman"/>
        </w:rPr>
        <w:t>všech pracovních poradách svolaných objednatelem</w:t>
      </w:r>
      <w:bookmarkEnd w:id="3"/>
      <w:r w:rsidRPr="007A0112">
        <w:rPr>
          <w:rFonts w:cs="Times New Roman"/>
        </w:rPr>
        <w:t xml:space="preserve"> či pracovních poradách a prezentacích</w:t>
      </w:r>
      <w:r w:rsidR="00041C27" w:rsidRPr="007A0112">
        <w:rPr>
          <w:rFonts w:cs="Times New Roman"/>
        </w:rPr>
        <w:t xml:space="preserve"> </w:t>
      </w:r>
      <w:r w:rsidRPr="007A0112">
        <w:rPr>
          <w:rFonts w:cs="Times New Roman"/>
        </w:rPr>
        <w:t>a zavazuje se</w:t>
      </w:r>
      <w:r w:rsidR="009E48D6" w:rsidRPr="007A0112">
        <w:rPr>
          <w:rFonts w:cs="Times New Roman"/>
        </w:rPr>
        <w:t xml:space="preserve"> </w:t>
      </w:r>
      <w:r w:rsidRPr="007A0112">
        <w:rPr>
          <w:rFonts w:cs="Times New Roman"/>
        </w:rPr>
        <w:t xml:space="preserve">k respektování závěrů na nich přijatých. </w:t>
      </w:r>
      <w:r w:rsidR="00041C27" w:rsidRPr="007A0112">
        <w:rPr>
          <w:rFonts w:cs="Times New Roman"/>
        </w:rPr>
        <w:t>P</w:t>
      </w:r>
      <w:r w:rsidRPr="007A0112">
        <w:rPr>
          <w:rFonts w:cs="Times New Roman"/>
        </w:rPr>
        <w:t xml:space="preserve">očet a termíny porad </w:t>
      </w:r>
      <w:r w:rsidR="00041C27" w:rsidRPr="007A0112">
        <w:rPr>
          <w:rFonts w:cs="Times New Roman"/>
        </w:rPr>
        <w:t xml:space="preserve">stanoví </w:t>
      </w:r>
      <w:r w:rsidRPr="007A0112">
        <w:rPr>
          <w:rFonts w:cs="Times New Roman"/>
        </w:rPr>
        <w:t>objednatel podle postupu prací na díle. První vstupní pracovní porada se uskuteční spolu se zahájením prací na díle.</w:t>
      </w:r>
    </w:p>
    <w:p w14:paraId="62A5B72D" w14:textId="5931D335" w:rsidR="00814EC4" w:rsidRDefault="00814EC4" w:rsidP="00C4747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až na základě písemného pokynu objednatele. Zhotovitel bere na vědomí, že pokud započne s plněním bez písemného pokynu objednatele, nemá nárok na úhradu ceny (nákladů) takového plnění.</w:t>
      </w:r>
    </w:p>
    <w:p w14:paraId="07ED6E58" w14:textId="3E5722D4" w:rsidR="00AE0FE5" w:rsidRPr="00A15479" w:rsidRDefault="000943FC" w:rsidP="00C4747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4747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8907"/>
      <w:bookmarkStart w:id="5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4"/>
      <w:r w:rsidRPr="00A15479">
        <w:rPr>
          <w:rFonts w:cs="Times New Roman"/>
        </w:rPr>
        <w:t>smlouvy“.</w:t>
      </w:r>
    </w:p>
    <w:bookmarkEnd w:id="5"/>
    <w:p w14:paraId="4E545FEE" w14:textId="42B29FE6" w:rsidR="000943FC" w:rsidRPr="00D56EAF" w:rsidRDefault="00AE0FE5" w:rsidP="00C4747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6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6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1A74241A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68309189"/>
      <w:bookmarkStart w:id="8" w:name="_Hlk161309905"/>
      <w:r w:rsidRPr="00A15479">
        <w:rPr>
          <w:rFonts w:cs="Times New Roman"/>
        </w:rPr>
        <w:t xml:space="preserve">Celková cena </w:t>
      </w:r>
      <w:bookmarkEnd w:id="7"/>
      <w:r w:rsidRPr="00A15479">
        <w:rPr>
          <w:rFonts w:cs="Times New Roman"/>
        </w:rPr>
        <w:t>za zpracování díla činí</w:t>
      </w:r>
      <w:r w:rsidR="00B216D1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05B8131B" w:rsidR="00CE703C" w:rsidRPr="00A15479" w:rsidRDefault="000F7499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9" w:name="_Hlk145932325"/>
      <w:r>
        <w:rPr>
          <w:rFonts w:cs="Times New Roman"/>
          <w:b/>
          <w:bCs/>
        </w:rPr>
        <w:t>94</w:t>
      </w:r>
      <w:r w:rsidR="009C09CC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6</w:t>
      </w:r>
      <w:r w:rsidR="009C09CC">
        <w:rPr>
          <w:rFonts w:cs="Times New Roman"/>
          <w:b/>
          <w:bCs/>
        </w:rPr>
        <w:t>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9C09CC">
        <w:rPr>
          <w:rFonts w:cs="Times New Roman"/>
        </w:rPr>
        <w:t xml:space="preserve"> </w:t>
      </w:r>
      <w:r w:rsidR="003A59B5">
        <w:rPr>
          <w:rFonts w:cs="Times New Roman"/>
        </w:rPr>
        <w:t xml:space="preserve">devadesátčtyřitisícšestset </w:t>
      </w:r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08F385AA" w14:textId="2F3F55A6" w:rsidR="00ED2257" w:rsidRDefault="008760EF" w:rsidP="0015758B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1</w:t>
      </w:r>
      <w:r w:rsidR="00440D74">
        <w:rPr>
          <w:rFonts w:cs="Times New Roman"/>
          <w:b/>
          <w:bCs/>
        </w:rPr>
        <w:t>1</w:t>
      </w:r>
      <w:r w:rsidR="00A97EBC">
        <w:rPr>
          <w:rFonts w:cs="Times New Roman"/>
          <w:b/>
          <w:bCs/>
        </w:rPr>
        <w:t>4</w:t>
      </w:r>
      <w:r w:rsidR="00440D74">
        <w:rPr>
          <w:rFonts w:cs="Times New Roman"/>
          <w:b/>
          <w:bCs/>
        </w:rPr>
        <w:t>.</w:t>
      </w:r>
      <w:r w:rsidR="00A97EBC">
        <w:rPr>
          <w:rFonts w:cs="Times New Roman"/>
          <w:b/>
          <w:bCs/>
        </w:rPr>
        <w:t>466</w:t>
      </w:r>
      <w:r w:rsidR="009C09CC">
        <w:rPr>
          <w:rFonts w:cs="Times New Roman"/>
          <w:b/>
          <w:bCs/>
        </w:rPr>
        <w:t>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 w:rsidR="003A59B5">
        <w:rPr>
          <w:rFonts w:cs="Times New Roman"/>
        </w:rPr>
        <w:t>jednostočtrnácttisícčtyřistašedesátšest</w:t>
      </w:r>
      <w:r w:rsidR="00D1319E">
        <w:rPr>
          <w:rFonts w:cs="Times New Roman"/>
        </w:rPr>
        <w:t xml:space="preserve"> </w:t>
      </w:r>
      <w:r w:rsidR="009E58B5" w:rsidRPr="00A15479">
        <w:rPr>
          <w:rFonts w:cs="Times New Roman"/>
        </w:rPr>
        <w:t xml:space="preserve">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  <w:bookmarkEnd w:id="8"/>
      <w:bookmarkEnd w:id="9"/>
    </w:p>
    <w:p w14:paraId="39F7C2C4" w14:textId="102FD874" w:rsidR="00ED2257" w:rsidRDefault="00ED2257" w:rsidP="00ED2257">
      <w:pPr>
        <w:spacing w:after="120" w:line="276" w:lineRule="auto"/>
        <w:jc w:val="both"/>
        <w:rPr>
          <w:rFonts w:cs="Times New Roman"/>
        </w:rPr>
      </w:pPr>
      <w:r w:rsidRPr="009771B9">
        <w:rPr>
          <w:rFonts w:cs="Times New Roman"/>
        </w:rPr>
        <w:lastRenderedPageBreak/>
        <w:t>Platba za splnění předmětu smlouvy se uskuteční dle specifikace v čl. I této smlouvy, v</w:t>
      </w:r>
      <w:r w:rsidR="00235C82">
        <w:rPr>
          <w:rFonts w:cs="Times New Roman"/>
        </w:rPr>
        <w:t> </w:t>
      </w:r>
      <w:r w:rsidRPr="009771B9">
        <w:rPr>
          <w:rFonts w:cs="Times New Roman"/>
        </w:rPr>
        <w:t>termín</w:t>
      </w:r>
      <w:r w:rsidR="00235C82">
        <w:rPr>
          <w:rFonts w:cs="Times New Roman"/>
        </w:rPr>
        <w:t xml:space="preserve">u </w:t>
      </w:r>
      <w:r>
        <w:rPr>
          <w:rFonts w:cs="Times New Roman"/>
        </w:rPr>
        <w:t>stanoven</w:t>
      </w:r>
      <w:r w:rsidR="00235C82">
        <w:rPr>
          <w:rFonts w:cs="Times New Roman"/>
        </w:rPr>
        <w:t>ém</w:t>
      </w:r>
      <w:r>
        <w:rPr>
          <w:rFonts w:cs="Times New Roman"/>
        </w:rPr>
        <w:t xml:space="preserve"> v čl. III této smlouvy, po předání kompletní</w:t>
      </w:r>
      <w:r w:rsidR="00235C82">
        <w:rPr>
          <w:rFonts w:cs="Times New Roman"/>
        </w:rPr>
        <w:t xml:space="preserve">ho </w:t>
      </w:r>
      <w:r>
        <w:rPr>
          <w:rFonts w:cs="Times New Roman"/>
        </w:rPr>
        <w:t>díla, a to po oboustranném podepsání akceptačního protokolu bez výhrad či s výhradou těch vad, které nebrání předávanou část díla akceptovat</w:t>
      </w:r>
      <w:r w:rsidR="00B216D1">
        <w:rPr>
          <w:rFonts w:cs="Times New Roman"/>
        </w:rPr>
        <w:t xml:space="preserve"> a na základě potvrzeného výkazu odpracovaných hodin („Výčetka“).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3E8C3D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63192C">
        <w:rPr>
          <w:rFonts w:cs="Times New Roman"/>
          <w:b/>
        </w:rPr>
        <w:t>Zhotovitel je povinen zaslat fakturu ve formátu .pdf na e-mailovou adresu kontaktní osoby objednatele.</w:t>
      </w:r>
      <w:r w:rsidR="000F2124" w:rsidRPr="0063192C">
        <w:rPr>
          <w:rFonts w:cs="Times New Roman"/>
        </w:rPr>
        <w:t xml:space="preserve"> Úhrada faktur bude provedena převodním příkazem na bankovní účet uvedený na</w:t>
      </w:r>
      <w:r w:rsidR="00D7501C" w:rsidRPr="0063192C">
        <w:rPr>
          <w:rFonts w:cs="Times New Roman"/>
        </w:rPr>
        <w:t> </w:t>
      </w:r>
      <w:r w:rsidR="000F2124" w:rsidRPr="0063192C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792B6441" w:rsidR="005E4042" w:rsidRDefault="00776648" w:rsidP="0015758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EF816F" w14:textId="77777777" w:rsidR="0015758B" w:rsidRDefault="0015758B" w:rsidP="0015758B">
      <w:pPr>
        <w:spacing w:after="120" w:line="276" w:lineRule="auto"/>
        <w:jc w:val="both"/>
        <w:rPr>
          <w:rFonts w:cs="Times New Roman"/>
        </w:rPr>
      </w:pPr>
    </w:p>
    <w:p w14:paraId="4E0D7CD2" w14:textId="77777777" w:rsidR="00F176B3" w:rsidRPr="0015758B" w:rsidRDefault="00F176B3" w:rsidP="0015758B">
      <w:pPr>
        <w:spacing w:after="120" w:line="276" w:lineRule="auto"/>
        <w:jc w:val="both"/>
        <w:rPr>
          <w:rFonts w:cs="Times New Roman"/>
        </w:rPr>
      </w:pPr>
    </w:p>
    <w:bookmarkEnd w:id="10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43AC8EE8" w14:textId="4E269D58" w:rsidR="0054149D" w:rsidRDefault="00ED2257" w:rsidP="005414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EF6B9C">
        <w:rPr>
          <w:rFonts w:cs="Times New Roman"/>
        </w:rPr>
        <w:t>Z</w:t>
      </w:r>
      <w:r w:rsidR="0054149D" w:rsidRPr="00A15479">
        <w:rPr>
          <w:rFonts w:cs="Times New Roman"/>
        </w:rPr>
        <w:t>hotovitel se zavazuje dílo dokončit a jako řádně provedené kompletní dílo objednateli předat nejpozději do</w:t>
      </w:r>
      <w:r w:rsidR="00AE3905">
        <w:rPr>
          <w:rFonts w:cs="Times New Roman"/>
        </w:rPr>
        <w:t xml:space="preserve"> 25. 6. </w:t>
      </w:r>
      <w:r w:rsidR="0063192C">
        <w:rPr>
          <w:rFonts w:cs="Times New Roman"/>
        </w:rPr>
        <w:t>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63192C">
        <w:rPr>
          <w:rFonts w:cs="Times New Roman"/>
        </w:rPr>
        <w:t>15</w:t>
      </w:r>
      <w:r w:rsidR="00BC08EB" w:rsidRPr="0063192C">
        <w:rPr>
          <w:rFonts w:cs="Times New Roman"/>
        </w:rPr>
        <w:t> </w:t>
      </w:r>
      <w:r w:rsidRPr="0063192C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78A02E7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1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1"/>
    </w:p>
    <w:p w14:paraId="247D7ECE" w14:textId="094F7B51" w:rsidR="009E4AB3" w:rsidRPr="00B216D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 xml:space="preserve">Objednatel je </w:t>
      </w:r>
      <w:bookmarkStart w:id="12" w:name="_Hlk169084481"/>
      <w:r w:rsidRPr="00B216D1">
        <w:rPr>
          <w:rFonts w:cs="Times New Roman"/>
        </w:rPr>
        <w:t xml:space="preserve">oprávněn </w:t>
      </w:r>
      <w:r w:rsidR="003E18D4" w:rsidRPr="00B216D1">
        <w:rPr>
          <w:rFonts w:cs="Times New Roman"/>
        </w:rPr>
        <w:t>být informován průběžně o provádění díla (dále také „</w:t>
      </w:r>
      <w:r w:rsidR="003E18D4" w:rsidRPr="00B216D1">
        <w:rPr>
          <w:rFonts w:cs="Times New Roman"/>
          <w:b/>
        </w:rPr>
        <w:t>report stavu</w:t>
      </w:r>
      <w:r w:rsidR="003E18D4" w:rsidRPr="00B216D1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2"/>
      <w:r w:rsidRPr="00B216D1">
        <w:rPr>
          <w:rFonts w:cs="Times New Roman"/>
        </w:rPr>
        <w:t xml:space="preserve">. Na základě tohoto vyjádření bude </w:t>
      </w:r>
      <w:r w:rsidR="00E733B4" w:rsidRPr="00B216D1">
        <w:rPr>
          <w:rFonts w:cs="Times New Roman"/>
        </w:rPr>
        <w:t>d</w:t>
      </w:r>
      <w:r w:rsidRPr="00B216D1">
        <w:rPr>
          <w:rFonts w:cs="Times New Roman"/>
        </w:rPr>
        <w:t>ílo upraveno, resp. dopracováno a dokončeno.</w:t>
      </w:r>
    </w:p>
    <w:p w14:paraId="7D7657EF" w14:textId="37B4ABC6" w:rsidR="0097395D" w:rsidRPr="00B216D1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 xml:space="preserve">Konzultace budou probíhat dle aktuálních potřeb a časových možností </w:t>
      </w:r>
      <w:r w:rsidR="00F45252" w:rsidRPr="00B216D1">
        <w:rPr>
          <w:rFonts w:cs="Times New Roman"/>
        </w:rPr>
        <w:t>o</w:t>
      </w:r>
      <w:r w:rsidRPr="00B216D1">
        <w:rPr>
          <w:rFonts w:cs="Times New Roman"/>
        </w:rPr>
        <w:t xml:space="preserve">bjednatele a </w:t>
      </w:r>
      <w:r w:rsidR="00F45252" w:rsidRPr="00B216D1">
        <w:rPr>
          <w:rFonts w:cs="Times New Roman"/>
        </w:rPr>
        <w:t>z</w:t>
      </w:r>
      <w:r w:rsidRPr="00B216D1">
        <w:rPr>
          <w:rFonts w:cs="Times New Roman"/>
        </w:rPr>
        <w:t>hotovitele, a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>to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 xml:space="preserve">vždy na základě jejich společné dohody. Pokud bude </w:t>
      </w:r>
      <w:r w:rsidR="00F45252" w:rsidRPr="00B216D1">
        <w:rPr>
          <w:rFonts w:cs="Times New Roman"/>
        </w:rPr>
        <w:t>z</w:t>
      </w:r>
      <w:r w:rsidRPr="00B216D1">
        <w:rPr>
          <w:rFonts w:cs="Times New Roman"/>
        </w:rPr>
        <w:t xml:space="preserve">hotovitel nebo </w:t>
      </w:r>
      <w:r w:rsidR="00F45252" w:rsidRPr="00B216D1">
        <w:rPr>
          <w:rFonts w:cs="Times New Roman"/>
        </w:rPr>
        <w:t>o</w:t>
      </w:r>
      <w:r w:rsidRPr="00B216D1">
        <w:rPr>
          <w:rFonts w:cs="Times New Roman"/>
        </w:rPr>
        <w:t xml:space="preserve">bjednatel požadovat </w:t>
      </w:r>
      <w:r w:rsidRPr="00B216D1">
        <w:rPr>
          <w:rFonts w:cs="Times New Roman"/>
        </w:rPr>
        <w:lastRenderedPageBreak/>
        <w:t>kontrolní den, vyzve k účasti zástupce druhé smluvní strany telefonicky nebo e</w:t>
      </w:r>
      <w:r w:rsidR="00703CDA" w:rsidRPr="00B216D1">
        <w:rPr>
          <w:rFonts w:cs="Times New Roman"/>
        </w:rPr>
        <w:t>-</w:t>
      </w:r>
      <w:r w:rsidRPr="00B216D1">
        <w:rPr>
          <w:rFonts w:cs="Times New Roman"/>
        </w:rPr>
        <w:t>mailem nejméně 7</w:t>
      </w:r>
      <w:r w:rsidR="00BC08EB" w:rsidRPr="00B216D1">
        <w:rPr>
          <w:rFonts w:cs="Times New Roman"/>
        </w:rPr>
        <w:t> </w:t>
      </w:r>
      <w:r w:rsidRPr="00B216D1">
        <w:rPr>
          <w:rFonts w:cs="Times New Roman"/>
        </w:rPr>
        <w:t>pracovních dnů předem.</w:t>
      </w:r>
    </w:p>
    <w:p w14:paraId="40186762" w14:textId="762AA8B9" w:rsidR="0097395D" w:rsidRPr="00B216D1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16D1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B216D1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480B38E9" w14:textId="19D3FA9D" w:rsidR="000949B7" w:rsidRPr="00B216D1" w:rsidRDefault="00C963D7" w:rsidP="00B216D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3" w:name="_Hlk169084857"/>
      <w:r w:rsidRPr="00421B0A">
        <w:rPr>
          <w:rFonts w:cs="Times New Roman"/>
        </w:rPr>
        <w:t>specifikace forem odevzdání díla</w:t>
      </w:r>
      <w:r w:rsidR="00B216D1">
        <w:rPr>
          <w:rFonts w:cs="Times New Roman"/>
        </w:rPr>
        <w:t xml:space="preserve"> je uvedena v čl. I odst. </w:t>
      </w:r>
      <w:r w:rsidR="00235C82">
        <w:rPr>
          <w:rFonts w:cs="Times New Roman"/>
        </w:rPr>
        <w:t>4.</w:t>
      </w:r>
      <w:r w:rsidR="00B216D1">
        <w:rPr>
          <w:rFonts w:cs="Times New Roman"/>
        </w:rPr>
        <w:t xml:space="preserve"> této smlouvy.</w:t>
      </w:r>
    </w:p>
    <w:bookmarkEnd w:id="13"/>
    <w:p w14:paraId="18A5835C" w14:textId="270298FB" w:rsidR="0026530D" w:rsidRPr="009C02F2" w:rsidRDefault="003A3BD5" w:rsidP="0000716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C02F2">
        <w:rPr>
          <w:rFonts w:cs="Times New Roman"/>
        </w:rPr>
        <w:t xml:space="preserve">Objednatel </w:t>
      </w:r>
      <w:bookmarkStart w:id="14" w:name="_Hlk169085257"/>
      <w:r w:rsidRPr="009C02F2">
        <w:rPr>
          <w:rFonts w:cs="Times New Roman"/>
        </w:rPr>
        <w:t xml:space="preserve">je povinen předané dílo zkontrolovat </w:t>
      </w:r>
      <w:r w:rsidR="0026530D" w:rsidRPr="009C02F2">
        <w:rPr>
          <w:rFonts w:cs="Times New Roman"/>
        </w:rPr>
        <w:t>a písemně zhotoviteli sdělit formou akceptačního protokolu, zda díl</w:t>
      </w:r>
      <w:r w:rsidR="00235C82">
        <w:rPr>
          <w:rFonts w:cs="Times New Roman"/>
        </w:rPr>
        <w:t>o</w:t>
      </w:r>
      <w:r w:rsidR="0026530D" w:rsidRPr="009C02F2">
        <w:rPr>
          <w:rFonts w:cs="Times New Roman"/>
        </w:rPr>
        <w:t xml:space="preserve"> odsouhlasil, či nikoliv</w:t>
      </w:r>
      <w:r w:rsidR="00BB77D8" w:rsidRPr="009C02F2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5" w:name="_Hlk169085300"/>
      <w:bookmarkEnd w:id="14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5"/>
    <w:p w14:paraId="61B71DBD" w14:textId="3AC2E00C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372DDF" w:rsidRPr="00787871">
        <w:t>díla</w:t>
      </w:r>
      <w:r w:rsidR="000F0347">
        <w:t>, je</w:t>
      </w:r>
      <w:r w:rsidR="00235C82">
        <w:t>ho</w:t>
      </w:r>
      <w:r w:rsidR="000F0347">
        <w:t>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995802D" w:rsidR="00730826" w:rsidRPr="009C02F2" w:rsidRDefault="00730826" w:rsidP="009C02F2">
      <w:pPr>
        <w:jc w:val="both"/>
        <w:rPr>
          <w:rFonts w:cs="Times New Roman"/>
        </w:rPr>
      </w:pPr>
      <w:r w:rsidRPr="009C02F2">
        <w:rPr>
          <w:rFonts w:cs="Times New Roman"/>
        </w:rPr>
        <w:t xml:space="preserve">Zhotovitel se zavazuje </w:t>
      </w:r>
      <w:r w:rsidR="009C02F2" w:rsidRPr="009C02F2">
        <w:rPr>
          <w:rFonts w:cs="Times New Roman"/>
        </w:rPr>
        <w:t>za</w:t>
      </w:r>
      <w:r w:rsidRPr="009C02F2">
        <w:rPr>
          <w:rFonts w:cs="Times New Roman"/>
        </w:rPr>
        <w:t xml:space="preserve">jišťovat veškeré smluvní povinnosti </w:t>
      </w:r>
      <w:r w:rsidR="009C02F2" w:rsidRPr="009C02F2">
        <w:rPr>
          <w:rFonts w:cs="Times New Roman"/>
        </w:rPr>
        <w:t>související se zakázkou „Architektonické řešení výstav</w:t>
      </w:r>
      <w:r w:rsidR="00D341E2">
        <w:rPr>
          <w:rFonts w:cs="Times New Roman"/>
        </w:rPr>
        <w:t>y</w:t>
      </w:r>
      <w:r w:rsidR="009C02F2" w:rsidRPr="009C02F2">
        <w:rPr>
          <w:rFonts w:cs="Times New Roman"/>
        </w:rPr>
        <w:t xml:space="preserve"> </w:t>
      </w:r>
      <w:r w:rsidR="00D341E2">
        <w:rPr>
          <w:rFonts w:cs="Times New Roman"/>
        </w:rPr>
        <w:t>Výstavní intervence Stavba povolena</w:t>
      </w:r>
      <w:r w:rsidR="009C02F2" w:rsidRPr="009C02F2">
        <w:rPr>
          <w:rFonts w:cs="Times New Roman"/>
        </w:rPr>
        <w:t xml:space="preserve">“ </w:t>
      </w:r>
      <w:r w:rsidRPr="009C02F2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9C02F2">
      <w:pPr>
        <w:spacing w:before="240" w:after="240" w:line="276" w:lineRule="auto"/>
        <w:ind w:hanging="284"/>
        <w:jc w:val="both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6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4814AFD7" w14:textId="59DF448F" w:rsidR="005F7C86" w:rsidRDefault="00F63739" w:rsidP="0015758B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6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3291990D" w14:textId="77777777" w:rsidR="0015758B" w:rsidRPr="0015758B" w:rsidRDefault="0015758B" w:rsidP="0015758B">
      <w:pPr>
        <w:spacing w:after="120" w:line="276" w:lineRule="auto"/>
        <w:jc w:val="both"/>
        <w:rPr>
          <w:rFonts w:cs="Times New Roman"/>
        </w:rPr>
      </w:pPr>
    </w:p>
    <w:bookmarkEnd w:id="1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5E137C4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18" w:name="_Hlk169085610"/>
      <w:r w:rsidRPr="00A15479">
        <w:rPr>
          <w:rFonts w:cs="Times New Roman"/>
        </w:rPr>
        <w:t>,</w:t>
      </w:r>
      <w:bookmarkEnd w:id="18"/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9C02F2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6871"/>
      <w:r w:rsidRPr="00A15479">
        <w:rPr>
          <w:rFonts w:cs="Times New Roman"/>
        </w:rPr>
        <w:lastRenderedPageBreak/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9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0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0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1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1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</w:t>
      </w:r>
      <w:r w:rsidRPr="00A60C46">
        <w:rPr>
          <w:rFonts w:cs="Times New Roman"/>
        </w:rPr>
        <w:lastRenderedPageBreak/>
        <w:t>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2" w:name="_Hlk169085903"/>
      <w:bookmarkStart w:id="23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2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AE113F0" w:rsidR="00B422E2" w:rsidRPr="009C02F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9C02F2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6A015A62" w:rsidR="00B422E2" w:rsidRPr="009C02F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C02F2">
        <w:rPr>
          <w:rFonts w:cs="Times New Roman"/>
        </w:rPr>
        <w:t xml:space="preserve">Za každé jednotlivé porušení povinnosti uvedené v čl. </w:t>
      </w:r>
      <w:r w:rsidR="00BF3B91" w:rsidRPr="009C02F2">
        <w:rPr>
          <w:rFonts w:cs="Times New Roman"/>
        </w:rPr>
        <w:t>VIII</w:t>
      </w:r>
      <w:r w:rsidRPr="009C02F2">
        <w:rPr>
          <w:rFonts w:cs="Times New Roman"/>
        </w:rPr>
        <w:t xml:space="preserve"> odst. 1, 3 nebo 5 této smlouvy je zhotovitel povinen zaplatit objednateli smluvní pokutu ve výši </w:t>
      </w:r>
      <w:r w:rsidR="009C02F2" w:rsidRPr="009C02F2">
        <w:rPr>
          <w:rFonts w:cs="Times New Roman"/>
        </w:rPr>
        <w:t>2</w:t>
      </w:r>
      <w:r w:rsidRPr="009C02F2">
        <w:rPr>
          <w:rFonts w:cs="Times New Roman"/>
        </w:rPr>
        <w:t xml:space="preserve">5.000 Kč (slovy: </w:t>
      </w:r>
      <w:r w:rsidR="009C02F2" w:rsidRPr="009C02F2">
        <w:rPr>
          <w:rFonts w:cs="Times New Roman"/>
        </w:rPr>
        <w:t>dvacetpět</w:t>
      </w:r>
      <w:r w:rsidRPr="009C02F2">
        <w:rPr>
          <w:rFonts w:cs="Times New Roman"/>
        </w:rPr>
        <w:t xml:space="preserve"> tisíc korun českých).</w:t>
      </w:r>
    </w:p>
    <w:p w14:paraId="0E651C03" w14:textId="13DC405A" w:rsidR="00B422E2" w:rsidRPr="00B216D1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B216D1">
        <w:rPr>
          <w:rFonts w:cs="Times New Roman"/>
          <w:iCs/>
        </w:rPr>
        <w:t xml:space="preserve">pokutu ve výši </w:t>
      </w:r>
      <w:r w:rsidR="00C62392" w:rsidRPr="00B216D1">
        <w:rPr>
          <w:rFonts w:cs="Times New Roman"/>
          <w:iCs/>
        </w:rPr>
        <w:t>5</w:t>
      </w:r>
      <w:r w:rsidRPr="00B216D1">
        <w:rPr>
          <w:rFonts w:cs="Times New Roman"/>
          <w:iCs/>
        </w:rPr>
        <w:t xml:space="preserve">0.000 Kč </w:t>
      </w:r>
      <w:r w:rsidRPr="00B216D1">
        <w:rPr>
          <w:rFonts w:cs="Times New Roman"/>
        </w:rPr>
        <w:t xml:space="preserve">(slovy: </w:t>
      </w:r>
      <w:r w:rsidR="00C62392" w:rsidRPr="00B216D1">
        <w:rPr>
          <w:rFonts w:cs="Times New Roman"/>
        </w:rPr>
        <w:t>padesát</w:t>
      </w:r>
      <w:r w:rsidRPr="00B216D1">
        <w:rPr>
          <w:rFonts w:cs="Times New Roman"/>
        </w:rPr>
        <w:t>tisíc korun českých)</w:t>
      </w:r>
    </w:p>
    <w:p w14:paraId="61B8A84D" w14:textId="3F427D73" w:rsidR="00627351" w:rsidRPr="00B216D1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216D1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B216D1">
        <w:rPr>
          <w:rFonts w:cs="Times New Roman"/>
        </w:rPr>
        <w:t>5</w:t>
      </w:r>
      <w:r w:rsidRPr="00B216D1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77777777" w:rsidR="00B422E2" w:rsidRPr="00C6239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62392">
        <w:rPr>
          <w:rFonts w:cs="Times New Roman"/>
        </w:rPr>
        <w:t>V případě, že zhotovitel neposkytne přes výzvu objednatele report stavu dle ust. čl. IV odst. 3 této smlouvy, zaplatí zhotovitel objednateli smluvní pokutu ve výši 500 Kč za každý započatý den prodlení.</w:t>
      </w:r>
    </w:p>
    <w:p w14:paraId="395FF910" w14:textId="3D9D0202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C62392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4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4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</w:t>
      </w:r>
      <w:r w:rsidRPr="00A15479">
        <w:rPr>
          <w:rFonts w:cs="Times New Roman"/>
        </w:rPr>
        <w:lastRenderedPageBreak/>
        <w:t>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29C6FDF0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C62392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1854ADB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5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2392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5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67053EB8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6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C62392" w:rsidRPr="00C62392">
        <w:rPr>
          <w:rFonts w:cs="Times New Roman"/>
        </w:rPr>
        <w:t xml:space="preserve"> </w:t>
      </w:r>
      <w:r w:rsidR="00C62392">
        <w:rPr>
          <w:rFonts w:cs="Times New Roman"/>
        </w:rPr>
        <w:t>i3i2hw6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6"/>
    </w:p>
    <w:p w14:paraId="1B7C32A2" w14:textId="5119F83D" w:rsidR="00C62392" w:rsidRPr="000E5338" w:rsidRDefault="00F74C17" w:rsidP="00C6239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t xml:space="preserve">Kontaktní osobou na straně objednatele je </w:t>
      </w:r>
      <w:r w:rsidR="009D1629">
        <w:rPr>
          <w:rFonts w:cs="Times New Roman"/>
        </w:rPr>
        <w:t>xxxxxxxxxxxxxxxx</w:t>
      </w:r>
    </w:p>
    <w:p w14:paraId="533B3CBE" w14:textId="440006CC" w:rsidR="00C62392" w:rsidRPr="00A15479" w:rsidRDefault="00F74C17" w:rsidP="00C6239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t xml:space="preserve">Kontaktní osobou na straně zhotovitele je </w:t>
      </w:r>
      <w:r w:rsidR="009D1629">
        <w:rPr>
          <w:rFonts w:cs="Times New Roman"/>
        </w:rPr>
        <w:t>xxxxxxxxxxxxxxxx</w:t>
      </w:r>
    </w:p>
    <w:p w14:paraId="12C8E3D8" w14:textId="229634F8" w:rsidR="00D55625" w:rsidRPr="00C62392" w:rsidRDefault="00D55625" w:rsidP="00237DEF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62392">
        <w:rPr>
          <w:rFonts w:cs="Times New Roman"/>
        </w:rPr>
        <w:lastRenderedPageBreak/>
        <w:t>Veškeré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písemnosti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související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</w:t>
      </w:r>
      <w:r w:rsidR="005A2D95" w:rsidRPr="00C62392">
        <w:rPr>
          <w:rFonts w:cs="Times New Roman"/>
        </w:rPr>
        <w:t> </w:t>
      </w:r>
      <w:r w:rsidRPr="00C62392">
        <w:rPr>
          <w:rFonts w:cs="Times New Roman"/>
        </w:rPr>
        <w:t>touto</w:t>
      </w:r>
      <w:r w:rsidR="005A2D95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smlouvou</w:t>
      </w:r>
      <w:r w:rsidR="005A2D95" w:rsidRPr="00C62392">
        <w:rPr>
          <w:rFonts w:cs="Times New Roman"/>
        </w:rPr>
        <w:t xml:space="preserve"> </w:t>
      </w:r>
      <w:r w:rsidR="00F74C17" w:rsidRPr="00C62392">
        <w:rPr>
          <w:rFonts w:cs="Times New Roman"/>
        </w:rPr>
        <w:t xml:space="preserve">lze doručit také </w:t>
      </w:r>
      <w:r w:rsidRPr="00C62392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C62392">
        <w:rPr>
          <w:rFonts w:cs="Times New Roman"/>
        </w:rPr>
        <w:t xml:space="preserve"> </w:t>
      </w:r>
      <w:r w:rsidRPr="00C62392">
        <w:rPr>
          <w:rFonts w:cs="Times New Roman"/>
        </w:rPr>
        <w:t>a to způsobem uvedeným v</w:t>
      </w:r>
      <w:r w:rsidR="006E5AE9" w:rsidRPr="00C62392">
        <w:rPr>
          <w:rFonts w:cs="Times New Roman"/>
        </w:rPr>
        <w:t> odst. 1 tohoto</w:t>
      </w:r>
      <w:r w:rsidRPr="00C62392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4496687D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27" w:name="_Hlk169097072"/>
      <w:bookmarkStart w:id="28" w:name="_Hlk145937672"/>
      <w:r w:rsidRPr="00A15479">
        <w:rPr>
          <w:szCs w:val="22"/>
        </w:rPr>
        <w:t>XI</w:t>
      </w:r>
      <w:r w:rsidR="00C62392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27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62392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>Zhotovitel</w:t>
      </w:r>
      <w:r w:rsidR="002C0BFC" w:rsidRPr="00C62392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62392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>Zhotovitel</w:t>
      </w:r>
      <w:r w:rsidR="002C0BFC" w:rsidRPr="00C62392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62392">
        <w:rPr>
          <w:rFonts w:cs="Times New Roman"/>
          <w:color w:val="auto"/>
          <w:sz w:val="22"/>
        </w:rPr>
        <w:t> </w:t>
      </w:r>
      <w:r w:rsidR="002C0BFC" w:rsidRPr="00C6239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62392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stal určenou osobou, je povinen o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62392">
        <w:rPr>
          <w:rFonts w:cs="Times New Roman"/>
          <w:color w:val="auto"/>
          <w:sz w:val="22"/>
        </w:rPr>
        <w:t>o</w:t>
      </w:r>
      <w:r w:rsidRPr="00C62392">
        <w:rPr>
          <w:rFonts w:cs="Times New Roman"/>
          <w:color w:val="auto"/>
          <w:sz w:val="22"/>
        </w:rPr>
        <w:t>bjednateli v souvislosti s</w:t>
      </w:r>
      <w:r w:rsidR="00BC08EB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>porušením této</w:t>
      </w:r>
      <w:r w:rsidR="0048274C" w:rsidRPr="00C62392">
        <w:rPr>
          <w:rFonts w:cs="Times New Roman"/>
          <w:color w:val="auto"/>
          <w:sz w:val="22"/>
        </w:rPr>
        <w:t> </w:t>
      </w:r>
      <w:r w:rsidRPr="00C62392">
        <w:rPr>
          <w:rFonts w:cs="Times New Roman"/>
          <w:color w:val="auto"/>
          <w:sz w:val="22"/>
        </w:rPr>
        <w:t xml:space="preserve">povinnosti jakákoliv škoda, je </w:t>
      </w:r>
      <w:r w:rsidR="008C2948" w:rsidRPr="00C62392">
        <w:rPr>
          <w:rFonts w:cs="Times New Roman"/>
          <w:color w:val="auto"/>
          <w:sz w:val="22"/>
        </w:rPr>
        <w:t>zhotovitel</w:t>
      </w:r>
      <w:r w:rsidRPr="00C62392">
        <w:rPr>
          <w:rFonts w:cs="Times New Roman"/>
          <w:color w:val="auto"/>
          <w:sz w:val="22"/>
        </w:rPr>
        <w:t xml:space="preserve"> tuto škodu </w:t>
      </w:r>
      <w:r w:rsidR="008C2948" w:rsidRPr="00C62392">
        <w:rPr>
          <w:rFonts w:cs="Times New Roman"/>
          <w:color w:val="auto"/>
          <w:sz w:val="22"/>
        </w:rPr>
        <w:t>o</w:t>
      </w:r>
      <w:r w:rsidRPr="00C62392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28"/>
    <w:p w14:paraId="6090563C" w14:textId="77777777" w:rsidR="00435AF5" w:rsidRPr="00A15479" w:rsidRDefault="00435AF5" w:rsidP="0015758B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7C162BA0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29" w:name="_Hlk169097399"/>
      <w:r w:rsidRPr="00A15479">
        <w:rPr>
          <w:szCs w:val="22"/>
        </w:rPr>
        <w:t>X</w:t>
      </w:r>
      <w:r w:rsidR="00C6239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29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1" w:name="_Hlk169097513"/>
      <w:r w:rsidRPr="00633296">
        <w:t xml:space="preserve">strany se dohodly, že smlouva bude uzavřena v elektronické podobě, přičemž zástupce každé ze stran tuto smlouvu, v souladu se zákonem č. 297/2016 Sb., o službách vytvářejících důvěru </w:t>
      </w:r>
      <w:r w:rsidRPr="00633296">
        <w:lastRenderedPageBreak/>
        <w:t>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1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2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2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3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4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4563E008" w14:textId="77777777" w:rsidR="00F176B3" w:rsidRDefault="00F176B3" w:rsidP="00F176B3">
      <w:pPr>
        <w:spacing w:after="120" w:line="276" w:lineRule="auto"/>
        <w:jc w:val="both"/>
        <w:rPr>
          <w:rFonts w:cs="Times New Roman"/>
        </w:rPr>
      </w:pPr>
    </w:p>
    <w:p w14:paraId="3E3BFAB1" w14:textId="77777777" w:rsidR="00F176B3" w:rsidRDefault="00F176B3" w:rsidP="00F176B3">
      <w:pPr>
        <w:spacing w:after="120" w:line="276" w:lineRule="auto"/>
        <w:jc w:val="both"/>
        <w:rPr>
          <w:rFonts w:cs="Times New Roman"/>
        </w:rPr>
      </w:pPr>
    </w:p>
    <w:p w14:paraId="4CDDD3D2" w14:textId="77777777" w:rsidR="00F176B3" w:rsidRDefault="00F176B3" w:rsidP="00F176B3">
      <w:pPr>
        <w:spacing w:after="120" w:line="276" w:lineRule="auto"/>
        <w:jc w:val="both"/>
        <w:rPr>
          <w:rFonts w:cs="Times New Roman"/>
        </w:rPr>
      </w:pPr>
    </w:p>
    <w:p w14:paraId="132CB6A6" w14:textId="77777777" w:rsidR="00F176B3" w:rsidRDefault="00F176B3" w:rsidP="00F176B3">
      <w:pPr>
        <w:spacing w:after="120" w:line="276" w:lineRule="auto"/>
        <w:jc w:val="both"/>
        <w:rPr>
          <w:rFonts w:cs="Times New Roman"/>
        </w:rPr>
      </w:pPr>
    </w:p>
    <w:p w14:paraId="51EB6E82" w14:textId="77777777" w:rsidR="00F176B3" w:rsidRDefault="00F176B3" w:rsidP="00F176B3">
      <w:pPr>
        <w:spacing w:after="120" w:line="276" w:lineRule="auto"/>
        <w:jc w:val="both"/>
        <w:rPr>
          <w:rFonts w:cs="Times New Roman"/>
        </w:rPr>
      </w:pPr>
    </w:p>
    <w:p w14:paraId="75311603" w14:textId="77777777" w:rsidR="00F176B3" w:rsidRPr="00A15479" w:rsidRDefault="00F176B3" w:rsidP="00F176B3">
      <w:pPr>
        <w:spacing w:after="120" w:line="276" w:lineRule="auto"/>
        <w:jc w:val="both"/>
        <w:rPr>
          <w:rFonts w:cs="Times New Roman"/>
        </w:rPr>
      </w:pPr>
    </w:p>
    <w:bookmarkEnd w:id="35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46B947D3" w14:textId="77777777" w:rsidR="007A1BA1" w:rsidRDefault="007A1BA1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496764BF" w14:textId="77777777" w:rsidR="007A1BA1" w:rsidRDefault="007A1BA1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4C8C7CDB" w14:textId="77777777" w:rsidR="007A1BA1" w:rsidRPr="00A15479" w:rsidRDefault="007A1BA1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1A2160A6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6" w:name="_Hlk169097802"/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A74097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C62392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1F33031F" w14:textId="77777777" w:rsidR="0015758B" w:rsidRDefault="0015758B" w:rsidP="0007550F">
      <w:pPr>
        <w:spacing w:after="120" w:line="276" w:lineRule="auto"/>
        <w:rPr>
          <w:rFonts w:cs="Times New Roman"/>
        </w:rPr>
      </w:pPr>
    </w:p>
    <w:p w14:paraId="718436B9" w14:textId="77777777" w:rsidR="0015758B" w:rsidRDefault="0015758B" w:rsidP="0007550F">
      <w:pPr>
        <w:spacing w:after="120" w:line="276" w:lineRule="auto"/>
        <w:rPr>
          <w:rFonts w:cs="Times New Roman"/>
        </w:rPr>
      </w:pPr>
    </w:p>
    <w:p w14:paraId="09805AB0" w14:textId="77777777" w:rsidR="0015758B" w:rsidRPr="00A15479" w:rsidRDefault="0015758B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3920E396" w:rsidR="00512330" w:rsidRPr="00C62392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C62392">
        <w:rPr>
          <w:rFonts w:cs="Times New Roman"/>
          <w:b/>
        </w:rPr>
        <w:t>Mgr. Adam Švejda</w:t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Pr="00C62392">
        <w:rPr>
          <w:rFonts w:cs="Times New Roman"/>
          <w:b/>
        </w:rPr>
        <w:tab/>
      </w:r>
      <w:r w:rsidR="00C62392" w:rsidRPr="00C62392">
        <w:rPr>
          <w:rFonts w:cs="Times New Roman"/>
          <w:b/>
          <w:bCs/>
        </w:rPr>
        <w:t>Ing. arch. Benedikt Markel</w:t>
      </w:r>
    </w:p>
    <w:p w14:paraId="1790695B" w14:textId="3DC7C689" w:rsidR="00512330" w:rsidRPr="00C62392" w:rsidRDefault="00512330" w:rsidP="00512330">
      <w:pPr>
        <w:spacing w:after="120"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 xml:space="preserve">zástupce ředitele pro </w:t>
      </w:r>
      <w:r w:rsidR="00F818B2" w:rsidRPr="00C62392">
        <w:rPr>
          <w:rFonts w:cs="Times New Roman"/>
        </w:rPr>
        <w:t xml:space="preserve">ekonomickou a </w:t>
      </w:r>
      <w:r w:rsidRPr="00C62392">
        <w:rPr>
          <w:rFonts w:cs="Times New Roman"/>
        </w:rPr>
        <w:t>provozní činnost</w:t>
      </w:r>
      <w:r w:rsidRPr="00C62392">
        <w:rPr>
          <w:rFonts w:cs="Times New Roman"/>
        </w:rPr>
        <w:tab/>
      </w:r>
    </w:p>
    <w:p w14:paraId="1A267791" w14:textId="77777777" w:rsidR="00512330" w:rsidRPr="00C62392" w:rsidRDefault="00512330" w:rsidP="00F818B2">
      <w:pPr>
        <w:spacing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>Institut plánování a rozvoje hlavního města Prahy,</w:t>
      </w:r>
      <w:r w:rsidRPr="00C62392">
        <w:rPr>
          <w:rFonts w:cs="Times New Roman"/>
        </w:rPr>
        <w:tab/>
      </w:r>
      <w:r w:rsidRPr="00C62392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C62392">
        <w:rPr>
          <w:rFonts w:cs="Times New Roman"/>
        </w:rPr>
        <w:t>příspěvková organizace</w:t>
      </w:r>
      <w:bookmarkEnd w:id="36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7B44" w14:textId="77777777" w:rsidR="00785D64" w:rsidRDefault="00785D64">
      <w:r>
        <w:separator/>
      </w:r>
    </w:p>
  </w:endnote>
  <w:endnote w:type="continuationSeparator" w:id="0">
    <w:p w14:paraId="5FA0396E" w14:textId="77777777" w:rsidR="00785D64" w:rsidRDefault="007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977C" w14:textId="77777777" w:rsidR="00785D64" w:rsidRDefault="00785D64">
      <w:r>
        <w:separator/>
      </w:r>
    </w:p>
  </w:footnote>
  <w:footnote w:type="continuationSeparator" w:id="0">
    <w:p w14:paraId="26FC35C8" w14:textId="77777777" w:rsidR="00785D64" w:rsidRDefault="0078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CDF9EE9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8F3AA4">
      <w:rPr>
        <w:sz w:val="22"/>
      </w:rPr>
      <w:t>ZAK 2</w:t>
    </w:r>
    <w:r w:rsidR="00104D64">
      <w:rPr>
        <w:sz w:val="22"/>
      </w:rPr>
      <w:t>6-0090/1.3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F3AA4">
      <w:t>č. smlouvy zhotovitele</w:t>
    </w:r>
    <w:r w:rsidR="00D81B70" w:rsidRPr="008F3AA4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multilevel"/>
    <w:tmpl w:val="024C857C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4F75F3E"/>
    <w:multiLevelType w:val="hybridMultilevel"/>
    <w:tmpl w:val="EC3C7488"/>
    <w:lvl w:ilvl="0" w:tplc="AA7C043C">
      <w:start w:val="1"/>
      <w:numFmt w:val="lowerLetter"/>
      <w:lvlText w:val="%1)"/>
      <w:lvlJc w:val="left"/>
      <w:pPr>
        <w:ind w:left="643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A3660"/>
    <w:multiLevelType w:val="hybridMultilevel"/>
    <w:tmpl w:val="64C6945E"/>
    <w:lvl w:ilvl="0" w:tplc="1CC6361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14E37"/>
    <w:multiLevelType w:val="hybridMultilevel"/>
    <w:tmpl w:val="BA2CD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4"/>
  </w:num>
  <w:num w:numId="5" w16cid:durableId="1607230625">
    <w:abstractNumId w:val="32"/>
  </w:num>
  <w:num w:numId="6" w16cid:durableId="191771308">
    <w:abstractNumId w:val="48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6"/>
  </w:num>
  <w:num w:numId="10" w16cid:durableId="1165127390">
    <w:abstractNumId w:val="39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8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7"/>
  </w:num>
  <w:num w:numId="17" w16cid:durableId="1628467188">
    <w:abstractNumId w:val="49"/>
  </w:num>
  <w:num w:numId="18" w16cid:durableId="103229322">
    <w:abstractNumId w:val="43"/>
  </w:num>
  <w:num w:numId="19" w16cid:durableId="1004481792">
    <w:abstractNumId w:val="37"/>
  </w:num>
  <w:num w:numId="20" w16cid:durableId="503397303">
    <w:abstractNumId w:val="40"/>
  </w:num>
  <w:num w:numId="21" w16cid:durableId="1735739072">
    <w:abstractNumId w:val="30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1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6"/>
  </w:num>
  <w:num w:numId="31" w16cid:durableId="1167328204">
    <w:abstractNumId w:val="35"/>
  </w:num>
  <w:num w:numId="32" w16cid:durableId="475726217">
    <w:abstractNumId w:val="29"/>
  </w:num>
  <w:num w:numId="33" w16cid:durableId="1117531601">
    <w:abstractNumId w:val="45"/>
  </w:num>
  <w:num w:numId="34" w16cid:durableId="921567695">
    <w:abstractNumId w:val="4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5FE1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8FC"/>
    <w:rsid w:val="000949B7"/>
    <w:rsid w:val="000A1E6B"/>
    <w:rsid w:val="000A2185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2953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0F7499"/>
    <w:rsid w:val="001015E7"/>
    <w:rsid w:val="00103249"/>
    <w:rsid w:val="0010389A"/>
    <w:rsid w:val="0010435D"/>
    <w:rsid w:val="00104D64"/>
    <w:rsid w:val="001147E2"/>
    <w:rsid w:val="0012035D"/>
    <w:rsid w:val="0012794E"/>
    <w:rsid w:val="00127B5C"/>
    <w:rsid w:val="0013180B"/>
    <w:rsid w:val="00133067"/>
    <w:rsid w:val="001372D2"/>
    <w:rsid w:val="00140E6D"/>
    <w:rsid w:val="00141922"/>
    <w:rsid w:val="001423F0"/>
    <w:rsid w:val="00143E4F"/>
    <w:rsid w:val="001442F8"/>
    <w:rsid w:val="00144D7F"/>
    <w:rsid w:val="0014580A"/>
    <w:rsid w:val="00146637"/>
    <w:rsid w:val="00150A9D"/>
    <w:rsid w:val="00153960"/>
    <w:rsid w:val="0015454C"/>
    <w:rsid w:val="00154AA3"/>
    <w:rsid w:val="0015758B"/>
    <w:rsid w:val="00162DBA"/>
    <w:rsid w:val="0016457C"/>
    <w:rsid w:val="001648B6"/>
    <w:rsid w:val="00165646"/>
    <w:rsid w:val="00167B18"/>
    <w:rsid w:val="00167BDB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B0721"/>
    <w:rsid w:val="001C2399"/>
    <w:rsid w:val="001C4E25"/>
    <w:rsid w:val="001D2F35"/>
    <w:rsid w:val="001D370F"/>
    <w:rsid w:val="001D3940"/>
    <w:rsid w:val="001D54B4"/>
    <w:rsid w:val="001D6671"/>
    <w:rsid w:val="001E4160"/>
    <w:rsid w:val="001E48DD"/>
    <w:rsid w:val="001E712E"/>
    <w:rsid w:val="001F1982"/>
    <w:rsid w:val="001F37AE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1C3"/>
    <w:rsid w:val="00234EDD"/>
    <w:rsid w:val="00235C82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68A9"/>
    <w:rsid w:val="002C7438"/>
    <w:rsid w:val="002D2B5D"/>
    <w:rsid w:val="002D4DF5"/>
    <w:rsid w:val="002D672A"/>
    <w:rsid w:val="002D6746"/>
    <w:rsid w:val="002D78CA"/>
    <w:rsid w:val="002E1768"/>
    <w:rsid w:val="002E2825"/>
    <w:rsid w:val="002E5B42"/>
    <w:rsid w:val="002E6AD1"/>
    <w:rsid w:val="002E6E05"/>
    <w:rsid w:val="002F29B7"/>
    <w:rsid w:val="002F6848"/>
    <w:rsid w:val="002F69D5"/>
    <w:rsid w:val="003004F2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6607C"/>
    <w:rsid w:val="00372526"/>
    <w:rsid w:val="00372DDF"/>
    <w:rsid w:val="00375836"/>
    <w:rsid w:val="0037586C"/>
    <w:rsid w:val="0038330D"/>
    <w:rsid w:val="00387A6E"/>
    <w:rsid w:val="00390A00"/>
    <w:rsid w:val="003935CA"/>
    <w:rsid w:val="003940F2"/>
    <w:rsid w:val="00395F31"/>
    <w:rsid w:val="003A3BD5"/>
    <w:rsid w:val="003A4191"/>
    <w:rsid w:val="003A59B5"/>
    <w:rsid w:val="003B11C4"/>
    <w:rsid w:val="003B6334"/>
    <w:rsid w:val="003B6695"/>
    <w:rsid w:val="003B6E46"/>
    <w:rsid w:val="003B7B4B"/>
    <w:rsid w:val="003C0923"/>
    <w:rsid w:val="003C44D8"/>
    <w:rsid w:val="003C7266"/>
    <w:rsid w:val="003C760F"/>
    <w:rsid w:val="003C76CE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23A3"/>
    <w:rsid w:val="00435AF5"/>
    <w:rsid w:val="00440D74"/>
    <w:rsid w:val="00446812"/>
    <w:rsid w:val="004468DB"/>
    <w:rsid w:val="004503B0"/>
    <w:rsid w:val="00453938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02E7"/>
    <w:rsid w:val="004C1B7C"/>
    <w:rsid w:val="004C2FC2"/>
    <w:rsid w:val="004C433F"/>
    <w:rsid w:val="004C4A8E"/>
    <w:rsid w:val="004C699F"/>
    <w:rsid w:val="004D120F"/>
    <w:rsid w:val="004D3EA1"/>
    <w:rsid w:val="004D5C38"/>
    <w:rsid w:val="004D6231"/>
    <w:rsid w:val="004D7C84"/>
    <w:rsid w:val="004E197D"/>
    <w:rsid w:val="004E27BA"/>
    <w:rsid w:val="004F0792"/>
    <w:rsid w:val="004F0A0C"/>
    <w:rsid w:val="004F3BE5"/>
    <w:rsid w:val="004F49D1"/>
    <w:rsid w:val="004F5A59"/>
    <w:rsid w:val="004F7C72"/>
    <w:rsid w:val="00501407"/>
    <w:rsid w:val="00502231"/>
    <w:rsid w:val="00502615"/>
    <w:rsid w:val="005030DF"/>
    <w:rsid w:val="00503EBE"/>
    <w:rsid w:val="00510530"/>
    <w:rsid w:val="00512330"/>
    <w:rsid w:val="005123AB"/>
    <w:rsid w:val="0051424D"/>
    <w:rsid w:val="0051598A"/>
    <w:rsid w:val="00515ED9"/>
    <w:rsid w:val="00520434"/>
    <w:rsid w:val="00520C78"/>
    <w:rsid w:val="00522DAD"/>
    <w:rsid w:val="00524239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1693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92C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5D64"/>
    <w:rsid w:val="00787871"/>
    <w:rsid w:val="00792B3E"/>
    <w:rsid w:val="00796477"/>
    <w:rsid w:val="007A0112"/>
    <w:rsid w:val="007A0188"/>
    <w:rsid w:val="007A0A70"/>
    <w:rsid w:val="007A0BE6"/>
    <w:rsid w:val="007A1BA1"/>
    <w:rsid w:val="007A33BA"/>
    <w:rsid w:val="007A3CEB"/>
    <w:rsid w:val="007A556E"/>
    <w:rsid w:val="007A6F96"/>
    <w:rsid w:val="007A78C0"/>
    <w:rsid w:val="007B3C85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7F3921"/>
    <w:rsid w:val="008005EE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156F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60EF"/>
    <w:rsid w:val="00877083"/>
    <w:rsid w:val="00877D53"/>
    <w:rsid w:val="00883398"/>
    <w:rsid w:val="00890F78"/>
    <w:rsid w:val="00893230"/>
    <w:rsid w:val="00894F8C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12DD"/>
    <w:rsid w:val="008F0C54"/>
    <w:rsid w:val="008F0F3B"/>
    <w:rsid w:val="008F3AA4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7F7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771B9"/>
    <w:rsid w:val="00981100"/>
    <w:rsid w:val="009820A2"/>
    <w:rsid w:val="0098567A"/>
    <w:rsid w:val="00985C15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2F2"/>
    <w:rsid w:val="009C0728"/>
    <w:rsid w:val="009C09CC"/>
    <w:rsid w:val="009C3F60"/>
    <w:rsid w:val="009C40D8"/>
    <w:rsid w:val="009D1629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097"/>
    <w:rsid w:val="00A74551"/>
    <w:rsid w:val="00A77D9A"/>
    <w:rsid w:val="00A82DA9"/>
    <w:rsid w:val="00A919AF"/>
    <w:rsid w:val="00A921BF"/>
    <w:rsid w:val="00A92C18"/>
    <w:rsid w:val="00A94B18"/>
    <w:rsid w:val="00A9606F"/>
    <w:rsid w:val="00A97EBC"/>
    <w:rsid w:val="00AA1127"/>
    <w:rsid w:val="00AA23CA"/>
    <w:rsid w:val="00AA58BA"/>
    <w:rsid w:val="00AB01CF"/>
    <w:rsid w:val="00AB0216"/>
    <w:rsid w:val="00AB2247"/>
    <w:rsid w:val="00AB24EA"/>
    <w:rsid w:val="00AB60B1"/>
    <w:rsid w:val="00AB7D86"/>
    <w:rsid w:val="00AC35D0"/>
    <w:rsid w:val="00AD1951"/>
    <w:rsid w:val="00AD498A"/>
    <w:rsid w:val="00AD62AD"/>
    <w:rsid w:val="00AD6852"/>
    <w:rsid w:val="00AD68DF"/>
    <w:rsid w:val="00AE0FE5"/>
    <w:rsid w:val="00AE390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16D1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2A18"/>
    <w:rsid w:val="00B930E8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57D1"/>
    <w:rsid w:val="00BC6011"/>
    <w:rsid w:val="00BD1CCC"/>
    <w:rsid w:val="00BD6904"/>
    <w:rsid w:val="00BD6E22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277EC"/>
    <w:rsid w:val="00C3798B"/>
    <w:rsid w:val="00C46E78"/>
    <w:rsid w:val="00C47475"/>
    <w:rsid w:val="00C5146C"/>
    <w:rsid w:val="00C514F8"/>
    <w:rsid w:val="00C529C5"/>
    <w:rsid w:val="00C529D5"/>
    <w:rsid w:val="00C541C1"/>
    <w:rsid w:val="00C54A1D"/>
    <w:rsid w:val="00C56CD5"/>
    <w:rsid w:val="00C614F4"/>
    <w:rsid w:val="00C62392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B7D8B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9E"/>
    <w:rsid w:val="00D131D4"/>
    <w:rsid w:val="00D16098"/>
    <w:rsid w:val="00D2447E"/>
    <w:rsid w:val="00D255D6"/>
    <w:rsid w:val="00D261B3"/>
    <w:rsid w:val="00D341E2"/>
    <w:rsid w:val="00D353D9"/>
    <w:rsid w:val="00D37798"/>
    <w:rsid w:val="00D37987"/>
    <w:rsid w:val="00D5405C"/>
    <w:rsid w:val="00D55625"/>
    <w:rsid w:val="00D56EAF"/>
    <w:rsid w:val="00D60950"/>
    <w:rsid w:val="00D6215F"/>
    <w:rsid w:val="00D624E8"/>
    <w:rsid w:val="00D6471F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03BF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D48C2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3C"/>
    <w:rsid w:val="00F07CB6"/>
    <w:rsid w:val="00F11235"/>
    <w:rsid w:val="00F12F2C"/>
    <w:rsid w:val="00F176B3"/>
    <w:rsid w:val="00F20170"/>
    <w:rsid w:val="00F21CE0"/>
    <w:rsid w:val="00F2559D"/>
    <w:rsid w:val="00F2669B"/>
    <w:rsid w:val="00F31205"/>
    <w:rsid w:val="00F3132A"/>
    <w:rsid w:val="00F33EE5"/>
    <w:rsid w:val="00F3531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4FF0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4979</Words>
  <Characters>29380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2024-06-03T11:40:00Z</cp:lastPrinted>
  <dcterms:created xsi:type="dcterms:W3CDTF">2026-05-20T09:03:00Z</dcterms:created>
  <dcterms:modified xsi:type="dcterms:W3CDTF">2026-05-20T09:05:00Z</dcterms:modified>
</cp:coreProperties>
</file>