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09A5" w14:textId="77777777" w:rsidR="009B2889" w:rsidRDefault="002F70A5">
      <w:pPr>
        <w:pStyle w:val="Nadpis1"/>
        <w:widowControl w:val="0"/>
        <w:spacing w:before="0" w:after="0" w:line="288" w:lineRule="auto"/>
        <w:rPr>
          <w:rFonts w:ascii="Times New Roman" w:eastAsia="Times New Roman" w:hAnsi="Times New Roman" w:cs="Times New Roman"/>
          <w:sz w:val="36"/>
          <w:szCs w:val="36"/>
        </w:rPr>
      </w:pPr>
      <w:bookmarkStart w:id="0" w:name="_gjdgxs" w:colFirst="0" w:colLast="0"/>
      <w:bookmarkEnd w:id="0"/>
      <w:r>
        <w:rPr>
          <w:rFonts w:ascii="Times New Roman" w:eastAsia="Times New Roman" w:hAnsi="Times New Roman" w:cs="Times New Roman"/>
          <w:sz w:val="36"/>
          <w:szCs w:val="36"/>
        </w:rPr>
        <w:t>SMLOUVA O UMĚLECKÉM VÝKONU</w:t>
      </w:r>
    </w:p>
    <w:p w14:paraId="6242FB9F" w14:textId="77777777" w:rsidR="009B2889" w:rsidRDefault="009B2889">
      <w:pPr>
        <w:widowControl w:val="0"/>
        <w:spacing w:line="288" w:lineRule="auto"/>
        <w:rPr>
          <w:rFonts w:ascii="Times New Roman" w:eastAsia="Times New Roman" w:hAnsi="Times New Roman" w:cs="Times New Roman"/>
          <w:sz w:val="22"/>
          <w:szCs w:val="22"/>
          <w:highlight w:val="yellow"/>
        </w:rPr>
      </w:pPr>
    </w:p>
    <w:p w14:paraId="3EBBE631" w14:textId="77777777" w:rsidR="009B2889" w:rsidRDefault="002F70A5">
      <w:pPr>
        <w:widowControl w:val="0"/>
        <w:spacing w:line="288" w:lineRule="auto"/>
        <w:rPr>
          <w:rFonts w:ascii="Times New Roman" w:eastAsia="Times New Roman" w:hAnsi="Times New Roman" w:cs="Times New Roman"/>
          <w:i/>
          <w:sz w:val="22"/>
          <w:szCs w:val="22"/>
        </w:rPr>
      </w:pPr>
      <w:r>
        <w:rPr>
          <w:rFonts w:ascii="Times New Roman" w:eastAsia="Times New Roman" w:hAnsi="Times New Roman" w:cs="Times New Roman"/>
          <w:i/>
          <w:sz w:val="22"/>
          <w:szCs w:val="22"/>
        </w:rPr>
        <w:t>uzavřená podle zákona č. 121/2000 Sb., o právu autorském, o právech souvisejících s právem autorským a o změně některých zákonů (autorský zákon), v platném znění, a podle zákona č. 89/2012 Sb., občanský zákoník, v platném znění (dále jen „</w:t>
      </w:r>
      <w:r>
        <w:rPr>
          <w:rFonts w:ascii="Times New Roman" w:eastAsia="Times New Roman" w:hAnsi="Times New Roman" w:cs="Times New Roman"/>
          <w:b/>
          <w:i/>
          <w:sz w:val="22"/>
          <w:szCs w:val="22"/>
        </w:rPr>
        <w:t>Občanský zákoník</w:t>
      </w:r>
      <w:r>
        <w:rPr>
          <w:rFonts w:ascii="Times New Roman" w:eastAsia="Times New Roman" w:hAnsi="Times New Roman" w:cs="Times New Roman"/>
          <w:i/>
          <w:sz w:val="22"/>
          <w:szCs w:val="22"/>
        </w:rPr>
        <w:t>“), mezi stranami:</w:t>
      </w:r>
    </w:p>
    <w:p w14:paraId="497AC110" w14:textId="77777777" w:rsidR="009B2889" w:rsidRDefault="009B2889">
      <w:pPr>
        <w:widowControl w:val="0"/>
        <w:spacing w:line="288" w:lineRule="auto"/>
        <w:rPr>
          <w:rFonts w:ascii="Times New Roman" w:eastAsia="Times New Roman" w:hAnsi="Times New Roman" w:cs="Times New Roman"/>
          <w:sz w:val="22"/>
          <w:szCs w:val="22"/>
        </w:rPr>
      </w:pPr>
    </w:p>
    <w:p w14:paraId="054D65CC" w14:textId="77777777" w:rsidR="009B2889" w:rsidRDefault="00C405B2">
      <w:pPr>
        <w:widowControl w:val="0"/>
        <w:tabs>
          <w:tab w:val="left" w:pos="5387"/>
        </w:tabs>
        <w:spacing w:line="288"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Janáčkova filharmonie Ostrava, </w:t>
      </w:r>
      <w:r w:rsidR="002F70A5">
        <w:rPr>
          <w:rFonts w:ascii="Times New Roman" w:eastAsia="Times New Roman" w:hAnsi="Times New Roman" w:cs="Times New Roman"/>
          <w:b/>
          <w:sz w:val="22"/>
          <w:szCs w:val="22"/>
        </w:rPr>
        <w:t>příspěvková organizace</w:t>
      </w:r>
      <w:r w:rsidR="002F70A5">
        <w:rPr>
          <w:rFonts w:ascii="Times New Roman" w:eastAsia="Times New Roman" w:hAnsi="Times New Roman" w:cs="Times New Roman"/>
          <w:b/>
          <w:sz w:val="22"/>
          <w:szCs w:val="22"/>
        </w:rPr>
        <w:br/>
      </w:r>
      <w:r w:rsidR="002F70A5">
        <w:rPr>
          <w:rFonts w:ascii="Times New Roman" w:eastAsia="Times New Roman" w:hAnsi="Times New Roman" w:cs="Times New Roman"/>
          <w:sz w:val="22"/>
          <w:szCs w:val="22"/>
        </w:rPr>
        <w:t>se sídlem ul. 28. října 2556/124, 702 00 Ostrava - Moravská Ostrava, Česká republika</w:t>
      </w:r>
    </w:p>
    <w:p w14:paraId="0546F491" w14:textId="77777777" w:rsidR="009B2889" w:rsidRDefault="002F70A5">
      <w:pPr>
        <w:widowControl w:val="0"/>
        <w:tabs>
          <w:tab w:val="left" w:pos="5387"/>
        </w:tabs>
        <w:spacing w:line="28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IČ: 00373222, DIČ: CZ00373222</w:t>
      </w:r>
    </w:p>
    <w:p w14:paraId="0E210DA9" w14:textId="77777777" w:rsidR="00C405B2" w:rsidRDefault="002F70A5">
      <w:pPr>
        <w:widowControl w:val="0"/>
        <w:tabs>
          <w:tab w:val="left" w:pos="5387"/>
        </w:tabs>
        <w:spacing w:line="28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zastoupena Mgr. Janem Žemlou, ředitelem</w:t>
      </w:r>
      <w:r>
        <w:rPr>
          <w:rFonts w:ascii="Times New Roman" w:eastAsia="Times New Roman" w:hAnsi="Times New Roman" w:cs="Times New Roman"/>
          <w:sz w:val="22"/>
          <w:szCs w:val="22"/>
        </w:rPr>
        <w:br/>
        <w:t xml:space="preserve">Organizace je vedena v živnostenském rejstříku statutárního města Ostrava – Živnostenský úřad </w:t>
      </w:r>
      <w:r>
        <w:rPr>
          <w:rFonts w:ascii="Times New Roman" w:eastAsia="Times New Roman" w:hAnsi="Times New Roman" w:cs="Times New Roman"/>
          <w:sz w:val="22"/>
          <w:szCs w:val="22"/>
        </w:rPr>
        <w:br/>
        <w:t>pod č. j. K01055.</w:t>
      </w:r>
    </w:p>
    <w:p w14:paraId="760D25DC" w14:textId="77777777" w:rsidR="00222ED5" w:rsidRDefault="00036693" w:rsidP="00C405B2">
      <w:pPr>
        <w:widowControl w:val="0"/>
        <w:spacing w:line="288" w:lineRule="auto"/>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Korespondenční adresa: Varenská Office Center, </w:t>
      </w:r>
      <w:r w:rsidR="00C405B2">
        <w:rPr>
          <w:rFonts w:ascii="Times New Roman" w:eastAsiaTheme="minorHAnsi" w:hAnsi="Times New Roman" w:cs="Times New Roman"/>
          <w:sz w:val="22"/>
          <w:szCs w:val="22"/>
        </w:rPr>
        <w:t>Varenská 2723/51, 702 00 Ostrava</w:t>
      </w:r>
    </w:p>
    <w:p w14:paraId="2515BB9A" w14:textId="53A2D9C6" w:rsidR="009B2889" w:rsidRDefault="00222ED5" w:rsidP="00C405B2">
      <w:pPr>
        <w:widowControl w:val="0"/>
        <w:spacing w:line="288" w:lineRule="auto"/>
        <w:rPr>
          <w:rFonts w:ascii="Times New Roman" w:eastAsia="Times New Roman" w:hAnsi="Times New Roman" w:cs="Times New Roman"/>
          <w:i/>
          <w:sz w:val="22"/>
          <w:szCs w:val="22"/>
        </w:rPr>
      </w:pPr>
      <w:r>
        <w:rPr>
          <w:rFonts w:ascii="Times New Roman" w:eastAsiaTheme="minorHAnsi" w:hAnsi="Times New Roman" w:cs="Times New Roman"/>
          <w:sz w:val="22"/>
          <w:szCs w:val="22"/>
        </w:rPr>
        <w:t xml:space="preserve">Kontaktní osoba: Radka Motalová, </w:t>
      </w:r>
      <w:r w:rsidRPr="00200209">
        <w:rPr>
          <w:rFonts w:ascii="Times New Roman" w:eastAsiaTheme="minorHAnsi" w:hAnsi="Times New Roman" w:cs="Times New Roman"/>
          <w:sz w:val="22"/>
          <w:szCs w:val="22"/>
        </w:rPr>
        <w:t>motalova@jfo.cz</w:t>
      </w:r>
      <w:r>
        <w:rPr>
          <w:rFonts w:ascii="Times New Roman" w:eastAsiaTheme="minorHAnsi" w:hAnsi="Times New Roman" w:cs="Times New Roman"/>
          <w:sz w:val="22"/>
          <w:szCs w:val="22"/>
        </w:rPr>
        <w:t>, 724 285 897</w:t>
      </w:r>
      <w:r w:rsidR="00C405B2">
        <w:rPr>
          <w:color w:val="FF0000"/>
        </w:rPr>
        <w:br/>
      </w:r>
      <w:r w:rsidR="002F70A5">
        <w:rPr>
          <w:rFonts w:ascii="Times New Roman" w:eastAsia="Times New Roman" w:hAnsi="Times New Roman" w:cs="Times New Roman"/>
          <w:i/>
          <w:sz w:val="22"/>
          <w:szCs w:val="22"/>
        </w:rPr>
        <w:t>(dále také jen jako “</w:t>
      </w:r>
      <w:r w:rsidR="002F70A5">
        <w:rPr>
          <w:rFonts w:ascii="Times New Roman" w:eastAsia="Times New Roman" w:hAnsi="Times New Roman" w:cs="Times New Roman"/>
          <w:b/>
          <w:i/>
          <w:sz w:val="22"/>
          <w:szCs w:val="22"/>
        </w:rPr>
        <w:t>Pořadatel</w:t>
      </w:r>
      <w:r w:rsidR="002F70A5">
        <w:rPr>
          <w:rFonts w:ascii="Times New Roman" w:eastAsia="Times New Roman" w:hAnsi="Times New Roman" w:cs="Times New Roman"/>
          <w:i/>
          <w:sz w:val="22"/>
          <w:szCs w:val="22"/>
        </w:rPr>
        <w:t>”)</w:t>
      </w:r>
    </w:p>
    <w:p w14:paraId="4DCAC70E" w14:textId="77777777" w:rsidR="00C405B2" w:rsidRDefault="00C405B2" w:rsidP="00C405B2">
      <w:pPr>
        <w:widowControl w:val="0"/>
        <w:spacing w:line="288" w:lineRule="auto"/>
        <w:rPr>
          <w:rFonts w:ascii="Times New Roman" w:eastAsia="Times New Roman" w:hAnsi="Times New Roman" w:cs="Times New Roman"/>
          <w:i/>
          <w:sz w:val="22"/>
          <w:szCs w:val="22"/>
        </w:rPr>
      </w:pPr>
    </w:p>
    <w:p w14:paraId="77434231" w14:textId="77777777" w:rsidR="009B2889" w:rsidRDefault="002F70A5">
      <w:pPr>
        <w:widowControl w:val="0"/>
        <w:spacing w:line="288" w:lineRule="auto"/>
        <w:rPr>
          <w:rFonts w:ascii="Times New Roman" w:eastAsia="Times New Roman" w:hAnsi="Times New Roman" w:cs="Times New Roman"/>
          <w:i/>
          <w:sz w:val="22"/>
          <w:szCs w:val="22"/>
        </w:rPr>
      </w:pPr>
      <w:r>
        <w:rPr>
          <w:rFonts w:ascii="Times New Roman" w:eastAsia="Times New Roman" w:hAnsi="Times New Roman" w:cs="Times New Roman"/>
          <w:i/>
          <w:sz w:val="22"/>
          <w:szCs w:val="22"/>
        </w:rPr>
        <w:t>a</w:t>
      </w:r>
    </w:p>
    <w:p w14:paraId="6A4F5765" w14:textId="77777777" w:rsidR="009B2889" w:rsidRDefault="009B2889">
      <w:pPr>
        <w:widowControl w:val="0"/>
        <w:spacing w:line="288" w:lineRule="auto"/>
        <w:rPr>
          <w:rFonts w:ascii="Times New Roman" w:eastAsia="Times New Roman" w:hAnsi="Times New Roman" w:cs="Times New Roman"/>
          <w:i/>
          <w:sz w:val="22"/>
          <w:szCs w:val="22"/>
        </w:rPr>
      </w:pPr>
    </w:p>
    <w:p w14:paraId="00D8B8CE" w14:textId="40AD0BD7" w:rsidR="009B2889" w:rsidRPr="00B625A9" w:rsidRDefault="002F70A5" w:rsidP="00B625A9">
      <w:pPr>
        <w:widowControl w:val="0"/>
        <w:spacing w:line="288" w:lineRule="auto"/>
        <w:rPr>
          <w:rFonts w:ascii="Times New Roman" w:eastAsia="Times New Roman" w:hAnsi="Times New Roman" w:cs="Times New Roman"/>
          <w:sz w:val="22"/>
          <w:szCs w:val="22"/>
        </w:rPr>
      </w:pPr>
      <w:r w:rsidRPr="004351D8">
        <w:rPr>
          <w:rFonts w:ascii="Times New Roman" w:eastAsia="Times New Roman" w:hAnsi="Times New Roman" w:cs="Times New Roman"/>
          <w:b/>
          <w:sz w:val="22"/>
          <w:szCs w:val="22"/>
        </w:rPr>
        <w:t xml:space="preserve">Jméno: </w:t>
      </w:r>
      <w:r w:rsidRPr="004351D8">
        <w:rPr>
          <w:rFonts w:ascii="Times New Roman" w:eastAsia="Times New Roman" w:hAnsi="Times New Roman" w:cs="Times New Roman"/>
          <w:b/>
          <w:sz w:val="22"/>
          <w:szCs w:val="22"/>
        </w:rPr>
        <w:tab/>
      </w:r>
      <w:r w:rsidRPr="004351D8">
        <w:rPr>
          <w:rFonts w:ascii="Times New Roman" w:eastAsia="Times New Roman" w:hAnsi="Times New Roman" w:cs="Times New Roman"/>
          <w:b/>
          <w:sz w:val="22"/>
          <w:szCs w:val="22"/>
        </w:rPr>
        <w:tab/>
      </w:r>
      <w:r w:rsidR="007A17A9" w:rsidRPr="004351D8">
        <w:rPr>
          <w:rFonts w:ascii="Times New Roman" w:eastAsia="Times New Roman" w:hAnsi="Times New Roman" w:cs="Times New Roman"/>
          <w:b/>
          <w:sz w:val="22"/>
          <w:szCs w:val="22"/>
        </w:rPr>
        <w:tab/>
      </w:r>
      <w:r w:rsidR="00381265" w:rsidRPr="00381265">
        <w:rPr>
          <w:rFonts w:ascii="Times New Roman" w:eastAsia="Times New Roman" w:hAnsi="Times New Roman" w:cs="Times New Roman"/>
          <w:b/>
          <w:sz w:val="22"/>
          <w:szCs w:val="22"/>
        </w:rPr>
        <w:t>SILENTIUM! ensemble</w:t>
      </w:r>
      <w:r w:rsidR="00B625A9" w:rsidRPr="00B625A9">
        <w:rPr>
          <w:rFonts w:ascii="Times New Roman" w:eastAsia="Times New Roman" w:hAnsi="Times New Roman" w:cs="Times New Roman"/>
          <w:b/>
          <w:sz w:val="22"/>
          <w:szCs w:val="22"/>
        </w:rPr>
        <w:t>, z.s.</w:t>
      </w:r>
      <w:r>
        <w:rPr>
          <w:rFonts w:ascii="Times New Roman" w:eastAsia="Times New Roman" w:hAnsi="Times New Roman" w:cs="Times New Roman"/>
          <w:sz w:val="22"/>
          <w:szCs w:val="22"/>
        </w:rPr>
        <w:br/>
        <w:t xml:space="preserve">Adresa: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7A17A9">
        <w:rPr>
          <w:rFonts w:ascii="Times New Roman" w:eastAsia="Times New Roman" w:hAnsi="Times New Roman" w:cs="Times New Roman"/>
          <w:sz w:val="22"/>
          <w:szCs w:val="22"/>
        </w:rPr>
        <w:tab/>
      </w:r>
      <w:r w:rsidR="00B625A9" w:rsidRPr="00B625A9">
        <w:rPr>
          <w:rFonts w:ascii="Times New Roman" w:eastAsia="Times New Roman" w:hAnsi="Times New Roman" w:cs="Times New Roman"/>
          <w:sz w:val="22"/>
          <w:szCs w:val="22"/>
        </w:rPr>
        <w:t>Lázy 14,</w:t>
      </w:r>
      <w:r w:rsidR="00B625A9">
        <w:rPr>
          <w:rFonts w:ascii="Times New Roman" w:eastAsia="Times New Roman" w:hAnsi="Times New Roman" w:cs="Times New Roman"/>
          <w:sz w:val="22"/>
          <w:szCs w:val="22"/>
        </w:rPr>
        <w:t xml:space="preserve"> </w:t>
      </w:r>
      <w:r w:rsidR="00B625A9" w:rsidRPr="00B625A9">
        <w:rPr>
          <w:rFonts w:ascii="Times New Roman" w:eastAsia="Times New Roman" w:hAnsi="Times New Roman" w:cs="Times New Roman"/>
          <w:sz w:val="22"/>
          <w:szCs w:val="22"/>
        </w:rPr>
        <w:t>Loučka 756 44</w:t>
      </w:r>
      <w:r>
        <w:rPr>
          <w:rFonts w:ascii="Times New Roman" w:eastAsia="Times New Roman" w:hAnsi="Times New Roman" w:cs="Times New Roman"/>
          <w:sz w:val="22"/>
          <w:szCs w:val="22"/>
        </w:rPr>
        <w:br/>
      </w:r>
      <w:r w:rsidR="004351D8">
        <w:rPr>
          <w:rFonts w:ascii="Times New Roman" w:eastAsia="Times New Roman" w:hAnsi="Times New Roman" w:cs="Times New Roman"/>
          <w:sz w:val="22"/>
          <w:szCs w:val="22"/>
        </w:rPr>
        <w:t>IČ:</w:t>
      </w:r>
      <w:r w:rsidR="004351D8">
        <w:rPr>
          <w:rFonts w:ascii="Times New Roman" w:eastAsia="Times New Roman" w:hAnsi="Times New Roman" w:cs="Times New Roman"/>
          <w:sz w:val="22"/>
          <w:szCs w:val="22"/>
        </w:rPr>
        <w:tab/>
      </w:r>
      <w:r w:rsidR="004351D8">
        <w:rPr>
          <w:rFonts w:ascii="Times New Roman" w:eastAsia="Times New Roman" w:hAnsi="Times New Roman" w:cs="Times New Roman"/>
          <w:sz w:val="22"/>
          <w:szCs w:val="22"/>
        </w:rPr>
        <w:tab/>
      </w:r>
      <w:r w:rsidR="004351D8">
        <w:rPr>
          <w:rFonts w:ascii="Times New Roman" w:eastAsia="Times New Roman" w:hAnsi="Times New Roman" w:cs="Times New Roman"/>
          <w:sz w:val="22"/>
          <w:szCs w:val="22"/>
        </w:rPr>
        <w:tab/>
      </w:r>
      <w:r w:rsidR="004351D8">
        <w:rPr>
          <w:rFonts w:ascii="Times New Roman" w:eastAsia="Times New Roman" w:hAnsi="Times New Roman" w:cs="Times New Roman"/>
          <w:sz w:val="22"/>
          <w:szCs w:val="22"/>
        </w:rPr>
        <w:tab/>
      </w:r>
      <w:r w:rsidR="00B625A9" w:rsidRPr="00B625A9">
        <w:rPr>
          <w:rFonts w:ascii="Times New Roman" w:eastAsia="Times New Roman" w:hAnsi="Times New Roman" w:cs="Times New Roman"/>
          <w:sz w:val="22"/>
          <w:szCs w:val="22"/>
        </w:rPr>
        <w:t>22674209</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sz w:val="22"/>
          <w:szCs w:val="22"/>
          <w:highlight w:val="yellow"/>
        </w:rPr>
        <w:br/>
      </w:r>
      <w:r w:rsidR="004351D8" w:rsidRPr="007A17A9">
        <w:rPr>
          <w:rFonts w:ascii="Times New Roman" w:eastAsia="Times New Roman" w:hAnsi="Times New Roman" w:cs="Times New Roman"/>
          <w:sz w:val="22"/>
          <w:szCs w:val="22"/>
        </w:rPr>
        <w:t>Zastoupen:</w:t>
      </w:r>
      <w:r w:rsidR="00B625A9">
        <w:rPr>
          <w:rFonts w:ascii="Times New Roman" w:eastAsia="Times New Roman" w:hAnsi="Times New Roman" w:cs="Times New Roman"/>
          <w:b/>
          <w:sz w:val="22"/>
          <w:szCs w:val="22"/>
        </w:rPr>
        <w:tab/>
      </w:r>
      <w:r w:rsidR="00B625A9">
        <w:rPr>
          <w:rFonts w:ascii="Times New Roman" w:eastAsia="Times New Roman" w:hAnsi="Times New Roman" w:cs="Times New Roman"/>
          <w:b/>
          <w:sz w:val="22"/>
          <w:szCs w:val="22"/>
        </w:rPr>
        <w:tab/>
      </w:r>
      <w:r w:rsidR="00B625A9">
        <w:rPr>
          <w:rFonts w:ascii="Times New Roman" w:eastAsia="Times New Roman" w:hAnsi="Times New Roman" w:cs="Times New Roman"/>
          <w:b/>
          <w:sz w:val="22"/>
          <w:szCs w:val="22"/>
        </w:rPr>
        <w:tab/>
      </w:r>
      <w:r w:rsidR="00B625A9" w:rsidRPr="00B625A9">
        <w:rPr>
          <w:rFonts w:ascii="Times New Roman" w:eastAsia="Times New Roman" w:hAnsi="Times New Roman" w:cs="Times New Roman"/>
          <w:bCs/>
          <w:sz w:val="22"/>
          <w:szCs w:val="22"/>
        </w:rPr>
        <w:t>MgA. Tereza Válková</w:t>
      </w:r>
    </w:p>
    <w:p w14:paraId="13D8CE37" w14:textId="271F380D" w:rsidR="00E1054E" w:rsidRPr="00FD324E" w:rsidRDefault="002F70A5">
      <w:pPr>
        <w:widowControl w:val="0"/>
        <w:spacing w:line="288" w:lineRule="auto"/>
        <w:rPr>
          <w:rFonts w:ascii="Times New Roman" w:eastAsia="Times New Roman" w:hAnsi="Times New Roman" w:cs="Times New Roman"/>
          <w:bCs/>
          <w:sz w:val="22"/>
          <w:szCs w:val="22"/>
        </w:rPr>
      </w:pPr>
      <w:r w:rsidRPr="004351D8">
        <w:rPr>
          <w:rFonts w:ascii="Times New Roman" w:eastAsia="Times New Roman" w:hAnsi="Times New Roman" w:cs="Times New Roman"/>
          <w:bCs/>
          <w:sz w:val="22"/>
          <w:szCs w:val="22"/>
        </w:rPr>
        <w:t>Kontakt:</w:t>
      </w:r>
      <w:r w:rsidRPr="004351D8">
        <w:rPr>
          <w:rFonts w:ascii="Times New Roman" w:eastAsia="Times New Roman" w:hAnsi="Times New Roman" w:cs="Times New Roman"/>
          <w:bCs/>
          <w:sz w:val="22"/>
          <w:szCs w:val="22"/>
        </w:rPr>
        <w:tab/>
      </w:r>
      <w:r w:rsidRPr="004351D8">
        <w:rPr>
          <w:rFonts w:ascii="Times New Roman" w:eastAsia="Times New Roman" w:hAnsi="Times New Roman" w:cs="Times New Roman"/>
          <w:bCs/>
          <w:sz w:val="22"/>
          <w:szCs w:val="22"/>
        </w:rPr>
        <w:tab/>
      </w:r>
      <w:r w:rsidR="007A17A9" w:rsidRPr="004351D8">
        <w:rPr>
          <w:rFonts w:ascii="Times New Roman" w:eastAsia="Times New Roman" w:hAnsi="Times New Roman" w:cs="Times New Roman"/>
          <w:bCs/>
          <w:sz w:val="22"/>
          <w:szCs w:val="22"/>
        </w:rPr>
        <w:tab/>
      </w:r>
      <w:r w:rsidR="00892773">
        <w:rPr>
          <w:rFonts w:ascii="Times New Roman" w:eastAsia="Times New Roman" w:hAnsi="Times New Roman" w:cs="Times New Roman"/>
          <w:bCs/>
          <w:sz w:val="22"/>
          <w:szCs w:val="22"/>
        </w:rPr>
        <w:t>xxxxxxxxxxxxxxxxxxxx</w:t>
      </w:r>
    </w:p>
    <w:p w14:paraId="153654A9" w14:textId="37257532" w:rsidR="009B2889" w:rsidRDefault="002F70A5">
      <w:pPr>
        <w:widowControl w:val="0"/>
        <w:spacing w:line="288" w:lineRule="auto"/>
        <w:rPr>
          <w:rFonts w:ascii="Times New Roman" w:eastAsia="Times New Roman" w:hAnsi="Times New Roman" w:cs="Times New Roman"/>
          <w:i/>
          <w:sz w:val="22"/>
          <w:szCs w:val="22"/>
        </w:rPr>
      </w:pPr>
      <w:r>
        <w:rPr>
          <w:rFonts w:ascii="Times New Roman" w:eastAsia="Times New Roman" w:hAnsi="Times New Roman" w:cs="Times New Roman"/>
          <w:i/>
          <w:sz w:val="22"/>
          <w:szCs w:val="22"/>
        </w:rPr>
        <w:t>(dále také jen jako “</w:t>
      </w:r>
      <w:r>
        <w:rPr>
          <w:rFonts w:ascii="Times New Roman" w:eastAsia="Times New Roman" w:hAnsi="Times New Roman" w:cs="Times New Roman"/>
          <w:b/>
          <w:i/>
          <w:sz w:val="22"/>
          <w:szCs w:val="22"/>
        </w:rPr>
        <w:t>Účinkující</w:t>
      </w:r>
      <w:r>
        <w:rPr>
          <w:rFonts w:ascii="Times New Roman" w:eastAsia="Times New Roman" w:hAnsi="Times New Roman" w:cs="Times New Roman"/>
          <w:i/>
          <w:sz w:val="22"/>
          <w:szCs w:val="22"/>
        </w:rPr>
        <w:t>”)</w:t>
      </w:r>
    </w:p>
    <w:p w14:paraId="605A961C" w14:textId="77777777" w:rsidR="009B2889" w:rsidRDefault="009B2889">
      <w:pPr>
        <w:widowControl w:val="0"/>
        <w:spacing w:line="288" w:lineRule="auto"/>
        <w:rPr>
          <w:rFonts w:ascii="Times New Roman" w:eastAsia="Times New Roman" w:hAnsi="Times New Roman" w:cs="Times New Roman"/>
          <w:i/>
          <w:sz w:val="22"/>
          <w:szCs w:val="22"/>
        </w:rPr>
      </w:pPr>
    </w:p>
    <w:p w14:paraId="0E3D96CA" w14:textId="1EEBE98F" w:rsidR="009B2889" w:rsidRDefault="007A17A9">
      <w:pPr>
        <w:widowControl w:val="0"/>
        <w:spacing w:line="288"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Platební údaje</w:t>
      </w:r>
      <w:r w:rsidR="002F70A5">
        <w:rPr>
          <w:rFonts w:ascii="Times New Roman" w:eastAsia="Times New Roman" w:hAnsi="Times New Roman" w:cs="Times New Roman"/>
          <w:sz w:val="22"/>
          <w:szCs w:val="22"/>
        </w:rPr>
        <w:br/>
        <w:t xml:space="preserve">Majitel účtu (jméno): </w:t>
      </w:r>
      <w:r w:rsidR="002F70A5">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381265" w:rsidRPr="00381265">
        <w:rPr>
          <w:rFonts w:ascii="Times New Roman" w:eastAsia="Times New Roman" w:hAnsi="Times New Roman" w:cs="Times New Roman"/>
          <w:b/>
          <w:sz w:val="22"/>
          <w:szCs w:val="22"/>
        </w:rPr>
        <w:t>SILENTIUM! ensemble</w:t>
      </w:r>
      <w:r w:rsidR="00381265" w:rsidRPr="00B625A9">
        <w:rPr>
          <w:rFonts w:ascii="Times New Roman" w:eastAsia="Times New Roman" w:hAnsi="Times New Roman" w:cs="Times New Roman"/>
          <w:b/>
          <w:sz w:val="22"/>
          <w:szCs w:val="22"/>
        </w:rPr>
        <w:t>, z.s.</w:t>
      </w:r>
      <w:r w:rsidR="002F70A5">
        <w:rPr>
          <w:rFonts w:ascii="Times New Roman" w:eastAsia="Times New Roman" w:hAnsi="Times New Roman" w:cs="Times New Roman"/>
          <w:b/>
          <w:sz w:val="22"/>
          <w:szCs w:val="22"/>
        </w:rPr>
        <w:br/>
      </w:r>
      <w:r w:rsidR="002F70A5">
        <w:rPr>
          <w:rFonts w:ascii="Times New Roman" w:eastAsia="Times New Roman" w:hAnsi="Times New Roman" w:cs="Times New Roman"/>
          <w:sz w:val="22"/>
          <w:szCs w:val="22"/>
        </w:rPr>
        <w:t xml:space="preserve">Adresa majitele účtu: </w:t>
      </w:r>
      <w:r w:rsidR="002F70A5">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B625A9" w:rsidRPr="00B625A9">
        <w:rPr>
          <w:rFonts w:ascii="Times New Roman" w:eastAsia="Times New Roman" w:hAnsi="Times New Roman" w:cs="Times New Roman"/>
          <w:sz w:val="22"/>
          <w:szCs w:val="22"/>
        </w:rPr>
        <w:t>Lázy 14, Loučka 756 44</w:t>
      </w:r>
      <w:r w:rsidR="002F70A5">
        <w:rPr>
          <w:rFonts w:ascii="Times New Roman" w:eastAsia="Times New Roman" w:hAnsi="Times New Roman" w:cs="Times New Roman"/>
          <w:sz w:val="22"/>
          <w:szCs w:val="22"/>
        </w:rPr>
        <w:br/>
        <w:t xml:space="preserve">Číslo účtu: </w:t>
      </w:r>
      <w:r w:rsidR="002F70A5">
        <w:rPr>
          <w:rFonts w:ascii="Times New Roman" w:eastAsia="Times New Roman" w:hAnsi="Times New Roman" w:cs="Times New Roman"/>
          <w:sz w:val="22"/>
          <w:szCs w:val="22"/>
        </w:rPr>
        <w:tab/>
      </w:r>
      <w:r w:rsidR="002F70A5">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892773">
        <w:rPr>
          <w:rFonts w:ascii="Times New Roman" w:eastAsia="Times New Roman" w:hAnsi="Times New Roman" w:cs="Times New Roman"/>
          <w:bCs/>
          <w:sz w:val="22"/>
          <w:szCs w:val="22"/>
        </w:rPr>
        <w:t>xxxxxxxxxxxxxxxxxx</w:t>
      </w:r>
      <w:r w:rsidR="002F70A5" w:rsidRPr="004351D8">
        <w:rPr>
          <w:rFonts w:ascii="Times New Roman" w:eastAsia="Times New Roman" w:hAnsi="Times New Roman" w:cs="Times New Roman"/>
          <w:bCs/>
          <w:sz w:val="22"/>
          <w:szCs w:val="22"/>
        </w:rPr>
        <w:br/>
        <w:t xml:space="preserve">Název banky: </w:t>
      </w:r>
      <w:r w:rsidR="002F70A5" w:rsidRPr="004351D8">
        <w:rPr>
          <w:rFonts w:ascii="Times New Roman" w:eastAsia="Times New Roman" w:hAnsi="Times New Roman" w:cs="Times New Roman"/>
          <w:bCs/>
          <w:sz w:val="22"/>
          <w:szCs w:val="22"/>
        </w:rPr>
        <w:tab/>
      </w:r>
      <w:r w:rsidR="002F70A5" w:rsidRPr="004351D8">
        <w:rPr>
          <w:rFonts w:ascii="Times New Roman" w:eastAsia="Times New Roman" w:hAnsi="Times New Roman" w:cs="Times New Roman"/>
          <w:bCs/>
          <w:sz w:val="22"/>
          <w:szCs w:val="22"/>
        </w:rPr>
        <w:tab/>
      </w:r>
      <w:r w:rsidRPr="004351D8">
        <w:rPr>
          <w:rFonts w:ascii="Times New Roman" w:eastAsia="Times New Roman" w:hAnsi="Times New Roman" w:cs="Times New Roman"/>
          <w:bCs/>
          <w:sz w:val="22"/>
          <w:szCs w:val="22"/>
        </w:rPr>
        <w:tab/>
      </w:r>
      <w:r w:rsidR="00892773">
        <w:rPr>
          <w:rFonts w:ascii="Times New Roman" w:eastAsia="Times New Roman" w:hAnsi="Times New Roman" w:cs="Times New Roman"/>
          <w:bCs/>
          <w:sz w:val="22"/>
          <w:szCs w:val="22"/>
        </w:rPr>
        <w:t>xxxxxxxxxxxxxxxx</w:t>
      </w:r>
    </w:p>
    <w:p w14:paraId="6BCE80AC" w14:textId="77777777" w:rsidR="009B2889" w:rsidRDefault="009B2889">
      <w:pPr>
        <w:widowControl w:val="0"/>
        <w:spacing w:line="288" w:lineRule="auto"/>
        <w:rPr>
          <w:rFonts w:ascii="Times New Roman" w:eastAsia="Times New Roman" w:hAnsi="Times New Roman" w:cs="Times New Roman"/>
          <w:b/>
          <w:sz w:val="22"/>
          <w:szCs w:val="22"/>
        </w:rPr>
      </w:pPr>
    </w:p>
    <w:p w14:paraId="6C2B36A6" w14:textId="12888053" w:rsidR="004351D8" w:rsidRDefault="002F70A5" w:rsidP="007A17A9">
      <w:pPr>
        <w:widowControl w:val="0"/>
        <w:spacing w:line="288" w:lineRule="auto"/>
        <w:rPr>
          <w:rFonts w:ascii="Times New Roman" w:eastAsia="Times New Roman" w:hAnsi="Times New Roman" w:cs="Times New Roman"/>
          <w:i/>
          <w:sz w:val="22"/>
          <w:szCs w:val="22"/>
        </w:rPr>
      </w:pPr>
      <w:r>
        <w:rPr>
          <w:rFonts w:ascii="Times New Roman" w:eastAsia="Times New Roman" w:hAnsi="Times New Roman" w:cs="Times New Roman"/>
          <w:i/>
          <w:sz w:val="22"/>
          <w:szCs w:val="22"/>
        </w:rPr>
        <w:t>(Pořadatel a Účinkující dále společně také jako „</w:t>
      </w:r>
      <w:r>
        <w:rPr>
          <w:rFonts w:ascii="Times New Roman" w:eastAsia="Times New Roman" w:hAnsi="Times New Roman" w:cs="Times New Roman"/>
          <w:b/>
          <w:i/>
          <w:sz w:val="22"/>
          <w:szCs w:val="22"/>
        </w:rPr>
        <w:t>Smluvní strany</w:t>
      </w:r>
      <w:r w:rsidR="007A17A9">
        <w:rPr>
          <w:rFonts w:ascii="Times New Roman" w:eastAsia="Times New Roman" w:hAnsi="Times New Roman" w:cs="Times New Roman"/>
          <w:i/>
          <w:sz w:val="22"/>
          <w:szCs w:val="22"/>
        </w:rPr>
        <w:t xml:space="preserve">“; </w:t>
      </w:r>
      <w:bookmarkStart w:id="1" w:name="_ohu1cwuoyjp2" w:colFirst="0" w:colLast="0"/>
      <w:bookmarkEnd w:id="1"/>
      <w:r>
        <w:rPr>
          <w:rFonts w:ascii="Times New Roman" w:eastAsia="Times New Roman" w:hAnsi="Times New Roman" w:cs="Times New Roman"/>
          <w:i/>
          <w:sz w:val="22"/>
          <w:szCs w:val="22"/>
        </w:rPr>
        <w:t>tato Smlouva o provedení uměleckého výkonu dále také jako „Smlouva“)</w:t>
      </w:r>
      <w:r w:rsidR="004351D8">
        <w:rPr>
          <w:rFonts w:ascii="Times New Roman" w:eastAsia="Times New Roman" w:hAnsi="Times New Roman" w:cs="Times New Roman"/>
          <w:i/>
          <w:sz w:val="22"/>
          <w:szCs w:val="22"/>
        </w:rPr>
        <w:br w:type="page"/>
      </w:r>
    </w:p>
    <w:p w14:paraId="50DC7B5C" w14:textId="77777777" w:rsidR="009B2889" w:rsidRDefault="002F70A5">
      <w:pPr>
        <w:pStyle w:val="Nadpis2"/>
        <w:widowControl w:val="0"/>
        <w:spacing w:before="0" w:after="0" w:line="288" w:lineRule="auto"/>
        <w:rPr>
          <w:rFonts w:ascii="Times New Roman" w:eastAsia="Times New Roman" w:hAnsi="Times New Roman" w:cs="Times New Roman"/>
          <w:sz w:val="22"/>
          <w:szCs w:val="22"/>
        </w:rPr>
      </w:pPr>
      <w:bookmarkStart w:id="2" w:name="_aw9ztec4s91z" w:colFirst="0" w:colLast="0"/>
      <w:bookmarkStart w:id="3" w:name="_4fifnyjd5lp2" w:colFirst="0" w:colLast="0"/>
      <w:bookmarkStart w:id="4" w:name="_oenx4h9bt5rs" w:colFirst="0" w:colLast="0"/>
      <w:bookmarkEnd w:id="2"/>
      <w:bookmarkEnd w:id="3"/>
      <w:bookmarkEnd w:id="4"/>
      <w:r>
        <w:rPr>
          <w:rFonts w:ascii="Times New Roman" w:eastAsia="Times New Roman" w:hAnsi="Times New Roman" w:cs="Times New Roman"/>
          <w:sz w:val="22"/>
          <w:szCs w:val="22"/>
        </w:rPr>
        <w:lastRenderedPageBreak/>
        <w:t>Předmět smlouvy</w:t>
      </w:r>
    </w:p>
    <w:p w14:paraId="35755868" w14:textId="77777777" w:rsidR="009B2889" w:rsidRDefault="009B2889">
      <w:pPr>
        <w:spacing w:line="288" w:lineRule="auto"/>
        <w:jc w:val="both"/>
        <w:rPr>
          <w:rFonts w:ascii="Times New Roman" w:eastAsia="Times New Roman" w:hAnsi="Times New Roman" w:cs="Times New Roman"/>
          <w:sz w:val="22"/>
          <w:szCs w:val="22"/>
        </w:rPr>
      </w:pPr>
    </w:p>
    <w:p w14:paraId="71CD5B67" w14:textId="6A1E0B05" w:rsidR="009B2889" w:rsidRDefault="002F70A5">
      <w:pPr>
        <w:widowControl w:val="0"/>
        <w:numPr>
          <w:ilvl w:val="0"/>
          <w:numId w:val="3"/>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Pořadatel se zavazuje angažovat Účinkujícího na následující Produkci: </w:t>
      </w:r>
      <w:r w:rsidR="00B625A9">
        <w:rPr>
          <w:rFonts w:ascii="Times New Roman" w:eastAsia="Times New Roman" w:hAnsi="Times New Roman" w:cs="Times New Roman"/>
          <w:sz w:val="22"/>
          <w:szCs w:val="22"/>
        </w:rPr>
        <w:t>Koncert v rámci Mezinárodního Hudebního Festivalu Leoše Janáčka 2026 (FS22)</w:t>
      </w:r>
    </w:p>
    <w:p w14:paraId="6E388583" w14:textId="16289C85" w:rsidR="009B2889" w:rsidRDefault="002F70A5">
      <w:pPr>
        <w:widowControl w:val="0"/>
        <w:numPr>
          <w:ilvl w:val="1"/>
          <w:numId w:val="3"/>
        </w:numPr>
        <w:spacing w:line="288" w:lineRule="auto"/>
        <w:ind w:left="1133" w:hanging="5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Datum a čas: </w:t>
      </w:r>
      <w:r>
        <w:rPr>
          <w:rFonts w:ascii="Times New Roman" w:eastAsia="Times New Roman" w:hAnsi="Times New Roman" w:cs="Times New Roman"/>
          <w:sz w:val="22"/>
          <w:szCs w:val="22"/>
        </w:rPr>
        <w:tab/>
      </w:r>
      <w:r w:rsidR="00B625A9">
        <w:rPr>
          <w:rFonts w:ascii="Times New Roman" w:eastAsia="Times New Roman" w:hAnsi="Times New Roman" w:cs="Times New Roman"/>
          <w:sz w:val="22"/>
          <w:szCs w:val="22"/>
        </w:rPr>
        <w:t>9</w:t>
      </w:r>
      <w:r w:rsidR="004D2E0D" w:rsidRPr="004D2E0D">
        <w:rPr>
          <w:rFonts w:ascii="Times New Roman" w:eastAsia="Times New Roman" w:hAnsi="Times New Roman" w:cs="Times New Roman"/>
          <w:sz w:val="22"/>
          <w:szCs w:val="22"/>
        </w:rPr>
        <w:t>.</w:t>
      </w:r>
      <w:r w:rsidR="004D2E0D">
        <w:rPr>
          <w:rFonts w:ascii="Times New Roman" w:eastAsia="Times New Roman" w:hAnsi="Times New Roman" w:cs="Times New Roman"/>
          <w:sz w:val="22"/>
          <w:szCs w:val="22"/>
        </w:rPr>
        <w:t xml:space="preserve"> </w:t>
      </w:r>
      <w:r w:rsidR="00B625A9">
        <w:rPr>
          <w:rFonts w:ascii="Times New Roman" w:eastAsia="Times New Roman" w:hAnsi="Times New Roman" w:cs="Times New Roman"/>
          <w:sz w:val="22"/>
          <w:szCs w:val="22"/>
        </w:rPr>
        <w:t>6</w:t>
      </w:r>
      <w:r w:rsidR="004D2E0D" w:rsidRPr="004D2E0D">
        <w:rPr>
          <w:rFonts w:ascii="Times New Roman" w:eastAsia="Times New Roman" w:hAnsi="Times New Roman" w:cs="Times New Roman"/>
          <w:sz w:val="22"/>
          <w:szCs w:val="22"/>
        </w:rPr>
        <w:t>.</w:t>
      </w:r>
      <w:r w:rsidR="004D2E0D">
        <w:rPr>
          <w:rFonts w:ascii="Times New Roman" w:eastAsia="Times New Roman" w:hAnsi="Times New Roman" w:cs="Times New Roman"/>
          <w:sz w:val="22"/>
          <w:szCs w:val="22"/>
        </w:rPr>
        <w:t xml:space="preserve"> 202</w:t>
      </w:r>
      <w:r w:rsidR="00476832">
        <w:rPr>
          <w:rFonts w:ascii="Times New Roman" w:eastAsia="Times New Roman" w:hAnsi="Times New Roman" w:cs="Times New Roman"/>
          <w:sz w:val="22"/>
          <w:szCs w:val="22"/>
        </w:rPr>
        <w:t>6</w:t>
      </w:r>
      <w:r w:rsidR="004D2E0D" w:rsidRPr="004D2E0D">
        <w:rPr>
          <w:rFonts w:ascii="Times New Roman" w:eastAsia="Times New Roman" w:hAnsi="Times New Roman" w:cs="Times New Roman"/>
          <w:sz w:val="22"/>
          <w:szCs w:val="22"/>
        </w:rPr>
        <w:t xml:space="preserve"> </w:t>
      </w:r>
      <w:r w:rsidR="004D2E0D">
        <w:rPr>
          <w:rFonts w:ascii="Times New Roman" w:eastAsia="Times New Roman" w:hAnsi="Times New Roman" w:cs="Times New Roman"/>
          <w:sz w:val="22"/>
          <w:szCs w:val="22"/>
        </w:rPr>
        <w:t>v</w:t>
      </w:r>
      <w:r w:rsidR="004D2E0D" w:rsidRPr="004D2E0D">
        <w:rPr>
          <w:rFonts w:ascii="Times New Roman" w:eastAsia="Times New Roman" w:hAnsi="Times New Roman" w:cs="Times New Roman"/>
          <w:sz w:val="22"/>
          <w:szCs w:val="22"/>
        </w:rPr>
        <w:t xml:space="preserve"> 1</w:t>
      </w:r>
      <w:r w:rsidR="00B625A9">
        <w:rPr>
          <w:rFonts w:ascii="Times New Roman" w:eastAsia="Times New Roman" w:hAnsi="Times New Roman" w:cs="Times New Roman"/>
          <w:sz w:val="22"/>
          <w:szCs w:val="22"/>
        </w:rPr>
        <w:t>9</w:t>
      </w:r>
      <w:r w:rsidR="004D2E0D" w:rsidRPr="004D2E0D">
        <w:rPr>
          <w:rFonts w:ascii="Times New Roman" w:eastAsia="Times New Roman" w:hAnsi="Times New Roman" w:cs="Times New Roman"/>
          <w:sz w:val="22"/>
          <w:szCs w:val="22"/>
        </w:rPr>
        <w:t xml:space="preserve">:00 </w:t>
      </w:r>
      <w:r w:rsidR="004D2E0D">
        <w:rPr>
          <w:rFonts w:ascii="Times New Roman" w:eastAsia="Times New Roman" w:hAnsi="Times New Roman" w:cs="Times New Roman"/>
          <w:sz w:val="22"/>
          <w:szCs w:val="22"/>
        </w:rPr>
        <w:t>hodin</w:t>
      </w:r>
    </w:p>
    <w:p w14:paraId="250E0630" w14:textId="74177DD5" w:rsidR="008B4A5F" w:rsidRDefault="002F70A5" w:rsidP="008B4A5F">
      <w:pPr>
        <w:pStyle w:val="Odstavecseseznamem"/>
        <w:numPr>
          <w:ilvl w:val="1"/>
          <w:numId w:val="3"/>
        </w:numPr>
        <w:spacing w:line="276" w:lineRule="auto"/>
        <w:ind w:left="1134" w:hanging="567"/>
        <w:rPr>
          <w:rFonts w:ascii="Times New Roman" w:eastAsia="Times New Roman" w:hAnsi="Times New Roman" w:cs="Times New Roman"/>
          <w:sz w:val="22"/>
          <w:szCs w:val="22"/>
        </w:rPr>
      </w:pPr>
      <w:r w:rsidRPr="008643A6">
        <w:rPr>
          <w:rFonts w:ascii="Times New Roman" w:eastAsia="Times New Roman" w:hAnsi="Times New Roman" w:cs="Times New Roman"/>
          <w:sz w:val="22"/>
          <w:szCs w:val="22"/>
        </w:rPr>
        <w:t>Místo konání:</w:t>
      </w:r>
      <w:r w:rsidRPr="008643A6">
        <w:rPr>
          <w:rFonts w:ascii="Times New Roman" w:eastAsia="Times New Roman" w:hAnsi="Times New Roman" w:cs="Times New Roman"/>
          <w:sz w:val="22"/>
          <w:szCs w:val="22"/>
        </w:rPr>
        <w:tab/>
      </w:r>
      <w:r w:rsidR="00B625A9" w:rsidRPr="00B625A9">
        <w:rPr>
          <w:rFonts w:ascii="Times New Roman" w:eastAsia="Times New Roman" w:hAnsi="Times New Roman" w:cs="Times New Roman"/>
          <w:sz w:val="22"/>
          <w:szCs w:val="22"/>
        </w:rPr>
        <w:t xml:space="preserve">Bývalý kostel </w:t>
      </w:r>
      <w:r w:rsidR="00C82EFB">
        <w:rPr>
          <w:rFonts w:ascii="Times New Roman" w:eastAsia="Times New Roman" w:hAnsi="Times New Roman" w:cs="Times New Roman"/>
          <w:sz w:val="22"/>
          <w:szCs w:val="22"/>
        </w:rPr>
        <w:t>s</w:t>
      </w:r>
      <w:r w:rsidR="00B625A9" w:rsidRPr="00B625A9">
        <w:rPr>
          <w:rFonts w:ascii="Times New Roman" w:eastAsia="Times New Roman" w:hAnsi="Times New Roman" w:cs="Times New Roman"/>
          <w:sz w:val="22"/>
          <w:szCs w:val="22"/>
        </w:rPr>
        <w:t>v. Václava, Opava</w:t>
      </w:r>
      <w:r w:rsidR="00B625A9">
        <w:rPr>
          <w:rFonts w:ascii="Times New Roman" w:eastAsia="Times New Roman" w:hAnsi="Times New Roman" w:cs="Times New Roman"/>
          <w:sz w:val="22"/>
          <w:szCs w:val="22"/>
        </w:rPr>
        <w:t xml:space="preserve">, </w:t>
      </w:r>
      <w:r w:rsidR="00B625A9" w:rsidRPr="00B625A9">
        <w:rPr>
          <w:rFonts w:ascii="Times New Roman" w:eastAsia="Times New Roman" w:hAnsi="Times New Roman" w:cs="Times New Roman"/>
          <w:sz w:val="22"/>
          <w:szCs w:val="22"/>
        </w:rPr>
        <w:t>Pekařská, 746 01 Opava 1</w:t>
      </w:r>
    </w:p>
    <w:p w14:paraId="56EC0E51" w14:textId="77777777" w:rsidR="006455D1" w:rsidRDefault="002F70A5" w:rsidP="008B4A5F">
      <w:pPr>
        <w:pStyle w:val="Odstavecseseznamem"/>
        <w:numPr>
          <w:ilvl w:val="1"/>
          <w:numId w:val="3"/>
        </w:numPr>
        <w:spacing w:line="276" w:lineRule="auto"/>
        <w:ind w:left="1134" w:hanging="567"/>
        <w:rPr>
          <w:rFonts w:ascii="Times New Roman" w:eastAsia="Times New Roman" w:hAnsi="Times New Roman" w:cs="Times New Roman"/>
          <w:sz w:val="22"/>
          <w:szCs w:val="22"/>
        </w:rPr>
      </w:pPr>
      <w:r w:rsidRPr="008B4A5F">
        <w:rPr>
          <w:rFonts w:ascii="Times New Roman" w:eastAsia="Times New Roman" w:hAnsi="Times New Roman" w:cs="Times New Roman"/>
          <w:sz w:val="22"/>
          <w:szCs w:val="22"/>
        </w:rPr>
        <w:t xml:space="preserve">Program: </w:t>
      </w:r>
      <w:r w:rsidRPr="008B4A5F">
        <w:rPr>
          <w:rFonts w:ascii="Times New Roman" w:eastAsia="Times New Roman" w:hAnsi="Times New Roman" w:cs="Times New Roman"/>
          <w:sz w:val="22"/>
          <w:szCs w:val="22"/>
        </w:rPr>
        <w:tab/>
      </w:r>
      <w:r w:rsidRPr="008B4A5F">
        <w:rPr>
          <w:rFonts w:ascii="Times New Roman" w:eastAsia="Times New Roman" w:hAnsi="Times New Roman" w:cs="Times New Roman"/>
          <w:sz w:val="22"/>
          <w:szCs w:val="22"/>
        </w:rPr>
        <w:tab/>
      </w:r>
      <w:r w:rsidR="006455D1" w:rsidRPr="006455D1">
        <w:rPr>
          <w:rFonts w:ascii="Times New Roman" w:eastAsia="Times New Roman" w:hAnsi="Times New Roman" w:cs="Times New Roman"/>
          <w:sz w:val="22"/>
          <w:szCs w:val="22"/>
        </w:rPr>
        <w:t>G. F. Sances: Salmi brevi a 8 voci in doi chori</w:t>
      </w:r>
    </w:p>
    <w:p w14:paraId="7956312C" w14:textId="3F345D4C" w:rsidR="008B4A5F" w:rsidRDefault="008B4A5F" w:rsidP="006455D1">
      <w:pPr>
        <w:spacing w:line="276" w:lineRule="auto"/>
        <w:ind w:left="2421" w:firstLine="459"/>
        <w:rPr>
          <w:rFonts w:ascii="Times New Roman" w:eastAsia="Times New Roman" w:hAnsi="Times New Roman" w:cs="Times New Roman"/>
          <w:sz w:val="22"/>
          <w:szCs w:val="22"/>
        </w:rPr>
      </w:pPr>
      <w:r w:rsidRPr="006455D1">
        <w:rPr>
          <w:rFonts w:ascii="Times New Roman" w:eastAsia="Times New Roman" w:hAnsi="Times New Roman" w:cs="Times New Roman"/>
          <w:sz w:val="22"/>
          <w:szCs w:val="22"/>
        </w:rPr>
        <w:t>P. J. Vejvanovský: Missa Orientalis</w:t>
      </w:r>
    </w:p>
    <w:p w14:paraId="45C36406" w14:textId="564D95F1" w:rsidR="006455D1" w:rsidRPr="006455D1" w:rsidRDefault="006455D1" w:rsidP="006455D1">
      <w:pPr>
        <w:spacing w:line="276" w:lineRule="auto"/>
        <w:ind w:left="2421" w:firstLine="459"/>
        <w:rPr>
          <w:rFonts w:ascii="Times New Roman" w:eastAsia="Times New Roman" w:hAnsi="Times New Roman" w:cs="Times New Roman"/>
          <w:i/>
          <w:iCs/>
          <w:sz w:val="22"/>
          <w:szCs w:val="22"/>
        </w:rPr>
      </w:pPr>
      <w:r w:rsidRPr="006455D1">
        <w:rPr>
          <w:rFonts w:ascii="Times New Roman" w:eastAsia="Times New Roman" w:hAnsi="Times New Roman" w:cs="Times New Roman"/>
          <w:i/>
          <w:iCs/>
          <w:sz w:val="22"/>
          <w:szCs w:val="22"/>
        </w:rPr>
        <w:t>---pauza---</w:t>
      </w:r>
    </w:p>
    <w:p w14:paraId="7532A93B" w14:textId="7457CFF7" w:rsidR="006455D1" w:rsidRDefault="005E7AD5" w:rsidP="008B4A5F">
      <w:pPr>
        <w:pStyle w:val="Odstavecseseznamem"/>
        <w:spacing w:line="276" w:lineRule="auto"/>
        <w:ind w:left="2574" w:firstLine="306"/>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 I. F. </w:t>
      </w:r>
      <w:r w:rsidR="006455D1" w:rsidRPr="006455D1">
        <w:rPr>
          <w:rFonts w:ascii="Times New Roman" w:eastAsia="Times New Roman" w:hAnsi="Times New Roman" w:cs="Times New Roman"/>
          <w:sz w:val="22"/>
          <w:szCs w:val="22"/>
        </w:rPr>
        <w:t>Biber</w:t>
      </w:r>
      <w:r w:rsidR="006455D1">
        <w:rPr>
          <w:rFonts w:ascii="Times New Roman" w:eastAsia="Times New Roman" w:hAnsi="Times New Roman" w:cs="Times New Roman"/>
          <w:sz w:val="22"/>
          <w:szCs w:val="22"/>
        </w:rPr>
        <w:t xml:space="preserve">: </w:t>
      </w:r>
      <w:r w:rsidR="006455D1" w:rsidRPr="006455D1">
        <w:rPr>
          <w:rFonts w:ascii="Times New Roman" w:eastAsia="Times New Roman" w:hAnsi="Times New Roman" w:cs="Times New Roman"/>
          <w:sz w:val="22"/>
          <w:szCs w:val="22"/>
        </w:rPr>
        <w:t>Fidicinium Sacro-Profanum: Sonata IX in G Major</w:t>
      </w:r>
    </w:p>
    <w:p w14:paraId="1BD9912A" w14:textId="7A4AABE6" w:rsidR="006455D1" w:rsidRDefault="006455D1" w:rsidP="008B4A5F">
      <w:pPr>
        <w:pStyle w:val="Odstavecseseznamem"/>
        <w:spacing w:line="276" w:lineRule="auto"/>
        <w:ind w:left="2574" w:firstLine="306"/>
        <w:rPr>
          <w:rFonts w:ascii="Times New Roman" w:eastAsia="Times New Roman" w:hAnsi="Times New Roman" w:cs="Times New Roman"/>
          <w:sz w:val="22"/>
          <w:szCs w:val="22"/>
        </w:rPr>
      </w:pPr>
      <w:r w:rsidRPr="006455D1">
        <w:rPr>
          <w:rFonts w:ascii="Times New Roman" w:eastAsia="Times New Roman" w:hAnsi="Times New Roman" w:cs="Times New Roman"/>
          <w:sz w:val="22"/>
          <w:szCs w:val="22"/>
        </w:rPr>
        <w:t>P. Rittler: Offertorium de Confessore</w:t>
      </w:r>
    </w:p>
    <w:p w14:paraId="40BAC49B" w14:textId="310088DC" w:rsidR="006455D1" w:rsidRDefault="006455D1" w:rsidP="008B4A5F">
      <w:pPr>
        <w:pStyle w:val="Odstavecseseznamem"/>
        <w:spacing w:line="276" w:lineRule="auto"/>
        <w:ind w:left="2574" w:firstLine="306"/>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 Rittler: </w:t>
      </w:r>
      <w:r w:rsidRPr="006455D1">
        <w:rPr>
          <w:rFonts w:ascii="Times New Roman" w:eastAsia="Times New Roman" w:hAnsi="Times New Roman" w:cs="Times New Roman"/>
          <w:sz w:val="22"/>
          <w:szCs w:val="22"/>
        </w:rPr>
        <w:t>Salve Regina</w:t>
      </w:r>
    </w:p>
    <w:p w14:paraId="09A9D1D3" w14:textId="797E1683" w:rsidR="008B4A5F" w:rsidRDefault="008B4A5F" w:rsidP="008B4A5F">
      <w:pPr>
        <w:pStyle w:val="Odstavecseseznamem"/>
        <w:spacing w:line="276" w:lineRule="auto"/>
        <w:ind w:left="2574" w:firstLine="306"/>
        <w:rPr>
          <w:rFonts w:ascii="Times New Roman" w:eastAsia="Times New Roman" w:hAnsi="Times New Roman" w:cs="Times New Roman"/>
          <w:sz w:val="22"/>
          <w:szCs w:val="22"/>
        </w:rPr>
      </w:pPr>
      <w:r w:rsidRPr="008B4A5F">
        <w:rPr>
          <w:rFonts w:ascii="Times New Roman" w:eastAsia="Times New Roman" w:hAnsi="Times New Roman" w:cs="Times New Roman"/>
          <w:sz w:val="22"/>
          <w:szCs w:val="22"/>
        </w:rPr>
        <w:t>P. J. Vejvanovský: Vesperae de Confessore</w:t>
      </w:r>
    </w:p>
    <w:p w14:paraId="05E9F3B3" w14:textId="29F4E75D" w:rsidR="008B4A5F" w:rsidRDefault="002F70A5" w:rsidP="004351D8">
      <w:pPr>
        <w:widowControl w:val="0"/>
        <w:numPr>
          <w:ilvl w:val="1"/>
          <w:numId w:val="3"/>
        </w:numPr>
        <w:spacing w:line="288" w:lineRule="auto"/>
        <w:ind w:left="1133" w:hanging="57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Účinkující: </w:t>
      </w:r>
      <w:r>
        <w:rPr>
          <w:rFonts w:ascii="Times New Roman" w:eastAsia="Times New Roman" w:hAnsi="Times New Roman" w:cs="Times New Roman"/>
          <w:sz w:val="22"/>
          <w:szCs w:val="22"/>
        </w:rPr>
        <w:tab/>
      </w:r>
      <w:r w:rsidR="002664F6">
        <w:rPr>
          <w:rFonts w:ascii="Times New Roman" w:eastAsia="Times New Roman" w:hAnsi="Times New Roman" w:cs="Times New Roman"/>
          <w:sz w:val="22"/>
          <w:szCs w:val="22"/>
        </w:rPr>
        <w:t>Silentium Ensemble</w:t>
      </w:r>
      <w:r w:rsidRPr="004351D8">
        <w:rPr>
          <w:rFonts w:ascii="Times New Roman" w:eastAsia="Times New Roman" w:hAnsi="Times New Roman" w:cs="Times New Roman"/>
          <w:sz w:val="22"/>
          <w:szCs w:val="22"/>
        </w:rPr>
        <w:t xml:space="preserve"> </w:t>
      </w:r>
      <w:r w:rsidR="004351D8" w:rsidRPr="004351D8">
        <w:rPr>
          <w:rFonts w:ascii="Times New Roman" w:eastAsia="Times New Roman" w:hAnsi="Times New Roman" w:cs="Times New Roman"/>
          <w:sz w:val="22"/>
          <w:szCs w:val="22"/>
        </w:rPr>
        <w:t>(Účinkující)</w:t>
      </w:r>
    </w:p>
    <w:p w14:paraId="6265252B" w14:textId="61C007AB" w:rsidR="009B2889" w:rsidRPr="00C82EFB" w:rsidRDefault="008B4A5F" w:rsidP="008B4A5F">
      <w:pPr>
        <w:widowControl w:val="0"/>
        <w:spacing w:line="288" w:lineRule="auto"/>
        <w:ind w:left="2160" w:firstLine="720"/>
        <w:rPr>
          <w:rFonts w:ascii="Times New Roman" w:eastAsia="Times New Roman" w:hAnsi="Times New Roman" w:cs="Times New Roman"/>
          <w:sz w:val="22"/>
          <w:szCs w:val="22"/>
        </w:rPr>
      </w:pPr>
      <w:r w:rsidRPr="008B4A5F">
        <w:rPr>
          <w:rFonts w:ascii="Times New Roman" w:eastAsia="Times New Roman" w:hAnsi="Times New Roman" w:cs="Times New Roman"/>
          <w:sz w:val="22"/>
          <w:szCs w:val="22"/>
        </w:rPr>
        <w:t>Tereza Válková – uměleck</w:t>
      </w:r>
      <w:r w:rsidR="00184437">
        <w:rPr>
          <w:rFonts w:ascii="Times New Roman" w:eastAsia="Times New Roman" w:hAnsi="Times New Roman" w:cs="Times New Roman"/>
          <w:sz w:val="22"/>
          <w:szCs w:val="22"/>
        </w:rPr>
        <w:t>á</w:t>
      </w:r>
      <w:r w:rsidRPr="008B4A5F">
        <w:rPr>
          <w:rFonts w:ascii="Times New Roman" w:eastAsia="Times New Roman" w:hAnsi="Times New Roman" w:cs="Times New Roman"/>
          <w:sz w:val="22"/>
          <w:szCs w:val="22"/>
        </w:rPr>
        <w:t xml:space="preserve"> vedoucí</w:t>
      </w:r>
      <w:r>
        <w:rPr>
          <w:rFonts w:ascii="Times New Roman" w:eastAsia="Times New Roman" w:hAnsi="Times New Roman" w:cs="Times New Roman"/>
          <w:sz w:val="22"/>
          <w:szCs w:val="22"/>
        </w:rPr>
        <w:t xml:space="preserve"> </w:t>
      </w:r>
      <w:r w:rsidRPr="008B4A5F">
        <w:rPr>
          <w:rFonts w:ascii="Times New Roman" w:eastAsia="Times New Roman" w:hAnsi="Times New Roman" w:cs="Times New Roman"/>
          <w:sz w:val="22"/>
          <w:szCs w:val="22"/>
        </w:rPr>
        <w:t>(</w:t>
      </w:r>
      <w:r w:rsidRPr="00C82EFB">
        <w:rPr>
          <w:rFonts w:ascii="Times New Roman" w:eastAsia="Times New Roman" w:hAnsi="Times New Roman" w:cs="Times New Roman"/>
          <w:sz w:val="22"/>
          <w:szCs w:val="22"/>
        </w:rPr>
        <w:t>zajištěn</w:t>
      </w:r>
      <w:r w:rsidR="00184437">
        <w:rPr>
          <w:rFonts w:ascii="Times New Roman" w:eastAsia="Times New Roman" w:hAnsi="Times New Roman" w:cs="Times New Roman"/>
          <w:sz w:val="22"/>
          <w:szCs w:val="22"/>
        </w:rPr>
        <w:t>a</w:t>
      </w:r>
      <w:r w:rsidRPr="00C82EFB">
        <w:rPr>
          <w:rFonts w:ascii="Times New Roman" w:eastAsia="Times New Roman" w:hAnsi="Times New Roman" w:cs="Times New Roman"/>
          <w:sz w:val="22"/>
          <w:szCs w:val="22"/>
        </w:rPr>
        <w:t xml:space="preserve"> Účinkujícím</w:t>
      </w:r>
      <w:r w:rsidRPr="008B4A5F">
        <w:rPr>
          <w:rFonts w:ascii="Times New Roman" w:eastAsia="Times New Roman" w:hAnsi="Times New Roman" w:cs="Times New Roman"/>
          <w:sz w:val="22"/>
          <w:szCs w:val="22"/>
        </w:rPr>
        <w:t>)</w:t>
      </w:r>
      <w:r w:rsidR="002F70A5">
        <w:rPr>
          <w:rFonts w:ascii="Times New Roman" w:eastAsia="Times New Roman" w:hAnsi="Times New Roman" w:cs="Times New Roman"/>
          <w:sz w:val="22"/>
          <w:szCs w:val="22"/>
        </w:rPr>
        <w:br/>
      </w:r>
      <w:r w:rsidR="002F70A5">
        <w:rPr>
          <w:rFonts w:ascii="Times New Roman" w:eastAsia="Times New Roman" w:hAnsi="Times New Roman" w:cs="Times New Roman"/>
          <w:sz w:val="22"/>
          <w:szCs w:val="22"/>
        </w:rPr>
        <w:tab/>
      </w:r>
      <w:r w:rsidRPr="008B4A5F">
        <w:rPr>
          <w:rFonts w:ascii="Times New Roman" w:eastAsia="Times New Roman" w:hAnsi="Times New Roman" w:cs="Times New Roman"/>
          <w:sz w:val="22"/>
          <w:szCs w:val="22"/>
        </w:rPr>
        <w:t xml:space="preserve">Tomáš Netopil – dirigent </w:t>
      </w:r>
      <w:r w:rsidR="002F70A5" w:rsidRPr="004351D8">
        <w:rPr>
          <w:rFonts w:ascii="Times New Roman" w:eastAsia="Times New Roman" w:hAnsi="Times New Roman" w:cs="Times New Roman"/>
          <w:sz w:val="22"/>
          <w:szCs w:val="22"/>
        </w:rPr>
        <w:t>(</w:t>
      </w:r>
      <w:r w:rsidR="002F70A5" w:rsidRPr="00C82EFB">
        <w:rPr>
          <w:rFonts w:ascii="Times New Roman" w:eastAsia="Times New Roman" w:hAnsi="Times New Roman" w:cs="Times New Roman"/>
          <w:sz w:val="22"/>
          <w:szCs w:val="22"/>
        </w:rPr>
        <w:t xml:space="preserve">zajištěn </w:t>
      </w:r>
      <w:r w:rsidRPr="00C82EFB">
        <w:rPr>
          <w:rFonts w:ascii="Times New Roman" w:eastAsia="Times New Roman" w:hAnsi="Times New Roman" w:cs="Times New Roman"/>
          <w:sz w:val="22"/>
          <w:szCs w:val="22"/>
        </w:rPr>
        <w:t>Pořadatelem</w:t>
      </w:r>
      <w:r w:rsidR="002F70A5" w:rsidRPr="00C82EFB">
        <w:rPr>
          <w:rFonts w:ascii="Times New Roman" w:eastAsia="Times New Roman" w:hAnsi="Times New Roman" w:cs="Times New Roman"/>
          <w:sz w:val="22"/>
          <w:szCs w:val="22"/>
        </w:rPr>
        <w:t>)</w:t>
      </w:r>
    </w:p>
    <w:p w14:paraId="79C557FA" w14:textId="647CEDA7" w:rsidR="004351D8" w:rsidRPr="00485884" w:rsidRDefault="002F70A5" w:rsidP="00485884">
      <w:pPr>
        <w:widowControl w:val="0"/>
        <w:numPr>
          <w:ilvl w:val="1"/>
          <w:numId w:val="3"/>
        </w:numPr>
        <w:spacing w:line="288" w:lineRule="auto"/>
        <w:ind w:left="1133" w:hanging="570"/>
        <w:jc w:val="both"/>
        <w:rPr>
          <w:rFonts w:ascii="Times New Roman" w:eastAsia="Times New Roman" w:hAnsi="Times New Roman" w:cs="Times New Roman"/>
          <w:sz w:val="22"/>
          <w:szCs w:val="22"/>
        </w:rPr>
      </w:pPr>
      <w:r w:rsidRPr="004351D8">
        <w:rPr>
          <w:rFonts w:ascii="Times New Roman" w:eastAsia="Times New Roman" w:hAnsi="Times New Roman" w:cs="Times New Roman"/>
          <w:sz w:val="22"/>
          <w:szCs w:val="22"/>
        </w:rPr>
        <w:t>Harmonogram:</w:t>
      </w:r>
      <w:r w:rsidR="008B4A5F">
        <w:rPr>
          <w:rFonts w:ascii="Times New Roman" w:eastAsia="Times New Roman" w:hAnsi="Times New Roman" w:cs="Times New Roman"/>
          <w:sz w:val="22"/>
          <w:szCs w:val="22"/>
        </w:rPr>
        <w:tab/>
      </w:r>
      <w:r w:rsidR="00485884">
        <w:rPr>
          <w:rFonts w:ascii="Times New Roman" w:eastAsia="Times New Roman" w:hAnsi="Times New Roman" w:cs="Times New Roman"/>
          <w:sz w:val="22"/>
          <w:szCs w:val="22"/>
        </w:rPr>
        <w:t>úterý</w:t>
      </w:r>
      <w:r w:rsidR="00C82EFB">
        <w:rPr>
          <w:rFonts w:ascii="Times New Roman" w:eastAsia="Times New Roman" w:hAnsi="Times New Roman" w:cs="Times New Roman"/>
          <w:sz w:val="22"/>
          <w:szCs w:val="22"/>
        </w:rPr>
        <w:t xml:space="preserve"> </w:t>
      </w:r>
      <w:r w:rsidR="00485884">
        <w:rPr>
          <w:rFonts w:ascii="Times New Roman" w:eastAsia="Times New Roman" w:hAnsi="Times New Roman" w:cs="Times New Roman"/>
          <w:sz w:val="22"/>
          <w:szCs w:val="22"/>
        </w:rPr>
        <w:t>9</w:t>
      </w:r>
      <w:r w:rsidR="00476832">
        <w:rPr>
          <w:rFonts w:ascii="Times New Roman" w:eastAsia="Times New Roman" w:hAnsi="Times New Roman" w:cs="Times New Roman"/>
          <w:sz w:val="22"/>
          <w:szCs w:val="22"/>
        </w:rPr>
        <w:t xml:space="preserve">. </w:t>
      </w:r>
      <w:r w:rsidR="00485884">
        <w:rPr>
          <w:rFonts w:ascii="Times New Roman" w:eastAsia="Times New Roman" w:hAnsi="Times New Roman" w:cs="Times New Roman"/>
          <w:sz w:val="22"/>
          <w:szCs w:val="22"/>
        </w:rPr>
        <w:t>6</w:t>
      </w:r>
      <w:r w:rsidR="00476832">
        <w:rPr>
          <w:rFonts w:ascii="Times New Roman" w:eastAsia="Times New Roman" w:hAnsi="Times New Roman" w:cs="Times New Roman"/>
          <w:sz w:val="22"/>
          <w:szCs w:val="22"/>
        </w:rPr>
        <w:t>. 2026</w:t>
      </w:r>
      <w:r w:rsidR="00C82EFB">
        <w:rPr>
          <w:rFonts w:ascii="Times New Roman" w:eastAsia="Times New Roman" w:hAnsi="Times New Roman" w:cs="Times New Roman"/>
          <w:sz w:val="22"/>
          <w:szCs w:val="22"/>
        </w:rPr>
        <w:tab/>
      </w:r>
      <w:r w:rsidR="00C82EFB">
        <w:rPr>
          <w:rFonts w:ascii="Times New Roman" w:eastAsia="Times New Roman" w:hAnsi="Times New Roman" w:cs="Times New Roman"/>
          <w:sz w:val="22"/>
          <w:szCs w:val="22"/>
        </w:rPr>
        <w:tab/>
        <w:t>TBC</w:t>
      </w:r>
      <w:r w:rsidR="00C82EFB">
        <w:rPr>
          <w:rFonts w:ascii="Times New Roman" w:eastAsia="Times New Roman" w:hAnsi="Times New Roman" w:cs="Times New Roman"/>
          <w:sz w:val="22"/>
          <w:szCs w:val="22"/>
        </w:rPr>
        <w:tab/>
      </w:r>
      <w:r w:rsidR="00C82EFB">
        <w:rPr>
          <w:rFonts w:ascii="Times New Roman" w:eastAsia="Times New Roman" w:hAnsi="Times New Roman" w:cs="Times New Roman"/>
          <w:sz w:val="22"/>
          <w:szCs w:val="22"/>
        </w:rPr>
        <w:tab/>
        <w:t xml:space="preserve">generální </w:t>
      </w:r>
      <w:r w:rsidR="004351D8" w:rsidRPr="00485884">
        <w:rPr>
          <w:rFonts w:ascii="Times New Roman" w:eastAsia="Times New Roman" w:hAnsi="Times New Roman" w:cs="Times New Roman"/>
          <w:sz w:val="22"/>
          <w:szCs w:val="22"/>
        </w:rPr>
        <w:t xml:space="preserve">zkouška </w:t>
      </w:r>
      <w:r w:rsidR="00485884" w:rsidRPr="00485884">
        <w:rPr>
          <w:rFonts w:ascii="Times New Roman" w:eastAsia="Times New Roman" w:hAnsi="Times New Roman" w:cs="Times New Roman"/>
          <w:sz w:val="22"/>
          <w:szCs w:val="22"/>
        </w:rPr>
        <w:t>(</w:t>
      </w:r>
      <w:r w:rsidR="002664F6">
        <w:rPr>
          <w:rFonts w:ascii="Times New Roman" w:eastAsia="Times New Roman" w:hAnsi="Times New Roman" w:cs="Times New Roman"/>
          <w:sz w:val="22"/>
          <w:szCs w:val="22"/>
        </w:rPr>
        <w:t>Opava</w:t>
      </w:r>
      <w:r w:rsidR="004351D8" w:rsidRPr="00485884">
        <w:rPr>
          <w:rFonts w:ascii="Times New Roman" w:eastAsia="Times New Roman" w:hAnsi="Times New Roman" w:cs="Times New Roman"/>
          <w:sz w:val="22"/>
          <w:szCs w:val="22"/>
        </w:rPr>
        <w:t>)</w:t>
      </w:r>
    </w:p>
    <w:p w14:paraId="3FCD83CC" w14:textId="05E069BC" w:rsidR="004351D8" w:rsidRDefault="004351D8" w:rsidP="004351D8">
      <w:pPr>
        <w:widowControl w:val="0"/>
        <w:spacing w:line="288" w:lineRule="auto"/>
        <w:ind w:left="1133"/>
        <w:jc w:val="both"/>
        <w:rPr>
          <w:rFonts w:ascii="Times New Roman" w:eastAsia="Times New Roman" w:hAnsi="Times New Roman" w:cs="Times New Roman"/>
          <w:sz w:val="22"/>
          <w:szCs w:val="22"/>
        </w:rPr>
      </w:pPr>
      <w:r w:rsidRPr="004351D8">
        <w:rPr>
          <w:rFonts w:ascii="Times New Roman" w:eastAsia="Times New Roman" w:hAnsi="Times New Roman" w:cs="Times New Roman"/>
          <w:sz w:val="22"/>
          <w:szCs w:val="22"/>
        </w:rPr>
        <w:tab/>
      </w:r>
      <w:r w:rsidRPr="004351D8">
        <w:rPr>
          <w:rFonts w:ascii="Times New Roman" w:eastAsia="Times New Roman" w:hAnsi="Times New Roman" w:cs="Times New Roman"/>
          <w:sz w:val="22"/>
          <w:szCs w:val="22"/>
        </w:rPr>
        <w:tab/>
      </w:r>
      <w:r w:rsidRPr="004351D8">
        <w:rPr>
          <w:rFonts w:ascii="Times New Roman" w:eastAsia="Times New Roman" w:hAnsi="Times New Roman" w:cs="Times New Roman"/>
          <w:sz w:val="22"/>
          <w:szCs w:val="22"/>
        </w:rPr>
        <w:tab/>
      </w:r>
      <w:r w:rsidRPr="004351D8">
        <w:rPr>
          <w:rFonts w:ascii="Times New Roman" w:eastAsia="Times New Roman" w:hAnsi="Times New Roman" w:cs="Times New Roman"/>
          <w:sz w:val="22"/>
          <w:szCs w:val="22"/>
        </w:rPr>
        <w:tab/>
      </w:r>
      <w:r w:rsidR="004D2E0D">
        <w:rPr>
          <w:rFonts w:ascii="Times New Roman" w:eastAsia="Times New Roman" w:hAnsi="Times New Roman" w:cs="Times New Roman"/>
          <w:sz w:val="22"/>
          <w:szCs w:val="22"/>
        </w:rPr>
        <w:tab/>
      </w:r>
      <w:r w:rsidR="004D2E0D">
        <w:rPr>
          <w:rFonts w:ascii="Times New Roman" w:eastAsia="Times New Roman" w:hAnsi="Times New Roman" w:cs="Times New Roman"/>
          <w:sz w:val="22"/>
          <w:szCs w:val="22"/>
        </w:rPr>
        <w:tab/>
      </w:r>
      <w:r w:rsidRPr="004351D8">
        <w:rPr>
          <w:rFonts w:ascii="Times New Roman" w:eastAsia="Times New Roman" w:hAnsi="Times New Roman" w:cs="Times New Roman"/>
          <w:sz w:val="22"/>
          <w:szCs w:val="22"/>
        </w:rPr>
        <w:t>1</w:t>
      </w:r>
      <w:r w:rsidR="00485884">
        <w:rPr>
          <w:rFonts w:ascii="Times New Roman" w:eastAsia="Times New Roman" w:hAnsi="Times New Roman" w:cs="Times New Roman"/>
          <w:sz w:val="22"/>
          <w:szCs w:val="22"/>
        </w:rPr>
        <w:t>9</w:t>
      </w:r>
      <w:r w:rsidRPr="004351D8">
        <w:rPr>
          <w:rFonts w:ascii="Times New Roman" w:eastAsia="Times New Roman" w:hAnsi="Times New Roman" w:cs="Times New Roman"/>
          <w:sz w:val="22"/>
          <w:szCs w:val="22"/>
        </w:rPr>
        <w:t>:00</w:t>
      </w:r>
      <w:r w:rsidR="00C82EFB">
        <w:rPr>
          <w:rFonts w:ascii="Times New Roman" w:eastAsia="Times New Roman" w:hAnsi="Times New Roman" w:cs="Times New Roman"/>
          <w:sz w:val="22"/>
          <w:szCs w:val="22"/>
        </w:rPr>
        <w:tab/>
      </w:r>
      <w:r w:rsidR="00C82EFB">
        <w:rPr>
          <w:rFonts w:ascii="Times New Roman" w:eastAsia="Times New Roman" w:hAnsi="Times New Roman" w:cs="Times New Roman"/>
          <w:sz w:val="22"/>
          <w:szCs w:val="22"/>
        </w:rPr>
        <w:tab/>
      </w:r>
      <w:r w:rsidRPr="004351D8">
        <w:rPr>
          <w:rFonts w:ascii="Times New Roman" w:eastAsia="Times New Roman" w:hAnsi="Times New Roman" w:cs="Times New Roman"/>
          <w:sz w:val="22"/>
          <w:szCs w:val="22"/>
        </w:rPr>
        <w:t>koncert (</w:t>
      </w:r>
      <w:r w:rsidR="002664F6">
        <w:rPr>
          <w:rFonts w:ascii="Times New Roman" w:eastAsia="Times New Roman" w:hAnsi="Times New Roman" w:cs="Times New Roman"/>
          <w:sz w:val="22"/>
          <w:szCs w:val="22"/>
        </w:rPr>
        <w:t>Opava</w:t>
      </w:r>
      <w:r w:rsidR="00485884">
        <w:rPr>
          <w:rFonts w:ascii="Times New Roman" w:eastAsia="Times New Roman" w:hAnsi="Times New Roman" w:cs="Times New Roman"/>
          <w:sz w:val="22"/>
          <w:szCs w:val="22"/>
        </w:rPr>
        <w:t>)</w:t>
      </w:r>
    </w:p>
    <w:p w14:paraId="20619EC6" w14:textId="77777777" w:rsidR="009B2889" w:rsidRDefault="009B2889">
      <w:pPr>
        <w:widowControl w:val="0"/>
        <w:spacing w:line="288" w:lineRule="auto"/>
        <w:ind w:left="566" w:hanging="566"/>
        <w:jc w:val="both"/>
        <w:rPr>
          <w:rFonts w:ascii="Times New Roman" w:eastAsia="Times New Roman" w:hAnsi="Times New Roman" w:cs="Times New Roman"/>
          <w:i/>
          <w:sz w:val="22"/>
          <w:szCs w:val="22"/>
        </w:rPr>
      </w:pPr>
    </w:p>
    <w:p w14:paraId="5C14D5E3" w14:textId="77777777" w:rsidR="009B2889" w:rsidRDefault="002F70A5">
      <w:pPr>
        <w:widowControl w:val="0"/>
        <w:numPr>
          <w:ilvl w:val="0"/>
          <w:numId w:val="3"/>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Účinkující se zavazuje k účasti na výše uvedené Produkci, být plně připraven k uvedenému výkonu, a to na adekvátní umělecké úrovni. </w:t>
      </w:r>
    </w:p>
    <w:p w14:paraId="265E5C01" w14:textId="77777777" w:rsidR="009B2889" w:rsidRDefault="009B2889">
      <w:pPr>
        <w:widowControl w:val="0"/>
        <w:spacing w:line="288" w:lineRule="auto"/>
        <w:ind w:left="566" w:hanging="566"/>
        <w:jc w:val="both"/>
        <w:rPr>
          <w:rFonts w:ascii="Times New Roman" w:eastAsia="Times New Roman" w:hAnsi="Times New Roman" w:cs="Times New Roman"/>
          <w:sz w:val="22"/>
          <w:szCs w:val="22"/>
        </w:rPr>
      </w:pPr>
    </w:p>
    <w:p w14:paraId="7BEF65C8" w14:textId="0828EFE4" w:rsidR="009B2889" w:rsidRPr="000C1B69" w:rsidRDefault="002F70A5" w:rsidP="000C1B69">
      <w:pPr>
        <w:widowControl w:val="0"/>
        <w:numPr>
          <w:ilvl w:val="0"/>
          <w:numId w:val="3"/>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Pořadatel zajišťuje místo konání (včetně propagace v případě veřejné události) a zázemí</w:t>
      </w:r>
      <w:r w:rsidR="00C64FF7">
        <w:rPr>
          <w:rFonts w:ascii="Times New Roman" w:eastAsia="Times New Roman" w:hAnsi="Times New Roman" w:cs="Times New Roman"/>
          <w:sz w:val="22"/>
          <w:szCs w:val="22"/>
        </w:rPr>
        <w:t xml:space="preserve">. </w:t>
      </w:r>
      <w:r w:rsidR="00C64FF7" w:rsidRPr="00C82EFB">
        <w:rPr>
          <w:rFonts w:ascii="Times New Roman" w:eastAsia="Times New Roman" w:hAnsi="Times New Roman" w:cs="Times New Roman"/>
          <w:sz w:val="22"/>
          <w:szCs w:val="22"/>
        </w:rPr>
        <w:t>Notový materiál si zajišťuje Účinkující sám.</w:t>
      </w:r>
      <w:r w:rsidR="00C64FF7">
        <w:rPr>
          <w:rFonts w:ascii="Times New Roman" w:eastAsia="Times New Roman" w:hAnsi="Times New Roman" w:cs="Times New Roman"/>
          <w:sz w:val="22"/>
          <w:szCs w:val="22"/>
        </w:rPr>
        <w:t xml:space="preserve"> Nahlášení autorských práv je povinností Pořadatele.</w:t>
      </w:r>
    </w:p>
    <w:p w14:paraId="14013D09" w14:textId="77777777" w:rsidR="00DF2568" w:rsidRDefault="00DF2568">
      <w:pPr>
        <w:widowControl w:val="0"/>
        <w:spacing w:line="288" w:lineRule="auto"/>
        <w:ind w:left="566" w:hanging="566"/>
        <w:jc w:val="both"/>
        <w:rPr>
          <w:rFonts w:ascii="Times New Roman" w:eastAsia="Times New Roman" w:hAnsi="Times New Roman" w:cs="Times New Roman"/>
          <w:sz w:val="22"/>
          <w:szCs w:val="22"/>
        </w:rPr>
      </w:pPr>
    </w:p>
    <w:p w14:paraId="2A2095B4" w14:textId="72078DFE" w:rsidR="009B2889" w:rsidRDefault="002F70A5">
      <w:pPr>
        <w:widowControl w:val="0"/>
        <w:spacing w:line="288" w:lineRule="auto"/>
        <w:ind w:left="566" w:hanging="566"/>
        <w:rPr>
          <w:rFonts w:ascii="Times New Roman" w:eastAsia="Times New Roman" w:hAnsi="Times New Roman" w:cs="Times New Roman"/>
          <w:b/>
          <w:sz w:val="22"/>
          <w:szCs w:val="22"/>
        </w:rPr>
      </w:pPr>
      <w:r>
        <w:rPr>
          <w:rFonts w:ascii="Times New Roman" w:eastAsia="Times New Roman" w:hAnsi="Times New Roman" w:cs="Times New Roman"/>
          <w:b/>
          <w:sz w:val="22"/>
          <w:szCs w:val="22"/>
        </w:rPr>
        <w:t>I.</w:t>
      </w:r>
      <w:r>
        <w:rPr>
          <w:rFonts w:ascii="Times New Roman" w:eastAsia="Times New Roman" w:hAnsi="Times New Roman" w:cs="Times New Roman"/>
          <w:b/>
          <w:sz w:val="22"/>
          <w:szCs w:val="22"/>
        </w:rPr>
        <w:tab/>
        <w:t>Doprava</w:t>
      </w:r>
      <w:r w:rsidR="000C1B69">
        <w:rPr>
          <w:rFonts w:ascii="Times New Roman" w:eastAsia="Times New Roman" w:hAnsi="Times New Roman" w:cs="Times New Roman"/>
          <w:b/>
          <w:sz w:val="22"/>
          <w:szCs w:val="22"/>
        </w:rPr>
        <w:t xml:space="preserve"> a ubytování</w:t>
      </w:r>
    </w:p>
    <w:p w14:paraId="3F1BF188" w14:textId="77777777" w:rsidR="009B2889" w:rsidRDefault="009B2889">
      <w:pPr>
        <w:spacing w:line="288" w:lineRule="auto"/>
        <w:ind w:left="566" w:hanging="566"/>
        <w:jc w:val="both"/>
        <w:rPr>
          <w:rFonts w:ascii="Times New Roman" w:eastAsia="Times New Roman" w:hAnsi="Times New Roman" w:cs="Times New Roman"/>
          <w:sz w:val="22"/>
          <w:szCs w:val="22"/>
        </w:rPr>
      </w:pPr>
    </w:p>
    <w:p w14:paraId="035A0B92" w14:textId="7E487356" w:rsidR="00AA7511" w:rsidRPr="000C1B69" w:rsidRDefault="002F70A5" w:rsidP="00155E9E">
      <w:pPr>
        <w:widowControl w:val="0"/>
        <w:numPr>
          <w:ilvl w:val="0"/>
          <w:numId w:val="4"/>
        </w:numPr>
        <w:spacing w:line="288" w:lineRule="auto"/>
        <w:ind w:left="566" w:hanging="566"/>
        <w:jc w:val="both"/>
        <w:rPr>
          <w:rFonts w:ascii="Times New Roman" w:eastAsia="Times New Roman" w:hAnsi="Times New Roman" w:cs="Times New Roman"/>
          <w:sz w:val="22"/>
          <w:szCs w:val="22"/>
        </w:rPr>
      </w:pPr>
      <w:r w:rsidRPr="002664F6">
        <w:rPr>
          <w:rFonts w:ascii="Times New Roman" w:eastAsia="Times New Roman" w:hAnsi="Times New Roman" w:cs="Times New Roman"/>
          <w:sz w:val="22"/>
          <w:szCs w:val="22"/>
        </w:rPr>
        <w:t>Dopravu do O</w:t>
      </w:r>
      <w:r w:rsidR="00C82EFB" w:rsidRPr="002664F6">
        <w:rPr>
          <w:rFonts w:ascii="Times New Roman" w:eastAsia="Times New Roman" w:hAnsi="Times New Roman" w:cs="Times New Roman"/>
          <w:sz w:val="22"/>
          <w:szCs w:val="22"/>
        </w:rPr>
        <w:t>pavy</w:t>
      </w:r>
      <w:r w:rsidRPr="002664F6">
        <w:rPr>
          <w:rFonts w:ascii="Times New Roman" w:eastAsia="Times New Roman" w:hAnsi="Times New Roman" w:cs="Times New Roman"/>
          <w:sz w:val="22"/>
          <w:szCs w:val="22"/>
        </w:rPr>
        <w:t xml:space="preserve"> (a zpět) si zajišťuje Účinkující sám</w:t>
      </w:r>
      <w:r w:rsidR="00AA7511" w:rsidRPr="002664F6">
        <w:rPr>
          <w:rFonts w:ascii="Times New Roman" w:eastAsia="Times New Roman" w:hAnsi="Times New Roman" w:cs="Times New Roman"/>
          <w:sz w:val="22"/>
          <w:szCs w:val="22"/>
        </w:rPr>
        <w:t>.</w:t>
      </w:r>
      <w:r w:rsidR="00155E9E" w:rsidRPr="002664F6">
        <w:rPr>
          <w:rFonts w:ascii="Times New Roman" w:eastAsia="Times New Roman" w:hAnsi="Times New Roman" w:cs="Times New Roman"/>
          <w:sz w:val="22"/>
          <w:szCs w:val="22"/>
        </w:rPr>
        <w:t xml:space="preserve"> Detaily příjezdu a odjezdu oznámí Účinkující nejpozději měsíc před Produkcí</w:t>
      </w:r>
      <w:r w:rsidR="000C1B69">
        <w:rPr>
          <w:rFonts w:ascii="Times New Roman" w:eastAsia="Times New Roman" w:hAnsi="Times New Roman" w:cs="Times New Roman"/>
          <w:sz w:val="22"/>
          <w:szCs w:val="22"/>
        </w:rPr>
        <w:t>.</w:t>
      </w:r>
    </w:p>
    <w:p w14:paraId="169A7E81" w14:textId="77777777" w:rsidR="00207E38" w:rsidRDefault="00207E38" w:rsidP="00155E9E">
      <w:pPr>
        <w:widowControl w:val="0"/>
        <w:spacing w:line="288" w:lineRule="auto"/>
        <w:jc w:val="both"/>
        <w:rPr>
          <w:rFonts w:ascii="Times New Roman" w:eastAsia="Times New Roman" w:hAnsi="Times New Roman" w:cs="Times New Roman"/>
          <w:sz w:val="22"/>
          <w:szCs w:val="22"/>
        </w:rPr>
      </w:pPr>
    </w:p>
    <w:p w14:paraId="1E50FB00" w14:textId="0E8F38BF" w:rsidR="009B2889" w:rsidRDefault="002F70A5">
      <w:pPr>
        <w:pStyle w:val="Nadpis2"/>
        <w:widowControl w:val="0"/>
        <w:spacing w:before="0" w:after="0" w:line="288" w:lineRule="auto"/>
        <w:ind w:left="566" w:hanging="566"/>
        <w:rPr>
          <w:rFonts w:ascii="Times New Roman" w:eastAsia="Times New Roman" w:hAnsi="Times New Roman" w:cs="Times New Roman"/>
          <w:sz w:val="22"/>
          <w:szCs w:val="22"/>
        </w:rPr>
      </w:pPr>
      <w:bookmarkStart w:id="5" w:name="_mmp92mrtshpu" w:colFirst="0" w:colLast="0"/>
      <w:bookmarkEnd w:id="5"/>
      <w:r>
        <w:rPr>
          <w:rFonts w:ascii="Times New Roman" w:eastAsia="Times New Roman" w:hAnsi="Times New Roman" w:cs="Times New Roman"/>
          <w:sz w:val="22"/>
          <w:szCs w:val="22"/>
        </w:rPr>
        <w:t xml:space="preserve">II. </w:t>
      </w:r>
      <w:r>
        <w:rPr>
          <w:rFonts w:ascii="Times New Roman" w:eastAsia="Times New Roman" w:hAnsi="Times New Roman" w:cs="Times New Roman"/>
          <w:sz w:val="22"/>
          <w:szCs w:val="22"/>
        </w:rPr>
        <w:tab/>
        <w:t>Licence</w:t>
      </w:r>
    </w:p>
    <w:p w14:paraId="23B9E374" w14:textId="77777777" w:rsidR="009B2889" w:rsidRDefault="009B2889">
      <w:pPr>
        <w:widowControl w:val="0"/>
        <w:spacing w:line="288" w:lineRule="auto"/>
        <w:ind w:left="566" w:hanging="566"/>
        <w:jc w:val="both"/>
        <w:rPr>
          <w:rFonts w:ascii="Times New Roman" w:eastAsia="Times New Roman" w:hAnsi="Times New Roman" w:cs="Times New Roman"/>
          <w:sz w:val="22"/>
          <w:szCs w:val="22"/>
        </w:rPr>
      </w:pPr>
    </w:p>
    <w:p w14:paraId="2D579250" w14:textId="60E9FC5F" w:rsidR="009B2889" w:rsidRPr="002664F6" w:rsidRDefault="00DB5E9D">
      <w:pPr>
        <w:widowControl w:val="0"/>
        <w:numPr>
          <w:ilvl w:val="0"/>
          <w:numId w:val="1"/>
        </w:numPr>
        <w:spacing w:line="288" w:lineRule="auto"/>
        <w:ind w:left="566" w:hanging="566"/>
        <w:jc w:val="both"/>
        <w:rPr>
          <w:rFonts w:ascii="Times New Roman" w:eastAsia="Times New Roman" w:hAnsi="Times New Roman" w:cs="Times New Roman"/>
          <w:sz w:val="22"/>
          <w:szCs w:val="22"/>
        </w:rPr>
      </w:pPr>
      <w:r w:rsidRPr="002664F6">
        <w:rPr>
          <w:rFonts w:ascii="Times New Roman" w:eastAsia="Times New Roman" w:hAnsi="Times New Roman" w:cs="Times New Roman"/>
          <w:sz w:val="22"/>
          <w:szCs w:val="22"/>
        </w:rPr>
        <w:t>Produkce bude nahrávána Českou televizí</w:t>
      </w:r>
      <w:r w:rsidR="00C82EFB" w:rsidRPr="002664F6">
        <w:rPr>
          <w:rFonts w:ascii="Times New Roman" w:eastAsia="Times New Roman" w:hAnsi="Times New Roman" w:cs="Times New Roman"/>
          <w:sz w:val="22"/>
          <w:szCs w:val="22"/>
        </w:rPr>
        <w:t xml:space="preserve">. </w:t>
      </w:r>
      <w:r w:rsidRPr="002664F6">
        <w:rPr>
          <w:rFonts w:ascii="Times New Roman" w:eastAsia="Times New Roman" w:hAnsi="Times New Roman" w:cs="Times New Roman"/>
          <w:sz w:val="22"/>
          <w:szCs w:val="22"/>
        </w:rPr>
        <w:t xml:space="preserve">Účinkující na základě této Smlouvy poskytuje Pořadateli výhradní licenci výkonného umělce na užití takto pořízené audio a video nahrávky. Licence nemusí být využita, není omezena časově ani prostorově a má nekomerční charakter (tj. vysílání </w:t>
      </w:r>
      <w:r w:rsidR="002664F6" w:rsidRPr="002664F6">
        <w:rPr>
          <w:rFonts w:ascii="Times New Roman" w:eastAsia="Times New Roman" w:hAnsi="Times New Roman" w:cs="Times New Roman"/>
          <w:sz w:val="22"/>
          <w:szCs w:val="22"/>
        </w:rPr>
        <w:t>koncertu na veřejnoprávní televizi a její online ve</w:t>
      </w:r>
      <w:r w:rsidR="002664F6">
        <w:rPr>
          <w:rFonts w:ascii="Times New Roman" w:eastAsia="Times New Roman" w:hAnsi="Times New Roman" w:cs="Times New Roman"/>
          <w:sz w:val="22"/>
          <w:szCs w:val="22"/>
        </w:rPr>
        <w:t>r</w:t>
      </w:r>
      <w:r w:rsidR="002664F6" w:rsidRPr="002664F6">
        <w:rPr>
          <w:rFonts w:ascii="Times New Roman" w:eastAsia="Times New Roman" w:hAnsi="Times New Roman" w:cs="Times New Roman"/>
          <w:sz w:val="22"/>
          <w:szCs w:val="22"/>
        </w:rPr>
        <w:t>zi</w:t>
      </w:r>
      <w:r w:rsidRPr="002664F6">
        <w:rPr>
          <w:rFonts w:ascii="Times New Roman" w:eastAsia="Times New Roman" w:hAnsi="Times New Roman" w:cs="Times New Roman"/>
          <w:sz w:val="22"/>
          <w:szCs w:val="22"/>
        </w:rPr>
        <w:t>).</w:t>
      </w:r>
    </w:p>
    <w:p w14:paraId="67A03A18" w14:textId="77777777" w:rsidR="009B2889" w:rsidRDefault="009B2889">
      <w:pPr>
        <w:widowControl w:val="0"/>
        <w:spacing w:line="288" w:lineRule="auto"/>
        <w:ind w:left="566" w:hanging="566"/>
        <w:jc w:val="both"/>
        <w:rPr>
          <w:rFonts w:ascii="Times New Roman" w:eastAsia="Times New Roman" w:hAnsi="Times New Roman" w:cs="Times New Roman"/>
          <w:sz w:val="22"/>
          <w:szCs w:val="22"/>
        </w:rPr>
      </w:pPr>
    </w:p>
    <w:p w14:paraId="08E19DBD" w14:textId="77777777" w:rsidR="009B2889" w:rsidRDefault="002F70A5">
      <w:pPr>
        <w:widowControl w:val="0"/>
        <w:numPr>
          <w:ilvl w:val="0"/>
          <w:numId w:val="1"/>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Reportáže a záznamy sloužící k propagačním a marketingovým účelům v celkové délce do 180 sekund mohou být pořízeny Pořadatelem, Účinkujícím či třetími stranami, po řádném a včasném oznámení. Touto smlouvou poskytuje Účinkující souhlas s pořízením fotografické dokumentace Produkce a souhlasí, že takto pořízené fotky mohou být použity k propagačním účelům. </w:t>
      </w:r>
    </w:p>
    <w:p w14:paraId="526D082B" w14:textId="77777777" w:rsidR="009B2889" w:rsidRDefault="009B2889">
      <w:pPr>
        <w:widowControl w:val="0"/>
        <w:spacing w:line="288" w:lineRule="auto"/>
        <w:ind w:left="566" w:hanging="566"/>
        <w:jc w:val="both"/>
        <w:rPr>
          <w:rFonts w:ascii="Times New Roman" w:eastAsia="Times New Roman" w:hAnsi="Times New Roman" w:cs="Times New Roman"/>
          <w:sz w:val="22"/>
          <w:szCs w:val="22"/>
        </w:rPr>
      </w:pPr>
    </w:p>
    <w:p w14:paraId="3BDF2F6A" w14:textId="77777777" w:rsidR="009B2889" w:rsidRDefault="002F70A5">
      <w:pPr>
        <w:widowControl w:val="0"/>
        <w:numPr>
          <w:ilvl w:val="0"/>
          <w:numId w:val="1"/>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Účinkující se zavazuje poskytnout Pořadateli min 1 ks fotografie v kvalitě pro tisk (min. 300 dpi, 1 MB), která bude využita k propagaci společného vystoupení v propagačních materiálech a komunikačních kanálech JFO. Účinkující souhlasí s pořizováním fotografií během Produkce a zároveň souhlasí s jejich využitím v rámci propagace akce. </w:t>
      </w:r>
    </w:p>
    <w:p w14:paraId="09D6EF3E" w14:textId="77777777" w:rsidR="00C82EFB" w:rsidRDefault="00C82EFB" w:rsidP="00C82EFB">
      <w:pPr>
        <w:pStyle w:val="Odstavecseseznamem"/>
        <w:rPr>
          <w:rFonts w:ascii="Times New Roman" w:eastAsia="Times New Roman" w:hAnsi="Times New Roman" w:cs="Times New Roman"/>
          <w:sz w:val="22"/>
          <w:szCs w:val="22"/>
        </w:rPr>
      </w:pPr>
    </w:p>
    <w:p w14:paraId="398A4DC9" w14:textId="7F514F0B" w:rsidR="00C82EFB" w:rsidRDefault="00C82EFB">
      <w:pPr>
        <w:widowControl w:val="0"/>
        <w:numPr>
          <w:ilvl w:val="0"/>
          <w:numId w:val="1"/>
        </w:numPr>
        <w:spacing w:line="288" w:lineRule="auto"/>
        <w:ind w:left="566" w:hanging="566"/>
        <w:jc w:val="both"/>
        <w:rPr>
          <w:rFonts w:ascii="Times New Roman" w:eastAsia="Times New Roman" w:hAnsi="Times New Roman" w:cs="Times New Roman"/>
          <w:sz w:val="22"/>
          <w:szCs w:val="22"/>
        </w:rPr>
      </w:pPr>
      <w:r w:rsidRPr="00C82EFB">
        <w:rPr>
          <w:rFonts w:ascii="Times New Roman" w:eastAsia="Times New Roman" w:hAnsi="Times New Roman" w:cs="Times New Roman"/>
          <w:sz w:val="22"/>
          <w:szCs w:val="22"/>
        </w:rPr>
        <w:t>Účinkující se zavazuje poskytnout krátké propagační video v délce cca 30–60 sekund minimálně 6 týdnů před koncertem, ve kterém zahraje úryvek skladby, kterou provede na daném koncertě (popř. krátký osobní pozdrav pro publikum). Video bude pořízeno ve formátu 9:16 (vertikální formát, vhodný pro sociální sítě), může být natočeno na mobilní telefon, není nutná profesionální kvalita. Pořadatel je oprávněn toto video použít pro propagaci koncertu, zejména prostřednictvím sociálních sítí, webových stránek a dalších komunikačních kanálů jako je například newsletter.</w:t>
      </w:r>
    </w:p>
    <w:p w14:paraId="1141BC6E" w14:textId="77777777" w:rsidR="009B2889" w:rsidRDefault="009B2889" w:rsidP="000C1B69">
      <w:pPr>
        <w:widowControl w:val="0"/>
        <w:spacing w:line="288" w:lineRule="auto"/>
        <w:jc w:val="both"/>
        <w:rPr>
          <w:rFonts w:ascii="Times New Roman" w:eastAsia="Times New Roman" w:hAnsi="Times New Roman" w:cs="Times New Roman"/>
          <w:sz w:val="22"/>
          <w:szCs w:val="22"/>
        </w:rPr>
      </w:pPr>
    </w:p>
    <w:p w14:paraId="21E68208" w14:textId="77777777" w:rsidR="009B2889" w:rsidRDefault="002F70A5">
      <w:pPr>
        <w:pStyle w:val="Nadpis2"/>
        <w:widowControl w:val="0"/>
        <w:spacing w:before="0" w:after="0" w:line="288" w:lineRule="auto"/>
        <w:ind w:left="566" w:hanging="566"/>
        <w:rPr>
          <w:rFonts w:ascii="Times New Roman" w:eastAsia="Times New Roman" w:hAnsi="Times New Roman" w:cs="Times New Roman"/>
          <w:sz w:val="22"/>
          <w:szCs w:val="22"/>
        </w:rPr>
      </w:pPr>
      <w:bookmarkStart w:id="6" w:name="_rxg811k0resu" w:colFirst="0" w:colLast="0"/>
      <w:bookmarkEnd w:id="6"/>
      <w:r>
        <w:rPr>
          <w:rFonts w:ascii="Times New Roman" w:eastAsia="Times New Roman" w:hAnsi="Times New Roman" w:cs="Times New Roman"/>
          <w:sz w:val="22"/>
          <w:szCs w:val="22"/>
        </w:rPr>
        <w:t xml:space="preserve"> III.</w:t>
      </w:r>
      <w:r>
        <w:rPr>
          <w:rFonts w:ascii="Times New Roman" w:eastAsia="Times New Roman" w:hAnsi="Times New Roman" w:cs="Times New Roman"/>
          <w:sz w:val="22"/>
          <w:szCs w:val="22"/>
        </w:rPr>
        <w:tab/>
        <w:t>Odměna</w:t>
      </w:r>
    </w:p>
    <w:p w14:paraId="23173DFB" w14:textId="77777777" w:rsidR="009B2889" w:rsidRDefault="009B2889">
      <w:pPr>
        <w:widowControl w:val="0"/>
        <w:spacing w:line="288" w:lineRule="auto"/>
        <w:ind w:left="566" w:hanging="566"/>
        <w:jc w:val="both"/>
        <w:rPr>
          <w:rFonts w:ascii="Times New Roman" w:eastAsia="Times New Roman" w:hAnsi="Times New Roman" w:cs="Times New Roman"/>
          <w:sz w:val="22"/>
          <w:szCs w:val="22"/>
        </w:rPr>
      </w:pPr>
    </w:p>
    <w:p w14:paraId="4DB18E30" w14:textId="4EAC20B5" w:rsidR="009B2889" w:rsidRPr="00116AD9" w:rsidRDefault="002F70A5">
      <w:pPr>
        <w:widowControl w:val="0"/>
        <w:numPr>
          <w:ilvl w:val="0"/>
          <w:numId w:val="2"/>
        </w:numPr>
        <w:spacing w:line="288" w:lineRule="auto"/>
        <w:ind w:left="566" w:hanging="566"/>
        <w:jc w:val="both"/>
        <w:rPr>
          <w:rFonts w:ascii="Times New Roman" w:eastAsia="Times New Roman" w:hAnsi="Times New Roman" w:cs="Times New Roman"/>
          <w:sz w:val="22"/>
          <w:szCs w:val="22"/>
        </w:rPr>
      </w:pPr>
      <w:r w:rsidRPr="00116AD9">
        <w:rPr>
          <w:rFonts w:ascii="Times New Roman" w:eastAsia="Times New Roman" w:hAnsi="Times New Roman" w:cs="Times New Roman"/>
          <w:sz w:val="22"/>
          <w:szCs w:val="22"/>
        </w:rPr>
        <w:t xml:space="preserve">Pořadatel uhradí Účinkujícímu sjednaný honorář ve výši </w:t>
      </w:r>
      <w:r w:rsidR="00155E9E">
        <w:rPr>
          <w:rFonts w:ascii="Times New Roman" w:eastAsia="Times New Roman" w:hAnsi="Times New Roman" w:cs="Times New Roman"/>
          <w:sz w:val="22"/>
          <w:szCs w:val="22"/>
        </w:rPr>
        <w:t>160</w:t>
      </w:r>
      <w:r w:rsidR="00C64FF7">
        <w:rPr>
          <w:rFonts w:ascii="Times New Roman" w:eastAsia="Times New Roman" w:hAnsi="Times New Roman" w:cs="Times New Roman"/>
          <w:sz w:val="22"/>
          <w:szCs w:val="22"/>
        </w:rPr>
        <w:t xml:space="preserve"> 0</w:t>
      </w:r>
      <w:r w:rsidR="00AA7511" w:rsidRPr="00116AD9">
        <w:rPr>
          <w:rFonts w:ascii="Times New Roman" w:eastAsia="Times New Roman" w:hAnsi="Times New Roman" w:cs="Times New Roman"/>
          <w:sz w:val="22"/>
          <w:szCs w:val="22"/>
        </w:rPr>
        <w:t>00</w:t>
      </w:r>
      <w:r w:rsidRPr="00116AD9">
        <w:rPr>
          <w:rFonts w:ascii="Times New Roman" w:eastAsia="Times New Roman" w:hAnsi="Times New Roman" w:cs="Times New Roman"/>
          <w:sz w:val="22"/>
          <w:szCs w:val="22"/>
        </w:rPr>
        <w:t xml:space="preserve"> </w:t>
      </w:r>
      <w:r w:rsidR="00AA7511" w:rsidRPr="00116AD9">
        <w:rPr>
          <w:rFonts w:ascii="Times New Roman" w:eastAsia="Times New Roman" w:hAnsi="Times New Roman" w:cs="Times New Roman"/>
          <w:sz w:val="22"/>
          <w:szCs w:val="22"/>
        </w:rPr>
        <w:t>CZK</w:t>
      </w:r>
      <w:r w:rsidRPr="00116AD9">
        <w:rPr>
          <w:rFonts w:ascii="Times New Roman" w:eastAsia="Times New Roman" w:hAnsi="Times New Roman" w:cs="Times New Roman"/>
          <w:sz w:val="22"/>
          <w:szCs w:val="22"/>
        </w:rPr>
        <w:t xml:space="preserve"> (slovy: </w:t>
      </w:r>
      <w:r w:rsidR="004D2E0D">
        <w:rPr>
          <w:rFonts w:ascii="Times New Roman" w:eastAsia="Times New Roman" w:hAnsi="Times New Roman" w:cs="Times New Roman"/>
          <w:sz w:val="22"/>
          <w:szCs w:val="22"/>
        </w:rPr>
        <w:t>s</w:t>
      </w:r>
      <w:r w:rsidR="00155E9E">
        <w:rPr>
          <w:rFonts w:ascii="Times New Roman" w:eastAsia="Times New Roman" w:hAnsi="Times New Roman" w:cs="Times New Roman"/>
          <w:sz w:val="22"/>
          <w:szCs w:val="22"/>
        </w:rPr>
        <w:t>to-šedesát</w:t>
      </w:r>
      <w:r w:rsidR="00AA7511" w:rsidRPr="00116AD9">
        <w:rPr>
          <w:rFonts w:ascii="Times New Roman" w:eastAsia="Times New Roman" w:hAnsi="Times New Roman" w:cs="Times New Roman"/>
          <w:sz w:val="22"/>
          <w:szCs w:val="22"/>
        </w:rPr>
        <w:t>-tisíc</w:t>
      </w:r>
      <w:r w:rsidR="00F76A4C" w:rsidRPr="00116AD9">
        <w:rPr>
          <w:rFonts w:ascii="Times New Roman" w:eastAsia="Times New Roman" w:hAnsi="Times New Roman" w:cs="Times New Roman"/>
          <w:sz w:val="22"/>
          <w:szCs w:val="22"/>
        </w:rPr>
        <w:t>-Korun Českých</w:t>
      </w:r>
      <w:r w:rsidRPr="00116AD9">
        <w:rPr>
          <w:rFonts w:ascii="Times New Roman" w:eastAsia="Times New Roman" w:hAnsi="Times New Roman" w:cs="Times New Roman"/>
          <w:sz w:val="22"/>
          <w:szCs w:val="22"/>
        </w:rPr>
        <w:t xml:space="preserve">) </w:t>
      </w:r>
      <w:r w:rsidRPr="00C01FE0">
        <w:rPr>
          <w:rFonts w:ascii="Times New Roman" w:eastAsia="Times New Roman" w:hAnsi="Times New Roman" w:cs="Times New Roman"/>
          <w:sz w:val="22"/>
          <w:szCs w:val="22"/>
        </w:rPr>
        <w:t>hrubého</w:t>
      </w:r>
      <w:r w:rsidR="00116AD9" w:rsidRPr="00C01FE0">
        <w:rPr>
          <w:rFonts w:ascii="Times New Roman" w:eastAsia="Times New Roman" w:hAnsi="Times New Roman" w:cs="Times New Roman"/>
          <w:sz w:val="22"/>
          <w:szCs w:val="22"/>
        </w:rPr>
        <w:t xml:space="preserve">, </w:t>
      </w:r>
      <w:r w:rsidR="000026CC">
        <w:rPr>
          <w:rFonts w:ascii="Times New Roman" w:eastAsia="Times New Roman" w:hAnsi="Times New Roman" w:cs="Times New Roman"/>
          <w:sz w:val="22"/>
          <w:szCs w:val="22"/>
        </w:rPr>
        <w:t xml:space="preserve">a dále licenční odměnu ve výši 40 000 CZK (slovy: čtyřicet-tisíc-Korun-Českých) hrubého, celkem tedy 200 000 CZK (slovy: dvě-stě-tisíc-Korun-Českých) hrubého, </w:t>
      </w:r>
      <w:r w:rsidRPr="00C01FE0">
        <w:rPr>
          <w:rFonts w:ascii="Times New Roman" w:eastAsia="Times New Roman" w:hAnsi="Times New Roman" w:cs="Times New Roman"/>
          <w:sz w:val="22"/>
          <w:szCs w:val="22"/>
        </w:rPr>
        <w:t>a to</w:t>
      </w:r>
      <w:r w:rsidRPr="00116AD9">
        <w:rPr>
          <w:rFonts w:ascii="Times New Roman" w:eastAsia="Times New Roman" w:hAnsi="Times New Roman" w:cs="Times New Roman"/>
          <w:sz w:val="22"/>
          <w:szCs w:val="22"/>
        </w:rPr>
        <w:t xml:space="preserve"> na základě </w:t>
      </w:r>
      <w:r w:rsidR="00EC6C66">
        <w:rPr>
          <w:rFonts w:ascii="Times New Roman" w:eastAsia="Times New Roman" w:hAnsi="Times New Roman" w:cs="Times New Roman"/>
          <w:sz w:val="22"/>
          <w:szCs w:val="22"/>
        </w:rPr>
        <w:t xml:space="preserve">faktury zaslané </w:t>
      </w:r>
      <w:r w:rsidR="00EC6C66" w:rsidRPr="00EC6C66">
        <w:rPr>
          <w:rFonts w:ascii="Times New Roman" w:eastAsia="Times New Roman" w:hAnsi="Times New Roman" w:cs="Times New Roman"/>
          <w:sz w:val="22"/>
          <w:szCs w:val="22"/>
        </w:rPr>
        <w:t xml:space="preserve">Účinkujícím </w:t>
      </w:r>
      <w:r w:rsidRPr="00EC6C66">
        <w:rPr>
          <w:rFonts w:ascii="Times New Roman" w:eastAsia="Times New Roman" w:hAnsi="Times New Roman" w:cs="Times New Roman"/>
          <w:sz w:val="22"/>
          <w:szCs w:val="22"/>
        </w:rPr>
        <w:t>po provedení Produkce</w:t>
      </w:r>
      <w:r w:rsidR="00116AD9" w:rsidRPr="00116AD9">
        <w:rPr>
          <w:rFonts w:ascii="Times New Roman" w:eastAsia="Times New Roman" w:hAnsi="Times New Roman" w:cs="Times New Roman"/>
          <w:sz w:val="22"/>
          <w:szCs w:val="22"/>
        </w:rPr>
        <w:t>.</w:t>
      </w:r>
      <w:r w:rsidR="00116AD9">
        <w:rPr>
          <w:rFonts w:ascii="Times New Roman" w:eastAsia="Times New Roman" w:hAnsi="Times New Roman" w:cs="Times New Roman"/>
          <w:sz w:val="22"/>
          <w:szCs w:val="22"/>
        </w:rPr>
        <w:t xml:space="preserve"> </w:t>
      </w:r>
      <w:r w:rsidRPr="00116AD9">
        <w:rPr>
          <w:rFonts w:ascii="Times New Roman" w:eastAsia="Times New Roman" w:hAnsi="Times New Roman" w:cs="Times New Roman"/>
          <w:sz w:val="22"/>
          <w:szCs w:val="22"/>
        </w:rPr>
        <w:t xml:space="preserve">Honorář pokrývá veškeré náklady spojené s výkonem v rámci Produkce. </w:t>
      </w:r>
    </w:p>
    <w:p w14:paraId="2FA8B6A2" w14:textId="77777777" w:rsidR="009B2889" w:rsidRDefault="009B2889">
      <w:pPr>
        <w:widowControl w:val="0"/>
        <w:spacing w:line="288" w:lineRule="auto"/>
        <w:ind w:left="566" w:hanging="566"/>
        <w:jc w:val="both"/>
        <w:rPr>
          <w:rFonts w:ascii="Times New Roman" w:eastAsia="Times New Roman" w:hAnsi="Times New Roman" w:cs="Times New Roman"/>
          <w:sz w:val="22"/>
          <w:szCs w:val="22"/>
        </w:rPr>
      </w:pPr>
    </w:p>
    <w:p w14:paraId="76732D9B" w14:textId="087D1580" w:rsidR="009B2889" w:rsidRPr="00C01FE0" w:rsidRDefault="002F70A5" w:rsidP="00863E04">
      <w:pPr>
        <w:numPr>
          <w:ilvl w:val="0"/>
          <w:numId w:val="2"/>
        </w:numPr>
        <w:spacing w:line="288" w:lineRule="auto"/>
        <w:ind w:left="566" w:hanging="566"/>
        <w:jc w:val="both"/>
        <w:rPr>
          <w:rFonts w:ascii="Times New Roman" w:eastAsia="Times New Roman" w:hAnsi="Times New Roman" w:cs="Times New Roman"/>
          <w:sz w:val="22"/>
          <w:szCs w:val="22"/>
        </w:rPr>
      </w:pPr>
      <w:r w:rsidRPr="00C01FE0">
        <w:rPr>
          <w:rFonts w:ascii="Times New Roman" w:eastAsia="Times New Roman" w:hAnsi="Times New Roman" w:cs="Times New Roman"/>
          <w:sz w:val="22"/>
          <w:szCs w:val="22"/>
        </w:rPr>
        <w:t>Není-li Účinkující daňovým rezidentem ČR Pořadatel je povinen zdanit honorář (odměnu) podle platných právních předpisů (především zákona č. 586/1992 Sb., o daních z příjmů)</w:t>
      </w:r>
      <w:r w:rsidR="00DB5E9D" w:rsidRPr="00C01FE0">
        <w:rPr>
          <w:rFonts w:ascii="Times New Roman" w:eastAsia="Times New Roman" w:hAnsi="Times New Roman" w:cs="Times New Roman"/>
          <w:sz w:val="22"/>
          <w:szCs w:val="22"/>
        </w:rPr>
        <w:t>, který činí 15</w:t>
      </w:r>
      <w:r w:rsidR="00C01FE0">
        <w:rPr>
          <w:rFonts w:ascii="Times New Roman" w:eastAsia="Times New Roman" w:hAnsi="Times New Roman" w:cs="Times New Roman"/>
          <w:sz w:val="22"/>
          <w:szCs w:val="22"/>
        </w:rPr>
        <w:t xml:space="preserve"> </w:t>
      </w:r>
      <w:r w:rsidR="00DB5E9D" w:rsidRPr="00C01FE0">
        <w:rPr>
          <w:rFonts w:ascii="Times New Roman" w:eastAsia="Times New Roman" w:hAnsi="Times New Roman" w:cs="Times New Roman"/>
          <w:sz w:val="22"/>
          <w:szCs w:val="22"/>
        </w:rPr>
        <w:t>%</w:t>
      </w:r>
      <w:r w:rsidRPr="00C01FE0">
        <w:rPr>
          <w:rFonts w:ascii="Times New Roman" w:eastAsia="Times New Roman" w:hAnsi="Times New Roman" w:cs="Times New Roman"/>
          <w:sz w:val="22"/>
          <w:szCs w:val="22"/>
        </w:rPr>
        <w:t>. Na základě písemné žádosti vystaví Pořadatel Účinkujícímu potvrzení o zaplacení daně.</w:t>
      </w:r>
    </w:p>
    <w:p w14:paraId="3BA97B76" w14:textId="77777777" w:rsidR="009B2889" w:rsidRDefault="009B2889" w:rsidP="00863E04">
      <w:pPr>
        <w:spacing w:line="288" w:lineRule="auto"/>
        <w:ind w:left="566" w:hanging="566"/>
        <w:jc w:val="both"/>
        <w:rPr>
          <w:rFonts w:ascii="Times New Roman" w:eastAsia="Times New Roman" w:hAnsi="Times New Roman" w:cs="Times New Roman"/>
          <w:sz w:val="22"/>
          <w:szCs w:val="22"/>
        </w:rPr>
      </w:pPr>
    </w:p>
    <w:p w14:paraId="37590E92" w14:textId="556B1355" w:rsidR="009B2889" w:rsidRPr="00311A22" w:rsidRDefault="002F70A5" w:rsidP="00E164AE">
      <w:pPr>
        <w:widowControl w:val="0"/>
        <w:numPr>
          <w:ilvl w:val="0"/>
          <w:numId w:val="2"/>
        </w:numPr>
        <w:spacing w:line="288" w:lineRule="auto"/>
        <w:ind w:left="566" w:hanging="566"/>
        <w:jc w:val="both"/>
        <w:rPr>
          <w:rFonts w:ascii="Times New Roman" w:eastAsia="Times New Roman" w:hAnsi="Times New Roman" w:cs="Times New Roman"/>
          <w:sz w:val="22"/>
          <w:szCs w:val="22"/>
        </w:rPr>
      </w:pPr>
      <w:r w:rsidRPr="00311A22">
        <w:rPr>
          <w:rFonts w:ascii="Times New Roman" w:eastAsia="Times New Roman" w:hAnsi="Times New Roman" w:cs="Times New Roman"/>
          <w:sz w:val="22"/>
          <w:szCs w:val="22"/>
        </w:rPr>
        <w:t>V případě, že je Účinkující plátcem DPH, Odměnou dle odst. 1 tohoto článku se rozumí celková částka včetně daně z přidané hodnoty.</w:t>
      </w:r>
    </w:p>
    <w:p w14:paraId="0B7A65E4" w14:textId="77777777" w:rsidR="00311A22" w:rsidRPr="00311A22" w:rsidRDefault="00311A22" w:rsidP="00311A22">
      <w:pPr>
        <w:widowControl w:val="0"/>
        <w:spacing w:line="288" w:lineRule="auto"/>
        <w:jc w:val="both"/>
        <w:rPr>
          <w:rFonts w:ascii="Times New Roman" w:eastAsia="Times New Roman" w:hAnsi="Times New Roman" w:cs="Times New Roman"/>
          <w:sz w:val="22"/>
          <w:szCs w:val="22"/>
        </w:rPr>
      </w:pPr>
    </w:p>
    <w:p w14:paraId="6E90B800" w14:textId="77777777" w:rsidR="009B2889" w:rsidRDefault="002F70A5">
      <w:pPr>
        <w:widowControl w:val="0"/>
        <w:numPr>
          <w:ilvl w:val="0"/>
          <w:numId w:val="2"/>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Veškeré transakční poplatky spojené s úhradou Odměny hradí Pořadatel. </w:t>
      </w:r>
    </w:p>
    <w:p w14:paraId="40EFC459" w14:textId="77777777" w:rsidR="009B2889" w:rsidRDefault="009B2889">
      <w:pPr>
        <w:widowControl w:val="0"/>
        <w:spacing w:line="288" w:lineRule="auto"/>
        <w:ind w:left="566" w:hanging="566"/>
        <w:jc w:val="both"/>
        <w:rPr>
          <w:rFonts w:ascii="Times New Roman" w:eastAsia="Times New Roman" w:hAnsi="Times New Roman" w:cs="Times New Roman"/>
          <w:sz w:val="22"/>
          <w:szCs w:val="22"/>
        </w:rPr>
      </w:pPr>
    </w:p>
    <w:p w14:paraId="6234D8B4" w14:textId="206A569F" w:rsidR="009B2889" w:rsidRDefault="00EC6C66" w:rsidP="00EC6C66">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10B1D46C" w14:textId="77777777" w:rsidR="009B2889" w:rsidRDefault="002F70A5">
      <w:pPr>
        <w:pStyle w:val="Nadpis2"/>
        <w:widowControl w:val="0"/>
        <w:spacing w:before="0" w:after="0" w:line="288" w:lineRule="auto"/>
        <w:ind w:left="566" w:hanging="566"/>
        <w:rPr>
          <w:rFonts w:ascii="Times New Roman" w:eastAsia="Times New Roman" w:hAnsi="Times New Roman" w:cs="Times New Roman"/>
          <w:sz w:val="22"/>
          <w:szCs w:val="22"/>
        </w:rPr>
      </w:pPr>
      <w:bookmarkStart w:id="7" w:name="_yar971xwhans" w:colFirst="0" w:colLast="0"/>
      <w:bookmarkEnd w:id="7"/>
      <w:r>
        <w:rPr>
          <w:rFonts w:ascii="Times New Roman" w:eastAsia="Times New Roman" w:hAnsi="Times New Roman" w:cs="Times New Roman"/>
          <w:sz w:val="22"/>
          <w:szCs w:val="22"/>
        </w:rPr>
        <w:lastRenderedPageBreak/>
        <w:t xml:space="preserve">IV. </w:t>
      </w:r>
      <w:r>
        <w:rPr>
          <w:rFonts w:ascii="Times New Roman" w:eastAsia="Times New Roman" w:hAnsi="Times New Roman" w:cs="Times New Roman"/>
          <w:sz w:val="22"/>
          <w:szCs w:val="22"/>
        </w:rPr>
        <w:tab/>
        <w:t>Smluvní pokuty</w:t>
      </w:r>
    </w:p>
    <w:p w14:paraId="112EE2AB" w14:textId="77777777" w:rsidR="009B2889" w:rsidRDefault="009B2889">
      <w:pPr>
        <w:spacing w:line="288" w:lineRule="auto"/>
        <w:ind w:left="566" w:hanging="566"/>
        <w:rPr>
          <w:rFonts w:ascii="Times New Roman" w:eastAsia="Times New Roman" w:hAnsi="Times New Roman" w:cs="Times New Roman"/>
          <w:sz w:val="22"/>
          <w:szCs w:val="22"/>
        </w:rPr>
      </w:pPr>
    </w:p>
    <w:p w14:paraId="4EBA6CC6" w14:textId="77777777" w:rsidR="009B2889" w:rsidRDefault="002F70A5" w:rsidP="00863E04">
      <w:pPr>
        <w:numPr>
          <w:ilvl w:val="0"/>
          <w:numId w:val="5"/>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Pakliže Účinkující nesplní závazky vyplývající z této Smlouvy z důvodů jiných, než je selhání Pořadatele, zdravotní indispozice znemožňující Účinkujícímu provedení uměleckého výkonu podložená lékařskou zprávou, a z důvodů jiných, než které jsou mimo jeho kontrolu (politická regulace, válka, přírodní katastrofa nebo obdobný zásah vyšší moci), a jejich nesplnění povede ke znemožnění provedení Produkce, je Účinkující povinen uhradit Pořadateli smluvní pokutu ve výši 100 % dohodnutého honoráře dle článku III. (bez příspěvku na dopravu); a přichází tím o nárok na Odměnu dle čl. III. této Smlouvy.</w:t>
      </w:r>
    </w:p>
    <w:p w14:paraId="60EBB9AD" w14:textId="77777777" w:rsidR="009B2889" w:rsidRDefault="009B2889" w:rsidP="00863E04">
      <w:pPr>
        <w:spacing w:line="288" w:lineRule="auto"/>
        <w:ind w:left="566" w:hanging="566"/>
        <w:jc w:val="both"/>
        <w:rPr>
          <w:rFonts w:ascii="Times New Roman" w:eastAsia="Times New Roman" w:hAnsi="Times New Roman" w:cs="Times New Roman"/>
          <w:sz w:val="22"/>
          <w:szCs w:val="22"/>
        </w:rPr>
      </w:pPr>
    </w:p>
    <w:p w14:paraId="4E3F0234" w14:textId="2B92820B" w:rsidR="009B2889" w:rsidRDefault="002F70A5" w:rsidP="00863E04">
      <w:pPr>
        <w:numPr>
          <w:ilvl w:val="0"/>
          <w:numId w:val="5"/>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Pakliže Pořadatel nesplní závazky vyplývající z této Smlouvy z důvodů jiných, než je selhání Účinkujícího, akutní zdravotní indispozice podstatné části orchestru či z důvodů jiných, než které jsou mimo jeho kontrolu (dopravní situace znemožňující včasnou přepravu nástrojů, politická regulace, válka, přírodní katastrofa nebo obdobný zásah vyšší moci), a jejich nesplnění povede ke znemožnění provedení Produkce, je Pořadatel povinen uhradit Účinkujícímu celou odměnu jak je uvedeno výše (bez příspěvku na dopravu). Případné další výdaje nejsou Pořadatelem hrazeny.</w:t>
      </w:r>
    </w:p>
    <w:p w14:paraId="2C2CDFD7" w14:textId="77777777" w:rsidR="00EC6C66" w:rsidRPr="00EC6C66" w:rsidRDefault="00EC6C66" w:rsidP="00EC6C66">
      <w:bookmarkStart w:id="8" w:name="_7su8mn12ts12" w:colFirst="0" w:colLast="0"/>
      <w:bookmarkEnd w:id="8"/>
    </w:p>
    <w:p w14:paraId="6308E7AD" w14:textId="25C11B54" w:rsidR="009B2889" w:rsidRDefault="002F70A5">
      <w:pPr>
        <w:pStyle w:val="Nadpis2"/>
        <w:widowControl w:val="0"/>
        <w:spacing w:before="0" w:after="0" w:line="288" w:lineRule="auto"/>
        <w:ind w:left="566" w:hanging="566"/>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 </w:t>
      </w:r>
      <w:r>
        <w:rPr>
          <w:rFonts w:ascii="Times New Roman" w:eastAsia="Times New Roman" w:hAnsi="Times New Roman" w:cs="Times New Roman"/>
          <w:sz w:val="22"/>
          <w:szCs w:val="22"/>
        </w:rPr>
        <w:tab/>
        <w:t>Změna smluvních podmínek</w:t>
      </w:r>
    </w:p>
    <w:p w14:paraId="67ACCA90" w14:textId="77777777" w:rsidR="009B2889" w:rsidRDefault="009B2889">
      <w:pPr>
        <w:spacing w:line="288" w:lineRule="auto"/>
        <w:ind w:left="566" w:hanging="566"/>
        <w:jc w:val="both"/>
        <w:rPr>
          <w:rFonts w:ascii="Times New Roman" w:eastAsia="Times New Roman" w:hAnsi="Times New Roman" w:cs="Times New Roman"/>
          <w:sz w:val="22"/>
          <w:szCs w:val="22"/>
        </w:rPr>
      </w:pPr>
    </w:p>
    <w:p w14:paraId="6AE3D3AC" w14:textId="77777777" w:rsidR="009B2889" w:rsidRDefault="002F70A5">
      <w:pPr>
        <w:widowControl w:val="0"/>
        <w:numPr>
          <w:ilvl w:val="0"/>
          <w:numId w:val="6"/>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Změna podmínek, postavení, oprávnění aj. na straně kterékoli Smluvní strany nevede bez dalšího k zániku práv a povinností z této Smlouvy. Zásadní změny podmínek Smlouvy budou předmětem vzájemné a řádně zdokumentované dohody obou stran.</w:t>
      </w:r>
    </w:p>
    <w:p w14:paraId="4266376E" w14:textId="77777777" w:rsidR="009B2889" w:rsidRDefault="009B2889" w:rsidP="000C1B69">
      <w:pPr>
        <w:spacing w:line="288" w:lineRule="auto"/>
        <w:jc w:val="both"/>
        <w:rPr>
          <w:rFonts w:ascii="Times New Roman" w:eastAsia="Times New Roman" w:hAnsi="Times New Roman" w:cs="Times New Roman"/>
          <w:sz w:val="22"/>
          <w:szCs w:val="22"/>
        </w:rPr>
      </w:pPr>
    </w:p>
    <w:p w14:paraId="66695DC3" w14:textId="77777777" w:rsidR="009B2889" w:rsidRDefault="002F70A5">
      <w:pPr>
        <w:pStyle w:val="Nadpis2"/>
        <w:widowControl w:val="0"/>
        <w:spacing w:before="0" w:after="0" w:line="288" w:lineRule="auto"/>
        <w:ind w:left="566" w:hanging="566"/>
        <w:rPr>
          <w:rFonts w:ascii="Times New Roman" w:eastAsia="Times New Roman" w:hAnsi="Times New Roman" w:cs="Times New Roman"/>
          <w:sz w:val="22"/>
          <w:szCs w:val="22"/>
        </w:rPr>
      </w:pPr>
      <w:bookmarkStart w:id="9" w:name="_s7ya19xrz7a3" w:colFirst="0" w:colLast="0"/>
      <w:bookmarkEnd w:id="9"/>
      <w:r>
        <w:rPr>
          <w:rFonts w:ascii="Times New Roman" w:eastAsia="Times New Roman" w:hAnsi="Times New Roman" w:cs="Times New Roman"/>
          <w:sz w:val="22"/>
          <w:szCs w:val="22"/>
        </w:rPr>
        <w:t xml:space="preserve">VI. </w:t>
      </w:r>
      <w:r>
        <w:rPr>
          <w:rFonts w:ascii="Times New Roman" w:eastAsia="Times New Roman" w:hAnsi="Times New Roman" w:cs="Times New Roman"/>
          <w:sz w:val="22"/>
          <w:szCs w:val="22"/>
        </w:rPr>
        <w:tab/>
        <w:t>Závěrečná ustanovení</w:t>
      </w:r>
    </w:p>
    <w:p w14:paraId="733EE3C5" w14:textId="77777777" w:rsidR="009B2889" w:rsidRDefault="009B2889">
      <w:pPr>
        <w:widowControl w:val="0"/>
        <w:spacing w:line="288" w:lineRule="auto"/>
        <w:ind w:left="566" w:hanging="566"/>
        <w:jc w:val="both"/>
        <w:rPr>
          <w:rFonts w:ascii="Times New Roman" w:eastAsia="Times New Roman" w:hAnsi="Times New Roman" w:cs="Times New Roman"/>
          <w:sz w:val="22"/>
          <w:szCs w:val="22"/>
        </w:rPr>
      </w:pPr>
    </w:p>
    <w:p w14:paraId="4EB4E5EA" w14:textId="77777777" w:rsidR="009B2889" w:rsidRDefault="002F70A5">
      <w:pPr>
        <w:widowControl w:val="0"/>
        <w:numPr>
          <w:ilvl w:val="0"/>
          <w:numId w:val="7"/>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Obě smluvní strany tímto zaručují, že mají plné právo uzavřít závazky vyplývající z této smlouvy a že nebudou přijímat žádné závazky, které by mohly ohrozit jejich řádné provádění.</w:t>
      </w:r>
    </w:p>
    <w:p w14:paraId="0CE52AD6" w14:textId="77777777" w:rsidR="009B2889" w:rsidRDefault="009B2889">
      <w:pPr>
        <w:widowControl w:val="0"/>
        <w:spacing w:line="288" w:lineRule="auto"/>
        <w:ind w:left="566" w:hanging="566"/>
        <w:jc w:val="both"/>
        <w:rPr>
          <w:rFonts w:ascii="Times New Roman" w:eastAsia="Times New Roman" w:hAnsi="Times New Roman" w:cs="Times New Roman"/>
          <w:sz w:val="22"/>
          <w:szCs w:val="22"/>
        </w:rPr>
      </w:pPr>
    </w:p>
    <w:p w14:paraId="4EA90BA3" w14:textId="77777777" w:rsidR="009B2889" w:rsidRDefault="002F70A5">
      <w:pPr>
        <w:widowControl w:val="0"/>
        <w:numPr>
          <w:ilvl w:val="0"/>
          <w:numId w:val="7"/>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Tato smlouva se řídí právním řádem České republiky. Příslušné pro řešení jakýchkoli sporů, které nebudou vyřešeny Smluvními stranami smírně, jsou soudy České republiky, a to soudy místně příslušné na straně Pořadatele.</w:t>
      </w:r>
    </w:p>
    <w:p w14:paraId="46305963" w14:textId="77777777" w:rsidR="009B2889" w:rsidRDefault="009B2889">
      <w:pPr>
        <w:widowControl w:val="0"/>
        <w:spacing w:line="288" w:lineRule="auto"/>
        <w:ind w:left="566" w:hanging="566"/>
        <w:jc w:val="both"/>
        <w:rPr>
          <w:rFonts w:ascii="Times New Roman" w:eastAsia="Times New Roman" w:hAnsi="Times New Roman" w:cs="Times New Roman"/>
          <w:sz w:val="22"/>
          <w:szCs w:val="22"/>
        </w:rPr>
      </w:pPr>
    </w:p>
    <w:p w14:paraId="47E1F764" w14:textId="77777777" w:rsidR="009B2889" w:rsidRDefault="002F70A5">
      <w:pPr>
        <w:widowControl w:val="0"/>
        <w:numPr>
          <w:ilvl w:val="0"/>
          <w:numId w:val="7"/>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Tato smlouva je vyhotovena ve dvou provedeních, z nichž každá smluvní strana obdrží po jednom. </w:t>
      </w:r>
    </w:p>
    <w:p w14:paraId="04A80C95" w14:textId="509415FE" w:rsidR="009B2889" w:rsidRDefault="00EC6C66" w:rsidP="00EC6C66">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6E1285D3" w14:textId="0E754E78" w:rsidR="009B2889" w:rsidRPr="00311A22" w:rsidRDefault="002F70A5" w:rsidP="00B40BEA">
      <w:pPr>
        <w:widowControl w:val="0"/>
        <w:numPr>
          <w:ilvl w:val="0"/>
          <w:numId w:val="7"/>
        </w:numPr>
        <w:spacing w:line="288" w:lineRule="auto"/>
        <w:ind w:left="566" w:hanging="566"/>
        <w:jc w:val="both"/>
        <w:rPr>
          <w:rFonts w:ascii="Times New Roman" w:eastAsia="Times New Roman" w:hAnsi="Times New Roman" w:cs="Times New Roman"/>
          <w:sz w:val="22"/>
          <w:szCs w:val="22"/>
        </w:rPr>
      </w:pPr>
      <w:r w:rsidRPr="00311A22">
        <w:rPr>
          <w:rFonts w:ascii="Times New Roman" w:eastAsia="Times New Roman" w:hAnsi="Times New Roman" w:cs="Times New Roman"/>
          <w:sz w:val="22"/>
          <w:szCs w:val="22"/>
        </w:rPr>
        <w:lastRenderedPageBreak/>
        <w:t xml:space="preserve">Smluvní strany níže svým podpisem stvrzují, že si Smlouvu před jejím podpisem přečetly, s jejím obsahem souhlasí, a tato je sepsána podle jejich pravé a skutečné vůle, srozumitelně a určitě, nikoli v tísni za nápadně nevýhodných podmínek. Tato Smlouva je účinná dnem podpisu poslední ze Smluvních stran. Pokud tato Smlouva podléhá zákonu o registru smluv č. 340/2015 Sb., stává se účinnou dnem zveřejnění v Registru smluv. </w:t>
      </w:r>
    </w:p>
    <w:p w14:paraId="57A4E776" w14:textId="77777777" w:rsidR="009B2889" w:rsidRDefault="009B2889">
      <w:pPr>
        <w:widowControl w:val="0"/>
        <w:spacing w:line="288" w:lineRule="auto"/>
        <w:jc w:val="both"/>
        <w:rPr>
          <w:rFonts w:ascii="Times New Roman" w:eastAsia="Times New Roman" w:hAnsi="Times New Roman" w:cs="Times New Roman"/>
          <w:sz w:val="22"/>
          <w:szCs w:val="22"/>
        </w:rPr>
      </w:pPr>
    </w:p>
    <w:tbl>
      <w:tblPr>
        <w:tblStyle w:val="a"/>
        <w:tblW w:w="9180" w:type="dxa"/>
        <w:jc w:val="center"/>
        <w:tblInd w:w="0" w:type="dxa"/>
        <w:tblLayout w:type="fixed"/>
        <w:tblLook w:val="0000" w:firstRow="0" w:lastRow="0" w:firstColumn="0" w:lastColumn="0" w:noHBand="0" w:noVBand="0"/>
      </w:tblPr>
      <w:tblGrid>
        <w:gridCol w:w="4590"/>
        <w:gridCol w:w="4590"/>
      </w:tblGrid>
      <w:tr w:rsidR="009B2889" w14:paraId="5A2D5635" w14:textId="77777777" w:rsidTr="00DF2568">
        <w:trPr>
          <w:jc w:val="center"/>
        </w:trPr>
        <w:tc>
          <w:tcPr>
            <w:tcW w:w="4590" w:type="dxa"/>
            <w:tcBorders>
              <w:top w:val="nil"/>
              <w:left w:val="nil"/>
              <w:bottom w:val="nil"/>
              <w:right w:val="nil"/>
            </w:tcBorders>
          </w:tcPr>
          <w:p w14:paraId="6C5084CA" w14:textId="7DC647EA" w:rsidR="009B2889" w:rsidRDefault="002D6D7B">
            <w:pPr>
              <w:widowControl w:val="0"/>
              <w:spacing w:line="288" w:lineRule="auto"/>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br/>
            </w:r>
            <w:r w:rsidR="002F70A5">
              <w:rPr>
                <w:rFonts w:ascii="Times New Roman" w:eastAsia="Times New Roman" w:hAnsi="Times New Roman" w:cs="Times New Roman"/>
                <w:sz w:val="22"/>
                <w:szCs w:val="22"/>
              </w:rPr>
              <w:t xml:space="preserve">V </w:t>
            </w:r>
            <w:r>
              <w:rPr>
                <w:rFonts w:ascii="Times New Roman" w:eastAsia="Times New Roman" w:hAnsi="Times New Roman" w:cs="Times New Roman"/>
                <w:sz w:val="22"/>
                <w:szCs w:val="22"/>
              </w:rPr>
              <w:t>Ostravě</w:t>
            </w:r>
            <w:r w:rsidR="002F70A5">
              <w:rPr>
                <w:rFonts w:ascii="Times New Roman" w:eastAsia="Times New Roman" w:hAnsi="Times New Roman" w:cs="Times New Roman"/>
                <w:sz w:val="22"/>
                <w:szCs w:val="22"/>
              </w:rPr>
              <w:t xml:space="preserve"> dne _______</w:t>
            </w:r>
            <w:r>
              <w:rPr>
                <w:rFonts w:ascii="Times New Roman" w:eastAsia="Times New Roman" w:hAnsi="Times New Roman" w:cs="Times New Roman"/>
                <w:sz w:val="22"/>
                <w:szCs w:val="22"/>
              </w:rPr>
              <w:t>_____</w:t>
            </w:r>
            <w:r w:rsidR="002F70A5">
              <w:rPr>
                <w:rFonts w:ascii="Times New Roman" w:eastAsia="Times New Roman" w:hAnsi="Times New Roman" w:cs="Times New Roman"/>
                <w:sz w:val="22"/>
                <w:szCs w:val="22"/>
              </w:rPr>
              <w:t>_____</w:t>
            </w:r>
          </w:p>
        </w:tc>
        <w:tc>
          <w:tcPr>
            <w:tcW w:w="4590" w:type="dxa"/>
            <w:tcBorders>
              <w:top w:val="nil"/>
              <w:left w:val="nil"/>
              <w:bottom w:val="nil"/>
              <w:right w:val="nil"/>
            </w:tcBorders>
          </w:tcPr>
          <w:p w14:paraId="58FD3DCB" w14:textId="77777777" w:rsidR="002D6D7B" w:rsidRDefault="002D6D7B">
            <w:pPr>
              <w:widowControl w:val="0"/>
              <w:spacing w:line="288" w:lineRule="auto"/>
              <w:ind w:left="708"/>
              <w:jc w:val="both"/>
              <w:rPr>
                <w:rFonts w:ascii="Times New Roman" w:eastAsia="Times New Roman" w:hAnsi="Times New Roman" w:cs="Times New Roman"/>
                <w:sz w:val="22"/>
                <w:szCs w:val="22"/>
              </w:rPr>
            </w:pPr>
          </w:p>
          <w:p w14:paraId="68031AF0" w14:textId="3AC1DDDC" w:rsidR="009B2889" w:rsidRDefault="002F70A5">
            <w:pPr>
              <w:widowControl w:val="0"/>
              <w:spacing w:line="288" w:lineRule="auto"/>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 ________</w:t>
            </w:r>
            <w:r w:rsidR="002D6D7B">
              <w:rPr>
                <w:rFonts w:ascii="Times New Roman" w:eastAsia="Times New Roman" w:hAnsi="Times New Roman" w:cs="Times New Roman"/>
                <w:sz w:val="22"/>
                <w:szCs w:val="22"/>
              </w:rPr>
              <w:t>_</w:t>
            </w:r>
            <w:r>
              <w:rPr>
                <w:rFonts w:ascii="Times New Roman" w:eastAsia="Times New Roman" w:hAnsi="Times New Roman" w:cs="Times New Roman"/>
                <w:sz w:val="22"/>
                <w:szCs w:val="22"/>
              </w:rPr>
              <w:t>___ dne ____________</w:t>
            </w:r>
          </w:p>
        </w:tc>
      </w:tr>
      <w:tr w:rsidR="009B2889" w14:paraId="548236A5" w14:textId="77777777" w:rsidTr="00DF2568">
        <w:trPr>
          <w:jc w:val="center"/>
        </w:trPr>
        <w:tc>
          <w:tcPr>
            <w:tcW w:w="4590" w:type="dxa"/>
            <w:tcBorders>
              <w:top w:val="nil"/>
              <w:left w:val="nil"/>
              <w:bottom w:val="nil"/>
              <w:right w:val="nil"/>
            </w:tcBorders>
          </w:tcPr>
          <w:p w14:paraId="1851141C" w14:textId="77777777" w:rsidR="009B2889" w:rsidRDefault="009B2889">
            <w:pPr>
              <w:widowControl w:val="0"/>
              <w:spacing w:line="288" w:lineRule="auto"/>
              <w:ind w:left="708"/>
              <w:jc w:val="both"/>
              <w:rPr>
                <w:rFonts w:ascii="Times New Roman" w:eastAsia="Times New Roman" w:hAnsi="Times New Roman" w:cs="Times New Roman"/>
                <w:sz w:val="22"/>
                <w:szCs w:val="22"/>
              </w:rPr>
            </w:pPr>
          </w:p>
        </w:tc>
        <w:tc>
          <w:tcPr>
            <w:tcW w:w="4590" w:type="dxa"/>
            <w:tcBorders>
              <w:top w:val="nil"/>
              <w:left w:val="nil"/>
              <w:bottom w:val="nil"/>
              <w:right w:val="nil"/>
            </w:tcBorders>
          </w:tcPr>
          <w:p w14:paraId="797D3C60" w14:textId="77777777" w:rsidR="009B2889" w:rsidRDefault="009B2889">
            <w:pPr>
              <w:widowControl w:val="0"/>
              <w:spacing w:line="288" w:lineRule="auto"/>
              <w:ind w:left="708"/>
              <w:jc w:val="both"/>
              <w:rPr>
                <w:rFonts w:ascii="Times New Roman" w:eastAsia="Times New Roman" w:hAnsi="Times New Roman" w:cs="Times New Roman"/>
                <w:sz w:val="22"/>
                <w:szCs w:val="22"/>
              </w:rPr>
            </w:pPr>
          </w:p>
        </w:tc>
      </w:tr>
      <w:tr w:rsidR="009B2889" w14:paraId="3C176B79" w14:textId="77777777" w:rsidTr="00DF2568">
        <w:trPr>
          <w:jc w:val="center"/>
        </w:trPr>
        <w:tc>
          <w:tcPr>
            <w:tcW w:w="4590" w:type="dxa"/>
            <w:tcBorders>
              <w:top w:val="nil"/>
              <w:left w:val="nil"/>
              <w:bottom w:val="nil"/>
              <w:right w:val="nil"/>
            </w:tcBorders>
          </w:tcPr>
          <w:p w14:paraId="227736E1" w14:textId="77777777" w:rsidR="009B2889" w:rsidRDefault="009B2889">
            <w:pPr>
              <w:widowControl w:val="0"/>
              <w:spacing w:line="288" w:lineRule="auto"/>
              <w:ind w:left="708"/>
              <w:jc w:val="both"/>
              <w:rPr>
                <w:rFonts w:ascii="Times New Roman" w:eastAsia="Times New Roman" w:hAnsi="Times New Roman" w:cs="Times New Roman"/>
                <w:sz w:val="22"/>
                <w:szCs w:val="22"/>
              </w:rPr>
            </w:pPr>
          </w:p>
        </w:tc>
        <w:tc>
          <w:tcPr>
            <w:tcW w:w="4590" w:type="dxa"/>
            <w:tcBorders>
              <w:top w:val="nil"/>
              <w:left w:val="nil"/>
              <w:bottom w:val="nil"/>
              <w:right w:val="nil"/>
            </w:tcBorders>
          </w:tcPr>
          <w:p w14:paraId="52810E88" w14:textId="77777777" w:rsidR="009B2889" w:rsidRDefault="009B2889">
            <w:pPr>
              <w:widowControl w:val="0"/>
              <w:spacing w:line="288" w:lineRule="auto"/>
              <w:ind w:left="708"/>
              <w:jc w:val="both"/>
              <w:rPr>
                <w:rFonts w:ascii="Times New Roman" w:eastAsia="Times New Roman" w:hAnsi="Times New Roman" w:cs="Times New Roman"/>
                <w:sz w:val="22"/>
                <w:szCs w:val="22"/>
              </w:rPr>
            </w:pPr>
          </w:p>
        </w:tc>
      </w:tr>
      <w:tr w:rsidR="009B2889" w14:paraId="275DB0CD" w14:textId="77777777" w:rsidTr="00DF2568">
        <w:trPr>
          <w:jc w:val="center"/>
        </w:trPr>
        <w:tc>
          <w:tcPr>
            <w:tcW w:w="4590" w:type="dxa"/>
            <w:tcBorders>
              <w:top w:val="nil"/>
              <w:left w:val="nil"/>
              <w:bottom w:val="nil"/>
              <w:right w:val="nil"/>
            </w:tcBorders>
          </w:tcPr>
          <w:p w14:paraId="6982C24B" w14:textId="77777777" w:rsidR="009B2889" w:rsidRDefault="009B2889">
            <w:pPr>
              <w:widowControl w:val="0"/>
              <w:spacing w:line="288" w:lineRule="auto"/>
              <w:ind w:left="708"/>
              <w:jc w:val="both"/>
              <w:rPr>
                <w:rFonts w:ascii="Times New Roman" w:eastAsia="Times New Roman" w:hAnsi="Times New Roman" w:cs="Times New Roman"/>
                <w:sz w:val="22"/>
                <w:szCs w:val="22"/>
              </w:rPr>
            </w:pPr>
          </w:p>
        </w:tc>
        <w:tc>
          <w:tcPr>
            <w:tcW w:w="4590" w:type="dxa"/>
            <w:tcBorders>
              <w:top w:val="nil"/>
              <w:left w:val="nil"/>
              <w:bottom w:val="nil"/>
              <w:right w:val="nil"/>
            </w:tcBorders>
          </w:tcPr>
          <w:p w14:paraId="5864A012" w14:textId="77777777" w:rsidR="009B2889" w:rsidRDefault="009B2889">
            <w:pPr>
              <w:widowControl w:val="0"/>
              <w:spacing w:line="288" w:lineRule="auto"/>
              <w:ind w:left="708"/>
              <w:jc w:val="both"/>
              <w:rPr>
                <w:rFonts w:ascii="Times New Roman" w:eastAsia="Times New Roman" w:hAnsi="Times New Roman" w:cs="Times New Roman"/>
                <w:sz w:val="22"/>
                <w:szCs w:val="22"/>
              </w:rPr>
            </w:pPr>
          </w:p>
        </w:tc>
      </w:tr>
      <w:tr w:rsidR="009B2889" w14:paraId="2C36DD76" w14:textId="77777777" w:rsidTr="00DF2568">
        <w:trPr>
          <w:jc w:val="center"/>
        </w:trPr>
        <w:tc>
          <w:tcPr>
            <w:tcW w:w="4590" w:type="dxa"/>
            <w:tcBorders>
              <w:top w:val="nil"/>
              <w:left w:val="nil"/>
              <w:bottom w:val="nil"/>
              <w:right w:val="nil"/>
            </w:tcBorders>
          </w:tcPr>
          <w:p w14:paraId="50546F47" w14:textId="77777777" w:rsidR="009B2889" w:rsidRDefault="002F70A5">
            <w:pPr>
              <w:widowControl w:val="0"/>
              <w:spacing w:line="288" w:lineRule="auto"/>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w:t>
            </w:r>
          </w:p>
        </w:tc>
        <w:tc>
          <w:tcPr>
            <w:tcW w:w="4590" w:type="dxa"/>
            <w:tcBorders>
              <w:top w:val="nil"/>
              <w:left w:val="nil"/>
              <w:bottom w:val="nil"/>
              <w:right w:val="nil"/>
            </w:tcBorders>
          </w:tcPr>
          <w:p w14:paraId="523DE995" w14:textId="77777777" w:rsidR="009B2889" w:rsidRDefault="002F70A5">
            <w:pPr>
              <w:widowControl w:val="0"/>
              <w:spacing w:line="288" w:lineRule="auto"/>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w:t>
            </w:r>
          </w:p>
        </w:tc>
      </w:tr>
      <w:tr w:rsidR="009B2889" w14:paraId="5834F6D4" w14:textId="77777777" w:rsidTr="00DF2568">
        <w:trPr>
          <w:jc w:val="center"/>
        </w:trPr>
        <w:tc>
          <w:tcPr>
            <w:tcW w:w="4590" w:type="dxa"/>
            <w:tcBorders>
              <w:top w:val="nil"/>
              <w:left w:val="nil"/>
              <w:bottom w:val="nil"/>
              <w:right w:val="nil"/>
            </w:tcBorders>
          </w:tcPr>
          <w:p w14:paraId="4FDAB3A9" w14:textId="77777777" w:rsidR="009B2889" w:rsidRDefault="002F70A5" w:rsidP="00DF2568">
            <w:pPr>
              <w:widowControl w:val="0"/>
              <w:spacing w:line="288" w:lineRule="auto"/>
              <w:ind w:left="708"/>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Pořadatel</w:t>
            </w:r>
          </w:p>
        </w:tc>
        <w:tc>
          <w:tcPr>
            <w:tcW w:w="4590" w:type="dxa"/>
            <w:tcBorders>
              <w:top w:val="nil"/>
              <w:left w:val="nil"/>
              <w:bottom w:val="nil"/>
              <w:right w:val="nil"/>
            </w:tcBorders>
          </w:tcPr>
          <w:p w14:paraId="142B324A" w14:textId="77777777" w:rsidR="009B2889" w:rsidRDefault="002F70A5" w:rsidP="00DF2568">
            <w:pPr>
              <w:widowControl w:val="0"/>
              <w:spacing w:line="288" w:lineRule="auto"/>
              <w:ind w:left="708"/>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Účinkující</w:t>
            </w:r>
          </w:p>
        </w:tc>
      </w:tr>
    </w:tbl>
    <w:p w14:paraId="34FE7A6A" w14:textId="77777777" w:rsidR="009B2889" w:rsidRDefault="009B2889">
      <w:pPr>
        <w:pBdr>
          <w:top w:val="nil"/>
          <w:left w:val="nil"/>
          <w:bottom w:val="nil"/>
          <w:right w:val="nil"/>
          <w:between w:val="nil"/>
        </w:pBdr>
        <w:spacing w:line="288" w:lineRule="auto"/>
        <w:rPr>
          <w:rFonts w:ascii="Times New Roman" w:eastAsia="Times New Roman" w:hAnsi="Times New Roman" w:cs="Times New Roman"/>
          <w:sz w:val="22"/>
          <w:szCs w:val="22"/>
        </w:rPr>
      </w:pPr>
    </w:p>
    <w:sectPr w:rsidR="009B2889">
      <w:headerReference w:type="even" r:id="rId7"/>
      <w:headerReference w:type="default" r:id="rId8"/>
      <w:footerReference w:type="even" r:id="rId9"/>
      <w:footerReference w:type="default" r:id="rId10"/>
      <w:headerReference w:type="first" r:id="rId11"/>
      <w:footerReference w:type="first" r:id="rId12"/>
      <w:pgSz w:w="11900" w:h="16840"/>
      <w:pgMar w:top="2692" w:right="1132" w:bottom="2949" w:left="1133" w:header="705"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FE68D" w14:textId="77777777" w:rsidR="00BA2D4E" w:rsidRDefault="00BA2D4E">
      <w:r>
        <w:separator/>
      </w:r>
    </w:p>
  </w:endnote>
  <w:endnote w:type="continuationSeparator" w:id="0">
    <w:p w14:paraId="736B1110" w14:textId="77777777" w:rsidR="00BA2D4E" w:rsidRDefault="00BA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3CCA" w14:textId="77777777" w:rsidR="009B2889" w:rsidRDefault="002F70A5">
    <w:pPr>
      <w:pBdr>
        <w:top w:val="nil"/>
        <w:left w:val="nil"/>
        <w:bottom w:val="nil"/>
        <w:right w:val="nil"/>
        <w:between w:val="nil"/>
      </w:pBdr>
      <w:tabs>
        <w:tab w:val="center" w:pos="4557"/>
        <w:tab w:val="right" w:pos="9115"/>
      </w:tabs>
      <w:rPr>
        <w:color w:val="000000"/>
        <w:sz w:val="24"/>
        <w:szCs w:val="24"/>
      </w:rPr>
    </w:pPr>
    <w:r>
      <w:rPr>
        <w:color w:val="000000"/>
        <w:sz w:val="24"/>
        <w:szCs w:val="24"/>
      </w:rPr>
      <w:t>[Type text]</w:t>
    </w:r>
    <w:r>
      <w:rPr>
        <w:color w:val="000000"/>
        <w:sz w:val="24"/>
        <w:szCs w:val="24"/>
      </w:rPr>
      <w:tab/>
      <w:t>[Type text]</w:t>
    </w:r>
    <w:r>
      <w:rPr>
        <w:color w:val="000000"/>
        <w:sz w:val="24"/>
        <w:szCs w:val="24"/>
      </w:rP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1CDC" w14:textId="77777777" w:rsidR="009B2889" w:rsidRDefault="002F70A5">
    <w:pPr>
      <w:rPr>
        <w:color w:val="000000"/>
        <w:sz w:val="24"/>
        <w:szCs w:val="24"/>
      </w:rPr>
    </w:pPr>
    <w:r>
      <w:rPr>
        <w:noProof/>
        <w:sz w:val="24"/>
        <w:szCs w:val="24"/>
      </w:rPr>
      <w:drawing>
        <wp:inline distT="0" distB="0" distL="114300" distR="114300" wp14:anchorId="7F3FD388" wp14:editId="4EA3108D">
          <wp:extent cx="6044475" cy="13049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307"/>
                  <a:stretch>
                    <a:fillRect/>
                  </a:stretch>
                </pic:blipFill>
                <pic:spPr>
                  <a:xfrm>
                    <a:off x="0" y="0"/>
                    <a:ext cx="6044475" cy="130492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E32C" w14:textId="77777777" w:rsidR="009B2889" w:rsidRDefault="009B2889">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480DA" w14:textId="77777777" w:rsidR="00BA2D4E" w:rsidRDefault="00BA2D4E">
      <w:r>
        <w:separator/>
      </w:r>
    </w:p>
  </w:footnote>
  <w:footnote w:type="continuationSeparator" w:id="0">
    <w:p w14:paraId="360E214D" w14:textId="77777777" w:rsidR="00BA2D4E" w:rsidRDefault="00BA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8674" w14:textId="77777777" w:rsidR="009B2889" w:rsidRDefault="002F70A5">
    <w:pPr>
      <w:pBdr>
        <w:top w:val="nil"/>
        <w:left w:val="nil"/>
        <w:bottom w:val="nil"/>
        <w:right w:val="nil"/>
        <w:between w:val="nil"/>
      </w:pBdr>
      <w:tabs>
        <w:tab w:val="center" w:pos="4557"/>
        <w:tab w:val="right" w:pos="9115"/>
      </w:tabs>
      <w:rPr>
        <w:color w:val="000000"/>
        <w:sz w:val="24"/>
        <w:szCs w:val="24"/>
      </w:rPr>
    </w:pPr>
    <w:r>
      <w:rPr>
        <w:color w:val="000000"/>
        <w:sz w:val="24"/>
        <w:szCs w:val="24"/>
      </w:rPr>
      <w:t>[Type text]</w:t>
    </w:r>
    <w:r>
      <w:rPr>
        <w:color w:val="000000"/>
        <w:sz w:val="24"/>
        <w:szCs w:val="24"/>
      </w:rPr>
      <w:tab/>
      <w:t>[Type text]</w:t>
    </w:r>
    <w:r>
      <w:rPr>
        <w:color w:val="000000"/>
        <w:sz w:val="24"/>
        <w:szCs w:val="24"/>
      </w:rPr>
      <w:tab/>
      <w:t>[Type text]</w:t>
    </w:r>
  </w:p>
  <w:p w14:paraId="05BD1059" w14:textId="77777777" w:rsidR="009B2889" w:rsidRDefault="009B2889">
    <w:pPr>
      <w:pBdr>
        <w:top w:val="nil"/>
        <w:left w:val="nil"/>
        <w:bottom w:val="nil"/>
        <w:right w:val="nil"/>
        <w:between w:val="nil"/>
      </w:pBdr>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D243" w14:textId="77777777" w:rsidR="009B2889" w:rsidRDefault="002F70A5">
    <w:pPr>
      <w:pBdr>
        <w:top w:val="nil"/>
        <w:left w:val="nil"/>
        <w:bottom w:val="nil"/>
        <w:right w:val="nil"/>
        <w:between w:val="nil"/>
      </w:pBdr>
      <w:rPr>
        <w:color w:val="000000"/>
        <w:sz w:val="24"/>
        <w:szCs w:val="24"/>
      </w:rPr>
    </w:pPr>
    <w:r>
      <w:rPr>
        <w:noProof/>
        <w:sz w:val="24"/>
        <w:szCs w:val="24"/>
      </w:rPr>
      <w:drawing>
        <wp:inline distT="114300" distB="114300" distL="114300" distR="114300" wp14:anchorId="4A1DDDF6" wp14:editId="76D9091F">
          <wp:extent cx="2866163" cy="85793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485" r="3510"/>
                  <a:stretch>
                    <a:fillRect/>
                  </a:stretch>
                </pic:blipFill>
                <pic:spPr>
                  <a:xfrm>
                    <a:off x="0" y="0"/>
                    <a:ext cx="2866163" cy="857932"/>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0B4E" w14:textId="77777777" w:rsidR="009B2889" w:rsidRDefault="009B2889">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DBA"/>
    <w:multiLevelType w:val="multilevel"/>
    <w:tmpl w:val="E4ECB0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835891"/>
    <w:multiLevelType w:val="multilevel"/>
    <w:tmpl w:val="18E0C1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8C406A5"/>
    <w:multiLevelType w:val="multilevel"/>
    <w:tmpl w:val="1E68F6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C1804B6"/>
    <w:multiLevelType w:val="multilevel"/>
    <w:tmpl w:val="E7AEAC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46F5F60"/>
    <w:multiLevelType w:val="multilevel"/>
    <w:tmpl w:val="812C13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1505B93"/>
    <w:multiLevelType w:val="multilevel"/>
    <w:tmpl w:val="BC00C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37F2250"/>
    <w:multiLevelType w:val="multilevel"/>
    <w:tmpl w:val="3C8422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98560328">
    <w:abstractNumId w:val="0"/>
  </w:num>
  <w:num w:numId="2" w16cid:durableId="1284189884">
    <w:abstractNumId w:val="5"/>
  </w:num>
  <w:num w:numId="3" w16cid:durableId="1132402655">
    <w:abstractNumId w:val="1"/>
  </w:num>
  <w:num w:numId="4" w16cid:durableId="1104106554">
    <w:abstractNumId w:val="2"/>
  </w:num>
  <w:num w:numId="5" w16cid:durableId="79525057">
    <w:abstractNumId w:val="4"/>
  </w:num>
  <w:num w:numId="6" w16cid:durableId="1932933365">
    <w:abstractNumId w:val="3"/>
  </w:num>
  <w:num w:numId="7" w16cid:durableId="1140801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89"/>
    <w:rsid w:val="000026CC"/>
    <w:rsid w:val="00036693"/>
    <w:rsid w:val="00065062"/>
    <w:rsid w:val="000C1B69"/>
    <w:rsid w:val="000F2DD3"/>
    <w:rsid w:val="00105DD9"/>
    <w:rsid w:val="00116AD9"/>
    <w:rsid w:val="00132C53"/>
    <w:rsid w:val="00142934"/>
    <w:rsid w:val="00155E9E"/>
    <w:rsid w:val="00184437"/>
    <w:rsid w:val="00200209"/>
    <w:rsid w:val="00207E38"/>
    <w:rsid w:val="00222ED5"/>
    <w:rsid w:val="002664F6"/>
    <w:rsid w:val="002D6D7B"/>
    <w:rsid w:val="002F70A5"/>
    <w:rsid w:val="00311A22"/>
    <w:rsid w:val="00316566"/>
    <w:rsid w:val="00381265"/>
    <w:rsid w:val="003C1045"/>
    <w:rsid w:val="003D7849"/>
    <w:rsid w:val="00400F8D"/>
    <w:rsid w:val="004351D8"/>
    <w:rsid w:val="00476832"/>
    <w:rsid w:val="00485884"/>
    <w:rsid w:val="004D2E0D"/>
    <w:rsid w:val="004D3345"/>
    <w:rsid w:val="004F61E7"/>
    <w:rsid w:val="005C5DFF"/>
    <w:rsid w:val="005E7AD5"/>
    <w:rsid w:val="00602DED"/>
    <w:rsid w:val="006455D1"/>
    <w:rsid w:val="00684CE5"/>
    <w:rsid w:val="0069267B"/>
    <w:rsid w:val="006A03EE"/>
    <w:rsid w:val="006D1542"/>
    <w:rsid w:val="006E3C3F"/>
    <w:rsid w:val="007120EE"/>
    <w:rsid w:val="00775ED4"/>
    <w:rsid w:val="007A17A9"/>
    <w:rsid w:val="008242A8"/>
    <w:rsid w:val="00850BC5"/>
    <w:rsid w:val="00863E04"/>
    <w:rsid w:val="008643A6"/>
    <w:rsid w:val="00890793"/>
    <w:rsid w:val="00892773"/>
    <w:rsid w:val="008B4A5F"/>
    <w:rsid w:val="00916DB9"/>
    <w:rsid w:val="00922390"/>
    <w:rsid w:val="00980215"/>
    <w:rsid w:val="00985F40"/>
    <w:rsid w:val="009910D8"/>
    <w:rsid w:val="009B2889"/>
    <w:rsid w:val="00A111FE"/>
    <w:rsid w:val="00A312D4"/>
    <w:rsid w:val="00AA7511"/>
    <w:rsid w:val="00AB7692"/>
    <w:rsid w:val="00AF51DF"/>
    <w:rsid w:val="00B01B01"/>
    <w:rsid w:val="00B625A9"/>
    <w:rsid w:val="00BA2D4E"/>
    <w:rsid w:val="00BF1EA3"/>
    <w:rsid w:val="00C01FE0"/>
    <w:rsid w:val="00C074A4"/>
    <w:rsid w:val="00C405B2"/>
    <w:rsid w:val="00C64FF7"/>
    <w:rsid w:val="00C81B05"/>
    <w:rsid w:val="00C82EFB"/>
    <w:rsid w:val="00DB5E9D"/>
    <w:rsid w:val="00DF2568"/>
    <w:rsid w:val="00E1054E"/>
    <w:rsid w:val="00EC6C66"/>
    <w:rsid w:val="00F76A4C"/>
    <w:rsid w:val="00F80EA6"/>
    <w:rsid w:val="00FD3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033A4"/>
  <w15:docId w15:val="{B7BFD01F-05E4-433E-98D7-8C42379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styleId="Odstavecseseznamem">
    <w:name w:val="List Paragraph"/>
    <w:basedOn w:val="Normln"/>
    <w:uiPriority w:val="34"/>
    <w:qFormat/>
    <w:rsid w:val="008643A6"/>
    <w:pPr>
      <w:ind w:left="720"/>
      <w:contextualSpacing/>
    </w:pPr>
  </w:style>
  <w:style w:type="character" w:styleId="Hypertextovodkaz">
    <w:name w:val="Hyperlink"/>
    <w:basedOn w:val="Standardnpsmoodstavce"/>
    <w:uiPriority w:val="99"/>
    <w:unhideWhenUsed/>
    <w:rsid w:val="00E1054E"/>
    <w:rPr>
      <w:color w:val="0000FF" w:themeColor="hyperlink"/>
      <w:u w:val="single"/>
    </w:rPr>
  </w:style>
  <w:style w:type="character" w:styleId="Nevyeenzmnka">
    <w:name w:val="Unresolved Mention"/>
    <w:basedOn w:val="Standardnpsmoodstavce"/>
    <w:uiPriority w:val="99"/>
    <w:semiHidden/>
    <w:unhideWhenUsed/>
    <w:rsid w:val="00E10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5647">
      <w:bodyDiv w:val="1"/>
      <w:marLeft w:val="0"/>
      <w:marRight w:val="0"/>
      <w:marTop w:val="0"/>
      <w:marBottom w:val="0"/>
      <w:divBdr>
        <w:top w:val="none" w:sz="0" w:space="0" w:color="auto"/>
        <w:left w:val="none" w:sz="0" w:space="0" w:color="auto"/>
        <w:bottom w:val="none" w:sz="0" w:space="0" w:color="auto"/>
        <w:right w:val="none" w:sz="0" w:space="0" w:color="auto"/>
      </w:divBdr>
    </w:div>
    <w:div w:id="1252274680">
      <w:bodyDiv w:val="1"/>
      <w:marLeft w:val="0"/>
      <w:marRight w:val="0"/>
      <w:marTop w:val="0"/>
      <w:marBottom w:val="0"/>
      <w:divBdr>
        <w:top w:val="none" w:sz="0" w:space="0" w:color="auto"/>
        <w:left w:val="none" w:sz="0" w:space="0" w:color="auto"/>
        <w:bottom w:val="none" w:sz="0" w:space="0" w:color="auto"/>
        <w:right w:val="none" w:sz="0" w:space="0" w:color="auto"/>
      </w:divBdr>
    </w:div>
    <w:div w:id="1269775930">
      <w:bodyDiv w:val="1"/>
      <w:marLeft w:val="0"/>
      <w:marRight w:val="0"/>
      <w:marTop w:val="0"/>
      <w:marBottom w:val="0"/>
      <w:divBdr>
        <w:top w:val="none" w:sz="0" w:space="0" w:color="auto"/>
        <w:left w:val="none" w:sz="0" w:space="0" w:color="auto"/>
        <w:bottom w:val="none" w:sz="0" w:space="0" w:color="auto"/>
        <w:right w:val="none" w:sz="0" w:space="0" w:color="auto"/>
      </w:divBdr>
    </w:div>
    <w:div w:id="1293899249">
      <w:bodyDiv w:val="1"/>
      <w:marLeft w:val="0"/>
      <w:marRight w:val="0"/>
      <w:marTop w:val="0"/>
      <w:marBottom w:val="0"/>
      <w:divBdr>
        <w:top w:val="none" w:sz="0" w:space="0" w:color="auto"/>
        <w:left w:val="none" w:sz="0" w:space="0" w:color="auto"/>
        <w:bottom w:val="none" w:sz="0" w:space="0" w:color="auto"/>
        <w:right w:val="none" w:sz="0" w:space="0" w:color="auto"/>
      </w:divBdr>
    </w:div>
    <w:div w:id="1338117066">
      <w:bodyDiv w:val="1"/>
      <w:marLeft w:val="0"/>
      <w:marRight w:val="0"/>
      <w:marTop w:val="0"/>
      <w:marBottom w:val="0"/>
      <w:divBdr>
        <w:top w:val="none" w:sz="0" w:space="0" w:color="auto"/>
        <w:left w:val="none" w:sz="0" w:space="0" w:color="auto"/>
        <w:bottom w:val="none" w:sz="0" w:space="0" w:color="auto"/>
        <w:right w:val="none" w:sz="0" w:space="0" w:color="auto"/>
      </w:divBdr>
    </w:div>
    <w:div w:id="1542980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1112</Words>
  <Characters>6567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Kuczinská</dc:creator>
  <cp:lastModifiedBy>Vyležíková Markéta</cp:lastModifiedBy>
  <cp:revision>3</cp:revision>
  <dcterms:created xsi:type="dcterms:W3CDTF">2026-05-20T09:46:00Z</dcterms:created>
  <dcterms:modified xsi:type="dcterms:W3CDTF">2026-05-20T09:47:00Z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066315ba2dccfc34947e8233d8906c4c673a322dd3da5a0debb7d278cafc2334</vt:lpwstr>
  </property>
</Properties>
</file>