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4F5579E6" w:rsidR="00D50EE3" w:rsidRPr="00D42B3D" w:rsidRDefault="00D50EE3" w:rsidP="00D421F7">
      <w:pPr>
        <w:rPr>
          <w:rFonts w:ascii="Arial" w:hAnsi="Arial" w:cs="Arial"/>
          <w:sz w:val="22"/>
          <w:szCs w:val="22"/>
        </w:rPr>
      </w:pPr>
      <w:r w:rsidRPr="00D42B3D">
        <w:rPr>
          <w:rFonts w:ascii="Arial" w:hAnsi="Arial" w:cs="Arial"/>
          <w:sz w:val="22"/>
          <w:szCs w:val="22"/>
        </w:rPr>
        <w:t xml:space="preserve">se sídlem </w:t>
      </w:r>
      <w:r w:rsidR="002468ED" w:rsidRPr="002468ED">
        <w:rPr>
          <w:rFonts w:ascii="Calibri" w:hAnsi="Calibri" w:cs="Calibri"/>
          <w:bCs/>
          <w:color w:val="000000"/>
        </w:rPr>
        <w:t>Ostrovní 225/1, 110 00 Praha 1 - Nové Město</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244F4B84" w:rsidR="00180232" w:rsidRPr="00D42B3D" w:rsidRDefault="00180232" w:rsidP="00D421F7">
      <w:pPr>
        <w:rPr>
          <w:rFonts w:ascii="Arial" w:hAnsi="Arial" w:cs="Arial"/>
          <w:sz w:val="22"/>
          <w:szCs w:val="22"/>
        </w:rPr>
      </w:pPr>
      <w:r>
        <w:rPr>
          <w:rFonts w:ascii="Arial" w:hAnsi="Arial" w:cs="Arial"/>
          <w:sz w:val="22"/>
          <w:szCs w:val="22"/>
        </w:rPr>
        <w:t xml:space="preserve">b.s.: </w:t>
      </w:r>
      <w:r w:rsidR="00B914D6">
        <w:rPr>
          <w:rFonts w:ascii="Arial" w:hAnsi="Arial" w:cs="Arial"/>
          <w:sz w:val="22"/>
          <w:szCs w:val="22"/>
        </w:rPr>
        <w:t xml:space="preserve">ČNB </w:t>
      </w:r>
      <w:r>
        <w:rPr>
          <w:rFonts w:ascii="Arial" w:hAnsi="Arial" w:cs="Arial"/>
          <w:sz w:val="22"/>
          <w:szCs w:val="22"/>
        </w:rPr>
        <w:t xml:space="preserve">Praha 1, </w:t>
      </w:r>
      <w:proofErr w:type="spellStart"/>
      <w:r>
        <w:rPr>
          <w:rFonts w:ascii="Arial" w:hAnsi="Arial" w:cs="Arial"/>
          <w:sz w:val="22"/>
          <w:szCs w:val="22"/>
        </w:rPr>
        <w:t>č.ú</w:t>
      </w:r>
      <w:proofErr w:type="spellEnd"/>
      <w:r>
        <w:rPr>
          <w:rFonts w:ascii="Arial" w:hAnsi="Arial" w:cs="Arial"/>
          <w:sz w:val="22"/>
          <w:szCs w:val="22"/>
        </w:rPr>
        <w:t xml:space="preserve">.: </w:t>
      </w:r>
      <w:proofErr w:type="spellStart"/>
      <w:r w:rsidR="000056B5">
        <w:rPr>
          <w:rFonts w:ascii="Arial" w:hAnsi="Arial" w:cs="Arial"/>
          <w:sz w:val="22"/>
          <w:szCs w:val="22"/>
        </w:rPr>
        <w:t>xxx</w:t>
      </w:r>
      <w:proofErr w:type="spellEnd"/>
    </w:p>
    <w:p w14:paraId="4463E74E" w14:textId="142EA692"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526046">
        <w:rPr>
          <w:rFonts w:ascii="Arial" w:hAnsi="Arial" w:cs="Arial"/>
          <w:sz w:val="22"/>
          <w:szCs w:val="22"/>
        </w:rPr>
        <w:t>Ing. Václav Pelouch, ředitel technicko-provozní správy</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1B16F349" w14:textId="77777777" w:rsidR="00052C87" w:rsidRPr="00C52634" w:rsidRDefault="00052C87" w:rsidP="00052C87">
      <w:pPr>
        <w:rPr>
          <w:rFonts w:ascii="Arial" w:hAnsi="Arial" w:cs="Arial"/>
          <w:b/>
          <w:sz w:val="22"/>
          <w:szCs w:val="22"/>
        </w:rPr>
      </w:pPr>
      <w:r w:rsidRPr="00C52634">
        <w:rPr>
          <w:rFonts w:ascii="Arial" w:hAnsi="Arial" w:cs="Arial"/>
          <w:b/>
          <w:sz w:val="22"/>
          <w:szCs w:val="22"/>
        </w:rPr>
        <w:t>B2C, s.r.o.</w:t>
      </w:r>
    </w:p>
    <w:p w14:paraId="5A800704"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Sídlo: Thákurova 7, 160 00 Praha 6</w:t>
      </w:r>
    </w:p>
    <w:p w14:paraId="7C9A19F0"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IČ: 27957705</w:t>
      </w:r>
    </w:p>
    <w:p w14:paraId="3EE20532"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DIČ: CZ27957705</w:t>
      </w:r>
    </w:p>
    <w:p w14:paraId="7FEE367D"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Jednající: Ing. Jan Rybnikář, rybnikar@b2comp.cz</w:t>
      </w:r>
    </w:p>
    <w:p w14:paraId="70AD45C1"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Zapsaná v obchodním rejstříku vedeného:</w:t>
      </w:r>
      <w:r w:rsidRPr="00A0556E">
        <w:rPr>
          <w:rFonts w:ascii="Arial" w:hAnsi="Arial" w:cs="Arial"/>
          <w:bCs/>
          <w:sz w:val="22"/>
          <w:szCs w:val="22"/>
        </w:rPr>
        <w:tab/>
        <w:t>Spisová značka: C 129365 vedená u rejstříkového soudu v Praze</w:t>
      </w:r>
    </w:p>
    <w:p w14:paraId="4259F021" w14:textId="77777777" w:rsidR="00052C87" w:rsidRPr="00A0556E" w:rsidRDefault="00052C87" w:rsidP="00052C87">
      <w:pPr>
        <w:rPr>
          <w:rFonts w:ascii="Arial" w:hAnsi="Arial" w:cs="Arial"/>
          <w:bCs/>
          <w:sz w:val="22"/>
          <w:szCs w:val="22"/>
        </w:rPr>
      </w:pPr>
      <w:r w:rsidRPr="00A0556E">
        <w:rPr>
          <w:rFonts w:ascii="Arial" w:hAnsi="Arial" w:cs="Arial"/>
          <w:bCs/>
          <w:sz w:val="22"/>
          <w:szCs w:val="22"/>
        </w:rPr>
        <w:t>Bankovní spojeni: ČS a.s. Praha</w:t>
      </w:r>
    </w:p>
    <w:p w14:paraId="0F5DF4F0" w14:textId="75C3F517" w:rsidR="00052C87" w:rsidRPr="00A0556E" w:rsidRDefault="00052C87" w:rsidP="00052C87">
      <w:pPr>
        <w:rPr>
          <w:rFonts w:ascii="Arial" w:hAnsi="Arial" w:cs="Arial"/>
          <w:bCs/>
          <w:sz w:val="22"/>
          <w:szCs w:val="22"/>
        </w:rPr>
      </w:pPr>
      <w:r w:rsidRPr="00A0556E">
        <w:rPr>
          <w:rFonts w:ascii="Arial" w:hAnsi="Arial" w:cs="Arial"/>
          <w:bCs/>
          <w:sz w:val="22"/>
          <w:szCs w:val="22"/>
        </w:rPr>
        <w:t>Číslo účtu:</w:t>
      </w:r>
      <w:r w:rsidRPr="00A0556E">
        <w:rPr>
          <w:rFonts w:ascii="Arial" w:hAnsi="Arial" w:cs="Arial"/>
          <w:bCs/>
          <w:sz w:val="22"/>
          <w:szCs w:val="22"/>
        </w:rPr>
        <w:tab/>
      </w:r>
      <w:proofErr w:type="spellStart"/>
      <w:r w:rsidR="000056B5">
        <w:rPr>
          <w:rFonts w:ascii="Arial" w:hAnsi="Arial" w:cs="Arial"/>
          <w:bCs/>
          <w:sz w:val="22"/>
          <w:szCs w:val="22"/>
        </w:rPr>
        <w:t>xxx</w:t>
      </w:r>
      <w:proofErr w:type="spellEnd"/>
    </w:p>
    <w:p w14:paraId="228A5196" w14:textId="77777777" w:rsidR="00052C87" w:rsidRPr="00D42B3D" w:rsidRDefault="00052C87" w:rsidP="00052C87">
      <w:pPr>
        <w:rPr>
          <w:rFonts w:ascii="Arial" w:hAnsi="Arial" w:cs="Arial"/>
          <w:sz w:val="22"/>
          <w:szCs w:val="22"/>
        </w:rPr>
      </w:pPr>
      <w:r w:rsidRPr="00A0556E">
        <w:rPr>
          <w:rFonts w:ascii="Arial" w:hAnsi="Arial" w:cs="Arial"/>
          <w:bCs/>
          <w:sz w:val="22"/>
          <w:szCs w:val="22"/>
        </w:rPr>
        <w:t>Datová schránka: u3pup3j</w:t>
      </w:r>
      <w:r w:rsidRPr="000E4534">
        <w:rPr>
          <w:rFonts w:ascii="Arial" w:hAnsi="Arial" w:cs="Arial"/>
          <w:sz w:val="22"/>
          <w:szCs w:val="22"/>
        </w:rPr>
        <w:t xml:space="preserve"> (</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10FE4AFF"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r w:rsidR="00A0556E">
        <w:rPr>
          <w:rFonts w:ascii="Arial" w:hAnsi="Arial" w:cs="Arial"/>
          <w:b/>
          <w:sz w:val="28"/>
          <w:szCs w:val="28"/>
        </w:rPr>
        <w:t xml:space="preserve"> IT </w:t>
      </w:r>
      <w:r w:rsidR="00282D21">
        <w:rPr>
          <w:rFonts w:ascii="Arial" w:hAnsi="Arial" w:cs="Arial"/>
          <w:b/>
          <w:sz w:val="28"/>
          <w:szCs w:val="28"/>
        </w:rPr>
        <w:t>05/2026</w:t>
      </w:r>
    </w:p>
    <w:p w14:paraId="1C27AFD0" w14:textId="1D0FC79A"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114A" w:rsidRPr="00BA6E05">
        <w:rPr>
          <w:rFonts w:ascii="Arial" w:hAnsi="Arial" w:cs="Arial"/>
          <w:b/>
          <w:sz w:val="22"/>
          <w:szCs w:val="22"/>
        </w:rPr>
        <w:t>na základě DNS</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25D51015" w14:textId="09A0FBDD" w:rsidR="00C42C3F" w:rsidRPr="002D6810" w:rsidRDefault="000E5C05" w:rsidP="00C42C3F">
      <w:pPr>
        <w:jc w:val="both"/>
        <w:rPr>
          <w:rFonts w:ascii="Arial" w:hAnsi="Arial" w:cs="Arial"/>
          <w:sz w:val="22"/>
          <w:szCs w:val="22"/>
        </w:rPr>
      </w:pPr>
      <w:r>
        <w:rPr>
          <w:rFonts w:ascii="Arial" w:hAnsi="Arial" w:cs="Arial"/>
          <w:sz w:val="22"/>
          <w:szCs w:val="22"/>
        </w:rPr>
        <w:t xml:space="preserve">Předmětem této smlouvy je závazek </w:t>
      </w:r>
      <w:r w:rsidR="0051640D">
        <w:rPr>
          <w:rFonts w:ascii="Arial" w:hAnsi="Arial" w:cs="Arial"/>
          <w:sz w:val="22"/>
          <w:szCs w:val="22"/>
        </w:rPr>
        <w:t>p</w:t>
      </w:r>
      <w:r w:rsidR="008A7B96" w:rsidRPr="00D42B3D">
        <w:rPr>
          <w:rFonts w:ascii="Arial" w:hAnsi="Arial" w:cs="Arial"/>
          <w:sz w:val="22"/>
          <w:szCs w:val="22"/>
        </w:rPr>
        <w:t>rodávající</w:t>
      </w:r>
      <w:r>
        <w:rPr>
          <w:rFonts w:ascii="Arial" w:hAnsi="Arial" w:cs="Arial"/>
          <w:sz w:val="22"/>
          <w:szCs w:val="22"/>
        </w:rPr>
        <w:t>ho</w:t>
      </w:r>
      <w:r w:rsidR="008A7B96" w:rsidRPr="00D42B3D">
        <w:rPr>
          <w:rFonts w:ascii="Arial" w:hAnsi="Arial" w:cs="Arial"/>
          <w:sz w:val="22"/>
          <w:szCs w:val="22"/>
        </w:rPr>
        <w:t xml:space="preserve"> </w:t>
      </w:r>
      <w:r w:rsidR="006869E0" w:rsidRPr="002D6810">
        <w:rPr>
          <w:rFonts w:ascii="Arial" w:hAnsi="Arial" w:cs="Arial"/>
          <w:sz w:val="22"/>
          <w:szCs w:val="22"/>
        </w:rPr>
        <w:t>dodat kupujícímu zařízení</w:t>
      </w:r>
      <w:r w:rsidR="006869E0">
        <w:rPr>
          <w:rFonts w:ascii="Arial" w:hAnsi="Arial" w:cs="Arial"/>
          <w:sz w:val="22"/>
          <w:szCs w:val="22"/>
        </w:rPr>
        <w:t xml:space="preserve"> </w:t>
      </w:r>
      <w:r w:rsidR="00052C87">
        <w:rPr>
          <w:rFonts w:ascii="Arial" w:hAnsi="Arial" w:cs="Arial"/>
          <w:sz w:val="22"/>
          <w:szCs w:val="22"/>
        </w:rPr>
        <w:t>výpočetní techniky 4</w:t>
      </w:r>
      <w:r w:rsidR="005639AE">
        <w:rPr>
          <w:rFonts w:ascii="Arial" w:hAnsi="Arial" w:cs="Arial"/>
          <w:sz w:val="22"/>
          <w:szCs w:val="22"/>
        </w:rPr>
        <w:t xml:space="preserve"> x PC</w:t>
      </w:r>
      <w:r w:rsidR="00052C87">
        <w:rPr>
          <w:rFonts w:ascii="Arial" w:hAnsi="Arial" w:cs="Arial"/>
          <w:sz w:val="22"/>
          <w:szCs w:val="22"/>
        </w:rPr>
        <w:t xml:space="preserve"> </w:t>
      </w:r>
      <w:r w:rsidR="00663A49">
        <w:rPr>
          <w:rFonts w:ascii="Arial" w:hAnsi="Arial" w:cs="Arial"/>
          <w:sz w:val="22"/>
          <w:szCs w:val="22"/>
        </w:rPr>
        <w:t>a 3 x Monitor</w:t>
      </w:r>
      <w:r>
        <w:rPr>
          <w:rFonts w:ascii="Arial" w:hAnsi="Arial" w:cs="Arial"/>
          <w:sz w:val="22"/>
          <w:szCs w:val="22"/>
        </w:rPr>
        <w:t xml:space="preserve"> a to včetně </w:t>
      </w:r>
      <w:r w:rsidR="008A7B96">
        <w:rPr>
          <w:rFonts w:ascii="Arial" w:hAnsi="Arial" w:cs="Arial"/>
          <w:sz w:val="22"/>
          <w:szCs w:val="22"/>
        </w:rPr>
        <w:t xml:space="preserve">zprostředkování podpory a poskytnutí licencí k užití tohoto </w:t>
      </w:r>
      <w:r w:rsidR="006869E0">
        <w:rPr>
          <w:rFonts w:ascii="Arial" w:hAnsi="Arial" w:cs="Arial"/>
          <w:sz w:val="22"/>
          <w:szCs w:val="22"/>
        </w:rPr>
        <w:t>zboží</w:t>
      </w:r>
      <w:r w:rsidR="008A7B96">
        <w:rPr>
          <w:rFonts w:ascii="Arial" w:hAnsi="Arial" w:cs="Arial"/>
          <w:sz w:val="22"/>
          <w:szCs w:val="22"/>
        </w:rPr>
        <w:t xml:space="preserve"> dle níže uvedené specifikace </w:t>
      </w:r>
      <w:r w:rsidR="008A7B96"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w:t>
      </w:r>
      <w:r>
        <w:rPr>
          <w:rFonts w:ascii="Arial" w:hAnsi="Arial" w:cs="Arial"/>
          <w:sz w:val="22"/>
          <w:szCs w:val="22"/>
        </w:rPr>
        <w:t xml:space="preserve">dále </w:t>
      </w:r>
      <w:r w:rsidR="00C42C3F" w:rsidRPr="002D6810">
        <w:rPr>
          <w:rFonts w:ascii="Arial" w:hAnsi="Arial" w:cs="Arial"/>
          <w:sz w:val="22"/>
          <w:szCs w:val="22"/>
        </w:rPr>
        <w:t>převést na kupujícího vlastnické právo k předmětu koupě</w:t>
      </w:r>
      <w:r w:rsidR="00C42C3F">
        <w:rPr>
          <w:rFonts w:ascii="Arial" w:hAnsi="Arial" w:cs="Arial"/>
          <w:sz w:val="22"/>
          <w:szCs w:val="22"/>
        </w:rPr>
        <w:t>, a to vše za cenu, která je uvedena v čl. III. odst. 1 této smlouvy</w:t>
      </w:r>
      <w:r w:rsidR="00C42C3F" w:rsidRPr="002D6810">
        <w:rPr>
          <w:rFonts w:ascii="Arial" w:hAnsi="Arial" w:cs="Arial"/>
          <w:sz w:val="22"/>
          <w:szCs w:val="22"/>
        </w:rPr>
        <w:t>. Kupující se zavazuje uhradit prodávajícímu za předmět koupě</w:t>
      </w:r>
      <w:r w:rsidR="00C42C3F">
        <w:rPr>
          <w:rFonts w:ascii="Arial" w:hAnsi="Arial" w:cs="Arial"/>
          <w:sz w:val="22"/>
          <w:szCs w:val="22"/>
        </w:rPr>
        <w:t>, a to včetně zprostředkované podpory a poskytnutých licenčních práv k užití předmětu koupě,</w:t>
      </w:r>
      <w:r w:rsidR="00C42C3F" w:rsidRPr="002D6810">
        <w:rPr>
          <w:rFonts w:ascii="Arial" w:hAnsi="Arial" w:cs="Arial"/>
          <w:sz w:val="22"/>
          <w:szCs w:val="22"/>
        </w:rPr>
        <w:t xml:space="preserve"> </w:t>
      </w:r>
      <w:r w:rsidR="00C42C3F">
        <w:rPr>
          <w:rFonts w:ascii="Arial" w:hAnsi="Arial" w:cs="Arial"/>
          <w:sz w:val="22"/>
          <w:szCs w:val="22"/>
        </w:rPr>
        <w:t xml:space="preserve">níže </w:t>
      </w:r>
      <w:r w:rsidR="00C42C3F" w:rsidRPr="002D6810">
        <w:rPr>
          <w:rFonts w:ascii="Arial" w:hAnsi="Arial" w:cs="Arial"/>
          <w:sz w:val="22"/>
          <w:szCs w:val="22"/>
        </w:rPr>
        <w:t>sjednanou cenu.</w:t>
      </w:r>
    </w:p>
    <w:p w14:paraId="4D329DD1" w14:textId="61A9C4CA" w:rsidR="00D50EE3" w:rsidRPr="00D42B3D" w:rsidRDefault="00D50EE3" w:rsidP="00C34CD3">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851"/>
        <w:gridCol w:w="567"/>
        <w:gridCol w:w="1276"/>
        <w:gridCol w:w="1134"/>
        <w:gridCol w:w="1281"/>
      </w:tblGrid>
      <w:tr w:rsidR="00B573D4" w14:paraId="169991B3" w14:textId="77777777" w:rsidTr="00825855">
        <w:trPr>
          <w:trHeight w:val="251"/>
          <w:jc w:val="center"/>
        </w:trPr>
        <w:tc>
          <w:tcPr>
            <w:tcW w:w="3966" w:type="dxa"/>
            <w:vAlign w:val="center"/>
          </w:tcPr>
          <w:p w14:paraId="3AFDEB52" w14:textId="6E8D9E70"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1" w:type="dxa"/>
            <w:vAlign w:val="center"/>
          </w:tcPr>
          <w:p w14:paraId="3A397D4F" w14:textId="1CDB3A56"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567" w:type="dxa"/>
            <w:vAlign w:val="center"/>
          </w:tcPr>
          <w:p w14:paraId="4A891558" w14:textId="0B33E3C8"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vAlign w:val="center"/>
          </w:tcPr>
          <w:p w14:paraId="08049C0D" w14:textId="474BF711"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vAlign w:val="center"/>
          </w:tcPr>
          <w:p w14:paraId="33E35259" w14:textId="10289AE1"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vAlign w:val="center"/>
          </w:tcPr>
          <w:p w14:paraId="32DAFFF1" w14:textId="71A59346" w:rsidR="00B573D4" w:rsidRDefault="00B573D4" w:rsidP="00B573D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B573D4" w14:paraId="69B9FAB2" w14:textId="77777777" w:rsidTr="00825855">
        <w:trPr>
          <w:trHeight w:val="251"/>
          <w:jc w:val="center"/>
        </w:trPr>
        <w:tc>
          <w:tcPr>
            <w:tcW w:w="3966" w:type="dxa"/>
            <w:vAlign w:val="center"/>
          </w:tcPr>
          <w:p w14:paraId="75567170" w14:textId="146F9BD1" w:rsidR="00B573D4" w:rsidRDefault="00B573D4" w:rsidP="00B573D4">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PC 2026-04-PC01 dle spec. listů (*)</w:t>
            </w:r>
          </w:p>
        </w:tc>
        <w:tc>
          <w:tcPr>
            <w:tcW w:w="851" w:type="dxa"/>
            <w:vAlign w:val="center"/>
          </w:tcPr>
          <w:p w14:paraId="104AD418" w14:textId="195ABFEB" w:rsidR="00B573D4" w:rsidRDefault="00B573D4" w:rsidP="00B573D4">
            <w:pPr>
              <w:autoSpaceDE w:val="0"/>
              <w:autoSpaceDN w:val="0"/>
              <w:adjustRightInd w:val="0"/>
              <w:jc w:val="center"/>
              <w:rPr>
                <w:rFonts w:asciiTheme="minorHAnsi" w:hAnsiTheme="minorHAnsi" w:cstheme="minorHAnsi"/>
                <w:bCs/>
                <w:sz w:val="22"/>
                <w:szCs w:val="22"/>
              </w:rPr>
            </w:pPr>
            <w:r>
              <w:rPr>
                <w:rFonts w:ascii="Calibri" w:hAnsi="Calibri" w:cs="Calibri"/>
                <w:color w:val="000000"/>
                <w:sz w:val="22"/>
                <w:szCs w:val="22"/>
              </w:rPr>
              <w:t>3</w:t>
            </w:r>
          </w:p>
        </w:tc>
        <w:tc>
          <w:tcPr>
            <w:tcW w:w="567" w:type="dxa"/>
            <w:vAlign w:val="center"/>
          </w:tcPr>
          <w:p w14:paraId="21B760AE" w14:textId="048DE1BA" w:rsidR="00B573D4" w:rsidRDefault="00B573D4" w:rsidP="00B573D4">
            <w:pPr>
              <w:autoSpaceDE w:val="0"/>
              <w:autoSpaceDN w:val="0"/>
              <w:adjustRightInd w:val="0"/>
              <w:jc w:val="center"/>
              <w:rPr>
                <w:rFonts w:asciiTheme="minorHAnsi" w:hAnsiTheme="minorHAnsi" w:cstheme="minorHAnsi"/>
                <w:color w:val="000000"/>
                <w:sz w:val="22"/>
                <w:szCs w:val="22"/>
              </w:rPr>
            </w:pPr>
            <w:r>
              <w:rPr>
                <w:rFonts w:ascii="Calibri" w:hAnsi="Calibri" w:cs="Calibri"/>
                <w:color w:val="000000"/>
                <w:sz w:val="22"/>
                <w:szCs w:val="22"/>
              </w:rPr>
              <w:t>1</w:t>
            </w:r>
          </w:p>
        </w:tc>
        <w:tc>
          <w:tcPr>
            <w:tcW w:w="1276" w:type="dxa"/>
            <w:vAlign w:val="center"/>
          </w:tcPr>
          <w:p w14:paraId="1304C363" w14:textId="2FE7309E"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0"/>
                <w:szCs w:val="20"/>
              </w:rPr>
              <w:t>20590</w:t>
            </w:r>
          </w:p>
        </w:tc>
        <w:tc>
          <w:tcPr>
            <w:tcW w:w="1134" w:type="dxa"/>
            <w:vAlign w:val="center"/>
          </w:tcPr>
          <w:p w14:paraId="38C86E14" w14:textId="7F22E7C7"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4323,9</w:t>
            </w:r>
          </w:p>
        </w:tc>
        <w:tc>
          <w:tcPr>
            <w:tcW w:w="1281" w:type="dxa"/>
            <w:vAlign w:val="center"/>
          </w:tcPr>
          <w:p w14:paraId="7C33C92F" w14:textId="41BEA60F"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24913,9</w:t>
            </w:r>
          </w:p>
        </w:tc>
      </w:tr>
      <w:tr w:rsidR="00B573D4" w14:paraId="748DCD6A" w14:textId="77777777" w:rsidTr="00825855">
        <w:trPr>
          <w:trHeight w:val="251"/>
          <w:jc w:val="center"/>
        </w:trPr>
        <w:tc>
          <w:tcPr>
            <w:tcW w:w="3966" w:type="dxa"/>
            <w:vAlign w:val="center"/>
          </w:tcPr>
          <w:p w14:paraId="776FA0C5" w14:textId="68C739B0" w:rsidR="00B573D4" w:rsidRPr="00955ED1" w:rsidRDefault="00B573D4" w:rsidP="00B573D4">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PC 2026-04-PC02 dle spec. listů (*)</w:t>
            </w:r>
          </w:p>
        </w:tc>
        <w:tc>
          <w:tcPr>
            <w:tcW w:w="851" w:type="dxa"/>
            <w:vAlign w:val="center"/>
          </w:tcPr>
          <w:p w14:paraId="1077949D" w14:textId="2E46B89A" w:rsidR="00B573D4" w:rsidRPr="00955ED1" w:rsidRDefault="00B573D4" w:rsidP="00B573D4">
            <w:pPr>
              <w:autoSpaceDE w:val="0"/>
              <w:autoSpaceDN w:val="0"/>
              <w:adjustRightInd w:val="0"/>
              <w:jc w:val="center"/>
              <w:rPr>
                <w:rFonts w:asciiTheme="minorHAnsi" w:hAnsiTheme="minorHAnsi" w:cstheme="minorHAnsi"/>
                <w:bCs/>
                <w:sz w:val="22"/>
                <w:szCs w:val="22"/>
              </w:rPr>
            </w:pPr>
            <w:r>
              <w:rPr>
                <w:rFonts w:ascii="Calibri" w:hAnsi="Calibri" w:cs="Calibri"/>
                <w:color w:val="000000"/>
                <w:sz w:val="22"/>
                <w:szCs w:val="22"/>
              </w:rPr>
              <w:t>3</w:t>
            </w:r>
          </w:p>
        </w:tc>
        <w:tc>
          <w:tcPr>
            <w:tcW w:w="567" w:type="dxa"/>
            <w:vAlign w:val="center"/>
          </w:tcPr>
          <w:p w14:paraId="568D0601" w14:textId="1B9731CE" w:rsidR="00B573D4" w:rsidRPr="00431205" w:rsidRDefault="00B573D4" w:rsidP="00B573D4">
            <w:pPr>
              <w:autoSpaceDE w:val="0"/>
              <w:autoSpaceDN w:val="0"/>
              <w:adjustRightInd w:val="0"/>
              <w:jc w:val="center"/>
              <w:rPr>
                <w:rFonts w:asciiTheme="minorHAnsi" w:hAnsiTheme="minorHAnsi" w:cstheme="minorHAnsi"/>
                <w:color w:val="000000"/>
                <w:sz w:val="22"/>
                <w:szCs w:val="22"/>
                <w:lang w:val="en-US"/>
              </w:rPr>
            </w:pPr>
            <w:r>
              <w:rPr>
                <w:rFonts w:ascii="Calibri" w:hAnsi="Calibri" w:cs="Calibri"/>
                <w:color w:val="000000"/>
                <w:sz w:val="22"/>
                <w:szCs w:val="22"/>
              </w:rPr>
              <w:t>3</w:t>
            </w:r>
          </w:p>
        </w:tc>
        <w:tc>
          <w:tcPr>
            <w:tcW w:w="1276" w:type="dxa"/>
            <w:vAlign w:val="center"/>
          </w:tcPr>
          <w:p w14:paraId="7B2C2C53" w14:textId="49309519"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0"/>
                <w:szCs w:val="20"/>
              </w:rPr>
              <w:t>52500</w:t>
            </w:r>
          </w:p>
        </w:tc>
        <w:tc>
          <w:tcPr>
            <w:tcW w:w="1134" w:type="dxa"/>
            <w:vAlign w:val="center"/>
          </w:tcPr>
          <w:p w14:paraId="68AD75CB" w14:textId="65AB72E4"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11025</w:t>
            </w:r>
          </w:p>
        </w:tc>
        <w:tc>
          <w:tcPr>
            <w:tcW w:w="1281" w:type="dxa"/>
            <w:vAlign w:val="center"/>
          </w:tcPr>
          <w:p w14:paraId="618CE082" w14:textId="6AB6267F"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63525</w:t>
            </w:r>
          </w:p>
        </w:tc>
      </w:tr>
      <w:tr w:rsidR="00B573D4" w14:paraId="6EFAC600" w14:textId="77777777" w:rsidTr="00825855">
        <w:trPr>
          <w:trHeight w:val="251"/>
          <w:jc w:val="center"/>
        </w:trPr>
        <w:tc>
          <w:tcPr>
            <w:tcW w:w="3966" w:type="dxa"/>
            <w:vAlign w:val="center"/>
          </w:tcPr>
          <w:p w14:paraId="2F4CA479" w14:textId="53801EF7" w:rsidR="00B573D4" w:rsidRPr="004D6C38" w:rsidRDefault="00B573D4" w:rsidP="00B573D4">
            <w:pPr>
              <w:autoSpaceDE w:val="0"/>
              <w:autoSpaceDN w:val="0"/>
              <w:adjustRightInd w:val="0"/>
              <w:rPr>
                <w:rFonts w:asciiTheme="minorHAnsi" w:hAnsiTheme="minorHAnsi" w:cstheme="minorHAnsi"/>
                <w:color w:val="000000"/>
                <w:sz w:val="22"/>
                <w:szCs w:val="22"/>
              </w:rPr>
            </w:pPr>
            <w:r>
              <w:rPr>
                <w:rFonts w:ascii="Calibri" w:hAnsi="Calibri" w:cs="Calibri"/>
                <w:color w:val="000000"/>
                <w:sz w:val="22"/>
                <w:szCs w:val="22"/>
              </w:rPr>
              <w:t>Monitor 2026-04-M01 dle spec. listů (*)</w:t>
            </w:r>
          </w:p>
        </w:tc>
        <w:tc>
          <w:tcPr>
            <w:tcW w:w="851" w:type="dxa"/>
            <w:vAlign w:val="center"/>
          </w:tcPr>
          <w:p w14:paraId="2A4E6FA7" w14:textId="6EE79A60" w:rsidR="00B573D4" w:rsidRPr="00955ED1" w:rsidDel="00197DBF" w:rsidRDefault="00B573D4" w:rsidP="00B573D4">
            <w:pPr>
              <w:autoSpaceDE w:val="0"/>
              <w:autoSpaceDN w:val="0"/>
              <w:adjustRightInd w:val="0"/>
              <w:jc w:val="center"/>
              <w:rPr>
                <w:rFonts w:asciiTheme="minorHAnsi" w:hAnsiTheme="minorHAnsi" w:cstheme="minorHAnsi"/>
                <w:bCs/>
                <w:color w:val="000000"/>
                <w:sz w:val="22"/>
                <w:szCs w:val="22"/>
              </w:rPr>
            </w:pPr>
            <w:r>
              <w:rPr>
                <w:rFonts w:ascii="Calibri" w:hAnsi="Calibri" w:cs="Calibri"/>
                <w:color w:val="000000"/>
                <w:sz w:val="22"/>
                <w:szCs w:val="22"/>
              </w:rPr>
              <w:t>3</w:t>
            </w:r>
          </w:p>
        </w:tc>
        <w:tc>
          <w:tcPr>
            <w:tcW w:w="567" w:type="dxa"/>
            <w:vAlign w:val="center"/>
          </w:tcPr>
          <w:p w14:paraId="1E1E2E44" w14:textId="795BC7BC" w:rsidR="00B573D4" w:rsidRPr="00955ED1" w:rsidDel="00197DBF" w:rsidRDefault="00B573D4" w:rsidP="00B573D4">
            <w:pPr>
              <w:autoSpaceDE w:val="0"/>
              <w:autoSpaceDN w:val="0"/>
              <w:adjustRightInd w:val="0"/>
              <w:jc w:val="center"/>
              <w:rPr>
                <w:rFonts w:asciiTheme="minorHAnsi" w:hAnsiTheme="minorHAnsi" w:cstheme="minorHAnsi"/>
                <w:bCs/>
                <w:color w:val="000000"/>
                <w:sz w:val="22"/>
                <w:szCs w:val="22"/>
              </w:rPr>
            </w:pPr>
            <w:r>
              <w:rPr>
                <w:rFonts w:ascii="Calibri" w:hAnsi="Calibri" w:cs="Calibri"/>
                <w:color w:val="000000"/>
                <w:sz w:val="22"/>
                <w:szCs w:val="22"/>
              </w:rPr>
              <w:t>3</w:t>
            </w:r>
          </w:p>
        </w:tc>
        <w:tc>
          <w:tcPr>
            <w:tcW w:w="1276" w:type="dxa"/>
            <w:vAlign w:val="center"/>
          </w:tcPr>
          <w:p w14:paraId="06E19CF4" w14:textId="1AD64CF8"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0"/>
                <w:szCs w:val="20"/>
              </w:rPr>
              <w:t>8400</w:t>
            </w:r>
          </w:p>
        </w:tc>
        <w:tc>
          <w:tcPr>
            <w:tcW w:w="1134" w:type="dxa"/>
            <w:vAlign w:val="center"/>
          </w:tcPr>
          <w:p w14:paraId="184F039A" w14:textId="61E12B63"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1764</w:t>
            </w:r>
          </w:p>
        </w:tc>
        <w:tc>
          <w:tcPr>
            <w:tcW w:w="1281" w:type="dxa"/>
            <w:vAlign w:val="center"/>
          </w:tcPr>
          <w:p w14:paraId="2A49DEF2" w14:textId="3E6747DC" w:rsidR="00B573D4" w:rsidRPr="009A0F32" w:rsidRDefault="00B573D4" w:rsidP="00B573D4">
            <w:pPr>
              <w:autoSpaceDE w:val="0"/>
              <w:autoSpaceDN w:val="0"/>
              <w:adjustRightInd w:val="0"/>
              <w:jc w:val="right"/>
              <w:rPr>
                <w:rFonts w:asciiTheme="minorHAnsi" w:hAnsiTheme="minorHAnsi" w:cstheme="minorHAnsi"/>
                <w:sz w:val="22"/>
                <w:szCs w:val="22"/>
              </w:rPr>
            </w:pPr>
            <w:r>
              <w:rPr>
                <w:rFonts w:ascii="Calibri" w:hAnsi="Calibri" w:cs="Calibri"/>
                <w:color w:val="000000"/>
                <w:sz w:val="22"/>
                <w:szCs w:val="22"/>
              </w:rPr>
              <w:t>10164</w:t>
            </w:r>
          </w:p>
        </w:tc>
      </w:tr>
      <w:tr w:rsidR="00B573D4" w14:paraId="1D509F27" w14:textId="77777777" w:rsidTr="00825855">
        <w:trPr>
          <w:trHeight w:val="251"/>
          <w:jc w:val="center"/>
        </w:trPr>
        <w:tc>
          <w:tcPr>
            <w:tcW w:w="3966" w:type="dxa"/>
            <w:vAlign w:val="center"/>
          </w:tcPr>
          <w:p w14:paraId="4A8B8391" w14:textId="7CA1F5AD" w:rsidR="00B573D4" w:rsidRPr="00955ED1" w:rsidRDefault="00B573D4" w:rsidP="00B573D4">
            <w:pPr>
              <w:autoSpaceDE w:val="0"/>
              <w:autoSpaceDN w:val="0"/>
              <w:adjustRightInd w:val="0"/>
              <w:rPr>
                <w:rFonts w:asciiTheme="minorHAnsi" w:hAnsiTheme="minorHAnsi" w:cstheme="minorHAnsi"/>
                <w:bCs/>
                <w:sz w:val="22"/>
                <w:szCs w:val="22"/>
              </w:rPr>
            </w:pPr>
            <w:r>
              <w:rPr>
                <w:rFonts w:ascii="Calibri" w:hAnsi="Calibri" w:cs="Calibri"/>
                <w:b/>
                <w:bCs/>
                <w:color w:val="000000"/>
                <w:sz w:val="22"/>
                <w:szCs w:val="22"/>
              </w:rPr>
              <w:t>Celkem</w:t>
            </w:r>
          </w:p>
        </w:tc>
        <w:tc>
          <w:tcPr>
            <w:tcW w:w="851" w:type="dxa"/>
            <w:vAlign w:val="center"/>
          </w:tcPr>
          <w:p w14:paraId="654339F9" w14:textId="6C5AE954" w:rsidR="00B573D4" w:rsidRPr="00955ED1" w:rsidDel="00197DBF" w:rsidRDefault="00B573D4" w:rsidP="00B573D4">
            <w:pPr>
              <w:autoSpaceDE w:val="0"/>
              <w:autoSpaceDN w:val="0"/>
              <w:adjustRightInd w:val="0"/>
              <w:jc w:val="center"/>
              <w:rPr>
                <w:rFonts w:asciiTheme="minorHAnsi" w:hAnsiTheme="minorHAnsi" w:cstheme="minorHAnsi"/>
                <w:bCs/>
                <w:color w:val="000000"/>
                <w:sz w:val="22"/>
                <w:szCs w:val="22"/>
              </w:rPr>
            </w:pPr>
            <w:r>
              <w:rPr>
                <w:rFonts w:ascii="Calibri" w:hAnsi="Calibri" w:cs="Calibri"/>
                <w:color w:val="000000"/>
                <w:sz w:val="22"/>
                <w:szCs w:val="22"/>
              </w:rPr>
              <w:t> </w:t>
            </w:r>
          </w:p>
        </w:tc>
        <w:tc>
          <w:tcPr>
            <w:tcW w:w="567" w:type="dxa"/>
            <w:vAlign w:val="center"/>
          </w:tcPr>
          <w:p w14:paraId="5F13FFAA" w14:textId="76B6228A" w:rsidR="00B573D4" w:rsidRPr="00955ED1" w:rsidDel="00197DBF" w:rsidRDefault="00B573D4" w:rsidP="00B573D4">
            <w:pPr>
              <w:autoSpaceDE w:val="0"/>
              <w:autoSpaceDN w:val="0"/>
              <w:adjustRightInd w:val="0"/>
              <w:jc w:val="center"/>
              <w:rPr>
                <w:rFonts w:asciiTheme="minorHAnsi" w:hAnsiTheme="minorHAnsi" w:cstheme="minorHAnsi"/>
                <w:bCs/>
                <w:color w:val="000000"/>
                <w:sz w:val="22"/>
                <w:szCs w:val="22"/>
              </w:rPr>
            </w:pPr>
            <w:r>
              <w:rPr>
                <w:rFonts w:ascii="Calibri" w:hAnsi="Calibri" w:cs="Calibri"/>
                <w:color w:val="000000"/>
                <w:sz w:val="22"/>
                <w:szCs w:val="22"/>
              </w:rPr>
              <w:t> </w:t>
            </w:r>
          </w:p>
        </w:tc>
        <w:tc>
          <w:tcPr>
            <w:tcW w:w="1276" w:type="dxa"/>
            <w:vAlign w:val="center"/>
          </w:tcPr>
          <w:p w14:paraId="1D44006A" w14:textId="7EE02D06" w:rsidR="00B573D4" w:rsidRPr="009A0F32" w:rsidDel="00197DBF" w:rsidRDefault="00B573D4" w:rsidP="00B573D4">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81490</w:t>
            </w:r>
          </w:p>
        </w:tc>
        <w:tc>
          <w:tcPr>
            <w:tcW w:w="1134" w:type="dxa"/>
            <w:vAlign w:val="center"/>
          </w:tcPr>
          <w:p w14:paraId="54D0AC50" w14:textId="2E9A262E" w:rsidR="00B573D4" w:rsidRPr="009A0F32" w:rsidDel="00197DBF" w:rsidRDefault="00B573D4" w:rsidP="00B573D4">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17112,9</w:t>
            </w:r>
          </w:p>
        </w:tc>
        <w:tc>
          <w:tcPr>
            <w:tcW w:w="1281" w:type="dxa"/>
            <w:vAlign w:val="center"/>
          </w:tcPr>
          <w:p w14:paraId="646F4FAD" w14:textId="1B16F73F" w:rsidR="00B573D4" w:rsidRPr="009A0F32" w:rsidDel="00197DBF" w:rsidRDefault="00B573D4" w:rsidP="00B573D4">
            <w:pPr>
              <w:autoSpaceDE w:val="0"/>
              <w:autoSpaceDN w:val="0"/>
              <w:adjustRightInd w:val="0"/>
              <w:jc w:val="right"/>
              <w:rPr>
                <w:rFonts w:asciiTheme="minorHAnsi" w:hAnsiTheme="minorHAnsi" w:cstheme="minorHAnsi"/>
                <w:b/>
                <w:bCs/>
                <w:color w:val="000000"/>
                <w:sz w:val="22"/>
                <w:szCs w:val="22"/>
              </w:rPr>
            </w:pPr>
            <w:r>
              <w:rPr>
                <w:rFonts w:ascii="Calibri" w:hAnsi="Calibri" w:cs="Calibri"/>
                <w:color w:val="000000"/>
                <w:sz w:val="22"/>
                <w:szCs w:val="22"/>
              </w:rPr>
              <w:t>98602,9</w:t>
            </w:r>
          </w:p>
        </w:tc>
      </w:tr>
    </w:tbl>
    <w:p w14:paraId="30A0E399" w14:textId="77777777" w:rsidR="008F5014" w:rsidRDefault="008F5014" w:rsidP="008F5014">
      <w:pPr>
        <w:spacing w:after="120"/>
        <w:jc w:val="both"/>
        <w:rPr>
          <w:rFonts w:ascii="Arial" w:hAnsi="Arial" w:cs="Arial"/>
          <w:sz w:val="22"/>
        </w:rPr>
      </w:pPr>
      <w:r>
        <w:rPr>
          <w:rFonts w:ascii="Arial" w:hAnsi="Arial" w:cs="Arial"/>
          <w:sz w:val="22"/>
        </w:rPr>
        <w:t>(*)pzn. specifikační listy, které jsou nedílnou součástí této smlouvy.</w:t>
      </w:r>
    </w:p>
    <w:p w14:paraId="0399AD6A" w14:textId="32B5103E" w:rsidR="003122CB" w:rsidRPr="00B573D4" w:rsidRDefault="003122CB" w:rsidP="00C34CD3">
      <w:pPr>
        <w:spacing w:after="120"/>
        <w:jc w:val="both"/>
        <w:rPr>
          <w:rFonts w:ascii="Arial" w:hAnsi="Arial" w:cs="Arial"/>
          <w:sz w:val="22"/>
        </w:rPr>
      </w:pPr>
    </w:p>
    <w:p w14:paraId="52D3AFE6" w14:textId="09BFC808" w:rsidR="006A6E11" w:rsidRPr="005204AE" w:rsidRDefault="006A6E11" w:rsidP="006A6E11">
      <w:pPr>
        <w:spacing w:after="120"/>
        <w:jc w:val="both"/>
        <w:rPr>
          <w:rFonts w:ascii="Arial" w:hAnsi="Arial" w:cs="Arial"/>
          <w:b/>
          <w:sz w:val="22"/>
        </w:rPr>
      </w:pPr>
      <w:r>
        <w:rPr>
          <w:rFonts w:ascii="Arial" w:hAnsi="Arial" w:cs="Arial"/>
          <w:sz w:val="22"/>
        </w:rPr>
        <w:t xml:space="preserve">Prodávající prohlašuje, že je oprávněn zprostředkovat </w:t>
      </w:r>
      <w:r w:rsidR="006A6703">
        <w:rPr>
          <w:rFonts w:ascii="Arial" w:hAnsi="Arial" w:cs="Arial"/>
          <w:sz w:val="22"/>
        </w:rPr>
        <w:t xml:space="preserve">a v souladu s předmětem této smlouvy zprostředkuje </w:t>
      </w:r>
      <w:r>
        <w:rPr>
          <w:rFonts w:ascii="Arial" w:hAnsi="Arial" w:cs="Arial"/>
          <w:sz w:val="22"/>
        </w:rPr>
        <w:t xml:space="preserve">pro kupujícího nabytí práva užít zboží dle této smlouvy v rozsahu a k účelu, ke kterému je zboží určeno. Prodávající dále prohlašuje, že je oprávněn výrobcem zboží (tj. </w:t>
      </w:r>
      <w:r>
        <w:rPr>
          <w:rFonts w:ascii="Arial" w:hAnsi="Arial" w:cs="Arial"/>
          <w:sz w:val="22"/>
        </w:rPr>
        <w:lastRenderedPageBreak/>
        <w:t>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4CA8AFBE"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8172E4">
        <w:rPr>
          <w:rFonts w:ascii="Arial" w:hAnsi="Arial" w:cs="Arial"/>
          <w:b/>
          <w:sz w:val="22"/>
        </w:rPr>
        <w:t>81</w:t>
      </w:r>
      <w:r w:rsidR="00FE2AB3" w:rsidRPr="00FD7145">
        <w:rPr>
          <w:rFonts w:ascii="Arial" w:hAnsi="Arial" w:cs="Arial"/>
          <w:b/>
          <w:sz w:val="22"/>
        </w:rPr>
        <w:t xml:space="preserve"> </w:t>
      </w:r>
      <w:r w:rsidR="00B573D4">
        <w:rPr>
          <w:rFonts w:ascii="Arial" w:hAnsi="Arial" w:cs="Arial"/>
          <w:b/>
          <w:sz w:val="22"/>
        </w:rPr>
        <w:t>490</w:t>
      </w:r>
      <w:r w:rsidR="00A50E95">
        <w:rPr>
          <w:rFonts w:ascii="Arial" w:hAnsi="Arial" w:cs="Arial"/>
          <w:b/>
          <w:sz w:val="22"/>
        </w:rPr>
        <w:t>,</w:t>
      </w:r>
      <w:r w:rsidR="009E1DB6">
        <w:rPr>
          <w:rFonts w:ascii="Arial" w:hAnsi="Arial" w:cs="Arial"/>
          <w:b/>
          <w:sz w:val="22"/>
        </w:rPr>
        <w:t>0</w:t>
      </w:r>
      <w:r w:rsidR="00431205">
        <w:rPr>
          <w:rFonts w:ascii="Arial" w:hAnsi="Arial" w:cs="Arial"/>
          <w:b/>
          <w:sz w:val="22"/>
        </w:rPr>
        <w:t>0</w:t>
      </w:r>
      <w:r w:rsidRPr="00FD714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30878472" w14:textId="49A021F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F42A34">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81EBB16"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w:t>
      </w:r>
      <w:proofErr w:type="spellStart"/>
      <w:r w:rsidR="000056B5">
        <w:rPr>
          <w:rFonts w:ascii="Arial" w:hAnsi="Arial" w:cs="Arial"/>
          <w:color w:val="000000"/>
          <w:sz w:val="22"/>
          <w:szCs w:val="22"/>
        </w:rPr>
        <w:t>xxx</w:t>
      </w:r>
      <w:proofErr w:type="spellEnd"/>
      <w:r w:rsidR="00A933E2">
        <w:rPr>
          <w:rFonts w:ascii="Arial" w:hAnsi="Arial" w:cs="Arial"/>
          <w:color w:val="000000"/>
          <w:sz w:val="22"/>
          <w:szCs w:val="22"/>
        </w:rPr>
        <w:t xml:space="preserve"> nebo </w:t>
      </w:r>
      <w:r w:rsidRPr="00C34CD3">
        <w:rPr>
          <w:rFonts w:ascii="Arial" w:hAnsi="Arial" w:cs="Arial"/>
          <w:color w:val="000000"/>
          <w:sz w:val="22"/>
          <w:szCs w:val="22"/>
        </w:rPr>
        <w:t xml:space="preserve">p. Roman Struk, mobil </w:t>
      </w:r>
      <w:proofErr w:type="spellStart"/>
      <w:r w:rsidR="000056B5">
        <w:rPr>
          <w:rFonts w:ascii="Arial" w:hAnsi="Arial" w:cs="Arial"/>
          <w:color w:val="000000"/>
          <w:sz w:val="22"/>
          <w:szCs w:val="22"/>
        </w:rPr>
        <w:t>xxx</w:t>
      </w:r>
      <w:proofErr w:type="spellEnd"/>
      <w:r w:rsidRPr="00C34CD3">
        <w:rPr>
          <w:rFonts w:ascii="Arial" w:hAnsi="Arial" w:cs="Arial"/>
          <w:color w:val="000000"/>
          <w:sz w:val="22"/>
          <w:szCs w:val="22"/>
        </w:rPr>
        <w:t xml:space="preserve"> nebo p. Jiří Kalendovský, mobil </w:t>
      </w:r>
      <w:r w:rsidR="000056B5">
        <w:rPr>
          <w:rFonts w:ascii="Arial" w:hAnsi="Arial" w:cs="Arial"/>
          <w:color w:val="000000"/>
          <w:sz w:val="22"/>
          <w:szCs w:val="22"/>
        </w:rPr>
        <w:t>xxxx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F187C8C" w14:textId="77777777" w:rsidR="00A0556E" w:rsidRDefault="00A0556E" w:rsidP="00D421F7">
      <w:pPr>
        <w:rPr>
          <w:rFonts w:ascii="Arial" w:hAnsi="Arial" w:cs="Arial"/>
          <w:sz w:val="22"/>
          <w:szCs w:val="22"/>
        </w:rPr>
      </w:pPr>
    </w:p>
    <w:p w14:paraId="1D0B2C13" w14:textId="77777777" w:rsidR="00A0556E" w:rsidRDefault="00A0556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38E9A01D" w14:textId="77777777" w:rsidR="00A0556E" w:rsidRPr="001C2BC3" w:rsidRDefault="00A0556E" w:rsidP="00A0556E">
            <w:pPr>
              <w:jc w:val="center"/>
              <w:rPr>
                <w:rFonts w:ascii="Arial" w:hAnsi="Arial" w:cs="Arial"/>
                <w:bCs/>
                <w:sz w:val="22"/>
                <w:szCs w:val="22"/>
              </w:rPr>
            </w:pPr>
            <w:r w:rsidRPr="001C2BC3">
              <w:rPr>
                <w:rFonts w:ascii="Arial" w:hAnsi="Arial" w:cs="Arial"/>
                <w:bCs/>
                <w:sz w:val="22"/>
                <w:szCs w:val="22"/>
              </w:rPr>
              <w:t>B2C, s.r.o.</w:t>
            </w:r>
          </w:p>
          <w:p w14:paraId="4CC77D68" w14:textId="08691DA5" w:rsidR="004374D9" w:rsidRDefault="00A0556E" w:rsidP="004374D9">
            <w:pPr>
              <w:ind w:right="-70"/>
              <w:jc w:val="center"/>
              <w:rPr>
                <w:rFonts w:ascii="Arial" w:hAnsi="Arial" w:cs="Arial"/>
                <w:sz w:val="22"/>
                <w:szCs w:val="22"/>
              </w:rPr>
            </w:pPr>
            <w:r w:rsidRPr="00C52634">
              <w:rPr>
                <w:rFonts w:ascii="Arial" w:hAnsi="Arial" w:cs="Arial"/>
                <w:sz w:val="22"/>
                <w:szCs w:val="22"/>
              </w:rPr>
              <w:t>Ing. Jan Rybnikář</w:t>
            </w:r>
          </w:p>
          <w:p w14:paraId="1FBDD427" w14:textId="43A2FF8F" w:rsidR="00B72CB0" w:rsidRPr="00163251" w:rsidRDefault="00FE3CC3" w:rsidP="004374D9">
            <w:pPr>
              <w:ind w:right="-70"/>
              <w:jc w:val="center"/>
              <w:rPr>
                <w:rFonts w:ascii="Arial" w:hAnsi="Arial" w:cs="Arial"/>
                <w:sz w:val="22"/>
                <w:szCs w:val="22"/>
              </w:rPr>
            </w:pPr>
            <w:r w:rsidRPr="000E4534">
              <w:rPr>
                <w:rFonts w:ascii="Arial" w:hAnsi="Arial" w:cs="Arial"/>
                <w:sz w:val="22"/>
                <w:szCs w:val="22"/>
              </w:rPr>
              <w:br/>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63213830" w14:textId="77777777" w:rsidR="001219E8" w:rsidRDefault="00B72CB0" w:rsidP="001219E8">
            <w:pPr>
              <w:ind w:right="-70"/>
              <w:jc w:val="center"/>
              <w:rPr>
                <w:rFonts w:ascii="Arial" w:hAnsi="Arial" w:cs="Arial"/>
                <w:kern w:val="2"/>
                <w:sz w:val="22"/>
                <w:szCs w:val="22"/>
              </w:rPr>
            </w:pPr>
            <w:r w:rsidRPr="00163251">
              <w:rPr>
                <w:rFonts w:ascii="Arial" w:hAnsi="Arial" w:cs="Arial"/>
                <w:sz w:val="22"/>
                <w:szCs w:val="22"/>
              </w:rPr>
              <w:t xml:space="preserve"> </w:t>
            </w:r>
            <w:r w:rsidR="001219E8">
              <w:rPr>
                <w:rFonts w:ascii="Arial" w:hAnsi="Arial" w:cs="Arial"/>
                <w:sz w:val="22"/>
                <w:szCs w:val="22"/>
              </w:rPr>
              <w:t>Národní divadlo</w:t>
            </w:r>
          </w:p>
          <w:p w14:paraId="0C756E38" w14:textId="77777777" w:rsidR="001219E8" w:rsidRDefault="001219E8" w:rsidP="001219E8">
            <w:pPr>
              <w:ind w:right="-70"/>
              <w:jc w:val="center"/>
              <w:rPr>
                <w:rFonts w:ascii="Arial" w:hAnsi="Arial" w:cs="Arial"/>
                <w:b/>
                <w:sz w:val="22"/>
                <w:szCs w:val="22"/>
              </w:rPr>
            </w:pPr>
            <w:r>
              <w:rPr>
                <w:rFonts w:ascii="Arial" w:hAnsi="Arial" w:cs="Arial"/>
                <w:sz w:val="22"/>
                <w:szCs w:val="22"/>
              </w:rPr>
              <w:t>Ing. Václav Pelouch</w:t>
            </w:r>
          </w:p>
          <w:p w14:paraId="5F2EFEF3" w14:textId="10121996" w:rsidR="00B72CB0" w:rsidRDefault="001219E8" w:rsidP="001219E8">
            <w:pPr>
              <w:ind w:right="-70"/>
              <w:jc w:val="center"/>
              <w:rPr>
                <w:rFonts w:ascii="Arial" w:hAnsi="Arial" w:cs="Arial"/>
                <w:sz w:val="22"/>
                <w:szCs w:val="22"/>
              </w:rPr>
            </w:pPr>
            <w:r>
              <w:rPr>
                <w:rFonts w:ascii="Arial" w:hAnsi="Arial" w:cs="Arial"/>
                <w:sz w:val="22"/>
                <w:szCs w:val="22"/>
              </w:rPr>
              <w:t>ředitel technicko-provozní správy</w:t>
            </w:r>
          </w:p>
        </w:tc>
      </w:tr>
      <w:tr w:rsidR="00EF6D58" w14:paraId="095EA57D" w14:textId="77777777" w:rsidTr="00B72CB0">
        <w:trPr>
          <w:trHeight w:val="586"/>
        </w:trPr>
        <w:tc>
          <w:tcPr>
            <w:tcW w:w="4680" w:type="dxa"/>
          </w:tcPr>
          <w:p w14:paraId="760E5922" w14:textId="77777777" w:rsidR="00EF6D58" w:rsidRDefault="00EF6D58" w:rsidP="004B1BBC">
            <w:pPr>
              <w:ind w:right="-70"/>
              <w:jc w:val="center"/>
              <w:rPr>
                <w:rFonts w:ascii="Arial" w:hAnsi="Arial" w:cs="Arial"/>
                <w:sz w:val="22"/>
                <w:szCs w:val="22"/>
              </w:rPr>
            </w:pPr>
          </w:p>
          <w:p w14:paraId="33141853" w14:textId="77777777" w:rsidR="00EF6D58" w:rsidRPr="00163251" w:rsidRDefault="00EF6D58" w:rsidP="004B1BBC">
            <w:pPr>
              <w:ind w:right="-70"/>
              <w:jc w:val="center"/>
              <w:rPr>
                <w:rFonts w:ascii="Arial" w:hAnsi="Arial" w:cs="Arial"/>
                <w:sz w:val="22"/>
                <w:szCs w:val="22"/>
              </w:rPr>
            </w:pPr>
          </w:p>
        </w:tc>
        <w:tc>
          <w:tcPr>
            <w:tcW w:w="4680" w:type="dxa"/>
          </w:tcPr>
          <w:p w14:paraId="24F5EBAA" w14:textId="77777777" w:rsidR="00EF6D58" w:rsidRPr="00163251" w:rsidRDefault="00EF6D58" w:rsidP="00B72CB0">
            <w:pPr>
              <w:ind w:right="-70"/>
              <w:jc w:val="center"/>
              <w:rPr>
                <w:rFonts w:ascii="Arial" w:hAnsi="Arial" w:cs="Arial"/>
                <w:sz w:val="22"/>
                <w:szCs w:val="22"/>
              </w:rPr>
            </w:pPr>
          </w:p>
        </w:tc>
      </w:tr>
    </w:tbl>
    <w:p w14:paraId="57B99DBB" w14:textId="77777777" w:rsidR="008F7C79" w:rsidRDefault="008F7C79" w:rsidP="00076553">
      <w:pPr>
        <w:rPr>
          <w:rFonts w:ascii="Arial" w:hAnsi="Arial" w:cs="Arial"/>
          <w:sz w:val="22"/>
          <w:szCs w:val="22"/>
        </w:rPr>
      </w:pPr>
    </w:p>
    <w:p w14:paraId="11470CD9" w14:textId="77777777" w:rsidR="00760E8D" w:rsidRDefault="00760E8D" w:rsidP="00076553">
      <w:pPr>
        <w:rPr>
          <w:rFonts w:ascii="Arial" w:hAnsi="Arial" w:cs="Arial"/>
          <w:sz w:val="22"/>
          <w:szCs w:val="22"/>
        </w:rPr>
      </w:pPr>
    </w:p>
    <w:sectPr w:rsidR="00760E8D" w:rsidSect="001E199F">
      <w:headerReference w:type="default" r:id="rId11"/>
      <w:footerReference w:type="default" r:id="rId12"/>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A6BA" w14:textId="77777777" w:rsidR="00F36E81" w:rsidRDefault="00F36E81" w:rsidP="005B1606">
      <w:r>
        <w:separator/>
      </w:r>
    </w:p>
  </w:endnote>
  <w:endnote w:type="continuationSeparator" w:id="0">
    <w:p w14:paraId="10D032DF" w14:textId="77777777" w:rsidR="00F36E81" w:rsidRDefault="00F36E81"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29183B36"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0C1780">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8FE1" w14:textId="77777777" w:rsidR="00F36E81" w:rsidRDefault="00F36E81" w:rsidP="005B1606">
      <w:r>
        <w:separator/>
      </w:r>
    </w:p>
  </w:footnote>
  <w:footnote w:type="continuationSeparator" w:id="0">
    <w:p w14:paraId="10714C6B" w14:textId="77777777" w:rsidR="00F36E81" w:rsidRDefault="00F36E81"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6733776D" w:rsidR="002C121D" w:rsidRDefault="002C121D" w:rsidP="002C121D">
    <w:pPr>
      <w:pStyle w:val="Zhlav"/>
      <w:jc w:val="right"/>
    </w:pPr>
    <w:r>
      <w:t>Čj.</w:t>
    </w:r>
    <w:r w:rsidRPr="002C121D">
      <w:t xml:space="preserve"> </w:t>
    </w:r>
    <w:r w:rsidR="00282D21" w:rsidRPr="00282D21">
      <w:t>ND/3481/600301/2026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6368017">
    <w:abstractNumId w:val="10"/>
  </w:num>
  <w:num w:numId="2" w16cid:durableId="1288243841">
    <w:abstractNumId w:val="11"/>
  </w:num>
  <w:num w:numId="3" w16cid:durableId="507334312">
    <w:abstractNumId w:val="12"/>
  </w:num>
  <w:num w:numId="4" w16cid:durableId="229196645">
    <w:abstractNumId w:val="13"/>
  </w:num>
  <w:num w:numId="5" w16cid:durableId="2087726611">
    <w:abstractNumId w:val="14"/>
  </w:num>
  <w:num w:numId="6" w16cid:durableId="1830945004">
    <w:abstractNumId w:val="17"/>
  </w:num>
  <w:num w:numId="7" w16cid:durableId="763458276">
    <w:abstractNumId w:val="8"/>
  </w:num>
  <w:num w:numId="8" w16cid:durableId="1136944627">
    <w:abstractNumId w:val="3"/>
  </w:num>
  <w:num w:numId="9" w16cid:durableId="1457525780">
    <w:abstractNumId w:val="2"/>
  </w:num>
  <w:num w:numId="10" w16cid:durableId="677855974">
    <w:abstractNumId w:val="1"/>
  </w:num>
  <w:num w:numId="11" w16cid:durableId="1584534992">
    <w:abstractNumId w:val="0"/>
  </w:num>
  <w:num w:numId="12" w16cid:durableId="421072875">
    <w:abstractNumId w:val="9"/>
  </w:num>
  <w:num w:numId="13" w16cid:durableId="1222596404">
    <w:abstractNumId w:val="7"/>
  </w:num>
  <w:num w:numId="14" w16cid:durableId="45960748">
    <w:abstractNumId w:val="6"/>
  </w:num>
  <w:num w:numId="15" w16cid:durableId="255748611">
    <w:abstractNumId w:val="5"/>
  </w:num>
  <w:num w:numId="16" w16cid:durableId="549458112">
    <w:abstractNumId w:val="4"/>
  </w:num>
  <w:num w:numId="17" w16cid:durableId="1346513339">
    <w:abstractNumId w:val="16"/>
  </w:num>
  <w:num w:numId="18" w16cid:durableId="1473328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6B5"/>
    <w:rsid w:val="00005F24"/>
    <w:rsid w:val="000137CB"/>
    <w:rsid w:val="000219B7"/>
    <w:rsid w:val="00024ECA"/>
    <w:rsid w:val="00026472"/>
    <w:rsid w:val="0003101B"/>
    <w:rsid w:val="00034C7F"/>
    <w:rsid w:val="000352E0"/>
    <w:rsid w:val="00036BCE"/>
    <w:rsid w:val="00051545"/>
    <w:rsid w:val="00052C87"/>
    <w:rsid w:val="00061AC5"/>
    <w:rsid w:val="000646BF"/>
    <w:rsid w:val="00067BB2"/>
    <w:rsid w:val="00076553"/>
    <w:rsid w:val="0008264C"/>
    <w:rsid w:val="00083381"/>
    <w:rsid w:val="000953C4"/>
    <w:rsid w:val="00095653"/>
    <w:rsid w:val="000973C7"/>
    <w:rsid w:val="000A32D9"/>
    <w:rsid w:val="000A47FC"/>
    <w:rsid w:val="000B2BD5"/>
    <w:rsid w:val="000B3014"/>
    <w:rsid w:val="000B346D"/>
    <w:rsid w:val="000C1780"/>
    <w:rsid w:val="000C34DA"/>
    <w:rsid w:val="000C6584"/>
    <w:rsid w:val="000D3CFE"/>
    <w:rsid w:val="000D5E9C"/>
    <w:rsid w:val="000E227A"/>
    <w:rsid w:val="000E5C05"/>
    <w:rsid w:val="001013BA"/>
    <w:rsid w:val="001027B3"/>
    <w:rsid w:val="001077B0"/>
    <w:rsid w:val="001163C6"/>
    <w:rsid w:val="001219E8"/>
    <w:rsid w:val="00127B0C"/>
    <w:rsid w:val="00127EC8"/>
    <w:rsid w:val="00134889"/>
    <w:rsid w:val="00135D7B"/>
    <w:rsid w:val="001402F7"/>
    <w:rsid w:val="001455E0"/>
    <w:rsid w:val="00150CDF"/>
    <w:rsid w:val="00163251"/>
    <w:rsid w:val="001731F3"/>
    <w:rsid w:val="00173B24"/>
    <w:rsid w:val="00176AC9"/>
    <w:rsid w:val="00180232"/>
    <w:rsid w:val="00181E19"/>
    <w:rsid w:val="0019114A"/>
    <w:rsid w:val="00197DBF"/>
    <w:rsid w:val="00197FEF"/>
    <w:rsid w:val="001A21C8"/>
    <w:rsid w:val="001B1252"/>
    <w:rsid w:val="001B1BD2"/>
    <w:rsid w:val="001C2BC3"/>
    <w:rsid w:val="001D2958"/>
    <w:rsid w:val="001D490F"/>
    <w:rsid w:val="001D5DDA"/>
    <w:rsid w:val="001D78C0"/>
    <w:rsid w:val="001E158E"/>
    <w:rsid w:val="001E199F"/>
    <w:rsid w:val="001F5757"/>
    <w:rsid w:val="00212667"/>
    <w:rsid w:val="00230D2B"/>
    <w:rsid w:val="00230D44"/>
    <w:rsid w:val="00240428"/>
    <w:rsid w:val="002468ED"/>
    <w:rsid w:val="0025579E"/>
    <w:rsid w:val="00265EE3"/>
    <w:rsid w:val="00276787"/>
    <w:rsid w:val="00280227"/>
    <w:rsid w:val="00282D21"/>
    <w:rsid w:val="00293253"/>
    <w:rsid w:val="002B39F5"/>
    <w:rsid w:val="002C0B43"/>
    <w:rsid w:val="002C121D"/>
    <w:rsid w:val="002C20E9"/>
    <w:rsid w:val="002C3BB0"/>
    <w:rsid w:val="002E0DA7"/>
    <w:rsid w:val="002E6FA1"/>
    <w:rsid w:val="002F7E95"/>
    <w:rsid w:val="00302169"/>
    <w:rsid w:val="00303793"/>
    <w:rsid w:val="00306D81"/>
    <w:rsid w:val="00311050"/>
    <w:rsid w:val="0031190D"/>
    <w:rsid w:val="003122CB"/>
    <w:rsid w:val="00322F60"/>
    <w:rsid w:val="00324632"/>
    <w:rsid w:val="00332623"/>
    <w:rsid w:val="00370A19"/>
    <w:rsid w:val="00382DA2"/>
    <w:rsid w:val="0038791A"/>
    <w:rsid w:val="00391C11"/>
    <w:rsid w:val="003A6A00"/>
    <w:rsid w:val="003B3634"/>
    <w:rsid w:val="003B4835"/>
    <w:rsid w:val="003C7561"/>
    <w:rsid w:val="003E5CFD"/>
    <w:rsid w:val="003F254B"/>
    <w:rsid w:val="003F4932"/>
    <w:rsid w:val="003F4F54"/>
    <w:rsid w:val="0040186E"/>
    <w:rsid w:val="004042D0"/>
    <w:rsid w:val="004051C2"/>
    <w:rsid w:val="0040703A"/>
    <w:rsid w:val="00413EDB"/>
    <w:rsid w:val="00417B2D"/>
    <w:rsid w:val="004259E3"/>
    <w:rsid w:val="00431205"/>
    <w:rsid w:val="0043261A"/>
    <w:rsid w:val="004374D9"/>
    <w:rsid w:val="004423D6"/>
    <w:rsid w:val="0044748D"/>
    <w:rsid w:val="00452A92"/>
    <w:rsid w:val="004619FC"/>
    <w:rsid w:val="00473F2E"/>
    <w:rsid w:val="00475662"/>
    <w:rsid w:val="0047796E"/>
    <w:rsid w:val="004810BC"/>
    <w:rsid w:val="004814A1"/>
    <w:rsid w:val="004836AE"/>
    <w:rsid w:val="004A2A5A"/>
    <w:rsid w:val="004B1BBC"/>
    <w:rsid w:val="004B45E9"/>
    <w:rsid w:val="004B4B11"/>
    <w:rsid w:val="004B7CB2"/>
    <w:rsid w:val="004C3592"/>
    <w:rsid w:val="004D2C72"/>
    <w:rsid w:val="004D418F"/>
    <w:rsid w:val="004D6C38"/>
    <w:rsid w:val="004F20E7"/>
    <w:rsid w:val="004F5ADD"/>
    <w:rsid w:val="00502397"/>
    <w:rsid w:val="005051B6"/>
    <w:rsid w:val="00507A2C"/>
    <w:rsid w:val="005163FF"/>
    <w:rsid w:val="0051640D"/>
    <w:rsid w:val="005204AE"/>
    <w:rsid w:val="0052297D"/>
    <w:rsid w:val="00526046"/>
    <w:rsid w:val="00530C05"/>
    <w:rsid w:val="00536BA2"/>
    <w:rsid w:val="005525AA"/>
    <w:rsid w:val="005639AE"/>
    <w:rsid w:val="005670A2"/>
    <w:rsid w:val="005750B2"/>
    <w:rsid w:val="005765E7"/>
    <w:rsid w:val="00591D54"/>
    <w:rsid w:val="00591F8C"/>
    <w:rsid w:val="00593C01"/>
    <w:rsid w:val="005978FA"/>
    <w:rsid w:val="005A42A3"/>
    <w:rsid w:val="005B1606"/>
    <w:rsid w:val="005B4713"/>
    <w:rsid w:val="005B55F3"/>
    <w:rsid w:val="005B6703"/>
    <w:rsid w:val="005B726C"/>
    <w:rsid w:val="005D3250"/>
    <w:rsid w:val="005D7A21"/>
    <w:rsid w:val="005E4D29"/>
    <w:rsid w:val="005F285F"/>
    <w:rsid w:val="005F4A79"/>
    <w:rsid w:val="00603C51"/>
    <w:rsid w:val="00606458"/>
    <w:rsid w:val="00615AC2"/>
    <w:rsid w:val="00621162"/>
    <w:rsid w:val="006358B7"/>
    <w:rsid w:val="00635CE5"/>
    <w:rsid w:val="006360B9"/>
    <w:rsid w:val="00645848"/>
    <w:rsid w:val="006465C2"/>
    <w:rsid w:val="0065034B"/>
    <w:rsid w:val="00662D1D"/>
    <w:rsid w:val="00663A49"/>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3F7"/>
    <w:rsid w:val="006C4F2B"/>
    <w:rsid w:val="006D146A"/>
    <w:rsid w:val="006D306B"/>
    <w:rsid w:val="006D7DA0"/>
    <w:rsid w:val="006E056E"/>
    <w:rsid w:val="006E264E"/>
    <w:rsid w:val="006E3537"/>
    <w:rsid w:val="006F7C68"/>
    <w:rsid w:val="00707386"/>
    <w:rsid w:val="00714CEF"/>
    <w:rsid w:val="0072008A"/>
    <w:rsid w:val="00757845"/>
    <w:rsid w:val="00760E8D"/>
    <w:rsid w:val="007620E1"/>
    <w:rsid w:val="00766976"/>
    <w:rsid w:val="00776C48"/>
    <w:rsid w:val="007817B3"/>
    <w:rsid w:val="00783856"/>
    <w:rsid w:val="00783E7B"/>
    <w:rsid w:val="007A200A"/>
    <w:rsid w:val="007A7793"/>
    <w:rsid w:val="007B1CED"/>
    <w:rsid w:val="007C1530"/>
    <w:rsid w:val="007C1E4F"/>
    <w:rsid w:val="007C3557"/>
    <w:rsid w:val="007D3BC0"/>
    <w:rsid w:val="007D6408"/>
    <w:rsid w:val="007E09DC"/>
    <w:rsid w:val="007F0FD1"/>
    <w:rsid w:val="007F7CA8"/>
    <w:rsid w:val="00814834"/>
    <w:rsid w:val="008172E4"/>
    <w:rsid w:val="00820108"/>
    <w:rsid w:val="00820F74"/>
    <w:rsid w:val="008407F0"/>
    <w:rsid w:val="008440DC"/>
    <w:rsid w:val="00854EF8"/>
    <w:rsid w:val="0086272C"/>
    <w:rsid w:val="00864A46"/>
    <w:rsid w:val="008668F9"/>
    <w:rsid w:val="00866A70"/>
    <w:rsid w:val="00880515"/>
    <w:rsid w:val="00891D89"/>
    <w:rsid w:val="00895FC1"/>
    <w:rsid w:val="008A77B5"/>
    <w:rsid w:val="008A7B96"/>
    <w:rsid w:val="008B0128"/>
    <w:rsid w:val="008B0575"/>
    <w:rsid w:val="008C02CD"/>
    <w:rsid w:val="008C4D53"/>
    <w:rsid w:val="008C71FD"/>
    <w:rsid w:val="008D02A7"/>
    <w:rsid w:val="008D584B"/>
    <w:rsid w:val="008D62CA"/>
    <w:rsid w:val="008E7EC9"/>
    <w:rsid w:val="008F22D4"/>
    <w:rsid w:val="008F5014"/>
    <w:rsid w:val="008F7C79"/>
    <w:rsid w:val="00910A05"/>
    <w:rsid w:val="00915AAF"/>
    <w:rsid w:val="00916701"/>
    <w:rsid w:val="00921A21"/>
    <w:rsid w:val="00933BCE"/>
    <w:rsid w:val="00936221"/>
    <w:rsid w:val="00940BFD"/>
    <w:rsid w:val="00955ED1"/>
    <w:rsid w:val="00957320"/>
    <w:rsid w:val="00967A8F"/>
    <w:rsid w:val="009808B8"/>
    <w:rsid w:val="00985B59"/>
    <w:rsid w:val="009A0F32"/>
    <w:rsid w:val="009A1091"/>
    <w:rsid w:val="009A3ECC"/>
    <w:rsid w:val="009B1036"/>
    <w:rsid w:val="009C335B"/>
    <w:rsid w:val="009C55EB"/>
    <w:rsid w:val="009E1DB6"/>
    <w:rsid w:val="009E2233"/>
    <w:rsid w:val="009E338A"/>
    <w:rsid w:val="009F02DF"/>
    <w:rsid w:val="00A052FC"/>
    <w:rsid w:val="00A0556E"/>
    <w:rsid w:val="00A11124"/>
    <w:rsid w:val="00A116EA"/>
    <w:rsid w:val="00A117B0"/>
    <w:rsid w:val="00A16BC2"/>
    <w:rsid w:val="00A25C33"/>
    <w:rsid w:val="00A26AF6"/>
    <w:rsid w:val="00A36E7B"/>
    <w:rsid w:val="00A40B40"/>
    <w:rsid w:val="00A40DAB"/>
    <w:rsid w:val="00A44B26"/>
    <w:rsid w:val="00A50E95"/>
    <w:rsid w:val="00A619FF"/>
    <w:rsid w:val="00A73BFA"/>
    <w:rsid w:val="00A73F4E"/>
    <w:rsid w:val="00A75050"/>
    <w:rsid w:val="00A808C6"/>
    <w:rsid w:val="00A82DBD"/>
    <w:rsid w:val="00A87F06"/>
    <w:rsid w:val="00A90517"/>
    <w:rsid w:val="00A933E2"/>
    <w:rsid w:val="00AA2E98"/>
    <w:rsid w:val="00AA5CCC"/>
    <w:rsid w:val="00AA63A7"/>
    <w:rsid w:val="00AB00F3"/>
    <w:rsid w:val="00AB03AD"/>
    <w:rsid w:val="00AB11C3"/>
    <w:rsid w:val="00AB725B"/>
    <w:rsid w:val="00AD1031"/>
    <w:rsid w:val="00AE71CA"/>
    <w:rsid w:val="00AF582C"/>
    <w:rsid w:val="00AF64CD"/>
    <w:rsid w:val="00B03A08"/>
    <w:rsid w:val="00B10403"/>
    <w:rsid w:val="00B11DA5"/>
    <w:rsid w:val="00B1242D"/>
    <w:rsid w:val="00B134AF"/>
    <w:rsid w:val="00B263D9"/>
    <w:rsid w:val="00B26CB9"/>
    <w:rsid w:val="00B3039C"/>
    <w:rsid w:val="00B32A9B"/>
    <w:rsid w:val="00B363BC"/>
    <w:rsid w:val="00B43535"/>
    <w:rsid w:val="00B47772"/>
    <w:rsid w:val="00B573D4"/>
    <w:rsid w:val="00B576F2"/>
    <w:rsid w:val="00B6672A"/>
    <w:rsid w:val="00B72CB0"/>
    <w:rsid w:val="00B74C48"/>
    <w:rsid w:val="00B7543F"/>
    <w:rsid w:val="00B80249"/>
    <w:rsid w:val="00B819D2"/>
    <w:rsid w:val="00B900B9"/>
    <w:rsid w:val="00B914D6"/>
    <w:rsid w:val="00B95445"/>
    <w:rsid w:val="00B95FFB"/>
    <w:rsid w:val="00BA1659"/>
    <w:rsid w:val="00BB1825"/>
    <w:rsid w:val="00BB3ABF"/>
    <w:rsid w:val="00BD4E39"/>
    <w:rsid w:val="00BE28A9"/>
    <w:rsid w:val="00BF0E0E"/>
    <w:rsid w:val="00BF1878"/>
    <w:rsid w:val="00BF75E7"/>
    <w:rsid w:val="00C0188F"/>
    <w:rsid w:val="00C07AFC"/>
    <w:rsid w:val="00C15929"/>
    <w:rsid w:val="00C23D55"/>
    <w:rsid w:val="00C251E2"/>
    <w:rsid w:val="00C34BE7"/>
    <w:rsid w:val="00C34CD3"/>
    <w:rsid w:val="00C36E77"/>
    <w:rsid w:val="00C41A0A"/>
    <w:rsid w:val="00C42C3F"/>
    <w:rsid w:val="00C512F9"/>
    <w:rsid w:val="00C62D60"/>
    <w:rsid w:val="00C638CA"/>
    <w:rsid w:val="00C80A63"/>
    <w:rsid w:val="00C862B9"/>
    <w:rsid w:val="00C91120"/>
    <w:rsid w:val="00C97D5C"/>
    <w:rsid w:val="00CA0C32"/>
    <w:rsid w:val="00CC3CAA"/>
    <w:rsid w:val="00CC705D"/>
    <w:rsid w:val="00CD0655"/>
    <w:rsid w:val="00CD78AB"/>
    <w:rsid w:val="00CF5280"/>
    <w:rsid w:val="00D06F7A"/>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A58B4"/>
    <w:rsid w:val="00DB3850"/>
    <w:rsid w:val="00DB4EAD"/>
    <w:rsid w:val="00DB6F48"/>
    <w:rsid w:val="00DF296F"/>
    <w:rsid w:val="00DF3AC3"/>
    <w:rsid w:val="00DF46CF"/>
    <w:rsid w:val="00E112EC"/>
    <w:rsid w:val="00E11407"/>
    <w:rsid w:val="00E24F54"/>
    <w:rsid w:val="00E30379"/>
    <w:rsid w:val="00E343B5"/>
    <w:rsid w:val="00E37768"/>
    <w:rsid w:val="00E37922"/>
    <w:rsid w:val="00E401F7"/>
    <w:rsid w:val="00E45DAD"/>
    <w:rsid w:val="00E5592C"/>
    <w:rsid w:val="00E83822"/>
    <w:rsid w:val="00E85A45"/>
    <w:rsid w:val="00E91ADA"/>
    <w:rsid w:val="00EC2754"/>
    <w:rsid w:val="00EE5080"/>
    <w:rsid w:val="00EF1F80"/>
    <w:rsid w:val="00EF229E"/>
    <w:rsid w:val="00EF35F7"/>
    <w:rsid w:val="00EF6D58"/>
    <w:rsid w:val="00F04967"/>
    <w:rsid w:val="00F07042"/>
    <w:rsid w:val="00F27154"/>
    <w:rsid w:val="00F35A23"/>
    <w:rsid w:val="00F36E81"/>
    <w:rsid w:val="00F37BEE"/>
    <w:rsid w:val="00F422A6"/>
    <w:rsid w:val="00F42A34"/>
    <w:rsid w:val="00F457A7"/>
    <w:rsid w:val="00F509AA"/>
    <w:rsid w:val="00F5147F"/>
    <w:rsid w:val="00F51C52"/>
    <w:rsid w:val="00F60595"/>
    <w:rsid w:val="00F608FB"/>
    <w:rsid w:val="00F61F22"/>
    <w:rsid w:val="00F75F6D"/>
    <w:rsid w:val="00FB69A9"/>
    <w:rsid w:val="00FB6ACE"/>
    <w:rsid w:val="00FC628B"/>
    <w:rsid w:val="00FD7145"/>
    <w:rsid w:val="00FE0C72"/>
    <w:rsid w:val="00FE2AB3"/>
    <w:rsid w:val="00FE3CC3"/>
    <w:rsid w:val="00FE3E87"/>
    <w:rsid w:val="00FF32AC"/>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15:docId w15:val="{01D62969-D2A4-48B0-BA63-D496BACB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62e3af213b221847e4768f935f7eefc4">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b9cb91b5d716f10c7530e0c6ed2437d5"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baaba3-fb45-43e3-9490-0c27f08bde2e" xsi:nil="true"/>
    <lcf76f155ced4ddcb4097134ff3c332f xmlns="7b07193f-0a83-45da-a8f5-4229e0fb1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670BA-ED61-4821-A5A7-02475E19A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0C198-2447-455C-A704-458F177F6869}">
  <ds:schemaRefs>
    <ds:schemaRef ds:uri="http://schemas.microsoft.com/sharepoint/v3/contenttype/forms"/>
  </ds:schemaRefs>
</ds:datastoreItem>
</file>

<file path=customXml/itemProps3.xml><?xml version="1.0" encoding="utf-8"?>
<ds:datastoreItem xmlns:ds="http://schemas.openxmlformats.org/officeDocument/2006/customXml" ds:itemID="{5C5F8850-F917-44F8-8285-44F22A255FAA}">
  <ds:schemaRefs>
    <ds:schemaRef ds:uri="http://schemas.microsoft.com/office/2006/metadata/properties"/>
    <ds:schemaRef ds:uri="http://schemas.microsoft.com/office/infopath/2007/PartnerControls"/>
    <ds:schemaRef ds:uri="e0baaba3-fb45-43e3-9490-0c27f08bde2e"/>
    <ds:schemaRef ds:uri="7b07193f-0a83-45da-a8f5-4229e0fb15e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1274</Words>
  <Characters>7162</Characters>
  <Application>Microsoft Office Word</Application>
  <DocSecurity>0</DocSecurity>
  <Lines>204</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Casková Miroslava</dc:creator>
  <cp:keywords/>
  <dc:description/>
  <cp:lastModifiedBy>Casková Miroslava</cp:lastModifiedBy>
  <cp:revision>10</cp:revision>
  <dcterms:created xsi:type="dcterms:W3CDTF">2026-05-18T11:47:00Z</dcterms:created>
  <dcterms:modified xsi:type="dcterms:W3CDTF">2026-05-19T14:24:00Z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