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Kupní smlouva</w:t>
      </w:r>
    </w:p>
    <w:p>
      <w:pPr>
        <w:pStyle w:val="Style4"/>
        <w:keepNext w:val="0"/>
        <w:keepLines w:val="0"/>
        <w:widowControl w:val="0"/>
        <w:shd w:val="clear" w:color="auto" w:fill="auto"/>
        <w:bidi w:val="0"/>
        <w:spacing w:before="0" w:after="0" w:line="211" w:lineRule="auto"/>
        <w:ind w:left="0" w:right="0" w:firstLine="0"/>
        <w:jc w:val="center"/>
      </w:pPr>
      <w:r>
        <w:rPr>
          <w:b/>
          <w:bCs/>
          <w:color w:val="000000"/>
          <w:spacing w:val="0"/>
          <w:w w:val="100"/>
          <w:position w:val="0"/>
          <w:shd w:val="clear" w:color="auto" w:fill="auto"/>
          <w:lang w:val="cs-CZ" w:eastAsia="cs-CZ" w:bidi="cs-CZ"/>
        </w:rPr>
        <w:t>č. 1358/2023</w:t>
      </w:r>
    </w:p>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uzavřená v souladu s ustanovením § 2079 a násl. zákona č. 89/2012 Sb., občanského</w:t>
        <w:br/>
        <w:t>zákoníku, v platném znění</w:t>
      </w:r>
    </w:p>
    <w:p>
      <w:pPr>
        <w:pStyle w:val="Style4"/>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Kupující:</w:t>
      </w:r>
    </w:p>
    <w:p>
      <w:pPr>
        <w:pStyle w:val="Style4"/>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4"/>
        <w:keepNext w:val="0"/>
        <w:keepLines w:val="0"/>
        <w:widowControl w:val="0"/>
        <w:shd w:val="clear" w:color="auto" w:fill="auto"/>
        <w:tabs>
          <w:tab w:pos="2050" w:val="left"/>
          <w:tab w:pos="4717" w:val="left"/>
        </w:tabs>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 xml:space="preserve">zapsaný v obchodním rejstříku u Krajského soudu v Ústí nad Labem v oddílu A, vložce č. 13052 </w:t>
      </w:r>
      <w:r>
        <w:rPr>
          <w:color w:val="000000"/>
          <w:spacing w:val="0"/>
          <w:w w:val="100"/>
          <w:position w:val="0"/>
          <w:shd w:val="clear" w:color="auto" w:fill="auto"/>
          <w:lang w:val="cs-CZ" w:eastAsia="cs-CZ" w:bidi="cs-CZ"/>
        </w:rPr>
        <w:t>Sídlo:</w:t>
        <w:tab/>
        <w:t>Bezručova 4219, 430 03</w:t>
        <w:tab/>
        <w:t>Chomutov</w:t>
      </w:r>
    </w:p>
    <w:p>
      <w:pPr>
        <w:pStyle w:val="Style4"/>
        <w:keepNext w:val="0"/>
        <w:keepLines w:val="0"/>
        <w:widowControl w:val="0"/>
        <w:shd w:val="clear" w:color="auto" w:fill="auto"/>
        <w:tabs>
          <w:tab w:pos="2050" w:val="left"/>
        </w:tabs>
        <w:bidi w:val="0"/>
        <w:spacing w:before="0" w:after="0" w:line="233" w:lineRule="auto"/>
        <w:ind w:left="0" w:right="0" w:firstLine="0"/>
        <w:jc w:val="left"/>
      </w:pPr>
      <w:r>
        <w:rPr>
          <w:color w:val="000000"/>
          <w:spacing w:val="0"/>
          <w:w w:val="100"/>
          <w:position w:val="0"/>
          <w:shd w:val="clear" w:color="auto" w:fill="auto"/>
          <w:lang w:val="cs-CZ" w:eastAsia="cs-CZ" w:bidi="cs-CZ"/>
        </w:rPr>
        <w:t>IČO:</w:t>
        <w:tab/>
        <w:t>70889988</w:t>
      </w:r>
    </w:p>
    <w:p>
      <w:pPr>
        <w:pStyle w:val="Style4"/>
        <w:keepNext w:val="0"/>
        <w:keepLines w:val="0"/>
        <w:widowControl w:val="0"/>
        <w:shd w:val="clear" w:color="auto" w:fill="auto"/>
        <w:tabs>
          <w:tab w:pos="2050" w:val="left"/>
        </w:tabs>
        <w:bidi w:val="0"/>
        <w:spacing w:before="0" w:after="0" w:line="233" w:lineRule="auto"/>
        <w:ind w:left="0" w:right="0" w:firstLine="0"/>
        <w:jc w:val="left"/>
      </w:pPr>
      <w:r>
        <w:rPr>
          <w:color w:val="000000"/>
          <w:spacing w:val="0"/>
          <w:w w:val="100"/>
          <w:position w:val="0"/>
          <w:shd w:val="clear" w:color="auto" w:fill="auto"/>
          <w:lang w:val="cs-CZ" w:eastAsia="cs-CZ" w:bidi="cs-CZ"/>
        </w:rPr>
        <w:t>DIČ:</w:t>
        <w:tab/>
        <w:t>CZ70889988</w:t>
      </w:r>
    </w:p>
    <w:p>
      <w:pPr>
        <w:pStyle w:val="Style4"/>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Bankovní spojení:</w:t>
      </w:r>
    </w:p>
    <w:p>
      <w:pPr>
        <w:pStyle w:val="Style4"/>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Číslo účtu:</w:t>
      </w:r>
    </w:p>
    <w:p>
      <w:pPr>
        <w:pStyle w:val="Style4"/>
        <w:keepNext w:val="0"/>
        <w:keepLines w:val="0"/>
        <w:widowControl w:val="0"/>
        <w:shd w:val="clear" w:color="auto" w:fill="auto"/>
        <w:bidi w:val="0"/>
        <w:spacing w:before="0" w:line="233" w:lineRule="auto"/>
        <w:ind w:left="0" w:right="0" w:firstLine="0"/>
        <w:jc w:val="left"/>
      </w:pPr>
      <w:r>
        <w:rPr>
          <w:color w:val="000000"/>
          <w:spacing w:val="0"/>
          <w:w w:val="100"/>
          <w:position w:val="0"/>
          <w:shd w:val="clear" w:color="auto" w:fill="auto"/>
          <w:lang w:val="cs-CZ" w:eastAsia="cs-CZ" w:bidi="cs-CZ"/>
        </w:rPr>
        <w:t>Zastoupený:</w:t>
      </w:r>
    </w:p>
    <w:p>
      <w:pPr>
        <w:pStyle w:val="Style4"/>
        <w:keepNext w:val="0"/>
        <w:keepLines w:val="0"/>
        <w:widowControl w:val="0"/>
        <w:shd w:val="clear" w:color="auto" w:fill="auto"/>
        <w:bidi w:val="0"/>
        <w:spacing w:before="0" w:line="233"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„kupující“</w:t>
      </w:r>
      <w:r>
        <w:rPr>
          <w:color w:val="00000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line="233" w:lineRule="auto"/>
        <w:ind w:left="0" w:right="0" w:firstLine="0"/>
        <w:jc w:val="left"/>
      </w:pPr>
      <w:r>
        <w:rPr>
          <w:color w:val="000000"/>
          <w:spacing w:val="0"/>
          <w:w w:val="100"/>
          <w:position w:val="0"/>
          <w:shd w:val="clear" w:color="auto" w:fill="auto"/>
          <w:lang w:val="cs-CZ" w:eastAsia="cs-CZ" w:bidi="cs-CZ"/>
        </w:rPr>
        <w:t>a</w:t>
      </w:r>
    </w:p>
    <w:p>
      <w:pPr>
        <w:pStyle w:val="Style4"/>
        <w:keepNext w:val="0"/>
        <w:keepLines w:val="0"/>
        <w:widowControl w:val="0"/>
        <w:shd w:val="clear" w:color="auto" w:fill="auto"/>
        <w:bidi w:val="0"/>
        <w:spacing w:before="0" w:line="233" w:lineRule="auto"/>
        <w:ind w:left="0" w:right="0" w:firstLine="0"/>
        <w:jc w:val="left"/>
      </w:pPr>
      <w:r>
        <w:rPr>
          <w:color w:val="000000"/>
          <w:spacing w:val="0"/>
          <w:w w:val="100"/>
          <w:position w:val="0"/>
          <w:shd w:val="clear" w:color="auto" w:fill="auto"/>
          <w:lang w:val="cs-CZ" w:eastAsia="cs-CZ" w:bidi="cs-CZ"/>
        </w:rPr>
        <w:t>Prodávající:</w:t>
      </w:r>
    </w:p>
    <w:p>
      <w:pPr>
        <w:pStyle w:val="Style4"/>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cs-CZ" w:eastAsia="cs-CZ" w:bidi="cs-CZ"/>
        </w:rPr>
        <w:t>Šilhánek Pavel</w:t>
      </w:r>
    </w:p>
    <w:p>
      <w:pPr>
        <w:pStyle w:val="Style4"/>
        <w:keepNext w:val="0"/>
        <w:keepLines w:val="0"/>
        <w:widowControl w:val="0"/>
        <w:shd w:val="clear" w:color="auto" w:fill="auto"/>
        <w:tabs>
          <w:tab w:pos="2050" w:val="left"/>
        </w:tabs>
        <w:bidi w:val="0"/>
        <w:spacing w:before="0" w:after="0" w:line="233" w:lineRule="auto"/>
        <w:ind w:left="0" w:right="0" w:firstLine="0"/>
        <w:jc w:val="left"/>
      </w:pPr>
      <w:r>
        <w:rPr>
          <w:color w:val="000000"/>
          <w:spacing w:val="0"/>
          <w:w w:val="100"/>
          <w:position w:val="0"/>
          <w:shd w:val="clear" w:color="auto" w:fill="auto"/>
          <w:lang w:val="cs-CZ" w:eastAsia="cs-CZ" w:bidi="cs-CZ"/>
        </w:rPr>
        <w:t>Adresa:</w:t>
        <w:tab/>
        <w:t>Na Výsluní 602, 439 81 Kryry</w:t>
      </w:r>
    </w:p>
    <w:p>
      <w:pPr>
        <w:pStyle w:val="Style4"/>
        <w:keepNext w:val="0"/>
        <w:keepLines w:val="0"/>
        <w:widowControl w:val="0"/>
        <w:shd w:val="clear" w:color="auto" w:fill="auto"/>
        <w:tabs>
          <w:tab w:pos="2050" w:val="left"/>
        </w:tabs>
        <w:bidi w:val="0"/>
        <w:spacing w:before="0" w:line="233" w:lineRule="auto"/>
        <w:ind w:left="0" w:right="0" w:firstLine="0"/>
        <w:jc w:val="left"/>
      </w:pPr>
      <w:r>
        <w:rPr>
          <w:color w:val="000000"/>
          <w:spacing w:val="0"/>
          <w:w w:val="100"/>
          <w:position w:val="0"/>
          <w:shd w:val="clear" w:color="auto" w:fill="auto"/>
          <w:lang w:val="cs-CZ" w:eastAsia="cs-CZ" w:bidi="cs-CZ"/>
        </w:rPr>
        <w:t>Narozen:</w:t>
        <w:tab/>
        <w:t>xx.xx.1952</w:t>
      </w:r>
    </w:p>
    <w:p>
      <w:pPr>
        <w:pStyle w:val="Style4"/>
        <w:keepNext w:val="0"/>
        <w:keepLines w:val="0"/>
        <w:widowControl w:val="0"/>
        <w:shd w:val="clear" w:color="auto" w:fill="auto"/>
        <w:bidi w:val="0"/>
        <w:spacing w:before="0" w:line="233" w:lineRule="auto"/>
        <w:ind w:left="0" w:right="0" w:firstLine="0"/>
        <w:jc w:val="left"/>
      </w:pPr>
      <w:r>
        <w:rPr>
          <w:color w:val="000000"/>
          <w:spacing w:val="0"/>
          <w:w w:val="100"/>
          <w:position w:val="0"/>
          <w:shd w:val="clear" w:color="auto" w:fill="auto"/>
          <w:lang w:val="cs-CZ" w:eastAsia="cs-CZ" w:bidi="cs-CZ"/>
        </w:rPr>
        <w:t>a</w:t>
      </w:r>
    </w:p>
    <w:p>
      <w:pPr>
        <w:pStyle w:val="Style4"/>
        <w:keepNext w:val="0"/>
        <w:keepLines w:val="0"/>
        <w:widowControl w:val="0"/>
        <w:shd w:val="clear" w:color="auto" w:fill="auto"/>
        <w:bidi w:val="0"/>
        <w:spacing w:before="0" w:after="0" w:line="233" w:lineRule="auto"/>
        <w:ind w:left="0" w:right="0" w:firstLine="0"/>
        <w:jc w:val="left"/>
      </w:pPr>
      <w:r>
        <w:rPr>
          <w:b/>
          <w:bCs/>
          <w:color w:val="000000"/>
          <w:spacing w:val="0"/>
          <w:w w:val="100"/>
          <w:position w:val="0"/>
          <w:shd w:val="clear" w:color="auto" w:fill="auto"/>
          <w:lang w:val="cs-CZ" w:eastAsia="cs-CZ" w:bidi="cs-CZ"/>
        </w:rPr>
        <w:t>Danuše Šilhánková</w:t>
      </w:r>
    </w:p>
    <w:p>
      <w:pPr>
        <w:pStyle w:val="Style4"/>
        <w:keepNext w:val="0"/>
        <w:keepLines w:val="0"/>
        <w:widowControl w:val="0"/>
        <w:shd w:val="clear" w:color="auto" w:fill="auto"/>
        <w:tabs>
          <w:tab w:pos="2050" w:val="left"/>
        </w:tabs>
        <w:bidi w:val="0"/>
        <w:spacing w:before="0" w:after="0" w:line="233" w:lineRule="auto"/>
        <w:ind w:left="0" w:right="0" w:firstLine="0"/>
        <w:jc w:val="left"/>
      </w:pPr>
      <w:r>
        <w:rPr>
          <w:color w:val="000000"/>
          <w:spacing w:val="0"/>
          <w:w w:val="100"/>
          <w:position w:val="0"/>
          <w:shd w:val="clear" w:color="auto" w:fill="auto"/>
          <w:lang w:val="cs-CZ" w:eastAsia="cs-CZ" w:bidi="cs-CZ"/>
        </w:rPr>
        <w:t>Adresa:</w:t>
        <w:tab/>
        <w:t>Na Výsluní 602, 439 81 Kryry</w:t>
      </w:r>
    </w:p>
    <w:p>
      <w:pPr>
        <w:pStyle w:val="Style4"/>
        <w:keepNext w:val="0"/>
        <w:keepLines w:val="0"/>
        <w:widowControl w:val="0"/>
        <w:shd w:val="clear" w:color="auto" w:fill="auto"/>
        <w:tabs>
          <w:tab w:pos="2050" w:val="left"/>
        </w:tabs>
        <w:bidi w:val="0"/>
        <w:spacing w:before="0" w:line="233" w:lineRule="auto"/>
        <w:ind w:left="0" w:right="0" w:firstLine="0"/>
        <w:jc w:val="left"/>
      </w:pPr>
      <w:r>
        <w:rPr>
          <w:color w:val="000000"/>
          <w:spacing w:val="0"/>
          <w:w w:val="100"/>
          <w:position w:val="0"/>
          <w:shd w:val="clear" w:color="auto" w:fill="auto"/>
          <w:lang w:val="cs-CZ" w:eastAsia="cs-CZ" w:bidi="cs-CZ"/>
        </w:rPr>
        <w:t>Narozena:</w:t>
        <w:tab/>
        <w:t>xx.xx.1954</w:t>
      </w:r>
    </w:p>
    <w:p>
      <w:pPr>
        <w:pStyle w:val="Style4"/>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 xml:space="preserve">Bankovní spojení: </w:t>
      </w:r>
      <w:r>
        <w:rPr>
          <w:b/>
          <w:bCs/>
          <w:color w:val="000000"/>
          <w:spacing w:val="0"/>
          <w:w w:val="100"/>
          <w:position w:val="0"/>
          <w:shd w:val="clear" w:color="auto" w:fill="auto"/>
          <w:lang w:val="cs-CZ" w:eastAsia="cs-CZ" w:bidi="cs-CZ"/>
        </w:rPr>
        <w:t xml:space="preserve">číslo účtu: </w:t>
      </w: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„prodávající“</w:t>
      </w:r>
      <w:r>
        <w:rPr>
          <w:color w:val="00000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line="264" w:lineRule="auto"/>
        <w:ind w:left="0" w:right="0" w:firstLine="0"/>
        <w:jc w:val="center"/>
      </w:pPr>
      <w:r>
        <w:rPr>
          <w:i/>
          <w:iCs/>
          <w:color w:val="000000"/>
          <w:spacing w:val="0"/>
          <w:w w:val="100"/>
          <w:position w:val="0"/>
          <w:shd w:val="clear" w:color="auto" w:fill="auto"/>
          <w:lang w:val="cs-CZ" w:eastAsia="cs-CZ" w:bidi="cs-CZ"/>
        </w:rPr>
        <w:t>uzavírají níže uvedeného data tuto kupní smlouvu:</w:t>
      </w:r>
    </w:p>
    <w:p>
      <w:pPr>
        <w:pStyle w:val="Style15"/>
        <w:keepNext/>
        <w:keepLines/>
        <w:widowControl w:val="0"/>
        <w:shd w:val="clear" w:color="auto" w:fill="auto"/>
        <w:bidi w:val="0"/>
        <w:spacing w:before="0" w:after="0"/>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I.</w:t>
      </w:r>
      <w:bookmarkEnd w:id="0"/>
      <w:bookmarkEnd w:id="1"/>
      <w:bookmarkEnd w:id="2"/>
    </w:p>
    <w:p>
      <w:pPr>
        <w:pStyle w:val="Style4"/>
        <w:keepNext w:val="0"/>
        <w:keepLines w:val="0"/>
        <w:widowControl w:val="0"/>
        <w:shd w:val="clear" w:color="auto" w:fill="auto"/>
        <w:bidi w:val="0"/>
        <w:spacing w:before="0" w:after="260" w:line="264" w:lineRule="auto"/>
        <w:ind w:left="0" w:right="0" w:firstLine="0"/>
        <w:jc w:val="left"/>
      </w:pPr>
      <w:r>
        <w:rPr>
          <w:color w:val="000000"/>
          <w:spacing w:val="0"/>
          <w:w w:val="100"/>
          <w:position w:val="0"/>
          <w:shd w:val="clear" w:color="auto" w:fill="auto"/>
          <w:lang w:val="cs-CZ" w:eastAsia="cs-CZ" w:bidi="cs-CZ"/>
        </w:rPr>
        <w:t>Šilhánek Pavel a Šilhánková Danuše prohlašují, že mají ve společném jmění manželů níže uvedené nemovité věci:</w:t>
      </w:r>
    </w:p>
    <w:tbl>
      <w:tblPr>
        <w:tblOverlap w:val="never"/>
        <w:jc w:val="center"/>
        <w:tblLayout w:type="fixed"/>
      </w:tblPr>
      <w:tblGrid>
        <w:gridCol w:w="1459"/>
        <w:gridCol w:w="1099"/>
        <w:gridCol w:w="1416"/>
        <w:gridCol w:w="3422"/>
        <w:gridCol w:w="1685"/>
      </w:tblGrid>
      <w:tr>
        <w:trPr>
          <w:trHeight w:val="538"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katastrální území</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 č.</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výměra</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 m</w:t>
            </w:r>
            <w:r>
              <w:rPr>
                <w:b/>
                <w:bCs/>
                <w:color w:val="000000"/>
                <w:spacing w:val="0"/>
                <w:w w:val="100"/>
                <w:position w:val="0"/>
                <w:shd w:val="clear" w:color="auto" w:fill="auto"/>
                <w:vertAlign w:val="superscript"/>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druh pozemku</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podíl</w:t>
            </w:r>
          </w:p>
        </w:tc>
      </w:tr>
      <w:tr>
        <w:trPr>
          <w:trHeight w:val="523" w:hRule="exact"/>
        </w:trPr>
        <w:tc>
          <w:tcPr>
            <w:vMerge w:val="restart"/>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Vidhostice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st. 156</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267</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zastavěná plocha</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w:t>
            </w:r>
          </w:p>
        </w:tc>
      </w:tr>
      <w:tr>
        <w:trPr>
          <w:trHeight w:val="51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1020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2747</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vodní plocha</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w:t>
            </w:r>
          </w:p>
        </w:tc>
      </w:tr>
      <w:tr>
        <w:trPr>
          <w:trHeight w:val="528"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Vroutek</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6987</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8856</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ostatní plocha</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w:t>
            </w:r>
          </w:p>
        </w:tc>
      </w:tr>
    </w:tbl>
    <w:p>
      <w:pPr>
        <w:spacing w:lineRule="exact" w:line="1"/>
        <w:rPr>
          <w:sz w:val="2"/>
          <w:szCs w:val="2"/>
        </w:rPr>
      </w:pPr>
      <w:r>
        <w:br w:type="page"/>
      </w:r>
    </w:p>
    <w:p>
      <w:pPr>
        <w:pStyle w:val="Style4"/>
        <w:keepNext w:val="0"/>
        <w:keepLines w:val="0"/>
        <w:widowControl w:val="0"/>
        <w:shd w:val="clear" w:color="auto" w:fill="auto"/>
        <w:bidi w:val="0"/>
        <w:spacing w:before="0" w:after="500" w:line="264" w:lineRule="auto"/>
        <w:ind w:left="0" w:right="0" w:firstLine="0"/>
        <w:jc w:val="both"/>
      </w:pPr>
      <w:r>
        <w:rPr>
          <w:color w:val="000000"/>
          <w:spacing w:val="0"/>
          <w:w w:val="100"/>
          <w:position w:val="0"/>
          <w:shd w:val="clear" w:color="auto" w:fill="auto"/>
          <w:lang w:val="cs-CZ" w:eastAsia="cs-CZ" w:bidi="cs-CZ"/>
        </w:rPr>
        <w:t>které jsou zapsané na LV č. 102 pro k. ú. Vidhostice a LV č. 945 pro k. ú. Vroutek u Katastrálního úřadu pro Ústecký kraj, Katastrálního pracoviště Žatec.</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Šilhánek Pavel prohlašuje, že má ve svém vlastnictví níže uvedené nemovité věci:</w:t>
      </w:r>
    </w:p>
    <w:tbl>
      <w:tblPr>
        <w:tblOverlap w:val="never"/>
        <w:jc w:val="center"/>
        <w:tblLayout w:type="fixed"/>
      </w:tblPr>
      <w:tblGrid>
        <w:gridCol w:w="1459"/>
        <w:gridCol w:w="1099"/>
        <w:gridCol w:w="1416"/>
        <w:gridCol w:w="3422"/>
        <w:gridCol w:w="1685"/>
      </w:tblGrid>
      <w:tr>
        <w:trPr>
          <w:trHeight w:val="538"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katastrální území</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 č.</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20"/>
              <w:jc w:val="left"/>
            </w:pPr>
            <w:r>
              <w:rPr>
                <w:b/>
                <w:bCs/>
                <w:color w:val="000000"/>
                <w:spacing w:val="0"/>
                <w:w w:val="100"/>
                <w:position w:val="0"/>
                <w:shd w:val="clear" w:color="auto" w:fill="auto"/>
                <w:lang w:val="cs-CZ" w:eastAsia="cs-CZ" w:bidi="cs-CZ"/>
              </w:rPr>
              <w:t>výměra</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 m</w:t>
            </w:r>
            <w:r>
              <w:rPr>
                <w:b/>
                <w:bCs/>
                <w:color w:val="000000"/>
                <w:spacing w:val="0"/>
                <w:w w:val="100"/>
                <w:position w:val="0"/>
                <w:shd w:val="clear" w:color="auto" w:fill="auto"/>
                <w:vertAlign w:val="superscript"/>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druh pozemku</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podíl</w:t>
            </w:r>
          </w:p>
        </w:tc>
      </w:tr>
      <w:tr>
        <w:trPr>
          <w:trHeight w:val="523" w:hRule="exact"/>
        </w:trPr>
        <w:tc>
          <w:tcPr>
            <w:vMerge w:val="restart"/>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Vidhostice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1006</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119827</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vodní plocha</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w:t>
            </w:r>
          </w:p>
        </w:tc>
      </w:tr>
      <w:tr>
        <w:trPr>
          <w:trHeight w:val="51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1031</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612</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vodní plocha</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w:t>
            </w:r>
          </w:p>
        </w:tc>
      </w:tr>
      <w:tr>
        <w:trPr>
          <w:trHeight w:val="528"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Vroutek</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St. 775*</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856</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zastavěná plocha</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w:t>
            </w:r>
          </w:p>
        </w:tc>
      </w:tr>
    </w:tbl>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*součástí st. 775 je stavba bez č.p./č.e., jiná stavba</w:t>
      </w:r>
    </w:p>
    <w:p>
      <w:pPr>
        <w:widowControl w:val="0"/>
        <w:spacing w:after="199" w:line="1" w:lineRule="exact"/>
      </w:pPr>
    </w:p>
    <w:p>
      <w:pPr>
        <w:pStyle w:val="Style4"/>
        <w:keepNext w:val="0"/>
        <w:keepLines w:val="0"/>
        <w:widowControl w:val="0"/>
        <w:shd w:val="clear" w:color="auto" w:fill="auto"/>
        <w:bidi w:val="0"/>
        <w:spacing w:before="0" w:after="800" w:line="264" w:lineRule="auto"/>
        <w:ind w:left="0" w:right="0" w:firstLine="0"/>
        <w:jc w:val="both"/>
      </w:pPr>
      <w:r>
        <w:rPr>
          <w:color w:val="000000"/>
          <w:spacing w:val="0"/>
          <w:w w:val="100"/>
          <w:position w:val="0"/>
          <w:shd w:val="clear" w:color="auto" w:fill="auto"/>
          <w:lang w:val="cs-CZ" w:eastAsia="cs-CZ" w:bidi="cs-CZ"/>
        </w:rPr>
        <w:t>které jsou zapsané na LV č. 98 pro k. ú. Vidhostice a LV č. 511 pro k. ú. Vroutek u Katastrálního úřadu pro Ústecký kraj, Katastrálního pracoviště Žatec.</w:t>
      </w:r>
    </w:p>
    <w:p>
      <w:pPr>
        <w:pStyle w:val="Style15"/>
        <w:keepNext/>
        <w:keepLines/>
        <w:widowControl w:val="0"/>
        <w:shd w:val="clear" w:color="auto" w:fill="auto"/>
        <w:bidi w:val="0"/>
        <w:spacing w:before="0"/>
        <w:ind w:left="0" w:right="0" w:firstLine="0"/>
        <w:jc w:val="both"/>
      </w:pPr>
      <w:bookmarkStart w:id="3" w:name="bookmark3"/>
      <w:bookmarkStart w:id="4" w:name="bookmark4"/>
      <w:bookmarkStart w:id="5" w:name="bookmark5"/>
      <w:r>
        <w:rPr>
          <w:color w:val="000000"/>
          <w:spacing w:val="0"/>
          <w:w w:val="100"/>
          <w:position w:val="0"/>
          <w:shd w:val="clear" w:color="auto" w:fill="auto"/>
          <w:lang w:val="cs-CZ" w:eastAsia="cs-CZ" w:bidi="cs-CZ"/>
        </w:rPr>
        <w:t>II. Předmětem kupní smlouvy je:</w:t>
      </w:r>
      <w:bookmarkEnd w:id="3"/>
      <w:bookmarkEnd w:id="4"/>
      <w:bookmarkEnd w:id="5"/>
    </w:p>
    <w:p>
      <w:pPr>
        <w:pStyle w:val="Style20"/>
        <w:keepNext w:val="0"/>
        <w:keepLines w:val="0"/>
        <w:widowControl w:val="0"/>
        <w:shd w:val="clear" w:color="auto" w:fill="auto"/>
        <w:bidi w:val="0"/>
        <w:spacing w:before="0" w:after="0" w:line="240" w:lineRule="auto"/>
        <w:ind w:left="0" w:right="0" w:firstLine="0"/>
        <w:jc w:val="left"/>
      </w:pPr>
      <w:bookmarkStart w:id="6" w:name="bookmark6"/>
      <w:r>
        <w:rPr>
          <w:b/>
          <w:bCs/>
          <w:color w:val="000000"/>
          <w:spacing w:val="0"/>
          <w:w w:val="100"/>
          <w:position w:val="0"/>
          <w:shd w:val="clear" w:color="auto" w:fill="auto"/>
          <w:lang w:val="cs-CZ" w:eastAsia="cs-CZ" w:bidi="cs-CZ"/>
        </w:rPr>
        <w:t>a) dle katastru nemovitostí:</w:t>
      </w:r>
      <w:bookmarkEnd w:id="6"/>
    </w:p>
    <w:tbl>
      <w:tblPr>
        <w:tblOverlap w:val="never"/>
        <w:jc w:val="center"/>
        <w:tblLayout w:type="fixed"/>
      </w:tblPr>
      <w:tblGrid>
        <w:gridCol w:w="1459"/>
        <w:gridCol w:w="1099"/>
        <w:gridCol w:w="1416"/>
        <w:gridCol w:w="3422"/>
        <w:gridCol w:w="1685"/>
      </w:tblGrid>
      <w:tr>
        <w:trPr>
          <w:trHeight w:val="542"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katastrální území</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 č.</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20"/>
              <w:jc w:val="left"/>
            </w:pPr>
            <w:r>
              <w:rPr>
                <w:b/>
                <w:bCs/>
                <w:color w:val="000000"/>
                <w:spacing w:val="0"/>
                <w:w w:val="100"/>
                <w:position w:val="0"/>
                <w:shd w:val="clear" w:color="auto" w:fill="auto"/>
                <w:lang w:val="cs-CZ" w:eastAsia="cs-CZ" w:bidi="cs-CZ"/>
              </w:rPr>
              <w:t>výměra</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 m</w:t>
            </w:r>
            <w:r>
              <w:rPr>
                <w:b/>
                <w:bCs/>
                <w:color w:val="000000"/>
                <w:spacing w:val="0"/>
                <w:w w:val="100"/>
                <w:position w:val="0"/>
                <w:shd w:val="clear" w:color="auto" w:fill="auto"/>
                <w:vertAlign w:val="superscript"/>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druh pozemku</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podíl</w:t>
            </w:r>
          </w:p>
        </w:tc>
      </w:tr>
      <w:tr>
        <w:trPr>
          <w:trHeight w:val="518" w:hRule="exact"/>
        </w:trPr>
        <w:tc>
          <w:tcPr>
            <w:vMerge w:val="restart"/>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Vidhostice</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st. 156</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267</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zastavěná plocha</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w:t>
            </w:r>
          </w:p>
        </w:tc>
      </w:tr>
      <w:tr>
        <w:trPr>
          <w:trHeight w:val="51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1020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2747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vodní plocha</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w:t>
            </w:r>
          </w:p>
        </w:tc>
      </w:tr>
      <w:tr>
        <w:trPr>
          <w:trHeight w:val="52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1006</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119827</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vodní plocha</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w:t>
            </w:r>
          </w:p>
        </w:tc>
      </w:tr>
      <w:tr>
        <w:trPr>
          <w:trHeight w:val="51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1031</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612</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vodní plocha</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w:t>
            </w:r>
          </w:p>
        </w:tc>
      </w:tr>
      <w:tr>
        <w:trPr>
          <w:trHeight w:val="528"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Vroutek</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St. 775*</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856</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zastavěná plocha</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w:t>
            </w:r>
          </w:p>
        </w:tc>
      </w:tr>
    </w:tbl>
    <w:p>
      <w:pPr>
        <w:pStyle w:val="Style20"/>
        <w:keepNext w:val="0"/>
        <w:keepLines w:val="0"/>
        <w:widowControl w:val="0"/>
        <w:shd w:val="clear" w:color="auto" w:fill="auto"/>
        <w:bidi w:val="0"/>
        <w:spacing w:before="0" w:after="0" w:line="240" w:lineRule="auto"/>
        <w:ind w:left="0" w:right="0" w:firstLine="0"/>
        <w:jc w:val="left"/>
      </w:pPr>
      <w:bookmarkStart w:id="7" w:name="bookmark7"/>
      <w:r>
        <w:rPr>
          <w:color w:val="000000"/>
          <w:spacing w:val="0"/>
          <w:w w:val="100"/>
          <w:position w:val="0"/>
          <w:shd w:val="clear" w:color="auto" w:fill="auto"/>
          <w:lang w:val="cs-CZ" w:eastAsia="cs-CZ" w:bidi="cs-CZ"/>
        </w:rPr>
        <w:t>*součástí st. 775 je stavba bez č.p./č.e., jiná stavba</w:t>
      </w:r>
      <w:bookmarkEnd w:id="7"/>
    </w:p>
    <w:p>
      <w:pPr>
        <w:widowControl w:val="0"/>
        <w:spacing w:after="199" w:line="1" w:lineRule="exact"/>
      </w:pPr>
    </w:p>
    <w:p>
      <w:pPr>
        <w:widowControl w:val="0"/>
        <w:spacing w:line="1" w:lineRule="exact"/>
      </w:pPr>
    </w:p>
    <w:p>
      <w:pPr>
        <w:pStyle w:val="Style20"/>
        <w:keepNext w:val="0"/>
        <w:keepLines w:val="0"/>
        <w:widowControl w:val="0"/>
        <w:shd w:val="clear" w:color="auto" w:fill="auto"/>
        <w:bidi w:val="0"/>
        <w:spacing w:before="0" w:after="0" w:line="240" w:lineRule="auto"/>
        <w:ind w:left="0" w:right="0" w:firstLine="0"/>
        <w:jc w:val="left"/>
      </w:pPr>
      <w:bookmarkStart w:id="8" w:name="bookmark8"/>
      <w:r>
        <w:rPr>
          <w:b/>
          <w:bCs/>
          <w:color w:val="000000"/>
          <w:spacing w:val="0"/>
          <w:w w:val="100"/>
          <w:position w:val="0"/>
          <w:shd w:val="clear" w:color="auto" w:fill="auto"/>
          <w:lang w:val="cs-CZ" w:eastAsia="cs-CZ" w:bidi="cs-CZ"/>
        </w:rPr>
        <w:t>b) dle GP č. 1072-294/2022</w:t>
      </w:r>
      <w:bookmarkEnd w:id="8"/>
    </w:p>
    <w:tbl>
      <w:tblPr>
        <w:tblOverlap w:val="never"/>
        <w:jc w:val="center"/>
        <w:tblLayout w:type="fixed"/>
      </w:tblPr>
      <w:tblGrid>
        <w:gridCol w:w="1421"/>
        <w:gridCol w:w="1142"/>
        <w:gridCol w:w="1411"/>
        <w:gridCol w:w="3398"/>
        <w:gridCol w:w="1714"/>
      </w:tblGrid>
      <w:tr>
        <w:trPr>
          <w:trHeight w:val="542"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katastrální</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území</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 č.</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výměra</w:t>
            </w:r>
          </w:p>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 m</w:t>
            </w:r>
            <w:r>
              <w:rPr>
                <w:b/>
                <w:bCs/>
                <w:color w:val="000000"/>
                <w:spacing w:val="0"/>
                <w:w w:val="100"/>
                <w:position w:val="0"/>
                <w:shd w:val="clear" w:color="auto" w:fill="auto"/>
                <w:vertAlign w:val="superscript"/>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druh pozemku</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podíl</w:t>
            </w:r>
          </w:p>
        </w:tc>
      </w:tr>
      <w:tr>
        <w:trPr>
          <w:trHeight w:val="528"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Vroutek</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6987/2</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485</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ostatní plocha</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w:t>
            </w:r>
          </w:p>
        </w:tc>
      </w:tr>
    </w:tbl>
    <w:p>
      <w:pPr>
        <w:widowControl w:val="0"/>
        <w:spacing w:after="499" w:line="1" w:lineRule="exact"/>
      </w:pPr>
    </w:p>
    <w:p>
      <w:pPr>
        <w:pStyle w:val="Style4"/>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III.</w:t>
      </w:r>
    </w:p>
    <w:p>
      <w:pPr>
        <w:pStyle w:val="Style4"/>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Prodávající prodávají předmět převodu se všemi součástmi a příslušenstvím za dohodnutou kupní cenu a kupující jej za níže uvedenou cenu a za podmínek stanovených touto smlouvou kupuje do vlastnictví České republiky s právem hospodařit pro Povodí Ohře, státní podnik.</w:t>
      </w:r>
    </w:p>
    <w:p>
      <w:pPr>
        <w:pStyle w:val="Style15"/>
        <w:keepNext/>
        <w:keepLines/>
        <w:widowControl w:val="0"/>
        <w:shd w:val="clear" w:color="auto" w:fill="auto"/>
        <w:bidi w:val="0"/>
        <w:spacing w:before="0" w:after="220" w:line="240" w:lineRule="auto"/>
        <w:ind w:left="0" w:right="0" w:firstLine="0"/>
        <w:jc w:val="center"/>
      </w:pPr>
      <w:bookmarkStart w:id="10" w:name="bookmark10"/>
      <w:bookmarkStart w:id="11" w:name="bookmark11"/>
      <w:bookmarkStart w:id="12" w:name="bookmark12"/>
      <w:bookmarkStart w:id="9" w:name="bookmark9"/>
      <w:r>
        <w:rPr>
          <w:color w:val="000000"/>
          <w:spacing w:val="0"/>
          <w:w w:val="100"/>
          <w:position w:val="0"/>
          <w:shd w:val="clear" w:color="auto" w:fill="auto"/>
          <w:lang w:val="cs-CZ" w:eastAsia="cs-CZ" w:bidi="cs-CZ"/>
        </w:rPr>
        <w:t>I</w:t>
      </w:r>
      <w:bookmarkEnd w:id="11"/>
      <w:r>
        <w:rPr>
          <w:color w:val="000000"/>
          <w:spacing w:val="0"/>
          <w:w w:val="100"/>
          <w:position w:val="0"/>
          <w:shd w:val="clear" w:color="auto" w:fill="auto"/>
          <w:lang w:val="cs-CZ" w:eastAsia="cs-CZ" w:bidi="cs-CZ"/>
        </w:rPr>
        <w:t>V.</w:t>
      </w:r>
      <w:bookmarkEnd w:id="10"/>
      <w:bookmarkEnd w:id="12"/>
      <w:bookmarkEnd w:id="9"/>
    </w:p>
    <w:p>
      <w:pPr>
        <w:pStyle w:val="Style4"/>
        <w:keepNext w:val="0"/>
        <w:keepLines w:val="0"/>
        <w:widowControl w:val="0"/>
        <w:numPr>
          <w:ilvl w:val="0"/>
          <w:numId w:val="1"/>
        </w:numPr>
        <w:shd w:val="clear" w:color="auto" w:fill="auto"/>
        <w:tabs>
          <w:tab w:pos="356" w:val="left"/>
        </w:tabs>
        <w:bidi w:val="0"/>
        <w:spacing w:before="0" w:after="220" w:line="264" w:lineRule="auto"/>
        <w:ind w:left="0" w:right="0" w:firstLine="0"/>
        <w:jc w:val="left"/>
      </w:pPr>
      <w:bookmarkStart w:id="13" w:name="bookmark13"/>
      <w:bookmarkEnd w:id="13"/>
      <w:r>
        <w:rPr>
          <w:color w:val="000000"/>
          <w:spacing w:val="0"/>
          <w:w w:val="100"/>
          <w:position w:val="0"/>
          <w:shd w:val="clear" w:color="auto" w:fill="auto"/>
          <w:lang w:val="cs-CZ" w:eastAsia="cs-CZ" w:bidi="cs-CZ"/>
        </w:rPr>
        <w:t xml:space="preserve">Kupní cena předmětu koupě byla stanovena </w:t>
      </w:r>
      <w:r>
        <w:rPr>
          <w:b/>
          <w:bCs/>
          <w:color w:val="000000"/>
          <w:spacing w:val="0"/>
          <w:w w:val="100"/>
          <w:position w:val="0"/>
          <w:shd w:val="clear" w:color="auto" w:fill="auto"/>
          <w:lang w:val="cs-CZ" w:eastAsia="cs-CZ" w:bidi="cs-CZ"/>
        </w:rPr>
        <w:t xml:space="preserve">dohodou </w:t>
      </w:r>
      <w:r>
        <w:rPr>
          <w:color w:val="000000"/>
          <w:spacing w:val="0"/>
          <w:w w:val="100"/>
          <w:position w:val="0"/>
          <w:shd w:val="clear" w:color="auto" w:fill="auto"/>
          <w:lang w:val="cs-CZ" w:eastAsia="cs-CZ" w:bidi="cs-CZ"/>
        </w:rPr>
        <w:t>smluvních stran.</w:t>
      </w:r>
    </w:p>
    <w:p>
      <w:pPr>
        <w:pStyle w:val="Style4"/>
        <w:keepNext w:val="0"/>
        <w:keepLines w:val="0"/>
        <w:widowControl w:val="0"/>
        <w:numPr>
          <w:ilvl w:val="0"/>
          <w:numId w:val="1"/>
        </w:numPr>
        <w:shd w:val="clear" w:color="auto" w:fill="auto"/>
        <w:tabs>
          <w:tab w:pos="356" w:val="left"/>
        </w:tabs>
        <w:bidi w:val="0"/>
        <w:spacing w:before="0" w:after="220" w:line="264" w:lineRule="auto"/>
        <w:ind w:left="380" w:right="0" w:hanging="380"/>
        <w:jc w:val="both"/>
      </w:pPr>
      <w:bookmarkStart w:id="14" w:name="bookmark14"/>
      <w:bookmarkEnd w:id="14"/>
      <w:r>
        <w:rPr>
          <w:color w:val="000000"/>
          <w:spacing w:val="0"/>
          <w:w w:val="100"/>
          <w:position w:val="0"/>
          <w:shd w:val="clear" w:color="auto" w:fill="auto"/>
          <w:lang w:val="cs-CZ" w:eastAsia="cs-CZ" w:bidi="cs-CZ"/>
        </w:rPr>
        <w:t xml:space="preserve">Smluvní strany uzavírají dohodu, že kupní cena předmětu koupě činí </w:t>
      </w:r>
      <w:r>
        <w:rPr>
          <w:b/>
          <w:bCs/>
          <w:color w:val="000000"/>
          <w:spacing w:val="0"/>
          <w:w w:val="100"/>
          <w:position w:val="0"/>
          <w:shd w:val="clear" w:color="auto" w:fill="auto"/>
          <w:lang w:val="cs-CZ" w:eastAsia="cs-CZ" w:bidi="cs-CZ"/>
        </w:rPr>
        <w:t xml:space="preserve">15 374 696 Kč </w:t>
      </w:r>
      <w:r>
        <w:rPr>
          <w:color w:val="000000"/>
          <w:spacing w:val="0"/>
          <w:w w:val="100"/>
          <w:position w:val="0"/>
          <w:shd w:val="clear" w:color="auto" w:fill="auto"/>
          <w:lang w:val="cs-CZ" w:eastAsia="cs-CZ" w:bidi="cs-CZ"/>
        </w:rPr>
        <w:t>(slovy: patnáct milionů tři sta sedmdesát čtyři tisíc šest set devadesát šest korun českých).</w:t>
      </w:r>
    </w:p>
    <w:p>
      <w:pPr>
        <w:pStyle w:val="Style4"/>
        <w:keepNext w:val="0"/>
        <w:keepLines w:val="0"/>
        <w:widowControl w:val="0"/>
        <w:numPr>
          <w:ilvl w:val="0"/>
          <w:numId w:val="1"/>
        </w:numPr>
        <w:shd w:val="clear" w:color="auto" w:fill="auto"/>
        <w:tabs>
          <w:tab w:pos="356" w:val="left"/>
        </w:tabs>
        <w:bidi w:val="0"/>
        <w:spacing w:before="0" w:after="520" w:line="264" w:lineRule="auto"/>
        <w:ind w:left="380" w:right="0" w:hanging="380"/>
        <w:jc w:val="both"/>
      </w:pPr>
      <w:bookmarkStart w:id="15" w:name="bookmark15"/>
      <w:bookmarkEnd w:id="15"/>
      <w:r>
        <w:rPr>
          <w:color w:val="000000"/>
          <w:spacing w:val="0"/>
          <w:w w:val="100"/>
          <w:position w:val="0"/>
          <w:shd w:val="clear" w:color="auto" w:fill="auto"/>
          <w:lang w:val="cs-CZ" w:eastAsia="cs-CZ" w:bidi="cs-CZ"/>
        </w:rPr>
        <w:t>Kupní cenu se kupující zavazuje uhradit prodávajícím do 14 dnů po obdržení vyrozumění o provedení vkladu vlastnického práva příslušným katastrálním pracovištěm převodem na účet uvedený v záhlaví smlouvy. Při nezaplacení kupní ceny ani po písemné výzvě mají právo prodávající od smlouvy písemnou formou odstoupit.</w:t>
      </w:r>
    </w:p>
    <w:p>
      <w:pPr>
        <w:pStyle w:val="Style4"/>
        <w:keepNext w:val="0"/>
        <w:keepLines w:val="0"/>
        <w:widowControl w:val="0"/>
        <w:shd w:val="clear" w:color="auto" w:fill="auto"/>
        <w:bidi w:val="0"/>
        <w:spacing w:before="0" w:after="220" w:line="264" w:lineRule="auto"/>
        <w:ind w:left="0" w:right="0" w:firstLine="0"/>
        <w:jc w:val="center"/>
      </w:pPr>
      <w:bookmarkStart w:id="16" w:name="bookmark16"/>
      <w:r>
        <w:rPr>
          <w:b/>
          <w:bCs/>
          <w:color w:val="000000"/>
          <w:spacing w:val="0"/>
          <w:w w:val="100"/>
          <w:position w:val="0"/>
          <w:shd w:val="clear" w:color="auto" w:fill="auto"/>
          <w:lang w:val="cs-CZ" w:eastAsia="cs-CZ" w:bidi="cs-CZ"/>
        </w:rPr>
        <w:t>V</w:t>
      </w:r>
      <w:bookmarkEnd w:id="16"/>
      <w:r>
        <w:rPr>
          <w:b/>
          <w:bCs/>
          <w:color w:val="00000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after="720" w:line="264" w:lineRule="auto"/>
        <w:ind w:left="0" w:right="0" w:firstLine="0"/>
        <w:jc w:val="both"/>
      </w:pPr>
      <w:r>
        <w:rPr>
          <w:color w:val="000000"/>
          <w:spacing w:val="0"/>
          <w:w w:val="100"/>
          <w:position w:val="0"/>
          <w:shd w:val="clear" w:color="auto" w:fill="auto"/>
          <w:lang w:val="cs-CZ" w:eastAsia="cs-CZ" w:bidi="cs-CZ"/>
        </w:rPr>
        <w:t>Prodávající prohlašují, že na předmětu smlouvy neváznou dluhy, věcná břemena, zástavní práva nebo jiné právní povinnosti, vyjma věcného břemene dotýkajícího se nově oddělené p. p. č. 6987/2 dle GP č. 1072-294/2022 podle listiny (Z-5100/2012-533 a V-1706/2015-503).</w:t>
      </w:r>
    </w:p>
    <w:p>
      <w:pPr>
        <w:pStyle w:val="Style4"/>
        <w:keepNext w:val="0"/>
        <w:keepLines w:val="0"/>
        <w:widowControl w:val="0"/>
        <w:shd w:val="clear" w:color="auto" w:fill="auto"/>
        <w:bidi w:val="0"/>
        <w:spacing w:before="0" w:after="0" w:line="240" w:lineRule="auto"/>
        <w:ind w:left="0" w:right="0" w:firstLine="0"/>
        <w:jc w:val="center"/>
      </w:pPr>
      <w:bookmarkStart w:id="17" w:name="bookmark17"/>
      <w:r>
        <w:rPr>
          <w:b/>
          <w:bCs/>
          <w:color w:val="000000"/>
          <w:spacing w:val="0"/>
          <w:w w:val="100"/>
          <w:position w:val="0"/>
          <w:shd w:val="clear" w:color="auto" w:fill="auto"/>
          <w:lang w:val="cs-CZ" w:eastAsia="cs-CZ" w:bidi="cs-CZ"/>
        </w:rPr>
        <w:t>V</w:t>
      </w:r>
      <w:bookmarkEnd w:id="17"/>
      <w:r>
        <w:rPr>
          <w:b/>
          <w:bCs/>
          <w:color w:val="000000"/>
          <w:spacing w:val="0"/>
          <w:w w:val="100"/>
          <w:position w:val="0"/>
          <w:shd w:val="clear" w:color="auto" w:fill="auto"/>
          <w:lang w:val="cs-CZ" w:eastAsia="cs-CZ" w:bidi="cs-CZ"/>
        </w:rPr>
        <w:t>I.</w:t>
      </w:r>
    </w:p>
    <w:p>
      <w:pPr>
        <w:pStyle w:val="Style4"/>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shd w:val="clear" w:color="auto" w:fill="auto"/>
          <w:lang w:val="cs-CZ" w:eastAsia="cs-CZ" w:bidi="cs-CZ"/>
        </w:rPr>
        <w:t>Compliance doložka</w:t>
      </w:r>
    </w:p>
    <w:p>
      <w:pPr>
        <w:pStyle w:val="Style4"/>
        <w:keepNext w:val="0"/>
        <w:keepLines w:val="0"/>
        <w:widowControl w:val="0"/>
        <w:numPr>
          <w:ilvl w:val="0"/>
          <w:numId w:val="3"/>
        </w:numPr>
        <w:shd w:val="clear" w:color="auto" w:fill="auto"/>
        <w:tabs>
          <w:tab w:pos="356" w:val="left"/>
        </w:tabs>
        <w:bidi w:val="0"/>
        <w:spacing w:before="0" w:after="220" w:line="240" w:lineRule="auto"/>
        <w:ind w:left="300" w:right="0" w:hanging="300"/>
        <w:jc w:val="both"/>
      </w:pPr>
      <w:bookmarkStart w:id="18" w:name="bookmark18"/>
      <w:bookmarkEnd w:id="1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4"/>
        <w:keepNext w:val="0"/>
        <w:keepLines w:val="0"/>
        <w:widowControl w:val="0"/>
        <w:numPr>
          <w:ilvl w:val="0"/>
          <w:numId w:val="3"/>
        </w:numPr>
        <w:shd w:val="clear" w:color="auto" w:fill="auto"/>
        <w:tabs>
          <w:tab w:pos="356" w:val="left"/>
        </w:tabs>
        <w:bidi w:val="0"/>
        <w:spacing w:before="0" w:after="220" w:line="240" w:lineRule="auto"/>
        <w:ind w:left="300" w:right="0" w:hanging="300"/>
        <w:jc w:val="both"/>
      </w:pPr>
      <w:bookmarkStart w:id="19" w:name="bookmark19"/>
      <w:bookmarkEnd w:id="1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4"/>
        <w:keepNext w:val="0"/>
        <w:keepLines w:val="0"/>
        <w:widowControl w:val="0"/>
        <w:numPr>
          <w:ilvl w:val="0"/>
          <w:numId w:val="3"/>
        </w:numPr>
        <w:shd w:val="clear" w:color="auto" w:fill="auto"/>
        <w:tabs>
          <w:tab w:pos="356" w:val="left"/>
        </w:tabs>
        <w:bidi w:val="0"/>
        <w:spacing w:before="0" w:after="0" w:line="240" w:lineRule="auto"/>
        <w:ind w:left="0" w:right="0" w:firstLine="0"/>
        <w:jc w:val="both"/>
      </w:pPr>
      <w:bookmarkStart w:id="20" w:name="bookmark20"/>
      <w:bookmarkEnd w:id="20"/>
      <w:r>
        <w:rPr>
          <w:color w:val="000000"/>
          <w:spacing w:val="0"/>
          <w:w w:val="100"/>
          <w:position w:val="0"/>
          <w:shd w:val="clear" w:color="auto" w:fill="auto"/>
          <w:lang w:val="cs-CZ" w:eastAsia="cs-CZ" w:bidi="cs-CZ"/>
        </w:rPr>
        <w:t>Prodávající prohlašují, že se seznámili se zásadami, hodnotami a cíli Compliance programu</w:t>
      </w:r>
    </w:p>
    <w:p>
      <w:pPr>
        <w:pStyle w:val="Style4"/>
        <w:keepNext w:val="0"/>
        <w:keepLines w:val="0"/>
        <w:widowControl w:val="0"/>
        <w:shd w:val="clear" w:color="auto" w:fill="auto"/>
        <w:tabs>
          <w:tab w:pos="3266" w:val="left"/>
          <w:tab w:pos="6098" w:val="left"/>
          <w:tab w:pos="8738" w:val="left"/>
        </w:tabs>
        <w:bidi w:val="0"/>
        <w:spacing w:before="0" w:after="0" w:line="240" w:lineRule="auto"/>
        <w:ind w:left="0" w:right="0" w:firstLine="300"/>
        <w:jc w:val="both"/>
      </w:pPr>
      <w:r>
        <w:rPr>
          <w:color w:val="000000"/>
          <w:spacing w:val="0"/>
          <w:w w:val="100"/>
          <w:position w:val="0"/>
          <w:shd w:val="clear" w:color="auto" w:fill="auto"/>
          <w:lang w:val="cs-CZ" w:eastAsia="cs-CZ" w:bidi="cs-CZ"/>
        </w:rPr>
        <w:t>Povodí</w:t>
        <w:tab/>
        <w:t>Ohře,</w:t>
        <w:tab/>
        <w:t>s.p.</w:t>
        <w:tab/>
        <w:t>(viz</w:t>
      </w:r>
    </w:p>
    <w:p>
      <w:pPr>
        <w:pStyle w:val="Style4"/>
        <w:keepNext w:val="0"/>
        <w:keepLines w:val="0"/>
        <w:widowControl w:val="0"/>
        <w:shd w:val="clear" w:color="auto" w:fill="auto"/>
        <w:bidi w:val="0"/>
        <w:spacing w:before="0" w:after="220" w:line="240" w:lineRule="auto"/>
        <w:ind w:left="300" w:right="0" w:firstLine="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zavazují po celou dobu jejího trvání dodržovat zásady a hodnoty obsažené v uvedených dokumentech, pokud to jejich povaha umožňuje.</w:t>
      </w:r>
    </w:p>
    <w:p>
      <w:pPr>
        <w:pStyle w:val="Style4"/>
        <w:keepNext w:val="0"/>
        <w:keepLines w:val="0"/>
        <w:widowControl w:val="0"/>
        <w:numPr>
          <w:ilvl w:val="0"/>
          <w:numId w:val="3"/>
        </w:numPr>
        <w:shd w:val="clear" w:color="auto" w:fill="auto"/>
        <w:tabs>
          <w:tab w:pos="356" w:val="left"/>
        </w:tabs>
        <w:bidi w:val="0"/>
        <w:spacing w:before="0" w:after="220" w:line="240" w:lineRule="auto"/>
        <w:ind w:left="300" w:right="0" w:hanging="300"/>
        <w:jc w:val="both"/>
      </w:pPr>
      <w:bookmarkStart w:id="21" w:name="bookmark21"/>
      <w:bookmarkEnd w:id="2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4"/>
        <w:keepNext w:val="0"/>
        <w:keepLines w:val="0"/>
        <w:widowControl w:val="0"/>
        <w:shd w:val="clear" w:color="auto" w:fill="auto"/>
        <w:bidi w:val="0"/>
        <w:spacing w:before="0" w:after="0" w:line="240" w:lineRule="auto"/>
        <w:ind w:left="0" w:right="0" w:firstLine="0"/>
        <w:jc w:val="center"/>
      </w:pPr>
      <w:bookmarkStart w:id="22" w:name="bookmark22"/>
      <w:r>
        <w:rPr>
          <w:b/>
          <w:bCs/>
          <w:color w:val="000000"/>
          <w:spacing w:val="0"/>
          <w:w w:val="100"/>
          <w:position w:val="0"/>
          <w:shd w:val="clear" w:color="auto" w:fill="auto"/>
          <w:lang w:val="cs-CZ" w:eastAsia="cs-CZ" w:bidi="cs-CZ"/>
        </w:rPr>
        <w:t>V</w:t>
      </w:r>
      <w:bookmarkEnd w:id="22"/>
      <w:r>
        <w:rPr>
          <w:b/>
          <w:bCs/>
          <w:color w:val="000000"/>
          <w:spacing w:val="0"/>
          <w:w w:val="100"/>
          <w:position w:val="0"/>
          <w:shd w:val="clear" w:color="auto" w:fill="auto"/>
          <w:lang w:val="cs-CZ" w:eastAsia="cs-CZ" w:bidi="cs-CZ"/>
        </w:rPr>
        <w:t>II.</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Ochrana o zpracování osobních údajů</w:t>
      </w:r>
    </w:p>
    <w:p>
      <w:pPr>
        <w:pStyle w:val="Style4"/>
        <w:keepNext w:val="0"/>
        <w:keepLines w:val="0"/>
        <w:widowControl w:val="0"/>
        <w:shd w:val="clear" w:color="auto" w:fill="auto"/>
        <w:tabs>
          <w:tab w:pos="4498" w:val="left"/>
          <w:tab w:pos="8818" w:val="left"/>
        </w:tabs>
        <w:bidi w:val="0"/>
        <w:spacing w:before="0" w:after="0" w:line="240" w:lineRule="auto"/>
        <w:ind w:left="0" w:right="0" w:firstLine="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w:t>
        <w:tab/>
        <w:t>naleznete</w:t>
        <w:tab/>
        <w:t>na</w:t>
      </w:r>
    </w:p>
    <w:p>
      <w:pPr>
        <w:pStyle w:val="Style4"/>
        <w:keepNext w:val="0"/>
        <w:keepLines w:val="0"/>
        <w:widowControl w:val="0"/>
        <w:shd w:val="clear" w:color="auto" w:fill="auto"/>
        <w:bidi w:val="0"/>
        <w:spacing w:before="0" w:after="700" w:line="240" w:lineRule="auto"/>
        <w:ind w:left="0" w:right="0" w:firstLine="0"/>
        <w:jc w:val="both"/>
      </w:pPr>
      <w:r>
        <w:fldChar w:fldCharType="begin"/>
      </w:r>
      <w:r>
        <w:rPr/>
        <w:instrText> HYPERLINK "http://www.poh.cz/informace-o-zpracovani-osobnich-udaju/d-1369/p1=1459" </w:instrText>
      </w:r>
      <w:r>
        <w:fldChar w:fldCharType="separate"/>
      </w:r>
      <w:r>
        <w:rPr>
          <w:color w:val="0000FF"/>
          <w:spacing w:val="0"/>
          <w:w w:val="100"/>
          <w:position w:val="0"/>
          <w:u w:val="single"/>
          <w:shd w:val="clear" w:color="auto" w:fill="auto"/>
          <w:lang w:val="cs-CZ" w:eastAsia="cs-CZ" w:bidi="cs-CZ"/>
        </w:rPr>
        <w:t>http://www.poh.cz/informace-o-zpracovani-osobnich-udaju/d-1369/p1=1459</w:t>
      </w:r>
      <w:r>
        <w:fldChar w:fldCharType="end"/>
      </w:r>
    </w:p>
    <w:p>
      <w:pPr>
        <w:pStyle w:val="Style4"/>
        <w:keepNext w:val="0"/>
        <w:keepLines w:val="0"/>
        <w:widowControl w:val="0"/>
        <w:shd w:val="clear" w:color="auto" w:fill="auto"/>
        <w:bidi w:val="0"/>
        <w:spacing w:before="0" w:line="240" w:lineRule="auto"/>
        <w:ind w:left="0" w:right="0" w:firstLine="0"/>
        <w:jc w:val="center"/>
      </w:pPr>
      <w:bookmarkStart w:id="23" w:name="bookmark23"/>
      <w:r>
        <w:rPr>
          <w:b/>
          <w:bCs/>
          <w:color w:val="000000"/>
          <w:spacing w:val="0"/>
          <w:w w:val="100"/>
          <w:position w:val="0"/>
          <w:shd w:val="clear" w:color="auto" w:fill="auto"/>
          <w:lang w:val="cs-CZ" w:eastAsia="cs-CZ" w:bidi="cs-CZ"/>
        </w:rPr>
        <w:t>V</w:t>
      </w:r>
      <w:bookmarkEnd w:id="23"/>
      <w:r>
        <w:rPr>
          <w:b/>
          <w:bCs/>
          <w:color w:val="000000"/>
          <w:spacing w:val="0"/>
          <w:w w:val="100"/>
          <w:position w:val="0"/>
          <w:shd w:val="clear" w:color="auto" w:fill="auto"/>
          <w:lang w:val="cs-CZ" w:eastAsia="cs-CZ" w:bidi="cs-CZ"/>
        </w:rPr>
        <w:t>III.</w:t>
      </w:r>
    </w:p>
    <w:p>
      <w:pPr>
        <w:pStyle w:val="Style4"/>
        <w:keepNext w:val="0"/>
        <w:keepLines w:val="0"/>
        <w:widowControl w:val="0"/>
        <w:numPr>
          <w:ilvl w:val="0"/>
          <w:numId w:val="5"/>
        </w:numPr>
        <w:shd w:val="clear" w:color="auto" w:fill="auto"/>
        <w:tabs>
          <w:tab w:pos="344" w:val="left"/>
        </w:tabs>
        <w:bidi w:val="0"/>
        <w:spacing w:before="0" w:line="240" w:lineRule="auto"/>
        <w:ind w:left="300" w:right="0" w:hanging="300"/>
        <w:jc w:val="both"/>
      </w:pPr>
      <w:bookmarkStart w:id="24" w:name="bookmark24"/>
      <w:bookmarkEnd w:id="24"/>
      <w:r>
        <w:rPr>
          <w:color w:val="000000"/>
          <w:spacing w:val="0"/>
          <w:w w:val="100"/>
          <w:position w:val="0"/>
          <w:shd w:val="clear" w:color="auto" w:fill="auto"/>
          <w:lang w:val="cs-CZ" w:eastAsia="cs-CZ" w:bidi="cs-CZ"/>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včetně všech dodatků, odvozených smluv a dokumentů a metadat prostřednictvím registru smluv. Povodí Ohře, státní podnik, se zavazuje neprodleně po obdržení potvrzení správce registru smluv o uveřejnění smlouvy informovat o této skutečnosti kupujícího, a to přeposláním zmíněného potvrzení správce registru smluv.</w:t>
      </w:r>
    </w:p>
    <w:p>
      <w:pPr>
        <w:pStyle w:val="Style4"/>
        <w:keepNext w:val="0"/>
        <w:keepLines w:val="0"/>
        <w:widowControl w:val="0"/>
        <w:numPr>
          <w:ilvl w:val="0"/>
          <w:numId w:val="5"/>
        </w:numPr>
        <w:shd w:val="clear" w:color="auto" w:fill="auto"/>
        <w:tabs>
          <w:tab w:pos="344" w:val="left"/>
        </w:tabs>
        <w:bidi w:val="0"/>
        <w:spacing w:before="0" w:after="700" w:line="240" w:lineRule="auto"/>
        <w:ind w:left="0" w:right="0" w:firstLine="0"/>
        <w:jc w:val="left"/>
      </w:pPr>
      <w:bookmarkStart w:id="25" w:name="bookmark25"/>
      <w:bookmarkEnd w:id="25"/>
      <w:r>
        <w:rPr>
          <w:color w:val="000000"/>
          <w:spacing w:val="0"/>
          <w:w w:val="100"/>
          <w:position w:val="0"/>
          <w:shd w:val="clear" w:color="auto" w:fill="auto"/>
          <w:lang w:val="cs-CZ" w:eastAsia="cs-CZ" w:bidi="cs-CZ"/>
        </w:rPr>
        <w:t>Smluvní strany nepovažují žádná ustanovení smlouvy za obchodní tajemství.</w:t>
      </w:r>
    </w:p>
    <w:p>
      <w:pPr>
        <w:pStyle w:val="Style15"/>
        <w:keepNext/>
        <w:keepLines/>
        <w:widowControl w:val="0"/>
        <w:shd w:val="clear" w:color="auto" w:fill="auto"/>
        <w:bidi w:val="0"/>
        <w:spacing w:before="0" w:line="240" w:lineRule="auto"/>
        <w:ind w:left="0" w:right="0" w:firstLine="0"/>
        <w:jc w:val="center"/>
      </w:pPr>
      <w:bookmarkStart w:id="26" w:name="bookmark26"/>
      <w:bookmarkStart w:id="27" w:name="bookmark27"/>
      <w:bookmarkStart w:id="28" w:name="bookmark28"/>
      <w:bookmarkStart w:id="29" w:name="bookmark29"/>
      <w:r>
        <w:rPr>
          <w:color w:val="000000"/>
          <w:spacing w:val="0"/>
          <w:w w:val="100"/>
          <w:position w:val="0"/>
          <w:shd w:val="clear" w:color="auto" w:fill="auto"/>
          <w:lang w:val="cs-CZ" w:eastAsia="cs-CZ" w:bidi="cs-CZ"/>
        </w:rPr>
        <w:t>I</w:t>
      </w:r>
      <w:bookmarkEnd w:id="28"/>
      <w:r>
        <w:rPr>
          <w:color w:val="000000"/>
          <w:spacing w:val="0"/>
          <w:w w:val="100"/>
          <w:position w:val="0"/>
          <w:shd w:val="clear" w:color="auto" w:fill="auto"/>
          <w:lang w:val="cs-CZ" w:eastAsia="cs-CZ" w:bidi="cs-CZ"/>
        </w:rPr>
        <w:t>X.</w:t>
      </w:r>
      <w:bookmarkEnd w:id="26"/>
      <w:bookmarkEnd w:id="27"/>
      <w:bookmarkEnd w:id="29"/>
    </w:p>
    <w:p>
      <w:pPr>
        <w:pStyle w:val="Style4"/>
        <w:keepNext w:val="0"/>
        <w:keepLines w:val="0"/>
        <w:widowControl w:val="0"/>
        <w:numPr>
          <w:ilvl w:val="0"/>
          <w:numId w:val="7"/>
        </w:numPr>
        <w:shd w:val="clear" w:color="auto" w:fill="auto"/>
        <w:tabs>
          <w:tab w:pos="344" w:val="left"/>
        </w:tabs>
        <w:bidi w:val="0"/>
        <w:spacing w:before="0" w:line="240" w:lineRule="auto"/>
        <w:ind w:left="300" w:right="0" w:hanging="300"/>
        <w:jc w:val="left"/>
      </w:pPr>
      <w:bookmarkStart w:id="30" w:name="bookmark30"/>
      <w:bookmarkEnd w:id="30"/>
      <w:r>
        <w:rPr>
          <w:color w:val="000000"/>
          <w:spacing w:val="0"/>
          <w:w w:val="100"/>
          <w:position w:val="0"/>
          <w:shd w:val="clear" w:color="auto" w:fill="auto"/>
          <w:lang w:val="cs-CZ" w:eastAsia="cs-CZ" w:bidi="cs-CZ"/>
        </w:rPr>
        <w:t>Tato smlouva nabývá platnosti dnem podpisu obou smluvních stran a účinnosti uveřejněním prostřednictvím registru smluv podle zákona č. 340/2015 Sb., o zvláštních podmínkách účinnosti některých smluv, uveřejňování těchto smluv a o registru smluv (zákon o registru smluv), ve znění pozdějších předpisů. Smluvní strany se dohodly, že Povodí Ohře, státní podnik, zašle tuto smlouvu k uveřejnění prostřednictvím registru smluv bez zbytečného odkladu, nejpozději však do 30 dnů od jejího uzavření.</w:t>
      </w:r>
    </w:p>
    <w:p>
      <w:pPr>
        <w:pStyle w:val="Style4"/>
        <w:keepNext w:val="0"/>
        <w:keepLines w:val="0"/>
        <w:widowControl w:val="0"/>
        <w:numPr>
          <w:ilvl w:val="0"/>
          <w:numId w:val="7"/>
        </w:numPr>
        <w:shd w:val="clear" w:color="auto" w:fill="auto"/>
        <w:tabs>
          <w:tab w:pos="344" w:val="left"/>
        </w:tabs>
        <w:bidi w:val="0"/>
        <w:spacing w:before="0" w:line="240" w:lineRule="auto"/>
        <w:ind w:left="300" w:right="0" w:hanging="300"/>
        <w:jc w:val="left"/>
      </w:pPr>
      <w:bookmarkStart w:id="31" w:name="bookmark31"/>
      <w:bookmarkEnd w:id="31"/>
      <w:r>
        <w:rPr>
          <w:color w:val="000000"/>
          <w:spacing w:val="0"/>
          <w:w w:val="100"/>
          <w:position w:val="0"/>
          <w:shd w:val="clear" w:color="auto" w:fill="auto"/>
          <w:lang w:val="cs-CZ" w:eastAsia="cs-CZ" w:bidi="cs-CZ"/>
        </w:rPr>
        <w:t>Vlastnictví k předmětu koupě dle této kupní smlouvy bude zapsáno po povolení vkladu do katastru nemovitostí u Katastrálního úřadu pro Ústecký kraj, Katastrálního pracoviště Žatec.</w:t>
      </w:r>
    </w:p>
    <w:p>
      <w:pPr>
        <w:pStyle w:val="Style4"/>
        <w:keepNext w:val="0"/>
        <w:keepLines w:val="0"/>
        <w:widowControl w:val="0"/>
        <w:numPr>
          <w:ilvl w:val="0"/>
          <w:numId w:val="7"/>
        </w:numPr>
        <w:shd w:val="clear" w:color="auto" w:fill="auto"/>
        <w:tabs>
          <w:tab w:pos="344" w:val="left"/>
        </w:tabs>
        <w:bidi w:val="0"/>
        <w:spacing w:before="0" w:after="440" w:line="240" w:lineRule="auto"/>
        <w:ind w:left="300" w:right="0" w:hanging="300"/>
        <w:jc w:val="left"/>
      </w:pPr>
      <w:bookmarkStart w:id="32" w:name="bookmark32"/>
      <w:bookmarkEnd w:id="32"/>
      <w:r>
        <w:rPr>
          <w:color w:val="000000"/>
          <w:spacing w:val="0"/>
          <w:w w:val="100"/>
          <w:position w:val="0"/>
          <w:shd w:val="clear" w:color="auto" w:fill="auto"/>
          <w:lang w:val="cs-CZ" w:eastAsia="cs-CZ" w:bidi="cs-CZ"/>
        </w:rPr>
        <w:t>Smluvní strany se dohodly, že návrh na vklad změny vlastnického práva podá a náklady spojené s vkladem do katastru nemovitostí ponese strana kupující.</w:t>
      </w:r>
    </w:p>
    <w:p>
      <w:pPr>
        <w:pStyle w:val="Style4"/>
        <w:keepNext w:val="0"/>
        <w:keepLines w:val="0"/>
        <w:widowControl w:val="0"/>
        <w:shd w:val="clear" w:color="auto" w:fill="auto"/>
        <w:bidi w:val="0"/>
        <w:spacing w:before="0" w:line="240" w:lineRule="auto"/>
        <w:ind w:left="0" w:right="0" w:firstLine="0"/>
        <w:jc w:val="center"/>
      </w:pPr>
      <w:bookmarkStart w:id="33" w:name="bookmark33"/>
      <w:r>
        <w:rPr>
          <w:b/>
          <w:bCs/>
          <w:color w:val="000000"/>
          <w:spacing w:val="0"/>
          <w:w w:val="100"/>
          <w:position w:val="0"/>
          <w:shd w:val="clear" w:color="auto" w:fill="auto"/>
          <w:lang w:val="cs-CZ" w:eastAsia="cs-CZ" w:bidi="cs-CZ"/>
        </w:rPr>
        <w:t>X</w:t>
      </w:r>
      <w:bookmarkEnd w:id="33"/>
      <w:r>
        <w:rPr>
          <w:b/>
          <w:bCs/>
          <w:color w:val="000000"/>
          <w:spacing w:val="0"/>
          <w:w w:val="100"/>
          <w:position w:val="0"/>
          <w:shd w:val="clear" w:color="auto" w:fill="auto"/>
          <w:lang w:val="cs-CZ" w:eastAsia="cs-CZ" w:bidi="cs-CZ"/>
        </w:rPr>
        <w:t>.</w:t>
      </w:r>
    </w:p>
    <w:p>
      <w:pPr>
        <w:pStyle w:val="Style4"/>
        <w:keepNext w:val="0"/>
        <w:keepLines w:val="0"/>
        <w:widowControl w:val="0"/>
        <w:numPr>
          <w:ilvl w:val="0"/>
          <w:numId w:val="9"/>
        </w:numPr>
        <w:shd w:val="clear" w:color="auto" w:fill="auto"/>
        <w:tabs>
          <w:tab w:pos="344" w:val="left"/>
        </w:tabs>
        <w:bidi w:val="0"/>
        <w:spacing w:before="0" w:line="240" w:lineRule="auto"/>
        <w:ind w:left="300" w:right="0" w:hanging="300"/>
        <w:jc w:val="both"/>
      </w:pPr>
      <w:bookmarkStart w:id="34" w:name="bookmark34"/>
      <w:bookmarkEnd w:id="34"/>
      <w:r>
        <w:rPr>
          <w:color w:val="000000"/>
          <w:spacing w:val="0"/>
          <w:w w:val="100"/>
          <w:position w:val="0"/>
          <w:shd w:val="clear" w:color="auto" w:fill="auto"/>
          <w:lang w:val="cs-CZ" w:eastAsia="cs-CZ" w:bidi="cs-CZ"/>
        </w:rPr>
        <w:t>Tato kupní smlouva je vyhotovena ve čtyřech stejnopisech s platností originálů, přičemž každý prodávající obdrží jedno vyhotovení, jedno vyhotovení obdrží kupující a jedno vyhotovení je určeno pro potřeby katastrálního úřadu.</w:t>
      </w:r>
      <w:r>
        <w:br w:type="page"/>
      </w:r>
    </w:p>
    <w:p>
      <w:pPr>
        <w:pStyle w:val="Style4"/>
        <w:keepNext w:val="0"/>
        <w:keepLines w:val="0"/>
        <w:widowControl w:val="0"/>
        <w:numPr>
          <w:ilvl w:val="0"/>
          <w:numId w:val="9"/>
        </w:numPr>
        <w:shd w:val="clear" w:color="auto" w:fill="auto"/>
        <w:tabs>
          <w:tab w:pos="365" w:val="left"/>
        </w:tabs>
        <w:bidi w:val="0"/>
        <w:spacing w:before="0" w:after="180" w:line="240" w:lineRule="auto"/>
        <w:ind w:left="300" w:right="0" w:hanging="300"/>
        <w:jc w:val="both"/>
      </w:pPr>
      <w:bookmarkStart w:id="35" w:name="bookmark35"/>
      <w:bookmarkEnd w:id="35"/>
      <w:r>
        <w:rPr>
          <w:color w:val="000000"/>
          <w:spacing w:val="0"/>
          <w:w w:val="100"/>
          <w:position w:val="0"/>
          <w:shd w:val="clear" w:color="auto" w:fill="auto"/>
          <w:lang w:val="cs-CZ" w:eastAsia="cs-CZ" w:bidi="cs-CZ"/>
        </w:rPr>
        <w:t>Smluvní strany po přečtení této smlouvy výslovně prohlašují, že obsah této kupní smlouvy odpovídá jejich svobodné, vážné a omylu prosté vůli. Tuto skutečnost stvrzují připojením svých vlastnoručních podpisů.</w:t>
      </w:r>
    </w:p>
    <w:p>
      <w:pPr>
        <w:pStyle w:val="Style4"/>
        <w:keepNext w:val="0"/>
        <w:keepLines w:val="0"/>
        <w:widowControl w:val="0"/>
        <w:numPr>
          <w:ilvl w:val="0"/>
          <w:numId w:val="9"/>
        </w:numPr>
        <w:shd w:val="clear" w:color="auto" w:fill="auto"/>
        <w:tabs>
          <w:tab w:pos="365" w:val="left"/>
        </w:tabs>
        <w:bidi w:val="0"/>
        <w:spacing w:before="0" w:after="180" w:line="240" w:lineRule="auto"/>
        <w:ind w:left="300" w:right="0" w:hanging="300"/>
        <w:jc w:val="both"/>
      </w:pPr>
      <w:bookmarkStart w:id="36" w:name="bookmark36"/>
      <w:bookmarkEnd w:id="36"/>
      <w:r>
        <w:rPr>
          <w:color w:val="000000"/>
          <w:spacing w:val="0"/>
          <w:w w:val="100"/>
          <w:position w:val="0"/>
          <w:shd w:val="clear" w:color="auto" w:fill="auto"/>
          <w:lang w:val="cs-CZ" w:eastAsia="cs-CZ" w:bidi="cs-CZ"/>
        </w:rPr>
        <w:t>Nestanoví-li tato smlouva jinak, řídí se práva a povinnosti obou smluvních stran zejména občanským zákoníkem.</w:t>
      </w:r>
    </w:p>
    <w:p>
      <w:pPr>
        <w:widowControl w:val="0"/>
        <w:spacing w:line="1" w:lineRule="exact"/>
      </w:pPr>
      <w:r>
        <w:drawing>
          <wp:anchor distT="1155700" distB="2267585" distL="0" distR="0" simplePos="0" relativeHeight="125829378" behindDoc="0" locked="0" layoutInCell="1" allowOverlap="1">
            <wp:simplePos x="0" y="0"/>
            <wp:positionH relativeFrom="page">
              <wp:posOffset>918845</wp:posOffset>
            </wp:positionH>
            <wp:positionV relativeFrom="paragraph">
              <wp:posOffset>1155700</wp:posOffset>
            </wp:positionV>
            <wp:extent cx="1920240" cy="198120"/>
            <wp:wrapTopAndBottom/>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920240" cy="19812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988695</wp:posOffset>
                </wp:positionH>
                <wp:positionV relativeFrom="paragraph">
                  <wp:posOffset>1619250</wp:posOffset>
                </wp:positionV>
                <wp:extent cx="1813560" cy="234950"/>
                <wp:wrapNone/>
                <wp:docPr id="3" name="Shape 3"/>
                <a:graphic xmlns:a="http://schemas.openxmlformats.org/drawingml/2006/main">
                  <a:graphicData uri="http://schemas.microsoft.com/office/word/2010/wordprocessingShape">
                    <wps:wsp>
                      <wps:cNvSpPr txBox="1"/>
                      <wps:spPr>
                        <a:xfrm>
                          <a:ext cx="1813560" cy="2349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7.850000000000009pt;margin-top:127.5pt;width:142.80000000000001pt;height:18.5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v:textbox>
                <w10:wrap anchorx="page"/>
              </v:shape>
            </w:pict>
          </mc:Fallback>
        </mc:AlternateContent>
      </w:r>
      <w:r>
        <mc:AlternateContent>
          <mc:Choice Requires="wps">
            <w:drawing>
              <wp:anchor distT="1296035" distB="2087880" distL="0" distR="0" simplePos="0" relativeHeight="125829379" behindDoc="0" locked="0" layoutInCell="1" allowOverlap="1">
                <wp:simplePos x="0" y="0"/>
                <wp:positionH relativeFrom="page">
                  <wp:posOffset>4643755</wp:posOffset>
                </wp:positionH>
                <wp:positionV relativeFrom="paragraph">
                  <wp:posOffset>1296035</wp:posOffset>
                </wp:positionV>
                <wp:extent cx="1014730" cy="237490"/>
                <wp:wrapTopAndBottom/>
                <wp:docPr id="5" name="Shape 5"/>
                <a:graphic xmlns:a="http://schemas.openxmlformats.org/drawingml/2006/main">
                  <a:graphicData uri="http://schemas.microsoft.com/office/word/2010/wordprocessingShape">
                    <wps:wsp>
                      <wps:cNvSpPr txBox="1"/>
                      <wps:spPr>
                        <a:xfrm>
                          <a:ext cx="1014730" cy="2374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Pavel Šilhánek</w:t>
                            </w:r>
                          </w:p>
                        </w:txbxContent>
                      </wps:txbx>
                      <wps:bodyPr wrap="none" lIns="0" tIns="0" rIns="0" bIns="0">
                        <a:noAutoFit/>
                      </wps:bodyPr>
                    </wps:wsp>
                  </a:graphicData>
                </a:graphic>
              </wp:anchor>
            </w:drawing>
          </mc:Choice>
          <mc:Fallback>
            <w:pict>
              <v:shape id="_x0000_s1031" type="#_x0000_t202" style="position:absolute;margin-left:365.65000000000003pt;margin-top:102.05pt;width:79.900000000000006pt;height:18.699999999999999pt;z-index:-125829374;mso-wrap-distance-left:0;mso-wrap-distance-top:102.05pt;mso-wrap-distance-right:0;mso-wrap-distance-bottom:164.40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Pavel Šilhánek</w:t>
                      </w:r>
                    </w:p>
                  </w:txbxContent>
                </v:textbox>
                <w10:wrap type="topAndBottom" anchorx="page"/>
              </v:shape>
            </w:pict>
          </mc:Fallback>
        </mc:AlternateContent>
      </w:r>
      <w:r>
        <mc:AlternateContent>
          <mc:Choice Requires="wps">
            <w:drawing>
              <wp:anchor distT="3387090" distB="0" distL="0" distR="0" simplePos="0" relativeHeight="125829381" behindDoc="0" locked="0" layoutInCell="1" allowOverlap="1">
                <wp:simplePos x="0" y="0"/>
                <wp:positionH relativeFrom="page">
                  <wp:posOffset>4476115</wp:posOffset>
                </wp:positionH>
                <wp:positionV relativeFrom="paragraph">
                  <wp:posOffset>3387090</wp:posOffset>
                </wp:positionV>
                <wp:extent cx="1316990" cy="234950"/>
                <wp:wrapTopAndBottom/>
                <wp:docPr id="7" name="Shape 7"/>
                <a:graphic xmlns:a="http://schemas.openxmlformats.org/drawingml/2006/main">
                  <a:graphicData uri="http://schemas.microsoft.com/office/word/2010/wordprocessingShape">
                    <wps:wsp>
                      <wps:cNvSpPr txBox="1"/>
                      <wps:spPr>
                        <a:xfrm>
                          <a:ext cx="1316990" cy="2349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Danuše Šilhánková</w:t>
                            </w:r>
                          </w:p>
                        </w:txbxContent>
                      </wps:txbx>
                      <wps:bodyPr wrap="none" lIns="0" tIns="0" rIns="0" bIns="0">
                        <a:noAutoFit/>
                      </wps:bodyPr>
                    </wps:wsp>
                  </a:graphicData>
                </a:graphic>
              </wp:anchor>
            </w:drawing>
          </mc:Choice>
          <mc:Fallback>
            <w:pict>
              <v:shape id="_x0000_s1033" type="#_x0000_t202" style="position:absolute;margin-left:352.44999999999999pt;margin-top:266.69999999999999pt;width:103.7pt;height:18.5pt;z-index:-125829372;mso-wrap-distance-left:0;mso-wrap-distance-top:266.69999999999999pt;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Danuše Šilhánková</w:t>
                      </w:r>
                    </w:p>
                  </w:txbxContent>
                </v:textbox>
                <w10:wrap type="topAndBottom" anchorx="page"/>
              </v:shape>
            </w:pict>
          </mc:Fallback>
        </mc:AlternateContent>
      </w:r>
      <w:r>
        <w:drawing>
          <wp:anchor distT="3243580" distB="176530" distL="0" distR="0" simplePos="0" relativeHeight="125829383" behindDoc="0" locked="0" layoutInCell="1" allowOverlap="1">
            <wp:simplePos x="0" y="0"/>
            <wp:positionH relativeFrom="page">
              <wp:posOffset>5841365</wp:posOffset>
            </wp:positionH>
            <wp:positionV relativeFrom="paragraph">
              <wp:posOffset>3243580</wp:posOffset>
            </wp:positionV>
            <wp:extent cx="301625" cy="201295"/>
            <wp:wrapTopAndBottom/>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7"/>
                    <a:stretch/>
                  </pic:blipFill>
                  <pic:spPr>
                    <a:xfrm>
                      <a:ext cx="301625" cy="201295"/>
                    </a:xfrm>
                    <a:prstGeom prst="rect"/>
                  </pic:spPr>
                </pic:pic>
              </a:graphicData>
            </a:graphic>
          </wp:anchor>
        </w:drawing>
      </w:r>
    </w:p>
    <w:tbl>
      <w:tblPr>
        <w:tblOverlap w:val="never"/>
        <w:jc w:val="center"/>
        <w:tblLayout w:type="fixed"/>
      </w:tblPr>
      <w:tblGrid>
        <w:gridCol w:w="3432"/>
        <w:gridCol w:w="5688"/>
      </w:tblGrid>
      <w:tr>
        <w:trPr>
          <w:trHeight w:val="394"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w:t>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1740" w:right="0" w:firstLine="0"/>
              <w:jc w:val="left"/>
            </w:pPr>
            <w:r>
              <w:rPr>
                <w:color w:val="000000"/>
                <w:spacing w:val="0"/>
                <w:w w:val="100"/>
                <w:position w:val="0"/>
                <w:shd w:val="clear" w:color="auto" w:fill="auto"/>
                <w:lang w:val="cs-CZ" w:eastAsia="cs-CZ" w:bidi="cs-CZ"/>
              </w:rPr>
              <w:t>V Kryrech dne:</w:t>
            </w:r>
          </w:p>
        </w:tc>
      </w:tr>
      <w:tr>
        <w:trPr>
          <w:trHeight w:val="480"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Kupující:</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1740" w:right="0" w:firstLine="0"/>
              <w:jc w:val="left"/>
            </w:pPr>
            <w:r>
              <w:rPr>
                <w:b/>
                <w:bCs/>
                <w:color w:val="000000"/>
                <w:spacing w:val="0"/>
                <w:w w:val="100"/>
                <w:position w:val="0"/>
                <w:shd w:val="clear" w:color="auto" w:fill="auto"/>
                <w:lang w:val="cs-CZ" w:eastAsia="cs-CZ" w:bidi="cs-CZ"/>
              </w:rPr>
              <w:t>Prodávající:</w:t>
            </w:r>
          </w:p>
        </w:tc>
      </w:tr>
    </w:tbl>
    <w:p>
      <w:pPr>
        <w:sectPr>
          <w:footerReference w:type="default" r:id="rId9"/>
          <w:footnotePr>
            <w:pos w:val="pageBottom"/>
            <w:numFmt w:val="decimal"/>
            <w:numRestart w:val="continuous"/>
          </w:footnotePr>
          <w:pgSz w:w="11909" w:h="16838"/>
          <w:pgMar w:top="1337" w:left="1361" w:right="1312" w:bottom="1481" w:header="909" w:footer="3" w:gutter="0"/>
          <w:pgNumType w:start="1"/>
          <w:cols w:space="720"/>
          <w:noEndnote/>
          <w:rtlGutter w:val="0"/>
          <w:docGrid w:linePitch="360"/>
        </w:sectPr>
      </w:pPr>
    </w:p>
    <w:p>
      <w:pPr>
        <w:widowControl w:val="0"/>
        <w:spacing w:line="240" w:lineRule="exact"/>
        <w:rPr>
          <w:sz w:val="19"/>
          <w:szCs w:val="19"/>
        </w:rPr>
      </w:pPr>
    </w:p>
    <w:p>
      <w:pPr>
        <w:widowControl w:val="0"/>
        <w:spacing w:before="66" w:after="66"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8" w:left="0" w:right="0" w:bottom="1368" w:header="0" w:footer="3" w:gutter="0"/>
          <w:cols w:space="720"/>
          <w:noEndnote/>
          <w:rtlGutter w:val="0"/>
          <w:docGrid w:linePitch="360"/>
        </w:sectPr>
      </w:pP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Přílohy: </w:t>
      </w:r>
      <w:r>
        <w:rPr>
          <w:color w:val="000000"/>
          <w:spacing w:val="0"/>
          <w:w w:val="100"/>
          <w:position w:val="0"/>
          <w:shd w:val="clear" w:color="auto" w:fill="auto"/>
          <w:lang w:val="cs-CZ" w:eastAsia="cs-CZ" w:bidi="cs-CZ"/>
        </w:rPr>
        <w:t>GP č. 1072-294/2022</w:t>
      </w:r>
    </w:p>
    <w:sectPr>
      <w:footnotePr>
        <w:pos w:val="pageBottom"/>
        <w:numFmt w:val="decimal"/>
        <w:numRestart w:val="continuous"/>
      </w:footnotePr>
      <w:type w:val="continuous"/>
      <w:pgSz w:w="11909" w:h="16838"/>
      <w:pgMar w:top="1368" w:left="1394" w:right="1394" w:bottom="136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6616065</wp:posOffset>
              </wp:positionH>
              <wp:positionV relativeFrom="page">
                <wp:posOffset>9941560</wp:posOffset>
              </wp:positionV>
              <wp:extent cx="64135" cy="170815"/>
              <wp:wrapNone/>
              <wp:docPr id="11" name="Shape 11"/>
              <a:graphic xmlns:a="http://schemas.openxmlformats.org/drawingml/2006/main">
                <a:graphicData uri="http://schemas.microsoft.com/office/word/2010/wordprocessingShape">
                  <wps:wsp>
                    <wps:cNvSpPr txBox="1"/>
                    <wps:spPr>
                      <a:xfrm>
                        <a:ext cx="64135" cy="17081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7" type="#_x0000_t202" style="position:absolute;margin-left:520.95000000000005pt;margin-top:782.80000000000007pt;width:5.0499999999999998pt;height:13.450000000000001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rFonts w:ascii="Arial" w:eastAsia="Arial" w:hAnsi="Arial" w:cs="Arial"/>
      <w:b/>
      <w:bCs/>
      <w:i w:val="0"/>
      <w:iCs w:val="0"/>
      <w:smallCaps w:val="0"/>
      <w:strike w:val="0"/>
      <w:sz w:val="52"/>
      <w:szCs w:val="52"/>
      <w:u w:val="none"/>
    </w:rPr>
  </w:style>
  <w:style w:type="character" w:customStyle="1" w:styleId="CharStyle10">
    <w:name w:val="Char Style 10"/>
    <w:basedOn w:val="DefaultParagraphFont"/>
    <w:link w:val="Style9"/>
    <w:rPr>
      <w:b w:val="0"/>
      <w:bCs w:val="0"/>
      <w:i w:val="0"/>
      <w:iCs w:val="0"/>
      <w:smallCaps w:val="0"/>
      <w:strike w:val="0"/>
      <w:sz w:val="20"/>
      <w:szCs w:val="20"/>
      <w:u w:val="none"/>
    </w:rPr>
  </w:style>
  <w:style w:type="character" w:customStyle="1" w:styleId="CharStyle16">
    <w:name w:val="Char Style 16"/>
    <w:basedOn w:val="DefaultParagraphFont"/>
    <w:link w:val="Style15"/>
    <w:rPr>
      <w:rFonts w:ascii="Arial" w:eastAsia="Arial" w:hAnsi="Arial" w:cs="Arial"/>
      <w:b/>
      <w:bCs/>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rFonts w:ascii="Arial" w:eastAsia="Arial" w:hAnsi="Arial" w:cs="Arial"/>
      <w:b/>
      <w:bCs/>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spacing w:line="211" w:lineRule="auto"/>
      <w:jc w:val="center"/>
    </w:pPr>
    <w:rPr>
      <w:rFonts w:ascii="Arial" w:eastAsia="Arial" w:hAnsi="Arial" w:cs="Arial"/>
      <w:b/>
      <w:bCs/>
      <w:i w:val="0"/>
      <w:iCs w:val="0"/>
      <w:smallCaps w:val="0"/>
      <w:strike w:val="0"/>
      <w:sz w:val="52"/>
      <w:szCs w:val="52"/>
      <w:u w:val="none"/>
    </w:rPr>
  </w:style>
  <w:style w:type="paragraph" w:customStyle="1" w:styleId="Style9">
    <w:name w:val="Style 9"/>
    <w:basedOn w:val="Normal"/>
    <w:link w:val="CharStyle10"/>
    <w:pPr>
      <w:widowControl w:val="0"/>
      <w:shd w:val="clear" w:color="auto" w:fill="FFFFFF"/>
    </w:pPr>
    <w:rPr>
      <w:b w:val="0"/>
      <w:bCs w:val="0"/>
      <w:i w:val="0"/>
      <w:iCs w:val="0"/>
      <w:smallCaps w:val="0"/>
      <w:strike w:val="0"/>
      <w:sz w:val="20"/>
      <w:szCs w:val="20"/>
      <w:u w:val="none"/>
    </w:rPr>
  </w:style>
  <w:style w:type="paragraph" w:customStyle="1" w:styleId="Style15">
    <w:name w:val="Style 15"/>
    <w:basedOn w:val="Normal"/>
    <w:link w:val="CharStyle16"/>
    <w:pPr>
      <w:widowControl w:val="0"/>
      <w:shd w:val="clear" w:color="auto" w:fill="FFFFFF"/>
      <w:spacing w:after="200" w:line="264" w:lineRule="auto"/>
      <w:jc w:val="center"/>
      <w:outlineLvl w:val="0"/>
    </w:pPr>
    <w:rPr>
      <w:rFonts w:ascii="Arial" w:eastAsia="Arial" w:hAnsi="Arial" w:cs="Arial"/>
      <w:b/>
      <w:bCs/>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Ing. Eva Citráková</dc:creator>
  <cp:keywords/>
</cp:coreProperties>
</file>