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22" w:rsidRDefault="005C7E22" w:rsidP="005C7E22">
      <w:pPr>
        <w:jc w:val="both"/>
        <w:rPr>
          <w:sz w:val="24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32"/>
          <w:u w:val="single"/>
        </w:rPr>
      </w:pPr>
      <w:r w:rsidRPr="00B71837">
        <w:rPr>
          <w:rFonts w:ascii="Arial" w:hAnsi="Arial" w:cs="Arial"/>
          <w:b/>
          <w:sz w:val="32"/>
          <w:u w:val="single"/>
        </w:rPr>
        <w:t>SMLOUVA O NÁJMU NEBYTOVÝCH PROSTOR</w:t>
      </w:r>
    </w:p>
    <w:p w:rsidR="005C7E22" w:rsidRPr="00B71837" w:rsidRDefault="005C7E22" w:rsidP="005C7E22">
      <w:pPr>
        <w:jc w:val="center"/>
        <w:rPr>
          <w:rFonts w:ascii="Arial" w:hAnsi="Arial" w:cs="Arial"/>
          <w:sz w:val="24"/>
        </w:rPr>
      </w:pPr>
    </w:p>
    <w:p w:rsidR="005C7E22" w:rsidRDefault="005C7E22" w:rsidP="005C7E22">
      <w:pPr>
        <w:jc w:val="center"/>
        <w:rPr>
          <w:rFonts w:ascii="Arial" w:hAnsi="Arial" w:cs="Arial"/>
          <w:b/>
          <w:sz w:val="28"/>
        </w:rPr>
      </w:pPr>
    </w:p>
    <w:p w:rsidR="005C1E58" w:rsidRDefault="005C1E58" w:rsidP="005C7E22">
      <w:pPr>
        <w:jc w:val="center"/>
        <w:rPr>
          <w:rFonts w:ascii="Arial" w:hAnsi="Arial" w:cs="Arial"/>
          <w:b/>
          <w:sz w:val="28"/>
        </w:rPr>
      </w:pPr>
    </w:p>
    <w:p w:rsidR="005C1E58" w:rsidRDefault="005C1E58" w:rsidP="005C7E22">
      <w:pPr>
        <w:jc w:val="center"/>
        <w:rPr>
          <w:rFonts w:ascii="Arial" w:hAnsi="Arial" w:cs="Arial"/>
          <w:b/>
          <w:sz w:val="28"/>
        </w:rPr>
      </w:pPr>
    </w:p>
    <w:p w:rsidR="005C1E58" w:rsidRDefault="005C1E58" w:rsidP="005C7E22">
      <w:pPr>
        <w:jc w:val="center"/>
        <w:rPr>
          <w:rFonts w:ascii="Arial" w:hAnsi="Arial" w:cs="Arial"/>
          <w:b/>
          <w:sz w:val="28"/>
        </w:rPr>
      </w:pPr>
    </w:p>
    <w:p w:rsidR="005C1E58" w:rsidRDefault="005C1E58" w:rsidP="005C7E22">
      <w:pPr>
        <w:jc w:val="center"/>
        <w:rPr>
          <w:rFonts w:ascii="Arial" w:hAnsi="Arial" w:cs="Arial"/>
          <w:b/>
          <w:sz w:val="28"/>
        </w:rPr>
      </w:pPr>
    </w:p>
    <w:p w:rsidR="005C1E58" w:rsidRPr="00B71837" w:rsidRDefault="005C1E58" w:rsidP="005C7E22">
      <w:pPr>
        <w:jc w:val="center"/>
        <w:rPr>
          <w:rFonts w:ascii="Arial" w:hAnsi="Arial" w:cs="Arial"/>
          <w:b/>
          <w:sz w:val="28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Článek </w:t>
      </w:r>
      <w:r w:rsidRPr="00B71837">
        <w:rPr>
          <w:rFonts w:ascii="Arial" w:hAnsi="Arial" w:cs="Arial"/>
          <w:b/>
          <w:sz w:val="24"/>
        </w:rPr>
        <w:t>I.</w:t>
      </w: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 w:rsidRPr="00B71837">
        <w:rPr>
          <w:rFonts w:ascii="Arial" w:hAnsi="Arial" w:cs="Arial"/>
          <w:b/>
          <w:sz w:val="24"/>
        </w:rPr>
        <w:t>Smluvní strany</w:t>
      </w:r>
    </w:p>
    <w:p w:rsidR="005C1E58" w:rsidRDefault="005C1E58" w:rsidP="005C7E22">
      <w:pPr>
        <w:jc w:val="both"/>
        <w:rPr>
          <w:rFonts w:ascii="Arial" w:hAnsi="Arial" w:cs="Arial"/>
          <w:b/>
          <w:sz w:val="28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5C7E22" w:rsidRDefault="005C7E22" w:rsidP="005C7E22">
      <w:pPr>
        <w:jc w:val="both"/>
        <w:rPr>
          <w:rFonts w:ascii="Arial" w:hAnsi="Arial" w:cs="Arial"/>
          <w:b/>
          <w:sz w:val="24"/>
          <w:szCs w:val="24"/>
        </w:rPr>
      </w:pPr>
      <w:r w:rsidRPr="00B71837">
        <w:rPr>
          <w:rFonts w:ascii="Arial" w:hAnsi="Arial" w:cs="Arial"/>
          <w:sz w:val="24"/>
          <w:szCs w:val="24"/>
        </w:rPr>
        <w:t>Pronajímatel: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71837">
        <w:rPr>
          <w:rFonts w:ascii="Arial" w:hAnsi="Arial" w:cs="Arial"/>
          <w:b/>
          <w:sz w:val="24"/>
          <w:szCs w:val="24"/>
        </w:rPr>
        <w:t>Slezské divadlo Opava, příspěvková organizace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 w:rsidRPr="00B71837">
        <w:rPr>
          <w:rFonts w:ascii="Arial" w:hAnsi="Arial" w:cs="Arial"/>
          <w:sz w:val="24"/>
          <w:szCs w:val="24"/>
        </w:rPr>
        <w:t>Se sídlem:</w:t>
      </w:r>
      <w:r w:rsidRPr="00B71837">
        <w:rPr>
          <w:rFonts w:ascii="Arial" w:hAnsi="Arial" w:cs="Arial"/>
          <w:sz w:val="24"/>
          <w:szCs w:val="24"/>
        </w:rPr>
        <w:tab/>
      </w:r>
      <w:r w:rsidRPr="00B718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6F0E">
        <w:rPr>
          <w:rFonts w:ascii="Arial" w:hAnsi="Arial" w:cs="Arial"/>
          <w:b/>
          <w:sz w:val="24"/>
          <w:szCs w:val="24"/>
        </w:rPr>
        <w:t xml:space="preserve">Opava, </w:t>
      </w:r>
      <w:r w:rsidRPr="00B56F0E">
        <w:rPr>
          <w:rFonts w:ascii="Arial" w:hAnsi="Arial" w:cs="Arial"/>
          <w:b/>
          <w:sz w:val="24"/>
        </w:rPr>
        <w:t>Horní náměstí 13, PSČ: 746 69</w:t>
      </w:r>
    </w:p>
    <w:p w:rsidR="005C7E22" w:rsidRPr="00B56F0E" w:rsidRDefault="005C7E22" w:rsidP="005C7E22">
      <w:pPr>
        <w:jc w:val="both"/>
        <w:rPr>
          <w:rFonts w:ascii="Arial" w:hAnsi="Arial" w:cs="Arial"/>
          <w:b/>
          <w:sz w:val="24"/>
        </w:rPr>
      </w:pPr>
      <w:r w:rsidRPr="00B71837">
        <w:rPr>
          <w:rFonts w:ascii="Arial" w:hAnsi="Arial" w:cs="Arial"/>
          <w:sz w:val="24"/>
        </w:rPr>
        <w:t>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56F0E">
        <w:rPr>
          <w:rFonts w:ascii="Arial" w:hAnsi="Arial" w:cs="Arial"/>
          <w:b/>
          <w:sz w:val="24"/>
        </w:rPr>
        <w:t>00100552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30191">
        <w:rPr>
          <w:rFonts w:ascii="Arial" w:hAnsi="Arial" w:cs="Arial"/>
          <w:sz w:val="24"/>
        </w:rPr>
        <w:t>CZ00100552</w:t>
      </w:r>
      <w:bookmarkStart w:id="0" w:name="_GoBack"/>
      <w:bookmarkEnd w:id="0"/>
    </w:p>
    <w:p w:rsidR="005C7E22" w:rsidRDefault="00D807DB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830</w:t>
      </w:r>
      <w:r w:rsidR="005C7E22">
        <w:rPr>
          <w:rFonts w:ascii="Arial" w:hAnsi="Arial" w:cs="Arial"/>
          <w:sz w:val="24"/>
        </w:rPr>
        <w:t>821/0100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Bankovní spojení: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Komerční banka, a.s.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Zastoupen: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56F0E">
        <w:rPr>
          <w:rFonts w:ascii="Arial" w:hAnsi="Arial" w:cs="Arial"/>
          <w:b/>
          <w:sz w:val="24"/>
        </w:rPr>
        <w:t>Mgr. Iljou Rackem, Ph.D., ředitelem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B71837">
        <w:rPr>
          <w:rFonts w:ascii="Arial" w:hAnsi="Arial" w:cs="Arial"/>
          <w:sz w:val="24"/>
        </w:rPr>
        <w:t xml:space="preserve">ále </w:t>
      </w:r>
      <w:r>
        <w:rPr>
          <w:rFonts w:ascii="Arial" w:hAnsi="Arial" w:cs="Arial"/>
          <w:sz w:val="24"/>
        </w:rPr>
        <w:t>také jen „</w:t>
      </w:r>
      <w:r w:rsidRPr="00E604FB">
        <w:rPr>
          <w:rFonts w:ascii="Arial" w:hAnsi="Arial" w:cs="Arial"/>
          <w:b/>
          <w:sz w:val="24"/>
        </w:rPr>
        <w:t>pronajímatel</w:t>
      </w:r>
      <w:r>
        <w:rPr>
          <w:rFonts w:ascii="Arial" w:hAnsi="Arial" w:cs="Arial"/>
          <w:sz w:val="24"/>
        </w:rPr>
        <w:t>“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1E58" w:rsidRPr="00B71837" w:rsidRDefault="005C1E58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b/>
          <w:sz w:val="24"/>
          <w:szCs w:val="24"/>
        </w:rPr>
      </w:pPr>
      <w:r w:rsidRPr="00E604FB">
        <w:rPr>
          <w:rFonts w:ascii="Arial" w:hAnsi="Arial" w:cs="Arial"/>
          <w:sz w:val="24"/>
          <w:szCs w:val="24"/>
        </w:rPr>
        <w:t>Nájemce:</w:t>
      </w:r>
      <w:r>
        <w:rPr>
          <w:rFonts w:ascii="Arial" w:hAnsi="Arial" w:cs="Arial"/>
          <w:sz w:val="24"/>
          <w:szCs w:val="24"/>
        </w:rPr>
        <w:tab/>
      </w:r>
      <w:r w:rsidRPr="00E604F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Gabriela </w:t>
      </w:r>
      <w:proofErr w:type="spellStart"/>
      <w:r>
        <w:rPr>
          <w:rFonts w:ascii="Arial" w:hAnsi="Arial" w:cs="Arial"/>
          <w:b/>
          <w:sz w:val="24"/>
          <w:szCs w:val="24"/>
        </w:rPr>
        <w:t>Rehušová</w:t>
      </w:r>
      <w:proofErr w:type="spellEnd"/>
    </w:p>
    <w:p w:rsidR="005C7E22" w:rsidRPr="00B71837" w:rsidRDefault="005C7E22" w:rsidP="005C7E22">
      <w:pPr>
        <w:jc w:val="both"/>
        <w:rPr>
          <w:rFonts w:ascii="Arial" w:hAnsi="Arial" w:cs="Arial"/>
          <w:b/>
          <w:sz w:val="24"/>
          <w:szCs w:val="24"/>
        </w:rPr>
      </w:pPr>
      <w:r w:rsidRPr="00E604FB">
        <w:rPr>
          <w:rFonts w:ascii="Arial" w:hAnsi="Arial" w:cs="Arial"/>
          <w:sz w:val="24"/>
          <w:szCs w:val="24"/>
        </w:rPr>
        <w:t>Se sídlem:</w:t>
      </w:r>
      <w:r w:rsidRPr="00E60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0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Zámecký okruh 55/9, 746 01, Opava - Předměstí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B71837">
        <w:rPr>
          <w:rFonts w:ascii="Arial" w:hAnsi="Arial" w:cs="Arial"/>
          <w:sz w:val="24"/>
        </w:rPr>
        <w:t>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54059">
        <w:rPr>
          <w:rFonts w:ascii="Arial" w:hAnsi="Arial" w:cs="Arial"/>
          <w:b/>
          <w:sz w:val="24"/>
        </w:rPr>
        <w:t>74578430</w:t>
      </w:r>
    </w:p>
    <w:p w:rsidR="005C7E22" w:rsidRPr="00B71837" w:rsidRDefault="005C7E22" w:rsidP="005C7E22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DIČ: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CZ74578430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Zápis do Obchodního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rejstříku: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1.8.2007</w:t>
      </w:r>
      <w:proofErr w:type="gramEnd"/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1055011932</w:t>
      </w:r>
      <w:r w:rsidR="00D807DB">
        <w:rPr>
          <w:rFonts w:ascii="Arial" w:hAnsi="Arial" w:cs="Arial"/>
          <w:sz w:val="24"/>
        </w:rPr>
        <w:t>/5500</w:t>
      </w:r>
    </w:p>
    <w:p w:rsidR="005C7E22" w:rsidRDefault="00D807DB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Bankovní spojení: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hyperlink r:id="rId5" w:history="1">
        <w:proofErr w:type="spellStart"/>
        <w:r w:rsidRPr="00D807DB">
          <w:rPr>
            <w:rFonts w:ascii="Arial" w:hAnsi="Arial" w:cs="Arial"/>
            <w:sz w:val="24"/>
          </w:rPr>
          <w:t>Raiffeisenbank</w:t>
        </w:r>
        <w:proofErr w:type="spellEnd"/>
        <w:r w:rsidRPr="00D807DB">
          <w:rPr>
            <w:rFonts w:ascii="Arial" w:hAnsi="Arial" w:cs="Arial"/>
            <w:sz w:val="24"/>
          </w:rPr>
          <w:t xml:space="preserve"> a.s.</w:t>
        </w:r>
      </w:hyperlink>
    </w:p>
    <w:p w:rsidR="005C7E22" w:rsidRPr="00E604FB" w:rsidRDefault="005C7E22" w:rsidP="005C7E2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Zastoupen: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604FB">
        <w:rPr>
          <w:rFonts w:ascii="Arial" w:hAnsi="Arial" w:cs="Arial"/>
          <w:b/>
          <w:sz w:val="24"/>
        </w:rPr>
        <w:t xml:space="preserve">Gabrielou </w:t>
      </w:r>
      <w:proofErr w:type="spellStart"/>
      <w:r w:rsidRPr="00E604FB">
        <w:rPr>
          <w:rFonts w:ascii="Arial" w:hAnsi="Arial" w:cs="Arial"/>
          <w:b/>
          <w:sz w:val="24"/>
        </w:rPr>
        <w:t>Rehušovou</w:t>
      </w:r>
      <w:proofErr w:type="spellEnd"/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B71837">
        <w:rPr>
          <w:rFonts w:ascii="Arial" w:hAnsi="Arial" w:cs="Arial"/>
          <w:sz w:val="24"/>
        </w:rPr>
        <w:t xml:space="preserve">ále </w:t>
      </w:r>
      <w:r>
        <w:rPr>
          <w:rFonts w:ascii="Arial" w:hAnsi="Arial" w:cs="Arial"/>
          <w:sz w:val="24"/>
        </w:rPr>
        <w:t>také jen „</w:t>
      </w:r>
      <w:r w:rsidRPr="00E604FB">
        <w:rPr>
          <w:rFonts w:ascii="Arial" w:hAnsi="Arial" w:cs="Arial"/>
          <w:b/>
          <w:sz w:val="24"/>
        </w:rPr>
        <w:t>nájemce</w:t>
      </w:r>
      <w:r>
        <w:rPr>
          <w:rFonts w:ascii="Arial" w:hAnsi="Arial" w:cs="Arial"/>
          <w:sz w:val="24"/>
        </w:rPr>
        <w:t>“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1E58" w:rsidRDefault="005C1E58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Článek </w:t>
      </w:r>
      <w:r w:rsidRPr="00B71837">
        <w:rPr>
          <w:rFonts w:ascii="Arial" w:hAnsi="Arial" w:cs="Arial"/>
          <w:b/>
          <w:sz w:val="24"/>
        </w:rPr>
        <w:t>II.</w:t>
      </w: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 w:rsidRPr="00B71837">
        <w:rPr>
          <w:rFonts w:ascii="Arial" w:hAnsi="Arial" w:cs="Arial"/>
          <w:b/>
          <w:sz w:val="24"/>
        </w:rPr>
        <w:t>Předmět nájmu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106A06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</w:t>
      </w:r>
      <w:r w:rsidRPr="00106A06">
        <w:rPr>
          <w:rFonts w:ascii="Arial" w:hAnsi="Arial" w:cs="Arial"/>
          <w:sz w:val="24"/>
        </w:rPr>
        <w:t xml:space="preserve">ronajímatel má jakožto příspěvková organizace řízená Statutárním městem Opava ve správě k vlastnímu hospodářskému využití budovu </w:t>
      </w:r>
      <w:proofErr w:type="gramStart"/>
      <w:r w:rsidRPr="00106A06">
        <w:rPr>
          <w:rFonts w:ascii="Arial" w:hAnsi="Arial" w:cs="Arial"/>
          <w:sz w:val="24"/>
        </w:rPr>
        <w:t>č.p.</w:t>
      </w:r>
      <w:proofErr w:type="gramEnd"/>
      <w:r w:rsidRPr="00106A06">
        <w:rPr>
          <w:rFonts w:ascii="Arial" w:hAnsi="Arial" w:cs="Arial"/>
          <w:sz w:val="24"/>
        </w:rPr>
        <w:t xml:space="preserve"> 195, objekt vybavenosti (divadlo), nacházející se na pozemcích </w:t>
      </w:r>
      <w:proofErr w:type="spellStart"/>
      <w:r w:rsidRPr="00106A06">
        <w:rPr>
          <w:rFonts w:ascii="Arial" w:hAnsi="Arial" w:cs="Arial"/>
          <w:sz w:val="24"/>
        </w:rPr>
        <w:t>parc.č</w:t>
      </w:r>
      <w:proofErr w:type="spellEnd"/>
      <w:r w:rsidRPr="00106A06">
        <w:rPr>
          <w:rFonts w:ascii="Arial" w:hAnsi="Arial" w:cs="Arial"/>
          <w:sz w:val="24"/>
        </w:rPr>
        <w:t>. 284, zastavěná plocha a nádvoří a 582/6, zastavěná plocha a nádvoří v katastrálním území Opava – Město, v části obce Město na adrese: Opava, Horní náměstí 13 (dále také jen „budova“ nebo „divadlo“). Uvedená budova je ve vlastnictví Statutárního města Opavy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106A06" w:rsidRDefault="005C7E22" w:rsidP="005C7E22">
      <w:pPr>
        <w:ind w:left="284"/>
        <w:jc w:val="both"/>
        <w:rPr>
          <w:rFonts w:ascii="Arial" w:hAnsi="Arial" w:cs="Arial"/>
          <w:sz w:val="24"/>
        </w:rPr>
      </w:pPr>
      <w:r w:rsidRPr="00106A06">
        <w:rPr>
          <w:rFonts w:ascii="Arial" w:hAnsi="Arial" w:cs="Arial"/>
          <w:sz w:val="24"/>
        </w:rPr>
        <w:t>a pronajímatel je oprávněn s ní v souladu se zřizovací listinou disponovat.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106A06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106A06">
        <w:rPr>
          <w:rFonts w:ascii="Arial" w:hAnsi="Arial" w:cs="Arial"/>
          <w:sz w:val="24"/>
        </w:rPr>
        <w:t>Pronajímatel touto smlouvou přenechává nájemci do nájmu část nebytových prostor výše označené budovy, a to „Bufet“, jenž se nalézá ve 2. nadzemním podlaží budovy a sestává z prodejní místnosti (7,5 m</w:t>
      </w:r>
      <w:r w:rsidRPr="00106A06">
        <w:rPr>
          <w:rFonts w:ascii="Arial" w:hAnsi="Arial" w:cs="Arial"/>
          <w:sz w:val="24"/>
          <w:vertAlign w:val="superscript"/>
        </w:rPr>
        <w:t>2</w:t>
      </w:r>
      <w:r w:rsidRPr="00106A06">
        <w:rPr>
          <w:rFonts w:ascii="Arial" w:hAnsi="Arial" w:cs="Arial"/>
          <w:sz w:val="24"/>
        </w:rPr>
        <w:t>) a přípravny (15,6 m</w:t>
      </w:r>
      <w:r w:rsidRPr="00106A06">
        <w:rPr>
          <w:rFonts w:ascii="Arial" w:hAnsi="Arial" w:cs="Arial"/>
          <w:sz w:val="24"/>
          <w:vertAlign w:val="superscript"/>
        </w:rPr>
        <w:t>2</w:t>
      </w:r>
      <w:r w:rsidRPr="00106A06">
        <w:rPr>
          <w:rFonts w:ascii="Arial" w:hAnsi="Arial" w:cs="Arial"/>
          <w:sz w:val="24"/>
        </w:rPr>
        <w:t xml:space="preserve">), </w:t>
      </w:r>
      <w:r w:rsidR="00E72496">
        <w:rPr>
          <w:rFonts w:ascii="Arial" w:hAnsi="Arial" w:cs="Arial"/>
          <w:sz w:val="24"/>
        </w:rPr>
        <w:t>a </w:t>
      </w:r>
      <w:r w:rsidRPr="00106A06">
        <w:rPr>
          <w:rFonts w:ascii="Arial" w:hAnsi="Arial" w:cs="Arial"/>
          <w:sz w:val="24"/>
        </w:rPr>
        <w:t>dále „Kavárnu“, jež se nalézá v 1. nadzemním podlaží tzv. Pavilónu (půlkruhové západní přístavby hlavní budovy divadla) a sestává z prodejní místnosti (53,7 m</w:t>
      </w:r>
      <w:r w:rsidRPr="00106A06">
        <w:rPr>
          <w:rFonts w:ascii="Arial" w:hAnsi="Arial" w:cs="Arial"/>
          <w:sz w:val="24"/>
          <w:vertAlign w:val="superscript"/>
        </w:rPr>
        <w:t>2</w:t>
      </w:r>
      <w:r w:rsidRPr="00106A06">
        <w:rPr>
          <w:rFonts w:ascii="Arial" w:hAnsi="Arial" w:cs="Arial"/>
          <w:sz w:val="24"/>
        </w:rPr>
        <w:t>), přípravny (8 m</w:t>
      </w:r>
      <w:r w:rsidRPr="00106A06">
        <w:rPr>
          <w:rFonts w:ascii="Arial" w:hAnsi="Arial" w:cs="Arial"/>
          <w:sz w:val="24"/>
          <w:vertAlign w:val="superscript"/>
        </w:rPr>
        <w:t>2</w:t>
      </w:r>
      <w:r w:rsidRPr="00106A06">
        <w:rPr>
          <w:rFonts w:ascii="Arial" w:hAnsi="Arial" w:cs="Arial"/>
          <w:sz w:val="24"/>
        </w:rPr>
        <w:t>), WC (1,8 m</w:t>
      </w:r>
      <w:r w:rsidRPr="00106A06">
        <w:rPr>
          <w:rFonts w:ascii="Arial" w:hAnsi="Arial" w:cs="Arial"/>
          <w:sz w:val="24"/>
          <w:vertAlign w:val="superscript"/>
        </w:rPr>
        <w:t>2</w:t>
      </w:r>
      <w:r w:rsidRPr="00106A06">
        <w:rPr>
          <w:rFonts w:ascii="Arial" w:hAnsi="Arial" w:cs="Arial"/>
          <w:sz w:val="24"/>
        </w:rPr>
        <w:t xml:space="preserve">), WC </w:t>
      </w:r>
      <w:proofErr w:type="spellStart"/>
      <w:r w:rsidRPr="00106A06">
        <w:rPr>
          <w:rFonts w:ascii="Arial" w:hAnsi="Arial" w:cs="Arial"/>
          <w:sz w:val="24"/>
        </w:rPr>
        <w:t>inval</w:t>
      </w:r>
      <w:proofErr w:type="spellEnd"/>
      <w:r w:rsidRPr="00106A06">
        <w:rPr>
          <w:rFonts w:ascii="Arial" w:hAnsi="Arial" w:cs="Arial"/>
          <w:sz w:val="24"/>
        </w:rPr>
        <w:t>. (2,4 m</w:t>
      </w:r>
      <w:r w:rsidRPr="00106A06">
        <w:rPr>
          <w:rFonts w:ascii="Arial" w:hAnsi="Arial" w:cs="Arial"/>
          <w:sz w:val="24"/>
          <w:vertAlign w:val="superscript"/>
        </w:rPr>
        <w:t>2</w:t>
      </w:r>
      <w:r w:rsidRPr="00106A06">
        <w:rPr>
          <w:rFonts w:ascii="Arial" w:hAnsi="Arial" w:cs="Arial"/>
          <w:sz w:val="24"/>
        </w:rPr>
        <w:t xml:space="preserve">) a místnosti skladu umístěné v suterénu budovy. 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/>
        <w:jc w:val="both"/>
        <w:rPr>
          <w:rFonts w:ascii="Arial" w:hAnsi="Arial" w:cs="Arial"/>
          <w:sz w:val="24"/>
        </w:rPr>
      </w:pPr>
      <w:r w:rsidRPr="00106A06">
        <w:rPr>
          <w:rFonts w:ascii="Arial" w:hAnsi="Arial" w:cs="Arial"/>
          <w:sz w:val="24"/>
        </w:rPr>
        <w:t>Pronajímatel touto smlouvou dále přenechává nájemci do nájmu i movité věci, které tvoří vybavení předmětných nebytových prostor (dále také jen „předmětné movité věci“)</w:t>
      </w:r>
      <w:r w:rsidR="00D807DB">
        <w:rPr>
          <w:rFonts w:ascii="Arial" w:hAnsi="Arial" w:cs="Arial"/>
          <w:sz w:val="24"/>
        </w:rPr>
        <w:t xml:space="preserve">, a to: </w:t>
      </w:r>
    </w:p>
    <w:p w:rsidR="00D807DB" w:rsidRDefault="00D807DB" w:rsidP="005C7E22">
      <w:pPr>
        <w:ind w:left="284"/>
        <w:jc w:val="both"/>
        <w:rPr>
          <w:rFonts w:ascii="Arial" w:hAnsi="Arial" w:cs="Arial"/>
          <w:sz w:val="24"/>
        </w:rPr>
      </w:pPr>
    </w:p>
    <w:p w:rsidR="00D807DB" w:rsidRDefault="00D807DB" w:rsidP="005C7E22">
      <w:p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Vybavení kavárny:</w:t>
      </w:r>
    </w:p>
    <w:p w:rsidR="00137173" w:rsidRDefault="00137173" w:rsidP="005C7E22">
      <w:pPr>
        <w:ind w:left="284"/>
        <w:jc w:val="both"/>
        <w:rPr>
          <w:rFonts w:ascii="Arial" w:hAnsi="Arial" w:cs="Arial"/>
          <w:sz w:val="24"/>
        </w:rPr>
      </w:pPr>
    </w:p>
    <w:p w:rsidR="00D807DB" w:rsidRDefault="00137173" w:rsidP="005C7E22">
      <w:p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D807DB">
        <w:rPr>
          <w:rFonts w:ascii="Arial" w:hAnsi="Arial" w:cs="Arial"/>
          <w:sz w:val="24"/>
        </w:rPr>
        <w:t>tolky</w:t>
      </w:r>
      <w:r>
        <w:rPr>
          <w:rFonts w:ascii="Arial" w:hAnsi="Arial" w:cs="Arial"/>
          <w:sz w:val="24"/>
        </w:rPr>
        <w:t xml:space="preserve"> (rámy)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07DB">
        <w:rPr>
          <w:rFonts w:ascii="Arial" w:hAnsi="Arial" w:cs="Arial"/>
          <w:sz w:val="24"/>
        </w:rPr>
        <w:t xml:space="preserve">8 ks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07DB">
        <w:rPr>
          <w:rFonts w:ascii="Arial" w:hAnsi="Arial" w:cs="Arial"/>
          <w:sz w:val="24"/>
        </w:rPr>
        <w:t xml:space="preserve">věšák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07DB">
        <w:rPr>
          <w:rFonts w:ascii="Arial" w:hAnsi="Arial" w:cs="Arial"/>
          <w:sz w:val="24"/>
        </w:rPr>
        <w:t>1 ks</w:t>
      </w:r>
    </w:p>
    <w:p w:rsidR="00D807DB" w:rsidRDefault="00137173" w:rsidP="005C7E22">
      <w:p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D807DB">
        <w:rPr>
          <w:rFonts w:ascii="Arial" w:hAnsi="Arial" w:cs="Arial"/>
          <w:sz w:val="24"/>
        </w:rPr>
        <w:t>kří</w:t>
      </w:r>
      <w:r>
        <w:rPr>
          <w:rFonts w:ascii="Arial" w:hAnsi="Arial" w:cs="Arial"/>
          <w:sz w:val="24"/>
        </w:rPr>
        <w:t>ň</w:t>
      </w:r>
      <w:r w:rsidR="00D807DB">
        <w:rPr>
          <w:rFonts w:ascii="Arial" w:hAnsi="Arial" w:cs="Arial"/>
          <w:sz w:val="24"/>
        </w:rPr>
        <w:t xml:space="preserve">ky závěs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07DB">
        <w:rPr>
          <w:rFonts w:ascii="Arial" w:hAnsi="Arial" w:cs="Arial"/>
          <w:sz w:val="24"/>
        </w:rPr>
        <w:t xml:space="preserve">4 ks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07DB">
        <w:rPr>
          <w:rFonts w:ascii="Arial" w:hAnsi="Arial" w:cs="Arial"/>
          <w:sz w:val="24"/>
        </w:rPr>
        <w:t xml:space="preserve">šuplíky s deskou </w:t>
      </w:r>
      <w:r>
        <w:rPr>
          <w:rFonts w:ascii="Arial" w:hAnsi="Arial" w:cs="Arial"/>
          <w:sz w:val="24"/>
        </w:rPr>
        <w:tab/>
      </w:r>
      <w:r w:rsidR="00D807DB">
        <w:rPr>
          <w:rFonts w:ascii="Arial" w:hAnsi="Arial" w:cs="Arial"/>
          <w:sz w:val="24"/>
        </w:rPr>
        <w:t>1 ks</w:t>
      </w:r>
    </w:p>
    <w:p w:rsidR="00137173" w:rsidRDefault="00137173" w:rsidP="00137173">
      <w:p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D807DB">
        <w:rPr>
          <w:rFonts w:ascii="Arial" w:hAnsi="Arial" w:cs="Arial"/>
          <w:sz w:val="24"/>
        </w:rPr>
        <w:t>kříň s </w:t>
      </w:r>
      <w:proofErr w:type="spellStart"/>
      <w:r w:rsidR="00D807DB">
        <w:rPr>
          <w:rFonts w:ascii="Arial" w:hAnsi="Arial" w:cs="Arial"/>
          <w:sz w:val="24"/>
        </w:rPr>
        <w:t>prac</w:t>
      </w:r>
      <w:proofErr w:type="spellEnd"/>
      <w:r w:rsidR="00D807DB"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d</w:t>
      </w:r>
      <w:r w:rsidR="00D807DB">
        <w:rPr>
          <w:rFonts w:ascii="Arial" w:hAnsi="Arial" w:cs="Arial"/>
          <w:sz w:val="24"/>
        </w:rPr>
        <w:t>eskou</w:t>
      </w:r>
      <w:proofErr w:type="gramEnd"/>
      <w:r w:rsidR="00D807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D807DB">
        <w:rPr>
          <w:rFonts w:ascii="Arial" w:hAnsi="Arial" w:cs="Arial"/>
          <w:sz w:val="24"/>
        </w:rPr>
        <w:t>1 ks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pracovní deska </w:t>
      </w:r>
      <w:r>
        <w:rPr>
          <w:rFonts w:ascii="Arial" w:hAnsi="Arial" w:cs="Arial"/>
          <w:sz w:val="24"/>
        </w:rPr>
        <w:tab/>
        <w:t>1 ks</w:t>
      </w:r>
    </w:p>
    <w:p w:rsidR="00137173" w:rsidRDefault="00137173" w:rsidP="00137173">
      <w:p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svítidlo nástěnné </w:t>
      </w:r>
      <w:r>
        <w:rPr>
          <w:rFonts w:ascii="Arial" w:hAnsi="Arial" w:cs="Arial"/>
          <w:sz w:val="24"/>
        </w:rPr>
        <w:tab/>
        <w:t>4 ks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svítidlo stropní </w:t>
      </w:r>
      <w:r>
        <w:rPr>
          <w:rFonts w:ascii="Arial" w:hAnsi="Arial" w:cs="Arial"/>
          <w:sz w:val="24"/>
        </w:rPr>
        <w:tab/>
        <w:t>2 ks</w:t>
      </w:r>
    </w:p>
    <w:p w:rsidR="00137173" w:rsidRDefault="00137173" w:rsidP="00137173">
      <w:p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sedátko na WC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 ks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televize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 ks</w:t>
      </w:r>
    </w:p>
    <w:p w:rsidR="00137173" w:rsidRDefault="00137173" w:rsidP="00137173">
      <w:pPr>
        <w:ind w:left="284"/>
        <w:jc w:val="both"/>
        <w:rPr>
          <w:rFonts w:ascii="Arial" w:hAnsi="Arial" w:cs="Arial"/>
          <w:sz w:val="24"/>
        </w:rPr>
      </w:pPr>
    </w:p>
    <w:p w:rsidR="00137173" w:rsidRPr="00106A06" w:rsidRDefault="00137173" w:rsidP="00137173">
      <w:p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Vybavení bufetu: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židle </w:t>
      </w:r>
      <w:r>
        <w:rPr>
          <w:rFonts w:ascii="Arial" w:hAnsi="Arial" w:cs="Arial"/>
          <w:sz w:val="24"/>
        </w:rPr>
        <w:tab/>
        <w:t xml:space="preserve">2 ks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dvoudřez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 ks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137173" w:rsidRDefault="00137173" w:rsidP="005C7E22">
      <w:pPr>
        <w:jc w:val="both"/>
        <w:rPr>
          <w:rFonts w:ascii="Arial" w:hAnsi="Arial" w:cs="Arial"/>
          <w:sz w:val="24"/>
        </w:rPr>
      </w:pPr>
    </w:p>
    <w:p w:rsidR="005C7E22" w:rsidRPr="00106A06" w:rsidRDefault="005C7E22" w:rsidP="005C7E22">
      <w:pPr>
        <w:ind w:left="284"/>
        <w:jc w:val="both"/>
        <w:rPr>
          <w:rFonts w:ascii="Arial" w:hAnsi="Arial" w:cs="Arial"/>
          <w:sz w:val="24"/>
        </w:rPr>
      </w:pPr>
      <w:r w:rsidRPr="00106A06">
        <w:rPr>
          <w:rFonts w:ascii="Arial" w:hAnsi="Arial" w:cs="Arial"/>
          <w:sz w:val="24"/>
        </w:rPr>
        <w:t>Nájem předmětných nebytových prostor a nájem předmětných movitých věcí dle této smlouvy (dále také jen „předmět nájmu“) je nerozlučně spjat, tudíž zánikem nájmu předmětných nebytových prostor současně zaniká i nájem předmětných movitých věcí a naopak.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106A06" w:rsidRDefault="005C7E22" w:rsidP="005C7E22">
      <w:pPr>
        <w:ind w:left="284"/>
        <w:jc w:val="both"/>
        <w:rPr>
          <w:rFonts w:ascii="Arial" w:hAnsi="Arial" w:cs="Arial"/>
          <w:sz w:val="24"/>
        </w:rPr>
      </w:pPr>
      <w:r w:rsidRPr="00106A06">
        <w:rPr>
          <w:rFonts w:ascii="Arial" w:hAnsi="Arial" w:cs="Arial"/>
          <w:sz w:val="24"/>
        </w:rPr>
        <w:t>Nájemce je oprávněn při</w:t>
      </w:r>
      <w:r w:rsidR="005C1E58">
        <w:rPr>
          <w:rFonts w:ascii="Arial" w:hAnsi="Arial" w:cs="Arial"/>
          <w:sz w:val="24"/>
        </w:rPr>
        <w:t xml:space="preserve"> </w:t>
      </w:r>
      <w:r w:rsidRPr="00106A06">
        <w:rPr>
          <w:rFonts w:ascii="Arial" w:hAnsi="Arial" w:cs="Arial"/>
          <w:sz w:val="24"/>
        </w:rPr>
        <w:t>provozování „Bufetu“ užívat n</w:t>
      </w:r>
      <w:r w:rsidR="00E72496">
        <w:rPr>
          <w:rFonts w:ascii="Arial" w:hAnsi="Arial" w:cs="Arial"/>
          <w:sz w:val="24"/>
        </w:rPr>
        <w:t>ákladní výtah, který ústí do </w:t>
      </w:r>
      <w:r w:rsidRPr="00106A06">
        <w:rPr>
          <w:rFonts w:ascii="Arial" w:hAnsi="Arial" w:cs="Arial"/>
          <w:sz w:val="24"/>
        </w:rPr>
        <w:t>přípravny „Bufetu“, a dále v souladu s pokyny pronajímatele ty prostory divadla, které slouží k přístupu k „Bufetu“. Nájemce je povinen užívat nákladní výtah v souladu s bezpečnostními předpisy a proškolením obsluhy výtahu. Pronajímatel je povinen zajišťovat veškeré opravy, revize a prohlídky nákladního výtahu.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137173" w:rsidRDefault="00137173" w:rsidP="005C7E22">
      <w:pPr>
        <w:jc w:val="both"/>
        <w:rPr>
          <w:rFonts w:ascii="Arial" w:hAnsi="Arial" w:cs="Arial"/>
          <w:sz w:val="24"/>
        </w:rPr>
      </w:pPr>
    </w:p>
    <w:p w:rsidR="005C7E22" w:rsidRPr="00106A06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106A06">
        <w:rPr>
          <w:rFonts w:ascii="Arial" w:hAnsi="Arial" w:cs="Arial"/>
          <w:sz w:val="24"/>
        </w:rPr>
        <w:t>Nájemce předmětné nebytové prostory a předmětné movité věci přejímá do svého užívání.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Článek III.</w:t>
      </w: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Účel</w:t>
      </w:r>
      <w:r w:rsidRPr="00B71837">
        <w:rPr>
          <w:rFonts w:ascii="Arial" w:hAnsi="Arial" w:cs="Arial"/>
          <w:b/>
          <w:sz w:val="24"/>
        </w:rPr>
        <w:t xml:space="preserve"> nájmu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 nájmu se pronajímá výhradně za účelem provozování pohostinských služeb</w:t>
      </w:r>
      <w:r w:rsidR="00137173">
        <w:rPr>
          <w:rFonts w:ascii="Arial" w:hAnsi="Arial" w:cs="Arial"/>
          <w:sz w:val="24"/>
        </w:rPr>
        <w:t xml:space="preserve"> (Hostinská činnost)</w:t>
      </w:r>
      <w:r>
        <w:rPr>
          <w:rFonts w:ascii="Arial" w:hAnsi="Arial" w:cs="Arial"/>
          <w:sz w:val="24"/>
        </w:rPr>
        <w:t>, tj. „Bufet“ k zajištění občerstvení návště</w:t>
      </w:r>
      <w:r w:rsidR="00E72496">
        <w:rPr>
          <w:rFonts w:ascii="Arial" w:hAnsi="Arial" w:cs="Arial"/>
          <w:sz w:val="24"/>
        </w:rPr>
        <w:t>vníku divadelních představení a </w:t>
      </w:r>
      <w:r>
        <w:rPr>
          <w:rFonts w:ascii="Arial" w:hAnsi="Arial" w:cs="Arial"/>
          <w:sz w:val="24"/>
        </w:rPr>
        <w:t>„Kavárna“ k poskytování služeb odpovídajících obvyklému provozu kavárny. Nájemce se zavazuje, že provozní doba „Bufetu“ bude korespondovat s otevírací dobou divadla v souvislosti s realizací divadelních představení. Mimo tuto dobu je nájemce oprávněn provozovat „Bufet“ po předchozí dohodě s pronajímatelem tak, aby nenarušovat provoz divadla. Provozní dobu „Kavárny“ je nájemce oprávněn stanovit si sám v souladu s právními předpisy, s přihlédnutím k oprávněným požadavkům pronajímatele. Veškeré obchodní aktivity realizované nájemcem musí být předem písemně odsouhlaseny pronajímatelem.</w:t>
      </w:r>
    </w:p>
    <w:p w:rsidR="00E72496" w:rsidRDefault="00E72496" w:rsidP="005C7E22">
      <w:pPr>
        <w:jc w:val="both"/>
        <w:rPr>
          <w:rFonts w:ascii="Arial" w:hAnsi="Arial" w:cs="Arial"/>
          <w:sz w:val="24"/>
        </w:rPr>
      </w:pPr>
    </w:p>
    <w:p w:rsidR="00137173" w:rsidRPr="00B71837" w:rsidRDefault="00137173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IV.</w:t>
      </w: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 w:rsidRPr="00B71837">
        <w:rPr>
          <w:rFonts w:ascii="Arial" w:hAnsi="Arial" w:cs="Arial"/>
          <w:b/>
          <w:sz w:val="24"/>
        </w:rPr>
        <w:t>Doba nájmu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Nájem se sjednává s účinností ode dne </w:t>
      </w:r>
      <w:proofErr w:type="gramStart"/>
      <w:r>
        <w:rPr>
          <w:rFonts w:ascii="Arial" w:hAnsi="Arial" w:cs="Arial"/>
          <w:sz w:val="24"/>
        </w:rPr>
        <w:t>1.</w:t>
      </w:r>
      <w:r w:rsidR="00137173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.2017</w:t>
      </w:r>
      <w:proofErr w:type="gramEnd"/>
      <w:r>
        <w:rPr>
          <w:rFonts w:ascii="Arial" w:hAnsi="Arial" w:cs="Arial"/>
          <w:sz w:val="24"/>
        </w:rPr>
        <w:t xml:space="preserve"> na d</w:t>
      </w:r>
      <w:r w:rsidRPr="00B71837">
        <w:rPr>
          <w:rFonts w:ascii="Arial" w:hAnsi="Arial" w:cs="Arial"/>
          <w:sz w:val="24"/>
        </w:rPr>
        <w:t xml:space="preserve">obu určitou, a to </w:t>
      </w:r>
      <w:r>
        <w:rPr>
          <w:rFonts w:ascii="Arial" w:hAnsi="Arial" w:cs="Arial"/>
          <w:sz w:val="24"/>
        </w:rPr>
        <w:t>d</w:t>
      </w:r>
      <w:r w:rsidRPr="00B71837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 w:rsidRPr="00B7183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ne </w:t>
      </w:r>
      <w:r w:rsidR="00137173">
        <w:rPr>
          <w:rFonts w:ascii="Arial" w:hAnsi="Arial" w:cs="Arial"/>
          <w:sz w:val="24"/>
        </w:rPr>
        <w:t>31.7.2018.</w:t>
      </w:r>
    </w:p>
    <w:p w:rsidR="005C1E58" w:rsidRPr="00B71837" w:rsidRDefault="005C1E58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7B1A58" w:rsidRPr="00B71837" w:rsidRDefault="007B1A58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Článek </w:t>
      </w:r>
      <w:r w:rsidRPr="00B71837">
        <w:rPr>
          <w:rFonts w:ascii="Arial" w:hAnsi="Arial" w:cs="Arial"/>
          <w:b/>
          <w:sz w:val="24"/>
        </w:rPr>
        <w:t>V.</w:t>
      </w: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Výše a splatnost nájemného a způsob jeho platby</w:t>
      </w:r>
    </w:p>
    <w:p w:rsidR="005C7E22" w:rsidRPr="00B71837" w:rsidRDefault="005C7E22" w:rsidP="005C7E22">
      <w:pPr>
        <w:rPr>
          <w:rFonts w:ascii="Arial" w:hAnsi="Arial" w:cs="Arial"/>
          <w:b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Nájemce se zavazuje platit za užívání předmětu nájmu nájemné v celkové výši </w:t>
      </w:r>
      <w:r w:rsidR="007B1A58">
        <w:rPr>
          <w:rFonts w:ascii="Arial" w:hAnsi="Arial" w:cs="Arial"/>
          <w:b/>
          <w:sz w:val="24"/>
        </w:rPr>
        <w:t>186</w:t>
      </w:r>
      <w:r w:rsidRPr="00201929">
        <w:rPr>
          <w:rFonts w:ascii="Arial" w:hAnsi="Arial" w:cs="Arial"/>
          <w:b/>
          <w:sz w:val="24"/>
        </w:rPr>
        <w:t xml:space="preserve"> 000,- Kč ročně (slovy: </w:t>
      </w:r>
      <w:proofErr w:type="spellStart"/>
      <w:r w:rsidRPr="00201929">
        <w:rPr>
          <w:rFonts w:ascii="Arial" w:hAnsi="Arial" w:cs="Arial"/>
          <w:b/>
          <w:sz w:val="24"/>
        </w:rPr>
        <w:t>Jednosto</w:t>
      </w:r>
      <w:r w:rsidR="007B1A58">
        <w:rPr>
          <w:rFonts w:ascii="Arial" w:hAnsi="Arial" w:cs="Arial"/>
          <w:b/>
          <w:sz w:val="24"/>
        </w:rPr>
        <w:t>osmdesátšest</w:t>
      </w:r>
      <w:r w:rsidR="00E72496">
        <w:rPr>
          <w:rFonts w:ascii="Arial" w:hAnsi="Arial" w:cs="Arial"/>
          <w:b/>
          <w:sz w:val="24"/>
        </w:rPr>
        <w:t>tisíc</w:t>
      </w:r>
      <w:proofErr w:type="spellEnd"/>
      <w:r w:rsidR="00E72496">
        <w:rPr>
          <w:rFonts w:ascii="Arial" w:hAnsi="Arial" w:cs="Arial"/>
          <w:b/>
          <w:sz w:val="24"/>
        </w:rPr>
        <w:t xml:space="preserve"> korun českých), tj. </w:t>
      </w:r>
      <w:r w:rsidRPr="00201929">
        <w:rPr>
          <w:rFonts w:ascii="Arial" w:hAnsi="Arial" w:cs="Arial"/>
          <w:b/>
          <w:sz w:val="24"/>
        </w:rPr>
        <w:t>1</w:t>
      </w:r>
      <w:r w:rsidR="007B1A58">
        <w:rPr>
          <w:rFonts w:ascii="Arial" w:hAnsi="Arial" w:cs="Arial"/>
          <w:b/>
          <w:sz w:val="24"/>
        </w:rPr>
        <w:t>5 5</w:t>
      </w:r>
      <w:r w:rsidRPr="00201929">
        <w:rPr>
          <w:rFonts w:ascii="Arial" w:hAnsi="Arial" w:cs="Arial"/>
          <w:b/>
          <w:sz w:val="24"/>
        </w:rPr>
        <w:t>00,- Kč měsíčně</w:t>
      </w:r>
      <w:r w:rsidR="00E72496">
        <w:rPr>
          <w:rFonts w:ascii="Arial" w:hAnsi="Arial" w:cs="Arial"/>
          <w:sz w:val="24"/>
        </w:rPr>
        <w:t>, která</w:t>
      </w:r>
      <w:r>
        <w:rPr>
          <w:rFonts w:ascii="Arial" w:hAnsi="Arial" w:cs="Arial"/>
          <w:sz w:val="24"/>
        </w:rPr>
        <w:t xml:space="preserve"> se</w:t>
      </w:r>
      <w:r w:rsidR="00E72496">
        <w:rPr>
          <w:rFonts w:ascii="Arial" w:hAnsi="Arial" w:cs="Arial"/>
          <w:sz w:val="24"/>
        </w:rPr>
        <w:t xml:space="preserve"> </w:t>
      </w:r>
      <w:r w:rsidR="007B1A58">
        <w:rPr>
          <w:rFonts w:ascii="Arial" w:hAnsi="Arial" w:cs="Arial"/>
          <w:sz w:val="24"/>
        </w:rPr>
        <w:t>stává</w:t>
      </w:r>
      <w:r>
        <w:rPr>
          <w:rFonts w:ascii="Arial" w:hAnsi="Arial" w:cs="Arial"/>
          <w:sz w:val="24"/>
        </w:rPr>
        <w:t>: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201929" w:rsidRDefault="005C7E22" w:rsidP="005C7E2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z nájemného za předmětné nebytové prostory ve výši </w:t>
      </w:r>
      <w:r w:rsidRPr="00201929">
        <w:rPr>
          <w:rFonts w:ascii="Arial" w:hAnsi="Arial" w:cs="Arial"/>
          <w:b/>
          <w:sz w:val="24"/>
        </w:rPr>
        <w:t>180 000,- Kč ročně (slovy: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201929">
        <w:rPr>
          <w:rFonts w:ascii="Arial" w:hAnsi="Arial" w:cs="Arial"/>
          <w:b/>
          <w:sz w:val="24"/>
        </w:rPr>
        <w:t>Jednostoosmdesáttisíc</w:t>
      </w:r>
      <w:proofErr w:type="spellEnd"/>
      <w:r w:rsidRPr="00201929">
        <w:rPr>
          <w:rFonts w:ascii="Arial" w:hAnsi="Arial" w:cs="Arial"/>
          <w:b/>
          <w:sz w:val="24"/>
        </w:rPr>
        <w:t xml:space="preserve"> korun českých), tj. 15 000,- Kč měsíčně</w:t>
      </w:r>
    </w:p>
    <w:p w:rsidR="005C7E22" w:rsidRDefault="005C7E22" w:rsidP="005C7E22">
      <w:pPr>
        <w:pStyle w:val="Odstavecseseznamem"/>
        <w:jc w:val="both"/>
        <w:rPr>
          <w:rFonts w:ascii="Arial" w:hAnsi="Arial" w:cs="Arial"/>
          <w:sz w:val="24"/>
        </w:rPr>
      </w:pPr>
    </w:p>
    <w:p w:rsidR="005C7E22" w:rsidRPr="00201929" w:rsidRDefault="005C7E22" w:rsidP="005C7E2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z nájemného za předmětné movité věci ve výši </w:t>
      </w:r>
      <w:r w:rsidR="007B1A58">
        <w:rPr>
          <w:rFonts w:ascii="Arial" w:hAnsi="Arial" w:cs="Arial"/>
          <w:b/>
          <w:sz w:val="24"/>
        </w:rPr>
        <w:t xml:space="preserve">6 000,- Kč ročně (slovy: </w:t>
      </w:r>
      <w:proofErr w:type="spellStart"/>
      <w:r w:rsidR="007B1A58">
        <w:rPr>
          <w:rFonts w:ascii="Arial" w:hAnsi="Arial" w:cs="Arial"/>
          <w:b/>
          <w:sz w:val="24"/>
        </w:rPr>
        <w:t>šest</w:t>
      </w:r>
      <w:r w:rsidRPr="00201929">
        <w:rPr>
          <w:rFonts w:ascii="Arial" w:hAnsi="Arial" w:cs="Arial"/>
          <w:b/>
          <w:sz w:val="24"/>
        </w:rPr>
        <w:t>ttisíc</w:t>
      </w:r>
      <w:proofErr w:type="spellEnd"/>
      <w:r w:rsidR="007B1A58">
        <w:rPr>
          <w:rFonts w:ascii="Arial" w:hAnsi="Arial" w:cs="Arial"/>
          <w:b/>
          <w:sz w:val="24"/>
        </w:rPr>
        <w:t xml:space="preserve"> korun českých), tj. 5</w:t>
      </w:r>
      <w:r w:rsidRPr="00201929">
        <w:rPr>
          <w:rFonts w:ascii="Arial" w:hAnsi="Arial" w:cs="Arial"/>
          <w:b/>
          <w:sz w:val="24"/>
        </w:rPr>
        <w:t>00,- Kč měsíčně.</w:t>
      </w:r>
    </w:p>
    <w:p w:rsidR="005C7E22" w:rsidRPr="00201929" w:rsidRDefault="005C7E22" w:rsidP="005C7E22">
      <w:pPr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Nájemce bere na vědomí a souhlasí s tím, že výše nájemného představuje základ daně z přidané hodnoty (DPH)</w:t>
      </w:r>
      <w:r w:rsidR="007B1A5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že v případě registrace pronajímatele jako plátce DPH bude nájemné zvýšeno o příslušnou sazbu DPH s účinností od data registrace.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201929" w:rsidRDefault="005C7E22" w:rsidP="00C06D23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Smluvní strany se dohodly, že nájemné bude pla</w:t>
      </w:r>
      <w:r w:rsidR="00E72496">
        <w:rPr>
          <w:rFonts w:ascii="Arial" w:hAnsi="Arial" w:cs="Arial"/>
          <w:sz w:val="24"/>
        </w:rPr>
        <w:t>ceno měsíčně</w:t>
      </w:r>
      <w:r w:rsidR="00C06D23">
        <w:rPr>
          <w:rFonts w:ascii="Arial" w:hAnsi="Arial" w:cs="Arial"/>
          <w:sz w:val="24"/>
        </w:rPr>
        <w:t xml:space="preserve"> pozadu</w:t>
      </w:r>
      <w:r w:rsidR="00E72496">
        <w:rPr>
          <w:rFonts w:ascii="Arial" w:hAnsi="Arial" w:cs="Arial"/>
          <w:sz w:val="24"/>
        </w:rPr>
        <w:t xml:space="preserve"> </w:t>
      </w:r>
      <w:r w:rsidR="00C06D23">
        <w:rPr>
          <w:rFonts w:ascii="Arial" w:hAnsi="Arial" w:cs="Arial"/>
          <w:sz w:val="24"/>
        </w:rPr>
        <w:t>na základě vystavené faktury</w:t>
      </w:r>
      <w:r w:rsidR="002E04CB">
        <w:rPr>
          <w:rFonts w:ascii="Arial" w:hAnsi="Arial" w:cs="Arial"/>
          <w:sz w:val="24"/>
        </w:rPr>
        <w:t xml:space="preserve"> se splatností 14 dnů od data vystavení</w:t>
      </w:r>
      <w:r w:rsidR="00C06D23">
        <w:rPr>
          <w:rFonts w:ascii="Arial" w:hAnsi="Arial" w:cs="Arial"/>
          <w:sz w:val="24"/>
        </w:rPr>
        <w:t xml:space="preserve">. 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C06D23" w:rsidRDefault="00C06D23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C06D23" w:rsidRPr="00201929" w:rsidRDefault="00C06D23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rPr>
          <w:rFonts w:ascii="Arial" w:hAnsi="Arial" w:cs="Arial"/>
          <w:b/>
          <w:sz w:val="24"/>
        </w:rPr>
      </w:pPr>
    </w:p>
    <w:p w:rsidR="00E72496" w:rsidRPr="00B71837" w:rsidRDefault="00E72496" w:rsidP="005C7E22">
      <w:pPr>
        <w:rPr>
          <w:rFonts w:ascii="Arial" w:hAnsi="Arial" w:cs="Arial"/>
          <w:b/>
          <w:sz w:val="24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Článek V</w:t>
      </w:r>
      <w:r w:rsidRPr="00B71837">
        <w:rPr>
          <w:rFonts w:ascii="Arial" w:hAnsi="Arial" w:cs="Arial"/>
          <w:b/>
          <w:sz w:val="24"/>
        </w:rPr>
        <w:t>I.</w:t>
      </w: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Služby související s užíváním předmětných nebytových prostor</w:t>
      </w:r>
    </w:p>
    <w:p w:rsidR="005C7E22" w:rsidRPr="00B71837" w:rsidRDefault="005C7E22" w:rsidP="005C7E22">
      <w:pPr>
        <w:rPr>
          <w:rFonts w:ascii="Arial" w:hAnsi="Arial" w:cs="Arial"/>
          <w:b/>
          <w:sz w:val="24"/>
        </w:rPr>
      </w:pPr>
    </w:p>
    <w:p w:rsidR="005C7E22" w:rsidRDefault="005C7E22" w:rsidP="005C7E22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Pronajímatel se zavazuje zabezpečovat řádné plnění následujících služeb, jejichž poskytování je s užíváním předmětných nebytových prostor spojeno: poskytování el. </w:t>
      </w:r>
      <w:proofErr w:type="gramStart"/>
      <w:r>
        <w:rPr>
          <w:rFonts w:ascii="Arial" w:hAnsi="Arial" w:cs="Arial"/>
          <w:sz w:val="24"/>
          <w:szCs w:val="24"/>
        </w:rPr>
        <w:t>energie</w:t>
      </w:r>
      <w:proofErr w:type="gramEnd"/>
      <w:r>
        <w:rPr>
          <w:rFonts w:ascii="Arial" w:hAnsi="Arial" w:cs="Arial"/>
          <w:sz w:val="24"/>
          <w:szCs w:val="24"/>
        </w:rPr>
        <w:t>, tepla, vody, odvoz komunálního odpadu.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Ostatní služby, spojené s užíváním předmětných nebytových prostor, je povinen si sám a na svůj účet zajistit nájemce.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C06D23" w:rsidP="005C7E22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7E22">
        <w:rPr>
          <w:rFonts w:ascii="Arial" w:hAnsi="Arial" w:cs="Arial"/>
          <w:sz w:val="24"/>
          <w:szCs w:val="24"/>
        </w:rPr>
        <w:t xml:space="preserve">Vedle nájemného se nájemce zavazuje </w:t>
      </w:r>
      <w:r w:rsidR="00E72496">
        <w:rPr>
          <w:rFonts w:ascii="Arial" w:hAnsi="Arial" w:cs="Arial"/>
          <w:sz w:val="24"/>
          <w:szCs w:val="24"/>
        </w:rPr>
        <w:t>platit pronajímateli náklady na </w:t>
      </w:r>
      <w:r w:rsidR="005C7E22">
        <w:rPr>
          <w:rFonts w:ascii="Arial" w:hAnsi="Arial" w:cs="Arial"/>
          <w:sz w:val="24"/>
          <w:szCs w:val="24"/>
        </w:rPr>
        <w:t>spotřebovanou elektrickou energii, spotřebované teplo, vodné a stočné a odvoz komunálního odpadu.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na spotřebovanou elektrickou energii se stanoví dle skutečné spotřeby naměřené na poměrném měřidle</w:t>
      </w:r>
      <w:r w:rsidR="002E04CB">
        <w:rPr>
          <w:rFonts w:ascii="Arial" w:hAnsi="Arial" w:cs="Arial"/>
          <w:sz w:val="24"/>
          <w:szCs w:val="24"/>
        </w:rPr>
        <w:t xml:space="preserve"> a aktuální ceně</w:t>
      </w:r>
      <w:r>
        <w:rPr>
          <w:rFonts w:ascii="Arial" w:hAnsi="Arial" w:cs="Arial"/>
          <w:sz w:val="24"/>
          <w:szCs w:val="24"/>
        </w:rPr>
        <w:t>.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na spotřebované teplo</w:t>
      </w:r>
      <w:r w:rsidR="002E04CB">
        <w:rPr>
          <w:rFonts w:ascii="Arial" w:hAnsi="Arial" w:cs="Arial"/>
          <w:sz w:val="24"/>
          <w:szCs w:val="24"/>
        </w:rPr>
        <w:t xml:space="preserve"> (plyn)</w:t>
      </w:r>
      <w:r>
        <w:rPr>
          <w:rFonts w:ascii="Arial" w:hAnsi="Arial" w:cs="Arial"/>
          <w:sz w:val="24"/>
          <w:szCs w:val="24"/>
        </w:rPr>
        <w:t xml:space="preserve"> budou stanoveny poměrem podlahové plochy pronajatých předmětných nebytových prostor k podlahové ploše všech vytápěných prostor, což činí 2 %. Na tyto náklady je povinen n</w:t>
      </w:r>
      <w:r w:rsidR="00E72496">
        <w:rPr>
          <w:rFonts w:ascii="Arial" w:hAnsi="Arial" w:cs="Arial"/>
          <w:sz w:val="24"/>
          <w:szCs w:val="24"/>
        </w:rPr>
        <w:t>ájemce platit měsíční zálohy ve </w:t>
      </w:r>
      <w:r>
        <w:rPr>
          <w:rFonts w:ascii="Arial" w:hAnsi="Arial" w:cs="Arial"/>
          <w:sz w:val="24"/>
          <w:szCs w:val="24"/>
        </w:rPr>
        <w:t xml:space="preserve">výši 1 000,- Kč. Tyto zálohy je pronajímatel povinen vyúčtovat </w:t>
      </w:r>
      <w:r w:rsidR="00C06D23">
        <w:rPr>
          <w:rFonts w:ascii="Arial" w:hAnsi="Arial" w:cs="Arial"/>
          <w:sz w:val="24"/>
          <w:szCs w:val="24"/>
        </w:rPr>
        <w:t xml:space="preserve">do jednoho měsíce po obdržení vyúčtování ze strany dodavatele plynu. 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na vodné a stočné se stanoví mě</w:t>
      </w:r>
      <w:r w:rsidR="002E04CB">
        <w:rPr>
          <w:rFonts w:ascii="Arial" w:hAnsi="Arial" w:cs="Arial"/>
          <w:sz w:val="24"/>
          <w:szCs w:val="24"/>
        </w:rPr>
        <w:t>síční paušální částkou ve výši 5</w:t>
      </w:r>
      <w:r>
        <w:rPr>
          <w:rFonts w:ascii="Arial" w:hAnsi="Arial" w:cs="Arial"/>
          <w:sz w:val="24"/>
          <w:szCs w:val="24"/>
        </w:rPr>
        <w:t>00,- Kč.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na odvoz tuhého komunálního odpadu se stanoví měsíční paušální částkou ve výši 500,- Kč.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Zálohy za teplo, paušály za vodné a stočné a od</w:t>
      </w:r>
      <w:r w:rsidR="002E04CB">
        <w:rPr>
          <w:rFonts w:ascii="Arial" w:hAnsi="Arial" w:cs="Arial"/>
          <w:sz w:val="24"/>
          <w:szCs w:val="24"/>
        </w:rPr>
        <w:t>voz tuhého komunálního odpadu a </w:t>
      </w:r>
      <w:r>
        <w:rPr>
          <w:rFonts w:ascii="Arial" w:hAnsi="Arial" w:cs="Arial"/>
          <w:sz w:val="24"/>
          <w:szCs w:val="24"/>
        </w:rPr>
        <w:t>náklady na spotřebovanou elektrickou energii je pronajímatel oprávněn vyfakturovat nájemci vždy do 15. dne kalendářního měsíce následujícího po</w:t>
      </w:r>
      <w:r w:rsidR="00E724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měsíci, za který mají být tyto náklady placeny. Faktury jsou splatné do čtrnácti dnů ode dne jejich vystavení.</w:t>
      </w: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2E04CB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Pr="00B71837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C7E22" w:rsidRDefault="005C7E22" w:rsidP="005C7E2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VII.</w:t>
      </w:r>
    </w:p>
    <w:p w:rsidR="005C7E22" w:rsidRPr="000266C6" w:rsidRDefault="005C7E22" w:rsidP="005C7E2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práva a povinnosti smluvních stran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Pronajímatel je povinen odevzdat předmět nájmu nájemci ve stavu způsobilém ke smluvenému, příp. obvyklému užívání, v tomto stavu jej svým nákladem udržovat. Nájemce podpisem této smlouvy potvrzuje, že byl s předmětem nájmu důkladně seznámen a že tento se nachází v řádném stavu způsobilém ke smluvenému, příp. obvyklému užívání.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Nájemce je oprávněn a povinen užívat předmět nájmu výhradně k účelu uvedenému v této smlouvě.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3. Nájemce je povinen hradit náklady spojené s obvyklým udržováním předmětu nájmu. Nájemce je povinen provádět v předmětných nebytových prostorách na své náklady drobné opravy a běžnou údržbu</w:t>
      </w:r>
      <w:r w:rsidR="002E04C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Nájemce je povinen provádět opravy předmětu nájmu, jejichž potřeba vznikne zaviněním nájemce.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Nájemce se zavazuje zabezpečit předmětné nebytové prostory před násilným vniknutím a uzamykat společné prostory budovy.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Nájemce si zajistí vlastní pojištění vnitřního zařízení. Pronajímatel neodpovídá nájemci za škody vzniklé nájemci krádeží, živelnou pohromou apod. Pronajímatel prohlašuje, že předmětné nebytové prostory jsou pojištěny v rámci pojištění celé budovy.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Nájemce se zavazuje zajistit kontrolu stavu předmětu nájmu z hlediska protipožární prevenci a dodržování bezpečnosti práce a dodržovat veškeré příslušné obecně závazné právní předpisy vztahující se k užívání předmětu nájmu.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K jakýmkoli stavebním úpravám či změnám využití předmětu nájmu se nájemce zavazuje vyžádat si předchozí písemný souhlas pronajímatele. Bez tohoto souhlasu není nájemce oprávněn provést jakoukoli změnu či úpravu předmětu nájmu.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Nájemce je oprávněn přenechat předmět nájmu nebo jeho část na dobu určitou </w:t>
      </w:r>
      <w:r w:rsidR="00E72496">
        <w:rPr>
          <w:rFonts w:ascii="Arial" w:hAnsi="Arial" w:cs="Arial"/>
          <w:sz w:val="24"/>
        </w:rPr>
        <w:t>do </w:t>
      </w:r>
      <w:r>
        <w:rPr>
          <w:rFonts w:ascii="Arial" w:hAnsi="Arial" w:cs="Arial"/>
          <w:sz w:val="24"/>
        </w:rPr>
        <w:t>podnájmu jen s předchozím písemným souhlasem pronajímatele. Písemný souhlas pronajímatele je nutný i k podnájmu výkladních skříní, s výjimkou umístění maturitních či absolventských tabel. Přitom j</w:t>
      </w:r>
      <w:r w:rsidR="00E72496">
        <w:rPr>
          <w:rFonts w:ascii="Arial" w:hAnsi="Arial" w:cs="Arial"/>
          <w:sz w:val="24"/>
        </w:rPr>
        <w:t>e nájemce povinen respektovat a </w:t>
      </w:r>
      <w:r>
        <w:rPr>
          <w:rFonts w:ascii="Arial" w:hAnsi="Arial" w:cs="Arial"/>
          <w:sz w:val="24"/>
        </w:rPr>
        <w:t>dodržovat podmínky, které pronajímatel v uděleném souhlasu s podnájmem stanoví.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Nájemce je povinen bez zbytečného odkladu oznámit pronajímateli potřebu oprav, které má pronajímatel provést (tedy s výjimkou drobných oprav a běžné údržby, které je povinen dle článku VII. odst. 3 této smlouvy provádět nájemce), a</w:t>
      </w:r>
      <w:r w:rsidR="00E72496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umožnit provedené těchto i jiných nezbytných o</w:t>
      </w:r>
      <w:r w:rsidR="00E72496">
        <w:rPr>
          <w:rFonts w:ascii="Arial" w:hAnsi="Arial" w:cs="Arial"/>
          <w:sz w:val="24"/>
        </w:rPr>
        <w:t>prav, jinak nájemce odpovídá za </w:t>
      </w:r>
      <w:r>
        <w:rPr>
          <w:rFonts w:ascii="Arial" w:hAnsi="Arial" w:cs="Arial"/>
          <w:sz w:val="24"/>
        </w:rPr>
        <w:t>škodu, která nesplněním povinnosti vznikla.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Nájemce se zavazuje udržovat pořádek a čisto</w:t>
      </w:r>
      <w:r w:rsidR="00E72496">
        <w:rPr>
          <w:rFonts w:ascii="Arial" w:hAnsi="Arial" w:cs="Arial"/>
          <w:sz w:val="24"/>
        </w:rPr>
        <w:t>tu v předmětu nájmu, jakož i ve </w:t>
      </w:r>
      <w:r>
        <w:rPr>
          <w:rFonts w:ascii="Arial" w:hAnsi="Arial" w:cs="Arial"/>
          <w:sz w:val="24"/>
        </w:rPr>
        <w:t>společných prostorách budovy a v prostorá</w:t>
      </w:r>
      <w:r w:rsidR="00E72496">
        <w:rPr>
          <w:rFonts w:ascii="Arial" w:hAnsi="Arial" w:cs="Arial"/>
          <w:sz w:val="24"/>
        </w:rPr>
        <w:t>ch před vstupem do budovy, a na </w:t>
      </w:r>
      <w:r>
        <w:rPr>
          <w:rFonts w:ascii="Arial" w:hAnsi="Arial" w:cs="Arial"/>
          <w:sz w:val="24"/>
        </w:rPr>
        <w:t>přilehlých chodnících (odklízení sněhu, nečistot apod.). Případné znečištění bude odstraněno na náklady nájemce.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Pronajímatel je oprávněn kdykoli požadov</w:t>
      </w:r>
      <w:r w:rsidR="00E72496">
        <w:rPr>
          <w:rFonts w:ascii="Arial" w:hAnsi="Arial" w:cs="Arial"/>
          <w:sz w:val="24"/>
        </w:rPr>
        <w:t>at přístup k předmětu nájmu (do </w:t>
      </w:r>
      <w:r>
        <w:rPr>
          <w:rFonts w:ascii="Arial" w:hAnsi="Arial" w:cs="Arial"/>
          <w:sz w:val="24"/>
        </w:rPr>
        <w:t>předmětu nájmu) za účelem kontroly, zda nájemce užívá předmět nájmu řádným způsobem. Nájemce je povinen toto právo pronajímatele respektovat.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 Nájemce je oprávněn k odběru elektrické energie a vody ze stávajících rozvodů. Elektrickou energii nesmí nájemce užívat bez souhlasu pronajímatele k provozu zařízení sloužících k vytápění nebo k provozu zařízení umístěných mimo předmětné nebytové prostory.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14. Pronajímatel nenese odpovědnost za omezení dodávek tepla či za poruchy tepelných rozvodů v předmětných nebytových prostorách. Omezení dodávek tepla z těchto důvodů jdou k tíži nájemce, který nemá v této souvislosti právo na slevu z nájemného.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 Nájemce je povinen po předchozí výzvě umožnit pronajímateli nebo jím pověřené osobě provedení instalace a údržby zařízení pro m</w:t>
      </w:r>
      <w:r w:rsidR="00E72496">
        <w:rPr>
          <w:rFonts w:ascii="Arial" w:hAnsi="Arial" w:cs="Arial"/>
          <w:sz w:val="24"/>
        </w:rPr>
        <w:t>ěření a regulaci tepla, teplé a </w:t>
      </w:r>
      <w:r>
        <w:rPr>
          <w:rFonts w:ascii="Arial" w:hAnsi="Arial" w:cs="Arial"/>
          <w:sz w:val="24"/>
        </w:rPr>
        <w:t>studené vody, jakož i odpočet naměřených hodnot. Stejně je povinen umožnit přístup k dalším technickým zařízením, pokud jsou součástí předmětných nebytových prostor a náleží pronajímateli.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Článek </w:t>
      </w:r>
      <w:r w:rsidRPr="00B71837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</w:t>
      </w:r>
      <w:r w:rsidRPr="00B71837">
        <w:rPr>
          <w:rFonts w:ascii="Arial" w:hAnsi="Arial" w:cs="Arial"/>
          <w:b/>
          <w:sz w:val="24"/>
        </w:rPr>
        <w:t>II.</w:t>
      </w:r>
    </w:p>
    <w:p w:rsidR="005C7E22" w:rsidRPr="00B71837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Skončení nájmu</w:t>
      </w:r>
    </w:p>
    <w:p w:rsidR="005C7E22" w:rsidRPr="00B71837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N</w:t>
      </w:r>
      <w:r w:rsidRPr="00CE2B21">
        <w:rPr>
          <w:rFonts w:ascii="Arial" w:hAnsi="Arial" w:cs="Arial"/>
          <w:sz w:val="24"/>
        </w:rPr>
        <w:t>ájem skončí uplynutím sjednané doby. Ukončen</w:t>
      </w:r>
      <w:r w:rsidR="00E72496">
        <w:rPr>
          <w:rFonts w:ascii="Arial" w:hAnsi="Arial" w:cs="Arial"/>
          <w:sz w:val="24"/>
        </w:rPr>
        <w:t>í nájmu před sjednanou dobou je </w:t>
      </w:r>
      <w:r w:rsidRPr="00CE2B21">
        <w:rPr>
          <w:rFonts w:ascii="Arial" w:hAnsi="Arial" w:cs="Arial"/>
          <w:sz w:val="24"/>
        </w:rPr>
        <w:t>možné písemnou dohodou smluvních stran.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Pronajímatel může tuto smlouvu vypovědět před uplynutím sjednané doby nájmu vedle případů uvedených v </w:t>
      </w:r>
      <w:proofErr w:type="spellStart"/>
      <w:r>
        <w:rPr>
          <w:rFonts w:ascii="Arial" w:hAnsi="Arial" w:cs="Arial"/>
          <w:sz w:val="24"/>
        </w:rPr>
        <w:t>ust</w:t>
      </w:r>
      <w:proofErr w:type="spellEnd"/>
      <w:r>
        <w:rPr>
          <w:rFonts w:ascii="Arial" w:hAnsi="Arial" w:cs="Arial"/>
          <w:sz w:val="24"/>
        </w:rPr>
        <w:t>. § 9 zákona č. 116/1990 Sb., o nájmu a podnájmu nebytových prostor, také v případě, že nájemce poruší tuto smlouvu podstatným způsobem.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Tato smlouva je porušena podstatným způsobem zejména v případě, že:</w:t>
      </w:r>
    </w:p>
    <w:p w:rsidR="005C7E22" w:rsidRPr="00CE2B21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nájemce užívá předmět nájmu k jinému než sjednanému účelu</w:t>
      </w:r>
    </w:p>
    <w:p w:rsidR="005C7E22" w:rsidRDefault="005C7E22" w:rsidP="005C7E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nájemce neudržuje předmět nájmu v řádném stavu a neprovádí za tímto účelem údržbu předmětu nájmu a běžné opravy</w:t>
      </w:r>
    </w:p>
    <w:p w:rsidR="005C7E22" w:rsidRDefault="005C7E22" w:rsidP="005C7E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nájemce přenechá předmět nájmu nebo jeho část k užívání třetí osobě bez předchozího souhlasu pronajímatele nebo nerespektuje-li či nedodržuje-li nájemce podmínky stanovené v uděleném souhlasu s podnájmem</w:t>
      </w:r>
    </w:p>
    <w:p w:rsidR="005C7E22" w:rsidRDefault="005C7E22" w:rsidP="005C7E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nájemce nerespektuje zvýšení nájemného v souladu s článkem V. odst. 5 této smlouvy</w:t>
      </w:r>
    </w:p>
    <w:p w:rsidR="005C7E22" w:rsidRPr="00CE2B21" w:rsidRDefault="005C7E22" w:rsidP="005C7E2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nájemce neumožní pronajímateli přístup k předmětu nájmu (do předmětu nájmu) za účelem kontroly, zda nájemce užívá předmět nájmu řádným způsobem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Výpověď musí být učiněna písemnou formou a musí být doručena druhé smluvní straně. Výpovědní lhůta činí jeden měsíc a počítá se od prvého dne měsíce následujícího po doručení výpovědi. Nejpozdě</w:t>
      </w:r>
      <w:r w:rsidR="00E72496">
        <w:rPr>
          <w:rFonts w:ascii="Arial" w:hAnsi="Arial" w:cs="Arial"/>
          <w:sz w:val="24"/>
        </w:rPr>
        <w:t>ji poslední den trvání nájmu je </w:t>
      </w:r>
      <w:r>
        <w:rPr>
          <w:rFonts w:ascii="Arial" w:hAnsi="Arial" w:cs="Arial"/>
          <w:sz w:val="24"/>
        </w:rPr>
        <w:t>nájemce povinen předmět nájmu vyklidit a vrátit jej pronajímateli, a to ve stavu, v jakém jej převzal, s přihlédnutím k obvyklému opotřebení. Předmět nájmu musí být předán nepoškozený a uklizený. O vrácení předmětu nájmu bude sepsán protokol, který bude zejména obsahovat datum vrácení předmětu nájmu a popis stavu, v jakém se předmět nájmu nachází. Př</w:t>
      </w:r>
      <w:r w:rsidR="00E72496">
        <w:rPr>
          <w:rFonts w:ascii="Arial" w:hAnsi="Arial" w:cs="Arial"/>
          <w:sz w:val="24"/>
        </w:rPr>
        <w:t>edávací protokol bude sepsán ve </w:t>
      </w:r>
      <w:r>
        <w:rPr>
          <w:rFonts w:ascii="Arial" w:hAnsi="Arial" w:cs="Arial"/>
          <w:sz w:val="24"/>
        </w:rPr>
        <w:t>dvou stejnopisech, po jednom vyhotovení pro každou smluvní stranu.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Nájemce je povinen zaplatit pronajímateli za každý den prodlení s vrácením předmětu nájmu smluvní pokutu ve výši 1 000,- K</w:t>
      </w:r>
      <w:r w:rsidR="00E72496">
        <w:rPr>
          <w:rFonts w:ascii="Arial" w:hAnsi="Arial" w:cs="Arial"/>
          <w:sz w:val="24"/>
        </w:rPr>
        <w:t>č. Smluvní pokuta je splatná do </w:t>
      </w:r>
      <w:r>
        <w:rPr>
          <w:rFonts w:ascii="Arial" w:hAnsi="Arial" w:cs="Arial"/>
          <w:sz w:val="24"/>
        </w:rPr>
        <w:t>15 dnů ode dne doručení výzvy pronajímatele k zaplacení pokuty nájemci. Zaplacením smluvní pokuty není dotčeno právo pronajímatele na náhradu škody.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X.</w:t>
      </w:r>
    </w:p>
    <w:p w:rsidR="005C7E22" w:rsidRPr="008173D9" w:rsidRDefault="005C7E22" w:rsidP="005C7E2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Závěrečná ustanovení</w:t>
      </w:r>
    </w:p>
    <w:p w:rsidR="005C7E22" w:rsidRDefault="005C7E22" w:rsidP="005C7E22">
      <w:pPr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Tato smlouva je vyhotovena ve dvou stejnopisech s platností originálu, z nichž každá smluvní strana obdrží jedno vyhotovení.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Jakékoliv změny a doplňky této smlouvy lze činit pouze písemnými, chronologicky číslovanými dodatky k této smlouvě.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Právní vztahy touto smlouvou neupravené se </w:t>
      </w:r>
      <w:r w:rsidR="00E72496">
        <w:rPr>
          <w:rFonts w:ascii="Arial" w:hAnsi="Arial" w:cs="Arial"/>
          <w:sz w:val="24"/>
        </w:rPr>
        <w:t xml:space="preserve">řídí </w:t>
      </w:r>
      <w:r>
        <w:rPr>
          <w:rFonts w:ascii="Arial" w:hAnsi="Arial" w:cs="Arial"/>
          <w:sz w:val="24"/>
        </w:rPr>
        <w:t>příslušnými právními předpisy.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5C7E22">
        <w:rPr>
          <w:rFonts w:ascii="Arial" w:hAnsi="Arial" w:cs="Arial"/>
          <w:sz w:val="24"/>
        </w:rPr>
        <w:t xml:space="preserve">. Tato smlouva je uzavřena svobodně a vážně, nikoli v tísni či za nápadně nevýhodných podmínek, je určitá a smluvním </w:t>
      </w:r>
      <w:r w:rsidR="00E72496">
        <w:rPr>
          <w:rFonts w:ascii="Arial" w:hAnsi="Arial" w:cs="Arial"/>
          <w:sz w:val="24"/>
        </w:rPr>
        <w:t>stranám zcela srozumitelná, což </w:t>
      </w:r>
      <w:r w:rsidR="005C7E22">
        <w:rPr>
          <w:rFonts w:ascii="Arial" w:hAnsi="Arial" w:cs="Arial"/>
          <w:sz w:val="24"/>
        </w:rPr>
        <w:t>smluvní strany potvrzují svými podpisy.</w:t>
      </w:r>
    </w:p>
    <w:p w:rsidR="005C7E22" w:rsidRDefault="005C7E22" w:rsidP="00AB3FFF">
      <w:pPr>
        <w:jc w:val="both"/>
        <w:rPr>
          <w:rFonts w:ascii="Arial" w:hAnsi="Arial" w:cs="Arial"/>
          <w:sz w:val="24"/>
        </w:rPr>
      </w:pPr>
    </w:p>
    <w:p w:rsidR="005C7E22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5C7E22">
        <w:rPr>
          <w:rFonts w:ascii="Arial" w:hAnsi="Arial" w:cs="Arial"/>
          <w:sz w:val="24"/>
        </w:rPr>
        <w:t>. Úči</w:t>
      </w:r>
      <w:r w:rsidR="00E72496">
        <w:rPr>
          <w:rFonts w:ascii="Arial" w:hAnsi="Arial" w:cs="Arial"/>
          <w:sz w:val="24"/>
        </w:rPr>
        <w:t>nnost této smlouvy je od 1.</w:t>
      </w:r>
      <w:r>
        <w:rPr>
          <w:rFonts w:ascii="Arial" w:hAnsi="Arial" w:cs="Arial"/>
          <w:sz w:val="24"/>
        </w:rPr>
        <w:t xml:space="preserve"> 9</w:t>
      </w:r>
      <w:r w:rsidR="00E7249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E72496">
        <w:rPr>
          <w:rFonts w:ascii="Arial" w:hAnsi="Arial" w:cs="Arial"/>
          <w:sz w:val="24"/>
        </w:rPr>
        <w:t>201</w:t>
      </w:r>
      <w:r w:rsidR="005C7E22">
        <w:rPr>
          <w:rFonts w:ascii="Arial" w:hAnsi="Arial" w:cs="Arial"/>
          <w:sz w:val="24"/>
        </w:rPr>
        <w:t>7.</w:t>
      </w: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5C7E22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987E2A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Opavě dne </w:t>
      </w:r>
      <w:r w:rsidR="00AB3FFF">
        <w:rPr>
          <w:rFonts w:ascii="Arial" w:hAnsi="Arial" w:cs="Arial"/>
          <w:sz w:val="24"/>
        </w:rPr>
        <w:t>1. 9. 2017</w:t>
      </w: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AB3FFF" w:rsidRDefault="00AB3FFF" w:rsidP="005C7E22">
      <w:pPr>
        <w:ind w:left="284" w:hanging="284"/>
        <w:jc w:val="both"/>
        <w:rPr>
          <w:rFonts w:ascii="Arial" w:hAnsi="Arial" w:cs="Arial"/>
          <w:sz w:val="24"/>
        </w:rPr>
      </w:pPr>
    </w:p>
    <w:p w:rsidR="005C7E22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</w:t>
      </w:r>
    </w:p>
    <w:p w:rsidR="00987E2A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Za </w:t>
      </w:r>
      <w:r w:rsidR="00E72496">
        <w:rPr>
          <w:rFonts w:ascii="Arial" w:hAnsi="Arial" w:cs="Arial"/>
          <w:sz w:val="24"/>
        </w:rPr>
        <w:t>pronajímatele</w:t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</w:r>
      <w:r w:rsidR="00E72496">
        <w:rPr>
          <w:rFonts w:ascii="Arial" w:hAnsi="Arial" w:cs="Arial"/>
          <w:sz w:val="24"/>
        </w:rPr>
        <w:tab/>
        <w:t xml:space="preserve">             </w:t>
      </w:r>
      <w:r>
        <w:rPr>
          <w:rFonts w:ascii="Arial" w:hAnsi="Arial" w:cs="Arial"/>
          <w:sz w:val="24"/>
        </w:rPr>
        <w:t>Za nájemce</w:t>
      </w:r>
    </w:p>
    <w:p w:rsidR="00987E2A" w:rsidRDefault="00987E2A" w:rsidP="005C7E22">
      <w:pPr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Mgr. Ilja Racek, Ph.D.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Gabriela </w:t>
      </w:r>
      <w:proofErr w:type="spellStart"/>
      <w:r>
        <w:rPr>
          <w:rFonts w:ascii="Arial" w:hAnsi="Arial" w:cs="Arial"/>
          <w:sz w:val="24"/>
        </w:rPr>
        <w:t>Rehušová</w:t>
      </w:r>
      <w:proofErr w:type="spellEnd"/>
    </w:p>
    <w:p w:rsidR="00A776ED" w:rsidRDefault="00987E2A" w:rsidP="005C1E58">
      <w:pPr>
        <w:ind w:left="284" w:hanging="284"/>
        <w:jc w:val="both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ředitel</w:t>
      </w:r>
    </w:p>
    <w:sectPr w:rsidR="00A776ED" w:rsidSect="00A7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67B7"/>
    <w:multiLevelType w:val="hybridMultilevel"/>
    <w:tmpl w:val="7C0A1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43E"/>
    <w:multiLevelType w:val="hybridMultilevel"/>
    <w:tmpl w:val="8348CD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4DDF"/>
    <w:multiLevelType w:val="hybridMultilevel"/>
    <w:tmpl w:val="E3165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595F"/>
    <w:multiLevelType w:val="hybridMultilevel"/>
    <w:tmpl w:val="A6C443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22"/>
    <w:rsid w:val="00015DB4"/>
    <w:rsid w:val="00137173"/>
    <w:rsid w:val="002E04CB"/>
    <w:rsid w:val="005C1E58"/>
    <w:rsid w:val="005C7E22"/>
    <w:rsid w:val="005E3817"/>
    <w:rsid w:val="006730DD"/>
    <w:rsid w:val="007817C9"/>
    <w:rsid w:val="007B1A58"/>
    <w:rsid w:val="00987E2A"/>
    <w:rsid w:val="00A776ED"/>
    <w:rsid w:val="00AB3FFF"/>
    <w:rsid w:val="00C06D23"/>
    <w:rsid w:val="00C30191"/>
    <w:rsid w:val="00C826D4"/>
    <w:rsid w:val="00D807DB"/>
    <w:rsid w:val="00E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0BD2-E22C-499B-B1B8-4CE838F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E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8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nize.cz/banky/8164-raiffeisenbank-a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1881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Kreutzová</dc:creator>
  <cp:lastModifiedBy>Martin Dobeš</cp:lastModifiedBy>
  <cp:revision>4</cp:revision>
  <dcterms:created xsi:type="dcterms:W3CDTF">2017-09-29T13:42:00Z</dcterms:created>
  <dcterms:modified xsi:type="dcterms:W3CDTF">2017-09-29T14:02:00Z</dcterms:modified>
</cp:coreProperties>
</file>