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652EB91E"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ED175D">
        <w:rPr>
          <w:rFonts w:ascii="Aptos" w:hAnsi="Aptos"/>
          <w:b/>
          <w:sz w:val="28"/>
          <w:szCs w:val="28"/>
        </w:rPr>
        <w:t>0</w:t>
      </w:r>
      <w:r w:rsidR="00867FBF">
        <w:rPr>
          <w:rFonts w:ascii="Aptos" w:hAnsi="Aptos"/>
          <w:b/>
          <w:sz w:val="28"/>
          <w:szCs w:val="28"/>
        </w:rPr>
        <w:t>9</w:t>
      </w:r>
      <w:r w:rsidR="00133495">
        <w:rPr>
          <w:rFonts w:ascii="Aptos" w:hAnsi="Aptos"/>
          <w:b/>
          <w:sz w:val="28"/>
          <w:szCs w:val="28"/>
        </w:rPr>
        <w:t>0</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AB7BA6" w:rsidRDefault="005A34F0" w:rsidP="005A34F0">
      <w:pPr>
        <w:tabs>
          <w:tab w:val="left" w:pos="426"/>
        </w:tabs>
        <w:ind w:left="426" w:hanging="426"/>
        <w:jc w:val="both"/>
        <w:rPr>
          <w:rFonts w:ascii="Aptos" w:hAnsi="Aptos"/>
          <w:b/>
          <w:sz w:val="22"/>
          <w:szCs w:val="22"/>
        </w:rPr>
      </w:pPr>
      <w:r w:rsidRPr="00AB7BA6">
        <w:rPr>
          <w:rFonts w:ascii="Aptos" w:hAnsi="Aptos"/>
          <w:b/>
          <w:sz w:val="22"/>
          <w:szCs w:val="22"/>
        </w:rPr>
        <w:t>1.</w:t>
      </w:r>
      <w:r w:rsidRPr="00AB7BA6">
        <w:rPr>
          <w:rFonts w:ascii="Aptos" w:hAnsi="Aptos"/>
          <w:b/>
          <w:sz w:val="22"/>
          <w:szCs w:val="22"/>
        </w:rPr>
        <w:tab/>
        <w:t>Poskytovatel dotace:</w:t>
      </w:r>
    </w:p>
    <w:p w14:paraId="36931ADD" w14:textId="359FEEFD" w:rsidR="005A34F0" w:rsidRPr="00AB7BA6" w:rsidRDefault="005A34F0" w:rsidP="005A34F0">
      <w:pPr>
        <w:tabs>
          <w:tab w:val="left" w:pos="426"/>
        </w:tabs>
        <w:ind w:left="426" w:hanging="426"/>
        <w:jc w:val="both"/>
        <w:rPr>
          <w:rFonts w:ascii="Aptos" w:hAnsi="Apto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AB7BA6">
        <w:rPr>
          <w:rFonts w:ascii="Aptos" w:hAnsi="Apto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AB7BA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B7BA6">
        <w:rPr>
          <w:rFonts w:ascii="Aptos" w:hAnsi="Aptos"/>
          <w:b/>
          <w:sz w:val="22"/>
          <w:szCs w:val="22"/>
        </w:rPr>
        <w:t>Příjemce dotace:</w:t>
      </w:r>
    </w:p>
    <w:p w14:paraId="3855DD32" w14:textId="77777777" w:rsidR="00133495" w:rsidRPr="00133495" w:rsidRDefault="00E02EF9" w:rsidP="00133495">
      <w:pPr>
        <w:widowControl w:val="0"/>
        <w:tabs>
          <w:tab w:val="left" w:pos="426"/>
        </w:tabs>
        <w:jc w:val="both"/>
        <w:rPr>
          <w:rFonts w:ascii="Aptos" w:hAnsi="Aptos"/>
          <w:sz w:val="22"/>
          <w:szCs w:val="22"/>
        </w:rPr>
      </w:pPr>
      <w:r>
        <w:rPr>
          <w:rFonts w:ascii="Aptos" w:hAnsi="Aptos"/>
          <w:sz w:val="22"/>
          <w:szCs w:val="22"/>
        </w:rPr>
        <w:tab/>
      </w:r>
      <w:r w:rsidR="00133495" w:rsidRPr="00133495">
        <w:rPr>
          <w:rFonts w:ascii="Aptos" w:hAnsi="Aptos"/>
          <w:sz w:val="22"/>
          <w:szCs w:val="22"/>
        </w:rPr>
        <w:t>POST BELLUM, z.ú.,</w:t>
      </w:r>
    </w:p>
    <w:p w14:paraId="5113A7E5" w14:textId="30715A5D" w:rsidR="00133495" w:rsidRPr="00133495" w:rsidRDefault="00133495" w:rsidP="00133495">
      <w:pPr>
        <w:widowControl w:val="0"/>
        <w:tabs>
          <w:tab w:val="left" w:pos="426"/>
        </w:tabs>
        <w:ind w:left="426" w:hanging="426"/>
        <w:jc w:val="both"/>
        <w:rPr>
          <w:rFonts w:ascii="Aptos" w:hAnsi="Aptos"/>
          <w:sz w:val="22"/>
          <w:szCs w:val="22"/>
        </w:rPr>
      </w:pPr>
      <w:r w:rsidRPr="00133495">
        <w:rPr>
          <w:rFonts w:ascii="Aptos" w:hAnsi="Aptos"/>
          <w:sz w:val="22"/>
          <w:szCs w:val="22"/>
        </w:rPr>
        <w:t xml:space="preserve">          sídlo: Španělská 1073/10, Vinohrady, 120 00 Praha 2,</w:t>
      </w:r>
    </w:p>
    <w:p w14:paraId="7A1CE922" w14:textId="105D697D" w:rsidR="00133495" w:rsidRPr="00133495" w:rsidRDefault="00133495" w:rsidP="00133495">
      <w:pPr>
        <w:widowControl w:val="0"/>
        <w:tabs>
          <w:tab w:val="left" w:pos="426"/>
        </w:tabs>
        <w:ind w:left="426" w:hanging="426"/>
        <w:jc w:val="both"/>
        <w:rPr>
          <w:rFonts w:ascii="Aptos" w:hAnsi="Aptos"/>
          <w:sz w:val="22"/>
          <w:szCs w:val="22"/>
        </w:rPr>
      </w:pPr>
      <w:r w:rsidRPr="00133495">
        <w:rPr>
          <w:rFonts w:ascii="Aptos" w:hAnsi="Aptos"/>
          <w:sz w:val="22"/>
          <w:szCs w:val="22"/>
        </w:rPr>
        <w:tab/>
        <w:t xml:space="preserve"> IČO: 26548526,</w:t>
      </w:r>
      <w:r w:rsidRPr="00133495">
        <w:rPr>
          <w:rFonts w:ascii="Aptos" w:hAnsi="Aptos"/>
          <w:sz w:val="22"/>
          <w:szCs w:val="22"/>
        </w:rPr>
        <w:tab/>
      </w:r>
    </w:p>
    <w:p w14:paraId="4228C19A" w14:textId="5AE380C4" w:rsidR="00133495" w:rsidRPr="00133495" w:rsidRDefault="00133495" w:rsidP="00133495">
      <w:pPr>
        <w:widowControl w:val="0"/>
        <w:tabs>
          <w:tab w:val="left" w:pos="426"/>
        </w:tabs>
        <w:ind w:left="426" w:hanging="426"/>
        <w:jc w:val="both"/>
        <w:rPr>
          <w:rFonts w:ascii="Aptos" w:hAnsi="Aptos"/>
          <w:sz w:val="22"/>
          <w:szCs w:val="22"/>
        </w:rPr>
      </w:pPr>
      <w:r>
        <w:rPr>
          <w:rFonts w:ascii="Aptos" w:hAnsi="Aptos"/>
          <w:sz w:val="22"/>
          <w:szCs w:val="22"/>
        </w:rPr>
        <w:tab/>
      </w:r>
      <w:r w:rsidRPr="00133495">
        <w:rPr>
          <w:rFonts w:ascii="Aptos" w:hAnsi="Aptos"/>
          <w:sz w:val="22"/>
          <w:szCs w:val="22"/>
        </w:rPr>
        <w:t xml:space="preserve"> číslo bankovního účtu: 51-1707230277/0100,</w:t>
      </w:r>
    </w:p>
    <w:p w14:paraId="3097FB5A" w14:textId="7C6B97C8" w:rsidR="00133495" w:rsidRPr="00133495" w:rsidRDefault="00133495" w:rsidP="00133495">
      <w:pPr>
        <w:widowControl w:val="0"/>
        <w:tabs>
          <w:tab w:val="left" w:pos="426"/>
        </w:tabs>
        <w:ind w:left="426" w:hanging="426"/>
        <w:jc w:val="both"/>
        <w:rPr>
          <w:rFonts w:ascii="Aptos" w:hAnsi="Aptos"/>
          <w:sz w:val="22"/>
          <w:szCs w:val="22"/>
        </w:rPr>
      </w:pPr>
      <w:r w:rsidRPr="00133495">
        <w:rPr>
          <w:rFonts w:ascii="Aptos" w:hAnsi="Aptos"/>
          <w:sz w:val="22"/>
          <w:szCs w:val="22"/>
        </w:rPr>
        <w:t xml:space="preserve">          zastoupený: PhDr. Liborem Denkem, Ph.D., na základě plné moci udělené dne 23. 9. 2024 p. Mikulášem Kroupou, ředitelem – příloha č. 3,</w:t>
      </w:r>
    </w:p>
    <w:p w14:paraId="21629B61" w14:textId="51926D55" w:rsidR="00B23CE0" w:rsidRPr="00AB7BA6" w:rsidRDefault="00133495" w:rsidP="00133495">
      <w:pPr>
        <w:widowControl w:val="0"/>
        <w:tabs>
          <w:tab w:val="left" w:pos="426"/>
        </w:tabs>
        <w:ind w:left="426" w:hanging="426"/>
        <w:jc w:val="both"/>
        <w:rPr>
          <w:rFonts w:ascii="Aptos" w:hAnsi="Aptos"/>
          <w:sz w:val="22"/>
          <w:szCs w:val="22"/>
        </w:rPr>
      </w:pPr>
      <w:r w:rsidRPr="00133495">
        <w:rPr>
          <w:rFonts w:ascii="Aptos" w:hAnsi="Aptos"/>
          <w:sz w:val="22"/>
          <w:szCs w:val="22"/>
        </w:rPr>
        <w:tab/>
        <w:t>(dále jen „příjemce“),</w:t>
      </w:r>
    </w:p>
    <w:p w14:paraId="3615565F" w14:textId="77777777" w:rsidR="00E47DB4" w:rsidRPr="00AB7BA6" w:rsidRDefault="00E47DB4" w:rsidP="00133495">
      <w:pPr>
        <w:ind w:left="426" w:hanging="426"/>
        <w:rPr>
          <w:rFonts w:ascii="Aptos" w:hAnsi="Aptos"/>
          <w:b/>
        </w:rPr>
      </w:pPr>
    </w:p>
    <w:p w14:paraId="7FF994F0" w14:textId="35C0875A" w:rsidR="005A34F0" w:rsidRPr="00AB7BA6" w:rsidRDefault="005A34F0" w:rsidP="005A34F0">
      <w:pPr>
        <w:jc w:val="center"/>
        <w:rPr>
          <w:rFonts w:ascii="Aptos" w:hAnsi="Aptos"/>
          <w:b/>
        </w:rPr>
      </w:pPr>
      <w:r w:rsidRPr="00AB7BA6">
        <w:rPr>
          <w:rFonts w:ascii="Aptos" w:hAnsi="Aptos"/>
          <w:b/>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5AB25E0D"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413952" w:rsidRPr="00AB7BA6">
        <w:rPr>
          <w:rFonts w:ascii="Aptos" w:hAnsi="Aptos"/>
          <w:sz w:val="22"/>
          <w:szCs w:val="22"/>
        </w:rPr>
        <w:t xml:space="preserve">cestovního ruchu </w:t>
      </w:r>
      <w:r w:rsidR="006D0B9F" w:rsidRPr="00AB7BA6">
        <w:rPr>
          <w:rFonts w:ascii="Aptos" w:hAnsi="Aptos"/>
          <w:sz w:val="22"/>
          <w:szCs w:val="22"/>
        </w:rPr>
        <w:t xml:space="preserve">v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2150</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1BCE09E8" w14:textId="77777777" w:rsidR="005A34F0" w:rsidRPr="00AB7BA6" w:rsidRDefault="005A34F0" w:rsidP="005A34F0">
      <w:pPr>
        <w:tabs>
          <w:tab w:val="left" w:pos="360"/>
        </w:tabs>
        <w:jc w:val="center"/>
        <w:rPr>
          <w:rFonts w:ascii="Aptos" w:hAnsi="Aptos"/>
          <w:sz w:val="22"/>
          <w:szCs w:val="22"/>
        </w:rPr>
      </w:pPr>
    </w:p>
    <w:p w14:paraId="4A5EC35A" w14:textId="77777777" w:rsidR="005A34F0" w:rsidRPr="00AB7BA6" w:rsidRDefault="005A34F0" w:rsidP="005A34F0">
      <w:pPr>
        <w:jc w:val="cente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3F58521A" w:rsidR="005A34F0" w:rsidRPr="006E6984" w:rsidRDefault="005A34F0" w:rsidP="006E6984">
      <w:pPr>
        <w:pStyle w:val="Odstavecseseznamem"/>
        <w:numPr>
          <w:ilvl w:val="0"/>
          <w:numId w:val="24"/>
        </w:numPr>
        <w:ind w:left="284" w:hanging="284"/>
        <w:jc w:val="both"/>
        <w:rPr>
          <w:rFonts w:ascii="Calibri" w:hAnsi="Calibri" w:cs="Calibri"/>
          <w:sz w:val="22"/>
          <w:szCs w:val="22"/>
        </w:rPr>
      </w:pPr>
      <w:r w:rsidRPr="006E6984">
        <w:rPr>
          <w:rFonts w:ascii="Aptos" w:hAnsi="Aptos"/>
          <w:sz w:val="22"/>
          <w:szCs w:val="22"/>
        </w:rPr>
        <w:t>Poskytovatel touto smlouvou poskytuje příjemci</w:t>
      </w:r>
      <w:r w:rsidR="00222A7B" w:rsidRPr="006E6984">
        <w:rPr>
          <w:rFonts w:ascii="Aptos" w:hAnsi="Aptos"/>
          <w:sz w:val="22"/>
          <w:szCs w:val="22"/>
        </w:rPr>
        <w:t xml:space="preserve"> </w:t>
      </w:r>
      <w:r w:rsidRPr="006E6984">
        <w:rPr>
          <w:rFonts w:ascii="Aptos" w:hAnsi="Aptos"/>
          <w:sz w:val="22"/>
          <w:szCs w:val="22"/>
        </w:rPr>
        <w:t>dotaci z Programu podpory</w:t>
      </w:r>
      <w:r w:rsidR="00413952" w:rsidRPr="006E6984">
        <w:rPr>
          <w:rFonts w:ascii="Aptos" w:hAnsi="Aptos"/>
          <w:sz w:val="22"/>
          <w:szCs w:val="22"/>
        </w:rPr>
        <w:t xml:space="preserve"> cestovního ruchu </w:t>
      </w:r>
      <w:r w:rsidR="00413952" w:rsidRPr="00C77C12">
        <w:rPr>
          <w:rFonts w:ascii="Aptos" w:hAnsi="Aptos"/>
          <w:b/>
          <w:bCs/>
          <w:sz w:val="22"/>
          <w:szCs w:val="22"/>
        </w:rPr>
        <w:t>v roce</w:t>
      </w:r>
      <w:r w:rsidRPr="00C77C12">
        <w:rPr>
          <w:rFonts w:ascii="Aptos" w:hAnsi="Aptos"/>
          <w:b/>
          <w:bCs/>
          <w:sz w:val="22"/>
          <w:szCs w:val="22"/>
        </w:rPr>
        <w:t xml:space="preserve"> 20</w:t>
      </w:r>
      <w:r w:rsidR="005C5B41" w:rsidRPr="00C77C12">
        <w:rPr>
          <w:rFonts w:ascii="Aptos" w:hAnsi="Aptos"/>
          <w:b/>
          <w:bCs/>
          <w:sz w:val="22"/>
          <w:szCs w:val="22"/>
        </w:rPr>
        <w:t>2</w:t>
      </w:r>
      <w:r w:rsidR="00413952" w:rsidRPr="00C77C12">
        <w:rPr>
          <w:rFonts w:ascii="Aptos" w:hAnsi="Aptos"/>
          <w:b/>
          <w:bCs/>
          <w:sz w:val="22"/>
          <w:szCs w:val="22"/>
        </w:rPr>
        <w:t>6</w:t>
      </w:r>
      <w:r w:rsidRPr="00C77C12">
        <w:rPr>
          <w:rFonts w:ascii="Aptos" w:hAnsi="Aptos"/>
          <w:b/>
          <w:bCs/>
          <w:sz w:val="22"/>
          <w:szCs w:val="22"/>
        </w:rPr>
        <w:t xml:space="preserve"> ve výši </w:t>
      </w:r>
      <w:r w:rsidR="00C77C12" w:rsidRPr="00C77C12">
        <w:rPr>
          <w:rFonts w:ascii="Aptos" w:hAnsi="Aptos"/>
          <w:b/>
          <w:bCs/>
          <w:sz w:val="22"/>
          <w:szCs w:val="22"/>
        </w:rPr>
        <w:t>89</w:t>
      </w:r>
      <w:r w:rsidR="00E02EF9" w:rsidRPr="00C77C12">
        <w:rPr>
          <w:rFonts w:ascii="Aptos" w:hAnsi="Aptos"/>
          <w:b/>
          <w:bCs/>
          <w:sz w:val="22"/>
          <w:szCs w:val="22"/>
        </w:rPr>
        <w:t>.</w:t>
      </w:r>
      <w:r w:rsidR="00867FBF" w:rsidRPr="00C77C12">
        <w:rPr>
          <w:rFonts w:ascii="Aptos" w:hAnsi="Aptos"/>
          <w:b/>
          <w:bCs/>
          <w:sz w:val="22"/>
          <w:szCs w:val="22"/>
        </w:rPr>
        <w:t>000</w:t>
      </w:r>
      <w:r w:rsidR="00B73C7C" w:rsidRPr="00C77C12">
        <w:rPr>
          <w:rFonts w:ascii="Aptos" w:hAnsi="Aptos"/>
          <w:b/>
          <w:bCs/>
          <w:sz w:val="22"/>
          <w:szCs w:val="22"/>
        </w:rPr>
        <w:t xml:space="preserve"> </w:t>
      </w:r>
      <w:r w:rsidRPr="00C77C12">
        <w:rPr>
          <w:rFonts w:ascii="Aptos" w:hAnsi="Aptos"/>
          <w:b/>
          <w:bCs/>
          <w:sz w:val="22"/>
          <w:szCs w:val="22"/>
        </w:rPr>
        <w:t>Kč (slovy:</w:t>
      </w:r>
      <w:r w:rsidR="002100EF" w:rsidRPr="00C77C12">
        <w:rPr>
          <w:rFonts w:ascii="Aptos" w:hAnsi="Aptos"/>
          <w:b/>
          <w:bCs/>
          <w:sz w:val="22"/>
          <w:szCs w:val="22"/>
        </w:rPr>
        <w:t xml:space="preserve"> </w:t>
      </w:r>
      <w:r w:rsidR="00C77C12" w:rsidRPr="00C77C12">
        <w:rPr>
          <w:rFonts w:ascii="Aptos" w:hAnsi="Aptos"/>
          <w:b/>
          <w:bCs/>
          <w:sz w:val="22"/>
          <w:szCs w:val="22"/>
        </w:rPr>
        <w:t xml:space="preserve">osmdesát devět </w:t>
      </w:r>
      <w:r w:rsidR="00695D82" w:rsidRPr="00C77C12">
        <w:rPr>
          <w:rFonts w:ascii="Aptos" w:hAnsi="Aptos"/>
          <w:b/>
          <w:bCs/>
          <w:sz w:val="22"/>
          <w:szCs w:val="22"/>
        </w:rPr>
        <w:t>tisíc</w:t>
      </w:r>
      <w:r w:rsidR="00EE61BE" w:rsidRPr="00C77C12">
        <w:rPr>
          <w:rFonts w:ascii="Aptos" w:hAnsi="Aptos"/>
          <w:b/>
          <w:bCs/>
          <w:sz w:val="22"/>
          <w:szCs w:val="22"/>
        </w:rPr>
        <w:t xml:space="preserve"> </w:t>
      </w:r>
      <w:r w:rsidR="00362870" w:rsidRPr="00C77C12">
        <w:rPr>
          <w:rFonts w:ascii="Aptos" w:hAnsi="Aptos"/>
          <w:b/>
          <w:bCs/>
          <w:sz w:val="22"/>
          <w:szCs w:val="22"/>
        </w:rPr>
        <w:t>k</w:t>
      </w:r>
      <w:r w:rsidRPr="00C77C12">
        <w:rPr>
          <w:rFonts w:ascii="Aptos" w:hAnsi="Aptos"/>
          <w:b/>
          <w:bCs/>
          <w:sz w:val="22"/>
          <w:szCs w:val="22"/>
        </w:rPr>
        <w:t>orun</w:t>
      </w:r>
      <w:r w:rsidR="00CE6B8B" w:rsidRPr="00C77C12">
        <w:rPr>
          <w:rFonts w:ascii="Aptos" w:hAnsi="Aptos"/>
          <w:b/>
          <w:bCs/>
          <w:sz w:val="22"/>
          <w:szCs w:val="22"/>
        </w:rPr>
        <w:t xml:space="preserve"> </w:t>
      </w:r>
      <w:r w:rsidRPr="00C77C12">
        <w:rPr>
          <w:rFonts w:ascii="Aptos" w:hAnsi="Aptos"/>
          <w:b/>
          <w:bCs/>
          <w:sz w:val="22"/>
          <w:szCs w:val="22"/>
        </w:rPr>
        <w:t xml:space="preserve">českých) na realizaci projektu </w:t>
      </w:r>
      <w:r w:rsidR="00A24577" w:rsidRPr="00C77C12">
        <w:rPr>
          <w:rFonts w:ascii="Aptos" w:hAnsi="Aptos"/>
          <w:b/>
          <w:bCs/>
          <w:sz w:val="22"/>
          <w:szCs w:val="22"/>
        </w:rPr>
        <w:t>„</w:t>
      </w:r>
      <w:r w:rsidR="00C77C12" w:rsidRPr="00C77C12">
        <w:rPr>
          <w:rFonts w:ascii="Aptos" w:hAnsi="Aptos"/>
          <w:b/>
          <w:bCs/>
          <w:sz w:val="22"/>
          <w:szCs w:val="22"/>
        </w:rPr>
        <w:t xml:space="preserve">Institut Paměti národa Pardubice </w:t>
      </w:r>
      <w:r w:rsidR="00C77C12">
        <w:rPr>
          <w:rFonts w:ascii="Aptos" w:hAnsi="Aptos"/>
          <w:b/>
          <w:bCs/>
          <w:sz w:val="22"/>
          <w:szCs w:val="22"/>
        </w:rPr>
        <w:t>-</w:t>
      </w:r>
      <w:r w:rsidR="00C77C12" w:rsidRPr="00C77C12">
        <w:rPr>
          <w:rFonts w:ascii="Aptos" w:hAnsi="Aptos"/>
          <w:b/>
          <w:bCs/>
          <w:sz w:val="22"/>
          <w:szCs w:val="22"/>
        </w:rPr>
        <w:t xml:space="preserve"> expozice Tichá hrdinství</w:t>
      </w:r>
      <w:r w:rsidR="00C77C12">
        <w:rPr>
          <w:rFonts w:ascii="Aptos" w:hAnsi="Aptos"/>
          <w:sz w:val="22"/>
          <w:szCs w:val="22"/>
        </w:rPr>
        <w:t>“ (</w:t>
      </w:r>
      <w:r w:rsidR="001774C3" w:rsidRPr="006E6984">
        <w:rPr>
          <w:rFonts w:ascii="Aptos" w:hAnsi="Aptos" w:cstheme="minorHAnsi"/>
          <w:sz w:val="22"/>
          <w:szCs w:val="22"/>
        </w:rPr>
        <w:t>dále</w:t>
      </w:r>
      <w:r w:rsidRPr="006E6984">
        <w:rPr>
          <w:rFonts w:ascii="Aptos" w:hAnsi="Aptos" w:cstheme="minorHAnsi"/>
          <w:sz w:val="22"/>
          <w:szCs w:val="22"/>
        </w:rPr>
        <w:t xml:space="preserve"> jen </w:t>
      </w:r>
      <w:r w:rsidRPr="006E6984">
        <w:rPr>
          <w:rFonts w:ascii="Aptos" w:hAnsi="Aptos" w:cstheme="minorHAnsi"/>
          <w:i/>
          <w:sz w:val="22"/>
          <w:szCs w:val="22"/>
        </w:rPr>
        <w:t>„projekt“</w:t>
      </w:r>
      <w:r w:rsidRPr="006E6984">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67DE4495" w14:textId="4C82FFF5" w:rsidR="005A34F0" w:rsidRPr="00AB7BA6" w:rsidRDefault="00606EDE" w:rsidP="00E02EF9">
      <w:pPr>
        <w:ind w:left="284"/>
        <w:jc w:val="both"/>
        <w:rPr>
          <w:rFonts w:ascii="Aptos" w:hAnsi="Aptos"/>
          <w:sz w:val="22"/>
          <w:szCs w:val="22"/>
        </w:rPr>
      </w:pPr>
      <w:r w:rsidRPr="00AB7BA6">
        <w:rPr>
          <w:rFonts w:ascii="Aptos" w:hAnsi="Aptos"/>
          <w:sz w:val="22"/>
          <w:szCs w:val="22"/>
        </w:rPr>
        <w:t xml:space="preserve"> </w:t>
      </w:r>
    </w:p>
    <w:p w14:paraId="2173EF81" w14:textId="77777777" w:rsidR="00E47DB4" w:rsidRPr="00AB7BA6" w:rsidRDefault="00E47DB4" w:rsidP="005A34F0">
      <w:pPr>
        <w:ind w:left="720"/>
        <w:jc w:val="both"/>
        <w:rPr>
          <w:rFonts w:ascii="Aptos" w:hAnsi="Aptos"/>
          <w:sz w:val="22"/>
          <w:szCs w:val="22"/>
        </w:rPr>
      </w:pP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15C2D7C0"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E02EF9">
        <w:rPr>
          <w:rFonts w:ascii="Aptos" w:hAnsi="Aptos"/>
          <w:b/>
          <w:sz w:val="22"/>
          <w:szCs w:val="22"/>
        </w:rPr>
        <w:t>12</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42AB5218" w14:textId="77777777" w:rsidR="005A34F0" w:rsidRPr="00AB7BA6" w:rsidRDefault="005A34F0" w:rsidP="000C7CA7">
      <w:pPr>
        <w:jc w:val="both"/>
        <w:rPr>
          <w:rFonts w:ascii="Aptos" w:hAnsi="Aptos"/>
          <w:sz w:val="22"/>
          <w:szCs w:val="22"/>
        </w:rPr>
      </w:pP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2CC0CBA4"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C77C12">
        <w:rPr>
          <w:rFonts w:ascii="Aptos" w:hAnsi="Aptos"/>
          <w:sz w:val="22"/>
          <w:szCs w:val="22"/>
        </w:rPr>
        <w:t>27. 1</w:t>
      </w:r>
      <w:r w:rsidR="00413952" w:rsidRPr="00AB7BA6">
        <w:rPr>
          <w:rFonts w:ascii="Aptos" w:hAnsi="Aptos"/>
          <w:sz w:val="22"/>
          <w:szCs w:val="22"/>
        </w:rPr>
        <w:t>. 2026</w:t>
      </w:r>
      <w:r w:rsidR="006D0B9F" w:rsidRPr="00AB7BA6">
        <w:rPr>
          <w:rFonts w:ascii="Aptos" w:hAnsi="Aptos"/>
          <w:sz w:val="22"/>
          <w:szCs w:val="22"/>
        </w:rPr>
        <w:t xml:space="preserve"> </w:t>
      </w:r>
      <w:r w:rsidRPr="00AB7BA6">
        <w:rPr>
          <w:rFonts w:ascii="Aptos" w:hAnsi="Aptos"/>
          <w:sz w:val="22"/>
          <w:szCs w:val="22"/>
        </w:rPr>
        <w:t>a zaevidované poskytovatelem pod č.j.</w:t>
      </w:r>
      <w:r w:rsidR="00E02EF9" w:rsidRPr="00E02EF9">
        <w:t xml:space="preserve"> </w:t>
      </w:r>
      <w:r w:rsidR="00C77C12" w:rsidRPr="00C77C12">
        <w:rPr>
          <w:rFonts w:ascii="Aptos" w:hAnsi="Aptos"/>
          <w:sz w:val="22"/>
          <w:szCs w:val="22"/>
        </w:rPr>
        <w:t>MmP 15870/2026</w:t>
      </w:r>
      <w:r w:rsidR="003B4AAA" w:rsidRPr="00AB7BA6">
        <w:rPr>
          <w:rFonts w:ascii="Aptos" w:hAnsi="Aptos"/>
          <w:sz w:val="22"/>
          <w:szCs w:val="22"/>
        </w:rPr>
        <w:t xml:space="preserve">, </w:t>
      </w:r>
      <w:r w:rsidRPr="00AB7BA6">
        <w:rPr>
          <w:rFonts w:ascii="Aptos" w:hAnsi="Aptos"/>
          <w:sz w:val="22"/>
          <w:szCs w:val="22"/>
        </w:rPr>
        <w:t>vyúčtovat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24CB57BF"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E02EF9">
        <w:rPr>
          <w:rFonts w:ascii="Aptos" w:hAnsi="Aptos"/>
          <w:b/>
          <w:bCs/>
          <w:sz w:val="22"/>
          <w:szCs w:val="22"/>
        </w:rPr>
        <w:t>12</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AB7BA6" w:rsidRDefault="005A34F0" w:rsidP="005A34F0">
      <w:pPr>
        <w:tabs>
          <w:tab w:val="left" w:pos="426"/>
        </w:tabs>
        <w:jc w:val="both"/>
        <w:rPr>
          <w:rFonts w:ascii="Aptos" w:hAnsi="Aptos"/>
          <w:sz w:val="22"/>
          <w:szCs w:val="22"/>
        </w:rPr>
      </w:pP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356A66E3"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E02EF9">
        <w:rPr>
          <w:rFonts w:ascii="Aptos" w:hAnsi="Aptos"/>
          <w:b/>
          <w:sz w:val="22"/>
          <w:szCs w:val="22"/>
        </w:rPr>
        <w:t>12</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1A1BA77D"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E02EF9">
        <w:rPr>
          <w:rFonts w:ascii="Aptos" w:hAnsi="Aptos"/>
          <w:b/>
          <w:sz w:val="22"/>
          <w:szCs w:val="22"/>
        </w:rPr>
        <w:t>12</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18BDD2F3"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w:t>
      </w:r>
      <w:r w:rsidR="00E02EF9">
        <w:rPr>
          <w:rFonts w:ascii="Aptos" w:hAnsi="Aptos"/>
          <w:b/>
          <w:sz w:val="22"/>
          <w:szCs w:val="22"/>
        </w:rPr>
        <w:t>12</w:t>
      </w:r>
      <w:r w:rsidR="0022448A" w:rsidRPr="00AB7BA6">
        <w:rPr>
          <w:rFonts w:ascii="Aptos" w:hAnsi="Aptos"/>
          <w:b/>
          <w:sz w:val="22"/>
          <w:szCs w:val="22"/>
        </w:rPr>
        <w:t xml:space="preserve">.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B7BA6" w:rsidRDefault="00CB32A7" w:rsidP="005A34F0">
      <w:pPr>
        <w:jc w:val="both"/>
        <w:rPr>
          <w:rFonts w:ascii="Aptos" w:hAnsi="Aptos"/>
          <w:sz w:val="22"/>
          <w:szCs w:val="22"/>
        </w:rPr>
      </w:pP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lastRenderedPageBreak/>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2738D80E" w14:textId="4AC54F80" w:rsidR="008B3322" w:rsidRPr="00AB7BA6" w:rsidRDefault="008B3322" w:rsidP="005A34F0">
      <w:pPr>
        <w:jc w:val="both"/>
        <w:rPr>
          <w:rFonts w:ascii="Aptos" w:hAnsi="Aptos"/>
          <w:sz w:val="22"/>
          <w:szCs w:val="22"/>
        </w:rPr>
      </w:pP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E6EA28" w14:textId="5B81DDDE"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2F514A32" w14:textId="77777777" w:rsidR="00472F90" w:rsidRPr="00AB7BA6" w:rsidRDefault="00472F90" w:rsidP="00E47DB4">
      <w:pPr>
        <w:suppressAutoHyphens/>
        <w:spacing w:before="60"/>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2175FA1" w14:textId="77777777" w:rsidR="00E47DB4" w:rsidRPr="00AB7BA6" w:rsidRDefault="00E47DB4" w:rsidP="00AB7BA6">
      <w:pPr>
        <w:keepLines/>
        <w:jc w:val="both"/>
        <w:rPr>
          <w:rFonts w:ascii="Aptos" w:hAnsi="Aptos"/>
          <w:sz w:val="22"/>
          <w:szCs w:val="22"/>
        </w:rPr>
      </w:pP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45046CBB"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AB7BA6" w:rsidRDefault="00E47DB4" w:rsidP="00E47DB4">
      <w:pPr>
        <w:tabs>
          <w:tab w:val="num" w:pos="426"/>
        </w:tabs>
        <w:ind w:left="426" w:hanging="426"/>
        <w:jc w:val="both"/>
        <w:rPr>
          <w:rFonts w:ascii="Aptos" w:hAnsi="Aptos"/>
          <w:sz w:val="22"/>
          <w:szCs w:val="22"/>
        </w:rPr>
      </w:pPr>
    </w:p>
    <w:p w14:paraId="10F67C41"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AB7BA6" w:rsidRDefault="00E47DB4" w:rsidP="00E47DB4">
      <w:pPr>
        <w:tabs>
          <w:tab w:val="num" w:pos="426"/>
        </w:tabs>
        <w:ind w:left="426" w:hanging="426"/>
        <w:jc w:val="both"/>
        <w:rPr>
          <w:rFonts w:ascii="Aptos" w:hAnsi="Aptos"/>
          <w:sz w:val="22"/>
          <w:szCs w:val="22"/>
        </w:rPr>
      </w:pPr>
    </w:p>
    <w:p w14:paraId="15FC8DEF"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AB7BA6" w:rsidRDefault="00E47DB4" w:rsidP="00E47DB4">
      <w:pPr>
        <w:tabs>
          <w:tab w:val="num" w:pos="426"/>
        </w:tabs>
        <w:ind w:left="426" w:hanging="426"/>
        <w:jc w:val="both"/>
        <w:rPr>
          <w:rFonts w:ascii="Aptos" w:hAnsi="Aptos"/>
          <w:sz w:val="22"/>
          <w:szCs w:val="22"/>
        </w:rPr>
      </w:pPr>
    </w:p>
    <w:p w14:paraId="1DF573A2"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AB7BA6" w:rsidRDefault="00E47DB4" w:rsidP="00E47DB4">
      <w:pPr>
        <w:tabs>
          <w:tab w:val="num" w:pos="426"/>
        </w:tabs>
        <w:ind w:left="426" w:hanging="426"/>
        <w:jc w:val="both"/>
        <w:rPr>
          <w:rFonts w:ascii="Aptos" w:hAnsi="Aptos"/>
          <w:sz w:val="22"/>
          <w:szCs w:val="22"/>
        </w:rPr>
      </w:pPr>
    </w:p>
    <w:p w14:paraId="7ED7D2F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AB7BA6" w:rsidRDefault="00E47DB4" w:rsidP="00E47DB4">
      <w:pPr>
        <w:tabs>
          <w:tab w:val="num" w:pos="426"/>
        </w:tabs>
        <w:ind w:left="426" w:hanging="426"/>
        <w:jc w:val="both"/>
        <w:rPr>
          <w:rFonts w:ascii="Aptos" w:hAnsi="Aptos"/>
          <w:sz w:val="22"/>
          <w:szCs w:val="22"/>
        </w:rPr>
      </w:pPr>
    </w:p>
    <w:p w14:paraId="6C66AEC6" w14:textId="4F118113" w:rsidR="00E47DB4" w:rsidRPr="00AB7BA6"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3A4BD911" w14:textId="77777777" w:rsidR="00E47DB4" w:rsidRPr="00AB7BA6" w:rsidRDefault="00E47DB4" w:rsidP="00E47DB4">
      <w:pPr>
        <w:tabs>
          <w:tab w:val="num" w:pos="426"/>
        </w:tabs>
        <w:ind w:left="426" w:hanging="426"/>
        <w:jc w:val="both"/>
        <w:rPr>
          <w:rFonts w:ascii="Aptos" w:hAnsi="Aptos"/>
          <w:sz w:val="22"/>
          <w:szCs w:val="22"/>
        </w:rPr>
      </w:pPr>
    </w:p>
    <w:p w14:paraId="0AD333D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AB7BA6" w:rsidRDefault="00E47DB4" w:rsidP="00E47DB4">
      <w:pPr>
        <w:tabs>
          <w:tab w:val="num" w:pos="426"/>
        </w:tabs>
        <w:ind w:left="426" w:hanging="426"/>
        <w:jc w:val="both"/>
        <w:rPr>
          <w:rFonts w:ascii="Aptos" w:hAnsi="Aptos"/>
          <w:sz w:val="22"/>
          <w:szCs w:val="22"/>
        </w:rPr>
      </w:pPr>
    </w:p>
    <w:p w14:paraId="09D42184"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AB7BA6" w:rsidRDefault="00E47DB4" w:rsidP="00E47DB4">
      <w:pPr>
        <w:tabs>
          <w:tab w:val="num" w:pos="426"/>
        </w:tabs>
        <w:ind w:left="426" w:hanging="426"/>
        <w:jc w:val="both"/>
        <w:rPr>
          <w:rFonts w:ascii="Aptos" w:hAnsi="Aptos"/>
          <w:sz w:val="22"/>
          <w:szCs w:val="22"/>
        </w:rPr>
      </w:pPr>
    </w:p>
    <w:p w14:paraId="0F40E0AE"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46F83692" w14:textId="77777777" w:rsidR="00AB7BA6" w:rsidRPr="00AB7BA6" w:rsidRDefault="00AB7BA6" w:rsidP="00AB7BA6">
      <w:pPr>
        <w:pStyle w:val="Odstavecseseznamem"/>
        <w:rPr>
          <w:rFonts w:ascii="Aptos" w:hAnsi="Aptos"/>
          <w:sz w:val="22"/>
          <w:szCs w:val="22"/>
        </w:rPr>
      </w:pPr>
    </w:p>
    <w:p w14:paraId="7809D13D"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AB7BA6">
        <w:rPr>
          <w:rFonts w:ascii="Aptos" w:hAnsi="Aptos"/>
          <w:sz w:val="22"/>
          <w:szCs w:val="22"/>
        </w:rPr>
        <w:lastRenderedPageBreak/>
        <w:t xml:space="preserve">podoby smlouvy se smlouva vyhotovuje v jednom elektronickém vyhotovení s připojenými digitálními podpisy obou smluvních stran. </w:t>
      </w:r>
    </w:p>
    <w:p w14:paraId="2BAD1868" w14:textId="77777777" w:rsidR="00AB7BA6" w:rsidRPr="00AB7BA6" w:rsidRDefault="00AB7BA6" w:rsidP="00AB7BA6">
      <w:pPr>
        <w:pStyle w:val="Odstavecseseznamem"/>
        <w:rPr>
          <w:rFonts w:ascii="Aptos" w:hAnsi="Aptos"/>
          <w:sz w:val="22"/>
          <w:szCs w:val="22"/>
        </w:rPr>
      </w:pPr>
    </w:p>
    <w:p w14:paraId="543EF538" w14:textId="754BCD24" w:rsidR="00E47DB4"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340B31" w14:textId="2A8E2260" w:rsidR="000C7CA7" w:rsidRPr="00AB7BA6" w:rsidRDefault="00E47DB4" w:rsidP="005A34F0">
      <w:pPr>
        <w:jc w:val="both"/>
        <w:rPr>
          <w:rFonts w:ascii="Aptos" w:hAnsi="Aptos"/>
          <w:sz w:val="22"/>
          <w:szCs w:val="22"/>
        </w:rPr>
      </w:pPr>
      <w:r w:rsidRPr="00AB7BA6">
        <w:rPr>
          <w:rFonts w:ascii="Aptos" w:hAnsi="Aptos"/>
          <w:sz w:val="22"/>
          <w:szCs w:val="22"/>
        </w:rPr>
        <w:t xml:space="preserve"> </w:t>
      </w:r>
    </w:p>
    <w:p w14:paraId="33896E99" w14:textId="77777777" w:rsidR="000C7CA7" w:rsidRPr="00AB7BA6" w:rsidRDefault="000C7CA7"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06525222" w14:textId="57082E16" w:rsidR="002B000E" w:rsidRPr="00AB7BA6" w:rsidRDefault="002B000E" w:rsidP="005A34F0">
      <w:pPr>
        <w:jc w:val="both"/>
        <w:rPr>
          <w:rFonts w:ascii="Aptos" w:hAnsi="Aptos"/>
          <w:sz w:val="22"/>
          <w:szCs w:val="22"/>
        </w:rPr>
      </w:pPr>
      <w:r>
        <w:rPr>
          <w:rFonts w:ascii="Aptos" w:hAnsi="Aptos"/>
          <w:sz w:val="22"/>
          <w:szCs w:val="22"/>
        </w:rPr>
        <w:t xml:space="preserve">                  č. 3 – plná moc </w:t>
      </w:r>
    </w:p>
    <w:p w14:paraId="2B9D0225" w14:textId="2D65EBBD" w:rsidR="00160059" w:rsidRPr="00AB7BA6" w:rsidRDefault="00160059" w:rsidP="005A34F0">
      <w:pPr>
        <w:jc w:val="both"/>
        <w:rPr>
          <w:rFonts w:ascii="Aptos" w:hAnsi="Aptos"/>
          <w:sz w:val="22"/>
          <w:szCs w:val="22"/>
        </w:rPr>
      </w:pPr>
    </w:p>
    <w:p w14:paraId="0064FB02" w14:textId="33A95801"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8E42FA">
        <w:rPr>
          <w:rFonts w:ascii="Aptos" w:hAnsi="Aptos"/>
          <w:sz w:val="22"/>
          <w:szCs w:val="22"/>
        </w:rPr>
        <w:t>18.5.2026</w:t>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480AA17" w14:textId="77777777" w:rsidR="00665A3C" w:rsidRPr="00AB7BA6" w:rsidRDefault="00665A3C" w:rsidP="005A34F0">
      <w:pPr>
        <w:rPr>
          <w:rFonts w:ascii="Aptos" w:hAnsi="Aptos"/>
          <w:sz w:val="22"/>
          <w:szCs w:val="22"/>
        </w:rPr>
      </w:pPr>
    </w:p>
    <w:p w14:paraId="355ECFB4" w14:textId="77777777" w:rsidR="000C7CA7" w:rsidRPr="00AB7BA6" w:rsidRDefault="000C7CA7" w:rsidP="005A34F0">
      <w:pPr>
        <w:rPr>
          <w:rFonts w:ascii="Aptos" w:hAnsi="Aptos"/>
          <w:sz w:val="22"/>
          <w:szCs w:val="22"/>
        </w:rPr>
      </w:pPr>
    </w:p>
    <w:p w14:paraId="0A8F2877" w14:textId="77777777" w:rsidR="000C7CA7" w:rsidRPr="00AB7BA6" w:rsidRDefault="000C7CA7"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1ACA4325" w14:textId="77777777" w:rsidR="00E47DB4" w:rsidRPr="00AB7BA6" w:rsidRDefault="00E47DB4" w:rsidP="005A34F0">
      <w:pPr>
        <w:rPr>
          <w:rFonts w:ascii="Aptos" w:hAnsi="Aptos"/>
          <w:sz w:val="22"/>
          <w:szCs w:val="22"/>
        </w:rPr>
      </w:pPr>
    </w:p>
    <w:p w14:paraId="398A5273" w14:textId="77777777" w:rsidR="000C7CA7" w:rsidRPr="00AB7BA6" w:rsidRDefault="000C7CA7"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024CB895" w14:textId="385E4704" w:rsidR="009316E7" w:rsidRPr="00AB7BA6" w:rsidRDefault="005A34F0" w:rsidP="005A34F0">
      <w:pPr>
        <w:rPr>
          <w:rFonts w:ascii="Aptos" w:hAnsi="Aptos"/>
          <w:sz w:val="22"/>
          <w:szCs w:val="22"/>
        </w:rPr>
      </w:pPr>
      <w:r w:rsidRPr="00AB7BA6">
        <w:rPr>
          <w:rFonts w:ascii="Aptos" w:hAnsi="Aptos"/>
          <w:sz w:val="22"/>
          <w:szCs w:val="22"/>
        </w:rPr>
        <w:tab/>
        <w:t>Mgr. Ivana Liedermanová</w:t>
      </w:r>
      <w:r w:rsidRPr="00AB7BA6">
        <w:rPr>
          <w:rFonts w:ascii="Aptos" w:hAnsi="Aptos"/>
          <w:sz w:val="22"/>
          <w:szCs w:val="22"/>
        </w:rPr>
        <w:tab/>
      </w:r>
      <w:r w:rsidR="00C77C12">
        <w:rPr>
          <w:rFonts w:ascii="Aptos" w:hAnsi="Aptos"/>
          <w:sz w:val="22"/>
          <w:szCs w:val="22"/>
        </w:rPr>
        <w:tab/>
      </w:r>
      <w:r w:rsidR="00C77C12">
        <w:rPr>
          <w:rFonts w:ascii="Aptos" w:hAnsi="Aptos"/>
          <w:sz w:val="22"/>
          <w:szCs w:val="22"/>
        </w:rPr>
        <w:tab/>
      </w:r>
      <w:r w:rsidR="00C77C12">
        <w:rPr>
          <w:rFonts w:ascii="Aptos" w:hAnsi="Aptos"/>
          <w:sz w:val="22"/>
          <w:szCs w:val="22"/>
        </w:rPr>
        <w:tab/>
        <w:t xml:space="preserve"> </w:t>
      </w:r>
      <w:r w:rsidR="00C77C12" w:rsidRPr="00133495">
        <w:rPr>
          <w:rFonts w:ascii="Aptos" w:hAnsi="Aptos"/>
          <w:sz w:val="22"/>
          <w:szCs w:val="22"/>
        </w:rPr>
        <w:t>PhDr. Libor Denk, Ph.D</w:t>
      </w:r>
      <w:r w:rsidR="00C77C12">
        <w:rPr>
          <w:rFonts w:ascii="Aptos" w:hAnsi="Aptos"/>
          <w:sz w:val="22"/>
          <w:szCs w:val="22"/>
        </w:rPr>
        <w:t>.</w:t>
      </w:r>
      <w:r w:rsidR="00DD03AE" w:rsidRPr="00AB7BA6">
        <w:rPr>
          <w:rFonts w:ascii="Aptos" w:hAnsi="Aptos"/>
          <w:sz w:val="22"/>
          <w:szCs w:val="22"/>
        </w:rPr>
        <w:tab/>
      </w:r>
      <w:r w:rsidR="00DD03AE" w:rsidRPr="00AB7BA6">
        <w:rPr>
          <w:rFonts w:ascii="Aptos" w:hAnsi="Aptos"/>
          <w:sz w:val="22"/>
          <w:szCs w:val="22"/>
        </w:rPr>
        <w:tab/>
      </w:r>
      <w:r w:rsidR="00867FBF">
        <w:rPr>
          <w:rFonts w:ascii="Aptos" w:hAnsi="Aptos"/>
          <w:sz w:val="22"/>
          <w:szCs w:val="22"/>
        </w:rPr>
        <w:tab/>
      </w:r>
    </w:p>
    <w:p w14:paraId="63C57170" w14:textId="77777777" w:rsidR="009316E7" w:rsidRPr="00AB7BA6"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44B8993A" w14:textId="77777777" w:rsidR="00AB7BA6" w:rsidRDefault="00AB7BA6" w:rsidP="005A34F0">
      <w:pPr>
        <w:rPr>
          <w:rFonts w:ascii="Aptos" w:hAnsi="Aptos"/>
          <w:sz w:val="22"/>
          <w:szCs w:val="22"/>
        </w:rPr>
      </w:pPr>
    </w:p>
    <w:p w14:paraId="07981403" w14:textId="77777777" w:rsidR="00AB7BA6" w:rsidRDefault="00AB7BA6" w:rsidP="005A34F0">
      <w:pPr>
        <w:rPr>
          <w:rFonts w:ascii="Aptos" w:hAnsi="Aptos"/>
          <w:sz w:val="22"/>
          <w:szCs w:val="22"/>
        </w:rPr>
      </w:pPr>
    </w:p>
    <w:p w14:paraId="0CC18274" w14:textId="77777777" w:rsidR="00AB7BA6" w:rsidRDefault="00AB7BA6" w:rsidP="005A34F0">
      <w:pPr>
        <w:rPr>
          <w:rFonts w:ascii="Aptos" w:hAnsi="Aptos"/>
          <w:sz w:val="22"/>
          <w:szCs w:val="22"/>
        </w:rPr>
      </w:pPr>
    </w:p>
    <w:p w14:paraId="4BBA2AD4" w14:textId="77777777" w:rsidR="00AB7BA6" w:rsidRPr="00AB7BA6" w:rsidRDefault="00AB7BA6" w:rsidP="005A34F0">
      <w:pPr>
        <w:rPr>
          <w:rFonts w:ascii="Aptos" w:hAnsi="Aptos"/>
          <w:sz w:val="22"/>
          <w:szCs w:val="22"/>
        </w:rPr>
      </w:pPr>
    </w:p>
    <w:p w14:paraId="34619408" w14:textId="53F8D14A" w:rsidR="005A34F0" w:rsidRPr="00AB7BA6" w:rsidRDefault="005A34F0" w:rsidP="000C7CA7">
      <w:pPr>
        <w:jc w:val="cente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867FBF">
        <w:rPr>
          <w:rFonts w:ascii="Aptos" w:hAnsi="Aptos"/>
          <w:i/>
          <w:iCs/>
          <w:sz w:val="20"/>
          <w:szCs w:val="20"/>
        </w:rPr>
        <w:t xml:space="preserve">R/7392/2026 </w:t>
      </w:r>
      <w:r w:rsidR="00867FBF" w:rsidRPr="00AB7BA6">
        <w:rPr>
          <w:rFonts w:ascii="Aptos" w:hAnsi="Aptos"/>
          <w:i/>
          <w:iCs/>
          <w:sz w:val="20"/>
          <w:szCs w:val="20"/>
        </w:rPr>
        <w:t>ze</w:t>
      </w:r>
      <w:r w:rsidRPr="00AB7BA6">
        <w:rPr>
          <w:rFonts w:ascii="Aptos" w:hAnsi="Aptos"/>
          <w:i/>
          <w:iCs/>
          <w:sz w:val="20"/>
          <w:szCs w:val="20"/>
        </w:rPr>
        <w:t xml:space="preserve"> dne</w:t>
      </w:r>
      <w:r w:rsidR="000C7CA7" w:rsidRPr="00AB7BA6">
        <w:rPr>
          <w:rFonts w:ascii="Aptos" w:hAnsi="Aptos"/>
          <w:i/>
          <w:iCs/>
          <w:sz w:val="20"/>
          <w:szCs w:val="20"/>
        </w:rPr>
        <w:t xml:space="preserve"> </w:t>
      </w:r>
      <w:r w:rsidR="00867FBF">
        <w:rPr>
          <w:rFonts w:ascii="Aptos" w:hAnsi="Aptos"/>
          <w:i/>
          <w:iCs/>
          <w:sz w:val="20"/>
          <w:szCs w:val="20"/>
        </w:rPr>
        <w:t>18</w:t>
      </w:r>
      <w:r w:rsidR="00AB7BA6">
        <w:rPr>
          <w:rFonts w:ascii="Aptos" w:hAnsi="Aptos"/>
          <w:i/>
          <w:iCs/>
          <w:sz w:val="20"/>
          <w:szCs w:val="20"/>
        </w:rPr>
        <w:t>. 3. 2026</w:t>
      </w:r>
    </w:p>
    <w:p w14:paraId="1E78C8F5" w14:textId="5EB746FE" w:rsidR="005A34F0" w:rsidRPr="00AB7BA6" w:rsidRDefault="005A34F0" w:rsidP="005A34F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p w14:paraId="1AC20E83" w14:textId="77777777" w:rsidR="005A34F0" w:rsidRPr="00AB7BA6" w:rsidRDefault="005A34F0" w:rsidP="005A34F0">
      <w:pPr>
        <w:jc w:val="both"/>
        <w:rPr>
          <w:rFonts w:ascii="Aptos" w:hAnsi="Aptos"/>
          <w:sz w:val="20"/>
          <w:szCs w:val="20"/>
        </w:rPr>
      </w:pPr>
    </w:p>
    <w:p w14:paraId="55743304" w14:textId="177AF829" w:rsidR="0018537B" w:rsidRPr="00AB7BA6" w:rsidRDefault="005A34F0" w:rsidP="005A34F0">
      <w:pPr>
        <w:rPr>
          <w:rFonts w:ascii="Aptos" w:hAnsi="Aptos"/>
          <w:sz w:val="20"/>
          <w:szCs w:val="20"/>
        </w:rPr>
      </w:pPr>
      <w:r w:rsidRPr="00AB7BA6">
        <w:rPr>
          <w:rFonts w:ascii="Aptos" w:hAnsi="Aptos"/>
          <w:sz w:val="20"/>
          <w:szCs w:val="20"/>
        </w:rPr>
        <w:tab/>
      </w:r>
      <w:r w:rsidRPr="00AB7BA6">
        <w:rPr>
          <w:rFonts w:ascii="Aptos" w:hAnsi="Aptos"/>
          <w:sz w:val="20"/>
          <w:szCs w:val="20"/>
        </w:rPr>
        <w:tab/>
      </w:r>
      <w:r w:rsidRPr="00AB7BA6">
        <w:rPr>
          <w:rFonts w:ascii="Aptos" w:hAnsi="Aptos"/>
          <w:sz w:val="20"/>
          <w:szCs w:val="20"/>
        </w:rPr>
        <w:tab/>
      </w:r>
    </w:p>
    <w:p w14:paraId="59ACDF1A" w14:textId="77777777" w:rsidR="00410CCA" w:rsidRPr="006D0B9F" w:rsidRDefault="00410CCA" w:rsidP="005A34F0">
      <w:pPr>
        <w:rPr>
          <w:rFonts w:ascii="Aptos" w:hAnsi="Aptos"/>
          <w:sz w:val="20"/>
          <w:szCs w:val="20"/>
        </w:rPr>
      </w:pPr>
    </w:p>
    <w:p w14:paraId="5C3DA9D6" w14:textId="30520CEE" w:rsidR="00AB7BA6" w:rsidRPr="006D0B9F" w:rsidRDefault="00AB7BA6" w:rsidP="00867FBF">
      <w:pPr>
        <w:rPr>
          <w:rFonts w:ascii="Aptos" w:hAnsi="Aptos" w:cstheme="minorHAnsi"/>
          <w:sz w:val="22"/>
          <w:szCs w:val="22"/>
        </w:rPr>
      </w:pPr>
    </w:p>
    <w:sectPr w:rsidR="00AB7BA6" w:rsidRPr="006D0B9F"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190D" w14:textId="77777777" w:rsidR="009F5599" w:rsidRDefault="009F5599">
      <w:r>
        <w:separator/>
      </w:r>
    </w:p>
  </w:endnote>
  <w:endnote w:type="continuationSeparator" w:id="0">
    <w:p w14:paraId="02CD0D35" w14:textId="77777777" w:rsidR="009F5599" w:rsidRDefault="009F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E509" w14:textId="77777777" w:rsidR="009F5599" w:rsidRDefault="009F5599">
      <w:r>
        <w:separator/>
      </w:r>
    </w:p>
  </w:footnote>
  <w:footnote w:type="continuationSeparator" w:id="0">
    <w:p w14:paraId="2FBBBC5F" w14:textId="77777777" w:rsidR="009F5599" w:rsidRDefault="009F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4E4461E"/>
    <w:multiLevelType w:val="hybridMultilevel"/>
    <w:tmpl w:val="7FF2E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1548F"/>
    <w:multiLevelType w:val="hybridMultilevel"/>
    <w:tmpl w:val="69487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5"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4"/>
  </w:num>
  <w:num w:numId="2" w16cid:durableId="715355704">
    <w:abstractNumId w:val="18"/>
  </w:num>
  <w:num w:numId="3" w16cid:durableId="1304232484">
    <w:abstractNumId w:val="4"/>
  </w:num>
  <w:num w:numId="4" w16cid:durableId="1910530119">
    <w:abstractNumId w:val="19"/>
  </w:num>
  <w:num w:numId="5" w16cid:durableId="632641471">
    <w:abstractNumId w:val="5"/>
  </w:num>
  <w:num w:numId="6" w16cid:durableId="251280824">
    <w:abstractNumId w:val="8"/>
  </w:num>
  <w:num w:numId="7" w16cid:durableId="1757553587">
    <w:abstractNumId w:val="17"/>
  </w:num>
  <w:num w:numId="8" w16cid:durableId="248344698">
    <w:abstractNumId w:val="6"/>
  </w:num>
  <w:num w:numId="9" w16cid:durableId="1569684969">
    <w:abstractNumId w:val="11"/>
  </w:num>
  <w:num w:numId="10" w16cid:durableId="1175001906">
    <w:abstractNumId w:val="0"/>
  </w:num>
  <w:num w:numId="11" w16cid:durableId="1839955281">
    <w:abstractNumId w:val="13"/>
  </w:num>
  <w:num w:numId="12" w16cid:durableId="1921064087">
    <w:abstractNumId w:val="16"/>
  </w:num>
  <w:num w:numId="13" w16cid:durableId="1772434055">
    <w:abstractNumId w:val="20"/>
  </w:num>
  <w:num w:numId="14" w16cid:durableId="739521520">
    <w:abstractNumId w:val="9"/>
  </w:num>
  <w:num w:numId="15" w16cid:durableId="1442454136">
    <w:abstractNumId w:val="10"/>
  </w:num>
  <w:num w:numId="16" w16cid:durableId="1155222409">
    <w:abstractNumId w:val="3"/>
  </w:num>
  <w:num w:numId="17" w16cid:durableId="293876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5"/>
  </w:num>
  <w:num w:numId="22" w16cid:durableId="1531259570">
    <w:abstractNumId w:val="15"/>
  </w:num>
  <w:num w:numId="23" w16cid:durableId="1963536275">
    <w:abstractNumId w:val="7"/>
  </w:num>
  <w:num w:numId="24" w16cid:durableId="194206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5990"/>
    <w:rsid w:val="00077B5C"/>
    <w:rsid w:val="00084614"/>
    <w:rsid w:val="00096BB7"/>
    <w:rsid w:val="000975F2"/>
    <w:rsid w:val="000A362C"/>
    <w:rsid w:val="000B3F20"/>
    <w:rsid w:val="000C10C0"/>
    <w:rsid w:val="000C7CA7"/>
    <w:rsid w:val="000E0BAB"/>
    <w:rsid w:val="000F177D"/>
    <w:rsid w:val="000F426E"/>
    <w:rsid w:val="00104C54"/>
    <w:rsid w:val="0011036B"/>
    <w:rsid w:val="0011251E"/>
    <w:rsid w:val="00112530"/>
    <w:rsid w:val="00116902"/>
    <w:rsid w:val="00116F5F"/>
    <w:rsid w:val="001257BD"/>
    <w:rsid w:val="001265D0"/>
    <w:rsid w:val="00127E31"/>
    <w:rsid w:val="00133495"/>
    <w:rsid w:val="0013488D"/>
    <w:rsid w:val="00155979"/>
    <w:rsid w:val="0015701A"/>
    <w:rsid w:val="00160059"/>
    <w:rsid w:val="001644B8"/>
    <w:rsid w:val="00172C05"/>
    <w:rsid w:val="0017416D"/>
    <w:rsid w:val="001774C3"/>
    <w:rsid w:val="00180FF3"/>
    <w:rsid w:val="0018537B"/>
    <w:rsid w:val="00190490"/>
    <w:rsid w:val="001920A2"/>
    <w:rsid w:val="001A0FB5"/>
    <w:rsid w:val="001A23CA"/>
    <w:rsid w:val="001A2BC8"/>
    <w:rsid w:val="001A4776"/>
    <w:rsid w:val="001A6EFF"/>
    <w:rsid w:val="001A7923"/>
    <w:rsid w:val="001B21D5"/>
    <w:rsid w:val="001B31CD"/>
    <w:rsid w:val="001B36D8"/>
    <w:rsid w:val="001B569E"/>
    <w:rsid w:val="001B67D0"/>
    <w:rsid w:val="001B7560"/>
    <w:rsid w:val="001C1856"/>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B000E"/>
    <w:rsid w:val="002D36FB"/>
    <w:rsid w:val="002E32CD"/>
    <w:rsid w:val="00302B2E"/>
    <w:rsid w:val="003034A0"/>
    <w:rsid w:val="003057E9"/>
    <w:rsid w:val="003124C5"/>
    <w:rsid w:val="00313760"/>
    <w:rsid w:val="003138CC"/>
    <w:rsid w:val="003219A8"/>
    <w:rsid w:val="00326DD0"/>
    <w:rsid w:val="0033082C"/>
    <w:rsid w:val="00337CA3"/>
    <w:rsid w:val="003465D5"/>
    <w:rsid w:val="00346B56"/>
    <w:rsid w:val="00362870"/>
    <w:rsid w:val="003727F5"/>
    <w:rsid w:val="00376C1B"/>
    <w:rsid w:val="0037756C"/>
    <w:rsid w:val="0038312D"/>
    <w:rsid w:val="00383BE2"/>
    <w:rsid w:val="0039309F"/>
    <w:rsid w:val="00394BA1"/>
    <w:rsid w:val="00395031"/>
    <w:rsid w:val="003B4AAA"/>
    <w:rsid w:val="003B7680"/>
    <w:rsid w:val="003B7B08"/>
    <w:rsid w:val="003C1891"/>
    <w:rsid w:val="003C289B"/>
    <w:rsid w:val="003C3DE5"/>
    <w:rsid w:val="003C49D1"/>
    <w:rsid w:val="003C6CEB"/>
    <w:rsid w:val="003E0030"/>
    <w:rsid w:val="003F19CB"/>
    <w:rsid w:val="003F21BA"/>
    <w:rsid w:val="003F7F6F"/>
    <w:rsid w:val="00410CCA"/>
    <w:rsid w:val="00413952"/>
    <w:rsid w:val="004156DA"/>
    <w:rsid w:val="004223B2"/>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6D61"/>
    <w:rsid w:val="005271E6"/>
    <w:rsid w:val="00527C55"/>
    <w:rsid w:val="0053489A"/>
    <w:rsid w:val="00541A5B"/>
    <w:rsid w:val="00547393"/>
    <w:rsid w:val="005521D6"/>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E6984"/>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67FBF"/>
    <w:rsid w:val="00873503"/>
    <w:rsid w:val="008761F7"/>
    <w:rsid w:val="00877212"/>
    <w:rsid w:val="008A0FEA"/>
    <w:rsid w:val="008A45A7"/>
    <w:rsid w:val="008A472A"/>
    <w:rsid w:val="008B160E"/>
    <w:rsid w:val="008B27AE"/>
    <w:rsid w:val="008B3322"/>
    <w:rsid w:val="008C25C3"/>
    <w:rsid w:val="008C667C"/>
    <w:rsid w:val="008D4AE5"/>
    <w:rsid w:val="008E154A"/>
    <w:rsid w:val="008E42F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15DB"/>
    <w:rsid w:val="009725B4"/>
    <w:rsid w:val="00973A3B"/>
    <w:rsid w:val="00983600"/>
    <w:rsid w:val="00997AA8"/>
    <w:rsid w:val="009A6B17"/>
    <w:rsid w:val="009A6EF4"/>
    <w:rsid w:val="009A7116"/>
    <w:rsid w:val="009B0D13"/>
    <w:rsid w:val="009B3F3E"/>
    <w:rsid w:val="009B4089"/>
    <w:rsid w:val="009B4B27"/>
    <w:rsid w:val="009C07EC"/>
    <w:rsid w:val="009C7BD1"/>
    <w:rsid w:val="009F1A75"/>
    <w:rsid w:val="009F5599"/>
    <w:rsid w:val="009F78FE"/>
    <w:rsid w:val="00A035D1"/>
    <w:rsid w:val="00A12410"/>
    <w:rsid w:val="00A136E4"/>
    <w:rsid w:val="00A15D4D"/>
    <w:rsid w:val="00A22798"/>
    <w:rsid w:val="00A24577"/>
    <w:rsid w:val="00A27C98"/>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109B"/>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77C12"/>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97BA7"/>
    <w:rsid w:val="00DA084F"/>
    <w:rsid w:val="00DA0CC2"/>
    <w:rsid w:val="00DB00C1"/>
    <w:rsid w:val="00DB13BB"/>
    <w:rsid w:val="00DC5B9C"/>
    <w:rsid w:val="00DD03AE"/>
    <w:rsid w:val="00DD2CA6"/>
    <w:rsid w:val="00DE4EB6"/>
    <w:rsid w:val="00DF6163"/>
    <w:rsid w:val="00E02EF9"/>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1EE9"/>
    <w:rsid w:val="00E94F64"/>
    <w:rsid w:val="00E97600"/>
    <w:rsid w:val="00EA0988"/>
    <w:rsid w:val="00EA1777"/>
    <w:rsid w:val="00EA3F64"/>
    <w:rsid w:val="00EA53F5"/>
    <w:rsid w:val="00EB5DC3"/>
    <w:rsid w:val="00EB79B9"/>
    <w:rsid w:val="00ED175D"/>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A3026"/>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2432</Words>
  <Characters>14355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2026-04-21T08:35:00Z</cp:lastPrinted>
  <dcterms:created xsi:type="dcterms:W3CDTF">2026-04-21T08:35:00Z</dcterms:created>
  <dcterms:modified xsi:type="dcterms:W3CDTF">2026-05-19T08:26:00Z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