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CED6" w14:textId="77777777" w:rsidR="0007214D" w:rsidRDefault="0007214D">
      <w:pPr>
        <w:spacing w:line="1" w:lineRule="exact"/>
      </w:pPr>
    </w:p>
    <w:p w14:paraId="055EB60C" w14:textId="77777777" w:rsidR="0007214D" w:rsidRDefault="00000000">
      <w:pPr>
        <w:pStyle w:val="Nadpis20"/>
        <w:framePr w:w="9180" w:h="367" w:hRule="exact" w:wrap="none" w:vAnchor="page" w:hAnchor="page" w:x="1427" w:y="1448"/>
        <w:spacing w:after="0" w:line="240" w:lineRule="auto"/>
        <w:ind w:left="0" w:firstLine="0"/>
        <w:jc w:val="center"/>
        <w:rPr>
          <w:sz w:val="30"/>
          <w:szCs w:val="30"/>
        </w:rPr>
      </w:pPr>
      <w:bookmarkStart w:id="0" w:name="bookmark0"/>
      <w:r>
        <w:rPr>
          <w:b/>
          <w:bCs/>
          <w:sz w:val="30"/>
          <w:szCs w:val="30"/>
        </w:rPr>
        <w:t>Směnná smlouva</w:t>
      </w:r>
      <w:bookmarkEnd w:id="0"/>
    </w:p>
    <w:p w14:paraId="1D7A96B8" w14:textId="77777777" w:rsidR="0007214D" w:rsidRDefault="00000000">
      <w:pPr>
        <w:pStyle w:val="Zkladntext1"/>
        <w:framePr w:w="9180" w:h="259" w:hRule="exact" w:wrap="none" w:vAnchor="page" w:hAnchor="page" w:x="1427" w:y="2164"/>
        <w:spacing w:after="0" w:line="240" w:lineRule="auto"/>
        <w:jc w:val="center"/>
      </w:pPr>
      <w:r>
        <w:t>uzavřená podle ustanovení § 2184 a násl. zákona č. 89/2012 Sb., občanský zákoník</w:t>
      </w:r>
    </w:p>
    <w:p w14:paraId="02F4D8B4" w14:textId="77777777" w:rsidR="0007214D" w:rsidRDefault="00000000">
      <w:pPr>
        <w:pStyle w:val="Nadpis40"/>
        <w:framePr w:w="9180" w:h="277" w:hRule="exact" w:wrap="none" w:vAnchor="page" w:hAnchor="page" w:x="1427" w:y="2712"/>
        <w:spacing w:after="0" w:line="240" w:lineRule="auto"/>
      </w:pPr>
      <w:bookmarkStart w:id="1" w:name="bookmark2"/>
      <w:r>
        <w:t>Smluvní strany</w:t>
      </w:r>
      <w:bookmarkEnd w:id="1"/>
    </w:p>
    <w:p w14:paraId="062A2C4A" w14:textId="77777777" w:rsidR="0007214D" w:rsidRDefault="00000000">
      <w:pPr>
        <w:pStyle w:val="Zkladntext1"/>
        <w:framePr w:wrap="none" w:vAnchor="page" w:hAnchor="page" w:x="1427" w:y="3770"/>
        <w:spacing w:after="0" w:line="240" w:lineRule="auto"/>
      </w:pPr>
      <w:r>
        <w:rPr>
          <w:b/>
          <w:bCs/>
        </w:rPr>
        <w:t>Statutární město Pardubice</w:t>
      </w:r>
    </w:p>
    <w:p w14:paraId="1AF1BD86" w14:textId="77777777" w:rsidR="0007214D" w:rsidRDefault="00000000">
      <w:pPr>
        <w:pStyle w:val="Zkladntext1"/>
        <w:framePr w:w="1231" w:h="1019" w:hRule="exact" w:wrap="none" w:vAnchor="page" w:hAnchor="page" w:x="1427" w:y="4098"/>
        <w:spacing w:after="0" w:line="262" w:lineRule="auto"/>
      </w:pPr>
      <w:r>
        <w:t>se sídlem:</w:t>
      </w:r>
      <w:r>
        <w:br/>
        <w:t>zastoupené:</w:t>
      </w:r>
      <w:r>
        <w:br/>
        <w:t>IČO:</w:t>
      </w:r>
      <w:r>
        <w:br/>
        <w:t>DIČ:</w:t>
      </w:r>
    </w:p>
    <w:p w14:paraId="47006F59" w14:textId="77777777" w:rsidR="0007214D" w:rsidRDefault="00000000">
      <w:pPr>
        <w:pStyle w:val="Zkladntext1"/>
        <w:framePr w:w="9180" w:h="1015" w:hRule="exact" w:wrap="none" w:vAnchor="page" w:hAnchor="page" w:x="1427" w:y="4108"/>
        <w:spacing w:after="0" w:line="259" w:lineRule="auto"/>
        <w:ind w:left="2138" w:firstLine="40"/>
      </w:pPr>
      <w:r>
        <w:t>Pernštýnské náměstí 1, Pardubice - Staré „Město, 530 02 Pardubice</w:t>
      </w:r>
      <w:r>
        <w:br/>
        <w:t>Bc. Janem Nadrchalem, primátorem města</w:t>
      </w:r>
      <w:r>
        <w:br/>
        <w:t>00274046</w:t>
      </w:r>
    </w:p>
    <w:p w14:paraId="76BC8454" w14:textId="77777777" w:rsidR="0007214D" w:rsidRDefault="00000000">
      <w:pPr>
        <w:pStyle w:val="Zkladntext1"/>
        <w:framePr w:w="9180" w:h="1015" w:hRule="exact" w:wrap="none" w:vAnchor="page" w:hAnchor="page" w:x="1427" w:y="4108"/>
        <w:spacing w:after="0" w:line="259" w:lineRule="auto"/>
        <w:ind w:left="1498" w:firstLine="640"/>
      </w:pPr>
      <w:r>
        <w:t>CZ00274046</w:t>
      </w:r>
    </w:p>
    <w:p w14:paraId="392D8EB1" w14:textId="77777777" w:rsidR="0007214D" w:rsidRDefault="00000000">
      <w:pPr>
        <w:pStyle w:val="Zkladntext1"/>
        <w:framePr w:w="9180" w:h="749" w:hRule="exact" w:wrap="none" w:vAnchor="page" w:hAnchor="page" w:x="1427" w:y="5340"/>
        <w:spacing w:after="260" w:line="240" w:lineRule="auto"/>
      </w:pPr>
      <w:r>
        <w:t xml:space="preserve">dále jen </w:t>
      </w:r>
      <w:r>
        <w:rPr>
          <w:b/>
          <w:bCs/>
        </w:rPr>
        <w:t>„„Město““</w:t>
      </w:r>
    </w:p>
    <w:p w14:paraId="23C7DFAA" w14:textId="77777777" w:rsidR="0007214D" w:rsidRDefault="00000000">
      <w:pPr>
        <w:pStyle w:val="Zkladntext1"/>
        <w:framePr w:w="9180" w:h="749" w:hRule="exact" w:wrap="none" w:vAnchor="page" w:hAnchor="page" w:x="1427" w:y="5340"/>
        <w:spacing w:after="0" w:line="240" w:lineRule="auto"/>
      </w:pPr>
      <w:r>
        <w:rPr>
          <w:b/>
          <w:bCs/>
        </w:rPr>
        <w:t>a</w:t>
      </w:r>
    </w:p>
    <w:p w14:paraId="45DC3B8C" w14:textId="77777777" w:rsidR="0007214D" w:rsidRDefault="00000000">
      <w:pPr>
        <w:pStyle w:val="Zkladntext1"/>
        <w:framePr w:wrap="none" w:vAnchor="page" w:hAnchor="page" w:x="1427" w:y="6376"/>
        <w:spacing w:after="0" w:line="240" w:lineRule="auto"/>
      </w:pPr>
      <w:r>
        <w:rPr>
          <w:b/>
          <w:bCs/>
        </w:rPr>
        <w:t>TJ Tesla Pardubice, z.s.</w:t>
      </w:r>
    </w:p>
    <w:p w14:paraId="2CE54BF1" w14:textId="77777777" w:rsidR="0007214D" w:rsidRDefault="00000000">
      <w:pPr>
        <w:pStyle w:val="Zkladntext1"/>
        <w:framePr w:w="1588" w:h="1102" w:hRule="exact" w:wrap="none" w:vAnchor="page" w:hAnchor="page" w:x="1431" w:y="6751"/>
        <w:spacing w:after="0" w:line="283" w:lineRule="auto"/>
      </w:pPr>
      <w:r>
        <w:t>se sídlem:</w:t>
      </w:r>
      <w:r>
        <w:br/>
        <w:t>zastoupený:</w:t>
      </w:r>
      <w:r>
        <w:br/>
        <w:t>IČO:</w:t>
      </w:r>
    </w:p>
    <w:p w14:paraId="739F2D78" w14:textId="77777777" w:rsidR="0007214D" w:rsidRDefault="00000000">
      <w:pPr>
        <w:pStyle w:val="Zkladntext1"/>
        <w:framePr w:w="1588" w:h="1102" w:hRule="exact" w:wrap="none" w:vAnchor="page" w:hAnchor="page" w:x="1431" w:y="6751"/>
        <w:spacing w:after="0" w:line="283" w:lineRule="auto"/>
      </w:pPr>
      <w:r>
        <w:t>zápis v rejstříku:</w:t>
      </w:r>
    </w:p>
    <w:p w14:paraId="3CA05B64" w14:textId="77777777" w:rsidR="0007214D" w:rsidRDefault="00000000">
      <w:pPr>
        <w:pStyle w:val="Zkladntext1"/>
        <w:framePr w:w="9180" w:h="1354" w:hRule="exact" w:wrap="none" w:vAnchor="page" w:hAnchor="page" w:x="1427" w:y="6762"/>
        <w:spacing w:after="0"/>
        <w:ind w:left="1769" w:firstLine="380"/>
      </w:pPr>
      <w:r>
        <w:t>K Vinici 1901,530 02 Pardubice-Zelené Předměstí</w:t>
      </w:r>
    </w:p>
    <w:p w14:paraId="6EDEDC79" w14:textId="77777777" w:rsidR="0007214D" w:rsidRDefault="00000000">
      <w:pPr>
        <w:pStyle w:val="Zkladntext1"/>
        <w:framePr w:w="9180" w:h="1354" w:hRule="exact" w:wrap="none" w:vAnchor="page" w:hAnchor="page" w:x="1427" w:y="6762"/>
        <w:spacing w:after="0"/>
        <w:ind w:left="1769" w:firstLine="380"/>
      </w:pPr>
      <w:r>
        <w:t>Ing. Petrem Netolickým - předsedou spolku</w:t>
      </w:r>
    </w:p>
    <w:p w14:paraId="76BD034B" w14:textId="77777777" w:rsidR="0007214D" w:rsidRDefault="00000000">
      <w:pPr>
        <w:pStyle w:val="Zkladntext1"/>
        <w:framePr w:w="9180" w:h="1354" w:hRule="exact" w:wrap="none" w:vAnchor="page" w:hAnchor="page" w:x="1427" w:y="6762"/>
        <w:spacing w:after="0"/>
        <w:ind w:left="1769" w:firstLine="380"/>
      </w:pPr>
      <w:r>
        <w:t>00527483</w:t>
      </w:r>
    </w:p>
    <w:p w14:paraId="4C343F78" w14:textId="77777777" w:rsidR="0007214D" w:rsidRDefault="00000000">
      <w:pPr>
        <w:pStyle w:val="Zkladntext1"/>
        <w:framePr w:w="9180" w:h="1354" w:hRule="exact" w:wrap="none" w:vAnchor="page" w:hAnchor="page" w:x="1427" w:y="6762"/>
        <w:spacing w:after="0"/>
        <w:ind w:left="3929" w:hanging="1780"/>
      </w:pPr>
      <w:r>
        <w:t>Spolkový rejstřík, vedený Krajským soudem v Hradci Králové,</w:t>
      </w:r>
      <w:r>
        <w:br/>
        <w:t>oddíl L, vložka 74</w:t>
      </w:r>
    </w:p>
    <w:p w14:paraId="0B73B5BD" w14:textId="77777777" w:rsidR="0007214D" w:rsidRDefault="00000000">
      <w:pPr>
        <w:pStyle w:val="Zkladntext1"/>
        <w:framePr w:wrap="none" w:vAnchor="page" w:hAnchor="page" w:x="1427" w:y="8360"/>
        <w:spacing w:after="0" w:line="240" w:lineRule="auto"/>
      </w:pPr>
      <w:r>
        <w:t xml:space="preserve">dále jen </w:t>
      </w:r>
      <w:r>
        <w:rPr>
          <w:b/>
          <w:bCs/>
        </w:rPr>
        <w:t>„„TJ Tesla““</w:t>
      </w:r>
    </w:p>
    <w:p w14:paraId="710FD0A6" w14:textId="77777777" w:rsidR="0007214D" w:rsidRDefault="00000000">
      <w:pPr>
        <w:pStyle w:val="Zkladntext1"/>
        <w:framePr w:wrap="none" w:vAnchor="page" w:hAnchor="page" w:x="1427" w:y="9415"/>
        <w:spacing w:after="0" w:line="240" w:lineRule="auto"/>
      </w:pPr>
      <w:r>
        <w:t>uzavřeli tuto</w:t>
      </w:r>
    </w:p>
    <w:p w14:paraId="06C46AF7" w14:textId="77777777" w:rsidR="0007214D" w:rsidRDefault="00000000">
      <w:pPr>
        <w:pStyle w:val="Nadpis30"/>
        <w:framePr w:w="9180" w:h="335" w:hRule="exact" w:wrap="none" w:vAnchor="page" w:hAnchor="page" w:x="1427" w:y="9850"/>
        <w:spacing w:after="0"/>
        <w:rPr>
          <w:sz w:val="26"/>
          <w:szCs w:val="26"/>
        </w:rPr>
      </w:pPr>
      <w:bookmarkStart w:id="2" w:name="bookmark4"/>
      <w:r>
        <w:rPr>
          <w:rFonts w:ascii="Tahoma" w:eastAsia="Tahoma" w:hAnsi="Tahoma" w:cs="Tahoma"/>
          <w:sz w:val="26"/>
          <w:szCs w:val="26"/>
        </w:rPr>
        <w:t>směnnou smlouvu</w:t>
      </w:r>
      <w:bookmarkEnd w:id="2"/>
    </w:p>
    <w:p w14:paraId="3848468B" w14:textId="77777777" w:rsidR="0007214D" w:rsidRDefault="0007214D">
      <w:pPr>
        <w:pStyle w:val="Zkladntext1"/>
        <w:framePr w:w="9180" w:h="4716" w:hRule="exact" w:wrap="none" w:vAnchor="page" w:hAnchor="page" w:x="1427" w:y="10801"/>
        <w:numPr>
          <w:ilvl w:val="0"/>
          <w:numId w:val="1"/>
        </w:numPr>
        <w:spacing w:after="120" w:line="254" w:lineRule="auto"/>
        <w:jc w:val="center"/>
        <w:rPr>
          <w:sz w:val="22"/>
          <w:szCs w:val="22"/>
        </w:rPr>
      </w:pPr>
    </w:p>
    <w:p w14:paraId="47C720E8" w14:textId="77777777" w:rsidR="0007214D" w:rsidRDefault="00000000">
      <w:pPr>
        <w:pStyle w:val="Zkladntext1"/>
        <w:framePr w:w="9180" w:h="4716" w:hRule="exact" w:wrap="none" w:vAnchor="page" w:hAnchor="page" w:x="1427" w:y="10801"/>
        <w:numPr>
          <w:ilvl w:val="0"/>
          <w:numId w:val="2"/>
        </w:numPr>
        <w:tabs>
          <w:tab w:val="left" w:pos="562"/>
        </w:tabs>
        <w:spacing w:after="120" w:line="283" w:lineRule="auto"/>
        <w:ind w:left="580" w:hanging="580"/>
        <w:jc w:val="both"/>
      </w:pPr>
      <w:r>
        <w:rPr>
          <w:b/>
          <w:bCs/>
        </w:rPr>
        <w:t xml:space="preserve">„Město“ </w:t>
      </w:r>
      <w:r>
        <w:t>je vlastníkem pozemku označeného jako p.p.č. 2462/1 ostatní plocha - zeleň, v katastrálním území a obci Pardubice, zapsaných na listu vlastnictví č. 50001 u Katastrálního úřadu pro Pardubický kraj, Katastrálního pracoviště Pardubice.</w:t>
      </w:r>
    </w:p>
    <w:p w14:paraId="3D463907" w14:textId="77777777" w:rsidR="0007214D" w:rsidRDefault="00000000">
      <w:pPr>
        <w:pStyle w:val="Zkladntext1"/>
        <w:framePr w:w="9180" w:h="4716" w:hRule="exact" w:wrap="none" w:vAnchor="page" w:hAnchor="page" w:x="1427" w:y="10801"/>
        <w:numPr>
          <w:ilvl w:val="0"/>
          <w:numId w:val="2"/>
        </w:numPr>
        <w:tabs>
          <w:tab w:val="left" w:pos="562"/>
          <w:tab w:val="left" w:pos="7891"/>
        </w:tabs>
        <w:spacing w:after="0"/>
        <w:ind w:left="580" w:hanging="580"/>
        <w:jc w:val="both"/>
      </w:pPr>
      <w:r>
        <w:t xml:space="preserve">Na základě geometrického plánu č. 11093-6/2026 ze dne 23.2.2026, vyhotoveném společností GEOVAP, </w:t>
      </w:r>
      <w:r>
        <w:rPr>
          <w:lang w:val="en-US" w:eastAsia="en-US" w:bidi="en-US"/>
        </w:rPr>
        <w:t xml:space="preserve">spot, </w:t>
      </w:r>
      <w:r>
        <w:t>s r.o., který byl potvrzen Katastrálním úřadem pro Pardubický kraj, Katastrální pracoviště Pardubice dne 25.2.2026</w:t>
      </w:r>
      <w:r>
        <w:tab/>
        <w:t>pod č. PGP</w:t>
      </w:r>
    </w:p>
    <w:p w14:paraId="4A0685BA" w14:textId="77777777" w:rsidR="0007214D" w:rsidRDefault="00000000">
      <w:pPr>
        <w:pStyle w:val="Zkladntext1"/>
        <w:framePr w:w="9180" w:h="4716" w:hRule="exact" w:wrap="none" w:vAnchor="page" w:hAnchor="page" w:x="1427" w:y="10801"/>
        <w:spacing w:after="0"/>
        <w:ind w:left="580" w:firstLine="20"/>
        <w:jc w:val="both"/>
      </w:pPr>
      <w:r>
        <w:t>318/2026-606, byl z pozemku p.p.č. 2462/1 oddělen díl označený jako pozemek p.p.č. 2462/13 ostatní plocha - zeleň o výměře 197 m2.</w:t>
      </w:r>
    </w:p>
    <w:p w14:paraId="774515A5" w14:textId="77777777" w:rsidR="0007214D" w:rsidRDefault="00000000">
      <w:pPr>
        <w:pStyle w:val="Zkladntext1"/>
        <w:framePr w:w="9180" w:h="4716" w:hRule="exact" w:wrap="none" w:vAnchor="page" w:hAnchor="page" w:x="1427" w:y="10801"/>
        <w:spacing w:after="120"/>
        <w:ind w:left="580" w:firstLine="20"/>
        <w:jc w:val="both"/>
      </w:pPr>
      <w:r>
        <w:t xml:space="preserve">Pozemek označený jako </w:t>
      </w:r>
      <w:r>
        <w:rPr>
          <w:b/>
          <w:bCs/>
        </w:rPr>
        <w:t xml:space="preserve">p.p.č. 2462/13 ostatní plocha - zeleň o výměře 197 m2 </w:t>
      </w:r>
      <w:r>
        <w:t xml:space="preserve">se všemi součástmi a příslušenstvím je předmětem této směnné smlouvy (dále jen </w:t>
      </w:r>
      <w:r>
        <w:rPr>
          <w:b/>
          <w:bCs/>
        </w:rPr>
        <w:t>„předmět směny č. 1“)</w:t>
      </w:r>
    </w:p>
    <w:p w14:paraId="305C5C6B" w14:textId="77777777" w:rsidR="0007214D" w:rsidRDefault="00000000">
      <w:pPr>
        <w:pStyle w:val="Zkladntext1"/>
        <w:framePr w:w="9180" w:h="4716" w:hRule="exact" w:wrap="none" w:vAnchor="page" w:hAnchor="page" w:x="1427" w:y="10801"/>
        <w:numPr>
          <w:ilvl w:val="0"/>
          <w:numId w:val="2"/>
        </w:numPr>
        <w:tabs>
          <w:tab w:val="left" w:pos="562"/>
        </w:tabs>
        <w:spacing w:after="0"/>
        <w:ind w:left="580" w:hanging="580"/>
        <w:jc w:val="both"/>
      </w:pPr>
      <w:r>
        <w:rPr>
          <w:b/>
          <w:bCs/>
        </w:rPr>
        <w:t xml:space="preserve">„TJ Tesla“ </w:t>
      </w:r>
      <w:r>
        <w:t>je vlastníkem pozemku označeného jako pozemková parcela č. 3886 ostatní plocha - ostatní komunikace, v katastrálním území a obci Pardubice, zapsaným na listu vlastnictví č. 51166 u Katastrálního úřadu pro Pardubický kraj, Katastrálního pracoviště Pardubice.</w:t>
      </w:r>
    </w:p>
    <w:p w14:paraId="625249EA" w14:textId="77777777" w:rsidR="0007214D" w:rsidRDefault="00000000">
      <w:pPr>
        <w:pStyle w:val="Zhlavnebozpat0"/>
        <w:framePr w:wrap="none" w:vAnchor="page" w:hAnchor="page" w:x="5963" w:y="15981"/>
      </w:pPr>
      <w:r>
        <w:t>1</w:t>
      </w:r>
    </w:p>
    <w:p w14:paraId="09EA7612" w14:textId="77777777" w:rsidR="0007214D" w:rsidRDefault="0007214D">
      <w:pPr>
        <w:spacing w:line="1" w:lineRule="exact"/>
        <w:sectPr w:rsidR="0007214D">
          <w:pgSz w:w="11900" w:h="16840"/>
          <w:pgMar w:top="360" w:right="360" w:bottom="360" w:left="360" w:header="0" w:footer="3" w:gutter="0"/>
          <w:cols w:space="720"/>
          <w:noEndnote/>
          <w:docGrid w:linePitch="360"/>
        </w:sectPr>
      </w:pPr>
    </w:p>
    <w:p w14:paraId="02C03EC6" w14:textId="77777777" w:rsidR="0007214D" w:rsidRDefault="0007214D">
      <w:pPr>
        <w:spacing w:line="1" w:lineRule="exact"/>
      </w:pPr>
    </w:p>
    <w:p w14:paraId="2434E82E" w14:textId="77777777" w:rsidR="0007214D" w:rsidRDefault="00000000">
      <w:pPr>
        <w:pStyle w:val="Zkladntext1"/>
        <w:framePr w:w="9180" w:h="2833" w:hRule="exact" w:wrap="none" w:vAnchor="page" w:hAnchor="page" w:x="1336" w:y="1281"/>
        <w:numPr>
          <w:ilvl w:val="0"/>
          <w:numId w:val="2"/>
        </w:numPr>
        <w:tabs>
          <w:tab w:val="left" w:pos="558"/>
          <w:tab w:val="left" w:pos="7924"/>
        </w:tabs>
        <w:spacing w:after="0"/>
        <w:ind w:left="560" w:hanging="560"/>
        <w:jc w:val="both"/>
      </w:pPr>
      <w:r>
        <w:t>Na základě geometrického plánu č. 11093-6/2026 ze dne 23.2.2026, vyhotoveném společností GEOVAP, spol. s r.o., který byl potvrzen Katastrálním úřadem pro Pardubický kraj, Katastrální pracoviště Pardubice dne 25.2.2026</w:t>
      </w:r>
      <w:r>
        <w:tab/>
        <w:t>pod č. PGP</w:t>
      </w:r>
    </w:p>
    <w:p w14:paraId="1CBBF3AC" w14:textId="77777777" w:rsidR="0007214D" w:rsidRDefault="00000000">
      <w:pPr>
        <w:pStyle w:val="Zkladntext1"/>
        <w:framePr w:w="9180" w:h="2833" w:hRule="exact" w:wrap="none" w:vAnchor="page" w:hAnchor="page" w:x="1336" w:y="1281"/>
        <w:spacing w:after="120"/>
        <w:ind w:left="560" w:firstLine="20"/>
        <w:jc w:val="both"/>
      </w:pPr>
      <w:r>
        <w:t>318/2026-606, byl z pozemku p.p.č. 3886 oddělen díl označený jako pozemek p.p.č. 3886/2 ostatní plocha - ostatní komunikace o výměře 126 m2 a díl označený jako pozemek p.p.č. 3886/3 ostatní plocha - ostatní komunikace o výměře 3 m2.</w:t>
      </w:r>
    </w:p>
    <w:p w14:paraId="717FD87C" w14:textId="77777777" w:rsidR="0007214D" w:rsidRDefault="00000000">
      <w:pPr>
        <w:pStyle w:val="Zkladntext1"/>
        <w:framePr w:w="9180" w:h="2833" w:hRule="exact" w:wrap="none" w:vAnchor="page" w:hAnchor="page" w:x="1336" w:y="1281"/>
        <w:spacing w:after="0"/>
        <w:ind w:left="560" w:firstLine="20"/>
        <w:jc w:val="both"/>
      </w:pPr>
      <w:r>
        <w:rPr>
          <w:b/>
          <w:bCs/>
        </w:rPr>
        <w:t xml:space="preserve">Pozemky označené jako p.p.č. 3886/2 ostatní plocha - ostatní komunikace o výměře 126 m2 a díl označený jako pozemek p.p.č. 3886/3 ostatní plocha - ostatní komunikace o výměře 3 m2 </w:t>
      </w:r>
      <w:r>
        <w:t xml:space="preserve">se všemi součástmi a příslušenstvím jsou předmětem této směnné smlouvy (dále jen </w:t>
      </w:r>
      <w:r>
        <w:rPr>
          <w:b/>
          <w:bCs/>
        </w:rPr>
        <w:t>„předmět směny č. 2“)</w:t>
      </w:r>
    </w:p>
    <w:p w14:paraId="50A1066E" w14:textId="77777777" w:rsidR="0007214D" w:rsidRDefault="0007214D">
      <w:pPr>
        <w:pStyle w:val="Zkladntext1"/>
        <w:framePr w:w="9180" w:h="11722" w:hRule="exact" w:wrap="none" w:vAnchor="page" w:hAnchor="page" w:x="1336" w:y="4655"/>
        <w:numPr>
          <w:ilvl w:val="0"/>
          <w:numId w:val="1"/>
        </w:numPr>
        <w:spacing w:after="120" w:line="257" w:lineRule="auto"/>
        <w:jc w:val="center"/>
        <w:rPr>
          <w:sz w:val="22"/>
          <w:szCs w:val="22"/>
        </w:rPr>
      </w:pPr>
    </w:p>
    <w:p w14:paraId="4C808DB1" w14:textId="77777777" w:rsidR="0007214D" w:rsidRDefault="00000000">
      <w:pPr>
        <w:pStyle w:val="Zkladntext1"/>
        <w:framePr w:w="9180" w:h="11722" w:hRule="exact" w:wrap="none" w:vAnchor="page" w:hAnchor="page" w:x="1336" w:y="4655"/>
        <w:numPr>
          <w:ilvl w:val="0"/>
          <w:numId w:val="3"/>
        </w:numPr>
        <w:tabs>
          <w:tab w:val="left" w:pos="558"/>
        </w:tabs>
        <w:spacing w:after="120"/>
        <w:ind w:left="560" w:hanging="560"/>
        <w:jc w:val="both"/>
      </w:pPr>
      <w:r>
        <w:rPr>
          <w:b/>
          <w:bCs/>
        </w:rPr>
        <w:t xml:space="preserve">Smluvní strany touto smlouvou směňují předmět směny č. 1 a předmět směny č. 2 </w:t>
      </w:r>
      <w:r>
        <w:t>tak, že „Město“ převádí předmět směny č. 1 do vlastnictví „TJ Tesla“ a „TJ Tesla“ jej přijímá do svého vlastnictví (včetně všech součástí a příslušenství), a „TJ Tesla“ převádí předmět směny č. 2 do vlastnictví „Města" a „Město“ jej přijímá do svého vlastnictví (včetně všech součástí a příslušenství).</w:t>
      </w:r>
    </w:p>
    <w:p w14:paraId="7AC89012" w14:textId="77777777" w:rsidR="0007214D" w:rsidRDefault="00000000">
      <w:pPr>
        <w:pStyle w:val="Zkladntext1"/>
        <w:framePr w:w="9180" w:h="11722" w:hRule="exact" w:wrap="none" w:vAnchor="page" w:hAnchor="page" w:x="1336" w:y="4655"/>
        <w:numPr>
          <w:ilvl w:val="0"/>
          <w:numId w:val="3"/>
        </w:numPr>
        <w:tabs>
          <w:tab w:val="left" w:pos="558"/>
          <w:tab w:val="left" w:pos="6538"/>
        </w:tabs>
        <w:spacing w:after="0"/>
        <w:ind w:left="560" w:hanging="560"/>
        <w:jc w:val="both"/>
      </w:pPr>
      <w:r>
        <w:t>Výše ocenění „předmětu směny č. 1“ dle znaleckého posudku č. 094930/2024 ze dne 18.12.2024 vyhotoveného znalcem</w:t>
      </w:r>
      <w:r>
        <w:tab/>
        <w:t>činí celkem 91.408,- Kč,-</w:t>
      </w:r>
    </w:p>
    <w:p w14:paraId="7B4BFB65" w14:textId="77777777" w:rsidR="0007214D" w:rsidRDefault="00000000">
      <w:pPr>
        <w:pStyle w:val="Zkladntext1"/>
        <w:framePr w:w="9180" w:h="11722" w:hRule="exact" w:wrap="none" w:vAnchor="page" w:hAnchor="page" w:x="1336" w:y="4655"/>
        <w:spacing w:after="400"/>
        <w:ind w:left="560" w:firstLine="20"/>
        <w:jc w:val="both"/>
      </w:pPr>
      <w:r>
        <w:t xml:space="preserve">(slovy: devadesát-jedna-tisíc-čtyři-sta-osm-korun-českých). Převod „předmětu směny č. 1 “ podléhá sazbě DPH ve výši 21 %. Výše ocenění „předmětu směny č. 1 “ včetně DPH činí celkem </w:t>
      </w:r>
      <w:r>
        <w:rPr>
          <w:b/>
          <w:bCs/>
        </w:rPr>
        <w:t xml:space="preserve">110.603,68,- Kč </w:t>
      </w:r>
      <w:r>
        <w:t>(slovy: sto-deset-tisíc-šest-set-tři-korun-českých- šedesát-osm-haléřů).</w:t>
      </w:r>
    </w:p>
    <w:p w14:paraId="2CF85172" w14:textId="77777777" w:rsidR="0007214D" w:rsidRDefault="00000000">
      <w:pPr>
        <w:pStyle w:val="Zkladntext1"/>
        <w:framePr w:w="9180" w:h="11722" w:hRule="exact" w:wrap="none" w:vAnchor="page" w:hAnchor="page" w:x="1336" w:y="4655"/>
        <w:numPr>
          <w:ilvl w:val="0"/>
          <w:numId w:val="3"/>
        </w:numPr>
        <w:tabs>
          <w:tab w:val="left" w:pos="558"/>
          <w:tab w:val="left" w:pos="6167"/>
        </w:tabs>
        <w:spacing w:after="0"/>
        <w:ind w:left="560" w:hanging="560"/>
        <w:jc w:val="both"/>
      </w:pPr>
      <w:r>
        <w:t>Výše ocenění „předmětu směny č. 2" dle znaleckého posudku č. 094930/2024 ze dne 18.12.2024 vyhotoveného znalcem</w:t>
      </w:r>
      <w:r>
        <w:tab/>
        <w:t xml:space="preserve">činí celkem </w:t>
      </w:r>
      <w:r>
        <w:rPr>
          <w:b/>
          <w:bCs/>
        </w:rPr>
        <w:t xml:space="preserve">68.499,- Kč </w:t>
      </w:r>
      <w:r>
        <w:t>(slovy:</w:t>
      </w:r>
    </w:p>
    <w:p w14:paraId="4D5950B7" w14:textId="77777777" w:rsidR="0007214D" w:rsidRDefault="00000000">
      <w:pPr>
        <w:pStyle w:val="Zkladntext1"/>
        <w:framePr w:w="9180" w:h="11722" w:hRule="exact" w:wrap="none" w:vAnchor="page" w:hAnchor="page" w:x="1336" w:y="4655"/>
        <w:spacing w:after="260"/>
        <w:ind w:firstLine="560"/>
        <w:jc w:val="both"/>
      </w:pPr>
      <w:r>
        <w:t>šedesát-osm-tisíc-čtyři-sta-devadesát-devět-korun-českých).</w:t>
      </w:r>
    </w:p>
    <w:p w14:paraId="767A4F33" w14:textId="49D02132" w:rsidR="0007214D" w:rsidRDefault="00000000">
      <w:pPr>
        <w:pStyle w:val="Zkladntext1"/>
        <w:framePr w:w="9180" w:h="11722" w:hRule="exact" w:wrap="none" w:vAnchor="page" w:hAnchor="page" w:x="1336" w:y="4655"/>
        <w:numPr>
          <w:ilvl w:val="0"/>
          <w:numId w:val="3"/>
        </w:numPr>
        <w:tabs>
          <w:tab w:val="left" w:pos="558"/>
          <w:tab w:val="left" w:pos="4680"/>
        </w:tabs>
        <w:spacing w:after="260" w:line="283" w:lineRule="auto"/>
        <w:ind w:left="560" w:hanging="560"/>
        <w:jc w:val="both"/>
      </w:pPr>
      <w:r>
        <w:t xml:space="preserve">Vzhledem </w:t>
      </w:r>
      <w:r w:rsidR="000F0A9B">
        <w:t>k tomu</w:t>
      </w:r>
      <w:r>
        <w:t>, že hodnoty předmětu směny č. 1 a předmětu směny č. 2 uvedené v</w:t>
      </w:r>
      <w:r w:rsidR="000F0A9B">
        <w:t xml:space="preserve"> </w:t>
      </w:r>
      <w:r>
        <w:t xml:space="preserve">odst. 2 a odst. 3 tohoto článku této smlouvy nejsou shodné, dohodly se smluvní strany na následujícím finančním vyrovnání. Rozdíl hodnot uvedených v odst. 2 a odst. 3 tohoto článku této smlouvy činí </w:t>
      </w:r>
      <w:r>
        <w:rPr>
          <w:b/>
          <w:bCs/>
        </w:rPr>
        <w:t xml:space="preserve">42.104,68,- Kč </w:t>
      </w:r>
      <w:r>
        <w:t>(slovy: čtyřicet-dva-tisíc-sto-čtyři-korun-českých- šedesát-osm-haléřů). „TJ Tesla“ se zavazuje zaplatit tento rozdíl, tj. částku ve výši42.104,68,- Kč „Městu“ před podáním návrhu na vklad vlastnického práva do katastru nemovitostí, a to nejpozději do 30 dnů od oboustranného podpisu této smlouvy, a to bezhotovostně na účet č.</w:t>
      </w:r>
      <w:r>
        <w:tab/>
      </w:r>
      <w:r w:rsidR="000F0A9B">
        <w:t xml:space="preserve">             </w:t>
      </w:r>
      <w:r>
        <w:t>vedený u Komerční banky, a.s., VS: 3108920</w:t>
      </w:r>
    </w:p>
    <w:p w14:paraId="4D3D45BF" w14:textId="77777777" w:rsidR="0007214D" w:rsidRDefault="00000000">
      <w:pPr>
        <w:pStyle w:val="Zkladntext1"/>
        <w:framePr w:w="9180" w:h="11722" w:hRule="exact" w:wrap="none" w:vAnchor="page" w:hAnchor="page" w:x="1336" w:y="4655"/>
        <w:numPr>
          <w:ilvl w:val="0"/>
          <w:numId w:val="3"/>
        </w:numPr>
        <w:tabs>
          <w:tab w:val="left" w:pos="558"/>
        </w:tabs>
        <w:spacing w:after="260"/>
        <w:ind w:left="560" w:hanging="560"/>
        <w:jc w:val="both"/>
      </w:pPr>
      <w:r>
        <w:t>Obě smluvní strany se dohodly pro případ prodlení se zaplacením finančního vyrovnání, že „TJ Tesla“ uhradí „Městu" smluvní pokutu ve výši 500,- Kč za každý i započatý měsíc prodlení.</w:t>
      </w:r>
    </w:p>
    <w:p w14:paraId="42A991B8" w14:textId="77777777" w:rsidR="0007214D" w:rsidRDefault="00000000">
      <w:pPr>
        <w:pStyle w:val="Zkladntext1"/>
        <w:framePr w:w="9180" w:h="11722" w:hRule="exact" w:wrap="none" w:vAnchor="page" w:hAnchor="page" w:x="1336" w:y="4655"/>
        <w:numPr>
          <w:ilvl w:val="0"/>
          <w:numId w:val="3"/>
        </w:numPr>
        <w:tabs>
          <w:tab w:val="left" w:pos="558"/>
        </w:tabs>
        <w:spacing w:after="260" w:line="283" w:lineRule="auto"/>
        <w:ind w:left="560" w:hanging="560"/>
        <w:jc w:val="both"/>
      </w:pPr>
      <w:r>
        <w:t>V případě prodlení se zaplacením finančního vyrovnání bude finanční vyrovnání a/nebo smluvní pokuta „TJ Tesla“ uhrazena v náhradním termínu nejpozději do 10 dnů poté, co bude „TJ Tesla“ „Městem“ k úhradě písemně vyzvána.</w:t>
      </w:r>
    </w:p>
    <w:p w14:paraId="7E4817CE" w14:textId="77777777" w:rsidR="0007214D" w:rsidRDefault="00000000">
      <w:pPr>
        <w:pStyle w:val="Zkladntext1"/>
        <w:framePr w:w="9180" w:h="11722" w:hRule="exact" w:wrap="none" w:vAnchor="page" w:hAnchor="page" w:x="1336" w:y="4655"/>
        <w:numPr>
          <w:ilvl w:val="0"/>
          <w:numId w:val="3"/>
        </w:numPr>
        <w:tabs>
          <w:tab w:val="left" w:pos="558"/>
        </w:tabs>
        <w:spacing w:after="0" w:line="286" w:lineRule="auto"/>
        <w:jc w:val="both"/>
      </w:pPr>
      <w:r>
        <w:t>V případě, že „TJ Tesla“ neuhradí finanční vyrovnání a/nebo smluvní pokutu ani v náhradním termínu, má „Město“ právo od této smlouvy odstoupit. Pro případné odstoupení od této smlouvy sjednávají smluvní strany tato pravidla. Případné odstoupení bude provedeno ke dni doručení dopisu s odstoupením do datové schránky druhé strany, případně, nemá-li smluvní strana zřízenou datovou schránku, doručením doporučeného dopisu na adresu uvedenou v záhlaví této smlouvy. Za doručení odstoupení od smlouvy je považována i fikce doručení, tj. 10. den ode dne doručení do datové schránky, případně 2</w:t>
      </w:r>
    </w:p>
    <w:p w14:paraId="2EC6437B" w14:textId="77777777" w:rsidR="0007214D" w:rsidRDefault="0007214D">
      <w:pPr>
        <w:spacing w:line="1" w:lineRule="exact"/>
        <w:sectPr w:rsidR="0007214D">
          <w:pgSz w:w="11900" w:h="16840"/>
          <w:pgMar w:top="360" w:right="360" w:bottom="360" w:left="360" w:header="0" w:footer="3" w:gutter="0"/>
          <w:cols w:space="720"/>
          <w:noEndnote/>
          <w:docGrid w:linePitch="360"/>
        </w:sectPr>
      </w:pPr>
    </w:p>
    <w:p w14:paraId="07179317" w14:textId="77777777" w:rsidR="0007214D" w:rsidRDefault="0007214D">
      <w:pPr>
        <w:spacing w:line="1" w:lineRule="exact"/>
      </w:pPr>
    </w:p>
    <w:p w14:paraId="2E727ED2" w14:textId="77777777" w:rsidR="0007214D" w:rsidRDefault="00000000">
      <w:pPr>
        <w:pStyle w:val="Zkladntext1"/>
        <w:framePr w:w="9166" w:h="1368" w:hRule="exact" w:wrap="none" w:vAnchor="page" w:hAnchor="page" w:x="1366" w:y="1150"/>
        <w:numPr>
          <w:ilvl w:val="0"/>
          <w:numId w:val="4"/>
        </w:numPr>
        <w:tabs>
          <w:tab w:val="left" w:pos="961"/>
        </w:tabs>
        <w:spacing w:after="0"/>
        <w:ind w:left="540" w:firstLine="40"/>
        <w:jc w:val="both"/>
      </w:pPr>
      <w:r>
        <w:t>den ode dne uložení zásilky u držitele poštovní licence. „TJ Tesla“ se zavazuje, že v tomto případě uzavře s „Městem“ na jeho písemnou výzvu souhlasné prohlášení s náležitostmi uvedenými v § 66 odst. 2 vyhlášky č. 357/2013 Sb., katastrální vyhláška v platném znění, ohledně odstoupení od této smlouvy za účelem zpětného zápisu vlastnického práva pro město.</w:t>
      </w:r>
    </w:p>
    <w:p w14:paraId="7978113B" w14:textId="77777777" w:rsidR="0007214D" w:rsidRDefault="0007214D">
      <w:pPr>
        <w:pStyle w:val="Nadpis40"/>
        <w:framePr w:w="9166" w:h="12593" w:hRule="exact" w:wrap="none" w:vAnchor="page" w:hAnchor="page" w:x="1366" w:y="3019"/>
        <w:numPr>
          <w:ilvl w:val="0"/>
          <w:numId w:val="1"/>
        </w:numPr>
        <w:spacing w:after="220" w:line="254" w:lineRule="auto"/>
      </w:pPr>
    </w:p>
    <w:p w14:paraId="0E3A0790" w14:textId="77777777" w:rsidR="0007214D" w:rsidRDefault="00000000">
      <w:pPr>
        <w:pStyle w:val="Zkladntext1"/>
        <w:framePr w:w="9166" w:h="12593" w:hRule="exact" w:wrap="none" w:vAnchor="page" w:hAnchor="page" w:x="1366" w:y="3019"/>
        <w:numPr>
          <w:ilvl w:val="0"/>
          <w:numId w:val="5"/>
        </w:numPr>
        <w:tabs>
          <w:tab w:val="left" w:pos="558"/>
        </w:tabs>
        <w:spacing w:after="0"/>
      </w:pPr>
      <w:r>
        <w:t>Smluvní strany prohlašují že,</w:t>
      </w:r>
    </w:p>
    <w:p w14:paraId="6340CDFE" w14:textId="77777777" w:rsidR="0007214D" w:rsidRDefault="00000000">
      <w:pPr>
        <w:pStyle w:val="Zkladntext1"/>
        <w:framePr w:w="9166" w:h="12593" w:hRule="exact" w:wrap="none" w:vAnchor="page" w:hAnchor="page" w:x="1366" w:y="3019"/>
        <w:spacing w:after="0"/>
        <w:ind w:left="540" w:firstLine="40"/>
        <w:jc w:val="both"/>
      </w:pPr>
      <w:r>
        <w:t xml:space="preserve">na „předmětu směny č. 1“ a „předmětu směny č. 2“ nevážnou zástavní práva, věcná břemena nebo jiné právní vady, o kterých by věděly a na které by druhou stranu neupozornily, vyjma těch, které jsou uvedeny </w:t>
      </w:r>
      <w:r>
        <w:rPr>
          <w:b/>
          <w:bCs/>
        </w:rPr>
        <w:t xml:space="preserve">na LV č. 50001 a LV č. 51166 pro k.ú. Pardubice </w:t>
      </w:r>
      <w:r>
        <w:t>ke dni podpisu této smlouvy.</w:t>
      </w:r>
    </w:p>
    <w:p w14:paraId="482B6955" w14:textId="77777777" w:rsidR="0007214D" w:rsidRDefault="00000000">
      <w:pPr>
        <w:pStyle w:val="Zkladntext1"/>
        <w:framePr w:w="9166" w:h="12593" w:hRule="exact" w:wrap="none" w:vAnchor="page" w:hAnchor="page" w:x="1366" w:y="3019"/>
        <w:spacing w:after="0"/>
        <w:ind w:left="540" w:firstLine="40"/>
        <w:jc w:val="both"/>
      </w:pPr>
      <w:r>
        <w:t>nemají nedoplatky na daních a jiných platbách, pro které by příslušný správce daně mohl zřídit zástavní právo dle § 170 zákona č. 280/2009 Sb., daňový řád v platném znění a „předmět směny č. 1“ a „předmět směny č. 2“ není předmětem insolvenčního, konkurzního ani jiného obdobného řízení, ani řízení o výkonu soudního nebo správního rozhodnutí.</w:t>
      </w:r>
    </w:p>
    <w:p w14:paraId="4474B679" w14:textId="77777777" w:rsidR="0007214D" w:rsidRDefault="00000000">
      <w:pPr>
        <w:pStyle w:val="Zkladntext1"/>
        <w:framePr w:w="9166" w:h="12593" w:hRule="exact" w:wrap="none" w:vAnchor="page" w:hAnchor="page" w:x="1366" w:y="3019"/>
        <w:spacing w:after="0"/>
        <w:ind w:left="540" w:firstLine="40"/>
        <w:jc w:val="both"/>
      </w:pPr>
      <w:r>
        <w:t>neprobíhá jakékoli soudní, rozhodčí, exekuční nebo správní řízení jehož předmětem by byly práva a povinnosti týkající se „předmětu směny č. 1“ a „předmětu směny č. 2“, kdy konečné rozhodnutí ve věci by mohlo být závazné i pro příštího vlastníka „předmětu směny č. 1“ a „předmětu směny č. 2“, nebo by se dotýkalo práv a povinností vyplývajících z vlastnictví „předmětu směny č. 1 “ a „předmětu směny č. 2“.</w:t>
      </w:r>
    </w:p>
    <w:p w14:paraId="4C891C91" w14:textId="77777777" w:rsidR="0007214D" w:rsidRDefault="00000000">
      <w:pPr>
        <w:pStyle w:val="Zkladntext1"/>
        <w:framePr w:w="9166" w:h="12593" w:hRule="exact" w:wrap="none" w:vAnchor="page" w:hAnchor="page" w:x="1366" w:y="3019"/>
        <w:spacing w:after="260"/>
        <w:ind w:left="540" w:firstLine="40"/>
        <w:jc w:val="both"/>
      </w:pPr>
      <w:r>
        <w:t>si „předmět směny č. 1“ a „předmět směny č. 2“ náležitě prohlédly a seznámily se se všemi jeho součástmi a příslušenstvím, zejména že se ve smyslu § 980 a násl. občanského zákoníku seznámily s údaji zapsanými v katastru nemovitostí, stav „předmětu směny č. 1 “ a „předmětu směny č. 2“ je jim znám a nevznáší vůči němu žádné námitky, právní či jiné vady na předmětu směny, nevyplývající z ustanovení této smlouvy se považují za podstatné porušení smlouvy, přičemž obě strany berou na vědomí, že budou v takovém případě uplatňovat svá práva podle ust. § 2099 a násl. občanského zákoníku.</w:t>
      </w:r>
    </w:p>
    <w:p w14:paraId="4319D3FF" w14:textId="77777777" w:rsidR="0007214D" w:rsidRDefault="00000000">
      <w:pPr>
        <w:pStyle w:val="Zkladntext1"/>
        <w:framePr w:w="9166" w:h="12593" w:hRule="exact" w:wrap="none" w:vAnchor="page" w:hAnchor="page" w:x="1366" w:y="3019"/>
        <w:numPr>
          <w:ilvl w:val="0"/>
          <w:numId w:val="5"/>
        </w:numPr>
        <w:tabs>
          <w:tab w:val="left" w:pos="558"/>
        </w:tabs>
        <w:spacing w:after="260"/>
        <w:ind w:left="540" w:hanging="540"/>
        <w:jc w:val="both"/>
      </w:pPr>
      <w:r>
        <w:t>Pokud by se ukázalo, že prohlášení některé ze smluvních stran obsažená v této smlouvě nejsou pravdivá, zavazuje se smluvní strana, jejíž prohlášení není pravdivé, na své náklady odstranit závadný stav. Pokud tak nebude učiněno nejpozději do 30 dnů od zjištění závady, má druhá smluvní strana v takovém případě právo od této smlouvy odstoupit. Pro případné odstoupení a jeho doručování se použije postup dle čl. II. odst. 7. této smlouvy.</w:t>
      </w:r>
    </w:p>
    <w:p w14:paraId="50E6B800" w14:textId="77777777" w:rsidR="0007214D" w:rsidRDefault="00000000">
      <w:pPr>
        <w:pStyle w:val="Zkladntext1"/>
        <w:framePr w:w="9166" w:h="12593" w:hRule="exact" w:wrap="none" w:vAnchor="page" w:hAnchor="page" w:x="1366" w:y="3019"/>
        <w:numPr>
          <w:ilvl w:val="0"/>
          <w:numId w:val="5"/>
        </w:numPr>
        <w:tabs>
          <w:tab w:val="left" w:pos="558"/>
        </w:tabs>
        <w:spacing w:after="260"/>
        <w:ind w:left="540" w:hanging="540"/>
        <w:jc w:val="both"/>
      </w:pPr>
      <w:r>
        <w:t>Smluvní strany se zavazují hradit veškeré náklady spojené s vlastnictvím a užíváním předmětu směny do dne nabytí vlastnického práva k předmětu směny a spravovat předmět směny s péčí řádného hospodáře.</w:t>
      </w:r>
    </w:p>
    <w:p w14:paraId="3E2DB416" w14:textId="77777777" w:rsidR="0007214D" w:rsidRDefault="00000000">
      <w:pPr>
        <w:pStyle w:val="Zkladntext1"/>
        <w:framePr w:w="9166" w:h="12593" w:hRule="exact" w:wrap="none" w:vAnchor="page" w:hAnchor="page" w:x="1366" w:y="3019"/>
        <w:numPr>
          <w:ilvl w:val="0"/>
          <w:numId w:val="5"/>
        </w:numPr>
        <w:tabs>
          <w:tab w:val="left" w:pos="558"/>
        </w:tabs>
        <w:spacing w:after="260"/>
        <w:ind w:left="540" w:hanging="540"/>
        <w:jc w:val="both"/>
      </w:pPr>
      <w:r>
        <w:t>Smluvní strany se zavazují, že ode dne uzavření této smlouvy až do okamžiku nabytí vlastnického práva k předmětu směny druhou stranou, nepřevedou předmět směny na třetí osobu, neuzavřou žádnou smlouvu ve prospěch třetí osoby týkající se předmětu směny, nezatíží jej žádnými věcnými právy a zdrží se jakéhokoliv jednání, v jehož důsledku by mohlo dojít v katastru nemovitostí k zapsání poznámky nebo vyznačení dotčení změnou ve smyslu ustanovení § 24 a § 16 zákona č. 256/2013 Sb., katastrální zákon v platném znění.</w:t>
      </w:r>
    </w:p>
    <w:p w14:paraId="7A6292E5" w14:textId="77777777" w:rsidR="0007214D" w:rsidRDefault="00000000">
      <w:pPr>
        <w:pStyle w:val="Zkladntext1"/>
        <w:framePr w:w="9166" w:h="12593" w:hRule="exact" w:wrap="none" w:vAnchor="page" w:hAnchor="page" w:x="1366" w:y="3019"/>
        <w:numPr>
          <w:ilvl w:val="0"/>
          <w:numId w:val="5"/>
        </w:numPr>
        <w:tabs>
          <w:tab w:val="left" w:pos="558"/>
        </w:tabs>
        <w:spacing w:after="0"/>
        <w:ind w:left="540" w:hanging="540"/>
        <w:jc w:val="both"/>
      </w:pPr>
      <w:r>
        <w:t>Smluvní strany se dohodly, že nebezpečí nahodilé zkázy a nahodilého zhoršení stavu nemovitostí převáděných touto smlouvou přechází dnem nabytí vlastnických práv k „předmětu směny č. 1 “ a „předmětu směny č. 2“.</w:t>
      </w:r>
    </w:p>
    <w:p w14:paraId="32AA5267" w14:textId="77777777" w:rsidR="0007214D" w:rsidRDefault="00000000">
      <w:pPr>
        <w:pStyle w:val="Zhlavnebozpat0"/>
        <w:framePr w:wrap="none" w:vAnchor="page" w:hAnchor="page" w:x="5888" w:y="15921"/>
      </w:pPr>
      <w:r>
        <w:t>3</w:t>
      </w:r>
    </w:p>
    <w:p w14:paraId="4B2812F5" w14:textId="77777777" w:rsidR="0007214D" w:rsidRDefault="0007214D">
      <w:pPr>
        <w:spacing w:line="1" w:lineRule="exact"/>
        <w:sectPr w:rsidR="0007214D">
          <w:pgSz w:w="11900" w:h="16840"/>
          <w:pgMar w:top="360" w:right="360" w:bottom="360" w:left="360" w:header="0" w:footer="3" w:gutter="0"/>
          <w:cols w:space="720"/>
          <w:noEndnote/>
          <w:docGrid w:linePitch="360"/>
        </w:sectPr>
      </w:pPr>
    </w:p>
    <w:p w14:paraId="5B6C1D2A" w14:textId="77777777" w:rsidR="0007214D" w:rsidRDefault="0007214D">
      <w:pPr>
        <w:spacing w:line="1" w:lineRule="exact"/>
      </w:pPr>
    </w:p>
    <w:p w14:paraId="5DA7BE21" w14:textId="77777777" w:rsidR="0007214D" w:rsidRDefault="0007214D">
      <w:pPr>
        <w:pStyle w:val="Nadpis40"/>
        <w:framePr w:w="9198" w:h="274" w:hRule="exact" w:wrap="none" w:vAnchor="page" w:hAnchor="page" w:x="1350" w:y="1766"/>
        <w:numPr>
          <w:ilvl w:val="0"/>
          <w:numId w:val="1"/>
        </w:numPr>
        <w:spacing w:after="0" w:line="240" w:lineRule="auto"/>
      </w:pPr>
    </w:p>
    <w:p w14:paraId="0735EB15" w14:textId="77777777" w:rsidR="0007214D" w:rsidRDefault="00000000">
      <w:pPr>
        <w:pStyle w:val="Zkladntext1"/>
        <w:framePr w:w="9198" w:h="4424" w:hRule="exact" w:wrap="none" w:vAnchor="page" w:hAnchor="page" w:x="1350" w:y="2173"/>
        <w:numPr>
          <w:ilvl w:val="0"/>
          <w:numId w:val="6"/>
        </w:numPr>
        <w:tabs>
          <w:tab w:val="left" w:pos="558"/>
        </w:tabs>
        <w:spacing w:after="120"/>
        <w:ind w:left="580" w:hanging="580"/>
        <w:jc w:val="both"/>
      </w:pPr>
      <w:r>
        <w:t>Smluvní strany berou na vědomí, že tato smlouva včetně metadat, případných dodatků a odvozených dokumentů bude uveřejněna v registru smluv dle zákona č. 340/2015 Sb., o zvláštních podmínkách účinnosti některých smluv, uveřejňování těchto smluv a o registru smluv (o registru smluv), ve znění pozdějších předpisů, a s jejím uveřejněním v plném rozsahu souhlasí.</w:t>
      </w:r>
    </w:p>
    <w:p w14:paraId="3A88381B" w14:textId="77777777" w:rsidR="0007214D" w:rsidRDefault="00000000">
      <w:pPr>
        <w:pStyle w:val="Zkladntext1"/>
        <w:framePr w:w="9198" w:h="4424" w:hRule="exact" w:wrap="none" w:vAnchor="page" w:hAnchor="page" w:x="1350" w:y="2173"/>
        <w:numPr>
          <w:ilvl w:val="0"/>
          <w:numId w:val="6"/>
        </w:numPr>
        <w:tabs>
          <w:tab w:val="left" w:pos="558"/>
        </w:tabs>
        <w:spacing w:after="120"/>
        <w:ind w:left="580" w:hanging="580"/>
        <w:jc w:val="both"/>
      </w:pPr>
      <w:r>
        <w:t>Smluvní strany se dohodly, že „Město“ bezodkladně po uzavření této smlouvy odešle tuto smlouvy k řádnému uveřejnění do registru spravovaného Digitální a informační agenturou. O uveřejnění této smlouvy zveřejňující strana bezodkladně informuje druhou smluvní stranu, nebyl-li kontaktní údaj této smluvní strany uveden přímo do registru smluv jako kontakt pro notifikaci o uveřejnění.</w:t>
      </w:r>
    </w:p>
    <w:p w14:paraId="16DD357C" w14:textId="77777777" w:rsidR="0007214D" w:rsidRDefault="00000000">
      <w:pPr>
        <w:pStyle w:val="Zkladntext1"/>
        <w:framePr w:w="9198" w:h="4424" w:hRule="exact" w:wrap="none" w:vAnchor="page" w:hAnchor="page" w:x="1350" w:y="2173"/>
        <w:numPr>
          <w:ilvl w:val="0"/>
          <w:numId w:val="6"/>
        </w:numPr>
        <w:tabs>
          <w:tab w:val="left" w:pos="558"/>
        </w:tabs>
        <w:spacing w:after="120"/>
        <w:ind w:left="580" w:hanging="580"/>
        <w:jc w:val="both"/>
      </w:pPr>
      <w:r>
        <w:t>Smluvní strany prohlašují, že skutečnosti uvedené v této smlouvě nejsou obchodním tajemstvím.</w:t>
      </w:r>
    </w:p>
    <w:p w14:paraId="3F598913" w14:textId="77777777" w:rsidR="0007214D" w:rsidRDefault="00000000">
      <w:pPr>
        <w:pStyle w:val="Zkladntext1"/>
        <w:framePr w:w="9198" w:h="4424" w:hRule="exact" w:wrap="none" w:vAnchor="page" w:hAnchor="page" w:x="1350" w:y="2173"/>
        <w:numPr>
          <w:ilvl w:val="0"/>
          <w:numId w:val="6"/>
        </w:numPr>
        <w:tabs>
          <w:tab w:val="left" w:pos="558"/>
        </w:tabs>
        <w:spacing w:after="0" w:line="283" w:lineRule="auto"/>
        <w:ind w:left="580" w:hanging="580"/>
        <w:jc w:val="both"/>
      </w:pPr>
      <w:r>
        <w:t>Smluvní strany berou na vědomí, že nebude-li smlouva uveřejněna ani do 3 měsíců ode dne jejího uzavření, je následujícím dnem zrušena od počátku s účinky případného bezdůvodného obohacení.</w:t>
      </w:r>
    </w:p>
    <w:p w14:paraId="68EC6C20" w14:textId="77777777" w:rsidR="0007214D" w:rsidRDefault="0007214D">
      <w:pPr>
        <w:pStyle w:val="Nadpis40"/>
        <w:framePr w:w="9198" w:h="3737" w:hRule="exact" w:wrap="none" w:vAnchor="page" w:hAnchor="page" w:x="1350" w:y="7105"/>
        <w:numPr>
          <w:ilvl w:val="0"/>
          <w:numId w:val="1"/>
        </w:numPr>
        <w:spacing w:line="257" w:lineRule="auto"/>
      </w:pPr>
    </w:p>
    <w:p w14:paraId="50FCF9BD" w14:textId="77777777" w:rsidR="0007214D" w:rsidRDefault="00000000">
      <w:pPr>
        <w:pStyle w:val="Zkladntext1"/>
        <w:framePr w:w="9198" w:h="3737" w:hRule="exact" w:wrap="none" w:vAnchor="page" w:hAnchor="page" w:x="1350" w:y="7105"/>
        <w:numPr>
          <w:ilvl w:val="0"/>
          <w:numId w:val="7"/>
        </w:numPr>
        <w:tabs>
          <w:tab w:val="left" w:pos="558"/>
        </w:tabs>
        <w:spacing w:line="283" w:lineRule="auto"/>
        <w:ind w:left="580" w:hanging="580"/>
        <w:jc w:val="both"/>
      </w:pPr>
      <w:r>
        <w:t>Smluvní strany berou na vědomí, že vlastnické právo k “předmětu směny č. 1 “přejde na „TJ Tesla“ a vlastnické právo k “předmětu směny č. 2“přejde na „Město“ dnem právních účinků vkladu vlastnického práva dle této směnné smlouvy do katastru nemovitostí.</w:t>
      </w:r>
    </w:p>
    <w:p w14:paraId="1405BA01" w14:textId="77777777" w:rsidR="0007214D" w:rsidRDefault="00000000">
      <w:pPr>
        <w:pStyle w:val="Zkladntext1"/>
        <w:framePr w:w="9198" w:h="3737" w:hRule="exact" w:wrap="none" w:vAnchor="page" w:hAnchor="page" w:x="1350" w:y="7105"/>
        <w:numPr>
          <w:ilvl w:val="0"/>
          <w:numId w:val="7"/>
        </w:numPr>
        <w:tabs>
          <w:tab w:val="left" w:pos="558"/>
        </w:tabs>
        <w:spacing w:line="283" w:lineRule="auto"/>
        <w:ind w:left="580" w:hanging="580"/>
        <w:jc w:val="both"/>
      </w:pPr>
      <w:r>
        <w:t>Obě strany se dohodly, že návrh na vklad vlastnického práva dle této smlouvy podá „Město“, které rovněž uhradí správní poplatek za přijetí návrhu na zahájení řízení o vkladu do katastru nemovitostí.</w:t>
      </w:r>
    </w:p>
    <w:p w14:paraId="3ABD72E2" w14:textId="77777777" w:rsidR="0007214D" w:rsidRDefault="00000000">
      <w:pPr>
        <w:pStyle w:val="Zkladntext1"/>
        <w:framePr w:w="9198" w:h="3737" w:hRule="exact" w:wrap="none" w:vAnchor="page" w:hAnchor="page" w:x="1350" w:y="7105"/>
        <w:numPr>
          <w:ilvl w:val="0"/>
          <w:numId w:val="7"/>
        </w:numPr>
        <w:tabs>
          <w:tab w:val="left" w:pos="558"/>
        </w:tabs>
        <w:spacing w:after="0"/>
        <w:ind w:left="580" w:hanging="580"/>
        <w:jc w:val="both"/>
      </w:pPr>
      <w:r>
        <w:t>V případě, že bude u Katastrálního úřadu pro Pardubický kraj, Katastrálního pracoviště Pardubice, vklad vlastnického práva dle této směnné smlouvy zamítnut, pak se smluvní strany zavazují poskytnout si maximální součinnost, aby k zápisu vlastnického práva došlo.</w:t>
      </w:r>
    </w:p>
    <w:p w14:paraId="10ED1CA0" w14:textId="77777777" w:rsidR="0007214D" w:rsidRDefault="0007214D">
      <w:pPr>
        <w:pStyle w:val="Nadpis40"/>
        <w:framePr w:w="9198" w:h="274" w:hRule="exact" w:wrap="none" w:vAnchor="page" w:hAnchor="page" w:x="1350" w:y="11734"/>
        <w:numPr>
          <w:ilvl w:val="0"/>
          <w:numId w:val="1"/>
        </w:numPr>
        <w:spacing w:after="0" w:line="240" w:lineRule="auto"/>
      </w:pPr>
    </w:p>
    <w:p w14:paraId="736FD567" w14:textId="77777777" w:rsidR="0007214D" w:rsidRDefault="00000000">
      <w:pPr>
        <w:pStyle w:val="Zkladntext1"/>
        <w:framePr w:w="9198" w:h="2966" w:hRule="exact" w:wrap="none" w:vAnchor="page" w:hAnchor="page" w:x="1350" w:y="12285"/>
        <w:numPr>
          <w:ilvl w:val="0"/>
          <w:numId w:val="8"/>
        </w:numPr>
        <w:tabs>
          <w:tab w:val="left" w:pos="558"/>
        </w:tabs>
        <w:spacing w:after="120" w:line="283" w:lineRule="auto"/>
        <w:ind w:left="580" w:hanging="580"/>
        <w:jc w:val="both"/>
      </w:pPr>
      <w:r>
        <w:t>Tato smlouva nabývá platnosti dnem podpisu obou smluvních stran a účinnosti dnem uveřejnění v registru smluv.</w:t>
      </w:r>
    </w:p>
    <w:p w14:paraId="245AC1DD" w14:textId="77777777" w:rsidR="0007214D" w:rsidRDefault="00000000">
      <w:pPr>
        <w:pStyle w:val="Zkladntext1"/>
        <w:framePr w:w="9198" w:h="2966" w:hRule="exact" w:wrap="none" w:vAnchor="page" w:hAnchor="page" w:x="1350" w:y="12285"/>
        <w:numPr>
          <w:ilvl w:val="0"/>
          <w:numId w:val="8"/>
        </w:numPr>
        <w:tabs>
          <w:tab w:val="left" w:pos="558"/>
        </w:tabs>
        <w:spacing w:after="120" w:line="283" w:lineRule="auto"/>
        <w:ind w:left="580" w:hanging="580"/>
        <w:jc w:val="both"/>
      </w:pPr>
      <w:r>
        <w:t>Práva a povinnosti touto smlouvou výslovně neupravené se řídí příslušnými ustanoveními občanského zákoníku. Ukáže-li se některé ustanovení této smlouvy neplatné, nemá tato skutečnost vliv na platnost ostatních ustanovení. Tuto smlouvu lze měnit pouze se souhlasem obou zúčastněných stran formou písemných dodatků. Jinou formou nežli písemnou tuto smlouvu změnit nelze</w:t>
      </w:r>
    </w:p>
    <w:p w14:paraId="48CBEF0F" w14:textId="77777777" w:rsidR="0007214D" w:rsidRDefault="00000000">
      <w:pPr>
        <w:pStyle w:val="Zkladntext1"/>
        <w:framePr w:w="9198" w:h="2966" w:hRule="exact" w:wrap="none" w:vAnchor="page" w:hAnchor="page" w:x="1350" w:y="12285"/>
        <w:numPr>
          <w:ilvl w:val="0"/>
          <w:numId w:val="8"/>
        </w:numPr>
        <w:tabs>
          <w:tab w:val="left" w:pos="558"/>
        </w:tabs>
        <w:spacing w:after="0" w:line="283" w:lineRule="auto"/>
        <w:ind w:left="580" w:hanging="580"/>
        <w:jc w:val="both"/>
      </w:pPr>
      <w:r>
        <w:t>Smlouva je vyhotovena ve 4 vyhotoveních, přičemž všechny mají platnost originálu. „TJ Tesla" obdrží 1 vyhotovení, „Město“ 2 vyhotovení, jedno vyhotovení smlouvy bude přílohou návrhu na vklad práva do katastru nemovitostí.</w:t>
      </w:r>
    </w:p>
    <w:p w14:paraId="529EFFFE" w14:textId="77777777" w:rsidR="0007214D" w:rsidRDefault="00000000">
      <w:pPr>
        <w:pStyle w:val="Zhlavnebozpat0"/>
        <w:framePr w:wrap="none" w:vAnchor="page" w:hAnchor="page" w:x="5886" w:y="16047"/>
      </w:pPr>
      <w:r>
        <w:t>4</w:t>
      </w:r>
    </w:p>
    <w:p w14:paraId="38CFA28B" w14:textId="77777777" w:rsidR="0007214D" w:rsidRDefault="0007214D">
      <w:pPr>
        <w:spacing w:line="1" w:lineRule="exact"/>
        <w:sectPr w:rsidR="0007214D">
          <w:pgSz w:w="11900" w:h="16840"/>
          <w:pgMar w:top="360" w:right="360" w:bottom="360" w:left="360" w:header="0" w:footer="3" w:gutter="0"/>
          <w:cols w:space="720"/>
          <w:noEndnote/>
          <w:docGrid w:linePitch="360"/>
        </w:sectPr>
      </w:pPr>
    </w:p>
    <w:p w14:paraId="109B7E39" w14:textId="77777777" w:rsidR="0007214D" w:rsidRDefault="0007214D">
      <w:pPr>
        <w:spacing w:line="1" w:lineRule="exact"/>
      </w:pPr>
    </w:p>
    <w:p w14:paraId="38460E60" w14:textId="77777777" w:rsidR="0007214D" w:rsidRDefault="00000000">
      <w:pPr>
        <w:pStyle w:val="Zkladntext1"/>
        <w:framePr w:w="9198" w:h="814" w:hRule="exact" w:wrap="none" w:vAnchor="page" w:hAnchor="page" w:x="1350" w:y="1262"/>
        <w:numPr>
          <w:ilvl w:val="0"/>
          <w:numId w:val="8"/>
        </w:numPr>
        <w:tabs>
          <w:tab w:val="left" w:pos="551"/>
        </w:tabs>
        <w:spacing w:after="0"/>
        <w:ind w:left="600" w:hanging="600"/>
      </w:pPr>
      <w:r>
        <w:t>Smluvní strany shodně prohlašují, že si tuto smlouvu před jejím podpisem přečetly, že se obsah shoduje s vážným a svobodným projevem jejich vůle a že smlouva byla sepsána na základě pravdivých skutečností. Na důkaz připojují vlastnoruční podpisy.</w:t>
      </w:r>
    </w:p>
    <w:p w14:paraId="72A23F28" w14:textId="77777777" w:rsidR="0007214D" w:rsidRDefault="00000000">
      <w:pPr>
        <w:pStyle w:val="Zkladntext1"/>
        <w:framePr w:w="9198" w:h="2516" w:hRule="exact" w:wrap="none" w:vAnchor="page" w:hAnchor="page" w:x="1350" w:y="2184"/>
        <w:numPr>
          <w:ilvl w:val="0"/>
          <w:numId w:val="8"/>
        </w:numPr>
        <w:tabs>
          <w:tab w:val="left" w:pos="551"/>
        </w:tabs>
        <w:spacing w:after="120"/>
        <w:ind w:left="600" w:hanging="600"/>
      </w:pPr>
      <w:r>
        <w:t>Záměr směny nemovitostí uvedených v článku I této směnné smlouvy byl zveřejněn na úřední desce Statutárního města Pardubice dne 15.5.2024 a z úřední desky sejmut dne 31.5.2024.</w:t>
      </w:r>
    </w:p>
    <w:p w14:paraId="555DC9E8" w14:textId="77777777" w:rsidR="0007214D" w:rsidRDefault="00000000">
      <w:pPr>
        <w:pStyle w:val="Zkladntext1"/>
        <w:framePr w:w="9198" w:h="2516" w:hRule="exact" w:wrap="none" w:vAnchor="page" w:hAnchor="page" w:x="1350" w:y="2184"/>
        <w:spacing w:after="440" w:line="286" w:lineRule="auto"/>
        <w:ind w:left="600"/>
      </w:pPr>
      <w:r>
        <w:t xml:space="preserve">Uzavření této smlouvy bylo schváleno usnesením Zastupitelstva Statutárního města Pardubice </w:t>
      </w:r>
      <w:r>
        <w:rPr>
          <w:b/>
          <w:bCs/>
        </w:rPr>
        <w:t>č. Z/1775/2025 dne 31.3.2025.</w:t>
      </w:r>
    </w:p>
    <w:p w14:paraId="0A17A42C" w14:textId="3053AF8A" w:rsidR="0007214D" w:rsidRDefault="00000000">
      <w:pPr>
        <w:pStyle w:val="Nadpis10"/>
        <w:framePr w:w="9198" w:h="2516" w:hRule="exact" w:wrap="none" w:vAnchor="page" w:hAnchor="page" w:x="1350" w:y="2184"/>
        <w:spacing w:after="0"/>
        <w:ind w:left="2500"/>
        <w:rPr>
          <w:sz w:val="32"/>
          <w:szCs w:val="32"/>
        </w:rPr>
      </w:pPr>
      <w:bookmarkStart w:id="3" w:name="bookmark14"/>
      <w:r>
        <w:rPr>
          <w:rFonts w:ascii="Calibri" w:eastAsia="Calibri" w:hAnsi="Calibri" w:cs="Calibri"/>
          <w:b w:val="0"/>
          <w:bCs w:val="0"/>
          <w:w w:val="60"/>
          <w:sz w:val="32"/>
          <w:szCs w:val="32"/>
        </w:rPr>
        <w:t>1 8 -05- 202</w:t>
      </w:r>
      <w:bookmarkEnd w:id="3"/>
      <w:r w:rsidR="000F0A9B">
        <w:rPr>
          <w:rFonts w:ascii="Calibri" w:eastAsia="Calibri" w:hAnsi="Calibri" w:cs="Calibri"/>
          <w:b w:val="0"/>
          <w:bCs w:val="0"/>
          <w:w w:val="60"/>
          <w:sz w:val="32"/>
          <w:szCs w:val="32"/>
        </w:rPr>
        <w:t>6</w:t>
      </w:r>
    </w:p>
    <w:p w14:paraId="4801EC1F" w14:textId="77777777" w:rsidR="0007214D" w:rsidRDefault="00000000">
      <w:pPr>
        <w:pStyle w:val="Zkladntext1"/>
        <w:framePr w:w="9198" w:h="2516" w:hRule="exact" w:wrap="none" w:vAnchor="page" w:hAnchor="page" w:x="1350" w:y="2184"/>
        <w:tabs>
          <w:tab w:val="left" w:leader="dot" w:pos="3258"/>
        </w:tabs>
        <w:spacing w:after="0" w:line="233" w:lineRule="auto"/>
      </w:pPr>
      <w:r>
        <w:t>V Pardubicích dne</w:t>
      </w:r>
      <w:r>
        <w:tab/>
      </w:r>
    </w:p>
    <w:p w14:paraId="0CCC4DB0" w14:textId="77777777" w:rsidR="0007214D" w:rsidRDefault="00000000">
      <w:pPr>
        <w:pStyle w:val="Zkladntext1"/>
        <w:framePr w:w="9198" w:h="832" w:hRule="exact" w:wrap="none" w:vAnchor="page" w:hAnchor="page" w:x="1350" w:y="6709"/>
        <w:spacing w:after="0" w:line="283" w:lineRule="auto"/>
        <w:ind w:firstLine="680"/>
      </w:pPr>
      <w:r>
        <w:rPr>
          <w:b/>
          <w:bCs/>
        </w:rPr>
        <w:t>za „Město“</w:t>
      </w:r>
    </w:p>
    <w:p w14:paraId="14CD060C" w14:textId="77777777" w:rsidR="0007214D" w:rsidRDefault="00000000">
      <w:pPr>
        <w:pStyle w:val="Zkladntext1"/>
        <w:framePr w:w="9198" w:h="832" w:hRule="exact" w:wrap="none" w:vAnchor="page" w:hAnchor="page" w:x="1350" w:y="6709"/>
        <w:spacing w:after="0" w:line="283" w:lineRule="auto"/>
        <w:ind w:left="51"/>
      </w:pPr>
      <w:r>
        <w:t>Jan Nadrchal</w:t>
      </w:r>
      <w:r>
        <w:br/>
        <w:t>primátor města</w:t>
      </w:r>
    </w:p>
    <w:p w14:paraId="186DBB2D" w14:textId="77777777" w:rsidR="0007214D" w:rsidRDefault="00000000">
      <w:pPr>
        <w:pStyle w:val="Zkladntext1"/>
        <w:framePr w:w="1764" w:h="835" w:hRule="exact" w:wrap="none" w:vAnchor="page" w:hAnchor="page" w:x="6919" w:y="6702"/>
        <w:spacing w:after="0" w:line="286" w:lineRule="auto"/>
        <w:ind w:right="10"/>
        <w:jc w:val="center"/>
      </w:pPr>
      <w:r>
        <w:rPr>
          <w:b/>
          <w:bCs/>
        </w:rPr>
        <w:t>za „TJ Tesla“</w:t>
      </w:r>
    </w:p>
    <w:p w14:paraId="44B26565" w14:textId="77777777" w:rsidR="0007214D" w:rsidRDefault="00000000">
      <w:pPr>
        <w:pStyle w:val="Zkladntext1"/>
        <w:framePr w:w="1764" w:h="835" w:hRule="exact" w:wrap="none" w:vAnchor="page" w:hAnchor="page" w:x="6919" w:y="6702"/>
        <w:spacing w:after="0" w:line="286" w:lineRule="auto"/>
        <w:ind w:right="10"/>
        <w:jc w:val="center"/>
      </w:pPr>
      <w:r>
        <w:t>Ing. Petr Netolický</w:t>
      </w:r>
      <w:r>
        <w:br/>
        <w:t>předseda spolku</w:t>
      </w:r>
    </w:p>
    <w:p w14:paraId="0AE8A870" w14:textId="77777777" w:rsidR="0007214D" w:rsidRDefault="00000000">
      <w:pPr>
        <w:pStyle w:val="Zhlavnebozpat0"/>
        <w:framePr w:wrap="none" w:vAnchor="page" w:hAnchor="page" w:x="5944" w:y="16026"/>
      </w:pPr>
      <w:r>
        <w:t>5</w:t>
      </w:r>
    </w:p>
    <w:p w14:paraId="1A9294E0" w14:textId="77777777" w:rsidR="0007214D" w:rsidRDefault="0007214D">
      <w:pPr>
        <w:spacing w:line="1" w:lineRule="exact"/>
      </w:pPr>
    </w:p>
    <w:sectPr w:rsidR="0007214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D6E3" w14:textId="77777777" w:rsidR="00504FDD" w:rsidRDefault="00504FDD">
      <w:r>
        <w:separator/>
      </w:r>
    </w:p>
  </w:endnote>
  <w:endnote w:type="continuationSeparator" w:id="0">
    <w:p w14:paraId="41DAC67E" w14:textId="77777777" w:rsidR="00504FDD" w:rsidRDefault="0050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CAC6" w14:textId="77777777" w:rsidR="00504FDD" w:rsidRDefault="00504FDD"/>
  </w:footnote>
  <w:footnote w:type="continuationSeparator" w:id="0">
    <w:p w14:paraId="004CE1BE" w14:textId="77777777" w:rsidR="00504FDD" w:rsidRDefault="00504F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394"/>
    <w:multiLevelType w:val="multilevel"/>
    <w:tmpl w:val="481498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464F7B"/>
    <w:multiLevelType w:val="multilevel"/>
    <w:tmpl w:val="B540DB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745E09"/>
    <w:multiLevelType w:val="multilevel"/>
    <w:tmpl w:val="4D4256D2"/>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206E7E"/>
    <w:multiLevelType w:val="multilevel"/>
    <w:tmpl w:val="5ECAF0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0F4E50"/>
    <w:multiLevelType w:val="multilevel"/>
    <w:tmpl w:val="4CF4A5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D26C6B"/>
    <w:multiLevelType w:val="multilevel"/>
    <w:tmpl w:val="0102EC76"/>
    <w:lvl w:ilvl="0">
      <w:start w:val="10"/>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4663D3"/>
    <w:multiLevelType w:val="multilevel"/>
    <w:tmpl w:val="D660C6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9D2809"/>
    <w:multiLevelType w:val="multilevel"/>
    <w:tmpl w:val="4E8000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2120148">
    <w:abstractNumId w:val="2"/>
  </w:num>
  <w:num w:numId="2" w16cid:durableId="668097620">
    <w:abstractNumId w:val="1"/>
  </w:num>
  <w:num w:numId="3" w16cid:durableId="97338020">
    <w:abstractNumId w:val="6"/>
  </w:num>
  <w:num w:numId="4" w16cid:durableId="757137492">
    <w:abstractNumId w:val="5"/>
  </w:num>
  <w:num w:numId="5" w16cid:durableId="291206446">
    <w:abstractNumId w:val="3"/>
  </w:num>
  <w:num w:numId="6" w16cid:durableId="1910118197">
    <w:abstractNumId w:val="4"/>
  </w:num>
  <w:num w:numId="7" w16cid:durableId="349911567">
    <w:abstractNumId w:val="0"/>
  </w:num>
  <w:num w:numId="8" w16cid:durableId="1193494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4D"/>
    <w:rsid w:val="0007214D"/>
    <w:rsid w:val="000F0A9B"/>
    <w:rsid w:val="00504FDD"/>
    <w:rsid w:val="00927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6EEE"/>
  <w15:docId w15:val="{20DBF012-AD5F-404E-B451-DC406386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paragraph" w:customStyle="1" w:styleId="Zhlavnebozpat0">
    <w:name w:val="Záhlaví nebo zápatí"/>
    <w:basedOn w:val="Normln"/>
    <w:link w:val="Zhlavnebozpat"/>
    <w:rPr>
      <w:rFonts w:ascii="Times New Roman" w:eastAsia="Times New Roman" w:hAnsi="Times New Roman" w:cs="Times New Roman"/>
      <w:sz w:val="20"/>
      <w:szCs w:val="20"/>
    </w:rPr>
  </w:style>
  <w:style w:type="paragraph" w:customStyle="1" w:styleId="Nadpis20">
    <w:name w:val="Nadpis #2"/>
    <w:basedOn w:val="Normln"/>
    <w:link w:val="Nadpis2"/>
    <w:pPr>
      <w:spacing w:after="440" w:line="197" w:lineRule="auto"/>
      <w:ind w:left="920" w:firstLine="5360"/>
      <w:outlineLvl w:val="1"/>
    </w:pPr>
    <w:rPr>
      <w:rFonts w:ascii="Arial" w:eastAsia="Arial" w:hAnsi="Arial" w:cs="Arial"/>
    </w:rPr>
  </w:style>
  <w:style w:type="paragraph" w:customStyle="1" w:styleId="Zkladntext1">
    <w:name w:val="Základní text1"/>
    <w:basedOn w:val="Normln"/>
    <w:link w:val="Zkladntext"/>
    <w:pPr>
      <w:spacing w:after="240" w:line="276" w:lineRule="auto"/>
    </w:pPr>
    <w:rPr>
      <w:rFonts w:ascii="Arial" w:eastAsia="Arial" w:hAnsi="Arial" w:cs="Arial"/>
      <w:sz w:val="20"/>
      <w:szCs w:val="20"/>
    </w:rPr>
  </w:style>
  <w:style w:type="paragraph" w:customStyle="1" w:styleId="Nadpis40">
    <w:name w:val="Nadpis #4"/>
    <w:basedOn w:val="Normln"/>
    <w:link w:val="Nadpis4"/>
    <w:pPr>
      <w:spacing w:after="240" w:line="247" w:lineRule="auto"/>
      <w:jc w:val="center"/>
      <w:outlineLvl w:val="3"/>
    </w:pPr>
    <w:rPr>
      <w:rFonts w:ascii="Arial" w:eastAsia="Arial" w:hAnsi="Arial" w:cs="Arial"/>
      <w:b/>
      <w:bCs/>
      <w:sz w:val="22"/>
      <w:szCs w:val="22"/>
    </w:rPr>
  </w:style>
  <w:style w:type="paragraph" w:customStyle="1" w:styleId="Nadpis30">
    <w:name w:val="Nadpis #3"/>
    <w:basedOn w:val="Normln"/>
    <w:link w:val="Nadpis3"/>
    <w:pPr>
      <w:spacing w:after="230"/>
      <w:jc w:val="center"/>
      <w:outlineLvl w:val="2"/>
    </w:pPr>
    <w:rPr>
      <w:rFonts w:ascii="Arial" w:eastAsia="Arial" w:hAnsi="Arial" w:cs="Arial"/>
      <w:b/>
      <w:bCs/>
      <w:sz w:val="20"/>
      <w:szCs w:val="20"/>
    </w:rPr>
  </w:style>
  <w:style w:type="paragraph" w:customStyle="1" w:styleId="Nadpis10">
    <w:name w:val="Nadpis #1"/>
    <w:basedOn w:val="Normln"/>
    <w:link w:val="Nadpis1"/>
    <w:pPr>
      <w:spacing w:after="200"/>
      <w:outlineLvl w:val="0"/>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1678</Words>
  <Characters>9901</Characters>
  <Application>Microsoft Office Word</Application>
  <DocSecurity>0</DocSecurity>
  <Lines>82</Lines>
  <Paragraphs>23</Paragraphs>
  <ScaleCrop>false</ScaleCrop>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Randusová Irena</cp:lastModifiedBy>
  <cp:revision>2</cp:revision>
  <dcterms:created xsi:type="dcterms:W3CDTF">2026-05-19T07:41:00Z</dcterms:created>
  <dcterms:modified xsi:type="dcterms:W3CDTF">2026-05-19T07:43:00Z</dcterms:modified>
</cp:coreProperties>
</file>