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B600" w14:textId="5B9561A7" w:rsidR="00933822" w:rsidRPr="00933822" w:rsidRDefault="00933822" w:rsidP="00933822">
      <w:pPr>
        <w:pStyle w:val="Nzev"/>
        <w:spacing w:after="0" w:line="259" w:lineRule="auto"/>
        <w:contextualSpacing w:val="0"/>
        <w:jc w:val="center"/>
        <w:rPr>
          <w:rFonts w:ascii="Arial" w:eastAsiaTheme="minorHAnsi" w:hAnsi="Arial" w:cs="Arial"/>
          <w:b/>
          <w:spacing w:val="0"/>
          <w:kern w:val="0"/>
          <w:sz w:val="28"/>
          <w:szCs w:val="28"/>
        </w:rPr>
      </w:pPr>
      <w:r w:rsidRPr="00933822">
        <w:rPr>
          <w:rFonts w:ascii="Arial" w:eastAsiaTheme="minorHAnsi" w:hAnsi="Arial" w:cs="Arial"/>
          <w:b/>
          <w:noProof/>
          <w:spacing w:val="0"/>
          <w:kern w:val="0"/>
          <w:sz w:val="28"/>
          <w:szCs w:val="28"/>
        </w:rPr>
        <w:drawing>
          <wp:anchor distT="0" distB="0" distL="114300" distR="114300" simplePos="0" relativeHeight="251659264" behindDoc="0" locked="1" layoutInCell="1" allowOverlap="1" wp14:anchorId="17F7B92B" wp14:editId="15875621">
            <wp:simplePos x="0" y="0"/>
            <wp:positionH relativeFrom="column">
              <wp:posOffset>104987</wp:posOffset>
            </wp:positionH>
            <wp:positionV relativeFrom="paragraph">
              <wp:posOffset>4445</wp:posOffset>
            </wp:positionV>
            <wp:extent cx="489600" cy="518400"/>
            <wp:effectExtent l="0" t="0" r="5715" b="0"/>
            <wp:wrapNone/>
            <wp:docPr id="4" name="Obrázek 3" descr="Logo bystři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5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822">
        <w:rPr>
          <w:rFonts w:ascii="Arial" w:eastAsiaTheme="minorHAnsi" w:hAnsi="Arial" w:cs="Arial"/>
          <w:b/>
          <w:spacing w:val="0"/>
          <w:kern w:val="0"/>
          <w:sz w:val="28"/>
          <w:szCs w:val="28"/>
        </w:rPr>
        <w:t>Veřejnoprávní smlouva o poskytnutí grantu</w:t>
      </w:r>
    </w:p>
    <w:p w14:paraId="0649E749" w14:textId="554E1855" w:rsidR="00933822" w:rsidRPr="002454D9" w:rsidRDefault="00FF3E45" w:rsidP="00933822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F3E45">
        <w:rPr>
          <w:rFonts w:ascii="Arial" w:hAnsi="Arial" w:cs="Arial"/>
          <w:sz w:val="28"/>
          <w:szCs w:val="28"/>
        </w:rPr>
        <w:t>SMLVS/2026/0006/OCRV</w:t>
      </w:r>
    </w:p>
    <w:p w14:paraId="5C3A815B" w14:textId="77777777" w:rsidR="00933822" w:rsidRDefault="00933822" w:rsidP="00933822">
      <w:pPr>
        <w:spacing w:after="0"/>
        <w:rPr>
          <w:rFonts w:ascii="Arial" w:hAnsi="Arial" w:cs="Arial"/>
        </w:rPr>
      </w:pPr>
    </w:p>
    <w:p w14:paraId="4B8175D8" w14:textId="77777777" w:rsidR="00933822" w:rsidRDefault="00933822" w:rsidP="00933822">
      <w:pPr>
        <w:spacing w:after="0"/>
        <w:rPr>
          <w:rFonts w:ascii="Arial" w:hAnsi="Arial" w:cs="Arial"/>
        </w:rPr>
      </w:pPr>
    </w:p>
    <w:p w14:paraId="4092CDFD" w14:textId="77777777" w:rsidR="00933822" w:rsidRPr="00846DFA" w:rsidRDefault="00933822" w:rsidP="00933822">
      <w:pPr>
        <w:spacing w:after="0"/>
        <w:rPr>
          <w:rFonts w:ascii="Arial" w:hAnsi="Arial" w:cs="Arial"/>
          <w:b/>
          <w:bCs/>
        </w:rPr>
      </w:pPr>
      <w:r w:rsidRPr="00846DFA"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Město Bystřice pod H</w:t>
      </w:r>
      <w:r w:rsidRPr="00846DFA">
        <w:rPr>
          <w:rFonts w:ascii="Arial" w:hAnsi="Arial" w:cs="Arial"/>
          <w:b/>
          <w:bCs/>
        </w:rPr>
        <w:t>ostýnem</w:t>
      </w:r>
    </w:p>
    <w:p w14:paraId="5AF539AD" w14:textId="77777777" w:rsidR="00933822" w:rsidRPr="00846DFA" w:rsidRDefault="00933822" w:rsidP="009338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sídlo</w:t>
      </w:r>
      <w:r w:rsidRPr="00846DFA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Masarykovo nám</w:t>
      </w:r>
      <w:r w:rsidRPr="00846DFA">
        <w:rPr>
          <w:rFonts w:ascii="Arial" w:hAnsi="Arial" w:cs="Arial"/>
        </w:rPr>
        <w:t>. 137, 768 61 Bystřice pod Hostýnem</w:t>
      </w:r>
    </w:p>
    <w:p w14:paraId="0CB288BA" w14:textId="3B769554" w:rsidR="00933822" w:rsidRPr="00846DFA" w:rsidRDefault="00933822" w:rsidP="009338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zastoupeno</w:t>
      </w:r>
      <w:r w:rsidRPr="00846DF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="00495065">
        <w:rPr>
          <w:rFonts w:ascii="Arial" w:hAnsi="Arial" w:cs="Arial"/>
        </w:rPr>
        <w:t>Mgr. Mojmírem Heryánem</w:t>
      </w:r>
      <w:r>
        <w:rPr>
          <w:rFonts w:ascii="Arial" w:hAnsi="Arial" w:cs="Arial"/>
        </w:rPr>
        <w:t xml:space="preserve">, </w:t>
      </w:r>
      <w:r w:rsidR="00495065">
        <w:rPr>
          <w:rFonts w:ascii="Arial" w:hAnsi="Arial" w:cs="Arial"/>
        </w:rPr>
        <w:t>místo</w:t>
      </w:r>
      <w:r>
        <w:rPr>
          <w:rFonts w:ascii="Arial" w:hAnsi="Arial" w:cs="Arial"/>
        </w:rPr>
        <w:t>starostou m</w:t>
      </w:r>
      <w:r w:rsidRPr="00846DFA">
        <w:rPr>
          <w:rFonts w:ascii="Arial" w:hAnsi="Arial" w:cs="Arial"/>
        </w:rPr>
        <w:t>ěsta</w:t>
      </w:r>
    </w:p>
    <w:p w14:paraId="38340A1C" w14:textId="77777777" w:rsidR="00933822" w:rsidRPr="00846DFA" w:rsidRDefault="00933822" w:rsidP="00933822">
      <w:pPr>
        <w:spacing w:after="0"/>
        <w:rPr>
          <w:rFonts w:ascii="Arial" w:hAnsi="Arial" w:cs="Arial"/>
        </w:rPr>
      </w:pPr>
      <w:r w:rsidRPr="00846DFA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846DFA">
        <w:rPr>
          <w:rFonts w:ascii="Arial" w:hAnsi="Arial" w:cs="Arial"/>
        </w:rPr>
        <w:t>00287113</w:t>
      </w:r>
    </w:p>
    <w:p w14:paraId="3F749309" w14:textId="5705213F" w:rsidR="00933822" w:rsidRPr="00846DFA" w:rsidRDefault="00933822" w:rsidP="00933822">
      <w:pPr>
        <w:spacing w:after="0"/>
        <w:rPr>
          <w:rFonts w:ascii="Arial" w:hAnsi="Arial" w:cs="Arial"/>
        </w:rPr>
      </w:pPr>
      <w:r w:rsidRPr="00846DFA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C</w:t>
      </w:r>
      <w:r w:rsidRPr="00846DFA">
        <w:rPr>
          <w:rFonts w:ascii="Arial" w:hAnsi="Arial" w:cs="Arial"/>
        </w:rPr>
        <w:t>Z00287113</w:t>
      </w:r>
    </w:p>
    <w:p w14:paraId="7639A951" w14:textId="77777777" w:rsidR="00933822" w:rsidRPr="00DF7E54" w:rsidRDefault="00933822" w:rsidP="009338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>Kom</w:t>
      </w:r>
      <w:r w:rsidRPr="00846DFA">
        <w:rPr>
          <w:rFonts w:ascii="Arial" w:hAnsi="Arial" w:cs="Arial"/>
        </w:rPr>
        <w:t>erční banka,</w:t>
      </w:r>
      <w:r>
        <w:rPr>
          <w:rFonts w:ascii="Arial" w:hAnsi="Arial" w:cs="Arial"/>
        </w:rPr>
        <w:t xml:space="preserve"> a. s., číslo účtu</w:t>
      </w:r>
      <w:r w:rsidRPr="00DF7E54">
        <w:rPr>
          <w:rFonts w:ascii="Arial" w:hAnsi="Arial" w:cs="Arial"/>
        </w:rPr>
        <w:t>: 35-8746470267/0100</w:t>
      </w:r>
    </w:p>
    <w:p w14:paraId="1D217B98" w14:textId="77777777" w:rsidR="00933822" w:rsidRPr="00846DFA" w:rsidRDefault="00933822" w:rsidP="009338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jako</w:t>
      </w:r>
      <w:r w:rsidRPr="00846DFA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>poskytovatel</w:t>
      </w:r>
      <w:r w:rsidRPr="00846DF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„město“)</w:t>
      </w:r>
    </w:p>
    <w:p w14:paraId="288F30BD" w14:textId="77777777" w:rsidR="00933822" w:rsidRDefault="00933822" w:rsidP="00933822">
      <w:pPr>
        <w:spacing w:after="0"/>
        <w:rPr>
          <w:rFonts w:ascii="Arial" w:hAnsi="Arial" w:cs="Arial"/>
        </w:rPr>
      </w:pPr>
    </w:p>
    <w:p w14:paraId="184D972F" w14:textId="77777777" w:rsidR="00933822" w:rsidRPr="00846DFA" w:rsidRDefault="00933822" w:rsidP="00933822">
      <w:pPr>
        <w:spacing w:after="0"/>
        <w:rPr>
          <w:rFonts w:ascii="Arial" w:hAnsi="Arial" w:cs="Arial"/>
        </w:rPr>
      </w:pPr>
      <w:r w:rsidRPr="00846DFA">
        <w:rPr>
          <w:rFonts w:ascii="Arial" w:hAnsi="Arial" w:cs="Arial"/>
        </w:rPr>
        <w:t>a</w:t>
      </w:r>
    </w:p>
    <w:p w14:paraId="73AD955A" w14:textId="77777777" w:rsidR="00933822" w:rsidRDefault="00933822" w:rsidP="00933822">
      <w:pPr>
        <w:spacing w:after="0"/>
        <w:rPr>
          <w:rFonts w:ascii="Arial" w:hAnsi="Arial" w:cs="Arial"/>
        </w:rPr>
      </w:pPr>
    </w:p>
    <w:p w14:paraId="717DBDDC" w14:textId="77777777" w:rsidR="00933F0B" w:rsidRPr="00CE5A0E" w:rsidRDefault="00933F0B" w:rsidP="00933F0B">
      <w:pPr>
        <w:spacing w:after="0"/>
        <w:ind w:left="2124" w:hanging="2124"/>
        <w:rPr>
          <w:rFonts w:ascii="Arial" w:hAnsi="Arial" w:cs="Arial"/>
          <w:b/>
          <w:bCs/>
        </w:rPr>
      </w:pPr>
      <w:r w:rsidRPr="00846DFA">
        <w:rPr>
          <w:rFonts w:ascii="Arial" w:hAnsi="Arial" w:cs="Arial"/>
        </w:rPr>
        <w:t xml:space="preserve">název: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Asociace TOM ČR, TOM 3003 </w:t>
      </w:r>
      <w:proofErr w:type="spellStart"/>
      <w:r>
        <w:rPr>
          <w:rFonts w:ascii="Arial" w:hAnsi="Arial" w:cs="Arial"/>
          <w:b/>
        </w:rPr>
        <w:t>Pawnee</w:t>
      </w:r>
      <w:proofErr w:type="spellEnd"/>
    </w:p>
    <w:p w14:paraId="7FE9A28B" w14:textId="77777777" w:rsidR="00933F0B" w:rsidRPr="00CE5A0E" w:rsidRDefault="00933F0B" w:rsidP="00933F0B">
      <w:pPr>
        <w:spacing w:after="0"/>
        <w:rPr>
          <w:rFonts w:ascii="Arial" w:hAnsi="Arial" w:cs="Arial"/>
        </w:rPr>
      </w:pPr>
      <w:r w:rsidRPr="00846DFA"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6D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Pod Zábřehem 1503, 768 61 Bystřice pod Hostýnem</w:t>
      </w:r>
    </w:p>
    <w:p w14:paraId="410DB7FD" w14:textId="2D18CE07" w:rsidR="00933F0B" w:rsidRPr="00CE5A0E" w:rsidRDefault="00933F0B" w:rsidP="00933F0B">
      <w:pPr>
        <w:spacing w:after="0"/>
        <w:rPr>
          <w:rFonts w:ascii="Arial" w:hAnsi="Arial" w:cs="Arial"/>
        </w:rPr>
      </w:pPr>
      <w:r w:rsidRPr="00CE5A0E">
        <w:rPr>
          <w:rFonts w:ascii="Arial" w:hAnsi="Arial" w:cs="Arial"/>
        </w:rPr>
        <w:t>zastoupen</w:t>
      </w:r>
      <w:r w:rsidR="00B84E2D">
        <w:rPr>
          <w:rFonts w:ascii="Arial" w:hAnsi="Arial" w:cs="Arial"/>
        </w:rPr>
        <w:t>a</w:t>
      </w:r>
      <w:r w:rsidRPr="00CE5A0E">
        <w:rPr>
          <w:rFonts w:ascii="Arial" w:hAnsi="Arial" w:cs="Arial"/>
        </w:rPr>
        <w:t xml:space="preserve">: </w:t>
      </w:r>
      <w:r w:rsidRPr="00CE5A0E">
        <w:rPr>
          <w:rFonts w:ascii="Arial" w:hAnsi="Arial" w:cs="Arial"/>
        </w:rPr>
        <w:tab/>
        <w:t xml:space="preserve"> </w:t>
      </w:r>
      <w:r w:rsidRPr="00CE5A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Zdeňkem </w:t>
      </w:r>
      <w:proofErr w:type="spellStart"/>
      <w:r>
        <w:rPr>
          <w:rFonts w:ascii="Arial" w:hAnsi="Arial" w:cs="Arial"/>
        </w:rPr>
        <w:t>Rolincem</w:t>
      </w:r>
      <w:proofErr w:type="spellEnd"/>
      <w:r>
        <w:rPr>
          <w:rFonts w:ascii="Arial" w:hAnsi="Arial" w:cs="Arial"/>
        </w:rPr>
        <w:t>, vedoucí</w:t>
      </w:r>
      <w:r w:rsidR="00B84E2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oddílu</w:t>
      </w:r>
    </w:p>
    <w:p w14:paraId="46584ABD" w14:textId="77777777" w:rsidR="00933F0B" w:rsidRPr="00CE5A0E" w:rsidRDefault="00933F0B" w:rsidP="00933F0B">
      <w:pPr>
        <w:spacing w:after="0"/>
        <w:rPr>
          <w:rFonts w:ascii="Arial" w:hAnsi="Arial" w:cs="Arial"/>
        </w:rPr>
      </w:pPr>
      <w:r w:rsidRPr="00CE5A0E">
        <w:rPr>
          <w:rFonts w:ascii="Arial" w:hAnsi="Arial" w:cs="Arial"/>
        </w:rPr>
        <w:t xml:space="preserve">IČ: </w:t>
      </w:r>
      <w:r w:rsidRPr="00CE5A0E">
        <w:rPr>
          <w:rFonts w:ascii="Arial" w:hAnsi="Arial" w:cs="Arial"/>
        </w:rPr>
        <w:tab/>
      </w:r>
      <w:r w:rsidRPr="00CE5A0E">
        <w:rPr>
          <w:rFonts w:ascii="Arial" w:hAnsi="Arial" w:cs="Arial"/>
        </w:rPr>
        <w:tab/>
        <w:t xml:space="preserve"> </w:t>
      </w:r>
      <w:r w:rsidRPr="00CE5A0E">
        <w:rPr>
          <w:rFonts w:ascii="Arial" w:hAnsi="Arial" w:cs="Arial"/>
        </w:rPr>
        <w:tab/>
      </w:r>
      <w:r>
        <w:rPr>
          <w:rFonts w:ascii="Arial" w:hAnsi="Arial" w:cs="Arial"/>
        </w:rPr>
        <w:t>60383119</w:t>
      </w:r>
    </w:p>
    <w:p w14:paraId="443808BB" w14:textId="77777777" w:rsidR="00933F0B" w:rsidRPr="00DF3587" w:rsidRDefault="00933F0B" w:rsidP="00933F0B">
      <w:pPr>
        <w:spacing w:after="0"/>
        <w:rPr>
          <w:rFonts w:ascii="Arial" w:hAnsi="Arial" w:cs="Arial"/>
        </w:rPr>
      </w:pPr>
      <w:r w:rsidRPr="00CE5A0E">
        <w:rPr>
          <w:rFonts w:ascii="Arial" w:hAnsi="Arial" w:cs="Arial"/>
        </w:rPr>
        <w:t xml:space="preserve">bankovní spojení: </w:t>
      </w:r>
      <w:r w:rsidRPr="00CE5A0E">
        <w:rPr>
          <w:rFonts w:ascii="Arial" w:hAnsi="Arial" w:cs="Arial"/>
        </w:rPr>
        <w:tab/>
      </w:r>
      <w:r w:rsidRPr="00243694">
        <w:rPr>
          <w:rFonts w:ascii="Arial" w:hAnsi="Arial" w:cs="Arial"/>
          <w:color w:val="000000"/>
        </w:rPr>
        <w:t>ČSOB, a.s., číslo účtu: 155769818/0300</w:t>
      </w:r>
    </w:p>
    <w:p w14:paraId="7EC5901F" w14:textId="34B3C022" w:rsidR="002936CE" w:rsidRDefault="00933F0B" w:rsidP="00933F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zapsáno: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43694">
        <w:rPr>
          <w:rFonts w:ascii="Arial" w:hAnsi="Arial" w:cs="Arial"/>
        </w:rPr>
        <w:t>Městsk</w:t>
      </w:r>
      <w:r>
        <w:rPr>
          <w:rFonts w:ascii="Arial" w:hAnsi="Arial" w:cs="Arial"/>
        </w:rPr>
        <w:t>ým</w:t>
      </w:r>
      <w:r w:rsidRPr="00243694">
        <w:rPr>
          <w:rFonts w:ascii="Arial" w:hAnsi="Arial" w:cs="Arial"/>
        </w:rPr>
        <w:t xml:space="preserve"> soud</w:t>
      </w:r>
      <w:r>
        <w:rPr>
          <w:rFonts w:ascii="Arial" w:hAnsi="Arial" w:cs="Arial"/>
        </w:rPr>
        <w:t>em</w:t>
      </w:r>
      <w:r w:rsidRPr="00243694">
        <w:rPr>
          <w:rFonts w:ascii="Arial" w:hAnsi="Arial" w:cs="Arial"/>
        </w:rPr>
        <w:t xml:space="preserve"> v Praze, oddíl L, vložka 41338</w:t>
      </w:r>
      <w:r w:rsidR="002936CE" w:rsidRPr="002936CE">
        <w:rPr>
          <w:rFonts w:ascii="Arial" w:hAnsi="Arial" w:cs="Arial"/>
        </w:rPr>
        <w:t xml:space="preserve"> </w:t>
      </w:r>
    </w:p>
    <w:p w14:paraId="6A6F1218" w14:textId="1D591D4B" w:rsidR="00933822" w:rsidRPr="00846DFA" w:rsidRDefault="00933822" w:rsidP="002936C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jako „příjemce“)</w:t>
      </w:r>
    </w:p>
    <w:p w14:paraId="42160207" w14:textId="77777777" w:rsidR="00933822" w:rsidRDefault="00933822" w:rsidP="00933822">
      <w:pPr>
        <w:spacing w:after="0"/>
        <w:rPr>
          <w:rFonts w:ascii="Arial" w:hAnsi="Arial" w:cs="Arial"/>
        </w:rPr>
      </w:pPr>
    </w:p>
    <w:p w14:paraId="6158A22E" w14:textId="77777777" w:rsidR="00933822" w:rsidRDefault="00933822" w:rsidP="00933822">
      <w:pPr>
        <w:spacing w:after="0"/>
        <w:rPr>
          <w:rFonts w:ascii="Arial" w:hAnsi="Arial" w:cs="Arial"/>
        </w:rPr>
      </w:pPr>
    </w:p>
    <w:p w14:paraId="20529E2C" w14:textId="77777777" w:rsidR="00933822" w:rsidRDefault="00933822" w:rsidP="0093382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uzavírají níže uvedeného dne, měsíce a roku tuto veřejnoprávní smlouvu (dále v textu „smlouva“) dle ustanovení § 10a</w:t>
      </w:r>
      <w:r w:rsidRPr="00846DFA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 </w:t>
      </w:r>
      <w:r w:rsidRPr="00846DFA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250</w:t>
      </w:r>
      <w:r w:rsidRPr="00846DFA">
        <w:rPr>
          <w:rFonts w:ascii="Arial" w:hAnsi="Arial" w:cs="Arial"/>
        </w:rPr>
        <w:t>/</w:t>
      </w:r>
      <w:r>
        <w:rPr>
          <w:rFonts w:ascii="Arial" w:hAnsi="Arial" w:cs="Arial"/>
        </w:rPr>
        <w:t>2000</w:t>
      </w:r>
      <w:r w:rsidRPr="00846DFA">
        <w:rPr>
          <w:rFonts w:ascii="Arial" w:hAnsi="Arial" w:cs="Arial"/>
        </w:rPr>
        <w:t xml:space="preserve"> Sb.</w:t>
      </w:r>
      <w:r>
        <w:rPr>
          <w:rFonts w:ascii="Arial" w:hAnsi="Arial" w:cs="Arial"/>
        </w:rPr>
        <w:t>,</w:t>
      </w:r>
      <w:r w:rsidRPr="00846D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rozpočtových pravidlech územních rozpočtů,</w:t>
      </w:r>
      <w:r w:rsidRPr="00846D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</w:t>
      </w:r>
      <w:r w:rsidRPr="00846DFA">
        <w:rPr>
          <w:rFonts w:ascii="Arial" w:hAnsi="Arial" w:cs="Arial"/>
        </w:rPr>
        <w:t>znění</w:t>
      </w:r>
      <w:r>
        <w:rPr>
          <w:rFonts w:ascii="Arial" w:hAnsi="Arial" w:cs="Arial"/>
        </w:rPr>
        <w:t xml:space="preserve"> pozdějších předpisů a v souladu s ustanovením § 159 zákona č. 500/2004 Sb., správní řád, ve </w:t>
      </w:r>
      <w:r w:rsidRPr="00846DFA">
        <w:rPr>
          <w:rFonts w:ascii="Arial" w:hAnsi="Arial" w:cs="Arial"/>
        </w:rPr>
        <w:t>znění</w:t>
      </w:r>
      <w:r>
        <w:rPr>
          <w:rFonts w:ascii="Arial" w:hAnsi="Arial" w:cs="Arial"/>
        </w:rPr>
        <w:t xml:space="preserve"> pozdějších předpisů</w:t>
      </w:r>
      <w:r w:rsidRPr="00846DFA">
        <w:rPr>
          <w:rFonts w:ascii="Arial" w:hAnsi="Arial" w:cs="Arial"/>
        </w:rPr>
        <w:t>:</w:t>
      </w:r>
    </w:p>
    <w:p w14:paraId="1C8AC133" w14:textId="77777777" w:rsidR="00933822" w:rsidRDefault="00933822" w:rsidP="00933822">
      <w:pPr>
        <w:spacing w:line="240" w:lineRule="auto"/>
        <w:rPr>
          <w:rFonts w:ascii="Arial" w:hAnsi="Arial" w:cs="Arial"/>
        </w:rPr>
      </w:pPr>
    </w:p>
    <w:p w14:paraId="12227262" w14:textId="77777777" w:rsidR="00933822" w:rsidRPr="00155EBF" w:rsidRDefault="00933822" w:rsidP="009338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155EBF">
        <w:rPr>
          <w:rFonts w:ascii="Arial" w:hAnsi="Arial" w:cs="Arial"/>
          <w:b/>
        </w:rPr>
        <w:t>I</w:t>
      </w:r>
      <w:r w:rsidRPr="00155EBF">
        <w:rPr>
          <w:rFonts w:ascii="Arial" w:hAnsi="Arial" w:cs="Arial"/>
          <w:b/>
          <w:bCs/>
        </w:rPr>
        <w:t>.</w:t>
      </w:r>
    </w:p>
    <w:p w14:paraId="4E8ADD90" w14:textId="77777777" w:rsidR="00933822" w:rsidRPr="00155EBF" w:rsidRDefault="00933822" w:rsidP="00933822">
      <w:pPr>
        <w:spacing w:before="120" w:after="120"/>
        <w:jc w:val="center"/>
        <w:rPr>
          <w:rFonts w:ascii="Arial" w:hAnsi="Arial" w:cs="Arial"/>
          <w:b/>
        </w:rPr>
      </w:pPr>
      <w:r w:rsidRPr="00155EBF">
        <w:rPr>
          <w:rFonts w:ascii="Arial" w:hAnsi="Arial" w:cs="Arial"/>
          <w:b/>
        </w:rPr>
        <w:t>Předmět smlouvy</w:t>
      </w:r>
      <w:r>
        <w:rPr>
          <w:rFonts w:ascii="Arial" w:hAnsi="Arial" w:cs="Arial"/>
          <w:b/>
        </w:rPr>
        <w:t xml:space="preserve"> a účel grantu</w:t>
      </w:r>
    </w:p>
    <w:p w14:paraId="0C35709E" w14:textId="529B3198" w:rsidR="002936CE" w:rsidRPr="00155EBF" w:rsidRDefault="002936CE" w:rsidP="003B077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936CE">
        <w:rPr>
          <w:rFonts w:ascii="Arial" w:hAnsi="Arial" w:cs="Arial"/>
        </w:rPr>
        <w:t xml:space="preserve">Poskytovatel poskytne příjemci na níže uvedený účel za podmínek uvedených v článcích II. až III. této smlouvy účelovou veřejnou finanční podporu (dále v textu „grant“) z rozpočtu města ve výši </w:t>
      </w:r>
      <w:r w:rsidR="00933F0B">
        <w:rPr>
          <w:rFonts w:ascii="Arial" w:hAnsi="Arial" w:cs="Arial"/>
          <w:b/>
          <w:bCs/>
        </w:rPr>
        <w:t>41</w:t>
      </w:r>
      <w:r w:rsidRPr="006B3AE8">
        <w:rPr>
          <w:rFonts w:ascii="Arial" w:hAnsi="Arial" w:cs="Arial"/>
          <w:b/>
          <w:bCs/>
        </w:rPr>
        <w:t>.</w:t>
      </w:r>
      <w:r w:rsidR="00933F0B">
        <w:rPr>
          <w:rFonts w:ascii="Arial" w:hAnsi="Arial" w:cs="Arial"/>
          <w:b/>
          <w:bCs/>
        </w:rPr>
        <w:t>5</w:t>
      </w:r>
      <w:r w:rsidRPr="006B3AE8">
        <w:rPr>
          <w:rFonts w:ascii="Arial" w:hAnsi="Arial" w:cs="Arial"/>
          <w:b/>
          <w:bCs/>
        </w:rPr>
        <w:t>00 Kč</w:t>
      </w:r>
      <w:r w:rsidRPr="002936CE">
        <w:rPr>
          <w:rFonts w:ascii="Arial" w:hAnsi="Arial" w:cs="Arial"/>
        </w:rPr>
        <w:t xml:space="preserve"> (slovy: </w:t>
      </w:r>
      <w:proofErr w:type="spellStart"/>
      <w:r w:rsidR="00A86CE7">
        <w:rPr>
          <w:rFonts w:ascii="Arial" w:hAnsi="Arial" w:cs="Arial"/>
        </w:rPr>
        <w:t>Č</w:t>
      </w:r>
      <w:r w:rsidR="00933F0B">
        <w:rPr>
          <w:rFonts w:ascii="Arial" w:hAnsi="Arial" w:cs="Arial"/>
        </w:rPr>
        <w:t>tyřicetjednat</w:t>
      </w:r>
      <w:r w:rsidRPr="002936CE">
        <w:rPr>
          <w:rFonts w:ascii="Arial" w:hAnsi="Arial" w:cs="Arial"/>
        </w:rPr>
        <w:t>isíc</w:t>
      </w:r>
      <w:r w:rsidR="00933F0B">
        <w:rPr>
          <w:rFonts w:ascii="Arial" w:hAnsi="Arial" w:cs="Arial"/>
        </w:rPr>
        <w:t>pětset</w:t>
      </w:r>
      <w:proofErr w:type="spellEnd"/>
      <w:r w:rsidRPr="002936CE">
        <w:rPr>
          <w:rFonts w:ascii="Arial" w:hAnsi="Arial" w:cs="Arial"/>
        </w:rPr>
        <w:t xml:space="preserve"> korun českých) účelově vázanou na </w:t>
      </w:r>
      <w:r w:rsidR="00933F0B">
        <w:rPr>
          <w:rFonts w:ascii="Arial" w:hAnsi="Arial" w:cs="Arial"/>
          <w:b/>
          <w:bCs/>
        </w:rPr>
        <w:t>c</w:t>
      </w:r>
      <w:r w:rsidR="00933F0B" w:rsidRPr="00933F0B">
        <w:rPr>
          <w:rFonts w:ascii="Arial" w:hAnsi="Arial" w:cs="Arial"/>
          <w:b/>
          <w:bCs/>
        </w:rPr>
        <w:t>eloroční oddílov</w:t>
      </w:r>
      <w:r w:rsidR="00933F0B">
        <w:rPr>
          <w:rFonts w:ascii="Arial" w:hAnsi="Arial" w:cs="Arial"/>
          <w:b/>
          <w:bCs/>
        </w:rPr>
        <w:t>ou</w:t>
      </w:r>
      <w:r w:rsidR="00933F0B" w:rsidRPr="00933F0B">
        <w:rPr>
          <w:rFonts w:ascii="Arial" w:hAnsi="Arial" w:cs="Arial"/>
          <w:b/>
          <w:bCs/>
        </w:rPr>
        <w:t xml:space="preserve"> činnost v roce 2026</w:t>
      </w:r>
      <w:r w:rsidRPr="006B3AE8">
        <w:rPr>
          <w:rFonts w:ascii="Arial" w:hAnsi="Arial" w:cs="Arial"/>
          <w:b/>
          <w:bCs/>
        </w:rPr>
        <w:t>.</w:t>
      </w:r>
    </w:p>
    <w:p w14:paraId="24A65586" w14:textId="7D0F313D" w:rsidR="00933822" w:rsidRDefault="002936CE" w:rsidP="003B077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2936CE">
        <w:rPr>
          <w:rFonts w:ascii="Arial" w:hAnsi="Arial" w:cs="Arial"/>
        </w:rPr>
        <w:t xml:space="preserve">Poskytovatel </w:t>
      </w:r>
      <w:r w:rsidR="00933F0B">
        <w:rPr>
          <w:rFonts w:ascii="Arial" w:hAnsi="Arial" w:cs="Arial"/>
        </w:rPr>
        <w:t xml:space="preserve">dále </w:t>
      </w:r>
      <w:r w:rsidRPr="002936CE">
        <w:rPr>
          <w:rFonts w:ascii="Arial" w:hAnsi="Arial" w:cs="Arial"/>
        </w:rPr>
        <w:t xml:space="preserve">poskytne příjemci na níže uvedený účel za podmínek uvedených v článcích II. až III. této smlouvy účelovou veřejnou finanční podporu (dále v textu „grant“) z rozpočtu města ve výši </w:t>
      </w:r>
      <w:r w:rsidR="00933F0B">
        <w:rPr>
          <w:rFonts w:ascii="Arial" w:hAnsi="Arial" w:cs="Arial"/>
          <w:b/>
          <w:bCs/>
        </w:rPr>
        <w:t>30</w:t>
      </w:r>
      <w:r w:rsidRPr="006B3AE8">
        <w:rPr>
          <w:rFonts w:ascii="Arial" w:hAnsi="Arial" w:cs="Arial"/>
          <w:b/>
          <w:bCs/>
        </w:rPr>
        <w:t>.000 Kč</w:t>
      </w:r>
      <w:r w:rsidRPr="002936CE">
        <w:rPr>
          <w:rFonts w:ascii="Arial" w:hAnsi="Arial" w:cs="Arial"/>
        </w:rPr>
        <w:t xml:space="preserve"> (slovy: </w:t>
      </w:r>
      <w:proofErr w:type="spellStart"/>
      <w:r w:rsidR="00A86CE7">
        <w:rPr>
          <w:rFonts w:ascii="Arial" w:hAnsi="Arial" w:cs="Arial"/>
        </w:rPr>
        <w:t>T</w:t>
      </w:r>
      <w:r w:rsidR="00933F0B">
        <w:rPr>
          <w:rFonts w:ascii="Arial" w:hAnsi="Arial" w:cs="Arial"/>
        </w:rPr>
        <w:t>řicet</w:t>
      </w:r>
      <w:r w:rsidRPr="002936CE">
        <w:rPr>
          <w:rFonts w:ascii="Arial" w:hAnsi="Arial" w:cs="Arial"/>
        </w:rPr>
        <w:t>tisíc</w:t>
      </w:r>
      <w:proofErr w:type="spellEnd"/>
      <w:r w:rsidRPr="002936CE">
        <w:rPr>
          <w:rFonts w:ascii="Arial" w:hAnsi="Arial" w:cs="Arial"/>
        </w:rPr>
        <w:t xml:space="preserve"> korun českých) účelově vázanou na </w:t>
      </w:r>
      <w:r w:rsidR="00933F0B" w:rsidRPr="00933F0B">
        <w:rPr>
          <w:rFonts w:ascii="Arial" w:hAnsi="Arial" w:cs="Arial"/>
          <w:b/>
          <w:bCs/>
        </w:rPr>
        <w:t>40 let činnosti - oddílové výročí 2026</w:t>
      </w:r>
      <w:r w:rsidRPr="006B3AE8">
        <w:rPr>
          <w:rFonts w:ascii="Arial" w:hAnsi="Arial" w:cs="Arial"/>
          <w:b/>
          <w:bCs/>
        </w:rPr>
        <w:t>.</w:t>
      </w:r>
    </w:p>
    <w:p w14:paraId="1C2BC99A" w14:textId="77777777" w:rsidR="00933822" w:rsidRDefault="00933822" w:rsidP="003B077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55EBF">
        <w:rPr>
          <w:rFonts w:ascii="Arial" w:hAnsi="Arial" w:cs="Arial"/>
        </w:rPr>
        <w:t>Součástí grantů nejsou peněžní prostředky kryté ze státního rozpočtu, z rozpočtu státního fondu nebo Národního fondu.</w:t>
      </w:r>
    </w:p>
    <w:p w14:paraId="56E1DD34" w14:textId="77777777" w:rsidR="00933822" w:rsidRPr="00D562C1" w:rsidRDefault="00933822" w:rsidP="003B077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Příjemce grantů výše popsané granty přijímá a zavazuje se je využít způsobem uvedeným v této smlouvě a žádosti o poskytnutí grantu.</w:t>
      </w:r>
    </w:p>
    <w:p w14:paraId="5F3A712D" w14:textId="317B590E" w:rsidR="00933822" w:rsidRDefault="00933822" w:rsidP="003B077D">
      <w:pPr>
        <w:pStyle w:val="Odstavecseseznamem"/>
        <w:numPr>
          <w:ilvl w:val="1"/>
          <w:numId w:val="1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Granty jsou poskytovány v souladu se zákonem č. 250/2000 Sb., o rozpočtových pravidlech územních rozpočtů, ve znění pozdějších předpisů, zákonem 128/2000 Sb., o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 xml:space="preserve">obcích, ve znění pozdějších předpisů, a se Směrnicí o poskytování dotací č. OP </w:t>
      </w:r>
      <w:r w:rsidR="001B5384">
        <w:rPr>
          <w:rFonts w:ascii="Arial" w:hAnsi="Arial" w:cs="Arial"/>
        </w:rPr>
        <w:t>10</w:t>
      </w:r>
      <w:r w:rsidRPr="00D562C1">
        <w:rPr>
          <w:rFonts w:ascii="Arial" w:hAnsi="Arial" w:cs="Arial"/>
        </w:rPr>
        <w:t>/202</w:t>
      </w:r>
      <w:r w:rsidR="001B5384">
        <w:rPr>
          <w:rFonts w:ascii="Arial" w:hAnsi="Arial" w:cs="Arial"/>
        </w:rPr>
        <w:t>5</w:t>
      </w:r>
      <w:r w:rsidRPr="00D562C1">
        <w:rPr>
          <w:rFonts w:ascii="Arial" w:hAnsi="Arial" w:cs="Arial"/>
        </w:rPr>
        <w:t xml:space="preserve"> (dále jen „směrnice“). Příjemce grantu prohlašuje, že se seznámil s platným zněním směrnice a zavazuje se dodržovat všechna pravidla pro poskytování grantů uvedená ve směrnici.  </w:t>
      </w:r>
    </w:p>
    <w:p w14:paraId="18281987" w14:textId="77777777" w:rsidR="00933822" w:rsidRPr="00155EBF" w:rsidRDefault="00933822" w:rsidP="00933822">
      <w:pPr>
        <w:spacing w:line="240" w:lineRule="auto"/>
        <w:jc w:val="center"/>
        <w:rPr>
          <w:rFonts w:ascii="Arial" w:hAnsi="Arial" w:cs="Arial"/>
          <w:b/>
        </w:rPr>
      </w:pPr>
      <w:r w:rsidRPr="00155EBF">
        <w:rPr>
          <w:rFonts w:ascii="Arial" w:hAnsi="Arial" w:cs="Arial"/>
          <w:b/>
        </w:rPr>
        <w:lastRenderedPageBreak/>
        <w:t>II.</w:t>
      </w:r>
    </w:p>
    <w:p w14:paraId="55681008" w14:textId="77777777" w:rsidR="00933822" w:rsidRPr="00155EBF" w:rsidRDefault="00933822" w:rsidP="00933822">
      <w:pPr>
        <w:spacing w:before="120" w:after="120"/>
        <w:ind w:left="425" w:hanging="425"/>
        <w:jc w:val="center"/>
        <w:rPr>
          <w:rFonts w:ascii="Arial" w:hAnsi="Arial" w:cs="Arial"/>
          <w:b/>
        </w:rPr>
      </w:pPr>
      <w:r w:rsidRPr="00155EBF">
        <w:rPr>
          <w:rFonts w:ascii="Arial" w:hAnsi="Arial" w:cs="Arial"/>
          <w:b/>
        </w:rPr>
        <w:t xml:space="preserve">Splatnost </w:t>
      </w:r>
      <w:r>
        <w:rPr>
          <w:rFonts w:ascii="Arial" w:hAnsi="Arial" w:cs="Arial"/>
          <w:b/>
        </w:rPr>
        <w:t>grantu</w:t>
      </w:r>
      <w:r w:rsidRPr="00155EBF">
        <w:rPr>
          <w:rFonts w:ascii="Arial" w:hAnsi="Arial" w:cs="Arial"/>
          <w:b/>
        </w:rPr>
        <w:t xml:space="preserve"> </w:t>
      </w:r>
    </w:p>
    <w:p w14:paraId="5842950A" w14:textId="0FFE2D78" w:rsidR="00933822" w:rsidRDefault="00933822" w:rsidP="003B077D">
      <w:pPr>
        <w:pStyle w:val="Odstavecseseznamem"/>
        <w:numPr>
          <w:ilvl w:val="1"/>
          <w:numId w:val="2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55EBF">
        <w:rPr>
          <w:rFonts w:ascii="Arial" w:hAnsi="Arial" w:cs="Arial"/>
        </w:rPr>
        <w:t xml:space="preserve">Město se zavazuje převést </w:t>
      </w:r>
      <w:r>
        <w:rPr>
          <w:rFonts w:ascii="Arial" w:hAnsi="Arial" w:cs="Arial"/>
        </w:rPr>
        <w:t xml:space="preserve">všechny poskytnuté </w:t>
      </w:r>
      <w:r w:rsidRPr="00155EBF">
        <w:rPr>
          <w:rFonts w:ascii="Arial" w:hAnsi="Arial" w:cs="Arial"/>
        </w:rPr>
        <w:t xml:space="preserve">granty </w:t>
      </w:r>
      <w:r w:rsidRPr="00155EBF">
        <w:rPr>
          <w:rFonts w:ascii="Arial" w:hAnsi="Arial" w:cs="Arial"/>
          <w:b/>
        </w:rPr>
        <w:t>v plné výši na účet</w:t>
      </w:r>
      <w:r w:rsidRPr="00155EBF">
        <w:rPr>
          <w:rFonts w:ascii="Arial" w:hAnsi="Arial" w:cs="Arial"/>
        </w:rPr>
        <w:t xml:space="preserve"> </w:t>
      </w:r>
      <w:r w:rsidRPr="00155EBF">
        <w:rPr>
          <w:rFonts w:ascii="Arial" w:hAnsi="Arial" w:cs="Arial"/>
          <w:b/>
        </w:rPr>
        <w:t>příjemci grantu, uvedený v záhlaví této smlouvy</w:t>
      </w:r>
      <w:r w:rsidRPr="00155EBF">
        <w:rPr>
          <w:rFonts w:ascii="Arial" w:hAnsi="Arial" w:cs="Arial"/>
        </w:rPr>
        <w:t>, do 30 dnů ode dne podpisu této smlouvy oběma smluvními stranami.</w:t>
      </w:r>
    </w:p>
    <w:p w14:paraId="44B18392" w14:textId="77777777" w:rsidR="00C05BD1" w:rsidRPr="00C05BD1" w:rsidRDefault="00C05BD1" w:rsidP="00C05BD1">
      <w:pPr>
        <w:spacing w:after="60" w:line="240" w:lineRule="auto"/>
        <w:jc w:val="both"/>
        <w:rPr>
          <w:rFonts w:ascii="Arial" w:hAnsi="Arial" w:cs="Arial"/>
        </w:rPr>
      </w:pPr>
    </w:p>
    <w:p w14:paraId="0D5C8710" w14:textId="77777777" w:rsidR="00933822" w:rsidRPr="00155EBF" w:rsidRDefault="00933822" w:rsidP="00933822">
      <w:pPr>
        <w:spacing w:line="240" w:lineRule="auto"/>
        <w:jc w:val="center"/>
        <w:rPr>
          <w:rFonts w:ascii="Arial" w:hAnsi="Arial" w:cs="Arial"/>
          <w:b/>
          <w:bCs/>
        </w:rPr>
      </w:pPr>
      <w:r w:rsidRPr="00155EBF">
        <w:rPr>
          <w:rFonts w:ascii="Arial" w:hAnsi="Arial" w:cs="Arial"/>
          <w:b/>
          <w:bCs/>
        </w:rPr>
        <w:t>III.</w:t>
      </w:r>
    </w:p>
    <w:p w14:paraId="31B62FE7" w14:textId="2D105390" w:rsidR="00933822" w:rsidRPr="00155EBF" w:rsidRDefault="00933822" w:rsidP="00933822">
      <w:pPr>
        <w:spacing w:before="120" w:after="120"/>
        <w:ind w:left="425" w:hanging="425"/>
        <w:jc w:val="center"/>
        <w:rPr>
          <w:rFonts w:ascii="Arial" w:hAnsi="Arial" w:cs="Arial"/>
          <w:b/>
        </w:rPr>
      </w:pPr>
      <w:r w:rsidRPr="00155EBF">
        <w:rPr>
          <w:rFonts w:ascii="Arial" w:hAnsi="Arial" w:cs="Arial"/>
          <w:b/>
        </w:rPr>
        <w:t xml:space="preserve">Podmínky udělení </w:t>
      </w:r>
      <w:r>
        <w:rPr>
          <w:rFonts w:ascii="Arial" w:hAnsi="Arial" w:cs="Arial"/>
          <w:b/>
        </w:rPr>
        <w:t>grant</w:t>
      </w:r>
      <w:r w:rsidR="00A67DB0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, práva a povinnosti příjemce</w:t>
      </w:r>
    </w:p>
    <w:p w14:paraId="35588883" w14:textId="77777777" w:rsidR="00933822" w:rsidRPr="00D562C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Příjemce je oprávněn použít granty pouze k účelu uvedenému v článku I. této smlouvy</w:t>
      </w:r>
      <w:r>
        <w:rPr>
          <w:rFonts w:ascii="Arial" w:hAnsi="Arial" w:cs="Arial"/>
        </w:rPr>
        <w:t>.</w:t>
      </w:r>
    </w:p>
    <w:p w14:paraId="2079CA08" w14:textId="708F36F4" w:rsidR="00933822" w:rsidRPr="00D562C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Finanční prostředky z poskytnutých grantů lze použít na úhradu uznatelných nákladů vzniklých v období od 01.01.202</w:t>
      </w:r>
      <w:r>
        <w:rPr>
          <w:rFonts w:ascii="Arial" w:hAnsi="Arial" w:cs="Arial"/>
        </w:rPr>
        <w:t>6</w:t>
      </w:r>
      <w:r w:rsidRPr="00D562C1">
        <w:rPr>
          <w:rFonts w:ascii="Arial" w:hAnsi="Arial" w:cs="Arial"/>
        </w:rPr>
        <w:t xml:space="preserve"> do 31.12.202</w:t>
      </w:r>
      <w:r>
        <w:rPr>
          <w:rFonts w:ascii="Arial" w:hAnsi="Arial" w:cs="Arial"/>
        </w:rPr>
        <w:t>6</w:t>
      </w:r>
      <w:r w:rsidRPr="00D562C1">
        <w:rPr>
          <w:rFonts w:ascii="Arial" w:hAnsi="Arial" w:cs="Arial"/>
        </w:rPr>
        <w:t xml:space="preserve">, vztahujících se ke stanovenému účelu poskytnutí. </w:t>
      </w:r>
      <w:r w:rsidRPr="00D562C1">
        <w:rPr>
          <w:rFonts w:ascii="Arial" w:hAnsi="Arial" w:cs="Arial"/>
          <w:color w:val="000000"/>
        </w:rPr>
        <w:t>Uznatelné náklady ve skutečné výši musí být vyúčtovány, uhrazeny a</w:t>
      </w:r>
      <w:r>
        <w:rPr>
          <w:rFonts w:ascii="Arial" w:hAnsi="Arial" w:cs="Arial"/>
          <w:color w:val="000000"/>
        </w:rPr>
        <w:t> </w:t>
      </w:r>
      <w:r w:rsidRPr="00D562C1">
        <w:rPr>
          <w:rFonts w:ascii="Arial" w:hAnsi="Arial" w:cs="Arial"/>
          <w:color w:val="000000"/>
        </w:rPr>
        <w:t>promítnuty v účetnictví příjemce nejpozději do 31.12.202</w:t>
      </w:r>
      <w:r>
        <w:rPr>
          <w:rFonts w:ascii="Arial" w:hAnsi="Arial" w:cs="Arial"/>
          <w:color w:val="000000"/>
        </w:rPr>
        <w:t>6</w:t>
      </w:r>
      <w:r w:rsidRPr="00D562C1">
        <w:rPr>
          <w:rFonts w:ascii="Arial" w:hAnsi="Arial" w:cs="Arial"/>
          <w:color w:val="000000"/>
        </w:rPr>
        <w:t>. Finanční prostředky nelze převádět do následujícího kalendářního roku.</w:t>
      </w:r>
    </w:p>
    <w:p w14:paraId="7B485079" w14:textId="24784A4B" w:rsidR="00933822" w:rsidRPr="00D562C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  <w:b/>
          <w:bCs/>
        </w:rPr>
        <w:t>Vyúčtování grantů</w:t>
      </w:r>
      <w:r w:rsidRPr="00D562C1">
        <w:rPr>
          <w:rFonts w:ascii="Arial" w:hAnsi="Arial" w:cs="Arial"/>
        </w:rPr>
        <w:t xml:space="preserve"> poskytnutých dle článku I. této smlouvy předloží příjemce poskytovateli u každého z grantů jednotlivě, </w:t>
      </w:r>
      <w:r w:rsidRPr="00C05BD1">
        <w:rPr>
          <w:rFonts w:ascii="Arial" w:hAnsi="Arial" w:cs="Arial"/>
          <w:b/>
          <w:bCs/>
        </w:rPr>
        <w:t>nejpozději do 15.01.2027.</w:t>
      </w:r>
    </w:p>
    <w:p w14:paraId="1C1B7030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Příjemce bere na vědomí, že město jakožto poskytovatel grantu z veřejných prostředků, je u příjemce oprávněno provést veřejnosprávní kontrolu v souladu se zákonem č.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>320/2001 Sb., o finanční kontrole, ve znění pozdějších předpisů, a to v termínu určeném městem.</w:t>
      </w:r>
    </w:p>
    <w:p w14:paraId="0E55B7F8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>Příjemce grantu se zavazuje zabezpečit oddělenou účetní evidenci každého z poskytnutých grantů pro kontrolu jejich účelovosti.</w:t>
      </w:r>
    </w:p>
    <w:p w14:paraId="3D94F39F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 xml:space="preserve">Příjemce grantu se zavazuje viditelně uvádět na všech písemnostech a na všech akcích, které souvisí s realizací projektu, činnosti nebo provozu, který(á) byl(a) podpořen(a) z grantu, skutečnost, že byl(a) podpořen(a) městem Bystřice pod Hostýnem. </w:t>
      </w:r>
    </w:p>
    <w:p w14:paraId="01DC91C3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>Doklady prokazující využití grantu musí být viditelně označeny „Grant města Bystřice pod Hostýnem, č. smlouvy, částka v Kč.“ (označeny musí být již originály dokladů). Částkou v Kč se rozumí skutečně uplatněná částka z konkrétního grantu vztahující se k danému dokladu, nikoliv částka celkové výše konkrétního grantu.</w:t>
      </w:r>
    </w:p>
    <w:p w14:paraId="1B2D36CC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  <w:b/>
        </w:rPr>
        <w:t>Přílohu vyúčtování</w:t>
      </w:r>
      <w:r w:rsidRPr="00C05BD1">
        <w:rPr>
          <w:rFonts w:ascii="Arial" w:hAnsi="Arial" w:cs="Arial"/>
        </w:rPr>
        <w:t xml:space="preserve"> tvoří kopie všech účetních dokladů prokazující použití prostředků grantu poskytnutého městem Bystřice pod Hostýnem a soupis všech účetních dokladů vztahující se k projektu (např. paragony, faktury) obsahující datum úhrady, číslo účetního dokladu, popis účetní operace, uhrazenou celkovou částku a částku, která byla hrazena z grantu města. Nejsou přípustné účetní a daňové doklady obecně formulované, tj. není formulován předmět a rozsah plnění. V případě, že doklady předložené příjemcem dotace nebudou splňovat náležitosti dle požadavků smlouvy, je poskytovatel oprávněn tyto doklady jako neprůkazné z vyúčtování vyloučit.</w:t>
      </w:r>
    </w:p>
    <w:p w14:paraId="138EDED2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>Pro účely kontroly se příjemce grantu zavazuje uschovávat všechny účetní doklady, které byly podkladem pro vyúčtování grantů, a to po dobu 5 let ode dne sjednaného v odstavci 3.2 tohoto článku.</w:t>
      </w:r>
    </w:p>
    <w:p w14:paraId="1B7CB1A2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 xml:space="preserve">Příjemce je povinen do 15 dnů oznámit poskytovateli zahájení insolvenčního řízení, vstup právnické osoby do likvidace, změnu statutárního orgánu nebo jeho člena, změnu názvu, bankovního spojení, sídla či adresy. </w:t>
      </w:r>
    </w:p>
    <w:p w14:paraId="3F723160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 xml:space="preserve">Příjemce, který je obchodní korporací dle zákona č. 90/2012 Sb., o obchodních korporacích, je povinen zaslat poskytovateli informaci o přeměně společnosti, jejíž součástí je projekt přeměny, a to alespoň 1 měsíc přede dnem, kdy má být přeměna schválena způsobem stanoveným zákonem. U ostatních právnických osob je příjemce </w:t>
      </w:r>
      <w:r w:rsidRPr="00C05BD1">
        <w:rPr>
          <w:rFonts w:ascii="Arial" w:hAnsi="Arial" w:cs="Arial"/>
        </w:rPr>
        <w:lastRenderedPageBreak/>
        <w:t xml:space="preserve">povinen oznámit poskytovateli přeměnu právnické osoby do 15 dnů od rozhodnutí příslušného orgánu. </w:t>
      </w:r>
    </w:p>
    <w:p w14:paraId="3635754F" w14:textId="77777777" w:rsid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>V termínu pro předložení vyúčtování uvedeném v odstavci 3.2 tohoto článku vrátí příjemce nevyčerpané nebo přečerpané finanční prostředky z grantu na účet poskytovatele. Neučiní-li tak, jedná se o porušení rozpočtové kázně dle § 22 zákona č. 250/2000 Sb., o rozpočtových pravidlech územních rozpočtů, ve znění pozdějších předpisů.</w:t>
      </w:r>
    </w:p>
    <w:p w14:paraId="2C895C1F" w14:textId="50DC805E" w:rsidR="00933822" w:rsidRPr="00C05BD1" w:rsidRDefault="00933822" w:rsidP="003B077D">
      <w:pPr>
        <w:pStyle w:val="Odstavecseseznamem"/>
        <w:numPr>
          <w:ilvl w:val="0"/>
          <w:numId w:val="7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05BD1">
        <w:rPr>
          <w:rFonts w:ascii="Arial" w:hAnsi="Arial" w:cs="Arial"/>
        </w:rPr>
        <w:t>Vrácení prostředků grantu podle předchozího článku této smlouvy nezakládá právo příjemce na dočerpání finančních prostředků v následujícím roce. Ustanovení o dani z přidané hodnoty dle zákona č. 235/2004 Sb., o dani z přidané hodnoty, ve znění pozdějších předpisů:</w:t>
      </w:r>
    </w:p>
    <w:p w14:paraId="2C9FD6CC" w14:textId="77777777" w:rsidR="00933822" w:rsidRPr="00D562C1" w:rsidRDefault="00933822" w:rsidP="003B077D">
      <w:pPr>
        <w:numPr>
          <w:ilvl w:val="0"/>
          <w:numId w:val="8"/>
        </w:numPr>
        <w:tabs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DPH je pro příjemce způsobilým výdajem, pokud příjemce není plátcem DPH nebo příjemci nevzniká nárok na odpočet DPH.  </w:t>
      </w:r>
    </w:p>
    <w:p w14:paraId="0B00192B" w14:textId="77777777" w:rsidR="00933822" w:rsidRPr="00D562C1" w:rsidRDefault="00933822" w:rsidP="003B077D">
      <w:pPr>
        <w:numPr>
          <w:ilvl w:val="0"/>
          <w:numId w:val="8"/>
        </w:numPr>
        <w:tabs>
          <w:tab w:val="num" w:pos="1134"/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V případě, že výdaje projektu jsou způsobilými výdaji pouze z části, pak je DPH způsobilým výdajem ze stejné části. </w:t>
      </w:r>
    </w:p>
    <w:p w14:paraId="1DD23DEC" w14:textId="77777777" w:rsidR="00933822" w:rsidRPr="00D562C1" w:rsidRDefault="00933822" w:rsidP="003B077D">
      <w:pPr>
        <w:numPr>
          <w:ilvl w:val="0"/>
          <w:numId w:val="8"/>
        </w:numPr>
        <w:tabs>
          <w:tab w:val="num" w:pos="1134"/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Pokud má příjemce nárok na odpočet v poměrné části nebo dle koeficientu, bude způsobilým výdajem část oprávněně neuplatněné DPH. </w:t>
      </w:r>
    </w:p>
    <w:p w14:paraId="259E3C29" w14:textId="77777777" w:rsidR="00933822" w:rsidRPr="00D562C1" w:rsidRDefault="00933822" w:rsidP="003B077D">
      <w:pPr>
        <w:numPr>
          <w:ilvl w:val="0"/>
          <w:numId w:val="8"/>
        </w:numPr>
        <w:tabs>
          <w:tab w:val="num" w:pos="1134"/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V případě, že před předložením vyúčtování dotace dojde ke změně nároku na odpočet způsobilým výdajem je pak pouze oprávněně neuplatněná DPH.  </w:t>
      </w:r>
    </w:p>
    <w:p w14:paraId="4276B7ED" w14:textId="52CE2CF5" w:rsidR="00933822" w:rsidRPr="00D562C1" w:rsidRDefault="00933822" w:rsidP="003B077D">
      <w:pPr>
        <w:numPr>
          <w:ilvl w:val="0"/>
          <w:numId w:val="8"/>
        </w:numPr>
        <w:tabs>
          <w:tab w:val="num" w:pos="1134"/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Pokud příjemce není plátcem DPH, ale stane se jím po předložení vyúčtováním dotace a vznikne mu ve vztahu ke způsobilým výdajům projektu nárok na uplatnění odpočtu DPH, je povinen tuto skutečnost neprodleně oznámit poskytovateli a do 30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>dnů od podání přiznání k DPH, v němž si nárokuje odpočet, částku DPH vrátit na účet poskytovatele.</w:t>
      </w:r>
    </w:p>
    <w:p w14:paraId="5F7AE06E" w14:textId="77777777" w:rsidR="00933822" w:rsidRPr="00D562C1" w:rsidRDefault="00933822" w:rsidP="003B077D">
      <w:pPr>
        <w:numPr>
          <w:ilvl w:val="0"/>
          <w:numId w:val="8"/>
        </w:numPr>
        <w:tabs>
          <w:tab w:val="left" w:pos="357"/>
          <w:tab w:val="num" w:pos="1134"/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Jestliže se příjemce stane plátcem DPH v průběhu realizace projektu, je povinen tuto skutečnost neprodleně oznámit poskytovateli.</w:t>
      </w:r>
    </w:p>
    <w:p w14:paraId="0800B3EE" w14:textId="64EB37A6" w:rsidR="00933822" w:rsidRPr="00D562C1" w:rsidRDefault="00933822" w:rsidP="003B077D">
      <w:pPr>
        <w:numPr>
          <w:ilvl w:val="0"/>
          <w:numId w:val="8"/>
        </w:numPr>
        <w:tabs>
          <w:tab w:val="num" w:pos="1134"/>
          <w:tab w:val="left" w:pos="8928"/>
        </w:tabs>
        <w:spacing w:after="120" w:line="240" w:lineRule="auto"/>
        <w:ind w:left="924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V případech, kdy je příjemce plátcem DPH a dotace bude použita v rámci ekonomické činnosti pro úhradu výdaje z titulu plnění, pro které je plátce povinen použít režim přenesení daňové povinnosti dle zákona č. 235/2004 Sb., </w:t>
      </w:r>
      <w:r w:rsidRPr="00D562C1">
        <w:rPr>
          <w:rFonts w:ascii="Arial" w:hAnsi="Arial" w:cs="Arial"/>
          <w:color w:val="000000"/>
          <w:shd w:val="clear" w:color="auto" w:fill="FFFFFF"/>
        </w:rPr>
        <w:t>o dani z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Pr="00D562C1">
        <w:rPr>
          <w:rFonts w:ascii="Arial" w:hAnsi="Arial" w:cs="Arial"/>
          <w:color w:val="000000"/>
          <w:shd w:val="clear" w:color="auto" w:fill="FFFFFF"/>
        </w:rPr>
        <w:t>přidané hodnoty</w:t>
      </w:r>
      <w:r w:rsidRPr="00D562C1">
        <w:rPr>
          <w:rFonts w:ascii="Arial" w:hAnsi="Arial" w:cs="Arial"/>
        </w:rPr>
        <w:t>, ve znění pozdějších předpisů, a daň z přidané hodnoty je způsobilým výdajem, bude výše DPH doložena příjemcem poskytovateli těmito doklady:</w:t>
      </w:r>
    </w:p>
    <w:p w14:paraId="1E036E61" w14:textId="77777777" w:rsidR="00933822" w:rsidRPr="00D562C1" w:rsidRDefault="00933822" w:rsidP="003B077D">
      <w:pPr>
        <w:numPr>
          <w:ilvl w:val="0"/>
          <w:numId w:val="6"/>
        </w:numPr>
        <w:spacing w:after="120" w:line="240" w:lineRule="auto"/>
        <w:ind w:left="1701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vnitřním účetním dokladem s vyčíslením částky DPH, </w:t>
      </w:r>
    </w:p>
    <w:p w14:paraId="04AE4C91" w14:textId="77777777" w:rsidR="00933822" w:rsidRPr="00D562C1" w:rsidRDefault="00933822" w:rsidP="003B077D">
      <w:pPr>
        <w:numPr>
          <w:ilvl w:val="0"/>
          <w:numId w:val="6"/>
        </w:numPr>
        <w:spacing w:after="120" w:line="240" w:lineRule="auto"/>
        <w:ind w:left="1701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daňovým přiznáním k DPH,</w:t>
      </w:r>
    </w:p>
    <w:p w14:paraId="2DBC1B89" w14:textId="77777777" w:rsidR="00933822" w:rsidRPr="00D562C1" w:rsidRDefault="00933822" w:rsidP="003B077D">
      <w:pPr>
        <w:numPr>
          <w:ilvl w:val="0"/>
          <w:numId w:val="6"/>
        </w:numPr>
        <w:spacing w:after="120" w:line="240" w:lineRule="auto"/>
        <w:ind w:left="1701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kontrolním hlášením, </w:t>
      </w:r>
    </w:p>
    <w:p w14:paraId="24792DD7" w14:textId="77777777" w:rsidR="00933822" w:rsidRPr="00D562C1" w:rsidRDefault="00933822" w:rsidP="003B077D">
      <w:pPr>
        <w:numPr>
          <w:ilvl w:val="0"/>
          <w:numId w:val="6"/>
        </w:numPr>
        <w:spacing w:after="120" w:line="240" w:lineRule="auto"/>
        <w:ind w:left="1701" w:hanging="35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bankovním výpisem.</w:t>
      </w:r>
    </w:p>
    <w:p w14:paraId="57E04721" w14:textId="77777777" w:rsidR="00933822" w:rsidRDefault="00933822" w:rsidP="00C05BD1">
      <w:pPr>
        <w:spacing w:after="60" w:line="240" w:lineRule="auto"/>
        <w:jc w:val="center"/>
        <w:rPr>
          <w:rFonts w:ascii="Arial" w:hAnsi="Arial" w:cs="Arial"/>
          <w:b/>
        </w:rPr>
      </w:pPr>
    </w:p>
    <w:p w14:paraId="4E848B04" w14:textId="77777777" w:rsidR="00ED239C" w:rsidRDefault="00ED239C" w:rsidP="00C05BD1">
      <w:pPr>
        <w:spacing w:after="60" w:line="240" w:lineRule="auto"/>
        <w:jc w:val="center"/>
        <w:rPr>
          <w:rFonts w:ascii="Arial" w:hAnsi="Arial" w:cs="Arial"/>
          <w:b/>
        </w:rPr>
      </w:pPr>
    </w:p>
    <w:p w14:paraId="52159567" w14:textId="77777777" w:rsidR="00933822" w:rsidRPr="00155EBF" w:rsidRDefault="00933822" w:rsidP="00933822">
      <w:pPr>
        <w:spacing w:line="240" w:lineRule="auto"/>
        <w:jc w:val="center"/>
        <w:rPr>
          <w:rFonts w:ascii="Arial" w:hAnsi="Arial" w:cs="Arial"/>
          <w:b/>
        </w:rPr>
      </w:pPr>
      <w:r w:rsidRPr="00155EBF">
        <w:rPr>
          <w:rFonts w:ascii="Arial" w:hAnsi="Arial" w:cs="Arial"/>
          <w:b/>
        </w:rPr>
        <w:t>IV.</w:t>
      </w:r>
    </w:p>
    <w:p w14:paraId="21117726" w14:textId="77777777" w:rsidR="00933822" w:rsidRPr="00155EBF" w:rsidRDefault="00933822" w:rsidP="003B077D">
      <w:pPr>
        <w:pStyle w:val="Zkladntext"/>
        <w:tabs>
          <w:tab w:val="left" w:pos="426"/>
        </w:tabs>
        <w:spacing w:after="120"/>
        <w:ind w:left="426" w:hanging="425"/>
        <w:jc w:val="center"/>
        <w:rPr>
          <w:b/>
        </w:rPr>
      </w:pPr>
      <w:r w:rsidRPr="00155EBF">
        <w:rPr>
          <w:b/>
        </w:rPr>
        <w:t>Sankce</w:t>
      </w:r>
    </w:p>
    <w:p w14:paraId="3614A168" w14:textId="77777777" w:rsidR="00933822" w:rsidRPr="00155EBF" w:rsidRDefault="00933822" w:rsidP="003B077D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55EBF">
        <w:rPr>
          <w:rFonts w:ascii="Arial" w:hAnsi="Arial" w:cs="Arial"/>
        </w:rPr>
        <w:t xml:space="preserve">V případě porušení rozpočtové kázně ze strany příjemce bude poskytovatel postupovat v souladu s </w:t>
      </w:r>
      <w:r w:rsidRPr="00155EBF">
        <w:rPr>
          <w:rFonts w:ascii="Arial" w:hAnsi="Arial" w:cs="Arial"/>
          <w:snapToGrid w:val="0"/>
        </w:rPr>
        <w:t xml:space="preserve">ustanovením § 22 zákona č. 250/2000 Sb., o rozpočtových pravidlech územních rozpočtů, </w:t>
      </w:r>
      <w:r w:rsidRPr="00155EBF">
        <w:rPr>
          <w:rFonts w:ascii="Arial" w:hAnsi="Arial" w:cs="Arial"/>
        </w:rPr>
        <w:t>ve znění pozdějších předpisů</w:t>
      </w:r>
      <w:r w:rsidRPr="00155EBF">
        <w:rPr>
          <w:rFonts w:ascii="Arial" w:hAnsi="Arial" w:cs="Arial"/>
          <w:snapToGrid w:val="0"/>
        </w:rPr>
        <w:t>.</w:t>
      </w:r>
      <w:r w:rsidRPr="00155EBF">
        <w:rPr>
          <w:rFonts w:ascii="Arial" w:hAnsi="Arial" w:cs="Arial"/>
        </w:rPr>
        <w:t xml:space="preserve"> </w:t>
      </w:r>
    </w:p>
    <w:p w14:paraId="5080D9E3" w14:textId="77777777" w:rsidR="00933822" w:rsidRPr="00C05BD1" w:rsidRDefault="00933822" w:rsidP="003B077D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155EBF">
        <w:rPr>
          <w:rFonts w:ascii="Arial" w:hAnsi="Arial" w:cs="Arial"/>
        </w:rPr>
        <w:t>Porušení povinností uvedených v článcích 3.5, 3.6, 3.7</w:t>
      </w:r>
      <w:r>
        <w:rPr>
          <w:rFonts w:ascii="Arial" w:hAnsi="Arial" w:cs="Arial"/>
        </w:rPr>
        <w:t>,</w:t>
      </w:r>
      <w:r w:rsidRPr="00155EBF">
        <w:rPr>
          <w:rFonts w:ascii="Arial" w:hAnsi="Arial" w:cs="Arial"/>
        </w:rPr>
        <w:t xml:space="preserve"> 3.8 </w:t>
      </w:r>
      <w:r>
        <w:rPr>
          <w:rFonts w:ascii="Arial" w:hAnsi="Arial" w:cs="Arial"/>
        </w:rPr>
        <w:t xml:space="preserve">a 3.9 </w:t>
      </w:r>
      <w:r w:rsidRPr="00155EBF">
        <w:rPr>
          <w:rFonts w:ascii="Arial" w:hAnsi="Arial" w:cs="Arial"/>
        </w:rPr>
        <w:t xml:space="preserve">této smlouvy, je považováno za méně závažné porušení rozpočtové kázně ve smyslu § 10a odst. 6 zákona č. 250/2000 Sb., o rozpočtových pravidlech územních rozpočtů, ve znění </w:t>
      </w:r>
      <w:r w:rsidRPr="00155EBF">
        <w:rPr>
          <w:rFonts w:ascii="Arial" w:hAnsi="Arial" w:cs="Arial"/>
        </w:rPr>
        <w:lastRenderedPageBreak/>
        <w:t>pozdějších předpisů. V případě porušení těchto povinností se uloží příjemci odvod za porušení rozpočtové kázně ve výši maximálně 10 % z částky, kterou by příjemce grantu měl jinak odvést podle zákona č. 250/2000 Sb., o rozpočtových pravidlech</w:t>
      </w:r>
      <w:r w:rsidRPr="00155EBF">
        <w:rPr>
          <w:rFonts w:ascii="Arial" w:hAnsi="Arial" w:cs="Arial"/>
          <w:snapToGrid w:val="0"/>
        </w:rPr>
        <w:t xml:space="preserve"> územních rozpočtů, </w:t>
      </w:r>
      <w:r w:rsidRPr="00155EBF">
        <w:rPr>
          <w:rFonts w:ascii="Arial" w:hAnsi="Arial" w:cs="Arial"/>
        </w:rPr>
        <w:t>ve znění pozdějších předpisů</w:t>
      </w:r>
      <w:r w:rsidRPr="00155EBF">
        <w:rPr>
          <w:rFonts w:ascii="Arial" w:hAnsi="Arial" w:cs="Arial"/>
          <w:snapToGrid w:val="0"/>
        </w:rPr>
        <w:t>.</w:t>
      </w:r>
      <w:r w:rsidRPr="00155EBF">
        <w:rPr>
          <w:rFonts w:ascii="Arial" w:hAnsi="Arial" w:cs="Arial"/>
        </w:rPr>
        <w:t xml:space="preserve"> </w:t>
      </w:r>
      <w:r w:rsidRPr="00284325">
        <w:rPr>
          <w:rFonts w:ascii="Arial" w:hAnsi="Arial" w:cs="Arial"/>
          <w:b/>
        </w:rPr>
        <w:t xml:space="preserve"> </w:t>
      </w:r>
    </w:p>
    <w:p w14:paraId="1DF5AB5D" w14:textId="77777777" w:rsidR="00C05BD1" w:rsidRPr="00C05BD1" w:rsidRDefault="00C05BD1" w:rsidP="00C05BD1">
      <w:pPr>
        <w:spacing w:after="60" w:line="240" w:lineRule="auto"/>
        <w:jc w:val="both"/>
        <w:rPr>
          <w:rFonts w:ascii="Arial" w:hAnsi="Arial" w:cs="Arial"/>
        </w:rPr>
      </w:pPr>
    </w:p>
    <w:p w14:paraId="7A33C1C3" w14:textId="77777777" w:rsidR="00933822" w:rsidRPr="00155EBF" w:rsidRDefault="00933822" w:rsidP="00933822">
      <w:pPr>
        <w:pStyle w:val="Zkladntext"/>
        <w:spacing w:before="120" w:after="120"/>
        <w:ind w:left="425" w:right="142" w:hanging="425"/>
        <w:jc w:val="center"/>
        <w:rPr>
          <w:b/>
        </w:rPr>
      </w:pPr>
      <w:r w:rsidRPr="00155EBF">
        <w:rPr>
          <w:b/>
        </w:rPr>
        <w:t>V.</w:t>
      </w:r>
    </w:p>
    <w:p w14:paraId="2E9D500D" w14:textId="77777777" w:rsidR="00933822" w:rsidRPr="00155EBF" w:rsidRDefault="00933822" w:rsidP="00933822">
      <w:pPr>
        <w:pStyle w:val="Zkladntext"/>
        <w:tabs>
          <w:tab w:val="left" w:pos="426"/>
        </w:tabs>
        <w:spacing w:before="120" w:after="120"/>
        <w:ind w:left="426" w:hanging="425"/>
        <w:jc w:val="center"/>
        <w:rPr>
          <w:b/>
        </w:rPr>
      </w:pPr>
      <w:r w:rsidRPr="00155EBF">
        <w:rPr>
          <w:b/>
        </w:rPr>
        <w:t>Ukončení smlouvy</w:t>
      </w:r>
    </w:p>
    <w:p w14:paraId="6414C016" w14:textId="77777777" w:rsidR="00933822" w:rsidRPr="00D562C1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Závazkový vztah založený touto smlouvou lze ukončit na základě písemné výpovědi. </w:t>
      </w:r>
    </w:p>
    <w:p w14:paraId="0B1A0322" w14:textId="6E5EDFD2" w:rsidR="00933822" w:rsidRPr="00D562C1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Smlouva zaniká také z důvodů uvedených v § 167 zákona č. 500/2004 Sb., správní řád, ve znění pozdějších předpisů. Návrh na zrušení smlouvy musí být učiněn písemně a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>musí v něm být uvedeny důvody, které vedou k zániku smlouvy.</w:t>
      </w:r>
    </w:p>
    <w:p w14:paraId="3C4EFD5D" w14:textId="77777777" w:rsidR="00933822" w:rsidRPr="00D562C1" w:rsidRDefault="00933822" w:rsidP="003B077D">
      <w:pPr>
        <w:pStyle w:val="Zkladntext"/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</w:pPr>
      <w:r w:rsidRPr="00D562C1">
        <w:t xml:space="preserve">Výpovědním důvodem je porušení povinností příjemcem dotace stanovených touto smlouvou nebo obecně závaznými právními předpisy, kterého se příjemce dopustí zejména pokud: </w:t>
      </w:r>
    </w:p>
    <w:p w14:paraId="3D5AA00B" w14:textId="2631F9CD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svým jednáním poruší rozpočtovou kázeň dle zákona č. 250/2000 Sb., o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 xml:space="preserve">rozpočtových pravidlech územních rozpočtů, ve znění pozdějších předpisů,  </w:t>
      </w:r>
    </w:p>
    <w:p w14:paraId="58BA95DE" w14:textId="77777777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poruší pravidla veřejné podpory,</w:t>
      </w:r>
    </w:p>
    <w:p w14:paraId="0914579E" w14:textId="17D31A75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bylo zahájeno insolvenční řízení podle zákona č. 182/2006 Sb., o úpadku a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 xml:space="preserve">způsobech jeho řešení, ve znění pozdějších předpisů,  </w:t>
      </w:r>
    </w:p>
    <w:p w14:paraId="6C720670" w14:textId="77777777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příjemce uvedl nepravdivé, neúplné nebo zkreslené údaje, na které se váže uzavření této smlouvy,</w:t>
      </w:r>
    </w:p>
    <w:p w14:paraId="6D6DDFCF" w14:textId="77777777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je v likvidaci, </w:t>
      </w:r>
    </w:p>
    <w:p w14:paraId="2B300269" w14:textId="77777777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stane se nezpůsobilým příjemcem dotace pro danou oblast podpory, </w:t>
      </w:r>
    </w:p>
    <w:p w14:paraId="6BD93382" w14:textId="77777777" w:rsidR="00933822" w:rsidRPr="00D562C1" w:rsidRDefault="00933822" w:rsidP="003B077D">
      <w:pPr>
        <w:widowControl w:val="0"/>
        <w:numPr>
          <w:ilvl w:val="0"/>
          <w:numId w:val="9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opakovaně neplní povinnosti stanovené smlouvou, i když byl k jejich nápravě vyzván poskytovatelem.</w:t>
      </w:r>
    </w:p>
    <w:p w14:paraId="0699F95E" w14:textId="77777777" w:rsidR="00933822" w:rsidRPr="00D562C1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Výpověď smlouvy musí být učiněna písemně a musí v ní být uvedeny důvody jejího udělení.</w:t>
      </w:r>
    </w:p>
    <w:p w14:paraId="5C00376E" w14:textId="77777777" w:rsidR="00933822" w:rsidRPr="00D562C1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Výpovědní lhůta činí 1 měsíc od prvního dne následujícího po doručení výpovědi příjemci dotace. Účinky doručení pro účely této smlouvy však nastávají i tehdy, pokud příjemce svým jednáním nebo opomenutím doručení zmařil. </w:t>
      </w:r>
    </w:p>
    <w:p w14:paraId="0F5B5E37" w14:textId="77777777" w:rsidR="00933822" w:rsidRPr="00D562C1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Účinky výpovědi nastávají dnem uplynutí výpovědní lhůty za podmínky, že příjemce dotace vrátí poskytnuté peněžní prostředky před jejím uplynutím. Jinak k ukončení smlouvy dojde až vypořádáním všech práv a povinností smluvních stran. </w:t>
      </w:r>
    </w:p>
    <w:p w14:paraId="3F3A22FF" w14:textId="77777777" w:rsidR="00933822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 xml:space="preserve"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   </w:t>
      </w:r>
    </w:p>
    <w:p w14:paraId="345D6143" w14:textId="67D59CDC" w:rsidR="00933822" w:rsidRDefault="00933822" w:rsidP="003B077D">
      <w:pPr>
        <w:widowControl w:val="0"/>
        <w:numPr>
          <w:ilvl w:val="0"/>
          <w:numId w:val="5"/>
        </w:numPr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D562C1">
        <w:rPr>
          <w:rFonts w:ascii="Arial" w:hAnsi="Arial" w:cs="Arial"/>
        </w:rPr>
        <w:t>Pokud příjemce ve stanovené lhůtě poskytnuté prostředky nevrátí v souladu s tímto článkem poskytovateli, považují se tyto prostředky za zadržené ve smyslu zákona č.</w:t>
      </w:r>
      <w:r>
        <w:rPr>
          <w:rFonts w:ascii="Arial" w:hAnsi="Arial" w:cs="Arial"/>
        </w:rPr>
        <w:t> </w:t>
      </w:r>
      <w:r w:rsidRPr="00D562C1">
        <w:rPr>
          <w:rFonts w:ascii="Arial" w:hAnsi="Arial" w:cs="Arial"/>
        </w:rPr>
        <w:t>250/2000</w:t>
      </w:r>
      <w:r>
        <w:rPr>
          <w:rFonts w:ascii="Arial" w:hAnsi="Arial" w:cs="Arial"/>
        </w:rPr>
        <w:t xml:space="preserve"> Sb., o rozpočtových pravidlech územních rozpočtů, ve znění pozdějších předpisů.</w:t>
      </w:r>
      <w:r w:rsidRPr="00D562C1">
        <w:rPr>
          <w:rFonts w:ascii="Arial" w:hAnsi="Arial" w:cs="Arial"/>
        </w:rPr>
        <w:t xml:space="preserve"> </w:t>
      </w:r>
    </w:p>
    <w:p w14:paraId="57A1A05E" w14:textId="77777777" w:rsidR="00C05BD1" w:rsidRDefault="00C05BD1" w:rsidP="00C05BD1">
      <w:pPr>
        <w:widowControl w:val="0"/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60" w:line="240" w:lineRule="auto"/>
        <w:jc w:val="both"/>
        <w:rPr>
          <w:rFonts w:ascii="Arial" w:hAnsi="Arial" w:cs="Arial"/>
        </w:rPr>
      </w:pPr>
    </w:p>
    <w:p w14:paraId="2221EB6A" w14:textId="77777777" w:rsidR="00ED239C" w:rsidRDefault="00ED239C" w:rsidP="00C05BD1">
      <w:pPr>
        <w:widowControl w:val="0"/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60" w:line="240" w:lineRule="auto"/>
        <w:jc w:val="both"/>
        <w:rPr>
          <w:rFonts w:ascii="Arial" w:hAnsi="Arial" w:cs="Arial"/>
        </w:rPr>
      </w:pPr>
    </w:p>
    <w:p w14:paraId="60D5C211" w14:textId="77777777" w:rsidR="00ED239C" w:rsidRDefault="00ED239C" w:rsidP="00C05BD1">
      <w:pPr>
        <w:widowControl w:val="0"/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60" w:line="240" w:lineRule="auto"/>
        <w:jc w:val="both"/>
        <w:rPr>
          <w:rFonts w:ascii="Arial" w:hAnsi="Arial" w:cs="Arial"/>
        </w:rPr>
      </w:pPr>
    </w:p>
    <w:p w14:paraId="39CAF08F" w14:textId="77777777" w:rsidR="00ED239C" w:rsidRDefault="00ED239C" w:rsidP="00C05BD1">
      <w:pPr>
        <w:widowControl w:val="0"/>
        <w:tabs>
          <w:tab w:val="left" w:pos="993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60" w:line="240" w:lineRule="auto"/>
        <w:jc w:val="both"/>
        <w:rPr>
          <w:rFonts w:ascii="Arial" w:hAnsi="Arial" w:cs="Arial"/>
        </w:rPr>
      </w:pPr>
    </w:p>
    <w:p w14:paraId="3C131731" w14:textId="77777777" w:rsidR="00933822" w:rsidRPr="00155EBF" w:rsidRDefault="00933822" w:rsidP="00933822">
      <w:pPr>
        <w:pStyle w:val="Zkladntext"/>
        <w:spacing w:afterLines="50" w:after="120"/>
        <w:ind w:right="288"/>
        <w:jc w:val="center"/>
        <w:rPr>
          <w:b/>
        </w:rPr>
      </w:pPr>
      <w:r w:rsidRPr="00155EBF">
        <w:rPr>
          <w:b/>
        </w:rPr>
        <w:lastRenderedPageBreak/>
        <w:t>VI.</w:t>
      </w:r>
    </w:p>
    <w:p w14:paraId="436D97A8" w14:textId="77777777" w:rsidR="00933822" w:rsidRPr="00155EBF" w:rsidRDefault="00933822" w:rsidP="00933822">
      <w:pPr>
        <w:pStyle w:val="Zkladntext"/>
        <w:spacing w:before="120" w:after="120"/>
        <w:ind w:left="425" w:right="142" w:hanging="425"/>
        <w:jc w:val="center"/>
        <w:rPr>
          <w:b/>
        </w:rPr>
      </w:pPr>
      <w:r w:rsidRPr="00155EBF">
        <w:rPr>
          <w:b/>
        </w:rPr>
        <w:t xml:space="preserve"> Závěrečná ustanovení</w:t>
      </w:r>
    </w:p>
    <w:p w14:paraId="5E5FCE3D" w14:textId="43F3AA6D" w:rsidR="00933822" w:rsidRPr="0007236D" w:rsidRDefault="00933822" w:rsidP="003B077D">
      <w:pPr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  <w:jc w:val="both"/>
        <w:rPr>
          <w:rFonts w:ascii="Arial" w:hAnsi="Arial" w:cs="Arial"/>
        </w:rPr>
      </w:pPr>
      <w:r w:rsidRPr="0007236D">
        <w:rPr>
          <w:rFonts w:ascii="Arial" w:hAnsi="Arial" w:cs="Arial"/>
        </w:rPr>
        <w:t>Právní vztahy, které nejsou přímo upraveny touto smlouvou, se řídí příslušnými ustanoveními zákona č. 500/2004 Sb., správní řád, ve znění pozdějších předpisů, zákona</w:t>
      </w:r>
      <w:r>
        <w:rPr>
          <w:rFonts w:ascii="Arial" w:hAnsi="Arial" w:cs="Arial"/>
        </w:rPr>
        <w:t xml:space="preserve"> </w:t>
      </w:r>
      <w:r w:rsidRPr="0007236D">
        <w:rPr>
          <w:rFonts w:ascii="Arial" w:hAnsi="Arial" w:cs="Arial"/>
        </w:rPr>
        <w:t>č. 250/2000</w:t>
      </w:r>
      <w:r>
        <w:rPr>
          <w:rFonts w:ascii="Arial" w:hAnsi="Arial" w:cs="Arial"/>
        </w:rPr>
        <w:t xml:space="preserve"> </w:t>
      </w:r>
      <w:r w:rsidRPr="0007236D">
        <w:rPr>
          <w:rFonts w:ascii="Arial" w:hAnsi="Arial" w:cs="Arial"/>
        </w:rPr>
        <w:t>Sb.</w:t>
      </w:r>
      <w:r>
        <w:rPr>
          <w:rFonts w:ascii="Arial" w:hAnsi="Arial" w:cs="Arial"/>
        </w:rPr>
        <w:t>, o</w:t>
      </w:r>
      <w:r w:rsidRPr="0007236D">
        <w:rPr>
          <w:rFonts w:ascii="Arial" w:hAnsi="Arial" w:cs="Arial"/>
        </w:rPr>
        <w:t xml:space="preserve"> rozpočtových pravidlech územních rozpočtů, ve znění pozdějších předpisů, Směrnicí </w:t>
      </w:r>
      <w:r>
        <w:rPr>
          <w:rFonts w:ascii="Arial" w:hAnsi="Arial" w:cs="Arial"/>
        </w:rPr>
        <w:t>o poskytování dotací</w:t>
      </w:r>
      <w:r w:rsidRPr="0007236D">
        <w:rPr>
          <w:rFonts w:ascii="Arial" w:hAnsi="Arial" w:cs="Arial"/>
        </w:rPr>
        <w:t xml:space="preserve"> č. OP </w:t>
      </w:r>
      <w:r w:rsidR="001B5384">
        <w:rPr>
          <w:rFonts w:ascii="Arial" w:hAnsi="Arial" w:cs="Arial"/>
        </w:rPr>
        <w:t>10</w:t>
      </w:r>
      <w:r w:rsidRPr="0007236D">
        <w:rPr>
          <w:rFonts w:ascii="Arial" w:hAnsi="Arial" w:cs="Arial"/>
        </w:rPr>
        <w:t>/202</w:t>
      </w:r>
      <w:r w:rsidR="001B5384">
        <w:rPr>
          <w:rFonts w:ascii="Arial" w:hAnsi="Arial" w:cs="Arial"/>
        </w:rPr>
        <w:t>5</w:t>
      </w:r>
      <w:r w:rsidRPr="0007236D">
        <w:rPr>
          <w:rFonts w:ascii="Arial" w:hAnsi="Arial" w:cs="Arial"/>
        </w:rPr>
        <w:t>, případně dalšími obecně závaznými předpisy.</w:t>
      </w:r>
    </w:p>
    <w:p w14:paraId="1C77DB92" w14:textId="77777777" w:rsidR="00933822" w:rsidRPr="0007236D" w:rsidRDefault="00933822" w:rsidP="003B077D">
      <w:pPr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  <w:rPr>
          <w:rFonts w:ascii="Arial" w:hAnsi="Arial" w:cs="Arial"/>
        </w:rPr>
      </w:pPr>
      <w:r w:rsidRPr="0007236D">
        <w:rPr>
          <w:rFonts w:ascii="Arial" w:hAnsi="Arial" w:cs="Arial"/>
        </w:rPr>
        <w:t>Ekonomická činnost příjemce dotace neovlivní obchod mezi členskými státy EU.</w:t>
      </w:r>
    </w:p>
    <w:p w14:paraId="3D2F289C" w14:textId="6BA65ABC" w:rsidR="00933822" w:rsidRPr="0007236D" w:rsidRDefault="00933822" w:rsidP="003B077D">
      <w:pPr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  <w:jc w:val="both"/>
        <w:rPr>
          <w:rFonts w:ascii="Arial" w:hAnsi="Arial" w:cs="Arial"/>
        </w:rPr>
      </w:pPr>
      <w:r w:rsidRPr="0007236D">
        <w:rPr>
          <w:rFonts w:ascii="Arial" w:hAnsi="Arial" w:cs="Arial"/>
        </w:rPr>
        <w:t>Smlouva může být měněna či doplňována pouze písemnými, vzestupně číslovanými dodatky podepsanými oprávněnými zástupci obou smluvních stran. Dodatek se neuzavírá v případě změny názvu příjemce, statutárního zástupce, sídla či bankovního účtu kterékoli ze smluvních stran. V takovém případě postačí písemné oznámení o</w:t>
      </w:r>
      <w:r>
        <w:rPr>
          <w:rFonts w:ascii="Arial" w:hAnsi="Arial" w:cs="Arial"/>
        </w:rPr>
        <w:t> </w:t>
      </w:r>
      <w:r w:rsidRPr="0007236D">
        <w:rPr>
          <w:rFonts w:ascii="Arial" w:hAnsi="Arial" w:cs="Arial"/>
        </w:rPr>
        <w:t xml:space="preserve">změně, které v případě změny bankovního účtu příjemce musí být doloženo kopií smlouvy o zřízení účtu. </w:t>
      </w:r>
    </w:p>
    <w:p w14:paraId="5535C7D4" w14:textId="77777777" w:rsidR="00933822" w:rsidRPr="0007236D" w:rsidRDefault="00933822" w:rsidP="003B077D">
      <w:pPr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  <w:jc w:val="both"/>
        <w:rPr>
          <w:rFonts w:ascii="Arial" w:hAnsi="Arial" w:cs="Arial"/>
        </w:rPr>
      </w:pPr>
      <w:r w:rsidRPr="0007236D">
        <w:rPr>
          <w:rFonts w:ascii="Arial" w:hAnsi="Arial" w:cs="Arial"/>
        </w:rPr>
        <w:t xml:space="preserve">Smluvní strany berou na vědomí, že tato smlouva ke své účinnosti vyžaduje uveřejnění v registru smluv podle zákona č. 340/2015 Sb., zákon o registru smluv, ve znění pozdějších předpisů a s tímto uveřejněním souhlasí. Zveřejnění smlouvy v registru smluv zajistí poskytovatel neprodleně po podpisu smlouvy. </w:t>
      </w:r>
    </w:p>
    <w:p w14:paraId="0B400415" w14:textId="77777777" w:rsidR="00933822" w:rsidRPr="0007236D" w:rsidRDefault="00933822" w:rsidP="003B077D">
      <w:pPr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  <w:jc w:val="both"/>
        <w:rPr>
          <w:rFonts w:ascii="Arial" w:hAnsi="Arial" w:cs="Arial"/>
        </w:rPr>
      </w:pPr>
      <w:r w:rsidRPr="0007236D">
        <w:rPr>
          <w:rFonts w:ascii="Arial" w:hAnsi="Arial" w:cs="Arial"/>
        </w:rPr>
        <w:t xml:space="preserve">Tato smlouva nabývá platnosti dnem podpisu poslední smluvní stranou a účinnosti dnem uveřejnění prostřednictvím registru smluv. </w:t>
      </w:r>
    </w:p>
    <w:p w14:paraId="31E95AF8" w14:textId="77777777" w:rsidR="00933822" w:rsidRPr="0007236D" w:rsidRDefault="00933822" w:rsidP="003B077D">
      <w:pPr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  <w:jc w:val="both"/>
        <w:rPr>
          <w:rFonts w:ascii="Arial" w:hAnsi="Arial" w:cs="Arial"/>
        </w:rPr>
      </w:pPr>
      <w:r w:rsidRPr="0007236D">
        <w:rPr>
          <w:rFonts w:ascii="Arial" w:hAnsi="Arial" w:cs="Arial"/>
        </w:rPr>
        <w:t>Smlouva je vyhotovena ve dvou stejnopisech, z nichž poskytovatel a příjemce obdrží jedno vyhotovení.</w:t>
      </w:r>
    </w:p>
    <w:p w14:paraId="40EDC202" w14:textId="5317B0B5" w:rsidR="00933822" w:rsidRDefault="00933822" w:rsidP="003B077D">
      <w:pPr>
        <w:pStyle w:val="Zkladntext"/>
        <w:widowControl w:val="0"/>
        <w:numPr>
          <w:ilvl w:val="1"/>
          <w:numId w:val="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120" w:line="240" w:lineRule="auto"/>
        <w:ind w:left="567" w:right="142" w:hanging="567"/>
      </w:pPr>
      <w:r w:rsidRPr="0007236D">
        <w:t xml:space="preserve">Smluvní strany prohlašují, že tato smlouva je souhlasným, svobodným a vážným projevem jejich skutečné vůle, že smlouvu neuzavřeli v tísni nebo za nevýhodných podmínek a že s obsahem smlouvy po vzájemné dohodě souhlasí tak, aby mezi nimi nedošlo k rozporům. Na důkaz toho smlouvu vlastnoručně podepisují. </w:t>
      </w:r>
    </w:p>
    <w:p w14:paraId="760AD124" w14:textId="77777777" w:rsidR="00C05BD1" w:rsidRDefault="00C05BD1" w:rsidP="00C05BD1">
      <w:pPr>
        <w:pStyle w:val="Zkladntext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60" w:line="240" w:lineRule="auto"/>
        <w:ind w:right="142"/>
      </w:pPr>
    </w:p>
    <w:p w14:paraId="7C389BB1" w14:textId="77777777" w:rsidR="00933822" w:rsidRPr="00155EBF" w:rsidRDefault="00933822" w:rsidP="00933822">
      <w:pPr>
        <w:spacing w:line="240" w:lineRule="auto"/>
        <w:jc w:val="both"/>
        <w:rPr>
          <w:rFonts w:ascii="Arial" w:hAnsi="Arial" w:cs="Arial"/>
          <w:b/>
          <w:color w:val="000000"/>
        </w:rPr>
      </w:pPr>
      <w:r w:rsidRPr="00155EBF">
        <w:rPr>
          <w:rFonts w:ascii="Arial" w:hAnsi="Arial" w:cs="Arial"/>
          <w:b/>
          <w:color w:val="000000"/>
        </w:rPr>
        <w:t>Doložka dle ustanovení § 41 zákona č. 128/2000 Sb., o obcích, ve znění pozdějších předpisů</w:t>
      </w:r>
    </w:p>
    <w:p w14:paraId="4E23C8E7" w14:textId="5DC38C7B" w:rsidR="00933822" w:rsidRDefault="00933822" w:rsidP="00C05BD1">
      <w:pPr>
        <w:pStyle w:val="Zkladntext"/>
        <w:spacing w:line="240" w:lineRule="auto"/>
      </w:pPr>
      <w:r w:rsidRPr="00155EBF">
        <w:t xml:space="preserve">Rozhodnutí uzavřít tuto smlouvu bylo učiněno na </w:t>
      </w:r>
      <w:r>
        <w:t>22</w:t>
      </w:r>
      <w:r w:rsidRPr="00155EBF">
        <w:t xml:space="preserve">. zasedání Zastupitelstva města Bystřice pod Hostýnem dne </w:t>
      </w:r>
      <w:r>
        <w:t>20.04.2026</w:t>
      </w:r>
      <w:r w:rsidRPr="00155EBF">
        <w:t>, č. usnesení:</w:t>
      </w:r>
      <w:r w:rsidR="00D3479A">
        <w:t xml:space="preserve"> </w:t>
      </w:r>
      <w:r w:rsidR="0077795C">
        <w:t>ZM/10/22/2026.</w:t>
      </w:r>
    </w:p>
    <w:p w14:paraId="3E22C86F" w14:textId="77777777" w:rsidR="00C05BD1" w:rsidRPr="00155EBF" w:rsidRDefault="00C05BD1" w:rsidP="00C05BD1">
      <w:pPr>
        <w:pStyle w:val="Zkladntext"/>
        <w:spacing w:line="240" w:lineRule="auto"/>
      </w:pPr>
    </w:p>
    <w:p w14:paraId="4DDF291F" w14:textId="6B34451D" w:rsidR="00933822" w:rsidRPr="00155EBF" w:rsidRDefault="00933822" w:rsidP="00933822">
      <w:pPr>
        <w:spacing w:line="240" w:lineRule="auto"/>
        <w:jc w:val="both"/>
        <w:rPr>
          <w:rFonts w:ascii="Arial" w:hAnsi="Arial" w:cs="Arial"/>
        </w:rPr>
      </w:pPr>
      <w:r w:rsidRPr="00155EBF">
        <w:rPr>
          <w:rFonts w:ascii="Arial" w:hAnsi="Arial" w:cs="Arial"/>
        </w:rPr>
        <w:t>V Bystřici pod Hostýnem dne</w:t>
      </w:r>
      <w:r w:rsidR="00A16D80">
        <w:rPr>
          <w:rFonts w:ascii="Arial" w:hAnsi="Arial" w:cs="Arial"/>
        </w:rPr>
        <w:t xml:space="preserve"> 14.05.2026</w:t>
      </w:r>
      <w:r w:rsidRPr="00155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5EBF">
        <w:rPr>
          <w:rFonts w:ascii="Arial" w:hAnsi="Arial" w:cs="Arial"/>
        </w:rPr>
        <w:t>V</w:t>
      </w:r>
      <w:r w:rsidR="002936CE">
        <w:rPr>
          <w:rFonts w:ascii="Arial" w:hAnsi="Arial" w:cs="Arial"/>
        </w:rPr>
        <w:t xml:space="preserve"> Bystřici pod Hostýnem </w:t>
      </w:r>
      <w:r w:rsidRPr="00155EBF">
        <w:rPr>
          <w:rFonts w:ascii="Arial" w:hAnsi="Arial" w:cs="Arial"/>
        </w:rPr>
        <w:t>dne</w:t>
      </w:r>
      <w:r w:rsidR="00A16D80">
        <w:rPr>
          <w:rFonts w:ascii="Arial" w:hAnsi="Arial" w:cs="Arial"/>
        </w:rPr>
        <w:t xml:space="preserve"> 14.05.2026</w:t>
      </w:r>
    </w:p>
    <w:p w14:paraId="08966A88" w14:textId="77777777" w:rsidR="00933822" w:rsidRPr="00155EBF" w:rsidRDefault="00933822" w:rsidP="00933822">
      <w:pPr>
        <w:spacing w:line="240" w:lineRule="auto"/>
        <w:jc w:val="both"/>
        <w:rPr>
          <w:rFonts w:ascii="Arial" w:hAnsi="Arial" w:cs="Arial"/>
        </w:rPr>
      </w:pPr>
    </w:p>
    <w:p w14:paraId="596C95B1" w14:textId="77777777" w:rsidR="00A76A78" w:rsidRPr="00155EBF" w:rsidRDefault="00A76A78" w:rsidP="00933822">
      <w:pPr>
        <w:spacing w:line="240" w:lineRule="auto"/>
        <w:jc w:val="both"/>
        <w:rPr>
          <w:rFonts w:ascii="Arial" w:hAnsi="Arial" w:cs="Arial"/>
        </w:rPr>
      </w:pPr>
    </w:p>
    <w:p w14:paraId="3F0D7335" w14:textId="77777777" w:rsidR="00933822" w:rsidRPr="00155EBF" w:rsidRDefault="00933822" w:rsidP="00933822">
      <w:pPr>
        <w:spacing w:line="240" w:lineRule="auto"/>
        <w:jc w:val="both"/>
        <w:rPr>
          <w:rFonts w:ascii="Arial" w:hAnsi="Arial" w:cs="Arial"/>
        </w:rPr>
      </w:pPr>
    </w:p>
    <w:p w14:paraId="02092F65" w14:textId="75FBE16C" w:rsidR="0077795C" w:rsidRPr="00155EBF" w:rsidRDefault="00495065" w:rsidP="007779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Mgr. Mojmír Heryán</w:t>
      </w:r>
      <w:r w:rsidR="0077795C" w:rsidRPr="00155EBF">
        <w:rPr>
          <w:rFonts w:ascii="Arial" w:hAnsi="Arial" w:cs="Arial"/>
        </w:rPr>
        <w:tab/>
      </w:r>
      <w:r w:rsidR="0077795C" w:rsidRPr="00155EBF">
        <w:rPr>
          <w:rFonts w:ascii="Arial" w:hAnsi="Arial" w:cs="Arial"/>
        </w:rPr>
        <w:tab/>
      </w:r>
      <w:r w:rsidR="0077795C" w:rsidRPr="00155EBF">
        <w:rPr>
          <w:rFonts w:ascii="Arial" w:hAnsi="Arial" w:cs="Arial"/>
        </w:rPr>
        <w:tab/>
      </w:r>
      <w:r w:rsidR="0077795C" w:rsidRPr="00155EBF">
        <w:rPr>
          <w:rFonts w:ascii="Arial" w:hAnsi="Arial" w:cs="Arial"/>
        </w:rPr>
        <w:tab/>
      </w:r>
      <w:r w:rsidR="0077795C" w:rsidRPr="00155EBF">
        <w:rPr>
          <w:rFonts w:ascii="Arial" w:hAnsi="Arial" w:cs="Arial"/>
        </w:rPr>
        <w:tab/>
      </w:r>
      <w:r w:rsidR="00ED239C">
        <w:rPr>
          <w:rFonts w:ascii="Arial" w:hAnsi="Arial" w:cs="Arial"/>
        </w:rPr>
        <w:t>Zdeněk Rolinc</w:t>
      </w:r>
    </w:p>
    <w:p w14:paraId="356BF17C" w14:textId="5AB73F3C" w:rsidR="0077795C" w:rsidRPr="00155EBF" w:rsidRDefault="00495065" w:rsidP="007779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77795C" w:rsidRPr="00155EBF">
        <w:rPr>
          <w:rFonts w:ascii="Arial" w:hAnsi="Arial" w:cs="Arial"/>
        </w:rPr>
        <w:t>starosta města Bystřice pod Hostýnem</w:t>
      </w:r>
      <w:r w:rsidR="0077795C" w:rsidRPr="00155EBF">
        <w:rPr>
          <w:rFonts w:ascii="Arial" w:hAnsi="Arial" w:cs="Arial"/>
        </w:rPr>
        <w:tab/>
      </w:r>
      <w:r w:rsidR="00ED239C">
        <w:rPr>
          <w:rFonts w:ascii="Arial" w:hAnsi="Arial" w:cs="Arial"/>
        </w:rPr>
        <w:t>vedoucí oddílu</w:t>
      </w:r>
    </w:p>
    <w:sectPr w:rsidR="0077795C" w:rsidRPr="0015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49E"/>
    <w:multiLevelType w:val="multilevel"/>
    <w:tmpl w:val="06F689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4329D0"/>
    <w:multiLevelType w:val="multilevel"/>
    <w:tmpl w:val="3A38D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360275"/>
    <w:multiLevelType w:val="hybridMultilevel"/>
    <w:tmpl w:val="C9F69520"/>
    <w:lvl w:ilvl="0" w:tplc="25C2C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B6358"/>
    <w:multiLevelType w:val="multilevel"/>
    <w:tmpl w:val="F22E5CB2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C03DDF"/>
    <w:multiLevelType w:val="hybridMultilevel"/>
    <w:tmpl w:val="BF3E229C"/>
    <w:lvl w:ilvl="0" w:tplc="84E23B8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2E80"/>
    <w:multiLevelType w:val="multilevel"/>
    <w:tmpl w:val="AFF60B6A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573377A4"/>
    <w:multiLevelType w:val="multilevel"/>
    <w:tmpl w:val="49D4A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8D7"/>
    <w:multiLevelType w:val="hybridMultilevel"/>
    <w:tmpl w:val="1098191E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1" w:hanging="35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 w:tentative="1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8" w15:restartNumberingAfterBreak="0">
    <w:nsid w:val="688E639B"/>
    <w:multiLevelType w:val="hybridMultilevel"/>
    <w:tmpl w:val="EE34FF16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0661294">
    <w:abstractNumId w:val="1"/>
  </w:num>
  <w:num w:numId="2" w16cid:durableId="1958367547">
    <w:abstractNumId w:val="6"/>
  </w:num>
  <w:num w:numId="3" w16cid:durableId="518353437">
    <w:abstractNumId w:val="5"/>
  </w:num>
  <w:num w:numId="4" w16cid:durableId="438649580">
    <w:abstractNumId w:val="0"/>
  </w:num>
  <w:num w:numId="5" w16cid:durableId="1459882063">
    <w:abstractNumId w:val="3"/>
    <w:lvlOverride w:ilvl="0">
      <w:lvl w:ilvl="0">
        <w:start w:val="1"/>
        <w:numFmt w:val="decimal"/>
        <w:lvlText w:val="5.%1"/>
        <w:lvlJc w:val="left"/>
        <w:pPr>
          <w:ind w:left="360" w:hanging="360"/>
        </w:pPr>
        <w:rPr>
          <w:rFonts w:cs="Times New Roman" w:hint="default"/>
          <w:b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6" w16cid:durableId="835994479">
    <w:abstractNumId w:val="2"/>
  </w:num>
  <w:num w:numId="7" w16cid:durableId="13309608">
    <w:abstractNumId w:val="4"/>
  </w:num>
  <w:num w:numId="8" w16cid:durableId="941646056">
    <w:abstractNumId w:val="8"/>
  </w:num>
  <w:num w:numId="9" w16cid:durableId="11776175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56"/>
    <w:rsid w:val="0004747A"/>
    <w:rsid w:val="00094890"/>
    <w:rsid w:val="000F7528"/>
    <w:rsid w:val="00140074"/>
    <w:rsid w:val="0015398A"/>
    <w:rsid w:val="00185872"/>
    <w:rsid w:val="001B5384"/>
    <w:rsid w:val="002936CE"/>
    <w:rsid w:val="002952E8"/>
    <w:rsid w:val="003B077D"/>
    <w:rsid w:val="00495065"/>
    <w:rsid w:val="004E0466"/>
    <w:rsid w:val="005A7056"/>
    <w:rsid w:val="006B3AE8"/>
    <w:rsid w:val="007343A0"/>
    <w:rsid w:val="0077795C"/>
    <w:rsid w:val="007B5558"/>
    <w:rsid w:val="008177BF"/>
    <w:rsid w:val="00834A75"/>
    <w:rsid w:val="008417AA"/>
    <w:rsid w:val="0090060E"/>
    <w:rsid w:val="00907AEF"/>
    <w:rsid w:val="00933822"/>
    <w:rsid w:val="00933F0B"/>
    <w:rsid w:val="00993C1E"/>
    <w:rsid w:val="00A16D80"/>
    <w:rsid w:val="00A51D8B"/>
    <w:rsid w:val="00A67DB0"/>
    <w:rsid w:val="00A71FC4"/>
    <w:rsid w:val="00A76A78"/>
    <w:rsid w:val="00A86CE7"/>
    <w:rsid w:val="00B84E2D"/>
    <w:rsid w:val="00C05BD1"/>
    <w:rsid w:val="00D3479A"/>
    <w:rsid w:val="00ED239C"/>
    <w:rsid w:val="00F9624D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2C13"/>
  <w15:chartTrackingRefBased/>
  <w15:docId w15:val="{B45657FD-CC9F-4975-B8F5-8879ADB9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822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7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0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0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0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0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0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0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0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5A70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0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0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05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933822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33822"/>
    <w:rPr>
      <w:rFonts w:ascii="Arial" w:hAnsi="Arial" w:cs="Arial"/>
      <w:kern w:val="0"/>
      <w:sz w:val="22"/>
      <w:szCs w:val="22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3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1851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Kukačková Vendula</dc:creator>
  <cp:keywords/>
  <dc:description/>
  <cp:lastModifiedBy>Kukačková Vendula</cp:lastModifiedBy>
  <cp:revision>10</cp:revision>
  <cp:lastPrinted>2026-04-30T11:46:00Z</cp:lastPrinted>
  <dcterms:created xsi:type="dcterms:W3CDTF">2026-05-05T11:07:00Z</dcterms:created>
  <dcterms:modified xsi:type="dcterms:W3CDTF">2026-05-15T10:10:00Z</dcterms:modified>
</cp:coreProperties>
</file>