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562/2026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Pšovka v intravilánu Mělníka - sekání travních porostů 2026</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Pšovka v intravilánu Mělníka - sekání travních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sekání travních porostů v průtočném profilu vodního toku (VT) Pšovka v intravilánu města Mělník (ř. km 0,178-3,405).</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opevněného lichoběžníkového profilu VT na ploše 23851 m2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naplaveného a napadaného materiálu </w:t>
      </w:r>
      <w:r>
        <w:rPr>
          <w:color w:val="000000"/>
          <w:spacing w:val="0"/>
          <w:w w:val="100"/>
          <w:position w:val="0"/>
          <w:shd w:val="clear" w:color="auto" w:fill="auto"/>
          <w:lang w:val="cs-CZ" w:eastAsia="cs-CZ" w:bidi="cs-CZ"/>
        </w:rPr>
        <w:t xml:space="preserve">(včetně komunálního odpadu, napadané dřevní hmoty a zátarasů; objem odstraněného odpadu bude měřen při nakládce na dopravní prostředek dle objemu korby předmětného dopravního prostředku) </w:t>
      </w:r>
      <w:r>
        <w:rPr>
          <w:b/>
          <w:bCs/>
          <w:color w:val="000000"/>
          <w:spacing w:val="0"/>
          <w:w w:val="100"/>
          <w:position w:val="0"/>
          <w:shd w:val="clear" w:color="auto" w:fill="auto"/>
          <w:lang w:val="cs-CZ" w:eastAsia="cs-CZ" w:bidi="cs-CZ"/>
        </w:rPr>
        <w:t>z koryta VT o objemu 8 m3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3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náletových dřevin z průtočného profilu na ploše 600 m2 včetně likvidace štěpkováním na místě v rámci 2.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60" w:right="0" w:firstLine="40"/>
        <w:jc w:val="both"/>
      </w:pPr>
      <w:r>
        <w:rPr>
          <w:b/>
          <w:bCs/>
          <w:color w:val="000000"/>
          <w:spacing w:val="0"/>
          <w:w w:val="100"/>
          <w:position w:val="0"/>
          <w:shd w:val="clear" w:color="auto" w:fill="auto"/>
          <w:lang w:val="cs-CZ" w:eastAsia="cs-CZ" w:bidi="cs-CZ"/>
        </w:rPr>
        <w:t xml:space="preserve">Budou provedeny 2 seče v kalendářním roce 2026 </w:t>
      </w:r>
      <w:r>
        <w:rPr>
          <w:color w:val="000000"/>
          <w:spacing w:val="0"/>
          <w:w w:val="100"/>
          <w:position w:val="0"/>
          <w:shd w:val="clear" w:color="auto" w:fill="auto"/>
          <w:lang w:val="cs-CZ" w:eastAsia="cs-CZ" w:bidi="cs-CZ"/>
        </w:rPr>
        <w:t>(1. seč červen-červenec, 2. seč srpen-říjen)</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Termín započetí jednotlivých sečí bude upřesněn technickým dozorem investora (TDI).</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Posekané travní porosty budou vyhrabány z průtočného profilu, odvezeny a zlikvidovány v souladu s příslušnými právními předpisy.</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 xml:space="preserve">Koryto vodního toku Pšovka v úseku od vtoku do zakrytého profilu pod železniční vlečkou k přístavu Mělník (50°21'42.129"N, 14°27'41.868"E), po železniční most v Mělníku u cukrovaru (50°20'50.327"N, 14°29'48.699"E) </w:t>
      </w:r>
      <w:r>
        <w:rPr>
          <w:b/>
          <w:bCs/>
          <w:color w:val="000000"/>
          <w:spacing w:val="0"/>
          <w:w w:val="100"/>
          <w:position w:val="0"/>
          <w:shd w:val="clear" w:color="auto" w:fill="auto"/>
          <w:lang w:val="cs-CZ" w:eastAsia="cs-CZ" w:bidi="cs-CZ"/>
        </w:rPr>
        <w:t xml:space="preserve">– viz příloha č . 2 </w:t>
      </w:r>
      <w:r>
        <w:rPr>
          <w:color w:val="000000"/>
          <w:spacing w:val="0"/>
          <w:w w:val="100"/>
          <w:position w:val="0"/>
          <w:shd w:val="clear" w:color="auto" w:fill="auto"/>
          <w:lang w:val="cs-CZ" w:eastAsia="cs-CZ" w:bidi="cs-CZ"/>
        </w:rPr>
        <w:t>– Situace.</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Jde o tyto pozemky ve správě Povodí Ohře, státní podnik: k. ú. Mělník - p. p. č. 8055/9, 8055/1, 8053, 8052, 8051/1 a 8048/1</w:t>
      </w:r>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2"/>
        <w:keepNext w:val="0"/>
        <w:keepLines w:val="0"/>
        <w:widowControl w:val="0"/>
        <w:numPr>
          <w:ilvl w:val="0"/>
          <w:numId w:val="3"/>
        </w:numPr>
        <w:shd w:val="clear" w:color="auto" w:fill="auto"/>
        <w:tabs>
          <w:tab w:pos="792" w:val="left"/>
        </w:tabs>
        <w:bidi w:val="0"/>
        <w:spacing w:before="0" w:after="0" w:line="240" w:lineRule="auto"/>
        <w:ind w:left="800" w:right="0" w:hanging="400"/>
        <w:jc w:val="left"/>
      </w:pPr>
      <w:bookmarkStart w:id="20" w:name="bookmark20"/>
      <w:bookmarkStart w:id="21" w:name="bookmark21"/>
      <w:bookmarkEnd w:id="20"/>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1"/>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22" w:name="bookmark22"/>
      <w:bookmarkStart w:id="23" w:name="bookmark23"/>
      <w:bookmarkStart w:id="24" w:name="bookmark24"/>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3"/>
      <w:bookmarkEnd w:id="24"/>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25"/>
      <w:bookmarkEnd w:id="26"/>
      <w:bookmarkEnd w:id="28"/>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zajištění povolení ke vstupu a vjezdu na pozemky (mimo pozemků ve vlastnictví objednatele),</w:t>
      </w:r>
      <w:bookmarkEnd w:id="29"/>
      <w:bookmarkEnd w:id="30"/>
      <w:bookmarkEnd w:id="32"/>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3"/>
      <w:bookmarkEnd w:id="34"/>
      <w:bookmarkEnd w:id="36"/>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zajištění povolení zvláštního užívání pozemní komunikace, bude-li potřeba,</w:t>
      </w:r>
      <w:bookmarkEnd w:id="37"/>
      <w:bookmarkEnd w:id="38"/>
      <w:bookmarkEnd w:id="40"/>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1"/>
      <w:bookmarkEnd w:id="42"/>
      <w:bookmarkEnd w:id="44"/>
    </w:p>
    <w:p>
      <w:pPr>
        <w:pStyle w:val="Style12"/>
        <w:keepNext/>
        <w:keepLines/>
        <w:widowControl w:val="0"/>
        <w:numPr>
          <w:ilvl w:val="0"/>
          <w:numId w:val="3"/>
        </w:numPr>
        <w:shd w:val="clear" w:color="auto" w:fill="auto"/>
        <w:tabs>
          <w:tab w:pos="757" w:val="left"/>
        </w:tabs>
        <w:bidi w:val="0"/>
        <w:spacing w:before="0" w:after="180" w:line="240" w:lineRule="auto"/>
        <w:ind w:left="0" w:right="0" w:firstLine="36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zhotovitel zodpovídá za místo realizace díla i v době přerušení prací,</w:t>
      </w:r>
      <w:bookmarkEnd w:id="45"/>
      <w:bookmarkEnd w:id="46"/>
      <w:bookmarkEnd w:id="48"/>
    </w:p>
    <w:p>
      <w:pPr>
        <w:pStyle w:val="Style12"/>
        <w:keepNext/>
        <w:keepLines/>
        <w:widowControl w:val="0"/>
        <w:numPr>
          <w:ilvl w:val="0"/>
          <w:numId w:val="3"/>
        </w:numPr>
        <w:shd w:val="clear" w:color="auto" w:fill="auto"/>
        <w:tabs>
          <w:tab w:pos="720" w:val="left"/>
        </w:tabs>
        <w:bidi w:val="0"/>
        <w:spacing w:before="0" w:after="0" w:line="240" w:lineRule="auto"/>
        <w:ind w:left="720"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9"/>
      <w:bookmarkEnd w:id="50"/>
      <w:bookmarkEnd w:id="52"/>
    </w:p>
    <w:p>
      <w:pPr>
        <w:pStyle w:val="Style12"/>
        <w:keepNext/>
        <w:keepLines/>
        <w:widowControl w:val="0"/>
        <w:numPr>
          <w:ilvl w:val="0"/>
          <w:numId w:val="3"/>
        </w:numPr>
        <w:shd w:val="clear" w:color="auto" w:fill="auto"/>
        <w:tabs>
          <w:tab w:pos="720" w:val="left"/>
        </w:tabs>
        <w:bidi w:val="0"/>
        <w:spacing w:before="0" w:after="0" w:line="240" w:lineRule="auto"/>
        <w:ind w:left="720"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3"/>
      <w:bookmarkEnd w:id="54"/>
      <w:bookmarkEnd w:id="56"/>
    </w:p>
    <w:p>
      <w:pPr>
        <w:pStyle w:val="Style12"/>
        <w:keepNext/>
        <w:keepLines/>
        <w:widowControl w:val="0"/>
        <w:numPr>
          <w:ilvl w:val="0"/>
          <w:numId w:val="3"/>
        </w:numPr>
        <w:shd w:val="clear" w:color="auto" w:fill="auto"/>
        <w:tabs>
          <w:tab w:pos="782" w:val="left"/>
        </w:tabs>
        <w:bidi w:val="0"/>
        <w:spacing w:before="0" w:after="200" w:line="240" w:lineRule="auto"/>
        <w:ind w:left="720"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7"/>
      <w:bookmarkEnd w:id="58"/>
      <w:bookmarkEnd w:id="60"/>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1"/>
      <w:bookmarkEnd w:id="62"/>
      <w:bookmarkEnd w:id="64"/>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5"/>
      <w:bookmarkEnd w:id="66"/>
      <w:bookmarkEnd w:id="68"/>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Objednatel předá zhotoviteli pracoviště (nebo jeho ucelenou část) prosté práv třetích osob.</w:t>
      </w:r>
      <w:bookmarkEnd w:id="69"/>
      <w:bookmarkEnd w:id="70"/>
      <w:bookmarkEnd w:id="72"/>
    </w:p>
    <w:p>
      <w:pPr>
        <w:pStyle w:val="Style12"/>
        <w:keepNext/>
        <w:keepLines/>
        <w:widowControl w:val="0"/>
        <w:shd w:val="clear" w:color="auto" w:fill="auto"/>
        <w:bidi w:val="0"/>
        <w:spacing w:before="0" w:after="200" w:line="240" w:lineRule="auto"/>
        <w:ind w:right="0" w:firstLine="4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3"/>
      <w:bookmarkEnd w:id="74"/>
      <w:bookmarkEnd w:id="75"/>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0" w:line="240" w:lineRule="auto"/>
        <w:ind w:left="0" w:right="0" w:firstLine="0"/>
        <w:jc w:val="left"/>
      </w:pPr>
      <w:bookmarkStart w:id="76" w:name="bookmark76"/>
      <w:bookmarkEnd w:id="7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200" w:line="240" w:lineRule="auto"/>
        <w:ind w:left="0" w:right="0" w:firstLine="36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left"/>
      </w:pPr>
      <w:bookmarkStart w:id="77" w:name="bookmark77"/>
      <w:bookmarkEnd w:id="77"/>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78" w:name="bookmark78"/>
      <w:bookmarkEnd w:id="78"/>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 nejdříve však od 1.6.2026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79" w:name="bookmark79"/>
      <w:bookmarkEnd w:id="79"/>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Nejpozději do 31.7.2026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0" w:name="bookmark80"/>
      <w:bookmarkEnd w:id="80"/>
      <w:r>
        <w:rPr>
          <w:b/>
          <w:bCs/>
          <w:color w:val="000000"/>
          <w:spacing w:val="0"/>
          <w:w w:val="100"/>
          <w:position w:val="0"/>
          <w:shd w:val="clear" w:color="auto" w:fill="auto"/>
          <w:lang w:val="cs-CZ" w:eastAsia="cs-CZ" w:bidi="cs-CZ"/>
        </w:rPr>
        <w:t>předání a převzetí dokončeného díla včetně 2. seče:</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Nejpozději do 30.10.2026</w:t>
      </w:r>
    </w:p>
    <w:p>
      <w:pPr>
        <w:pStyle w:val="Style2"/>
        <w:keepNext w:val="0"/>
        <w:keepLines w:val="0"/>
        <w:widowControl w:val="0"/>
        <w:numPr>
          <w:ilvl w:val="0"/>
          <w:numId w:val="7"/>
        </w:numPr>
        <w:shd w:val="clear" w:color="auto" w:fill="auto"/>
        <w:tabs>
          <w:tab w:pos="811" w:val="left"/>
        </w:tabs>
        <w:bidi w:val="0"/>
        <w:spacing w:before="0" w:after="200" w:line="240" w:lineRule="auto"/>
        <w:ind w:left="720" w:right="0" w:hanging="320"/>
        <w:jc w:val="both"/>
      </w:pPr>
      <w:bookmarkStart w:id="81" w:name="bookmark81"/>
      <w:bookmarkEnd w:id="81"/>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left"/>
      </w:pPr>
      <w:bookmarkStart w:id="82" w:name="bookmark82"/>
      <w:bookmarkEnd w:id="8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left"/>
        <w:sectPr>
          <w:footnotePr>
            <w:pos w:val="pageBottom"/>
            <w:numFmt w:val="decimal"/>
            <w:numRestart w:val="continuous"/>
          </w:footnotePr>
          <w:pgSz w:w="11909" w:h="16838"/>
          <w:pgMar w:top="1135" w:left="1394" w:right="1212" w:bottom="1240" w:header="0" w:footer="3" w:gutter="0"/>
          <w:cols w:space="720"/>
          <w:noEndnote/>
          <w:rtlGutter w:val="0"/>
          <w:docGrid w:linePitch="360"/>
        </w:sectPr>
      </w:pPr>
      <w:bookmarkStart w:id="83" w:name="bookmark83"/>
      <w:bookmarkEnd w:id="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440" w:right="0" w:hanging="440"/>
        <w:jc w:val="both"/>
      </w:pPr>
      <w:bookmarkStart w:id="84" w:name="bookmark84"/>
      <w:bookmarkEnd w:id="8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85" w:name="bookmark85"/>
      <w:bookmarkEnd w:id="8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363" w:val="left"/>
        </w:tabs>
        <w:bidi w:val="0"/>
        <w:spacing w:before="0" w:after="60" w:line="240" w:lineRule="auto"/>
        <w:ind w:left="0" w:right="0" w:firstLine="440"/>
        <w:jc w:val="both"/>
      </w:pPr>
      <w:r>
        <w:rPr>
          <w:color w:val="000000"/>
          <w:spacing w:val="0"/>
          <w:w w:val="100"/>
          <w:position w:val="0"/>
          <w:shd w:val="clear" w:color="auto" w:fill="auto"/>
          <w:lang w:val="cs-CZ" w:eastAsia="cs-CZ" w:bidi="cs-CZ"/>
        </w:rPr>
        <w:t>Dílčí cena za 1. seč:</w:t>
        <w:tab/>
        <w:t>86.582,80 Kč bez DPH</w:t>
      </w:r>
    </w:p>
    <w:p>
      <w:pPr>
        <w:pStyle w:val="Style2"/>
        <w:keepNext w:val="0"/>
        <w:keepLines w:val="0"/>
        <w:widowControl w:val="0"/>
        <w:shd w:val="clear" w:color="auto" w:fill="auto"/>
        <w:tabs>
          <w:tab w:pos="4363" w:val="left"/>
        </w:tabs>
        <w:bidi w:val="0"/>
        <w:spacing w:before="0" w:after="60" w:line="240" w:lineRule="auto"/>
        <w:ind w:left="0" w:right="0" w:firstLine="440"/>
        <w:jc w:val="both"/>
      </w:pPr>
      <w:r>
        <w:rPr>
          <w:color w:val="000000"/>
          <w:spacing w:val="0"/>
          <w:w w:val="100"/>
          <w:position w:val="0"/>
          <w:u w:val="single"/>
          <w:shd w:val="clear" w:color="auto" w:fill="auto"/>
          <w:lang w:val="cs-CZ" w:eastAsia="cs-CZ" w:bidi="cs-CZ"/>
        </w:rPr>
        <w:t>Dílčí cena za 2. seč:</w:t>
        <w:tab/>
        <w:t>95.597,70 Kč bez DPH</w:t>
      </w:r>
    </w:p>
    <w:p>
      <w:pPr>
        <w:pStyle w:val="Style2"/>
        <w:keepNext w:val="0"/>
        <w:keepLines w:val="0"/>
        <w:widowControl w:val="0"/>
        <w:shd w:val="clear" w:color="auto" w:fill="auto"/>
        <w:tabs>
          <w:tab w:pos="4363" w:val="left"/>
        </w:tabs>
        <w:bidi w:val="0"/>
        <w:spacing w:before="0" w:after="420" w:line="240" w:lineRule="auto"/>
        <w:ind w:left="0" w:right="0" w:firstLine="440"/>
        <w:jc w:val="both"/>
      </w:pPr>
      <w:r>
        <w:rPr>
          <w:b/>
          <w:bCs/>
          <w:color w:val="000000"/>
          <w:spacing w:val="0"/>
          <w:w w:val="100"/>
          <w:position w:val="0"/>
          <w:shd w:val="clear" w:color="auto" w:fill="auto"/>
          <w:lang w:val="cs-CZ" w:eastAsia="cs-CZ" w:bidi="cs-CZ"/>
        </w:rPr>
        <w:t>Cena díla celkem:</w:t>
        <w:tab/>
        <w:t>182.180,50 Kč bez DPH</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32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7" w:val="left"/>
        </w:tabs>
        <w:bidi w:val="0"/>
        <w:spacing w:before="0" w:after="6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87" w:val="left"/>
        </w:tabs>
        <w:bidi w:val="0"/>
        <w:spacing w:before="0" w:after="6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800" w:val="left"/>
        </w:tabs>
        <w:bidi w:val="0"/>
        <w:spacing w:before="0" w:after="60" w:line="240" w:lineRule="auto"/>
        <w:ind w:left="820" w:right="0" w:hanging="380"/>
        <w:jc w:val="both"/>
      </w:pPr>
      <w:bookmarkStart w:id="92" w:name="bookmark92"/>
      <w:bookmarkEnd w:id="92"/>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31.7.2026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800" w:val="left"/>
        </w:tabs>
        <w:bidi w:val="0"/>
        <w:spacing w:before="0" w:after="60" w:line="240" w:lineRule="auto"/>
        <w:ind w:left="820" w:right="0" w:hanging="380"/>
        <w:jc w:val="both"/>
      </w:pPr>
      <w:bookmarkStart w:id="93" w:name="bookmark93"/>
      <w:bookmarkEnd w:id="93"/>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line="262" w:lineRule="auto"/>
        <w:ind w:left="0" w:right="0" w:firstLine="0"/>
        <w:jc w:val="right"/>
        <w:rPr>
          <w:sz w:val="18"/>
          <w:szCs w:val="18"/>
        </w:rPr>
        <w:sectPr>
          <w:headerReference w:type="default" r:id="rId7"/>
          <w:footerReference w:type="default" r:id="rId8"/>
          <w:footnotePr>
            <w:pos w:val="pageBottom"/>
            <w:numFmt w:val="decimal"/>
            <w:numRestart w:val="continuous"/>
          </w:footnotePr>
          <w:pgSz w:w="11909" w:h="16838"/>
          <w:pgMar w:top="1161" w:left="1322" w:right="1375" w:bottom="883" w:header="0" w:footer="455" w:gutter="0"/>
          <w:cols w:space="720"/>
          <w:noEndnote/>
          <w:rtlGutter w:val="0"/>
          <w:docGrid w:linePitch="360"/>
        </w:sectPr>
      </w:pPr>
      <w:bookmarkStart w:id="94" w:name="bookmark94"/>
      <w:bookmarkEnd w:id="94"/>
      <w:r>
        <w:rPr>
          <w:color w:val="000000"/>
          <w:spacing w:val="0"/>
          <w:w w:val="100"/>
          <w:position w:val="0"/>
          <w:sz w:val="22"/>
          <w:szCs w:val="22"/>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w:t>
      </w:r>
      <w:r>
        <w:rPr>
          <w:color w:val="000000"/>
          <w:spacing w:val="0"/>
          <w:w w:val="100"/>
          <w:position w:val="0"/>
          <w:sz w:val="18"/>
          <w:szCs w:val="18"/>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4 </w:t>
      </w:r>
      <w:r>
        <w:rPr>
          <w:color w:val="000000"/>
          <w:spacing w:val="0"/>
          <w:w w:val="100"/>
          <w:position w:val="0"/>
          <w:sz w:val="18"/>
          <w:szCs w:val="18"/>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9</w:t>
      </w:r>
    </w:p>
    <w:p>
      <w:pPr>
        <w:pStyle w:val="Style2"/>
        <w:keepNext w:val="0"/>
        <w:keepLines w:val="0"/>
        <w:widowControl w:val="0"/>
        <w:shd w:val="clear" w:color="auto" w:fill="auto"/>
        <w:bidi w:val="0"/>
        <w:spacing w:before="120" w:after="0" w:line="240" w:lineRule="auto"/>
        <w:ind w:left="380" w:right="0" w:firstLine="0"/>
        <w:jc w:val="both"/>
      </w:pPr>
      <w:r>
        <w:rPr>
          <w:color w:val="000000"/>
          <w:spacing w:val="0"/>
          <w:w w:val="100"/>
          <w:position w:val="0"/>
          <w:shd w:val="clear" w:color="auto" w:fill="auto"/>
          <w:lang w:val="cs-CZ" w:eastAsia="cs-CZ" w:bidi="cs-CZ"/>
        </w:rPr>
        <w:t>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0" w:val="left"/>
        </w:tabs>
        <w:bidi w:val="0"/>
        <w:spacing w:before="0" w:line="240" w:lineRule="auto"/>
        <w:ind w:left="0" w:right="0" w:firstLine="0"/>
        <w:jc w:val="left"/>
      </w:pPr>
      <w:bookmarkStart w:id="96" w:name="bookmark96"/>
      <w:bookmarkEnd w:id="9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bude zhotovitel v prodlení proti dílčímu termínu předání a převzetí dokončené části díla (1. seče) sjednaného dle čl. II. odst. 1. písm. c) této smlouvy, je povinen zaplatit objednateli smluvní pokutu ve výši 0,2 % z celkové ceny díla bez DPH dle čl. III. této smlouvy za každý i započatý kalendářní den prodlení, až do dne podpisu zápisu o předání a převzetí dokončené části díla (1. seče).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36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3" w:val="left"/>
        </w:tabs>
        <w:bidi w:val="0"/>
        <w:spacing w:before="0" w:after="0" w:line="240" w:lineRule="auto"/>
        <w:ind w:left="0" w:right="0" w:firstLine="380"/>
        <w:jc w:val="left"/>
      </w:pPr>
      <w:bookmarkStart w:id="111" w:name="bookmark111"/>
      <w:bookmarkEnd w:id="11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12" w:name="bookmark112"/>
      <w:bookmarkEnd w:id="11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13" w:name="bookmark113"/>
      <w:bookmarkEnd w:id="11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23"/>
      <w:bookmarkEnd w:id="124"/>
      <w:bookmarkEnd w:id="126"/>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bezdůvodném přerušení prací zhotovitele, které trvá více než 14 dnů,</w:t>
      </w:r>
      <w:bookmarkEnd w:id="127"/>
      <w:bookmarkEnd w:id="128"/>
      <w:bookmarkEnd w:id="130"/>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31"/>
      <w:bookmarkEnd w:id="132"/>
      <w:bookmarkEnd w:id="134"/>
    </w:p>
    <w:p>
      <w:pPr>
        <w:pStyle w:val="Style12"/>
        <w:keepNext/>
        <w:keepLines/>
        <w:widowControl w:val="0"/>
        <w:numPr>
          <w:ilvl w:val="0"/>
          <w:numId w:val="25"/>
        </w:numPr>
        <w:shd w:val="clear" w:color="auto" w:fill="auto"/>
        <w:tabs>
          <w:tab w:pos="1179" w:val="left"/>
        </w:tabs>
        <w:bidi w:val="0"/>
        <w:spacing w:before="0" w:after="180" w:line="240" w:lineRule="auto"/>
        <w:ind w:left="0" w:right="0" w:firstLine="80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neplněním povinností zhotovitele vést řádně zápisy do stavebního deníku.</w:t>
      </w:r>
      <w:bookmarkEnd w:id="135"/>
      <w:bookmarkEnd w:id="136"/>
      <w:bookmarkEnd w:id="138"/>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3298" w:val="left"/>
          <w:tab w:pos="6106" w:val="left"/>
          <w:tab w:pos="8722" w:val="left"/>
        </w:tabs>
        <w:bidi w:val="0"/>
        <w:spacing w:before="0" w:after="0" w:line="240" w:lineRule="auto"/>
        <w:ind w:left="380" w:right="0" w:hanging="380"/>
        <w:jc w:val="left"/>
      </w:pPr>
      <w:bookmarkStart w:id="144" w:name="bookmark144"/>
      <w:bookmarkEnd w:id="144"/>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45" w:name="bookmark145"/>
      <w:bookmarkEnd w:id="14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46" w:name="bookmark146"/>
      <w:bookmarkEnd w:id="1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47" w:name="bookmark147"/>
      <w:bookmarkEnd w:id="14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20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r>
        <w:br w:type="page"/>
      </w:r>
    </w:p>
    <w:tbl>
      <w:tblPr>
        <w:tblOverlap w:val="never"/>
        <w:jc w:val="left"/>
        <w:tblLayout w:type="fixed"/>
      </w:tblPr>
      <w:tblGrid>
        <w:gridCol w:w="4085"/>
        <w:gridCol w:w="4099"/>
      </w:tblGrid>
      <w:tr>
        <w:trPr>
          <w:trHeight w:val="778"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Digitálně podepsal:</w:t>
            </w:r>
          </w:p>
        </w:tc>
      </w:tr>
      <w:tr>
        <w:trPr>
          <w:trHeight w:val="1099"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980" w:right="0" w:firstLine="0"/>
              <w:jc w:val="both"/>
            </w:pPr>
            <w:r>
              <w:rPr>
                <w:color w:val="000000"/>
                <w:spacing w:val="0"/>
                <w:w w:val="100"/>
                <w:position w:val="0"/>
                <w:shd w:val="clear" w:color="auto" w:fill="auto"/>
                <w:lang w:val="cs-CZ" w:eastAsia="cs-CZ" w:bidi="cs-CZ"/>
              </w:rPr>
              <w:t>…………………………………… za LESORS s.r.o.</w:t>
            </w:r>
          </w:p>
        </w:tc>
      </w:tr>
    </w:tbl>
    <w:sectPr>
      <w:headerReference w:type="default" r:id="rId9"/>
      <w:footerReference w:type="default" r:id="rId10"/>
      <w:footnotePr>
        <w:pos w:val="pageBottom"/>
        <w:numFmt w:val="decimal"/>
        <w:numRestart w:val="continuous"/>
      </w:footnotePr>
      <w:pgSz w:w="11909" w:h="16838"/>
      <w:pgMar w:top="1077" w:left="1386" w:right="1316" w:bottom="124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5986780</wp:posOffset>
              </wp:positionH>
              <wp:positionV relativeFrom="page">
                <wp:posOffset>9968230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40000000000003pt;margin-top:784.89999999999998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5986780</wp:posOffset>
              </wp:positionH>
              <wp:positionV relativeFrom="page">
                <wp:posOffset>9968230</wp:posOffset>
              </wp:positionV>
              <wp:extent cx="673735" cy="161290"/>
              <wp:wrapNone/>
              <wp:docPr id="13" name="Shape 13"/>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71.40000000000003pt;margin-top:784.89999999999998pt;width:53.050000000000004pt;height:12.7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3359785</wp:posOffset>
              </wp:positionH>
              <wp:positionV relativeFrom="page">
                <wp:posOffset>385445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55000000000001pt;margin-top:30.3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438785</wp:posOffset>
              </wp:positionV>
              <wp:extent cx="838200" cy="170815"/>
              <wp:wrapNone/>
              <wp:docPr id="9" name="Shape 9"/>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264.80000000000001pt;margin-top:34.550000000000004pt;width:66.pt;height:13.45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3359785</wp:posOffset>
              </wp:positionH>
              <wp:positionV relativeFrom="page">
                <wp:posOffset>385445</wp:posOffset>
              </wp:positionV>
              <wp:extent cx="838200" cy="170815"/>
              <wp:wrapNone/>
              <wp:docPr id="11" name="Shape 11"/>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264.55000000000001pt;margin-top:30.350000000000001pt;width:66.pt;height:13.4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60" w:hanging="320"/>
      <w:outlineLvl w:val="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