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561/2026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Jílovský potok v Libouchci - sekání ruderálních porostů 2026</w:t>
      </w:r>
    </w:p>
    <w:p>
      <w:pPr>
        <w:pStyle w:val="Style12"/>
        <w:keepNext/>
        <w:keepLines/>
        <w:widowControl w:val="0"/>
        <w:shd w:val="clear" w:color="auto" w:fill="auto"/>
        <w:bidi w:val="0"/>
        <w:spacing w:before="0" w:after="300" w:line="240" w:lineRule="auto"/>
        <w:ind w:left="0" w:right="0" w:firstLine="0"/>
        <w:jc w:val="left"/>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4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4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HAGL, spol. s 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Na Sklípku 880, 400 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25408321</w:t>
      </w:r>
    </w:p>
    <w:p>
      <w:pPr>
        <w:pStyle w:val="Style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CZ 25408321</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Jílovský potok v Libouchci - sekání ruderálních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sekání ruderální porostů v průtočném profilu vodního toku (VT) Jílovský potok v Libouchci (ř. km 11,070-15,234).</w:t>
      </w:r>
      <w:bookmarkEnd w:id="10"/>
      <w:bookmarkEnd w:id="11"/>
      <w:bookmarkEnd w:id="13"/>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28" w:lineRule="auto"/>
        <w:ind w:left="800" w:right="0" w:hanging="3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ruderálních porostů (travní porosty, náletové dřeviny) v opevněném profilu VT na ploše 37283 m2 </w:t>
      </w:r>
      <w:r>
        <w:rPr>
          <w:color w:val="000000"/>
          <w:spacing w:val="0"/>
          <w:w w:val="100"/>
          <w:position w:val="0"/>
          <w:shd w:val="clear" w:color="auto" w:fill="auto"/>
          <w:lang w:val="cs-CZ" w:eastAsia="cs-CZ" w:bidi="cs-CZ"/>
        </w:rPr>
        <w:t>(20089 m2 na dně a 17194 m2 na březích)</w:t>
      </w:r>
    </w:p>
    <w:p>
      <w:pPr>
        <w:pStyle w:val="Style2"/>
        <w:keepNext w:val="0"/>
        <w:keepLines w:val="0"/>
        <w:widowControl w:val="0"/>
        <w:shd w:val="clear" w:color="auto" w:fill="auto"/>
        <w:bidi w:val="0"/>
        <w:spacing w:before="0" w:after="0" w:line="240" w:lineRule="auto"/>
        <w:ind w:left="500" w:right="0" w:firstLine="0"/>
        <w:jc w:val="left"/>
      </w:pPr>
      <w:r>
        <w:rPr>
          <w:b/>
          <w:bCs/>
          <w:color w:val="000000"/>
          <w:spacing w:val="0"/>
          <w:w w:val="100"/>
          <w:position w:val="0"/>
          <w:shd w:val="clear" w:color="auto" w:fill="auto"/>
          <w:lang w:val="cs-CZ" w:eastAsia="cs-CZ" w:bidi="cs-CZ"/>
        </w:rPr>
        <w:t xml:space="preserve">Bude provedena jedna seč v kalendářním roce 2026. </w:t>
      </w:r>
      <w:r>
        <w:rPr>
          <w:color w:val="000000"/>
          <w:spacing w:val="0"/>
          <w:w w:val="100"/>
          <w:position w:val="0"/>
          <w:shd w:val="clear" w:color="auto" w:fill="auto"/>
          <w:lang w:val="cs-CZ" w:eastAsia="cs-CZ" w:bidi="cs-CZ"/>
        </w:rPr>
        <w:t>Termín započetí seče bude upřesněn technickým dozorem investora (TDI).</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Posekané ruderální porosty budou neprodleně vyhrabány z průtočného profilu, odvezeny a zlikvidovány v souladu s příslušnými právními předpisy. 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 xml:space="preserve">Koryto vodního toku Jílovský potok v úseku od mostu v Modré u č.p. 75 (50.7594114N, 14.0813933E) po sil. most v Libouchci u č. p. 312 – Obchod Rameš (50.7531864N, 14.0339189E) –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 Jedná se o tyto pozemky ve správě Povodí Ohře, státní podnik:</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k. ú. Libouchec - p. p. č. 825/5, 835/5, 3859/16, 1210/4, 1379/2, 4154/3, 4154/4, 4154/5, 4166/42, 4166/23, 4166/26, 4166/30, 4166/32, 4166/27, 4166/35, 4166/37, 4166/28, 4166/34, 4166/45, 4166/38, 4166/40, 4166/20, 4166/1, 4168/137, 4168/247, 4168/248, 4168/249. 4168/250, 4168/251, 4168/252, 4168/253, 4168/166, 4168/167, 4168/168, 4168/169, 4168/1, 4168/192, 4168/206, 4168/102, 4168/180</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k. ú. Modrá u Děčína – p. p. č. 984/12, 1087/30, 1087/1, 1087/20</w:t>
      </w:r>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2"/>
        <w:keepNext w:val="0"/>
        <w:keepLines w:val="0"/>
        <w:widowControl w:val="0"/>
        <w:numPr>
          <w:ilvl w:val="0"/>
          <w:numId w:val="3"/>
        </w:numPr>
        <w:shd w:val="clear" w:color="auto" w:fill="auto"/>
        <w:tabs>
          <w:tab w:pos="792" w:val="left"/>
        </w:tabs>
        <w:bidi w:val="0"/>
        <w:spacing w:before="0" w:after="0" w:line="240" w:lineRule="auto"/>
        <w:ind w:left="800" w:right="0" w:hanging="400"/>
        <w:jc w:val="left"/>
      </w:pPr>
      <w:bookmarkStart w:id="22" w:name="bookmark22"/>
      <w:bookmarkStart w:id="23" w:name="bookmark23"/>
      <w:bookmarkEnd w:id="22"/>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3"/>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24" w:name="bookmark24"/>
      <w:bookmarkStart w:id="25" w:name="bookmark25"/>
      <w:bookmarkStart w:id="26" w:name="bookmark26"/>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5"/>
      <w:bookmarkEnd w:id="26"/>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27"/>
      <w:bookmarkEnd w:id="28"/>
      <w:bookmarkEnd w:id="30"/>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zajištění povolení ke vstupu a vjezdu na pozemky (mimo pozemků ve vlastnictví objednatele),</w:t>
      </w:r>
      <w:bookmarkEnd w:id="31"/>
      <w:bookmarkEnd w:id="32"/>
      <w:bookmarkEnd w:id="34"/>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5"/>
      <w:bookmarkEnd w:id="36"/>
      <w:bookmarkEnd w:id="38"/>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zajištění povolení zvláštního užívání pozemní komunikace, bude-li potřeba,</w:t>
      </w:r>
      <w:bookmarkEnd w:id="39"/>
      <w:bookmarkEnd w:id="40"/>
      <w:bookmarkEnd w:id="42"/>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43" w:name="bookmark43"/>
      <w:bookmarkStart w:id="44" w:name="bookmark44"/>
      <w:bookmarkStart w:id="45" w:name="bookmark45"/>
      <w:bookmarkStart w:id="46" w:name="bookmark46"/>
      <w:bookmarkStart w:id="47" w:name="bookmark47"/>
      <w:bookmarkEnd w:id="45"/>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3"/>
      <w:bookmarkEnd w:id="44"/>
      <w:bookmarkEnd w:id="46"/>
      <w:bookmarkEnd w:id="47"/>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48" w:name="bookmark48"/>
      <w:bookmarkStart w:id="49" w:name="bookmark49"/>
      <w:bookmarkStart w:id="50" w:name="bookmark50"/>
      <w:bookmarkStart w:id="51" w:name="bookmark51"/>
      <w:bookmarkStart w:id="52" w:name="bookmark52"/>
      <w:bookmarkEnd w:id="50"/>
      <w:r>
        <w:rPr>
          <w:color w:val="000000"/>
          <w:spacing w:val="0"/>
          <w:w w:val="100"/>
          <w:position w:val="0"/>
          <w:shd w:val="clear" w:color="auto" w:fill="auto"/>
          <w:lang w:val="cs-CZ" w:eastAsia="cs-CZ" w:bidi="cs-CZ"/>
        </w:rPr>
        <w:t>zhotovitel zodpovídá za místo realizace díla i v době přerušení prací,</w:t>
      </w:r>
      <w:bookmarkEnd w:id="48"/>
      <w:bookmarkEnd w:id="49"/>
      <w:bookmarkEnd w:id="51"/>
      <w:bookmarkEnd w:id="52"/>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53" w:name="bookmark53"/>
      <w:bookmarkStart w:id="54" w:name="bookmark54"/>
      <w:bookmarkEnd w:id="5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w:t>
      </w:r>
      <w:bookmarkEnd w:id="5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zhotovitelem i všemi podzhotoviteli, v souladu s § 101 odst. 3 zákona č. 262/2006 Sb., zákoník práce, ve znění pozdějších předpisů,</w:t>
      </w:r>
    </w:p>
    <w:p>
      <w:pPr>
        <w:pStyle w:val="Style12"/>
        <w:keepNext/>
        <w:keepLines/>
        <w:widowControl w:val="0"/>
        <w:numPr>
          <w:ilvl w:val="0"/>
          <w:numId w:val="3"/>
        </w:numPr>
        <w:shd w:val="clear" w:color="auto" w:fill="auto"/>
        <w:tabs>
          <w:tab w:pos="700" w:val="left"/>
        </w:tabs>
        <w:bidi w:val="0"/>
        <w:spacing w:before="0" w:after="0" w:line="240" w:lineRule="auto"/>
        <w:ind w:left="72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5"/>
      <w:bookmarkEnd w:id="56"/>
      <w:bookmarkEnd w:id="58"/>
    </w:p>
    <w:p>
      <w:pPr>
        <w:pStyle w:val="Style12"/>
        <w:keepNext/>
        <w:keepLines/>
        <w:widowControl w:val="0"/>
        <w:numPr>
          <w:ilvl w:val="0"/>
          <w:numId w:val="3"/>
        </w:numPr>
        <w:shd w:val="clear" w:color="auto" w:fill="auto"/>
        <w:tabs>
          <w:tab w:pos="762" w:val="left"/>
        </w:tabs>
        <w:bidi w:val="0"/>
        <w:spacing w:before="0" w:after="200" w:line="240" w:lineRule="auto"/>
        <w:ind w:left="72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9"/>
      <w:bookmarkEnd w:id="60"/>
      <w:bookmarkEnd w:id="62"/>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7"/>
      <w:bookmarkEnd w:id="68"/>
      <w:bookmarkEnd w:id="70"/>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Objednatel předá zhotoviteli pracoviště (nebo jeho ucelenou část) prosté práv třetích osob.</w:t>
      </w:r>
      <w:bookmarkEnd w:id="71"/>
      <w:bookmarkEnd w:id="72"/>
      <w:bookmarkEnd w:id="74"/>
    </w:p>
    <w:p>
      <w:pPr>
        <w:pStyle w:val="Style12"/>
        <w:keepNext/>
        <w:keepLines/>
        <w:widowControl w:val="0"/>
        <w:shd w:val="clear" w:color="auto" w:fill="auto"/>
        <w:bidi w:val="0"/>
        <w:spacing w:before="0" w:after="200" w:line="240" w:lineRule="auto"/>
        <w:ind w:right="0" w:firstLine="2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5"/>
      <w:bookmarkEnd w:id="76"/>
      <w:bookmarkEnd w:id="7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93" w:lineRule="auto"/>
        <w:ind w:left="360" w:right="0" w:hanging="360"/>
        <w:jc w:val="left"/>
      </w:pPr>
      <w:bookmarkStart w:id="78" w:name="bookmark78"/>
      <w:bookmarkEnd w:id="78"/>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left"/>
      </w:pPr>
      <w:bookmarkStart w:id="79" w:name="bookmark79"/>
      <w:bookmarkEnd w:id="79"/>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0" w:name="bookmark80"/>
      <w:bookmarkEnd w:id="80"/>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 nejdříve však od 1.6.2026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1" w:name="bookmark81"/>
      <w:bookmarkEnd w:id="81"/>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Nejpozději do 31.8.2026</w:t>
      </w:r>
    </w:p>
    <w:p>
      <w:pPr>
        <w:pStyle w:val="Style2"/>
        <w:keepNext w:val="0"/>
        <w:keepLines w:val="0"/>
        <w:widowControl w:val="0"/>
        <w:numPr>
          <w:ilvl w:val="0"/>
          <w:numId w:val="7"/>
        </w:numPr>
        <w:shd w:val="clear" w:color="auto" w:fill="auto"/>
        <w:tabs>
          <w:tab w:pos="791" w:val="left"/>
        </w:tabs>
        <w:bidi w:val="0"/>
        <w:spacing w:before="0" w:line="240" w:lineRule="auto"/>
        <w:ind w:left="720" w:right="0" w:hanging="340"/>
        <w:jc w:val="both"/>
      </w:pPr>
      <w:bookmarkStart w:id="82" w:name="bookmark82"/>
      <w:bookmarkEnd w:id="82"/>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83" w:name="bookmark83"/>
      <w:bookmarkEnd w:id="8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line="293" w:lineRule="auto"/>
        <w:ind w:left="360" w:right="0" w:hanging="360"/>
        <w:jc w:val="left"/>
      </w:pPr>
      <w:bookmarkStart w:id="84" w:name="bookmark84"/>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line="293" w:lineRule="auto"/>
        <w:ind w:left="360" w:right="0" w:hanging="360"/>
        <w:jc w:val="left"/>
      </w:pPr>
      <w:bookmarkStart w:id="85" w:name="bookmark85"/>
      <w:bookmarkEnd w:id="85"/>
      <w:r>
        <w:rPr>
          <w:color w:val="000000"/>
          <w:spacing w:val="0"/>
          <w:w w:val="100"/>
          <w:position w:val="0"/>
          <w:shd w:val="clear" w:color="auto" w:fill="auto"/>
          <w:lang w:val="cs-CZ" w:eastAsia="cs-CZ" w:bidi="cs-CZ"/>
        </w:rPr>
        <w:t>Dílo bude dokončeno zhotovitelem a předáno objednateli písemně na základě zápisu o předání a převzetí.</w:t>
      </w:r>
      <w:r>
        <w:br w:type="page"/>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4" w:val="left"/>
        </w:tabs>
        <w:bidi w:val="0"/>
        <w:spacing w:before="0" w:after="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1122045</wp:posOffset>
                </wp:positionH>
                <wp:positionV relativeFrom="paragraph">
                  <wp:posOffset>101600</wp:posOffset>
                </wp:positionV>
                <wp:extent cx="704215" cy="234950"/>
                <wp:wrapTopAndBottom/>
                <wp:docPr id="9" name="Shape 9"/>
                <a:graphic xmlns:a="http://schemas.openxmlformats.org/drawingml/2006/main">
                  <a:graphicData uri="http://schemas.microsoft.com/office/word/2010/wordprocessingShape">
                    <wps:wsp>
                      <wps:cNvSpPr txBox="1"/>
                      <wps:spPr>
                        <a:xfrm>
                          <a:ext cx="70421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wps:txbx>
                      <wps:bodyPr wrap="none" lIns="0" tIns="0" rIns="0" bIns="0">
                        <a:noAutoFit/>
                      </wps:bodyPr>
                    </wps:wsp>
                  </a:graphicData>
                </a:graphic>
              </wp:anchor>
            </w:drawing>
          </mc:Choice>
          <mc:Fallback>
            <w:pict>
              <v:shape id="_x0000_s1035" type="#_x0000_t202" style="position:absolute;margin-left:88.350000000000009pt;margin-top:8.pt;width:55.450000000000003pt;height:18.5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v:textbox>
                <w10:wrap type="topAndBottom" anchorx="page"/>
              </v:shape>
            </w:pict>
          </mc:Fallback>
        </mc:AlternateContent>
      </w:r>
      <w:r>
        <mc:AlternateContent>
          <mc:Choice Requires="wps">
            <w:drawing>
              <wp:anchor distT="101600" distB="0" distL="0" distR="0" simplePos="0" relativeHeight="125829384" behindDoc="0" locked="0" layoutInCell="1" allowOverlap="1">
                <wp:simplePos x="0" y="0"/>
                <wp:positionH relativeFrom="page">
                  <wp:posOffset>3191510</wp:posOffset>
                </wp:positionH>
                <wp:positionV relativeFrom="paragraph">
                  <wp:posOffset>101600</wp:posOffset>
                </wp:positionV>
                <wp:extent cx="1557655" cy="234950"/>
                <wp:wrapTopAndBottom/>
                <wp:docPr id="11" name="Shape 11"/>
                <a:graphic xmlns:a="http://schemas.openxmlformats.org/drawingml/2006/main">
                  <a:graphicData uri="http://schemas.microsoft.com/office/word/2010/wordprocessingShape">
                    <wps:wsp>
                      <wps:cNvSpPr txBox="1"/>
                      <wps:spPr>
                        <a:xfrm>
                          <a:ext cx="155765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105.000,00 Kč bez DPH</w:t>
                            </w:r>
                          </w:p>
                        </w:txbxContent>
                      </wps:txbx>
                      <wps:bodyPr wrap="none" lIns="0" tIns="0" rIns="0" bIns="0">
                        <a:noAutoFit/>
                      </wps:bodyPr>
                    </wps:wsp>
                  </a:graphicData>
                </a:graphic>
              </wp:anchor>
            </w:drawing>
          </mc:Choice>
          <mc:Fallback>
            <w:pict>
              <v:shape id="_x0000_s1037" type="#_x0000_t202" style="position:absolute;margin-left:251.30000000000001pt;margin-top:8.pt;width:122.65000000000001pt;height:18.5pt;z-index:-125829369;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105.000,00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7" w:val="left"/>
        </w:tabs>
        <w:bidi w:val="0"/>
        <w:spacing w:before="0" w:after="18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7" w:val="left"/>
        </w:tabs>
        <w:bidi w:val="0"/>
        <w:spacing w:before="0" w:after="18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7" w:val="left"/>
        </w:tabs>
        <w:bidi w:val="0"/>
        <w:spacing w:before="0" w:after="6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7" w:val="left"/>
        </w:tabs>
        <w:bidi w:val="0"/>
        <w:spacing w:before="0" w:after="6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7" w:val="left"/>
        </w:tabs>
        <w:bidi w:val="0"/>
        <w:spacing w:before="0" w:after="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7" w:val="left"/>
        </w:tabs>
        <w:bidi w:val="0"/>
        <w:spacing w:before="0" w:after="18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7" w:val="left"/>
        </w:tabs>
        <w:bidi w:val="0"/>
        <w:spacing w:before="0" w:after="18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7" w:val="left"/>
        </w:tabs>
        <w:bidi w:val="0"/>
        <w:spacing w:before="0" w:after="18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8"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8" w:val="left"/>
        </w:tabs>
        <w:bidi w:val="0"/>
        <w:spacing w:before="0" w:after="40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78" w:val="left"/>
        </w:tabs>
        <w:bidi w:val="0"/>
        <w:spacing w:before="0" w:after="0" w:line="240" w:lineRule="auto"/>
        <w:ind w:left="0" w:right="0" w:firstLine="0"/>
        <w:jc w:val="left"/>
      </w:pPr>
      <w:bookmarkStart w:id="108" w:name="bookmark108"/>
      <w:bookmarkEnd w:id="108"/>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600"/>
        <w:jc w:val="both"/>
      </w:pPr>
      <w:bookmarkStart w:id="109" w:name="bookmark109"/>
      <w:bookmarkEnd w:id="10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600"/>
        <w:jc w:val="both"/>
      </w:pPr>
      <w:bookmarkStart w:id="110" w:name="bookmark110"/>
      <w:bookmarkEnd w:id="11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after="18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after="180" w:line="240" w:lineRule="auto"/>
        <w:ind w:left="380" w:right="0" w:hanging="380"/>
        <w:jc w:val="both"/>
        <w:sectPr>
          <w:footnotePr>
            <w:pos w:val="pageBottom"/>
            <w:numFmt w:val="decimal"/>
            <w:numRestart w:val="continuous"/>
          </w:footnotePr>
          <w:pgSz w:w="11909" w:h="16838"/>
          <w:pgMar w:top="1161" w:left="1352" w:right="1254" w:bottom="1415" w:header="0" w:footer="3" w:gutter="0"/>
          <w:cols w:space="720"/>
          <w:noEndnote/>
          <w:rtlGutter w:val="0"/>
          <w:docGrid w:linePitch="360"/>
        </w:sectPr>
      </w:pPr>
      <w:bookmarkStart w:id="112" w:name="bookmark112"/>
      <w:bookmarkEnd w:id="11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after="56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19"/>
      <w:bookmarkEnd w:id="120"/>
      <w:bookmarkEnd w:id="122"/>
    </w:p>
    <w:p>
      <w:pPr>
        <w:pStyle w:val="Style12"/>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bezdůvodném přerušení prací zhotovitele, které trvá více než 14 dnů,</w:t>
      </w:r>
      <w:bookmarkEnd w:id="123"/>
      <w:bookmarkEnd w:id="124"/>
      <w:bookmarkEnd w:id="126"/>
    </w:p>
    <w:p>
      <w:pPr>
        <w:pStyle w:val="Style12"/>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7"/>
      <w:bookmarkEnd w:id="128"/>
      <w:bookmarkEnd w:id="130"/>
    </w:p>
    <w:p>
      <w:pPr>
        <w:pStyle w:val="Style12"/>
        <w:keepNext/>
        <w:keepLines/>
        <w:widowControl w:val="0"/>
        <w:numPr>
          <w:ilvl w:val="0"/>
          <w:numId w:val="23"/>
        </w:numPr>
        <w:shd w:val="clear" w:color="auto" w:fill="auto"/>
        <w:tabs>
          <w:tab w:pos="1179" w:val="left"/>
        </w:tabs>
        <w:bidi w:val="0"/>
        <w:spacing w:before="0" w:after="200" w:line="240" w:lineRule="auto"/>
        <w:ind w:left="0" w:right="0" w:firstLine="80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neplněním povinností zhotovitele vést řádně zápisy do stavebního deníku.</w:t>
      </w:r>
      <w:bookmarkEnd w:id="131"/>
      <w:bookmarkEnd w:id="132"/>
      <w:bookmarkEnd w:id="134"/>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60" w:val="left"/>
        </w:tabs>
        <w:bidi w:val="0"/>
        <w:spacing w:before="0" w:after="0" w:line="240" w:lineRule="auto"/>
        <w:ind w:left="0" w:right="0" w:firstLine="0"/>
        <w:jc w:val="left"/>
      </w:pPr>
      <w:bookmarkStart w:id="140" w:name="bookmark140"/>
      <w:bookmarkEnd w:id="140"/>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left"/>
      </w:pPr>
      <w:bookmarkStart w:id="141" w:name="bookmark141"/>
      <w:bookmarkEnd w:id="14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left"/>
      </w:pPr>
      <w:bookmarkStart w:id="142" w:name="bookmark142"/>
      <w:bookmarkEnd w:id="14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442" w:val="left"/>
        </w:tabs>
        <w:bidi w:val="0"/>
        <w:spacing w:before="0" w:line="240" w:lineRule="auto"/>
        <w:ind w:left="0" w:right="0" w:firstLine="0"/>
        <w:jc w:val="left"/>
      </w:pPr>
      <w:bookmarkStart w:id="143" w:name="bookmark143"/>
      <w:bookmarkEnd w:id="143"/>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5"/>
        </w:numPr>
        <w:shd w:val="clear" w:color="auto" w:fill="auto"/>
        <w:tabs>
          <w:tab w:pos="442" w:val="left"/>
        </w:tabs>
        <w:bidi w:val="0"/>
        <w:spacing w:before="0" w:after="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r>
        <w:br w:type="page"/>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4"/>
      </w:tblGrid>
      <w:tr>
        <w:trPr>
          <w:trHeight w:val="1027"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354"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HAGL, spol. s r.o.</w:t>
            </w:r>
          </w:p>
        </w:tc>
      </w:tr>
    </w:tbl>
    <w:sectPr>
      <w:footnotePr>
        <w:pos w:val="pageBottom"/>
        <w:numFmt w:val="decimal"/>
        <w:numRestart w:val="continuous"/>
      </w:footnotePr>
      <w:pgSz w:w="11909" w:h="16838"/>
      <w:pgMar w:top="1091" w:left="1380" w:right="1326" w:bottom="12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9973945</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5.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394335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1.0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30"/>
      <w:ind w:left="360" w:hanging="340"/>
      <w:outlineLvl w:val="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