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552/2026</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80" w:line="233"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Jílovský potok v Děčíně - sekání ruderálních porostů 2026</w:t>
      </w:r>
    </w:p>
    <w:p>
      <w:pPr>
        <w:pStyle w:val="Style12"/>
        <w:keepNext/>
        <w:keepLines/>
        <w:widowControl w:val="0"/>
        <w:shd w:val="clear" w:color="auto" w:fill="auto"/>
        <w:bidi w:val="0"/>
        <w:spacing w:before="0" w:after="300" w:line="240" w:lineRule="auto"/>
        <w:ind w:left="0" w:right="0" w:firstLine="0"/>
        <w:jc w:val="left"/>
      </w:pPr>
      <w:bookmarkStart w:id="3" w:name="bookmark3"/>
      <w:bookmarkStart w:id="4" w:name="bookmark4"/>
      <w:bookmarkStart w:id="5" w:name="bookmark5"/>
      <w:r>
        <w:rPr>
          <w:b/>
          <w:bCs/>
          <w:color w:val="000000"/>
          <w:spacing w:val="0"/>
          <w:w w:val="100"/>
          <w:position w:val="0"/>
          <w:shd w:val="clear" w:color="auto" w:fill="auto"/>
          <w:lang w:val="cs-CZ" w:eastAsia="cs-CZ" w:bidi="cs-CZ"/>
        </w:rPr>
        <w:t>Smluvní strany:</w:t>
      </w:r>
      <w:bookmarkEnd w:id="3"/>
      <w:bookmarkEnd w:id="4"/>
      <w:bookmarkEnd w:id="5"/>
    </w:p>
    <w:p>
      <w:pPr>
        <w:pStyle w:val="Style12"/>
        <w:keepNext/>
        <w:keepLines/>
        <w:widowControl w:val="0"/>
        <w:shd w:val="clear" w:color="auto" w:fill="auto"/>
        <w:bidi w:val="0"/>
        <w:spacing w:before="0" w:after="0" w:line="240" w:lineRule="auto"/>
        <w:ind w:left="2340" w:right="0" w:firstLine="40"/>
        <w:jc w:val="both"/>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804545" cy="719455"/>
                <wp:wrapSquare wrapText="bothSides"/>
                <wp:docPr id="1" name="Shape 1"/>
                <a:graphic xmlns:a="http://schemas.openxmlformats.org/drawingml/2006/main">
                  <a:graphicData uri="http://schemas.microsoft.com/office/word/2010/wordprocessingShape">
                    <wps:wsp>
                      <wps:cNvSpPr txBox="1"/>
                      <wps:spPr>
                        <a:xfrm>
                          <a:ext cx="80454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63.350000000000001pt;height:5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bookmarkStart w:id="3" w:name="bookmark3"/>
      <w:bookmarkStart w:id="4" w:name="bookmark4"/>
      <w:r>
        <w:rPr>
          <w:b/>
          <w:bCs/>
          <w:color w:val="000000"/>
          <w:spacing w:val="0"/>
          <w:w w:val="100"/>
          <w:position w:val="0"/>
          <w:shd w:val="clear" w:color="auto" w:fill="auto"/>
          <w:lang w:val="cs-CZ" w:eastAsia="cs-CZ" w:bidi="cs-CZ"/>
        </w:rPr>
        <w:t>Povodí Ohře, státní podnik</w:t>
      </w:r>
      <w:bookmarkEnd w:id="3"/>
      <w:bookmarkEnd w:id="4"/>
    </w:p>
    <w:p>
      <w:pPr>
        <w:pStyle w:val="Style2"/>
        <w:keepNext w:val="0"/>
        <w:keepLines w:val="0"/>
        <w:widowControl w:val="0"/>
        <w:shd w:val="clear" w:color="auto" w:fill="auto"/>
        <w:bidi w:val="0"/>
        <w:spacing w:before="0" w:after="0" w:line="240" w:lineRule="auto"/>
        <w:ind w:left="2340" w:right="0" w:firstLine="4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34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HAGL, spol. s 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Na Sklípku 880, 400 07 Ústí nad Labem</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25408321</w:t>
      </w:r>
    </w:p>
    <w:p>
      <w:pPr>
        <w:pStyle w:val="Style2"/>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cs-CZ" w:eastAsia="cs-CZ" w:bidi="cs-CZ"/>
        </w:rPr>
        <w:t>CZ 25408321</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14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75" w:val="left"/>
        </w:tabs>
        <w:bidi w:val="0"/>
        <w:spacing w:before="0" w:after="320" w:line="240" w:lineRule="auto"/>
        <w:ind w:right="0" w:hanging="360"/>
        <w:jc w:val="both"/>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Jílovský potok v Děčíně - sekání ruderálních porostů 2026</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6"/>
      <w:bookmarkEnd w:id="7"/>
      <w:bookmarkEnd w:id="9"/>
    </w:p>
    <w:p>
      <w:pPr>
        <w:pStyle w:val="Style12"/>
        <w:keepNext/>
        <w:keepLines/>
        <w:widowControl w:val="0"/>
        <w:numPr>
          <w:ilvl w:val="0"/>
          <w:numId w:val="1"/>
        </w:numPr>
        <w:shd w:val="clear" w:color="auto" w:fill="auto"/>
        <w:tabs>
          <w:tab w:pos="375" w:val="left"/>
        </w:tabs>
        <w:bidi w:val="0"/>
        <w:spacing w:before="0" w:after="60" w:line="240" w:lineRule="auto"/>
        <w:ind w:right="0" w:hanging="360"/>
        <w:jc w:val="both"/>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Předmětem veřejné zakázky je sekání ruderální porostů v průtočném profilu vodního toku (VT) Jílovský potok v Děčíně (ř. km 1,010-4,800).</w:t>
      </w:r>
      <w:bookmarkEnd w:id="10"/>
      <w:bookmarkEnd w:id="11"/>
      <w:bookmarkEnd w:id="13"/>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28" w:lineRule="auto"/>
        <w:ind w:left="800" w:right="0" w:hanging="30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Sekání ruderálních porostů (travní porosty, náletové dřeviny) v opevněném profilu VT na ploše 15540 m2 </w:t>
      </w:r>
      <w:r>
        <w:rPr>
          <w:color w:val="000000"/>
          <w:spacing w:val="0"/>
          <w:w w:val="100"/>
          <w:position w:val="0"/>
          <w:shd w:val="clear" w:color="auto" w:fill="auto"/>
          <w:lang w:val="cs-CZ" w:eastAsia="cs-CZ" w:bidi="cs-CZ"/>
        </w:rPr>
        <w:t>(11025 m2 na dně a 4515 m2 na březích)</w:t>
      </w:r>
    </w:p>
    <w:p>
      <w:pPr>
        <w:pStyle w:val="Style2"/>
        <w:keepNext w:val="0"/>
        <w:keepLines w:val="0"/>
        <w:widowControl w:val="0"/>
        <w:shd w:val="clear" w:color="auto" w:fill="auto"/>
        <w:bidi w:val="0"/>
        <w:spacing w:before="0" w:after="0" w:line="240" w:lineRule="auto"/>
        <w:ind w:left="500" w:right="0" w:firstLine="0"/>
        <w:jc w:val="left"/>
      </w:pPr>
      <w:r>
        <w:rPr>
          <w:b/>
          <w:bCs/>
          <w:color w:val="000000"/>
          <w:spacing w:val="0"/>
          <w:w w:val="100"/>
          <w:position w:val="0"/>
          <w:shd w:val="clear" w:color="auto" w:fill="auto"/>
          <w:lang w:val="cs-CZ" w:eastAsia="cs-CZ" w:bidi="cs-CZ"/>
        </w:rPr>
        <w:t xml:space="preserve">Bude provedena jedna seč v kalendářním roce 2026. </w:t>
      </w:r>
      <w:r>
        <w:rPr>
          <w:color w:val="000000"/>
          <w:spacing w:val="0"/>
          <w:w w:val="100"/>
          <w:position w:val="0"/>
          <w:shd w:val="clear" w:color="auto" w:fill="auto"/>
          <w:lang w:val="cs-CZ" w:eastAsia="cs-CZ" w:bidi="cs-CZ"/>
        </w:rPr>
        <w:t>Termín započetí seče bude upřesněn technickým dozorem investora (TDI).</w:t>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Posekané ruderální porosty budou neprodleně vyhrabány z průtočného profilu, odvezeny a zlikvidovány v souladu s příslušnými právními předpisy. Odstraněný odpad bude odvezen a zlikvidován v souladu s příslušnými právními předpisy.</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360" w:right="0" w:firstLine="40"/>
        <w:jc w:val="left"/>
      </w:pPr>
      <w:r>
        <w:rPr>
          <w:color w:val="000000"/>
          <w:spacing w:val="0"/>
          <w:w w:val="100"/>
          <w:position w:val="0"/>
          <w:shd w:val="clear" w:color="auto" w:fill="auto"/>
          <w:lang w:val="cs-CZ" w:eastAsia="cs-CZ" w:bidi="cs-CZ"/>
        </w:rPr>
        <w:t xml:space="preserve">Koryto vodního toku Jílovský potok v Děčíně v níže uvedených úsecích: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Úsek A (ř. km 1,010-1650): od mostu v ulici Ruská, Děčín IV-Podmokly (50.7729672N, 14.1958106E) po lávku přes Jílovský potok v areálu PORSA, Děčín IV-Podmokly (50.7762333N, 14.1890433E),</w:t>
      </w:r>
    </w:p>
    <w:p>
      <w:pPr>
        <w:pStyle w:val="Style2"/>
        <w:keepNext w:val="0"/>
        <w:keepLines w:val="0"/>
        <w:widowControl w:val="0"/>
        <w:shd w:val="clear" w:color="auto" w:fill="auto"/>
        <w:bidi w:val="0"/>
        <w:spacing w:before="0" w:after="0" w:line="240" w:lineRule="auto"/>
        <w:ind w:left="800" w:right="0" w:hanging="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Úsek B (ř. km 3,000 - 4,036): od sil. mostu v ulici Oldřichovská, Děčín VIII-Dolní Oldřichov (50.7808889N, 14.1732425E) po lávku v ulici Písecká, Děčín IX-Bynov (50.7815919N, 14.1599600E),</w:t>
      </w:r>
    </w:p>
    <w:p>
      <w:pPr>
        <w:pStyle w:val="Style2"/>
        <w:keepNext w:val="0"/>
        <w:keepLines w:val="0"/>
        <w:widowControl w:val="0"/>
        <w:shd w:val="clear" w:color="auto" w:fill="auto"/>
        <w:bidi w:val="0"/>
        <w:spacing w:before="0" w:after="0" w:line="240" w:lineRule="auto"/>
        <w:ind w:left="800" w:right="0" w:hanging="40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Úsek C (ř. km 4,450 - 4,800): od profilu v ulici Široká, Děčín IX-Bynov (50.7803769N, 14.1544575E) po Zahradní centrum v ulici Teplická 34, Děčín IX-Bynov (50.7807789N, 14.1500492E) </w:t>
      </w:r>
      <w:r>
        <w:rPr>
          <w:b/>
          <w:bCs/>
          <w:color w:val="000000"/>
          <w:spacing w:val="0"/>
          <w:w w:val="100"/>
          <w:position w:val="0"/>
          <w:shd w:val="clear" w:color="auto" w:fill="auto"/>
          <w:lang w:val="cs-CZ" w:eastAsia="cs-CZ" w:bidi="cs-CZ"/>
        </w:rPr>
        <w:t>– viz příloha č . 2 – Situace.</w:t>
      </w:r>
    </w:p>
    <w:p>
      <w:pPr>
        <w:pStyle w:val="Style2"/>
        <w:keepNext w:val="0"/>
        <w:keepLines w:val="0"/>
        <w:widowControl w:val="0"/>
        <w:shd w:val="clear" w:color="auto" w:fill="auto"/>
        <w:bidi w:val="0"/>
        <w:spacing w:before="0" w:line="240" w:lineRule="auto"/>
        <w:ind w:left="1160" w:right="0" w:hanging="760"/>
        <w:jc w:val="left"/>
      </w:pPr>
      <w:r>
        <w:rPr>
          <w:color w:val="000000"/>
          <w:spacing w:val="0"/>
          <w:w w:val="100"/>
          <w:position w:val="0"/>
          <w:shd w:val="clear" w:color="auto" w:fill="auto"/>
          <w:lang w:val="cs-CZ" w:eastAsia="cs-CZ" w:bidi="cs-CZ"/>
        </w:rPr>
        <w:t>Jedná se o tyto pozemky ve správě Povodí Ohře, státní podnik: k. ú. Horní Oldřichov - p. p. č. 1293, 1573/2 k. ú. Podmokly - p. p. č. 969/3 k. ú. Bynov - p. p. č. 1294</w:t>
      </w:r>
    </w:p>
    <w:p>
      <w:pPr>
        <w:pStyle w:val="Style12"/>
        <w:keepNext/>
        <w:keepLines/>
        <w:widowControl w:val="0"/>
        <w:numPr>
          <w:ilvl w:val="0"/>
          <w:numId w:val="1"/>
        </w:numPr>
        <w:shd w:val="clear" w:color="auto" w:fill="auto"/>
        <w:tabs>
          <w:tab w:pos="375" w:val="left"/>
        </w:tabs>
        <w:bidi w:val="0"/>
        <w:spacing w:before="0" w:after="200" w:line="240" w:lineRule="auto"/>
        <w:ind w:right="0" w:hanging="36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4"/>
      <w:bookmarkEnd w:id="15"/>
      <w:bookmarkEnd w:id="17"/>
    </w:p>
    <w:p>
      <w:pPr>
        <w:pStyle w:val="Style12"/>
        <w:keepNext/>
        <w:keepLines/>
        <w:widowControl w:val="0"/>
        <w:numPr>
          <w:ilvl w:val="0"/>
          <w:numId w:val="1"/>
        </w:numPr>
        <w:shd w:val="clear" w:color="auto" w:fill="auto"/>
        <w:tabs>
          <w:tab w:pos="375" w:val="left"/>
        </w:tabs>
        <w:bidi w:val="0"/>
        <w:spacing w:before="0" w:after="0" w:line="240" w:lineRule="auto"/>
        <w:ind w:left="0" w:right="0" w:firstLine="0"/>
        <w:jc w:val="left"/>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Za předmět díla se dále považuje:</w:t>
      </w:r>
      <w:bookmarkEnd w:id="18"/>
      <w:bookmarkEnd w:id="19"/>
      <w:bookmarkEnd w:id="21"/>
    </w:p>
    <w:p>
      <w:pPr>
        <w:pStyle w:val="Style2"/>
        <w:keepNext w:val="0"/>
        <w:keepLines w:val="0"/>
        <w:widowControl w:val="0"/>
        <w:numPr>
          <w:ilvl w:val="0"/>
          <w:numId w:val="3"/>
        </w:numPr>
        <w:shd w:val="clear" w:color="auto" w:fill="auto"/>
        <w:tabs>
          <w:tab w:pos="785" w:val="left"/>
        </w:tabs>
        <w:bidi w:val="0"/>
        <w:spacing w:before="0" w:after="0" w:line="240" w:lineRule="auto"/>
        <w:ind w:left="800" w:right="0" w:hanging="400"/>
        <w:jc w:val="left"/>
      </w:pPr>
      <w:bookmarkStart w:id="22" w:name="bookmark22"/>
      <w:bookmarkStart w:id="23" w:name="bookmark23"/>
      <w:bookmarkEnd w:id="22"/>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3"/>
    </w:p>
    <w:p>
      <w:pPr>
        <w:pStyle w:val="Style2"/>
        <w:keepNext w:val="0"/>
        <w:keepLines w:val="0"/>
        <w:widowControl w:val="0"/>
        <w:numPr>
          <w:ilvl w:val="0"/>
          <w:numId w:val="3"/>
        </w:numPr>
        <w:shd w:val="clear" w:color="auto" w:fill="auto"/>
        <w:tabs>
          <w:tab w:pos="790" w:val="left"/>
        </w:tabs>
        <w:bidi w:val="0"/>
        <w:spacing w:before="0" w:after="0" w:line="240" w:lineRule="auto"/>
        <w:ind w:left="720" w:right="0" w:hanging="320"/>
        <w:jc w:val="both"/>
      </w:pPr>
      <w:bookmarkStart w:id="24" w:name="bookmark24"/>
      <w:bookmarkStart w:id="25" w:name="bookmark25"/>
      <w:bookmarkStart w:id="26" w:name="bookmark26"/>
      <w:bookmarkEnd w:id="24"/>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5"/>
      <w:bookmarkEnd w:id="26"/>
    </w:p>
    <w:p>
      <w:pPr>
        <w:pStyle w:val="Style12"/>
        <w:keepNext/>
        <w:keepLines/>
        <w:widowControl w:val="0"/>
        <w:numPr>
          <w:ilvl w:val="0"/>
          <w:numId w:val="3"/>
        </w:numPr>
        <w:shd w:val="clear" w:color="auto" w:fill="auto"/>
        <w:tabs>
          <w:tab w:pos="790" w:val="left"/>
        </w:tabs>
        <w:bidi w:val="0"/>
        <w:spacing w:before="0" w:after="0" w:line="240" w:lineRule="auto"/>
        <w:ind w:left="720" w:right="0" w:hanging="32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V případě, že v průběhu provádění prací bude pracovníkem zhotovitele nalezeno ptačí hnízdo nebo zvláště chráněný živočich, budou práce přerušeny a kontaktován TDI pro stanovení dalšího postupu. Obecně bude postupováno dle zákona č. 114/1992 Sb. v platném znění,</w:t>
      </w:r>
      <w:bookmarkEnd w:id="27"/>
      <w:bookmarkEnd w:id="28"/>
      <w:bookmarkEnd w:id="30"/>
    </w:p>
    <w:p>
      <w:pPr>
        <w:pStyle w:val="Style12"/>
        <w:keepNext/>
        <w:keepLines/>
        <w:widowControl w:val="0"/>
        <w:numPr>
          <w:ilvl w:val="0"/>
          <w:numId w:val="3"/>
        </w:numPr>
        <w:shd w:val="clear" w:color="auto" w:fill="auto"/>
        <w:tabs>
          <w:tab w:pos="790" w:val="left"/>
        </w:tabs>
        <w:bidi w:val="0"/>
        <w:spacing w:before="0" w:after="0" w:line="240" w:lineRule="auto"/>
        <w:ind w:left="720" w:right="0" w:hanging="32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zajištění povolení ke vstupu a vjezdu na pozemky (mimo pozemků ve vlastnictví objednatele),</w:t>
      </w:r>
      <w:bookmarkEnd w:id="31"/>
      <w:bookmarkEnd w:id="32"/>
      <w:bookmarkEnd w:id="34"/>
    </w:p>
    <w:p>
      <w:pPr>
        <w:pStyle w:val="Style12"/>
        <w:keepNext/>
        <w:keepLines/>
        <w:widowControl w:val="0"/>
        <w:numPr>
          <w:ilvl w:val="0"/>
          <w:numId w:val="3"/>
        </w:numPr>
        <w:shd w:val="clear" w:color="auto" w:fill="auto"/>
        <w:tabs>
          <w:tab w:pos="790" w:val="left"/>
        </w:tabs>
        <w:bidi w:val="0"/>
        <w:spacing w:before="0" w:after="0" w:line="240" w:lineRule="auto"/>
        <w:ind w:left="720" w:right="0" w:hanging="32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5"/>
      <w:bookmarkEnd w:id="36"/>
      <w:bookmarkEnd w:id="38"/>
    </w:p>
    <w:p>
      <w:pPr>
        <w:pStyle w:val="Style12"/>
        <w:keepNext/>
        <w:keepLines/>
        <w:widowControl w:val="0"/>
        <w:numPr>
          <w:ilvl w:val="0"/>
          <w:numId w:val="3"/>
        </w:numPr>
        <w:shd w:val="clear" w:color="auto" w:fill="auto"/>
        <w:tabs>
          <w:tab w:pos="754" w:val="left"/>
        </w:tabs>
        <w:bidi w:val="0"/>
        <w:spacing w:before="0" w:after="0" w:line="240" w:lineRule="auto"/>
        <w:ind w:left="0" w:right="0" w:firstLine="360"/>
        <w:jc w:val="left"/>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zajištění povolení zvláštního užívání pozemní komunikace, bude-li potřeba,</w:t>
      </w:r>
      <w:bookmarkEnd w:id="39"/>
      <w:bookmarkEnd w:id="40"/>
      <w:bookmarkEnd w:id="42"/>
    </w:p>
    <w:p>
      <w:pPr>
        <w:pStyle w:val="Style12"/>
        <w:keepNext/>
        <w:keepLines/>
        <w:widowControl w:val="0"/>
        <w:numPr>
          <w:ilvl w:val="0"/>
          <w:numId w:val="3"/>
        </w:numPr>
        <w:shd w:val="clear" w:color="auto" w:fill="auto"/>
        <w:tabs>
          <w:tab w:pos="790" w:val="left"/>
        </w:tabs>
        <w:bidi w:val="0"/>
        <w:spacing w:before="0" w:after="200" w:line="240" w:lineRule="auto"/>
        <w:ind w:left="720" w:right="0" w:hanging="32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3"/>
      <w:bookmarkEnd w:id="44"/>
      <w:bookmarkEnd w:id="46"/>
    </w:p>
    <w:p>
      <w:pPr>
        <w:pStyle w:val="Style12"/>
        <w:keepNext/>
        <w:keepLines/>
        <w:widowControl w:val="0"/>
        <w:numPr>
          <w:ilvl w:val="0"/>
          <w:numId w:val="3"/>
        </w:numPr>
        <w:shd w:val="clear" w:color="auto" w:fill="auto"/>
        <w:tabs>
          <w:tab w:pos="757" w:val="left"/>
        </w:tabs>
        <w:bidi w:val="0"/>
        <w:spacing w:before="0" w:after="0" w:line="240" w:lineRule="auto"/>
        <w:ind w:left="0" w:right="0" w:firstLine="360"/>
        <w:jc w:val="left"/>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zhotovitel zodpovídá za místo realizace díla i v době přerušení prací,</w:t>
      </w:r>
      <w:bookmarkEnd w:id="47"/>
      <w:bookmarkEnd w:id="48"/>
      <w:bookmarkEnd w:id="50"/>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51"/>
      <w:bookmarkEnd w:id="52"/>
      <w:bookmarkEnd w:id="54"/>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55"/>
      <w:bookmarkEnd w:id="56"/>
      <w:bookmarkEnd w:id="58"/>
    </w:p>
    <w:p>
      <w:pPr>
        <w:pStyle w:val="Style12"/>
        <w:keepNext/>
        <w:keepLines/>
        <w:widowControl w:val="0"/>
        <w:numPr>
          <w:ilvl w:val="0"/>
          <w:numId w:val="3"/>
        </w:numPr>
        <w:shd w:val="clear" w:color="auto" w:fill="auto"/>
        <w:tabs>
          <w:tab w:pos="777" w:val="left"/>
        </w:tabs>
        <w:bidi w:val="0"/>
        <w:spacing w:before="0" w:after="200" w:line="240" w:lineRule="auto"/>
        <w:ind w:left="720"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9"/>
      <w:bookmarkEnd w:id="60"/>
      <w:bookmarkEnd w:id="62"/>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3"/>
      <w:bookmarkEnd w:id="64"/>
      <w:bookmarkEnd w:id="66"/>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7"/>
      <w:bookmarkEnd w:id="68"/>
      <w:bookmarkEnd w:id="70"/>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Objednatel předá zhotoviteli pracoviště (nebo jeho ucelenou část) prosté práv třetích osob.</w:t>
      </w:r>
      <w:bookmarkEnd w:id="71"/>
      <w:bookmarkEnd w:id="72"/>
      <w:bookmarkEnd w:id="74"/>
    </w:p>
    <w:p>
      <w:pPr>
        <w:pStyle w:val="Style12"/>
        <w:keepNext/>
        <w:keepLines/>
        <w:widowControl w:val="0"/>
        <w:shd w:val="clear" w:color="auto" w:fill="auto"/>
        <w:bidi w:val="0"/>
        <w:spacing w:before="0" w:after="200" w:line="240" w:lineRule="auto"/>
        <w:ind w:right="0" w:firstLine="20"/>
        <w:jc w:val="both"/>
      </w:pPr>
      <w:bookmarkStart w:id="75" w:name="bookmark75"/>
      <w:bookmarkStart w:id="76" w:name="bookmark76"/>
      <w:bookmarkStart w:id="77" w:name="bookmark77"/>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75"/>
      <w:bookmarkEnd w:id="76"/>
      <w:bookmarkEnd w:id="77"/>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after="0" w:line="240" w:lineRule="auto"/>
        <w:ind w:left="0" w:right="0" w:firstLine="0"/>
        <w:jc w:val="left"/>
      </w:pPr>
      <w:bookmarkStart w:id="78" w:name="bookmark78"/>
      <w:bookmarkEnd w:id="78"/>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57" w:val="left"/>
        </w:tabs>
        <w:bidi w:val="0"/>
        <w:spacing w:before="0" w:after="0" w:line="240" w:lineRule="auto"/>
        <w:ind w:left="0" w:right="0" w:firstLine="360"/>
        <w:jc w:val="left"/>
      </w:pPr>
      <w:bookmarkStart w:id="79" w:name="bookmark79"/>
      <w:bookmarkEnd w:id="79"/>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left"/>
      </w:pPr>
      <w:bookmarkStart w:id="80" w:name="bookmark80"/>
      <w:bookmarkEnd w:id="80"/>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left"/>
      </w:pPr>
      <w:r>
        <w:rPr>
          <w:b/>
          <w:bCs/>
          <w:color w:val="000000"/>
          <w:spacing w:val="0"/>
          <w:w w:val="100"/>
          <w:position w:val="0"/>
          <w:shd w:val="clear" w:color="auto" w:fill="auto"/>
          <w:lang w:val="cs-CZ" w:eastAsia="cs-CZ" w:bidi="cs-CZ"/>
        </w:rPr>
        <w:t>Bez zbytečného odkladu po převzetí pracoviště, nejdříve však od 1.6.2026</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left"/>
      </w:pPr>
      <w:bookmarkStart w:id="81" w:name="bookmark81"/>
      <w:bookmarkEnd w:id="81"/>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left"/>
      </w:pPr>
      <w:r>
        <w:rPr>
          <w:b/>
          <w:bCs/>
          <w:color w:val="000000"/>
          <w:spacing w:val="0"/>
          <w:w w:val="100"/>
          <w:position w:val="0"/>
          <w:shd w:val="clear" w:color="auto" w:fill="auto"/>
          <w:lang w:val="cs-CZ" w:eastAsia="cs-CZ" w:bidi="cs-CZ"/>
        </w:rPr>
        <w:t>Nejpozději do 31.8.2026</w:t>
      </w:r>
    </w:p>
    <w:p>
      <w:pPr>
        <w:pStyle w:val="Style2"/>
        <w:keepNext w:val="0"/>
        <w:keepLines w:val="0"/>
        <w:widowControl w:val="0"/>
        <w:numPr>
          <w:ilvl w:val="0"/>
          <w:numId w:val="7"/>
        </w:numPr>
        <w:shd w:val="clear" w:color="auto" w:fill="auto"/>
        <w:tabs>
          <w:tab w:pos="791" w:val="left"/>
        </w:tabs>
        <w:bidi w:val="0"/>
        <w:spacing w:before="0" w:line="240" w:lineRule="auto"/>
        <w:ind w:left="720" w:right="0" w:hanging="340"/>
        <w:jc w:val="both"/>
      </w:pPr>
      <w:bookmarkStart w:id="82" w:name="bookmark82"/>
      <w:bookmarkEnd w:id="82"/>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line="288" w:lineRule="auto"/>
        <w:ind w:left="360" w:right="0" w:hanging="360"/>
        <w:jc w:val="left"/>
      </w:pPr>
      <w:bookmarkStart w:id="83" w:name="bookmark83"/>
      <w:bookmarkEnd w:id="83"/>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5"/>
        </w:numPr>
        <w:shd w:val="clear" w:color="auto" w:fill="auto"/>
        <w:tabs>
          <w:tab w:pos="382" w:val="left"/>
        </w:tabs>
        <w:bidi w:val="0"/>
        <w:spacing w:before="0" w:line="288" w:lineRule="auto"/>
        <w:ind w:left="360" w:right="0" w:hanging="360"/>
        <w:jc w:val="left"/>
      </w:pPr>
      <w:bookmarkStart w:id="84" w:name="bookmark84"/>
      <w:bookmarkEnd w:id="84"/>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line="288" w:lineRule="auto"/>
        <w:ind w:left="360" w:right="0" w:hanging="360"/>
        <w:jc w:val="left"/>
      </w:pPr>
      <w:bookmarkStart w:id="85" w:name="bookmark85"/>
      <w:bookmarkEnd w:id="85"/>
      <w:r>
        <w:rPr>
          <w:color w:val="000000"/>
          <w:spacing w:val="0"/>
          <w:w w:val="100"/>
          <w:position w:val="0"/>
          <w:shd w:val="clear" w:color="auto" w:fill="auto"/>
          <w:lang w:val="cs-CZ" w:eastAsia="cs-CZ" w:bidi="cs-CZ"/>
        </w:rPr>
        <w:t>Dílo bude dokončeno zhotovitelem a předáno objednateli písemně na základě zápisu o předání a převzetí.</w:t>
      </w:r>
      <w:r>
        <w:br w:type="page"/>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75" w:val="left"/>
        </w:tabs>
        <w:bidi w:val="0"/>
        <w:spacing w:before="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75" w:val="left"/>
        </w:tabs>
        <w:bidi w:val="0"/>
        <w:spacing w:before="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75" w:val="left"/>
        </w:tabs>
        <w:bidi w:val="0"/>
        <w:spacing w:before="0" w:after="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widowControl w:val="0"/>
        <w:spacing w:line="1" w:lineRule="exact"/>
      </w:pPr>
      <w:r>
        <mc:AlternateContent>
          <mc:Choice Requires="wps">
            <w:drawing>
              <wp:anchor distT="101600" distB="0" distL="0" distR="0" simplePos="0" relativeHeight="125829382" behindDoc="0" locked="0" layoutInCell="1" allowOverlap="1">
                <wp:simplePos x="0" y="0"/>
                <wp:positionH relativeFrom="page">
                  <wp:posOffset>1122045</wp:posOffset>
                </wp:positionH>
                <wp:positionV relativeFrom="paragraph">
                  <wp:posOffset>101600</wp:posOffset>
                </wp:positionV>
                <wp:extent cx="704215" cy="237490"/>
                <wp:wrapTopAndBottom/>
                <wp:docPr id="9" name="Shape 9"/>
                <a:graphic xmlns:a="http://schemas.openxmlformats.org/drawingml/2006/main">
                  <a:graphicData uri="http://schemas.microsoft.com/office/word/2010/wordprocessingShape">
                    <wps:wsp>
                      <wps:cNvSpPr txBox="1"/>
                      <wps:spPr>
                        <a:xfrm>
                          <a:ext cx="70421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díla:</w:t>
                            </w:r>
                          </w:p>
                        </w:txbxContent>
                      </wps:txbx>
                      <wps:bodyPr wrap="none" lIns="0" tIns="0" rIns="0" bIns="0">
                        <a:noAutoFit/>
                      </wps:bodyPr>
                    </wps:wsp>
                  </a:graphicData>
                </a:graphic>
              </wp:anchor>
            </w:drawing>
          </mc:Choice>
          <mc:Fallback>
            <w:pict>
              <v:shape id="_x0000_s1035" type="#_x0000_t202" style="position:absolute;margin-left:88.350000000000009pt;margin-top:8.pt;width:55.450000000000003pt;height:18.699999999999999pt;z-index:-125829371;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díla:</w:t>
                      </w:r>
                    </w:p>
                  </w:txbxContent>
                </v:textbox>
                <w10:wrap type="topAndBottom" anchorx="page"/>
              </v:shape>
            </w:pict>
          </mc:Fallback>
        </mc:AlternateContent>
      </w:r>
      <w:r>
        <mc:AlternateContent>
          <mc:Choice Requires="wps">
            <w:drawing>
              <wp:anchor distT="101600" distB="0" distL="0" distR="0" simplePos="0" relativeHeight="125829384" behindDoc="0" locked="0" layoutInCell="1" allowOverlap="1">
                <wp:simplePos x="0" y="0"/>
                <wp:positionH relativeFrom="page">
                  <wp:posOffset>3182620</wp:posOffset>
                </wp:positionH>
                <wp:positionV relativeFrom="paragraph">
                  <wp:posOffset>101600</wp:posOffset>
                </wp:positionV>
                <wp:extent cx="1478280" cy="237490"/>
                <wp:wrapTopAndBottom/>
                <wp:docPr id="11" name="Shape 11"/>
                <a:graphic xmlns:a="http://schemas.openxmlformats.org/drawingml/2006/main">
                  <a:graphicData uri="http://schemas.microsoft.com/office/word/2010/wordprocessingShape">
                    <wps:wsp>
                      <wps:cNvSpPr txBox="1"/>
                      <wps:spPr>
                        <a:xfrm>
                          <a:ext cx="147828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53.000,00 Kč bez DPH</w:t>
                            </w:r>
                          </w:p>
                        </w:txbxContent>
                      </wps:txbx>
                      <wps:bodyPr wrap="none" lIns="0" tIns="0" rIns="0" bIns="0">
                        <a:noAutoFit/>
                      </wps:bodyPr>
                    </wps:wsp>
                  </a:graphicData>
                </a:graphic>
              </wp:anchor>
            </w:drawing>
          </mc:Choice>
          <mc:Fallback>
            <w:pict>
              <v:shape id="_x0000_s1037" type="#_x0000_t202" style="position:absolute;margin-left:250.59999999999999pt;margin-top:8.pt;width:116.40000000000001pt;height:18.699999999999999pt;z-index:-125829369;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53.000,00 Kč bez DPH</w:t>
                      </w:r>
                    </w:p>
                  </w:txbxContent>
                </v:textbox>
                <w10:wrap type="topAndBottom" anchorx="page"/>
              </v:shape>
            </w:pict>
          </mc:Fallback>
        </mc:AlternateConten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79" w:val="left"/>
        </w:tabs>
        <w:bidi w:val="0"/>
        <w:spacing w:before="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9" w:val="left"/>
        </w:tabs>
        <w:bidi w:val="0"/>
        <w:spacing w:before="0" w:line="240" w:lineRule="auto"/>
        <w:ind w:left="0" w:right="0" w:firstLine="0"/>
        <w:jc w:val="left"/>
      </w:pPr>
      <w:bookmarkStart w:id="90" w:name="bookmark90"/>
      <w:bookmarkEnd w:id="90"/>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9" w:val="left"/>
        </w:tabs>
        <w:bidi w:val="0"/>
        <w:spacing w:before="0" w:after="6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79" w:val="left"/>
        </w:tabs>
        <w:bidi w:val="0"/>
        <w:spacing w:before="0" w:after="6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9" w:val="left"/>
        </w:tabs>
        <w:bidi w:val="0"/>
        <w:spacing w:before="0" w:after="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9" w:val="left"/>
        </w:tabs>
        <w:bidi w:val="0"/>
        <w:spacing w:before="0" w:line="240" w:lineRule="auto"/>
        <w:ind w:left="0" w:right="0" w:firstLine="0"/>
        <w:jc w:val="left"/>
      </w:pPr>
      <w:bookmarkStart w:id="95" w:name="bookmark95"/>
      <w:bookmarkEnd w:id="95"/>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2" w:val="left"/>
        </w:tabs>
        <w:bidi w:val="0"/>
        <w:spacing w:before="0" w:after="44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7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9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92" w:val="left"/>
        </w:tabs>
        <w:bidi w:val="0"/>
        <w:spacing w:before="0" w:after="40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72" w:val="left"/>
        </w:tabs>
        <w:bidi w:val="0"/>
        <w:spacing w:before="0" w:after="0" w:line="240" w:lineRule="auto"/>
        <w:ind w:left="0" w:right="0" w:firstLine="0"/>
        <w:jc w:val="left"/>
      </w:pPr>
      <w:bookmarkStart w:id="108" w:name="bookmark108"/>
      <w:bookmarkEnd w:id="108"/>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86" w:val="left"/>
        </w:tabs>
        <w:bidi w:val="0"/>
        <w:spacing w:before="0" w:after="0" w:line="240" w:lineRule="auto"/>
        <w:ind w:left="0" w:right="0" w:firstLine="380"/>
        <w:jc w:val="both"/>
      </w:pPr>
      <w:bookmarkStart w:id="109" w:name="bookmark109"/>
      <w:bookmarkEnd w:id="109"/>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86" w:val="left"/>
        </w:tabs>
        <w:bidi w:val="0"/>
        <w:spacing w:before="0" w:after="0" w:line="240" w:lineRule="auto"/>
        <w:ind w:left="1020" w:right="0" w:hanging="580"/>
        <w:jc w:val="both"/>
      </w:pPr>
      <w:bookmarkStart w:id="110" w:name="bookmark110"/>
      <w:bookmarkEnd w:id="11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86" w:val="left"/>
        </w:tabs>
        <w:bidi w:val="0"/>
        <w:spacing w:before="0" w:after="0" w:line="240" w:lineRule="auto"/>
        <w:ind w:left="1020" w:right="0" w:hanging="580"/>
        <w:jc w:val="both"/>
      </w:pPr>
      <w:bookmarkStart w:id="111" w:name="bookmark111"/>
      <w:bookmarkEnd w:id="11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73" w:val="left"/>
        </w:tabs>
        <w:bidi w:val="0"/>
        <w:spacing w:before="0" w:after="18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73" w:val="left"/>
        </w:tabs>
        <w:bidi w:val="0"/>
        <w:spacing w:before="0" w:after="180" w:line="240" w:lineRule="auto"/>
        <w:ind w:left="380" w:right="0" w:hanging="380"/>
        <w:jc w:val="both"/>
        <w:sectPr>
          <w:footnotePr>
            <w:pos w:val="pageBottom"/>
            <w:numFmt w:val="decimal"/>
            <w:numRestart w:val="continuous"/>
          </w:footnotePr>
          <w:pgSz w:w="11909" w:h="16838"/>
          <w:pgMar w:top="1082" w:left="1352" w:right="1254" w:bottom="1250" w:header="0" w:footer="3" w:gutter="0"/>
          <w:cols w:space="720"/>
          <w:noEndnote/>
          <w:rtlGutter w:val="0"/>
          <w:docGrid w:linePitch="360"/>
        </w:sectPr>
      </w:pPr>
      <w:bookmarkStart w:id="113" w:name="bookmark113"/>
      <w:bookmarkEnd w:id="113"/>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12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8" w:val="left"/>
        </w:tabs>
        <w:bidi w:val="0"/>
        <w:spacing w:before="0" w:after="56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2"/>
        <w:keepNext w:val="0"/>
        <w:keepLines w:val="0"/>
        <w:widowControl w:val="0"/>
        <w:shd w:val="clear" w:color="auto" w:fill="auto"/>
        <w:bidi w:val="0"/>
        <w:spacing w:before="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5"/>
        </w:numPr>
        <w:shd w:val="clear" w:color="auto" w:fill="auto"/>
        <w:tabs>
          <w:tab w:pos="358" w:val="left"/>
        </w:tabs>
        <w:bidi w:val="0"/>
        <w:spacing w:before="0" w:after="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3"/>
        </w:numPr>
        <w:shd w:val="clear" w:color="auto" w:fill="auto"/>
        <w:tabs>
          <w:tab w:pos="1179" w:val="left"/>
        </w:tabs>
        <w:bidi w:val="0"/>
        <w:spacing w:before="0" w:after="0" w:line="240" w:lineRule="auto"/>
        <w:ind w:left="1160" w:right="0" w:hanging="36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20"/>
      <w:bookmarkEnd w:id="121"/>
      <w:bookmarkEnd w:id="123"/>
    </w:p>
    <w:p>
      <w:pPr>
        <w:pStyle w:val="Style12"/>
        <w:keepNext/>
        <w:keepLines/>
        <w:widowControl w:val="0"/>
        <w:numPr>
          <w:ilvl w:val="0"/>
          <w:numId w:val="23"/>
        </w:numPr>
        <w:shd w:val="clear" w:color="auto" w:fill="auto"/>
        <w:tabs>
          <w:tab w:pos="1179" w:val="left"/>
        </w:tabs>
        <w:bidi w:val="0"/>
        <w:spacing w:before="0" w:after="0" w:line="240" w:lineRule="auto"/>
        <w:ind w:left="0" w:right="0" w:firstLine="80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bezdůvodném přerušení prací zhotovitele, které trvá více než 14 dnů,</w:t>
      </w:r>
      <w:bookmarkEnd w:id="124"/>
      <w:bookmarkEnd w:id="125"/>
      <w:bookmarkEnd w:id="127"/>
    </w:p>
    <w:p>
      <w:pPr>
        <w:pStyle w:val="Style12"/>
        <w:keepNext/>
        <w:keepLines/>
        <w:widowControl w:val="0"/>
        <w:numPr>
          <w:ilvl w:val="0"/>
          <w:numId w:val="23"/>
        </w:numPr>
        <w:shd w:val="clear" w:color="auto" w:fill="auto"/>
        <w:tabs>
          <w:tab w:pos="1410" w:val="left"/>
        </w:tabs>
        <w:bidi w:val="0"/>
        <w:spacing w:before="0" w:after="0" w:line="240" w:lineRule="auto"/>
        <w:ind w:left="1160" w:right="0" w:hanging="36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28"/>
      <w:bookmarkEnd w:id="129"/>
      <w:bookmarkEnd w:id="131"/>
    </w:p>
    <w:p>
      <w:pPr>
        <w:pStyle w:val="Style12"/>
        <w:keepNext/>
        <w:keepLines/>
        <w:widowControl w:val="0"/>
        <w:numPr>
          <w:ilvl w:val="0"/>
          <w:numId w:val="23"/>
        </w:numPr>
        <w:shd w:val="clear" w:color="auto" w:fill="auto"/>
        <w:tabs>
          <w:tab w:pos="1179" w:val="left"/>
        </w:tabs>
        <w:bidi w:val="0"/>
        <w:spacing w:before="0" w:after="200" w:line="240" w:lineRule="auto"/>
        <w:ind w:left="0" w:right="0" w:firstLine="80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neplněním povinností zhotovitele vést řádně zápisy do stavebního deníku.</w:t>
      </w:r>
      <w:bookmarkEnd w:id="132"/>
      <w:bookmarkEnd w:id="133"/>
      <w:bookmarkEnd w:id="135"/>
    </w:p>
    <w:p>
      <w:pPr>
        <w:pStyle w:val="Style2"/>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5"/>
        </w:numPr>
        <w:shd w:val="clear" w:color="auto" w:fill="auto"/>
        <w:tabs>
          <w:tab w:pos="360" w:val="left"/>
        </w:tabs>
        <w:bidi w:val="0"/>
        <w:spacing w:before="0" w:after="0" w:line="240" w:lineRule="auto"/>
        <w:ind w:left="0" w:right="0" w:firstLine="0"/>
        <w:jc w:val="left"/>
      </w:pPr>
      <w:bookmarkStart w:id="141" w:name="bookmark141"/>
      <w:bookmarkEnd w:id="141"/>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5"/>
        </w:numPr>
        <w:shd w:val="clear" w:color="auto" w:fill="auto"/>
        <w:tabs>
          <w:tab w:pos="442" w:val="left"/>
        </w:tabs>
        <w:bidi w:val="0"/>
        <w:spacing w:before="0" w:line="240" w:lineRule="auto"/>
        <w:ind w:left="380" w:right="0" w:hanging="380"/>
        <w:jc w:val="left"/>
      </w:pPr>
      <w:bookmarkStart w:id="142" w:name="bookmark142"/>
      <w:bookmarkEnd w:id="14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5"/>
        </w:numPr>
        <w:shd w:val="clear" w:color="auto" w:fill="auto"/>
        <w:tabs>
          <w:tab w:pos="442" w:val="left"/>
        </w:tabs>
        <w:bidi w:val="0"/>
        <w:spacing w:before="0" w:line="240" w:lineRule="auto"/>
        <w:ind w:left="380" w:right="0" w:hanging="380"/>
        <w:jc w:val="left"/>
      </w:pPr>
      <w:bookmarkStart w:id="143" w:name="bookmark143"/>
      <w:bookmarkEnd w:id="14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442" w:val="left"/>
        </w:tabs>
        <w:bidi w:val="0"/>
        <w:spacing w:before="0" w:line="240" w:lineRule="auto"/>
        <w:ind w:left="0" w:right="0" w:firstLine="0"/>
        <w:jc w:val="left"/>
      </w:pPr>
      <w:bookmarkStart w:id="144" w:name="bookmark144"/>
      <w:bookmarkEnd w:id="144"/>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5"/>
        </w:numPr>
        <w:shd w:val="clear" w:color="auto" w:fill="auto"/>
        <w:tabs>
          <w:tab w:pos="442"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5"/>
        </w:numPr>
        <w:shd w:val="clear" w:color="auto" w:fill="auto"/>
        <w:tabs>
          <w:tab w:pos="442" w:val="left"/>
        </w:tabs>
        <w:bidi w:val="0"/>
        <w:spacing w:before="0" w:after="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line="240" w:lineRule="auto"/>
        <w:ind w:left="380" w:right="0" w:firstLine="0"/>
        <w:jc w:val="left"/>
      </w:pPr>
      <w:r>
        <w:rPr>
          <w:color w:val="000000"/>
          <w:spacing w:val="0"/>
          <w:w w:val="100"/>
          <w:position w:val="0"/>
          <w:shd w:val="clear" w:color="auto" w:fill="auto"/>
          <w:lang w:val="cs-CZ" w:eastAsia="cs-CZ" w:bidi="cs-CZ"/>
        </w:rPr>
        <w:t>Priorita 2) Příloha č. 1: Oceněný soupis prací Priorita 3) Příloha č. 2: Situace Priorita 1) Příloha č. 3: Čestné prohlášení k finančním sankcím</w:t>
      </w:r>
      <w:r>
        <w:br w:type="page"/>
      </w:r>
    </w:p>
    <w:p>
      <w:pPr>
        <w:pStyle w:val="Style2"/>
        <w:keepNext w:val="0"/>
        <w:keepLines w:val="0"/>
        <w:widowControl w:val="0"/>
        <w:shd w:val="clear" w:color="auto" w:fill="auto"/>
        <w:bidi w:val="0"/>
        <w:spacing w:before="0" w:after="42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tbl>
      <w:tblPr>
        <w:tblOverlap w:val="never"/>
        <w:jc w:val="center"/>
        <w:tblLayout w:type="fixed"/>
      </w:tblPr>
      <w:tblGrid>
        <w:gridCol w:w="3576"/>
        <w:gridCol w:w="5544"/>
      </w:tblGrid>
      <w:tr>
        <w:trPr>
          <w:trHeight w:val="1027"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Digitálně podepsal:</w:t>
            </w:r>
          </w:p>
        </w:tc>
      </w:tr>
      <w:tr>
        <w:trPr>
          <w:trHeight w:val="1354"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 za HAGL, spol. s r.o.</w:t>
            </w:r>
          </w:p>
        </w:tc>
      </w:tr>
    </w:tbl>
    <w:sectPr>
      <w:footnotePr>
        <w:pos w:val="pageBottom"/>
        <w:numFmt w:val="decimal"/>
        <w:numRestart w:val="continuous"/>
      </w:footnotePr>
      <w:pgSz w:w="11909" w:h="16838"/>
      <w:pgMar w:top="1091" w:left="1380" w:right="1326" w:bottom="122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9973945</wp:posOffset>
              </wp:positionV>
              <wp:extent cx="673735" cy="161290"/>
              <wp:wrapNone/>
              <wp:docPr id="7" name="Shape 7"/>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69999999999999pt;margin-top:785.35000000000002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388620</wp:posOffset>
              </wp:positionV>
              <wp:extent cx="838200" cy="170815"/>
              <wp:wrapNone/>
              <wp:docPr id="5" name="Shape 5"/>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30.600000000000001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30"/>
      <w:ind w:left="360" w:hanging="340"/>
      <w:outlineLvl w:val="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